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870" w14:textId="13DA43C2" w:rsidR="00090C67" w:rsidRPr="00FD02F8" w:rsidRDefault="00FB1AB0" w:rsidP="004222B2">
      <w:pPr>
        <w:spacing w:line="240" w:lineRule="auto"/>
      </w:pPr>
      <w:r w:rsidRPr="00FD02F8">
        <w:rPr>
          <w:noProof/>
        </w:rPr>
        <w:drawing>
          <wp:anchor distT="0" distB="0" distL="114300" distR="114300" simplePos="0" relativeHeight="251646976" behindDoc="1" locked="0" layoutInCell="1" allowOverlap="1" wp14:anchorId="7D33EC4B" wp14:editId="232EF7B0">
            <wp:simplePos x="0" y="0"/>
            <wp:positionH relativeFrom="page">
              <wp:posOffset>-57150</wp:posOffset>
            </wp:positionH>
            <wp:positionV relativeFrom="paragraph">
              <wp:posOffset>-1054735</wp:posOffset>
            </wp:positionV>
            <wp:extent cx="7675507" cy="12076430"/>
            <wp:effectExtent l="0" t="0" r="190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3400" cy="12088849"/>
                    </a:xfrm>
                    <a:prstGeom prst="rect">
                      <a:avLst/>
                    </a:prstGeom>
                  </pic:spPr>
                </pic:pic>
              </a:graphicData>
            </a:graphic>
            <wp14:sizeRelH relativeFrom="page">
              <wp14:pctWidth>0</wp14:pctWidth>
            </wp14:sizeRelH>
            <wp14:sizeRelV relativeFrom="page">
              <wp14:pctHeight>0</wp14:pctHeight>
            </wp14:sizeRelV>
          </wp:anchor>
        </w:drawing>
      </w:r>
      <w:r w:rsidR="00951EF6" w:rsidRPr="00FD02F8">
        <w:t xml:space="preserve"> </w:t>
      </w:r>
    </w:p>
    <w:sdt>
      <w:sdtPr>
        <w:id w:val="-191923907"/>
        <w:docPartObj>
          <w:docPartGallery w:val="Cover Pages"/>
          <w:docPartUnique/>
        </w:docPartObj>
      </w:sdtPr>
      <w:sdtContent>
        <w:p w14:paraId="367371B7" w14:textId="5165C1CD" w:rsidR="000C6036" w:rsidRPr="00FD02F8" w:rsidRDefault="000C6036" w:rsidP="004222B2">
          <w:pPr>
            <w:spacing w:line="240" w:lineRule="auto"/>
          </w:pPr>
        </w:p>
        <w:p w14:paraId="3D54A0C8" w14:textId="3C53B50D" w:rsidR="000C6036" w:rsidRPr="00FD02F8" w:rsidRDefault="000C6036" w:rsidP="004222B2">
          <w:pPr>
            <w:spacing w:line="240" w:lineRule="auto"/>
          </w:pPr>
        </w:p>
        <w:p w14:paraId="5412FED6" w14:textId="47E0C731" w:rsidR="000C6036" w:rsidRPr="00FD02F8" w:rsidRDefault="00262CA2" w:rsidP="004222B2">
          <w:pPr>
            <w:spacing w:line="240" w:lineRule="auto"/>
          </w:pPr>
          <w:r w:rsidRPr="00FD02F8">
            <w:rPr>
              <w:noProof/>
            </w:rPr>
            <w:drawing>
              <wp:inline distT="0" distB="0" distL="0" distR="0" wp14:anchorId="15467334" wp14:editId="4ABE418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24F9593" w14:textId="4F83767F" w:rsidR="000C6036" w:rsidRPr="00FD02F8" w:rsidRDefault="000C6036" w:rsidP="004222B2">
          <w:pPr>
            <w:spacing w:line="240" w:lineRule="auto"/>
          </w:pPr>
        </w:p>
        <w:p w14:paraId="0EFB6957" w14:textId="6EA11520" w:rsidR="000C6036" w:rsidRPr="00FD02F8" w:rsidRDefault="000C6036" w:rsidP="004222B2">
          <w:pPr>
            <w:spacing w:line="240" w:lineRule="auto"/>
          </w:pPr>
        </w:p>
        <w:p w14:paraId="2D5BB643" w14:textId="77777777" w:rsidR="00262CA2" w:rsidRPr="00FD02F8" w:rsidRDefault="00262CA2" w:rsidP="004222B2">
          <w:pPr>
            <w:spacing w:line="240" w:lineRule="auto"/>
            <w:rPr>
              <w:b/>
              <w:bCs/>
              <w:color w:val="FFFFFF" w:themeColor="background1"/>
              <w:sz w:val="84"/>
              <w:szCs w:val="84"/>
            </w:rPr>
          </w:pPr>
        </w:p>
        <w:p w14:paraId="5DA97A1C" w14:textId="73580252" w:rsidR="00562BA4" w:rsidRPr="00FD02F8" w:rsidRDefault="00562BA4" w:rsidP="004222B2">
          <w:pPr>
            <w:spacing w:line="240" w:lineRule="auto"/>
            <w:rPr>
              <w:b/>
              <w:bCs/>
              <w:color w:val="FFFFFF" w:themeColor="background1"/>
              <w:sz w:val="84"/>
              <w:szCs w:val="84"/>
            </w:rPr>
          </w:pPr>
          <w:r w:rsidRPr="00FD02F8">
            <w:rPr>
              <w:noProof/>
              <w:sz w:val="84"/>
              <w:szCs w:val="84"/>
            </w:rPr>
            <mc:AlternateContent>
              <mc:Choice Requires="wps">
                <w:drawing>
                  <wp:anchor distT="0" distB="0" distL="114300" distR="114300" simplePos="0" relativeHeight="251649024" behindDoc="0" locked="1" layoutInCell="1" allowOverlap="1" wp14:anchorId="2803E0EF" wp14:editId="37D903EC">
                    <wp:simplePos x="0" y="0"/>
                    <wp:positionH relativeFrom="column">
                      <wp:posOffset>124460</wp:posOffset>
                    </wp:positionH>
                    <wp:positionV relativeFrom="paragraph">
                      <wp:posOffset>5716905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B350FBD" w14:textId="632908B5" w:rsidR="00562BA4" w:rsidRPr="00FD02F8" w:rsidRDefault="0067667D" w:rsidP="00562BA4">
                                <w:pPr>
                                  <w:pStyle w:val="BodyText1"/>
                                  <w:rPr>
                                    <w:color w:val="FFFFFF" w:themeColor="background1"/>
                                  </w:rPr>
                                </w:pPr>
                                <w:r w:rsidRPr="00FD02F8">
                                  <w:rPr>
                                    <w:color w:val="FFFFFF" w:themeColor="background1"/>
                                  </w:rPr>
                                  <w:t>Februar</w:t>
                                </w:r>
                                <w:r w:rsidR="00572877" w:rsidRPr="00FD02F8">
                                  <w:rPr>
                                    <w:color w:val="FFFFFF" w:themeColor="background1"/>
                                  </w:rPr>
                                  <w:t>y</w:t>
                                </w:r>
                                <w:r w:rsidR="00ED736B" w:rsidRPr="00FD02F8">
                                  <w:rPr>
                                    <w:color w:val="FFFFFF" w:themeColor="background1"/>
                                  </w:rPr>
                                  <w:t xml:space="preserve"> </w:t>
                                </w:r>
                                <w:r w:rsidR="00EF2E7B" w:rsidRPr="00FD02F8">
                                  <w:rPr>
                                    <w:color w:val="FFFFFF" w:themeColor="background1"/>
                                  </w:rPr>
                                  <w:t>202</w:t>
                                </w:r>
                                <w:r w:rsidR="00572877" w:rsidRPr="00FD02F8">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3E0EF" id="_x0000_t202" coordsize="21600,21600" o:spt="202" path="m,l,21600r21600,l21600,xe">
                    <v:stroke joinstyle="miter"/>
                    <v:path gradientshapeok="t" o:connecttype="rect"/>
                  </v:shapetype>
                  <v:shape id="Text Box 3" o:spid="_x0000_s1026" type="#_x0000_t202" alt="&quot;&quot;" style="position:absolute;margin-left:9.8pt;margin-top:450.1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" filled="f" stroked="f" strokeweight=".5pt">
                    <v:textbox inset="0,0,0,0">
                      <w:txbxContent>
                        <w:p w14:paraId="1B350FBD" w14:textId="632908B5" w:rsidR="00562BA4" w:rsidRPr="00FD02F8" w:rsidRDefault="0067667D" w:rsidP="00562BA4">
                          <w:pPr>
                            <w:pStyle w:val="BodyText1"/>
                            <w:rPr>
                              <w:color w:val="FFFFFF" w:themeColor="background1"/>
                            </w:rPr>
                          </w:pPr>
                          <w:r w:rsidRPr="00FD02F8">
                            <w:rPr>
                              <w:color w:val="FFFFFF" w:themeColor="background1"/>
                            </w:rPr>
                            <w:t>Februar</w:t>
                          </w:r>
                          <w:r w:rsidR="00572877" w:rsidRPr="00FD02F8">
                            <w:rPr>
                              <w:color w:val="FFFFFF" w:themeColor="background1"/>
                            </w:rPr>
                            <w:t>y</w:t>
                          </w:r>
                          <w:r w:rsidR="00ED736B" w:rsidRPr="00FD02F8">
                            <w:rPr>
                              <w:color w:val="FFFFFF" w:themeColor="background1"/>
                            </w:rPr>
                            <w:t xml:space="preserve"> </w:t>
                          </w:r>
                          <w:r w:rsidR="00EF2E7B" w:rsidRPr="00FD02F8">
                            <w:rPr>
                              <w:color w:val="FFFFFF" w:themeColor="background1"/>
                            </w:rPr>
                            <w:t>202</w:t>
                          </w:r>
                          <w:r w:rsidR="00572877" w:rsidRPr="00FD02F8">
                            <w:rPr>
                              <w:color w:val="FFFFFF" w:themeColor="background1"/>
                            </w:rPr>
                            <w:t>6</w:t>
                          </w:r>
                        </w:p>
                      </w:txbxContent>
                    </v:textbox>
                    <w10:anchorlock/>
                  </v:shape>
                </w:pict>
              </mc:Fallback>
            </mc:AlternateContent>
          </w:r>
          <w:r w:rsidR="00ED736B" w:rsidRPr="00FD02F8">
            <w:rPr>
              <w:b/>
              <w:bCs/>
              <w:color w:val="FFFFFF" w:themeColor="background1"/>
              <w:sz w:val="84"/>
              <w:szCs w:val="84"/>
            </w:rPr>
            <w:t xml:space="preserve">Quarter </w:t>
          </w:r>
          <w:r w:rsidR="0067667D" w:rsidRPr="00FD02F8">
            <w:rPr>
              <w:b/>
              <w:bCs/>
              <w:color w:val="FFFFFF" w:themeColor="background1"/>
              <w:sz w:val="84"/>
              <w:szCs w:val="84"/>
            </w:rPr>
            <w:t>3</w:t>
          </w:r>
          <w:r w:rsidR="002E1536" w:rsidRPr="00FD02F8">
            <w:rPr>
              <w:b/>
              <w:bCs/>
              <w:color w:val="FFFFFF" w:themeColor="background1"/>
              <w:sz w:val="84"/>
              <w:szCs w:val="84"/>
            </w:rPr>
            <w:t xml:space="preserve"> 202</w:t>
          </w:r>
          <w:r w:rsidR="00F9018D" w:rsidRPr="00FD02F8">
            <w:rPr>
              <w:b/>
              <w:bCs/>
              <w:color w:val="FFFFFF" w:themeColor="background1"/>
              <w:sz w:val="84"/>
              <w:szCs w:val="84"/>
            </w:rPr>
            <w:t>5</w:t>
          </w:r>
          <w:r w:rsidR="002E1536" w:rsidRPr="00FD02F8">
            <w:rPr>
              <w:b/>
              <w:bCs/>
              <w:color w:val="FFFFFF" w:themeColor="background1"/>
              <w:sz w:val="84"/>
              <w:szCs w:val="84"/>
            </w:rPr>
            <w:t>-202</w:t>
          </w:r>
          <w:r w:rsidR="00F9018D" w:rsidRPr="00FD02F8">
            <w:rPr>
              <w:b/>
              <w:bCs/>
              <w:color w:val="FFFFFF" w:themeColor="background1"/>
              <w:sz w:val="84"/>
              <w:szCs w:val="84"/>
            </w:rPr>
            <w:t>6</w:t>
          </w:r>
        </w:p>
        <w:p w14:paraId="49BE63B5" w14:textId="17AFC798" w:rsidR="00562BA4" w:rsidRPr="00FD02F8" w:rsidRDefault="00562BA4" w:rsidP="004222B2">
          <w:pPr>
            <w:spacing w:line="240" w:lineRule="auto"/>
            <w:rPr>
              <w:b/>
              <w:bCs/>
              <w:color w:val="FFFFFF" w:themeColor="background1"/>
              <w:sz w:val="84"/>
              <w:szCs w:val="84"/>
            </w:rPr>
          </w:pPr>
          <w:r w:rsidRPr="00FD02F8">
            <w:rPr>
              <w:b/>
              <w:bCs/>
              <w:color w:val="FFFFFF" w:themeColor="background1"/>
              <w:sz w:val="84"/>
              <w:szCs w:val="84"/>
            </w:rPr>
            <w:t xml:space="preserve">Corporate Performance </w:t>
          </w:r>
          <w:r w:rsidR="00035838" w:rsidRPr="00FD02F8">
            <w:rPr>
              <w:b/>
              <w:bCs/>
              <w:color w:val="FFFFFF" w:themeColor="background1"/>
              <w:sz w:val="84"/>
              <w:szCs w:val="84"/>
            </w:rPr>
            <w:t xml:space="preserve">Summary </w:t>
          </w:r>
          <w:r w:rsidRPr="00FD02F8">
            <w:rPr>
              <w:b/>
              <w:bCs/>
              <w:color w:val="FFFFFF" w:themeColor="background1"/>
              <w:sz w:val="84"/>
              <w:szCs w:val="84"/>
            </w:rPr>
            <w:t xml:space="preserve">Report </w:t>
          </w:r>
        </w:p>
        <w:p w14:paraId="7BBB58CC" w14:textId="62D9246D" w:rsidR="000C6036" w:rsidRPr="00FD02F8" w:rsidRDefault="000C6036" w:rsidP="004222B2">
          <w:pPr>
            <w:spacing w:line="240" w:lineRule="auto"/>
          </w:pPr>
        </w:p>
        <w:p w14:paraId="10EAE254" w14:textId="7A33EE89" w:rsidR="000C6036" w:rsidRPr="00FD02F8" w:rsidRDefault="000C6036" w:rsidP="004222B2">
          <w:pPr>
            <w:spacing w:line="240" w:lineRule="auto"/>
          </w:pPr>
        </w:p>
        <w:p w14:paraId="0449EFC4" w14:textId="1402FC58" w:rsidR="000C6036" w:rsidRPr="00FD02F8" w:rsidRDefault="000C6036" w:rsidP="004222B2">
          <w:pPr>
            <w:spacing w:line="240" w:lineRule="auto"/>
          </w:pPr>
        </w:p>
        <w:p w14:paraId="7EAEDDF4" w14:textId="43010D12" w:rsidR="000C6036" w:rsidRPr="00FD02F8" w:rsidRDefault="000C6036" w:rsidP="004222B2">
          <w:pPr>
            <w:spacing w:line="240" w:lineRule="auto"/>
          </w:pPr>
        </w:p>
        <w:p w14:paraId="4BAC9DA9" w14:textId="77777777" w:rsidR="000C6036" w:rsidRPr="00FD02F8" w:rsidRDefault="000C6036" w:rsidP="004222B2">
          <w:pPr>
            <w:spacing w:line="240" w:lineRule="auto"/>
          </w:pPr>
        </w:p>
        <w:p w14:paraId="20268C91" w14:textId="0D7BA673" w:rsidR="000C6036" w:rsidRPr="00FD02F8" w:rsidRDefault="000C6036" w:rsidP="004222B2">
          <w:pPr>
            <w:spacing w:line="240" w:lineRule="auto"/>
          </w:pPr>
        </w:p>
        <w:p w14:paraId="3BE45C31" w14:textId="6355A1DF" w:rsidR="000C6036" w:rsidRPr="00FD02F8" w:rsidRDefault="000C6036" w:rsidP="004222B2">
          <w:pPr>
            <w:spacing w:line="240" w:lineRule="auto"/>
          </w:pPr>
        </w:p>
        <w:p w14:paraId="32EB25E7" w14:textId="7E61AB3C" w:rsidR="000C6036" w:rsidRPr="00FD02F8" w:rsidRDefault="000C6036" w:rsidP="004222B2">
          <w:pPr>
            <w:spacing w:line="240" w:lineRule="auto"/>
          </w:pPr>
        </w:p>
        <w:p w14:paraId="32ECDB39" w14:textId="5592D6BD" w:rsidR="000C6036" w:rsidRPr="00FD02F8" w:rsidRDefault="000C6036" w:rsidP="004222B2">
          <w:pPr>
            <w:spacing w:line="240" w:lineRule="auto"/>
          </w:pPr>
        </w:p>
        <w:p w14:paraId="5DEA6495" w14:textId="26BAA225" w:rsidR="000C6036" w:rsidRPr="00FD02F8" w:rsidRDefault="000C6036" w:rsidP="004222B2">
          <w:pPr>
            <w:spacing w:line="240" w:lineRule="auto"/>
          </w:pPr>
        </w:p>
        <w:p w14:paraId="764CC193" w14:textId="7B7D2784" w:rsidR="000C6036" w:rsidRPr="00FD02F8" w:rsidRDefault="00000000" w:rsidP="001F6418">
          <w:pPr>
            <w:pStyle w:val="BodyText1"/>
          </w:pPr>
        </w:p>
      </w:sdtContent>
    </w:sdt>
    <w:p w14:paraId="51022E28" w14:textId="77777777" w:rsidR="00BF3A1F" w:rsidRPr="00FD02F8" w:rsidRDefault="00BF3A1F" w:rsidP="001F6418">
      <w:pPr>
        <w:pStyle w:val="BodyText1"/>
      </w:pPr>
      <w:bookmarkStart w:id="0" w:name="_Toc176866802"/>
      <w:bookmarkStart w:id="1" w:name="_Toc176867058"/>
    </w:p>
    <w:p w14:paraId="48A0C24D" w14:textId="77777777" w:rsidR="00BF3A1F" w:rsidRPr="00FD02F8" w:rsidRDefault="00BF3A1F" w:rsidP="001F6418">
      <w:pPr>
        <w:pStyle w:val="BodyText1"/>
      </w:pPr>
    </w:p>
    <w:p w14:paraId="04465096" w14:textId="77777777" w:rsidR="00BF3A1F" w:rsidRPr="00FD02F8" w:rsidRDefault="00BF3A1F" w:rsidP="001F6418">
      <w:pPr>
        <w:pStyle w:val="BodyText1"/>
      </w:pPr>
    </w:p>
    <w:p w14:paraId="21850072" w14:textId="77777777" w:rsidR="00BF3A1F" w:rsidRPr="00FD02F8" w:rsidRDefault="00BF3A1F" w:rsidP="001F6418">
      <w:pPr>
        <w:pStyle w:val="BodyText1"/>
      </w:pPr>
    </w:p>
    <w:p w14:paraId="4220B63E" w14:textId="2F756BAB" w:rsidR="00BF3A1F" w:rsidRPr="00FD02F8" w:rsidRDefault="00BF3A1F" w:rsidP="001F6418">
      <w:pPr>
        <w:pStyle w:val="BodyText1"/>
      </w:pPr>
    </w:p>
    <w:p w14:paraId="15BC0749" w14:textId="77777777" w:rsidR="00BF3A1F" w:rsidRPr="00FD02F8" w:rsidRDefault="00BF3A1F">
      <w:pPr>
        <w:spacing w:line="240" w:lineRule="auto"/>
        <w:rPr>
          <w:rFonts w:asciiTheme="majorHAnsi" w:eastAsiaTheme="majorEastAsia" w:hAnsiTheme="majorHAnsi" w:cstheme="majorBidi"/>
          <w:b/>
          <w:color w:val="016574" w:themeColor="accent2"/>
          <w:sz w:val="40"/>
          <w:szCs w:val="32"/>
        </w:rPr>
      </w:pPr>
      <w:r w:rsidRPr="00FD02F8">
        <w:br w:type="page"/>
      </w:r>
    </w:p>
    <w:p w14:paraId="147CBBFA" w14:textId="0F855EA1" w:rsidR="000C6036" w:rsidRPr="00FD02F8" w:rsidRDefault="00BF3A1F" w:rsidP="00884362">
      <w:pPr>
        <w:pStyle w:val="Heading1"/>
        <w:spacing w:before="0" w:after="240"/>
        <w:rPr>
          <w:sz w:val="28"/>
          <w:szCs w:val="28"/>
        </w:rPr>
      </w:pPr>
      <w:bookmarkStart w:id="2" w:name="_Toc182387453"/>
      <w:bookmarkStart w:id="3" w:name="_Toc182388593"/>
      <w:bookmarkStart w:id="4" w:name="_Toc189054589"/>
      <w:bookmarkStart w:id="5" w:name="_Toc199766064"/>
      <w:bookmarkStart w:id="6" w:name="_Toc871228953"/>
      <w:r w:rsidRPr="00FD02F8">
        <w:rPr>
          <w:sz w:val="28"/>
          <w:szCs w:val="28"/>
        </w:rPr>
        <w:lastRenderedPageBreak/>
        <w:t>C</w:t>
      </w:r>
      <w:r w:rsidR="008D5F93" w:rsidRPr="00FD02F8">
        <w:rPr>
          <w:sz w:val="28"/>
          <w:szCs w:val="28"/>
        </w:rPr>
        <w:t>ontents</w:t>
      </w:r>
      <w:bookmarkEnd w:id="0"/>
      <w:bookmarkEnd w:id="1"/>
      <w:bookmarkEnd w:id="2"/>
      <w:bookmarkEnd w:id="3"/>
      <w:bookmarkEnd w:id="4"/>
      <w:bookmarkEnd w:id="5"/>
      <w:bookmarkEnd w:id="6"/>
      <w:r w:rsidR="008D5F93" w:rsidRPr="00FD02F8">
        <w:rPr>
          <w:sz w:val="28"/>
          <w:szCs w:val="28"/>
        </w:rPr>
        <w:t xml:space="preserve"> </w:t>
      </w:r>
    </w:p>
    <w:sdt>
      <w:sdtPr>
        <w:id w:val="1389463091"/>
        <w:docPartObj>
          <w:docPartGallery w:val="Table of Contents"/>
          <w:docPartUnique/>
        </w:docPartObj>
      </w:sdtPr>
      <w:sdtContent>
        <w:p w14:paraId="33AC3765" w14:textId="7A44E350" w:rsidR="006B68C3" w:rsidRPr="00FD02F8" w:rsidRDefault="7D52A5B7" w:rsidP="7D52A5B7">
          <w:pPr>
            <w:pStyle w:val="TOC1"/>
            <w:tabs>
              <w:tab w:val="right" w:leader="dot" w:pos="9720"/>
            </w:tabs>
            <w:rPr>
              <w:rStyle w:val="Hyperlink"/>
              <w:noProof/>
              <w:kern w:val="2"/>
              <w:lang w:eastAsia="en-GB"/>
              <w14:ligatures w14:val="standardContextual"/>
            </w:rPr>
          </w:pPr>
          <w:r w:rsidRPr="00FD02F8">
            <w:fldChar w:fldCharType="begin"/>
          </w:r>
          <w:r w:rsidRPr="00FD02F8">
            <w:instrText>TOC \o "1-2" \z \u \h</w:instrText>
          </w:r>
          <w:r w:rsidRPr="00FD02F8">
            <w:fldChar w:fldCharType="separate"/>
          </w:r>
          <w:hyperlink w:anchor="_Toc871228953">
            <w:r w:rsidR="68A9B764" w:rsidRPr="00FD02F8">
              <w:rPr>
                <w:rStyle w:val="Hyperlink"/>
                <w:noProof/>
              </w:rPr>
              <w:t>Contents</w:t>
            </w:r>
            <w:r w:rsidRPr="00FD02F8">
              <w:rPr>
                <w:noProof/>
              </w:rPr>
              <w:tab/>
            </w:r>
            <w:r w:rsidRPr="00FD02F8">
              <w:rPr>
                <w:noProof/>
              </w:rPr>
              <w:fldChar w:fldCharType="begin"/>
            </w:r>
            <w:r w:rsidRPr="00FD02F8">
              <w:rPr>
                <w:noProof/>
              </w:rPr>
              <w:instrText>PAGEREF _Toc871228953 \h</w:instrText>
            </w:r>
            <w:r w:rsidRPr="00FD02F8">
              <w:rPr>
                <w:noProof/>
              </w:rPr>
            </w:r>
            <w:r w:rsidRPr="00FD02F8">
              <w:rPr>
                <w:noProof/>
              </w:rPr>
              <w:fldChar w:fldCharType="separate"/>
            </w:r>
            <w:r w:rsidR="001E42B1">
              <w:rPr>
                <w:noProof/>
              </w:rPr>
              <w:t>1</w:t>
            </w:r>
            <w:r w:rsidRPr="00FD02F8">
              <w:rPr>
                <w:noProof/>
              </w:rPr>
              <w:fldChar w:fldCharType="end"/>
            </w:r>
          </w:hyperlink>
        </w:p>
        <w:p w14:paraId="70D5F3DB" w14:textId="0C1D0117" w:rsidR="006B68C3" w:rsidRPr="00FD02F8" w:rsidRDefault="68A9B764" w:rsidP="7D52A5B7">
          <w:pPr>
            <w:pStyle w:val="TOC1"/>
            <w:tabs>
              <w:tab w:val="right" w:leader="dot" w:pos="9720"/>
            </w:tabs>
            <w:rPr>
              <w:rStyle w:val="Hyperlink"/>
              <w:noProof/>
              <w:kern w:val="2"/>
              <w:lang w:eastAsia="en-GB"/>
              <w14:ligatures w14:val="standardContextual"/>
            </w:rPr>
          </w:pPr>
          <w:hyperlink w:anchor="_Toc1156487655">
            <w:r w:rsidRPr="00FD02F8">
              <w:rPr>
                <w:rStyle w:val="Hyperlink"/>
                <w:noProof/>
              </w:rPr>
              <w:t>1. Executive Summary</w:t>
            </w:r>
            <w:r w:rsidR="7D52A5B7" w:rsidRPr="00FD02F8">
              <w:rPr>
                <w:noProof/>
              </w:rPr>
              <w:tab/>
            </w:r>
            <w:r w:rsidR="7D52A5B7" w:rsidRPr="00FD02F8">
              <w:rPr>
                <w:noProof/>
              </w:rPr>
              <w:fldChar w:fldCharType="begin"/>
            </w:r>
            <w:r w:rsidR="7D52A5B7" w:rsidRPr="00FD02F8">
              <w:rPr>
                <w:noProof/>
              </w:rPr>
              <w:instrText>PAGEREF _Toc1156487655 \h</w:instrText>
            </w:r>
            <w:r w:rsidR="7D52A5B7" w:rsidRPr="00FD02F8">
              <w:rPr>
                <w:noProof/>
              </w:rPr>
            </w:r>
            <w:r w:rsidR="7D52A5B7" w:rsidRPr="00FD02F8">
              <w:rPr>
                <w:noProof/>
              </w:rPr>
              <w:fldChar w:fldCharType="separate"/>
            </w:r>
            <w:r w:rsidR="001E42B1">
              <w:rPr>
                <w:noProof/>
              </w:rPr>
              <w:t>2</w:t>
            </w:r>
            <w:r w:rsidR="7D52A5B7" w:rsidRPr="00FD02F8">
              <w:rPr>
                <w:noProof/>
              </w:rPr>
              <w:fldChar w:fldCharType="end"/>
            </w:r>
          </w:hyperlink>
        </w:p>
        <w:p w14:paraId="5AF9146A" w14:textId="2A705709" w:rsidR="006B68C3" w:rsidRPr="00FD02F8" w:rsidRDefault="68A9B764" w:rsidP="7D52A5B7">
          <w:pPr>
            <w:pStyle w:val="TOC2"/>
            <w:tabs>
              <w:tab w:val="right" w:leader="dot" w:pos="9720"/>
            </w:tabs>
            <w:rPr>
              <w:rStyle w:val="Hyperlink"/>
              <w:noProof/>
              <w:kern w:val="2"/>
              <w:lang w:eastAsia="en-GB"/>
              <w14:ligatures w14:val="standardContextual"/>
            </w:rPr>
          </w:pPr>
          <w:hyperlink w:anchor="_Toc908176002">
            <w:r w:rsidRPr="00FD02F8">
              <w:rPr>
                <w:rStyle w:val="Hyperlink"/>
                <w:noProof/>
              </w:rPr>
              <w:t>Key highlights</w:t>
            </w:r>
            <w:r w:rsidR="7D52A5B7" w:rsidRPr="00FD02F8">
              <w:rPr>
                <w:noProof/>
              </w:rPr>
              <w:tab/>
            </w:r>
            <w:r w:rsidR="7D52A5B7" w:rsidRPr="00FD02F8">
              <w:rPr>
                <w:noProof/>
              </w:rPr>
              <w:fldChar w:fldCharType="begin"/>
            </w:r>
            <w:r w:rsidR="7D52A5B7" w:rsidRPr="00FD02F8">
              <w:rPr>
                <w:noProof/>
              </w:rPr>
              <w:instrText>PAGEREF _Toc908176002 \h</w:instrText>
            </w:r>
            <w:r w:rsidR="7D52A5B7" w:rsidRPr="00FD02F8">
              <w:rPr>
                <w:noProof/>
              </w:rPr>
            </w:r>
            <w:r w:rsidR="7D52A5B7" w:rsidRPr="00FD02F8">
              <w:rPr>
                <w:noProof/>
              </w:rPr>
              <w:fldChar w:fldCharType="separate"/>
            </w:r>
            <w:r w:rsidR="001E42B1">
              <w:rPr>
                <w:noProof/>
              </w:rPr>
              <w:t>2</w:t>
            </w:r>
            <w:r w:rsidR="7D52A5B7" w:rsidRPr="00FD02F8">
              <w:rPr>
                <w:noProof/>
              </w:rPr>
              <w:fldChar w:fldCharType="end"/>
            </w:r>
          </w:hyperlink>
        </w:p>
        <w:p w14:paraId="20910A17" w14:textId="1DB922E8" w:rsidR="006B68C3" w:rsidRPr="00FD02F8" w:rsidRDefault="68A9B764" w:rsidP="7D52A5B7">
          <w:pPr>
            <w:pStyle w:val="TOC2"/>
            <w:tabs>
              <w:tab w:val="right" w:leader="dot" w:pos="9720"/>
            </w:tabs>
            <w:rPr>
              <w:rStyle w:val="Hyperlink"/>
              <w:noProof/>
              <w:kern w:val="2"/>
              <w:lang w:eastAsia="en-GB"/>
              <w14:ligatures w14:val="standardContextual"/>
            </w:rPr>
          </w:pPr>
          <w:hyperlink w:anchor="_Toc210206859">
            <w:r w:rsidRPr="00FD02F8">
              <w:rPr>
                <w:rStyle w:val="Hyperlink"/>
                <w:noProof/>
              </w:rPr>
              <w:t>Exceptions and recovery</w:t>
            </w:r>
            <w:r w:rsidR="7D52A5B7" w:rsidRPr="00FD02F8">
              <w:rPr>
                <w:noProof/>
              </w:rPr>
              <w:tab/>
            </w:r>
            <w:r w:rsidR="7D52A5B7" w:rsidRPr="00FD02F8">
              <w:rPr>
                <w:noProof/>
              </w:rPr>
              <w:fldChar w:fldCharType="begin"/>
            </w:r>
            <w:r w:rsidR="7D52A5B7" w:rsidRPr="00FD02F8">
              <w:rPr>
                <w:noProof/>
              </w:rPr>
              <w:instrText>PAGEREF _Toc210206859 \h</w:instrText>
            </w:r>
            <w:r w:rsidR="7D52A5B7" w:rsidRPr="00FD02F8">
              <w:rPr>
                <w:noProof/>
              </w:rPr>
            </w:r>
            <w:r w:rsidR="7D52A5B7" w:rsidRPr="00FD02F8">
              <w:rPr>
                <w:noProof/>
              </w:rPr>
              <w:fldChar w:fldCharType="separate"/>
            </w:r>
            <w:r w:rsidR="001E42B1">
              <w:rPr>
                <w:noProof/>
              </w:rPr>
              <w:t>4</w:t>
            </w:r>
            <w:r w:rsidR="7D52A5B7" w:rsidRPr="00FD02F8">
              <w:rPr>
                <w:noProof/>
              </w:rPr>
              <w:fldChar w:fldCharType="end"/>
            </w:r>
          </w:hyperlink>
        </w:p>
        <w:p w14:paraId="2BE452D9" w14:textId="65AA569E" w:rsidR="7D52A5B7" w:rsidRPr="00FD02F8" w:rsidRDefault="68A9B764" w:rsidP="7D52A5B7">
          <w:pPr>
            <w:pStyle w:val="TOC1"/>
            <w:tabs>
              <w:tab w:val="right" w:leader="dot" w:pos="9720"/>
            </w:tabs>
            <w:rPr>
              <w:rStyle w:val="Hyperlink"/>
              <w:noProof/>
            </w:rPr>
          </w:pPr>
          <w:hyperlink w:anchor="_Toc1401122898">
            <w:r w:rsidRPr="00FD02F8">
              <w:rPr>
                <w:rStyle w:val="Hyperlink"/>
                <w:noProof/>
              </w:rPr>
              <w:t>2. Performance Summary</w:t>
            </w:r>
            <w:r w:rsidR="7D52A5B7" w:rsidRPr="00FD02F8">
              <w:rPr>
                <w:noProof/>
              </w:rPr>
              <w:tab/>
            </w:r>
            <w:r w:rsidR="7D52A5B7" w:rsidRPr="00FD02F8">
              <w:rPr>
                <w:noProof/>
              </w:rPr>
              <w:fldChar w:fldCharType="begin"/>
            </w:r>
            <w:r w:rsidR="7D52A5B7" w:rsidRPr="00FD02F8">
              <w:rPr>
                <w:noProof/>
              </w:rPr>
              <w:instrText>PAGEREF _Toc1401122898 \h</w:instrText>
            </w:r>
            <w:r w:rsidR="7D52A5B7" w:rsidRPr="00FD02F8">
              <w:rPr>
                <w:noProof/>
              </w:rPr>
            </w:r>
            <w:r w:rsidR="7D52A5B7" w:rsidRPr="00FD02F8">
              <w:rPr>
                <w:noProof/>
              </w:rPr>
              <w:fldChar w:fldCharType="separate"/>
            </w:r>
            <w:r w:rsidR="001E42B1">
              <w:rPr>
                <w:noProof/>
              </w:rPr>
              <w:t>7</w:t>
            </w:r>
            <w:r w:rsidR="7D52A5B7" w:rsidRPr="00FD02F8">
              <w:rPr>
                <w:noProof/>
              </w:rPr>
              <w:fldChar w:fldCharType="end"/>
            </w:r>
          </w:hyperlink>
        </w:p>
        <w:p w14:paraId="27FEDFDB" w14:textId="1F94AE7A" w:rsidR="7D52A5B7" w:rsidRPr="00FD02F8" w:rsidRDefault="68A9B764" w:rsidP="7D52A5B7">
          <w:pPr>
            <w:pStyle w:val="TOC2"/>
            <w:tabs>
              <w:tab w:val="right" w:leader="dot" w:pos="9720"/>
            </w:tabs>
            <w:rPr>
              <w:rStyle w:val="Hyperlink"/>
              <w:noProof/>
            </w:rPr>
          </w:pPr>
          <w:hyperlink w:anchor="_Toc527849685">
            <w:r w:rsidRPr="00FD02F8">
              <w:rPr>
                <w:rStyle w:val="Hyperlink"/>
                <w:noProof/>
              </w:rPr>
              <w:t>2.1 Annual Objectives and Key Results (OKRs) – Progress and exception summary</w:t>
            </w:r>
            <w:r w:rsidR="7D52A5B7" w:rsidRPr="00FD02F8">
              <w:rPr>
                <w:noProof/>
              </w:rPr>
              <w:tab/>
            </w:r>
            <w:r w:rsidR="7D52A5B7" w:rsidRPr="00FD02F8">
              <w:rPr>
                <w:noProof/>
              </w:rPr>
              <w:fldChar w:fldCharType="begin"/>
            </w:r>
            <w:r w:rsidR="7D52A5B7" w:rsidRPr="00FD02F8">
              <w:rPr>
                <w:noProof/>
              </w:rPr>
              <w:instrText>PAGEREF _Toc527849685 \h</w:instrText>
            </w:r>
            <w:r w:rsidR="7D52A5B7" w:rsidRPr="00FD02F8">
              <w:rPr>
                <w:noProof/>
              </w:rPr>
            </w:r>
            <w:r w:rsidR="7D52A5B7" w:rsidRPr="00FD02F8">
              <w:rPr>
                <w:noProof/>
              </w:rPr>
              <w:fldChar w:fldCharType="separate"/>
            </w:r>
            <w:r w:rsidR="001E42B1">
              <w:rPr>
                <w:noProof/>
              </w:rPr>
              <w:t>8</w:t>
            </w:r>
            <w:r w:rsidR="7D52A5B7" w:rsidRPr="00FD02F8">
              <w:rPr>
                <w:noProof/>
              </w:rPr>
              <w:fldChar w:fldCharType="end"/>
            </w:r>
          </w:hyperlink>
        </w:p>
        <w:p w14:paraId="1C872111" w14:textId="5463A8E1" w:rsidR="7D52A5B7" w:rsidRPr="00FD02F8" w:rsidRDefault="68A9B764" w:rsidP="7D52A5B7">
          <w:pPr>
            <w:pStyle w:val="TOC2"/>
            <w:tabs>
              <w:tab w:val="right" w:leader="dot" w:pos="9720"/>
            </w:tabs>
            <w:rPr>
              <w:rStyle w:val="Hyperlink"/>
              <w:noProof/>
            </w:rPr>
          </w:pPr>
          <w:hyperlink w:anchor="_Toc1560554380">
            <w:r w:rsidRPr="00FD02F8">
              <w:rPr>
                <w:rStyle w:val="Hyperlink"/>
                <w:noProof/>
              </w:rPr>
              <w:t>2.2 Key strategic and operational performance indicators – Progress and exception summary</w:t>
            </w:r>
            <w:r w:rsidR="7D52A5B7" w:rsidRPr="00FD02F8">
              <w:rPr>
                <w:noProof/>
              </w:rPr>
              <w:tab/>
            </w:r>
            <w:r w:rsidR="7D52A5B7" w:rsidRPr="00FD02F8">
              <w:rPr>
                <w:noProof/>
              </w:rPr>
              <w:fldChar w:fldCharType="begin"/>
            </w:r>
            <w:r w:rsidR="7D52A5B7" w:rsidRPr="00FD02F8">
              <w:rPr>
                <w:noProof/>
              </w:rPr>
              <w:instrText>PAGEREF _Toc1560554380 \h</w:instrText>
            </w:r>
            <w:r w:rsidR="7D52A5B7" w:rsidRPr="00FD02F8">
              <w:rPr>
                <w:noProof/>
              </w:rPr>
            </w:r>
            <w:r w:rsidR="7D52A5B7" w:rsidRPr="00FD02F8">
              <w:rPr>
                <w:noProof/>
              </w:rPr>
              <w:fldChar w:fldCharType="separate"/>
            </w:r>
            <w:r w:rsidR="001E42B1">
              <w:rPr>
                <w:noProof/>
              </w:rPr>
              <w:t>12</w:t>
            </w:r>
            <w:r w:rsidR="7D52A5B7" w:rsidRPr="00FD02F8">
              <w:rPr>
                <w:noProof/>
              </w:rPr>
              <w:fldChar w:fldCharType="end"/>
            </w:r>
          </w:hyperlink>
        </w:p>
        <w:p w14:paraId="214F01F8" w14:textId="7E76205F" w:rsidR="7D52A5B7" w:rsidRPr="00FD02F8" w:rsidRDefault="68A9B764" w:rsidP="7D52A5B7">
          <w:pPr>
            <w:pStyle w:val="TOC1"/>
            <w:tabs>
              <w:tab w:val="left" w:pos="480"/>
              <w:tab w:val="right" w:leader="dot" w:pos="9720"/>
            </w:tabs>
            <w:rPr>
              <w:rStyle w:val="Hyperlink"/>
              <w:noProof/>
            </w:rPr>
          </w:pPr>
          <w:hyperlink w:anchor="_Toc1341224549">
            <w:r w:rsidRPr="00FD02F8">
              <w:rPr>
                <w:rStyle w:val="Hyperlink"/>
                <w:noProof/>
              </w:rPr>
              <w:t>3.</w:t>
            </w:r>
            <w:r w:rsidR="7D52A5B7" w:rsidRPr="00FD02F8">
              <w:rPr>
                <w:noProof/>
              </w:rPr>
              <w:tab/>
            </w:r>
            <w:r w:rsidRPr="00FD02F8">
              <w:rPr>
                <w:rStyle w:val="Hyperlink"/>
                <w:noProof/>
              </w:rPr>
              <w:t>Performance Updates</w:t>
            </w:r>
            <w:r w:rsidR="7D52A5B7" w:rsidRPr="00FD02F8">
              <w:rPr>
                <w:noProof/>
              </w:rPr>
              <w:tab/>
            </w:r>
            <w:r w:rsidR="7D52A5B7" w:rsidRPr="00FD02F8">
              <w:rPr>
                <w:noProof/>
              </w:rPr>
              <w:fldChar w:fldCharType="begin"/>
            </w:r>
            <w:r w:rsidR="7D52A5B7" w:rsidRPr="00FD02F8">
              <w:rPr>
                <w:noProof/>
              </w:rPr>
              <w:instrText>PAGEREF _Toc1341224549 \h</w:instrText>
            </w:r>
            <w:r w:rsidR="7D52A5B7" w:rsidRPr="00FD02F8">
              <w:rPr>
                <w:noProof/>
              </w:rPr>
            </w:r>
            <w:r w:rsidR="7D52A5B7" w:rsidRPr="00FD02F8">
              <w:rPr>
                <w:noProof/>
              </w:rPr>
              <w:fldChar w:fldCharType="separate"/>
            </w:r>
            <w:r w:rsidR="001E42B1">
              <w:rPr>
                <w:noProof/>
              </w:rPr>
              <w:t>20</w:t>
            </w:r>
            <w:r w:rsidR="7D52A5B7" w:rsidRPr="00FD02F8">
              <w:rPr>
                <w:noProof/>
              </w:rPr>
              <w:fldChar w:fldCharType="end"/>
            </w:r>
          </w:hyperlink>
        </w:p>
        <w:p w14:paraId="3219D4B1" w14:textId="11F6D969" w:rsidR="7D52A5B7" w:rsidRPr="00FD02F8" w:rsidRDefault="68A9B764" w:rsidP="7D52A5B7">
          <w:pPr>
            <w:pStyle w:val="TOC2"/>
            <w:tabs>
              <w:tab w:val="right" w:leader="dot" w:pos="9720"/>
            </w:tabs>
            <w:rPr>
              <w:rStyle w:val="Hyperlink"/>
              <w:noProof/>
            </w:rPr>
          </w:pPr>
          <w:hyperlink w:anchor="_Toc1154151876">
            <w:r w:rsidRPr="00FD02F8">
              <w:rPr>
                <w:rStyle w:val="Hyperlink"/>
                <w:noProof/>
              </w:rPr>
              <w:t>Net Zero</w:t>
            </w:r>
            <w:r w:rsidR="7D52A5B7" w:rsidRPr="00FD02F8">
              <w:rPr>
                <w:noProof/>
              </w:rPr>
              <w:tab/>
            </w:r>
            <w:r w:rsidR="7D52A5B7" w:rsidRPr="00FD02F8">
              <w:rPr>
                <w:noProof/>
              </w:rPr>
              <w:fldChar w:fldCharType="begin"/>
            </w:r>
            <w:r w:rsidR="7D52A5B7" w:rsidRPr="00FD02F8">
              <w:rPr>
                <w:noProof/>
              </w:rPr>
              <w:instrText>PAGEREF _Toc1154151876 \h</w:instrText>
            </w:r>
            <w:r w:rsidR="7D52A5B7" w:rsidRPr="00FD02F8">
              <w:rPr>
                <w:noProof/>
              </w:rPr>
            </w:r>
            <w:r w:rsidR="7D52A5B7" w:rsidRPr="00FD02F8">
              <w:rPr>
                <w:noProof/>
              </w:rPr>
              <w:fldChar w:fldCharType="separate"/>
            </w:r>
            <w:r w:rsidR="001E42B1">
              <w:rPr>
                <w:noProof/>
              </w:rPr>
              <w:t>20</w:t>
            </w:r>
            <w:r w:rsidR="7D52A5B7" w:rsidRPr="00FD02F8">
              <w:rPr>
                <w:noProof/>
              </w:rPr>
              <w:fldChar w:fldCharType="end"/>
            </w:r>
          </w:hyperlink>
        </w:p>
        <w:p w14:paraId="74BC1D00" w14:textId="20BB0A02" w:rsidR="7D52A5B7" w:rsidRPr="00FD02F8" w:rsidRDefault="68A9B764" w:rsidP="7D52A5B7">
          <w:pPr>
            <w:pStyle w:val="TOC2"/>
            <w:tabs>
              <w:tab w:val="right" w:leader="dot" w:pos="9720"/>
            </w:tabs>
            <w:rPr>
              <w:rStyle w:val="Hyperlink"/>
              <w:noProof/>
            </w:rPr>
          </w:pPr>
          <w:hyperlink w:anchor="_Toc1036290901">
            <w:r w:rsidRPr="00FD02F8">
              <w:rPr>
                <w:rStyle w:val="Hyperlink"/>
                <w:noProof/>
              </w:rPr>
              <w:t>Climate Resilience</w:t>
            </w:r>
            <w:r w:rsidR="7D52A5B7" w:rsidRPr="00FD02F8">
              <w:rPr>
                <w:noProof/>
              </w:rPr>
              <w:tab/>
            </w:r>
            <w:r w:rsidR="7D52A5B7" w:rsidRPr="00FD02F8">
              <w:rPr>
                <w:noProof/>
              </w:rPr>
              <w:fldChar w:fldCharType="begin"/>
            </w:r>
            <w:r w:rsidR="7D52A5B7" w:rsidRPr="00FD02F8">
              <w:rPr>
                <w:noProof/>
              </w:rPr>
              <w:instrText>PAGEREF _Toc1036290901 \h</w:instrText>
            </w:r>
            <w:r w:rsidR="7D52A5B7" w:rsidRPr="00FD02F8">
              <w:rPr>
                <w:noProof/>
              </w:rPr>
            </w:r>
            <w:r w:rsidR="7D52A5B7" w:rsidRPr="00FD02F8">
              <w:rPr>
                <w:noProof/>
              </w:rPr>
              <w:fldChar w:fldCharType="separate"/>
            </w:r>
            <w:r w:rsidR="001E42B1">
              <w:rPr>
                <w:noProof/>
              </w:rPr>
              <w:t>27</w:t>
            </w:r>
            <w:r w:rsidR="7D52A5B7" w:rsidRPr="00FD02F8">
              <w:rPr>
                <w:noProof/>
              </w:rPr>
              <w:fldChar w:fldCharType="end"/>
            </w:r>
          </w:hyperlink>
        </w:p>
        <w:p w14:paraId="637C25DA" w14:textId="529CBCFA" w:rsidR="7D52A5B7" w:rsidRPr="00FD02F8" w:rsidRDefault="68A9B764" w:rsidP="7D52A5B7">
          <w:pPr>
            <w:pStyle w:val="TOC2"/>
            <w:tabs>
              <w:tab w:val="right" w:leader="dot" w:pos="9720"/>
            </w:tabs>
            <w:rPr>
              <w:rStyle w:val="Hyperlink"/>
              <w:noProof/>
            </w:rPr>
          </w:pPr>
          <w:hyperlink w:anchor="_Toc306910089">
            <w:r w:rsidRPr="00FD02F8">
              <w:rPr>
                <w:rStyle w:val="Hyperlink"/>
                <w:noProof/>
              </w:rPr>
              <w:t>Water Environment</w:t>
            </w:r>
            <w:r w:rsidR="7D52A5B7" w:rsidRPr="00FD02F8">
              <w:rPr>
                <w:noProof/>
              </w:rPr>
              <w:tab/>
            </w:r>
            <w:r w:rsidR="7D52A5B7" w:rsidRPr="00FD02F8">
              <w:rPr>
                <w:noProof/>
              </w:rPr>
              <w:fldChar w:fldCharType="begin"/>
            </w:r>
            <w:r w:rsidR="7D52A5B7" w:rsidRPr="00FD02F8">
              <w:rPr>
                <w:noProof/>
              </w:rPr>
              <w:instrText>PAGEREF _Toc306910089 \h</w:instrText>
            </w:r>
            <w:r w:rsidR="7D52A5B7" w:rsidRPr="00FD02F8">
              <w:rPr>
                <w:noProof/>
              </w:rPr>
            </w:r>
            <w:r w:rsidR="7D52A5B7" w:rsidRPr="00FD02F8">
              <w:rPr>
                <w:noProof/>
              </w:rPr>
              <w:fldChar w:fldCharType="separate"/>
            </w:r>
            <w:r w:rsidR="001E42B1">
              <w:rPr>
                <w:noProof/>
              </w:rPr>
              <w:t>34</w:t>
            </w:r>
            <w:r w:rsidR="7D52A5B7" w:rsidRPr="00FD02F8">
              <w:rPr>
                <w:noProof/>
              </w:rPr>
              <w:fldChar w:fldCharType="end"/>
            </w:r>
          </w:hyperlink>
        </w:p>
        <w:p w14:paraId="4EF71556" w14:textId="2161EBFE" w:rsidR="7D52A5B7" w:rsidRPr="00FD02F8" w:rsidRDefault="68A9B764" w:rsidP="7D52A5B7">
          <w:pPr>
            <w:pStyle w:val="TOC2"/>
            <w:tabs>
              <w:tab w:val="right" w:leader="dot" w:pos="9720"/>
            </w:tabs>
            <w:rPr>
              <w:rStyle w:val="Hyperlink"/>
              <w:noProof/>
            </w:rPr>
          </w:pPr>
          <w:hyperlink w:anchor="_Toc283097001">
            <w:r w:rsidRPr="00FD02F8">
              <w:rPr>
                <w:rStyle w:val="Hyperlink"/>
                <w:noProof/>
              </w:rPr>
              <w:t>Resource Efficiency</w:t>
            </w:r>
            <w:r w:rsidR="7D52A5B7" w:rsidRPr="00FD02F8">
              <w:rPr>
                <w:noProof/>
              </w:rPr>
              <w:tab/>
            </w:r>
            <w:r w:rsidR="7D52A5B7" w:rsidRPr="00FD02F8">
              <w:rPr>
                <w:noProof/>
              </w:rPr>
              <w:fldChar w:fldCharType="begin"/>
            </w:r>
            <w:r w:rsidR="7D52A5B7" w:rsidRPr="00FD02F8">
              <w:rPr>
                <w:noProof/>
              </w:rPr>
              <w:instrText>PAGEREF _Toc283097001 \h</w:instrText>
            </w:r>
            <w:r w:rsidR="7D52A5B7" w:rsidRPr="00FD02F8">
              <w:rPr>
                <w:noProof/>
              </w:rPr>
            </w:r>
            <w:r w:rsidR="7D52A5B7" w:rsidRPr="00FD02F8">
              <w:rPr>
                <w:noProof/>
              </w:rPr>
              <w:fldChar w:fldCharType="separate"/>
            </w:r>
            <w:r w:rsidR="001E42B1">
              <w:rPr>
                <w:noProof/>
              </w:rPr>
              <w:t>40</w:t>
            </w:r>
            <w:r w:rsidR="7D52A5B7" w:rsidRPr="00FD02F8">
              <w:rPr>
                <w:noProof/>
              </w:rPr>
              <w:fldChar w:fldCharType="end"/>
            </w:r>
          </w:hyperlink>
        </w:p>
        <w:p w14:paraId="414C3C05" w14:textId="6EBBD9F5" w:rsidR="7D52A5B7" w:rsidRPr="00FD02F8" w:rsidRDefault="68A9B764" w:rsidP="7D52A5B7">
          <w:pPr>
            <w:pStyle w:val="TOC2"/>
            <w:tabs>
              <w:tab w:val="right" w:leader="dot" w:pos="9720"/>
            </w:tabs>
            <w:rPr>
              <w:rStyle w:val="Hyperlink"/>
              <w:noProof/>
            </w:rPr>
          </w:pPr>
          <w:hyperlink w:anchor="_Toc2094063106">
            <w:r w:rsidRPr="00FD02F8">
              <w:rPr>
                <w:rStyle w:val="Hyperlink"/>
                <w:noProof/>
              </w:rPr>
              <w:t>Business Environmental Performance</w:t>
            </w:r>
            <w:r w:rsidR="7D52A5B7" w:rsidRPr="00FD02F8">
              <w:rPr>
                <w:noProof/>
              </w:rPr>
              <w:tab/>
            </w:r>
            <w:r w:rsidR="7D52A5B7" w:rsidRPr="00FD02F8">
              <w:rPr>
                <w:noProof/>
              </w:rPr>
              <w:fldChar w:fldCharType="begin"/>
            </w:r>
            <w:r w:rsidR="7D52A5B7" w:rsidRPr="00FD02F8">
              <w:rPr>
                <w:noProof/>
              </w:rPr>
              <w:instrText>PAGEREF _Toc2094063106 \h</w:instrText>
            </w:r>
            <w:r w:rsidR="7D52A5B7" w:rsidRPr="00FD02F8">
              <w:rPr>
                <w:noProof/>
              </w:rPr>
            </w:r>
            <w:r w:rsidR="7D52A5B7" w:rsidRPr="00FD02F8">
              <w:rPr>
                <w:noProof/>
              </w:rPr>
              <w:fldChar w:fldCharType="separate"/>
            </w:r>
            <w:r w:rsidR="001E42B1">
              <w:rPr>
                <w:noProof/>
              </w:rPr>
              <w:t>43</w:t>
            </w:r>
            <w:r w:rsidR="7D52A5B7" w:rsidRPr="00FD02F8">
              <w:rPr>
                <w:noProof/>
              </w:rPr>
              <w:fldChar w:fldCharType="end"/>
            </w:r>
          </w:hyperlink>
        </w:p>
        <w:p w14:paraId="53E4D530" w14:textId="6D1B21B4" w:rsidR="7D52A5B7" w:rsidRPr="00FD02F8" w:rsidRDefault="68A9B764" w:rsidP="7D52A5B7">
          <w:pPr>
            <w:pStyle w:val="TOC2"/>
            <w:tabs>
              <w:tab w:val="right" w:leader="dot" w:pos="9720"/>
            </w:tabs>
            <w:rPr>
              <w:rStyle w:val="Hyperlink"/>
            </w:rPr>
          </w:pPr>
          <w:hyperlink w:anchor="_Toc245403216">
            <w:r w:rsidRPr="00FD02F8">
              <w:rPr>
                <w:rStyle w:val="Hyperlink"/>
                <w:noProof/>
              </w:rPr>
              <w:t>Our Organisation</w:t>
            </w:r>
            <w:r w:rsidR="7D52A5B7" w:rsidRPr="00FD02F8">
              <w:rPr>
                <w:noProof/>
              </w:rPr>
              <w:tab/>
            </w:r>
            <w:r w:rsidR="7D52A5B7" w:rsidRPr="00FD02F8">
              <w:rPr>
                <w:noProof/>
              </w:rPr>
              <w:fldChar w:fldCharType="begin"/>
            </w:r>
            <w:r w:rsidR="7D52A5B7" w:rsidRPr="00FD02F8">
              <w:rPr>
                <w:noProof/>
              </w:rPr>
              <w:instrText>PAGEREF _Toc245403216 \h</w:instrText>
            </w:r>
            <w:r w:rsidR="7D52A5B7" w:rsidRPr="00FD02F8">
              <w:rPr>
                <w:noProof/>
              </w:rPr>
            </w:r>
            <w:r w:rsidR="7D52A5B7" w:rsidRPr="00FD02F8">
              <w:rPr>
                <w:noProof/>
              </w:rPr>
              <w:fldChar w:fldCharType="separate"/>
            </w:r>
            <w:r w:rsidR="001E42B1">
              <w:rPr>
                <w:noProof/>
              </w:rPr>
              <w:t>51</w:t>
            </w:r>
            <w:r w:rsidR="7D52A5B7" w:rsidRPr="00FD02F8">
              <w:rPr>
                <w:noProof/>
              </w:rPr>
              <w:fldChar w:fldCharType="end"/>
            </w:r>
          </w:hyperlink>
          <w:r w:rsidR="7D52A5B7" w:rsidRPr="00FD02F8">
            <w:fldChar w:fldCharType="end"/>
          </w:r>
        </w:p>
      </w:sdtContent>
    </w:sdt>
    <w:p w14:paraId="48E6E3DE" w14:textId="65C1F8F5" w:rsidR="00FA6A88" w:rsidRPr="00FD02F8" w:rsidRDefault="00FA6A88" w:rsidP="00EA08B1">
      <w:pPr>
        <w:pStyle w:val="TOC1"/>
        <w:tabs>
          <w:tab w:val="left" w:pos="720"/>
          <w:tab w:val="right" w:leader="dot" w:pos="9730"/>
        </w:tabs>
        <w:rPr>
          <w:kern w:val="2"/>
          <w:lang w:eastAsia="en-GB"/>
          <w14:ligatures w14:val="standardContextual"/>
        </w:rPr>
      </w:pPr>
    </w:p>
    <w:p w14:paraId="2057611A" w14:textId="77777777" w:rsidR="000C6036" w:rsidRPr="00FD02F8" w:rsidRDefault="000C6036" w:rsidP="004222B2">
      <w:pPr>
        <w:spacing w:line="240" w:lineRule="auto"/>
      </w:pPr>
    </w:p>
    <w:p w14:paraId="1969C7D8" w14:textId="77777777" w:rsidR="00613850" w:rsidRPr="00FD02F8" w:rsidRDefault="00613850" w:rsidP="004222B2">
      <w:pPr>
        <w:spacing w:line="240" w:lineRule="auto"/>
        <w:rPr>
          <w:color w:val="6E7571" w:themeColor="text2"/>
        </w:rPr>
      </w:pPr>
    </w:p>
    <w:p w14:paraId="2FA4265F" w14:textId="77777777" w:rsidR="00613850" w:rsidRPr="00FD02F8" w:rsidRDefault="00613850" w:rsidP="004222B2">
      <w:pPr>
        <w:spacing w:line="240" w:lineRule="auto"/>
        <w:rPr>
          <w:color w:val="6E7571" w:themeColor="text2"/>
        </w:rPr>
      </w:pPr>
    </w:p>
    <w:p w14:paraId="789293C1" w14:textId="77777777" w:rsidR="000C4C55" w:rsidRPr="00FD02F8" w:rsidRDefault="000C4C55" w:rsidP="004222B2">
      <w:pPr>
        <w:spacing w:line="240" w:lineRule="auto"/>
        <w:rPr>
          <w:color w:val="6E7571" w:themeColor="text2"/>
        </w:rPr>
      </w:pPr>
    </w:p>
    <w:p w14:paraId="42092FF6" w14:textId="77777777" w:rsidR="000C4C55" w:rsidRPr="00FD02F8" w:rsidRDefault="000C4C55" w:rsidP="004222B2">
      <w:pPr>
        <w:spacing w:line="240" w:lineRule="auto"/>
        <w:rPr>
          <w:color w:val="6E7571" w:themeColor="text2"/>
        </w:rPr>
      </w:pPr>
    </w:p>
    <w:p w14:paraId="100EBB3B" w14:textId="77777777" w:rsidR="000C4C55" w:rsidRPr="00FD02F8" w:rsidRDefault="000C4C55" w:rsidP="004222B2">
      <w:pPr>
        <w:spacing w:line="240" w:lineRule="auto"/>
        <w:rPr>
          <w:color w:val="6E7571" w:themeColor="text2"/>
        </w:rPr>
      </w:pPr>
    </w:p>
    <w:p w14:paraId="0F16D569" w14:textId="77777777" w:rsidR="00EA08B1" w:rsidRPr="00FD02F8" w:rsidRDefault="00EA08B1" w:rsidP="004222B2">
      <w:pPr>
        <w:spacing w:line="240" w:lineRule="auto"/>
        <w:rPr>
          <w:color w:val="6E7571" w:themeColor="text2"/>
        </w:rPr>
      </w:pPr>
    </w:p>
    <w:p w14:paraId="4AD9842D" w14:textId="77777777" w:rsidR="00EA08B1" w:rsidRPr="00FD02F8" w:rsidRDefault="00EA08B1" w:rsidP="004222B2">
      <w:pPr>
        <w:spacing w:line="240" w:lineRule="auto"/>
        <w:rPr>
          <w:color w:val="6E7571" w:themeColor="text2"/>
        </w:rPr>
      </w:pPr>
    </w:p>
    <w:p w14:paraId="663BBE29" w14:textId="77777777" w:rsidR="00EA08B1" w:rsidRPr="00FD02F8" w:rsidRDefault="00EA08B1" w:rsidP="004222B2">
      <w:pPr>
        <w:spacing w:line="240" w:lineRule="auto"/>
        <w:rPr>
          <w:color w:val="6E7571" w:themeColor="text2"/>
        </w:rPr>
      </w:pPr>
    </w:p>
    <w:p w14:paraId="66CBBCA1" w14:textId="77777777" w:rsidR="00EA08B1" w:rsidRPr="00FD02F8" w:rsidRDefault="00EA08B1" w:rsidP="004222B2">
      <w:pPr>
        <w:spacing w:line="240" w:lineRule="auto"/>
        <w:rPr>
          <w:color w:val="6E7571" w:themeColor="text2"/>
        </w:rPr>
      </w:pPr>
    </w:p>
    <w:p w14:paraId="59EAE4BA" w14:textId="77777777" w:rsidR="00EA08B1" w:rsidRPr="00FD02F8" w:rsidRDefault="00EA08B1" w:rsidP="004222B2">
      <w:pPr>
        <w:spacing w:line="240" w:lineRule="auto"/>
        <w:rPr>
          <w:color w:val="6E7571" w:themeColor="text2"/>
        </w:rPr>
      </w:pPr>
    </w:p>
    <w:p w14:paraId="26EA869E" w14:textId="77777777" w:rsidR="00EA08B1" w:rsidRPr="00FD02F8" w:rsidRDefault="00EA08B1" w:rsidP="004222B2">
      <w:pPr>
        <w:spacing w:line="240" w:lineRule="auto"/>
        <w:rPr>
          <w:color w:val="6E7571" w:themeColor="text2"/>
        </w:rPr>
      </w:pPr>
    </w:p>
    <w:p w14:paraId="0C180925" w14:textId="77777777" w:rsidR="00EA08B1" w:rsidRPr="00FD02F8" w:rsidRDefault="00EA08B1" w:rsidP="004222B2">
      <w:pPr>
        <w:spacing w:line="240" w:lineRule="auto"/>
        <w:rPr>
          <w:color w:val="6E7571" w:themeColor="text2"/>
        </w:rPr>
      </w:pPr>
    </w:p>
    <w:p w14:paraId="193E0EEB" w14:textId="77777777" w:rsidR="00EA08B1" w:rsidRPr="00FD02F8" w:rsidRDefault="00EA08B1" w:rsidP="004222B2">
      <w:pPr>
        <w:spacing w:line="240" w:lineRule="auto"/>
        <w:rPr>
          <w:color w:val="6E7571" w:themeColor="text2"/>
        </w:rPr>
      </w:pPr>
    </w:p>
    <w:p w14:paraId="077B10E0" w14:textId="77777777" w:rsidR="00EA08B1" w:rsidRPr="00FD02F8" w:rsidRDefault="00EA08B1" w:rsidP="004222B2">
      <w:pPr>
        <w:spacing w:line="240" w:lineRule="auto"/>
        <w:rPr>
          <w:color w:val="6E7571" w:themeColor="text2"/>
        </w:rPr>
      </w:pPr>
    </w:p>
    <w:p w14:paraId="304BB048" w14:textId="77777777" w:rsidR="00EA08B1" w:rsidRPr="00FD02F8" w:rsidRDefault="00EA08B1" w:rsidP="00EA08B1">
      <w:pPr>
        <w:pStyle w:val="BodyText1"/>
        <w:spacing w:line="240" w:lineRule="auto"/>
        <w:rPr>
          <w:rStyle w:val="Hyperlink"/>
          <w:rFonts w:ascii="Arial" w:hAnsi="Arial" w:cs="Arial"/>
          <w:color w:val="016574"/>
          <w:u w:val="none"/>
        </w:rPr>
      </w:pPr>
      <w:r w:rsidRPr="00FD02F8">
        <w:rPr>
          <w:rFonts w:ascii="Arial" w:hAnsi="Arial" w:cs="Arial"/>
          <w:sz w:val="32"/>
          <w:szCs w:val="32"/>
        </w:rPr>
        <w:t xml:space="preserve">If you would like this document in an accessible format, such as large print, audio recording or braille, please contact SEPA by emailing: </w:t>
      </w:r>
      <w:hyperlink r:id="rId13" w:history="1">
        <w:r w:rsidRPr="00FD02F8">
          <w:rPr>
            <w:rStyle w:val="Hyperlink"/>
            <w:rFonts w:ascii="Arial" w:hAnsi="Arial" w:cs="Arial"/>
            <w:color w:val="016574"/>
            <w:sz w:val="32"/>
            <w:szCs w:val="32"/>
          </w:rPr>
          <w:t>equalities@sepa.org.uk</w:t>
        </w:r>
      </w:hyperlink>
    </w:p>
    <w:p w14:paraId="374D95D2" w14:textId="06C90F0A" w:rsidR="00180554" w:rsidRPr="00FD02F8" w:rsidRDefault="00FA7B5C" w:rsidP="000E7600">
      <w:pPr>
        <w:pStyle w:val="Heading1"/>
        <w:spacing w:after="240" w:line="240" w:lineRule="auto"/>
        <w:rPr>
          <w:sz w:val="48"/>
          <w:szCs w:val="48"/>
        </w:rPr>
      </w:pPr>
      <w:bookmarkStart w:id="7" w:name="_Toc1156487655"/>
      <w:r w:rsidRPr="00FD02F8">
        <w:rPr>
          <w:sz w:val="48"/>
          <w:szCs w:val="48"/>
        </w:rPr>
        <w:lastRenderedPageBreak/>
        <w:t xml:space="preserve">1. </w:t>
      </w:r>
      <w:r w:rsidRPr="00FD02F8">
        <w:tab/>
      </w:r>
      <w:r w:rsidR="00180554" w:rsidRPr="00FD02F8">
        <w:rPr>
          <w:sz w:val="48"/>
          <w:szCs w:val="48"/>
        </w:rPr>
        <w:t xml:space="preserve">Executive </w:t>
      </w:r>
      <w:r w:rsidR="00150CAA" w:rsidRPr="00FD02F8">
        <w:rPr>
          <w:sz w:val="48"/>
          <w:szCs w:val="48"/>
        </w:rPr>
        <w:t>S</w:t>
      </w:r>
      <w:r w:rsidR="00180554" w:rsidRPr="00FD02F8">
        <w:rPr>
          <w:sz w:val="48"/>
          <w:szCs w:val="48"/>
        </w:rPr>
        <w:t>ummary</w:t>
      </w:r>
      <w:bookmarkEnd w:id="7"/>
    </w:p>
    <w:p w14:paraId="7F02B9EB" w14:textId="218D7F27" w:rsidR="00654198" w:rsidRPr="00FD02F8" w:rsidRDefault="00DE25CA" w:rsidP="00FD02F8">
      <w:pPr>
        <w:pStyle w:val="BodyText1"/>
        <w:spacing w:after="240"/>
      </w:pPr>
      <w:r w:rsidRPr="00FD02F8">
        <w:t>This year</w:t>
      </w:r>
      <w:r w:rsidR="00AC3FAE" w:rsidRPr="00FD02F8">
        <w:t>’</w:t>
      </w:r>
      <w:r w:rsidRPr="00FD02F8">
        <w:t xml:space="preserve">s </w:t>
      </w:r>
      <w:hyperlink r:id="rId14" w:history="1">
        <w:r w:rsidR="00E35CEC" w:rsidRPr="00FD02F8">
          <w:rPr>
            <w:rStyle w:val="Hyperlink"/>
          </w:rPr>
          <w:t>Annual Operating Plan</w:t>
        </w:r>
      </w:hyperlink>
      <w:r w:rsidR="00E35CEC" w:rsidRPr="00FD02F8">
        <w:t xml:space="preserve"> </w:t>
      </w:r>
      <w:r w:rsidR="008C2DE5" w:rsidRPr="00FD02F8">
        <w:t xml:space="preserve">includes </w:t>
      </w:r>
      <w:r w:rsidR="00636238" w:rsidRPr="00FD02F8">
        <w:t xml:space="preserve">a suite of </w:t>
      </w:r>
      <w:r w:rsidR="00654198" w:rsidRPr="00FD02F8">
        <w:t>performance measures aligned to our corporate plan priorities</w:t>
      </w:r>
      <w:r w:rsidR="003E4F29" w:rsidRPr="00FD02F8">
        <w:t>. These</w:t>
      </w:r>
      <w:r w:rsidR="00A97E3C" w:rsidRPr="00FD02F8">
        <w:t xml:space="preserve"> aim to</w:t>
      </w:r>
      <w:r w:rsidR="00654198" w:rsidRPr="00FD02F8">
        <w:t xml:space="preserve"> measure how we are fulfilling our long-term mission of protecting Scotland’s environment and communities, as well as how we are performing as an organisation overall. </w:t>
      </w:r>
      <w:r w:rsidR="00A97E3C" w:rsidRPr="00FD02F8">
        <w:t>Our measures</w:t>
      </w:r>
      <w:r w:rsidR="00654198" w:rsidRPr="00FD02F8">
        <w:t xml:space="preserve"> include:</w:t>
      </w:r>
    </w:p>
    <w:p w14:paraId="57A1ECD9" w14:textId="0E412362" w:rsidR="00654198" w:rsidRPr="00FD02F8" w:rsidRDefault="00654198" w:rsidP="00FD02F8">
      <w:pPr>
        <w:pStyle w:val="BodyText1"/>
        <w:numPr>
          <w:ilvl w:val="0"/>
          <w:numId w:val="1"/>
        </w:numPr>
        <w:spacing w:after="240"/>
      </w:pPr>
      <w:r w:rsidRPr="00FD02F8">
        <w:t>Annual objectives and key results (OKRs) which set out our clear, short-term areas of focus for us to target ambitious, measurable change and impact.</w:t>
      </w:r>
    </w:p>
    <w:p w14:paraId="65424677" w14:textId="1BD76751" w:rsidR="00636238" w:rsidRPr="00FD02F8" w:rsidRDefault="00911D8F" w:rsidP="00FD02F8">
      <w:pPr>
        <w:pStyle w:val="BodyText1"/>
        <w:numPr>
          <w:ilvl w:val="0"/>
          <w:numId w:val="1"/>
        </w:numPr>
        <w:spacing w:after="240"/>
      </w:pPr>
      <w:r w:rsidRPr="00FD02F8">
        <w:t>S</w:t>
      </w:r>
      <w:r w:rsidR="00636238" w:rsidRPr="00FD02F8">
        <w:t>trategic and operational key performance indicators (KPIs)</w:t>
      </w:r>
      <w:r w:rsidR="00534AC2" w:rsidRPr="00FD02F8">
        <w:t xml:space="preserve"> which provide </w:t>
      </w:r>
      <w:r w:rsidR="00CB10FC" w:rsidRPr="00FD02F8">
        <w:t>a continuous view of our performance. </w:t>
      </w:r>
    </w:p>
    <w:p w14:paraId="3D09B9FC" w14:textId="16745727" w:rsidR="006B0AB5" w:rsidRPr="00FD02F8" w:rsidRDefault="008C2DE5" w:rsidP="00FD02F8">
      <w:pPr>
        <w:spacing w:before="160" w:after="240"/>
        <w:rPr>
          <w:rFonts w:ascii="Arial" w:hAnsi="Arial" w:cs="Arial"/>
        </w:rPr>
      </w:pPr>
      <w:r w:rsidRPr="00FD02F8">
        <w:t xml:space="preserve">Each quarter </w:t>
      </w:r>
      <w:r w:rsidR="0063584A" w:rsidRPr="00FD02F8">
        <w:t xml:space="preserve">we produce a report to </w:t>
      </w:r>
      <w:r w:rsidR="006B0AB5" w:rsidRPr="00FD02F8">
        <w:t xml:space="preserve">explain how we are progressing with </w:t>
      </w:r>
      <w:r w:rsidR="00534AC2" w:rsidRPr="00FD02F8">
        <w:t>our</w:t>
      </w:r>
      <w:r w:rsidR="006B0AB5" w:rsidRPr="00FD02F8">
        <w:t xml:space="preserve"> measures.  </w:t>
      </w:r>
      <w:r w:rsidR="006B0AB5" w:rsidRPr="00FD02F8">
        <w:rPr>
          <w:rFonts w:ascii="Arial" w:hAnsi="Arial" w:cs="Arial"/>
        </w:rPr>
        <w:t>This is the quarter</w:t>
      </w:r>
      <w:r w:rsidR="00730BC3" w:rsidRPr="00FD02F8">
        <w:rPr>
          <w:rFonts w:ascii="Arial" w:hAnsi="Arial" w:cs="Arial"/>
        </w:rPr>
        <w:t xml:space="preserve"> three</w:t>
      </w:r>
      <w:r w:rsidR="006B0AB5" w:rsidRPr="00FD02F8">
        <w:rPr>
          <w:rFonts w:ascii="Arial" w:hAnsi="Arial" w:cs="Arial"/>
        </w:rPr>
        <w:t xml:space="preserve"> report</w:t>
      </w:r>
      <w:r w:rsidR="00756EE8" w:rsidRPr="00FD02F8">
        <w:rPr>
          <w:rFonts w:ascii="Arial" w:hAnsi="Arial" w:cs="Arial"/>
        </w:rPr>
        <w:t xml:space="preserve"> covering the period </w:t>
      </w:r>
      <w:r w:rsidR="00BF26EF" w:rsidRPr="00FD02F8">
        <w:rPr>
          <w:rFonts w:ascii="Arial" w:hAnsi="Arial" w:cs="Arial"/>
        </w:rPr>
        <w:t>1 October</w:t>
      </w:r>
      <w:r w:rsidR="00F9018D" w:rsidRPr="00FD02F8">
        <w:rPr>
          <w:rFonts w:ascii="Arial" w:hAnsi="Arial" w:cs="Arial"/>
        </w:rPr>
        <w:t xml:space="preserve"> 2025 to </w:t>
      </w:r>
      <w:r w:rsidR="00D21A4E" w:rsidRPr="00FD02F8">
        <w:rPr>
          <w:rFonts w:ascii="Arial" w:hAnsi="Arial" w:cs="Arial"/>
        </w:rPr>
        <w:t>31 December</w:t>
      </w:r>
      <w:r w:rsidR="00F9018D" w:rsidRPr="00FD02F8">
        <w:rPr>
          <w:rFonts w:ascii="Arial" w:hAnsi="Arial" w:cs="Arial"/>
        </w:rPr>
        <w:t xml:space="preserve"> 2025</w:t>
      </w:r>
      <w:r w:rsidR="006B0AB5" w:rsidRPr="00FD02F8">
        <w:rPr>
          <w:rFonts w:ascii="Arial" w:hAnsi="Arial" w:cs="Arial"/>
        </w:rPr>
        <w:t xml:space="preserve">. </w:t>
      </w:r>
    </w:p>
    <w:p w14:paraId="2268E5F7" w14:textId="4D43AEF6" w:rsidR="002B65CA" w:rsidRPr="00FD02F8" w:rsidRDefault="00F408A2" w:rsidP="00FD02F8">
      <w:pPr>
        <w:pStyle w:val="Heading2"/>
        <w:spacing w:before="120" w:after="240"/>
        <w:ind w:left="720" w:hanging="720"/>
      </w:pPr>
      <w:bookmarkStart w:id="8" w:name="_Toc908176002"/>
      <w:r w:rsidRPr="00FD02F8">
        <w:t>Key highlights</w:t>
      </w:r>
      <w:bookmarkEnd w:id="8"/>
      <w:r w:rsidRPr="00FD02F8">
        <w:t xml:space="preserve"> </w:t>
      </w:r>
    </w:p>
    <w:p w14:paraId="1E1E6BDB" w14:textId="77777777" w:rsidR="000D61F7" w:rsidRPr="00FD02F8" w:rsidRDefault="0087113E" w:rsidP="00FD02F8">
      <w:pPr>
        <w:spacing w:after="240"/>
        <w:rPr>
          <w:rFonts w:ascii="Arial" w:hAnsi="Arial" w:cs="Arial"/>
          <w:b/>
          <w:bCs/>
        </w:rPr>
      </w:pPr>
      <w:r w:rsidRPr="00FD02F8">
        <w:rPr>
          <w:rFonts w:ascii="Arial" w:hAnsi="Arial" w:cs="Arial"/>
          <w:b/>
          <w:bCs/>
        </w:rPr>
        <w:t xml:space="preserve">Net zero </w:t>
      </w:r>
    </w:p>
    <w:p w14:paraId="21CEAF57" w14:textId="22C96A7E" w:rsidR="009127D9" w:rsidRPr="00FD02F8" w:rsidRDefault="009127D9" w:rsidP="00FD02F8">
      <w:pPr>
        <w:pStyle w:val="paragraph"/>
        <w:numPr>
          <w:ilvl w:val="0"/>
          <w:numId w:val="10"/>
        </w:numPr>
        <w:spacing w:beforeAutospacing="0" w:after="240" w:afterAutospacing="0" w:line="360" w:lineRule="auto"/>
        <w:textAlignment w:val="baseline"/>
      </w:pPr>
      <w:r w:rsidRPr="00FD02F8">
        <w:t>We completed direct engagement with the three pilot sites</w:t>
      </w:r>
      <w:r w:rsidR="000845DB">
        <w:t>,</w:t>
      </w:r>
      <w:r w:rsidRPr="00FD02F8">
        <w:t xml:space="preserve"> </w:t>
      </w:r>
      <w:r w:rsidR="000260E1" w:rsidRPr="00FD02F8">
        <w:t xml:space="preserve">as </w:t>
      </w:r>
      <w:r w:rsidR="003E5B9A" w:rsidRPr="00FD02F8">
        <w:t xml:space="preserve">we look to develop </w:t>
      </w:r>
      <w:r w:rsidR="000260E1" w:rsidRPr="00FD02F8">
        <w:t>our regulatory role with a more integrated approach to energy efficiency and industrial decarbonisation.</w:t>
      </w:r>
      <w:r w:rsidRPr="00FD02F8">
        <w:t xml:space="preserve"> Two from our list of energy intensive sites and one as an Outcome Based Collaborative Regulation (OBCR) site. </w:t>
      </w:r>
    </w:p>
    <w:p w14:paraId="00EDD084" w14:textId="4FCF7307" w:rsidR="0002403A" w:rsidRPr="00FD02F8" w:rsidRDefault="00A85561" w:rsidP="00FD02F8">
      <w:pPr>
        <w:pStyle w:val="paragraph"/>
        <w:numPr>
          <w:ilvl w:val="0"/>
          <w:numId w:val="10"/>
        </w:numPr>
        <w:spacing w:beforeAutospacing="0" w:after="240" w:afterAutospacing="0" w:line="360" w:lineRule="auto"/>
        <w:textAlignment w:val="baseline"/>
      </w:pPr>
      <w:r w:rsidRPr="00FD02F8">
        <w:t>We successfully achieved our Silver Carbon Literate Organisation status</w:t>
      </w:r>
      <w:r w:rsidR="008842C5" w:rsidRPr="00FD02F8">
        <w:t xml:space="preserve">. </w:t>
      </w:r>
      <w:r w:rsidR="00665A68" w:rsidRPr="00FD02F8">
        <w:t xml:space="preserve">Carbon Literacy training for SEPA staff is a cornerstone of our work to help Scotland achieve net zero and to reduce our own emissions. </w:t>
      </w:r>
      <w:r w:rsidR="00E64346" w:rsidRPr="00FD02F8">
        <w:t>We continue to roll out the training across the organisation</w:t>
      </w:r>
      <w:r w:rsidR="004F6CC6" w:rsidRPr="00FD02F8">
        <w:t>.</w:t>
      </w:r>
    </w:p>
    <w:p w14:paraId="6E127FCF" w14:textId="77777777" w:rsidR="00A01FD2" w:rsidRPr="00FD02F8" w:rsidRDefault="00E41F0C" w:rsidP="00FD02F8">
      <w:pPr>
        <w:spacing w:after="240"/>
        <w:rPr>
          <w:rFonts w:ascii="Arial" w:hAnsi="Arial" w:cs="Arial"/>
          <w:b/>
          <w:bCs/>
        </w:rPr>
      </w:pPr>
      <w:r w:rsidRPr="00FD02F8">
        <w:rPr>
          <w:rFonts w:ascii="Arial" w:hAnsi="Arial" w:cs="Arial"/>
          <w:b/>
          <w:bCs/>
        </w:rPr>
        <w:t xml:space="preserve">Climate resilience </w:t>
      </w:r>
    </w:p>
    <w:p w14:paraId="7DD7CAE2" w14:textId="4ED1923A" w:rsidR="00825A87" w:rsidRPr="00FD02F8" w:rsidRDefault="00915D93" w:rsidP="00FD02F8">
      <w:pPr>
        <w:pStyle w:val="paragraph"/>
        <w:numPr>
          <w:ilvl w:val="0"/>
          <w:numId w:val="6"/>
        </w:numPr>
        <w:spacing w:beforeAutospacing="0" w:after="240" w:afterAutospacing="0" w:line="360" w:lineRule="auto"/>
        <w:textAlignment w:val="baseline"/>
      </w:pPr>
      <w:r w:rsidRPr="00FD02F8">
        <w:t xml:space="preserve">We </w:t>
      </w:r>
      <w:r w:rsidR="006869A4" w:rsidRPr="00FD02F8">
        <w:t>completed the</w:t>
      </w:r>
      <w:r w:rsidRPr="00FD02F8">
        <w:t xml:space="preserve"> </w:t>
      </w:r>
      <w:r w:rsidR="0062547C" w:rsidRPr="00FD02F8">
        <w:t>risk assessment database build and used the statistical output to inform</w:t>
      </w:r>
      <w:r w:rsidR="003E0BCA" w:rsidRPr="00FD02F8">
        <w:t xml:space="preserve"> </w:t>
      </w:r>
      <w:r w:rsidR="00700982" w:rsidRPr="00FD02F8">
        <w:t>the</w:t>
      </w:r>
      <w:r w:rsidR="003E0BCA" w:rsidRPr="00FD02F8">
        <w:t xml:space="preserve"> revised </w:t>
      </w:r>
      <w:r w:rsidR="005F2B46" w:rsidRPr="00FD02F8">
        <w:t>N</w:t>
      </w:r>
      <w:r w:rsidR="003E0BCA" w:rsidRPr="00FD02F8">
        <w:t xml:space="preserve">ational </w:t>
      </w:r>
      <w:r w:rsidR="005F2B46" w:rsidRPr="00FD02F8">
        <w:t>F</w:t>
      </w:r>
      <w:r w:rsidR="003E0BCA" w:rsidRPr="00FD02F8">
        <w:t xml:space="preserve">lood </w:t>
      </w:r>
      <w:r w:rsidR="005F2B46" w:rsidRPr="00FD02F8">
        <w:t>R</w:t>
      </w:r>
      <w:r w:rsidR="003E0BCA" w:rsidRPr="00FD02F8">
        <w:t xml:space="preserve">isk </w:t>
      </w:r>
      <w:r w:rsidR="005F2B46" w:rsidRPr="00FD02F8">
        <w:t>A</w:t>
      </w:r>
      <w:r w:rsidR="003E0BCA" w:rsidRPr="00FD02F8">
        <w:t xml:space="preserve">ssessment </w:t>
      </w:r>
      <w:r w:rsidR="005F2B46" w:rsidRPr="00FD02F8">
        <w:t xml:space="preserve">(NFRA) </w:t>
      </w:r>
      <w:r w:rsidR="003E0BCA" w:rsidRPr="00FD02F8">
        <w:t>for Scotland</w:t>
      </w:r>
      <w:r w:rsidR="0062547C" w:rsidRPr="00FD02F8">
        <w:t xml:space="preserve"> which was pub</w:t>
      </w:r>
      <w:r w:rsidR="003530FB" w:rsidRPr="00FD02F8">
        <w:t>lished in December</w:t>
      </w:r>
      <w:r w:rsidR="00B641AD" w:rsidRPr="00FD02F8">
        <w:t>.</w:t>
      </w:r>
    </w:p>
    <w:p w14:paraId="45B1BB3D" w14:textId="3758C5AC" w:rsidR="001E4D5F" w:rsidRPr="00FD02F8" w:rsidRDefault="00825A87" w:rsidP="00FD02F8">
      <w:pPr>
        <w:pStyle w:val="paragraph"/>
        <w:numPr>
          <w:ilvl w:val="0"/>
          <w:numId w:val="6"/>
        </w:numPr>
        <w:spacing w:beforeAutospacing="0" w:after="240" w:afterAutospacing="0" w:line="360" w:lineRule="auto"/>
        <w:textAlignment w:val="baseline"/>
      </w:pPr>
      <w:r w:rsidRPr="00FD02F8">
        <w:t xml:space="preserve">100% of </w:t>
      </w:r>
      <w:r w:rsidR="00AC0559" w:rsidRPr="00FD02F8">
        <w:t xml:space="preserve">water scarcity warnings and alerts </w:t>
      </w:r>
      <w:r w:rsidR="00000EAB" w:rsidRPr="00FD02F8">
        <w:t xml:space="preserve">were </w:t>
      </w:r>
      <w:r w:rsidR="00AC0559" w:rsidRPr="00FD02F8">
        <w:t xml:space="preserve">issued on time </w:t>
      </w:r>
      <w:r w:rsidR="008A5125" w:rsidRPr="00FD02F8">
        <w:t>in</w:t>
      </w:r>
      <w:r w:rsidR="00AC0559" w:rsidRPr="00FD02F8">
        <w:t xml:space="preserve"> Q3.</w:t>
      </w:r>
      <w:r w:rsidR="003E0BCA" w:rsidRPr="00FD02F8">
        <w:t xml:space="preserve"> </w:t>
      </w:r>
    </w:p>
    <w:p w14:paraId="2A4D6B31" w14:textId="103CE1B6" w:rsidR="001E4D5F" w:rsidRPr="00FD02F8" w:rsidRDefault="00465051" w:rsidP="00FD02F8">
      <w:pPr>
        <w:pStyle w:val="paragraph"/>
        <w:spacing w:beforeAutospacing="0" w:after="240" w:afterAutospacing="0" w:line="360" w:lineRule="auto"/>
        <w:textAlignment w:val="baseline"/>
        <w:rPr>
          <w:b/>
          <w:bCs/>
        </w:rPr>
      </w:pPr>
      <w:r w:rsidRPr="00FD02F8">
        <w:rPr>
          <w:b/>
          <w:bCs/>
        </w:rPr>
        <w:lastRenderedPageBreak/>
        <w:t>Water Environment</w:t>
      </w:r>
    </w:p>
    <w:p w14:paraId="3CD36D2B" w14:textId="7573BB78" w:rsidR="00BC2E0A" w:rsidRPr="00FD02F8" w:rsidRDefault="00BC2E0A" w:rsidP="00FD02F8">
      <w:pPr>
        <w:pStyle w:val="ListParagraph"/>
        <w:numPr>
          <w:ilvl w:val="0"/>
          <w:numId w:val="12"/>
        </w:numPr>
        <w:spacing w:after="240" w:line="360" w:lineRule="auto"/>
        <w:ind w:left="714" w:hanging="357"/>
        <w:contextualSpacing w:val="0"/>
        <w:rPr>
          <w:sz w:val="24"/>
          <w:lang w:val="en-GB" w:eastAsia="en-GB"/>
        </w:rPr>
      </w:pPr>
      <w:r w:rsidRPr="00FD02F8">
        <w:rPr>
          <w:sz w:val="24"/>
          <w:lang w:val="en-GB" w:eastAsia="en-GB"/>
        </w:rPr>
        <w:t xml:space="preserve">As part of the River Basin Management Plan programme of actions, we have completed three </w:t>
      </w:r>
      <w:r w:rsidR="000A0C6E" w:rsidRPr="00FD02F8">
        <w:rPr>
          <w:sz w:val="24"/>
          <w:lang w:val="en-GB" w:eastAsia="en-GB"/>
        </w:rPr>
        <w:t xml:space="preserve">Water Environment Fund </w:t>
      </w:r>
      <w:r w:rsidRPr="00FD02F8">
        <w:rPr>
          <w:sz w:val="24"/>
          <w:lang w:val="en-GB" w:eastAsia="en-GB"/>
        </w:rPr>
        <w:t>projects at Back Burn, the River Nith and Halter Burn. This key result (KR 5.4) has been delivered early, ahead of the original Q4 target. We have also successfully reviewed and updated the monitoring strategy for the water environment.</w:t>
      </w:r>
    </w:p>
    <w:p w14:paraId="764D0B6E" w14:textId="5330F2CC" w:rsidR="00A905CB" w:rsidRPr="00FD02F8" w:rsidRDefault="00A905CB" w:rsidP="00FD02F8">
      <w:pPr>
        <w:pStyle w:val="ListParagraph"/>
        <w:numPr>
          <w:ilvl w:val="0"/>
          <w:numId w:val="12"/>
        </w:numPr>
        <w:spacing w:after="240" w:line="360" w:lineRule="auto"/>
        <w:ind w:left="714" w:hanging="357"/>
        <w:contextualSpacing w:val="0"/>
        <w:rPr>
          <w:sz w:val="24"/>
          <w:lang w:val="en-GB" w:eastAsia="en-GB"/>
        </w:rPr>
      </w:pPr>
      <w:r w:rsidRPr="00FD02F8">
        <w:rPr>
          <w:sz w:val="24"/>
          <w:lang w:val="en-GB" w:eastAsia="en-GB"/>
        </w:rPr>
        <w:t xml:space="preserve">We published </w:t>
      </w:r>
      <w:r w:rsidR="00283418">
        <w:rPr>
          <w:sz w:val="24"/>
          <w:lang w:val="en-GB" w:eastAsia="en-GB"/>
        </w:rPr>
        <w:t xml:space="preserve">the </w:t>
      </w:r>
      <w:r w:rsidR="00A35808" w:rsidRPr="00FD02F8">
        <w:rPr>
          <w:sz w:val="24"/>
          <w:lang w:val="en-GB" w:eastAsia="en-GB"/>
        </w:rPr>
        <w:t>Significant Water Management Issues (SWMI) report</w:t>
      </w:r>
      <w:r w:rsidR="00E12DB4" w:rsidRPr="00FD02F8">
        <w:rPr>
          <w:sz w:val="24"/>
          <w:lang w:val="en-GB" w:eastAsia="en-GB"/>
        </w:rPr>
        <w:t xml:space="preserve"> on time </w:t>
      </w:r>
      <w:r w:rsidR="008A5125" w:rsidRPr="00FD02F8">
        <w:rPr>
          <w:sz w:val="24"/>
          <w:lang w:val="en-GB" w:eastAsia="en-GB"/>
        </w:rPr>
        <w:t>in Q3.</w:t>
      </w:r>
    </w:p>
    <w:p w14:paraId="06D28720" w14:textId="6A8ADB21" w:rsidR="003268D4" w:rsidRPr="00FD02F8" w:rsidRDefault="00685C31" w:rsidP="00FD02F8">
      <w:pPr>
        <w:pStyle w:val="ListParagraph"/>
        <w:numPr>
          <w:ilvl w:val="0"/>
          <w:numId w:val="12"/>
        </w:numPr>
        <w:spacing w:after="240" w:line="360" w:lineRule="auto"/>
        <w:ind w:left="714" w:hanging="357"/>
        <w:contextualSpacing w:val="0"/>
        <w:rPr>
          <w:sz w:val="24"/>
          <w:lang w:val="en-GB" w:eastAsia="en-GB"/>
        </w:rPr>
      </w:pPr>
      <w:r w:rsidRPr="00FD02F8">
        <w:rPr>
          <w:sz w:val="24"/>
          <w:lang w:val="en-GB" w:eastAsia="en-GB"/>
        </w:rPr>
        <w:t xml:space="preserve">100% </w:t>
      </w:r>
      <w:r w:rsidR="008C447A" w:rsidRPr="00FD02F8">
        <w:rPr>
          <w:sz w:val="24"/>
          <w:lang w:val="en-GB" w:eastAsia="en-GB"/>
        </w:rPr>
        <w:t>of the monitoring network</w:t>
      </w:r>
      <w:r w:rsidR="001B532E" w:rsidRPr="00FD02F8">
        <w:rPr>
          <w:sz w:val="24"/>
          <w:lang w:val="en-GB" w:eastAsia="en-GB"/>
        </w:rPr>
        <w:t xml:space="preserve"> has been </w:t>
      </w:r>
      <w:r w:rsidR="008C447A" w:rsidRPr="00FD02F8">
        <w:rPr>
          <w:sz w:val="24"/>
          <w:lang w:val="en-GB" w:eastAsia="en-GB"/>
        </w:rPr>
        <w:t xml:space="preserve">reviewed in preparation </w:t>
      </w:r>
      <w:r w:rsidR="009B3C70" w:rsidRPr="00FD02F8">
        <w:rPr>
          <w:sz w:val="24"/>
          <w:lang w:val="en-GB" w:eastAsia="en-GB"/>
        </w:rPr>
        <w:t xml:space="preserve">for </w:t>
      </w:r>
      <w:r w:rsidR="00195811" w:rsidRPr="00FD02F8">
        <w:rPr>
          <w:sz w:val="24"/>
          <w:lang w:val="en-GB" w:eastAsia="en-GB"/>
        </w:rPr>
        <w:t>River Basin Management Plan 4 (</w:t>
      </w:r>
      <w:r w:rsidR="006E6FF9" w:rsidRPr="00FD02F8">
        <w:rPr>
          <w:sz w:val="24"/>
          <w:lang w:val="en-GB" w:eastAsia="en-GB"/>
        </w:rPr>
        <w:t>RBMP4).</w:t>
      </w:r>
    </w:p>
    <w:p w14:paraId="7126848F" w14:textId="2DD06318" w:rsidR="00A05032" w:rsidRPr="00FD02F8" w:rsidRDefault="00D44A86" w:rsidP="00FD02F8">
      <w:pPr>
        <w:pStyle w:val="ListParagraph"/>
        <w:numPr>
          <w:ilvl w:val="0"/>
          <w:numId w:val="12"/>
        </w:numPr>
        <w:spacing w:after="240" w:line="360" w:lineRule="auto"/>
        <w:ind w:left="714" w:hanging="357"/>
        <w:contextualSpacing w:val="0"/>
        <w:rPr>
          <w:sz w:val="24"/>
          <w:lang w:val="en-GB" w:eastAsia="en-GB"/>
        </w:rPr>
      </w:pPr>
      <w:r w:rsidRPr="00FD02F8">
        <w:rPr>
          <w:sz w:val="24"/>
          <w:lang w:val="en-GB" w:eastAsia="en-GB"/>
        </w:rPr>
        <w:t xml:space="preserve">The 2025/2026 bathing water classifications were published on </w:t>
      </w:r>
      <w:r w:rsidR="001B73CD" w:rsidRPr="00FD02F8">
        <w:rPr>
          <w:sz w:val="24"/>
          <w:lang w:val="en-GB" w:eastAsia="en-GB"/>
        </w:rPr>
        <w:t>time</w:t>
      </w:r>
      <w:r w:rsidRPr="00FD02F8">
        <w:rPr>
          <w:sz w:val="24"/>
          <w:lang w:val="en-GB" w:eastAsia="en-GB"/>
        </w:rPr>
        <w:t xml:space="preserve"> </w:t>
      </w:r>
      <w:r w:rsidR="00704367" w:rsidRPr="00FD02F8">
        <w:rPr>
          <w:sz w:val="24"/>
          <w:lang w:val="en-GB" w:eastAsia="en-GB"/>
        </w:rPr>
        <w:t xml:space="preserve">in </w:t>
      </w:r>
      <w:r w:rsidRPr="00FD02F8">
        <w:rPr>
          <w:sz w:val="24"/>
          <w:lang w:val="en-GB" w:eastAsia="en-GB"/>
        </w:rPr>
        <w:t>November 2025.</w:t>
      </w:r>
      <w:r w:rsidR="001B73CD" w:rsidRPr="00FD02F8">
        <w:rPr>
          <w:sz w:val="24"/>
          <w:lang w:val="en-GB" w:eastAsia="en-GB"/>
        </w:rPr>
        <w:t xml:space="preserve"> </w:t>
      </w:r>
      <w:r w:rsidR="00BF1F96" w:rsidRPr="00FD02F8">
        <w:rPr>
          <w:sz w:val="24"/>
          <w:lang w:val="en-GB" w:eastAsia="en-GB"/>
        </w:rPr>
        <w:t xml:space="preserve">We met our target </w:t>
      </w:r>
      <w:r w:rsidR="00C56952" w:rsidRPr="00FD02F8">
        <w:rPr>
          <w:sz w:val="24"/>
          <w:lang w:val="en-GB" w:eastAsia="en-GB"/>
        </w:rPr>
        <w:t xml:space="preserve">with 96.6% </w:t>
      </w:r>
      <w:r w:rsidR="00BF1F96" w:rsidRPr="00FD02F8">
        <w:rPr>
          <w:sz w:val="24"/>
          <w:lang w:val="en-GB" w:eastAsia="en-GB"/>
        </w:rPr>
        <w:t xml:space="preserve">of </w:t>
      </w:r>
      <w:r w:rsidR="00BA662E" w:rsidRPr="00FD02F8">
        <w:rPr>
          <w:sz w:val="24"/>
          <w:lang w:val="en-GB" w:eastAsia="en-GB"/>
        </w:rPr>
        <w:t xml:space="preserve">bathing waters </w:t>
      </w:r>
      <w:r w:rsidR="00351785" w:rsidRPr="00FD02F8">
        <w:rPr>
          <w:sz w:val="24"/>
          <w:lang w:val="en-GB" w:eastAsia="en-GB"/>
        </w:rPr>
        <w:t xml:space="preserve">classified </w:t>
      </w:r>
      <w:r w:rsidR="00BA662E" w:rsidRPr="00FD02F8">
        <w:rPr>
          <w:sz w:val="24"/>
          <w:lang w:val="en-GB" w:eastAsia="en-GB"/>
        </w:rPr>
        <w:t>a</w:t>
      </w:r>
      <w:r w:rsidR="00351785" w:rsidRPr="00FD02F8">
        <w:rPr>
          <w:sz w:val="24"/>
          <w:lang w:val="en-GB" w:eastAsia="en-GB"/>
        </w:rPr>
        <w:t>s</w:t>
      </w:r>
      <w:r w:rsidR="00BA662E" w:rsidRPr="00FD02F8">
        <w:rPr>
          <w:sz w:val="24"/>
          <w:lang w:val="en-GB" w:eastAsia="en-GB"/>
        </w:rPr>
        <w:t xml:space="preserve"> excellent, good </w:t>
      </w:r>
      <w:r w:rsidR="00351785" w:rsidRPr="00FD02F8">
        <w:rPr>
          <w:sz w:val="24"/>
          <w:lang w:val="en-GB" w:eastAsia="en-GB"/>
        </w:rPr>
        <w:t>or</w:t>
      </w:r>
      <w:r w:rsidR="00BA662E" w:rsidRPr="00FD02F8">
        <w:rPr>
          <w:sz w:val="24"/>
          <w:lang w:val="en-GB" w:eastAsia="en-GB"/>
        </w:rPr>
        <w:t xml:space="preserve"> sufficient</w:t>
      </w:r>
      <w:r w:rsidR="00FE3AD6" w:rsidRPr="00FD02F8">
        <w:rPr>
          <w:sz w:val="24"/>
          <w:lang w:val="en-GB" w:eastAsia="en-GB"/>
        </w:rPr>
        <w:t>.</w:t>
      </w:r>
    </w:p>
    <w:p w14:paraId="77A1377D" w14:textId="4C9F8E45" w:rsidR="003E654C" w:rsidRPr="00FD02F8" w:rsidRDefault="00E41F0C" w:rsidP="00FD02F8">
      <w:pPr>
        <w:spacing w:before="160" w:after="240"/>
        <w:rPr>
          <w:rFonts w:ascii="Arial" w:hAnsi="Arial" w:cs="Arial"/>
          <w:b/>
          <w:bCs/>
        </w:rPr>
      </w:pPr>
      <w:r w:rsidRPr="00FD02F8">
        <w:rPr>
          <w:rFonts w:ascii="Arial" w:hAnsi="Arial" w:cs="Arial"/>
          <w:b/>
          <w:bCs/>
        </w:rPr>
        <w:t xml:space="preserve">Business </w:t>
      </w:r>
      <w:r w:rsidR="003E654C" w:rsidRPr="00FD02F8">
        <w:rPr>
          <w:rFonts w:ascii="Arial" w:hAnsi="Arial" w:cs="Arial"/>
          <w:b/>
          <w:bCs/>
        </w:rPr>
        <w:t>E</w:t>
      </w:r>
      <w:r w:rsidRPr="00FD02F8">
        <w:rPr>
          <w:rFonts w:ascii="Arial" w:hAnsi="Arial" w:cs="Arial"/>
          <w:b/>
          <w:bCs/>
        </w:rPr>
        <w:t xml:space="preserve">nvironmental </w:t>
      </w:r>
      <w:r w:rsidR="003E654C" w:rsidRPr="00FD02F8">
        <w:rPr>
          <w:rFonts w:ascii="Arial" w:hAnsi="Arial" w:cs="Arial"/>
          <w:b/>
          <w:bCs/>
        </w:rPr>
        <w:t>P</w:t>
      </w:r>
      <w:r w:rsidRPr="00FD02F8">
        <w:rPr>
          <w:rFonts w:ascii="Arial" w:hAnsi="Arial" w:cs="Arial"/>
          <w:b/>
          <w:bCs/>
        </w:rPr>
        <w:t>erformance</w:t>
      </w:r>
    </w:p>
    <w:p w14:paraId="34B1D94A" w14:textId="77777777" w:rsidR="00000203" w:rsidRPr="00FD02F8" w:rsidRDefault="00000203" w:rsidP="00FD02F8">
      <w:pPr>
        <w:pStyle w:val="ListParagraph"/>
        <w:numPr>
          <w:ilvl w:val="0"/>
          <w:numId w:val="12"/>
        </w:numPr>
        <w:spacing w:after="240" w:line="360" w:lineRule="auto"/>
        <w:ind w:left="714" w:hanging="357"/>
        <w:contextualSpacing w:val="0"/>
        <w:rPr>
          <w:sz w:val="24"/>
          <w:lang w:val="en-GB" w:eastAsia="en-GB"/>
        </w:rPr>
      </w:pPr>
      <w:r w:rsidRPr="00FD02F8">
        <w:rPr>
          <w:sz w:val="24"/>
          <w:lang w:val="en-GB" w:eastAsia="en-GB"/>
        </w:rPr>
        <w:t>On 1 November 2025, the Integrated Authorisation Framework was extended to include the regulation of waste, water and industrial activities, delivering a key milestone due in Q3. This was supported by a significant internal training and communications programme to ensure staff and regulated businesses were prepared for the change.</w:t>
      </w:r>
    </w:p>
    <w:p w14:paraId="25B57680" w14:textId="47C067BC" w:rsidR="00000203" w:rsidRPr="00FD02F8" w:rsidRDefault="00000203" w:rsidP="00FD02F8">
      <w:pPr>
        <w:pStyle w:val="ListParagraph"/>
        <w:numPr>
          <w:ilvl w:val="0"/>
          <w:numId w:val="12"/>
        </w:numPr>
        <w:spacing w:after="240" w:line="360" w:lineRule="auto"/>
        <w:ind w:left="714" w:hanging="357"/>
        <w:contextualSpacing w:val="0"/>
        <w:rPr>
          <w:sz w:val="24"/>
          <w:lang w:val="en-GB" w:eastAsia="en-GB"/>
        </w:rPr>
      </w:pPr>
      <w:r w:rsidRPr="00FD02F8">
        <w:rPr>
          <w:sz w:val="24"/>
          <w:lang w:val="en-GB" w:eastAsia="en-GB"/>
        </w:rPr>
        <w:t>In addition, we met the deadline to launch a new Digital Application System, enabling applicants to apply digitally and permitting staff to manage applications from receipt through to determination. Together, this programme of work significantly reduces regulatory complexity for business while supporting our organisational transformation to become more efficient and effective.</w:t>
      </w:r>
    </w:p>
    <w:p w14:paraId="0C1C9AD3" w14:textId="49A13B8E" w:rsidR="00AC4A27" w:rsidRPr="008A4331" w:rsidRDefault="00DD651D" w:rsidP="00FD02F8">
      <w:pPr>
        <w:pStyle w:val="paragraph"/>
        <w:numPr>
          <w:ilvl w:val="0"/>
          <w:numId w:val="6"/>
        </w:numPr>
        <w:spacing w:after="240" w:afterAutospacing="0" w:line="360" w:lineRule="auto"/>
        <w:textAlignment w:val="baseline"/>
        <w:rPr>
          <w:color w:val="000000"/>
        </w:rPr>
      </w:pPr>
      <w:r w:rsidRPr="00FD02F8">
        <w:rPr>
          <w:rFonts w:eastAsia="Times New Roman"/>
        </w:rPr>
        <w:t xml:space="preserve">We achieved </w:t>
      </w:r>
      <w:r w:rsidR="00A92A4F" w:rsidRPr="00FD02F8">
        <w:rPr>
          <w:rFonts w:eastAsia="Times New Roman"/>
        </w:rPr>
        <w:t xml:space="preserve">our </w:t>
      </w:r>
      <w:r w:rsidR="0095211D" w:rsidRPr="00FD02F8">
        <w:rPr>
          <w:rFonts w:eastAsia="Times New Roman"/>
        </w:rPr>
        <w:t xml:space="preserve">extended </w:t>
      </w:r>
      <w:r w:rsidR="00A92A4F" w:rsidRPr="00FD02F8">
        <w:rPr>
          <w:rFonts w:eastAsia="Times New Roman"/>
        </w:rPr>
        <w:t>target to reduce</w:t>
      </w:r>
      <w:r w:rsidRPr="00FD02F8">
        <w:rPr>
          <w:rFonts w:eastAsia="Times New Roman"/>
        </w:rPr>
        <w:t xml:space="preserve"> the overall environmental risk score of </w:t>
      </w:r>
      <w:r w:rsidR="00BC3498" w:rsidRPr="00FD02F8">
        <w:rPr>
          <w:rFonts w:eastAsia="Times New Roman"/>
        </w:rPr>
        <w:t>high risk sites</w:t>
      </w:r>
      <w:r w:rsidR="00A92A4F" w:rsidRPr="00FD02F8">
        <w:rPr>
          <w:rFonts w:eastAsia="Times New Roman"/>
        </w:rPr>
        <w:t xml:space="preserve"> </w:t>
      </w:r>
      <w:r w:rsidR="00AC4A27" w:rsidRPr="00FD02F8">
        <w:rPr>
          <w:rFonts w:ascii="Arial" w:eastAsia="Times New Roman" w:hAnsi="Arial" w:cs="Arial"/>
        </w:rPr>
        <w:t>earlier than planned - by Q</w:t>
      </w:r>
      <w:r w:rsidR="00497869" w:rsidRPr="00FD02F8">
        <w:rPr>
          <w:rFonts w:ascii="Arial" w:eastAsia="Times New Roman" w:hAnsi="Arial" w:cs="Arial"/>
        </w:rPr>
        <w:t>3</w:t>
      </w:r>
      <w:r w:rsidR="00AC4A27" w:rsidRPr="00FD02F8">
        <w:rPr>
          <w:rFonts w:ascii="Arial" w:eastAsia="Times New Roman" w:hAnsi="Arial" w:cs="Arial"/>
        </w:rPr>
        <w:t xml:space="preserve"> instead of Q4</w:t>
      </w:r>
      <w:r w:rsidR="00313B53" w:rsidRPr="00FD02F8">
        <w:rPr>
          <w:rFonts w:ascii="Arial" w:eastAsia="Times New Roman" w:hAnsi="Arial" w:cs="Arial"/>
        </w:rPr>
        <w:t>.</w:t>
      </w:r>
    </w:p>
    <w:p w14:paraId="2A30690E" w14:textId="285FFA16" w:rsidR="009D3773" w:rsidRPr="009D3773" w:rsidRDefault="009D3773" w:rsidP="00FD02F8">
      <w:pPr>
        <w:pStyle w:val="paragraph"/>
        <w:numPr>
          <w:ilvl w:val="0"/>
          <w:numId w:val="6"/>
        </w:numPr>
        <w:spacing w:after="240" w:afterAutospacing="0" w:line="360" w:lineRule="auto"/>
        <w:textAlignment w:val="baseline"/>
        <w:rPr>
          <w:color w:val="000000"/>
        </w:rPr>
      </w:pPr>
      <w:r w:rsidRPr="009D3773">
        <w:rPr>
          <w:rFonts w:ascii="Arial" w:eastAsia="Times New Roman" w:hAnsi="Arial" w:cs="Arial"/>
        </w:rPr>
        <w:t>By the end of Q3, we ha</w:t>
      </w:r>
      <w:r>
        <w:rPr>
          <w:rFonts w:ascii="Arial" w:eastAsia="Times New Roman" w:hAnsi="Arial" w:cs="Arial"/>
        </w:rPr>
        <w:t>ve</w:t>
      </w:r>
      <w:r w:rsidRPr="009D3773">
        <w:rPr>
          <w:rFonts w:ascii="Arial" w:eastAsia="Times New Roman" w:hAnsi="Arial" w:cs="Arial"/>
        </w:rPr>
        <w:t xml:space="preserve"> carried out 170 successful interventions, exceeding the 167 delivered during the entire 2024/25 period. Consequently, KPI BEP01 has been achieved ahead of year end.</w:t>
      </w:r>
    </w:p>
    <w:p w14:paraId="61EE7DF1" w14:textId="3E38F589" w:rsidR="002278D3" w:rsidRPr="00FD02F8" w:rsidRDefault="00C97472" w:rsidP="00FD02F8">
      <w:pPr>
        <w:pStyle w:val="paragraph"/>
        <w:numPr>
          <w:ilvl w:val="0"/>
          <w:numId w:val="6"/>
        </w:numPr>
        <w:spacing w:after="240" w:afterAutospacing="0" w:line="360" w:lineRule="auto"/>
        <w:textAlignment w:val="baseline"/>
        <w:rPr>
          <w:color w:val="000000"/>
        </w:rPr>
      </w:pPr>
      <w:r w:rsidRPr="00FD02F8">
        <w:rPr>
          <w:color w:val="000000"/>
        </w:rPr>
        <w:lastRenderedPageBreak/>
        <w:t>The Radioactivity in Food and the Environment Report (RIFE 30) was published in October, a mile</w:t>
      </w:r>
      <w:r w:rsidR="000A20B9" w:rsidRPr="00FD02F8">
        <w:rPr>
          <w:color w:val="000000"/>
        </w:rPr>
        <w:t>stone due in Q3.</w:t>
      </w:r>
    </w:p>
    <w:p w14:paraId="7A3D34F8" w14:textId="307ACADC" w:rsidR="001207F5" w:rsidRPr="00FD02F8" w:rsidRDefault="0087113E" w:rsidP="00FD02F8">
      <w:pPr>
        <w:pStyle w:val="paragraph"/>
        <w:spacing w:after="240" w:afterAutospacing="0" w:line="360" w:lineRule="auto"/>
        <w:textAlignment w:val="baseline"/>
        <w:rPr>
          <w:b/>
          <w:bCs/>
        </w:rPr>
      </w:pPr>
      <w:r w:rsidRPr="00FD02F8">
        <w:rPr>
          <w:b/>
          <w:bCs/>
        </w:rPr>
        <w:t>Our organisation and transformation</w:t>
      </w:r>
    </w:p>
    <w:p w14:paraId="4E0EF18C" w14:textId="77777777" w:rsidR="00CF5960" w:rsidRPr="00FD02F8" w:rsidRDefault="00CF5960" w:rsidP="00FD02F8">
      <w:pPr>
        <w:pStyle w:val="paragraph"/>
        <w:numPr>
          <w:ilvl w:val="0"/>
          <w:numId w:val="11"/>
        </w:numPr>
        <w:spacing w:after="240" w:afterAutospacing="0" w:line="360" w:lineRule="auto"/>
        <w:textAlignment w:val="baseline"/>
        <w:rPr>
          <w:color w:val="000000"/>
        </w:rPr>
      </w:pPr>
      <w:r w:rsidRPr="00FD02F8">
        <w:rPr>
          <w:color w:val="000000"/>
        </w:rPr>
        <w:t>We successfully launched our colleague engagement plan, delivering 94% of planned engagement sessions for the 2025/26 year to date.</w:t>
      </w:r>
    </w:p>
    <w:p w14:paraId="19423444" w14:textId="2A338E22" w:rsidR="001E2612" w:rsidRPr="00FD02F8" w:rsidRDefault="00BE25B8" w:rsidP="00FD02F8">
      <w:pPr>
        <w:pStyle w:val="paragraph"/>
        <w:numPr>
          <w:ilvl w:val="0"/>
          <w:numId w:val="11"/>
        </w:numPr>
        <w:spacing w:after="240" w:afterAutospacing="0" w:line="360" w:lineRule="auto"/>
        <w:textAlignment w:val="baseline"/>
      </w:pPr>
      <w:r w:rsidRPr="00FD02F8">
        <w:t>7</w:t>
      </w:r>
      <w:r w:rsidR="00E94EF9" w:rsidRPr="00FD02F8">
        <w:t>8.5</w:t>
      </w:r>
      <w:r w:rsidRPr="00FD02F8">
        <w:t>%</w:t>
      </w:r>
      <w:r w:rsidR="008077AB" w:rsidRPr="00FD02F8">
        <w:t xml:space="preserve"> of recruiting managers report</w:t>
      </w:r>
      <w:r w:rsidR="00222943" w:rsidRPr="00FD02F8">
        <w:t>ed</w:t>
      </w:r>
      <w:r w:rsidR="008077AB" w:rsidRPr="00FD02F8">
        <w:t xml:space="preserve"> improved satisfaction with </w:t>
      </w:r>
      <w:r w:rsidR="00222943" w:rsidRPr="00FD02F8">
        <w:t xml:space="preserve">the new </w:t>
      </w:r>
      <w:r w:rsidR="008077AB" w:rsidRPr="00FD02F8">
        <w:t>applicant tracking system</w:t>
      </w:r>
      <w:r w:rsidR="00222943" w:rsidRPr="00FD02F8">
        <w:t>, exceeding our target of</w:t>
      </w:r>
      <w:r w:rsidR="003C03E1" w:rsidRPr="00FD02F8">
        <w:t xml:space="preserve"> 75%.</w:t>
      </w:r>
    </w:p>
    <w:p w14:paraId="5D149C89" w14:textId="1F35F6C1" w:rsidR="00824A51" w:rsidRPr="00FD02F8" w:rsidRDefault="00304848" w:rsidP="00FD02F8">
      <w:pPr>
        <w:pStyle w:val="paragraph"/>
        <w:numPr>
          <w:ilvl w:val="0"/>
          <w:numId w:val="11"/>
        </w:numPr>
        <w:spacing w:after="240" w:afterAutospacing="0" w:line="360" w:lineRule="auto"/>
        <w:textAlignment w:val="baseline"/>
        <w:rPr>
          <w:i/>
          <w:iCs/>
        </w:rPr>
      </w:pPr>
      <w:r w:rsidRPr="00FD02F8">
        <w:t xml:space="preserve">We have delivered </w:t>
      </w:r>
      <w:r w:rsidR="001652FF" w:rsidRPr="00FD02F8">
        <w:t xml:space="preserve">against </w:t>
      </w:r>
      <w:r w:rsidR="00DC5ECA" w:rsidRPr="00FD02F8">
        <w:t xml:space="preserve">our </w:t>
      </w:r>
      <w:r w:rsidR="001652FF" w:rsidRPr="00FD02F8">
        <w:t>objective</w:t>
      </w:r>
      <w:r w:rsidR="00DC5ECA" w:rsidRPr="00FD02F8">
        <w:t xml:space="preserve"> OKR11</w:t>
      </w:r>
      <w:r w:rsidR="001652FF" w:rsidRPr="00FD02F8">
        <w:t xml:space="preserve"> </w:t>
      </w:r>
      <w:r w:rsidR="001652FF" w:rsidRPr="00FD02F8">
        <w:rPr>
          <w:i/>
          <w:iCs/>
        </w:rPr>
        <w:t>Deliver our People Strategy to build a safe, welcoming and high performing environment which empowers our people to be purposeful, professional and passionate</w:t>
      </w:r>
      <w:r w:rsidR="00DC5ECA" w:rsidRPr="00FD02F8">
        <w:rPr>
          <w:i/>
          <w:iCs/>
        </w:rPr>
        <w:t>.</w:t>
      </w:r>
    </w:p>
    <w:p w14:paraId="538132A2" w14:textId="5DF49881" w:rsidR="003E13D8" w:rsidRPr="00FD02F8" w:rsidRDefault="00B64A0C" w:rsidP="00FD02F8">
      <w:pPr>
        <w:pStyle w:val="ListParagraph"/>
        <w:numPr>
          <w:ilvl w:val="0"/>
          <w:numId w:val="7"/>
        </w:numPr>
        <w:spacing w:after="240" w:line="360" w:lineRule="auto"/>
        <w:rPr>
          <w:color w:val="000000"/>
          <w:sz w:val="24"/>
          <w:lang w:val="en-GB" w:eastAsia="en-GB"/>
        </w:rPr>
      </w:pPr>
      <w:r w:rsidRPr="00FD02F8">
        <w:rPr>
          <w:color w:val="000000"/>
          <w:sz w:val="24"/>
          <w:lang w:val="en-GB" w:eastAsia="en-GB"/>
        </w:rPr>
        <w:t xml:space="preserve">We successfully launched our Data Strategy, delivering a milestone due in Q3. </w:t>
      </w:r>
      <w:r w:rsidR="00083905" w:rsidRPr="00FD02F8">
        <w:rPr>
          <w:color w:val="000000"/>
          <w:sz w:val="24"/>
          <w:lang w:val="en-GB" w:eastAsia="en-GB"/>
        </w:rPr>
        <w:t>This defines the vision, business outcomes, strategic objectives and delivery roadmap</w:t>
      </w:r>
      <w:r w:rsidR="001D23B4" w:rsidRPr="00FD02F8">
        <w:rPr>
          <w:color w:val="000000"/>
          <w:sz w:val="24"/>
          <w:lang w:val="en-GB" w:eastAsia="en-GB"/>
        </w:rPr>
        <w:t>,</w:t>
      </w:r>
      <w:r w:rsidR="00083905" w:rsidRPr="00FD02F8">
        <w:rPr>
          <w:color w:val="000000"/>
          <w:sz w:val="24"/>
          <w:lang w:val="en-GB" w:eastAsia="en-GB"/>
        </w:rPr>
        <w:t xml:space="preserve"> for creating and capturing value through data and analytics for SEPA and our customers over the next three years.</w:t>
      </w:r>
    </w:p>
    <w:p w14:paraId="09AA83DD" w14:textId="6ABDF138" w:rsidR="001207F5" w:rsidRPr="00546221" w:rsidRDefault="001E2612" w:rsidP="00FD02F8">
      <w:pPr>
        <w:pStyle w:val="Heading2"/>
        <w:spacing w:before="120" w:after="240"/>
        <w:ind w:left="720" w:hanging="720"/>
      </w:pPr>
      <w:bookmarkStart w:id="9" w:name="_Toc210206859"/>
      <w:r w:rsidRPr="00546221">
        <w:t>Exceptions and recovery</w:t>
      </w:r>
      <w:bookmarkEnd w:id="9"/>
    </w:p>
    <w:p w14:paraId="62AD53EC" w14:textId="1ED6B40D" w:rsidR="00AF508D" w:rsidRPr="00FD02F8" w:rsidRDefault="00AF508D" w:rsidP="00FD02F8">
      <w:pPr>
        <w:pStyle w:val="paragraph"/>
        <w:spacing w:after="240" w:afterAutospacing="0" w:line="360" w:lineRule="auto"/>
        <w:textAlignment w:val="baseline"/>
        <w:rPr>
          <w:b/>
          <w:bCs/>
        </w:rPr>
      </w:pPr>
      <w:r w:rsidRPr="00FD02F8">
        <w:rPr>
          <w:b/>
          <w:bCs/>
        </w:rPr>
        <w:t>Net zero</w:t>
      </w:r>
    </w:p>
    <w:p w14:paraId="00BAED7E" w14:textId="6FB25A65" w:rsidR="002D0907" w:rsidRPr="00FD02F8" w:rsidRDefault="0014097D" w:rsidP="00FD02F8">
      <w:pPr>
        <w:pStyle w:val="paragraph"/>
        <w:numPr>
          <w:ilvl w:val="0"/>
          <w:numId w:val="7"/>
        </w:numPr>
        <w:spacing w:after="240" w:afterAutospacing="0" w:line="360" w:lineRule="auto"/>
        <w:textAlignment w:val="baseline"/>
      </w:pPr>
      <w:r w:rsidRPr="00FD02F8">
        <w:t>The cumulative m</w:t>
      </w:r>
      <w:r w:rsidR="002D0907" w:rsidRPr="00FD02F8">
        <w:t xml:space="preserve">ileage of non-SEPA owned fleet vehicles </w:t>
      </w:r>
      <w:r w:rsidRPr="00FD02F8">
        <w:t xml:space="preserve">for </w:t>
      </w:r>
      <w:r w:rsidR="00C45444" w:rsidRPr="00FD02F8">
        <w:t xml:space="preserve">Q1 and Q2 2025/26 </w:t>
      </w:r>
      <w:r w:rsidRPr="00FD02F8">
        <w:t>shows</w:t>
      </w:r>
      <w:r w:rsidR="00C45444" w:rsidRPr="00FD02F8">
        <w:t xml:space="preserve"> an </w:t>
      </w:r>
      <w:r w:rsidR="00AA26E4" w:rsidRPr="00FD02F8">
        <w:t>8.7</w:t>
      </w:r>
      <w:r w:rsidR="00517CB0" w:rsidRPr="00FD02F8">
        <w:t xml:space="preserve">% </w:t>
      </w:r>
      <w:r w:rsidR="00C45444" w:rsidRPr="00FD02F8">
        <w:t>increase from same reporting period in 2024/25</w:t>
      </w:r>
      <w:r w:rsidR="00F9148D" w:rsidRPr="00FD02F8">
        <w:t>.</w:t>
      </w:r>
      <w:r w:rsidR="00AA78CD" w:rsidRPr="00FD02F8">
        <w:t xml:space="preserve"> We therefore</w:t>
      </w:r>
      <w:r w:rsidR="005345CF" w:rsidRPr="00FD02F8">
        <w:t xml:space="preserve"> continue to</w:t>
      </w:r>
      <w:r w:rsidR="002D0907" w:rsidRPr="00FD02F8">
        <w:t xml:space="preserve"> forecast that a reduction in mileage of non-SEPA owned vehicles by 10% will not be delivered in 2025/26. A cross-organisation action plan is being </w:t>
      </w:r>
      <w:r w:rsidR="000F5A88" w:rsidRPr="00FD02F8">
        <w:t>implemented</w:t>
      </w:r>
      <w:r w:rsidR="002D0907" w:rsidRPr="00FD02F8">
        <w:t xml:space="preserve"> to address this, which includes portfolio/team travel targets and fleet plans, using newly introduced telematics data to more effectively locate our fleet vehicles where needed, emphasising expected behaviours through our travel hierarchy and planning to review people policies later in 2026.</w:t>
      </w:r>
    </w:p>
    <w:p w14:paraId="5E7D8B6D" w14:textId="3B99B5DF" w:rsidR="00800844" w:rsidRPr="00FD02F8" w:rsidRDefault="004B3319" w:rsidP="00FD02F8">
      <w:pPr>
        <w:pStyle w:val="paragraph"/>
        <w:spacing w:after="240" w:afterAutospacing="0" w:line="360" w:lineRule="auto"/>
        <w:textAlignment w:val="baseline"/>
        <w:rPr>
          <w:b/>
          <w:bCs/>
        </w:rPr>
      </w:pPr>
      <w:r w:rsidRPr="00FD02F8">
        <w:rPr>
          <w:b/>
          <w:bCs/>
        </w:rPr>
        <w:t>Climate Resilience</w:t>
      </w:r>
    </w:p>
    <w:p w14:paraId="003513AD" w14:textId="5F28610F" w:rsidR="00907E36" w:rsidRPr="00546E45" w:rsidRDefault="002661C3" w:rsidP="00546E45">
      <w:pPr>
        <w:pStyle w:val="ListParagraph"/>
        <w:numPr>
          <w:ilvl w:val="0"/>
          <w:numId w:val="7"/>
        </w:numPr>
        <w:spacing w:after="240" w:line="360" w:lineRule="auto"/>
        <w:ind w:left="714" w:hanging="357"/>
        <w:rPr>
          <w:rFonts w:ascii="Arial" w:eastAsia="Times New Roman" w:hAnsi="Arial" w:cs="Arial"/>
          <w:sz w:val="24"/>
          <w:lang w:val="en-GB" w:eastAsia="en-GB"/>
        </w:rPr>
      </w:pPr>
      <w:r w:rsidRPr="00C66CAF">
        <w:rPr>
          <w:sz w:val="24"/>
        </w:rPr>
        <w:t xml:space="preserve">We have made progress on our objective to ensure effective and resilient flood services </w:t>
      </w:r>
      <w:r w:rsidR="00B641C8">
        <w:rPr>
          <w:sz w:val="24"/>
        </w:rPr>
        <w:t>that</w:t>
      </w:r>
      <w:r w:rsidRPr="00C66CAF">
        <w:rPr>
          <w:sz w:val="24"/>
        </w:rPr>
        <w:t xml:space="preserve"> are designed to meet future requirements. </w:t>
      </w:r>
      <w:r w:rsidR="00F32D07" w:rsidRPr="00C66CAF">
        <w:rPr>
          <w:sz w:val="24"/>
        </w:rPr>
        <w:t>However, there</w:t>
      </w:r>
      <w:r w:rsidR="002F5666" w:rsidRPr="00C66CAF">
        <w:rPr>
          <w:sz w:val="24"/>
          <w:lang w:val="en-GB"/>
        </w:rPr>
        <w:t xml:space="preserve"> are risks</w:t>
      </w:r>
      <w:r w:rsidR="00EB1588" w:rsidRPr="00C66CAF">
        <w:rPr>
          <w:sz w:val="24"/>
          <w:lang w:val="en-GB"/>
        </w:rPr>
        <w:t xml:space="preserve"> </w:t>
      </w:r>
      <w:r w:rsidR="004A777D">
        <w:rPr>
          <w:sz w:val="24"/>
          <w:lang w:val="en-GB"/>
        </w:rPr>
        <w:t>to</w:t>
      </w:r>
      <w:r w:rsidR="00EB1588" w:rsidRPr="00C66CAF">
        <w:rPr>
          <w:sz w:val="24"/>
          <w:lang w:val="en-GB"/>
        </w:rPr>
        <w:t xml:space="preserve"> </w:t>
      </w:r>
      <w:r w:rsidR="00EB1588" w:rsidRPr="00C66CAF">
        <w:rPr>
          <w:sz w:val="24"/>
          <w:lang w:val="en-GB"/>
        </w:rPr>
        <w:lastRenderedPageBreak/>
        <w:t>the delivery of</w:t>
      </w:r>
      <w:r w:rsidR="004D46B7" w:rsidRPr="00C66CAF">
        <w:rPr>
          <w:sz w:val="24"/>
          <w:lang w:val="en-GB"/>
        </w:rPr>
        <w:t xml:space="preserve"> k</w:t>
      </w:r>
      <w:r w:rsidR="00351987" w:rsidRPr="00C66CAF">
        <w:rPr>
          <w:sz w:val="24"/>
          <w:lang w:val="en-GB"/>
        </w:rPr>
        <w:t>ey</w:t>
      </w:r>
      <w:r w:rsidR="00C561BA" w:rsidRPr="00C66CAF">
        <w:rPr>
          <w:sz w:val="24"/>
          <w:lang w:val="en-GB"/>
        </w:rPr>
        <w:t xml:space="preserve"> results 4.2 and 4.3</w:t>
      </w:r>
      <w:r w:rsidR="00A76B37" w:rsidRPr="00C66CAF">
        <w:rPr>
          <w:sz w:val="24"/>
        </w:rPr>
        <w:t xml:space="preserve">. </w:t>
      </w:r>
      <w:r w:rsidR="004A777D">
        <w:rPr>
          <w:sz w:val="24"/>
        </w:rPr>
        <w:t>Progress against</w:t>
      </w:r>
      <w:r w:rsidR="00AB6873">
        <w:rPr>
          <w:sz w:val="24"/>
        </w:rPr>
        <w:t xml:space="preserve"> the</w:t>
      </w:r>
      <w:r w:rsidR="00D15F84" w:rsidRPr="00C66CAF">
        <w:rPr>
          <w:sz w:val="24"/>
        </w:rPr>
        <w:t xml:space="preserve"> target to </w:t>
      </w:r>
      <w:r w:rsidR="00FE5E22">
        <w:rPr>
          <w:sz w:val="24"/>
        </w:rPr>
        <w:t>increase</w:t>
      </w:r>
      <w:r w:rsidR="00B24258" w:rsidRPr="00C66CAF">
        <w:rPr>
          <w:rFonts w:asciiTheme="majorHAnsi" w:hAnsiTheme="majorHAnsi" w:cstheme="majorHAnsi"/>
          <w:color w:val="000000"/>
          <w:sz w:val="24"/>
          <w:lang w:val="en-GB"/>
        </w:rPr>
        <w:t xml:space="preserve"> the number of stations that deliver hydrometry data in near real time (within 30 minutes) from 70% to 95%</w:t>
      </w:r>
      <w:r w:rsidR="001E3CF0">
        <w:rPr>
          <w:rFonts w:asciiTheme="majorHAnsi" w:hAnsiTheme="majorHAnsi" w:cstheme="majorHAnsi"/>
          <w:color w:val="000000"/>
          <w:sz w:val="24"/>
          <w:lang w:val="en-GB"/>
        </w:rPr>
        <w:t>,</w:t>
      </w:r>
      <w:r w:rsidR="002B62A3" w:rsidRPr="00C66CAF">
        <w:rPr>
          <w:rFonts w:ascii="Arial" w:eastAsia="Times New Roman" w:hAnsi="Arial" w:cs="Arial"/>
          <w:sz w:val="24"/>
        </w:rPr>
        <w:t xml:space="preserve"> </w:t>
      </w:r>
      <w:r w:rsidR="00D2718B" w:rsidRPr="00C66CAF">
        <w:rPr>
          <w:rFonts w:ascii="Arial" w:eastAsia="Times New Roman" w:hAnsi="Arial" w:cs="Arial"/>
          <w:sz w:val="24"/>
        </w:rPr>
        <w:t xml:space="preserve">has </w:t>
      </w:r>
      <w:r w:rsidR="001E3CF0">
        <w:rPr>
          <w:rFonts w:ascii="Arial" w:eastAsia="Times New Roman" w:hAnsi="Arial" w:cs="Arial"/>
          <w:sz w:val="24"/>
        </w:rPr>
        <w:t>been impacted by</w:t>
      </w:r>
      <w:r w:rsidR="00D2718B" w:rsidRPr="00C66CAF">
        <w:rPr>
          <w:rFonts w:ascii="Arial" w:eastAsia="Times New Roman" w:hAnsi="Arial" w:cs="Arial"/>
          <w:sz w:val="24"/>
        </w:rPr>
        <w:t xml:space="preserve"> </w:t>
      </w:r>
      <w:r w:rsidR="00811F30" w:rsidRPr="00C66CAF">
        <w:rPr>
          <w:rFonts w:ascii="Arial" w:eastAsia="Times New Roman" w:hAnsi="Arial" w:cs="Arial"/>
          <w:sz w:val="24"/>
        </w:rPr>
        <w:t xml:space="preserve">dependency delays, </w:t>
      </w:r>
      <w:r w:rsidR="0072768B">
        <w:rPr>
          <w:rFonts w:ascii="Arial" w:eastAsia="Times New Roman" w:hAnsi="Arial" w:cs="Arial"/>
          <w:sz w:val="24"/>
        </w:rPr>
        <w:t>as well as</w:t>
      </w:r>
      <w:r w:rsidR="00811F30" w:rsidRPr="00C66CAF">
        <w:rPr>
          <w:rFonts w:ascii="Arial" w:eastAsia="Times New Roman" w:hAnsi="Arial" w:cs="Arial"/>
          <w:sz w:val="24"/>
        </w:rPr>
        <w:t xml:space="preserve"> </w:t>
      </w:r>
      <w:r w:rsidR="00957D77">
        <w:rPr>
          <w:rFonts w:ascii="Arial" w:eastAsia="Times New Roman" w:hAnsi="Arial" w:cs="Arial"/>
          <w:sz w:val="24"/>
        </w:rPr>
        <w:t>additional</w:t>
      </w:r>
      <w:r w:rsidR="002B62A3" w:rsidRPr="00C66CAF">
        <w:rPr>
          <w:rFonts w:ascii="Arial" w:eastAsia="Times New Roman" w:hAnsi="Arial" w:cs="Arial"/>
          <w:sz w:val="24"/>
          <w:lang w:val="en-GB" w:eastAsia="en-GB"/>
        </w:rPr>
        <w:t xml:space="preserve"> testing </w:t>
      </w:r>
      <w:r w:rsidR="00811F30" w:rsidRPr="00C66CAF">
        <w:rPr>
          <w:rFonts w:ascii="Arial" w:eastAsia="Times New Roman" w:hAnsi="Arial" w:cs="Arial"/>
          <w:sz w:val="24"/>
        </w:rPr>
        <w:t xml:space="preserve">and </w:t>
      </w:r>
      <w:r w:rsidR="002B62A3" w:rsidRPr="00C66CAF">
        <w:rPr>
          <w:rFonts w:ascii="Arial" w:eastAsia="Times New Roman" w:hAnsi="Arial" w:cs="Arial"/>
          <w:sz w:val="24"/>
          <w:lang w:val="en-GB" w:eastAsia="en-GB"/>
        </w:rPr>
        <w:t>site constraints</w:t>
      </w:r>
      <w:r w:rsidR="0072768B">
        <w:rPr>
          <w:rFonts w:ascii="Arial" w:eastAsia="Times New Roman" w:hAnsi="Arial" w:cs="Arial"/>
          <w:sz w:val="24"/>
          <w:lang w:val="en-GB" w:eastAsia="en-GB"/>
        </w:rPr>
        <w:t>.</w:t>
      </w:r>
      <w:r w:rsidR="00360919" w:rsidRPr="00C66CAF">
        <w:rPr>
          <w:rFonts w:ascii="Arial" w:eastAsia="Times New Roman" w:hAnsi="Arial" w:cs="Arial"/>
          <w:sz w:val="24"/>
        </w:rPr>
        <w:t xml:space="preserve"> </w:t>
      </w:r>
      <w:r w:rsidR="002E5F3D">
        <w:rPr>
          <w:rFonts w:ascii="Arial" w:eastAsia="Times New Roman" w:hAnsi="Arial" w:cs="Arial"/>
          <w:sz w:val="24"/>
        </w:rPr>
        <w:t>Delivery of</w:t>
      </w:r>
      <w:r w:rsidR="002E4DC7" w:rsidRPr="00C66CAF">
        <w:rPr>
          <w:rFonts w:ascii="Arial" w:eastAsia="Times New Roman" w:hAnsi="Arial" w:cs="Arial"/>
          <w:sz w:val="24"/>
        </w:rPr>
        <w:t xml:space="preserve"> upgraded flood warning models in </w:t>
      </w:r>
      <w:r w:rsidR="0062640F" w:rsidRPr="00C66CAF">
        <w:rPr>
          <w:rFonts w:ascii="Arial" w:eastAsia="Times New Roman" w:hAnsi="Arial" w:cs="Arial"/>
          <w:sz w:val="24"/>
        </w:rPr>
        <w:t>two</w:t>
      </w:r>
      <w:r w:rsidR="002E4DC7" w:rsidRPr="00C66CAF">
        <w:rPr>
          <w:rFonts w:ascii="Arial" w:eastAsia="Times New Roman" w:hAnsi="Arial" w:cs="Arial"/>
          <w:sz w:val="24"/>
        </w:rPr>
        <w:t xml:space="preserve"> highest priority areas</w:t>
      </w:r>
      <w:r w:rsidR="0062640F" w:rsidRPr="00C66CAF">
        <w:rPr>
          <w:rFonts w:ascii="Arial" w:eastAsia="Times New Roman" w:hAnsi="Arial" w:cs="Arial"/>
          <w:sz w:val="24"/>
        </w:rPr>
        <w:t xml:space="preserve"> has </w:t>
      </w:r>
      <w:r w:rsidR="00C66CAF" w:rsidRPr="00C66CAF">
        <w:rPr>
          <w:rFonts w:ascii="Arial" w:eastAsia="Times New Roman" w:hAnsi="Arial" w:cs="Arial"/>
          <w:sz w:val="24"/>
        </w:rPr>
        <w:t xml:space="preserve">also </w:t>
      </w:r>
      <w:r w:rsidR="00FF7C66">
        <w:rPr>
          <w:rFonts w:ascii="Arial" w:eastAsia="Times New Roman" w:hAnsi="Arial" w:cs="Arial"/>
          <w:sz w:val="24"/>
        </w:rPr>
        <w:t>been</w:t>
      </w:r>
      <w:r w:rsidR="00C66CAF" w:rsidRPr="00C66CAF">
        <w:rPr>
          <w:rFonts w:ascii="Arial" w:eastAsia="Times New Roman" w:hAnsi="Arial" w:cs="Arial"/>
          <w:sz w:val="24"/>
        </w:rPr>
        <w:t xml:space="preserve"> dela</w:t>
      </w:r>
      <w:r w:rsidR="00FF7C66">
        <w:rPr>
          <w:rFonts w:ascii="Arial" w:eastAsia="Times New Roman" w:hAnsi="Arial" w:cs="Arial"/>
          <w:sz w:val="24"/>
        </w:rPr>
        <w:t>yed</w:t>
      </w:r>
      <w:r w:rsidR="00C47CE9">
        <w:rPr>
          <w:rFonts w:ascii="Arial" w:eastAsia="Times New Roman" w:hAnsi="Arial" w:cs="Arial"/>
          <w:sz w:val="24"/>
        </w:rPr>
        <w:t>,</w:t>
      </w:r>
      <w:r w:rsidR="00C66CAF" w:rsidRPr="00C66CAF">
        <w:rPr>
          <w:rFonts w:ascii="Arial" w:eastAsia="Times New Roman" w:hAnsi="Arial" w:cs="Arial"/>
          <w:sz w:val="24"/>
        </w:rPr>
        <w:t xml:space="preserve"> with one stage </w:t>
      </w:r>
      <w:r w:rsidR="00C47CE9">
        <w:rPr>
          <w:rFonts w:ascii="Arial" w:eastAsia="Times New Roman" w:hAnsi="Arial" w:cs="Arial"/>
          <w:sz w:val="24"/>
        </w:rPr>
        <w:t xml:space="preserve">now </w:t>
      </w:r>
      <w:r w:rsidR="00C66CAF" w:rsidRPr="00C66CAF">
        <w:rPr>
          <w:rFonts w:ascii="Arial" w:eastAsia="Times New Roman" w:hAnsi="Arial" w:cs="Arial"/>
          <w:sz w:val="24"/>
          <w:lang w:val="en-GB" w:eastAsia="en-GB"/>
        </w:rPr>
        <w:t xml:space="preserve">not expected to be completed in Q4. Risk </w:t>
      </w:r>
      <w:r w:rsidR="00C47CE9">
        <w:rPr>
          <w:rFonts w:ascii="Arial" w:eastAsia="Times New Roman" w:hAnsi="Arial" w:cs="Arial"/>
          <w:sz w:val="24"/>
          <w:lang w:val="en-GB" w:eastAsia="en-GB"/>
        </w:rPr>
        <w:t>associated with</w:t>
      </w:r>
      <w:r w:rsidR="00C66CAF" w:rsidRPr="00C66CAF">
        <w:rPr>
          <w:rFonts w:ascii="Arial" w:eastAsia="Times New Roman" w:hAnsi="Arial" w:cs="Arial"/>
          <w:sz w:val="24"/>
          <w:lang w:val="en-GB" w:eastAsia="en-GB"/>
        </w:rPr>
        <w:t xml:space="preserve"> key staff dependenc</w:t>
      </w:r>
      <w:r w:rsidR="00C47CE9">
        <w:rPr>
          <w:rFonts w:ascii="Arial" w:eastAsia="Times New Roman" w:hAnsi="Arial" w:cs="Arial"/>
          <w:sz w:val="24"/>
          <w:lang w:val="en-GB" w:eastAsia="en-GB"/>
        </w:rPr>
        <w:t>ies continue to be</w:t>
      </w:r>
      <w:r w:rsidR="00C66CAF" w:rsidRPr="00C66CAF">
        <w:rPr>
          <w:rFonts w:ascii="Arial" w:eastAsia="Times New Roman" w:hAnsi="Arial" w:cs="Arial"/>
          <w:sz w:val="24"/>
          <w:lang w:val="en-GB" w:eastAsia="en-GB"/>
        </w:rPr>
        <w:t xml:space="preserve"> actively managed</w:t>
      </w:r>
      <w:r w:rsidR="00056D65">
        <w:rPr>
          <w:rFonts w:ascii="Arial" w:eastAsia="Times New Roman" w:hAnsi="Arial" w:cs="Arial"/>
          <w:sz w:val="24"/>
          <w:lang w:val="en-GB" w:eastAsia="en-GB"/>
        </w:rPr>
        <w:t xml:space="preserve"> and partial delivery is currently forecast.</w:t>
      </w:r>
    </w:p>
    <w:p w14:paraId="7BBCFB01" w14:textId="6735F2BE" w:rsidR="00AF508D" w:rsidRPr="00FD02F8" w:rsidRDefault="00AF508D" w:rsidP="00FD02F8">
      <w:pPr>
        <w:pStyle w:val="BodyText1"/>
        <w:spacing w:after="240"/>
        <w:jc w:val="both"/>
        <w:rPr>
          <w:b/>
          <w:bCs/>
        </w:rPr>
      </w:pPr>
      <w:r w:rsidRPr="00FD02F8">
        <w:rPr>
          <w:b/>
          <w:bCs/>
        </w:rPr>
        <w:t>Resource Efficiency</w:t>
      </w:r>
    </w:p>
    <w:p w14:paraId="3F5F20C4" w14:textId="753BE823" w:rsidR="001E3D93" w:rsidRPr="00FD02F8" w:rsidRDefault="004B40B2" w:rsidP="00FD02F8">
      <w:pPr>
        <w:pStyle w:val="BodyText1"/>
        <w:numPr>
          <w:ilvl w:val="0"/>
          <w:numId w:val="7"/>
        </w:numPr>
        <w:spacing w:after="240"/>
        <w:jc w:val="both"/>
      </w:pPr>
      <w:r w:rsidRPr="00FD02F8">
        <w:t xml:space="preserve">We are continuing to pursue key results in our preparations to support the 2026-2027 phase of the UK digital waste tracking service implementation by DEFRA and Scottish Government. This is an externally led, four-nations project run by DEFRA, and our confidence in delivery of this objective is influenced by the outcomes not entirely being within SEPA's control. We are </w:t>
      </w:r>
      <w:r w:rsidR="003813FB" w:rsidRPr="00FD02F8">
        <w:t xml:space="preserve">continuing to </w:t>
      </w:r>
      <w:r w:rsidRPr="00FD02F8">
        <w:t>forecast</w:t>
      </w:r>
      <w:r w:rsidR="003813FB" w:rsidRPr="00FD02F8">
        <w:t xml:space="preserve"> </w:t>
      </w:r>
      <w:r w:rsidRPr="00FD02F8">
        <w:t>partial delivery for key results</w:t>
      </w:r>
      <w:r w:rsidR="005105EF" w:rsidRPr="00FD02F8">
        <w:t xml:space="preserve"> </w:t>
      </w:r>
      <w:r w:rsidR="001E3D93" w:rsidRPr="00FD02F8">
        <w:t xml:space="preserve">7.2 and 7.3 </w:t>
      </w:r>
      <w:r w:rsidR="005105EF" w:rsidRPr="00FD02F8">
        <w:t xml:space="preserve">as the </w:t>
      </w:r>
      <w:r w:rsidR="001E3D93" w:rsidRPr="00FD02F8">
        <w:rPr>
          <w:rFonts w:ascii="Arial" w:eastAsia="Times New Roman" w:hAnsi="Arial" w:cs="Arial"/>
          <w:lang w:eastAsia="en-GB"/>
        </w:rPr>
        <w:t>DEFRA led digital build project have noted delays and there is ongoing uncertainty around regulatory requirements. We continue to work closely with DEFRA as well as Scottish Government; however, it remains unclear to what extent SEPA’s requirements will be delivered by the end of the year.</w:t>
      </w:r>
    </w:p>
    <w:p w14:paraId="14E1827B" w14:textId="5E03913F" w:rsidR="004B40B2" w:rsidRPr="00FD02F8" w:rsidRDefault="00477D1E" w:rsidP="00FD02F8">
      <w:pPr>
        <w:pStyle w:val="BodyText1"/>
        <w:spacing w:after="240"/>
        <w:jc w:val="both"/>
        <w:rPr>
          <w:b/>
          <w:bCs/>
        </w:rPr>
      </w:pPr>
      <w:r w:rsidRPr="00FD02F8">
        <w:rPr>
          <w:b/>
          <w:bCs/>
        </w:rPr>
        <w:t>Business Environmental Performance</w:t>
      </w:r>
    </w:p>
    <w:p w14:paraId="62EC4E2E" w14:textId="63AC4BEC" w:rsidR="00477D1E" w:rsidRPr="00FD02F8" w:rsidRDefault="00D45871" w:rsidP="00FD02F8">
      <w:pPr>
        <w:pStyle w:val="BodyText1"/>
        <w:numPr>
          <w:ilvl w:val="0"/>
          <w:numId w:val="7"/>
        </w:numPr>
        <w:spacing w:after="240"/>
        <w:jc w:val="both"/>
      </w:pPr>
      <w:r w:rsidRPr="00FD02F8">
        <w:t xml:space="preserve">There is risk around achieving </w:t>
      </w:r>
      <w:r w:rsidR="00341E0B" w:rsidRPr="00FD02F8">
        <w:t xml:space="preserve">our </w:t>
      </w:r>
      <w:r w:rsidR="002F555B" w:rsidRPr="00FD02F8">
        <w:t>KPI</w:t>
      </w:r>
      <w:r w:rsidR="00341E0B" w:rsidRPr="00FD02F8">
        <w:t xml:space="preserve"> target of completing 80% of in scope planned permit reviews and variations</w:t>
      </w:r>
      <w:r w:rsidR="00416670" w:rsidRPr="00FD02F8">
        <w:t xml:space="preserve"> for 2025/26</w:t>
      </w:r>
      <w:r w:rsidR="00341E0B" w:rsidRPr="00FD02F8">
        <w:t xml:space="preserve">. </w:t>
      </w:r>
      <w:r w:rsidR="00CA4DB2" w:rsidRPr="00FD02F8">
        <w:t xml:space="preserve">Progress with the permit reviews has been delayed by the transition to </w:t>
      </w:r>
      <w:r w:rsidR="009C6097">
        <w:t>the Environmental Authorisations (Scotland) Regulations (</w:t>
      </w:r>
      <w:r w:rsidR="00CA4DB2" w:rsidRPr="00FD02F8">
        <w:t>EASR</w:t>
      </w:r>
      <w:r w:rsidR="009C6097">
        <w:t>)</w:t>
      </w:r>
      <w:r w:rsidR="00CA4DB2" w:rsidRPr="00FD02F8">
        <w:t xml:space="preserve"> and the requirement for clarification around some technical aspects of the indirect discharge and fish feed manufacturers policy positions</w:t>
      </w:r>
      <w:r w:rsidR="009E10B6">
        <w:t>,</w:t>
      </w:r>
      <w:r w:rsidR="00CA4DB2" w:rsidRPr="00FD02F8">
        <w:t xml:space="preserve"> as well as delays in obtaining both internal and external data. These issues are largely resolved</w:t>
      </w:r>
      <w:r w:rsidR="009E10B6">
        <w:t>,</w:t>
      </w:r>
      <w:r w:rsidR="00CA4DB2" w:rsidRPr="00FD02F8">
        <w:t xml:space="preserve"> although the review of four fish feed manufacturers permits will now take longer than originally anticipated. A plan will ensure the internal data is provided in a phased manner to coincide with the ongoing and planned permit reviews. We are working with operators to ensure their data is submitted in the shortest possible timescales.</w:t>
      </w:r>
    </w:p>
    <w:p w14:paraId="43006D70" w14:textId="77777777" w:rsidR="00FC54F5" w:rsidRDefault="00FC54F5" w:rsidP="00FD02F8">
      <w:pPr>
        <w:pStyle w:val="BodyText1"/>
        <w:spacing w:after="240"/>
        <w:rPr>
          <w:b/>
          <w:bCs/>
        </w:rPr>
      </w:pPr>
    </w:p>
    <w:p w14:paraId="182D0DD3" w14:textId="77777777" w:rsidR="00FC54F5" w:rsidRDefault="00FC54F5" w:rsidP="00FD02F8">
      <w:pPr>
        <w:pStyle w:val="BodyText1"/>
        <w:spacing w:after="240"/>
        <w:rPr>
          <w:b/>
          <w:bCs/>
        </w:rPr>
      </w:pPr>
    </w:p>
    <w:p w14:paraId="095899D2" w14:textId="0273310A" w:rsidR="00AF508D" w:rsidRPr="00FD02F8" w:rsidRDefault="00AF508D" w:rsidP="00FD02F8">
      <w:pPr>
        <w:pStyle w:val="BodyText1"/>
        <w:spacing w:after="240"/>
        <w:rPr>
          <w:b/>
          <w:bCs/>
        </w:rPr>
      </w:pPr>
      <w:r w:rsidRPr="00FD02F8">
        <w:rPr>
          <w:b/>
          <w:bCs/>
        </w:rPr>
        <w:lastRenderedPageBreak/>
        <w:t>Our Organisation</w:t>
      </w:r>
    </w:p>
    <w:p w14:paraId="54F972D3" w14:textId="0551983B" w:rsidR="00A16D1D" w:rsidRDefault="00500475" w:rsidP="00A16D1D">
      <w:pPr>
        <w:pStyle w:val="BodyText1"/>
        <w:numPr>
          <w:ilvl w:val="0"/>
          <w:numId w:val="7"/>
        </w:numPr>
        <w:spacing w:after="240"/>
      </w:pPr>
      <w:r w:rsidRPr="00FD02F8">
        <w:t xml:space="preserve">The launch of our Digital Strategy </w:t>
      </w:r>
      <w:r w:rsidR="002A4D3B" w:rsidRPr="00FD02F8">
        <w:t>(originally a milestone due in Q3),</w:t>
      </w:r>
      <w:r w:rsidR="002A4D3B">
        <w:t xml:space="preserve"> </w:t>
      </w:r>
      <w:r w:rsidR="00C87593" w:rsidRPr="00FD02F8">
        <w:t xml:space="preserve">has been delayed </w:t>
      </w:r>
      <w:r w:rsidR="001A1430" w:rsidRPr="00FD02F8">
        <w:t>until Q4</w:t>
      </w:r>
      <w:r w:rsidR="00DA2883" w:rsidRPr="00FD02F8">
        <w:t xml:space="preserve"> </w:t>
      </w:r>
      <w:r w:rsidR="001A1430" w:rsidRPr="00FD02F8">
        <w:t xml:space="preserve">so that our new </w:t>
      </w:r>
      <w:r w:rsidR="002D2C92" w:rsidRPr="00FD02F8">
        <w:t>Head of Digital and Enterprise Architecture has sufficient time to review</w:t>
      </w:r>
      <w:r w:rsidR="00F064D1" w:rsidRPr="00FD02F8">
        <w:t xml:space="preserve"> SEPA</w:t>
      </w:r>
      <w:r w:rsidR="00087401" w:rsidRPr="00FD02F8">
        <w:t>’</w:t>
      </w:r>
      <w:r w:rsidR="00F064D1" w:rsidRPr="00FD02F8">
        <w:t xml:space="preserve">s approach to </w:t>
      </w:r>
      <w:r w:rsidR="0097640A" w:rsidRPr="00FD02F8">
        <w:t>digital.</w:t>
      </w:r>
      <w:r w:rsidR="002F555B" w:rsidRPr="00FD02F8">
        <w:t xml:space="preserve"> </w:t>
      </w:r>
    </w:p>
    <w:p w14:paraId="611D2635" w14:textId="04E6636F" w:rsidR="004007D8" w:rsidRPr="00FD02F8" w:rsidRDefault="00A16D1D" w:rsidP="00A16D1D">
      <w:pPr>
        <w:pStyle w:val="BodyText1"/>
        <w:numPr>
          <w:ilvl w:val="0"/>
          <w:numId w:val="7"/>
        </w:numPr>
        <w:spacing w:after="240"/>
      </w:pPr>
      <w:r w:rsidRPr="00A16D1D">
        <w:t xml:space="preserve">As reported fully in Q2, </w:t>
      </w:r>
      <w:r w:rsidR="00A86359">
        <w:t xml:space="preserve">there has been </w:t>
      </w:r>
      <w:r w:rsidRPr="00A16D1D">
        <w:t>progress on the development of SE</w:t>
      </w:r>
      <w:r>
        <w:t>PA</w:t>
      </w:r>
      <w:r w:rsidRPr="00A16D1D">
        <w:t>’s first Customer Experience Strategy, supported by commissioned external customer research due later this year. To ensure future</w:t>
      </w:r>
      <w:r w:rsidRPr="00A16D1D">
        <w:rPr>
          <w:rFonts w:ascii="Cambria Math" w:hAnsi="Cambria Math" w:cs="Cambria Math"/>
        </w:rPr>
        <w:t>‑</w:t>
      </w:r>
      <w:r w:rsidRPr="00A16D1D">
        <w:t xml:space="preserve">proofing, </w:t>
      </w:r>
      <w:r w:rsidR="00152230">
        <w:t xml:space="preserve">the </w:t>
      </w:r>
      <w:r w:rsidRPr="00A16D1D">
        <w:t xml:space="preserve">delivery of </w:t>
      </w:r>
      <w:r w:rsidR="006F6BBB">
        <w:t>k</w:t>
      </w:r>
      <w:r w:rsidR="00C70BFE">
        <w:t xml:space="preserve">ey </w:t>
      </w:r>
      <w:r w:rsidR="006F6BBB">
        <w:t>r</w:t>
      </w:r>
      <w:r w:rsidR="00C70BFE">
        <w:t xml:space="preserve">esults </w:t>
      </w:r>
      <w:r w:rsidR="00C70BFE" w:rsidRPr="00A16D1D">
        <w:t>10.1 and 10.3</w:t>
      </w:r>
      <w:r w:rsidR="00B3496E">
        <w:t xml:space="preserve"> </w:t>
      </w:r>
      <w:r w:rsidRPr="00A16D1D">
        <w:t xml:space="preserve">has been paused for review in 2026/27, with no associated risks. In the interim, the Customer Hub remains fully resourced and effective. Work continues on the platform tender process, and </w:t>
      </w:r>
      <w:r w:rsidR="006F6BBB">
        <w:t>k</w:t>
      </w:r>
      <w:r w:rsidR="00F401DA">
        <w:t xml:space="preserve">ey </w:t>
      </w:r>
      <w:r w:rsidR="006F6BBB">
        <w:t>r</w:t>
      </w:r>
      <w:r w:rsidR="00F401DA">
        <w:t xml:space="preserve">esult </w:t>
      </w:r>
      <w:r w:rsidRPr="00A16D1D">
        <w:t>10.2</w:t>
      </w:r>
      <w:r w:rsidR="004D2B36">
        <w:t xml:space="preserve"> (</w:t>
      </w:r>
      <w:r w:rsidR="004D2B36" w:rsidRPr="00A16D1D">
        <w:t>excluding new digital channels</w:t>
      </w:r>
      <w:r w:rsidR="004D2B36">
        <w:t>)</w:t>
      </w:r>
      <w:r w:rsidR="00A5548A">
        <w:t xml:space="preserve">, </w:t>
      </w:r>
      <w:r w:rsidRPr="00A16D1D">
        <w:t>will be progressed through a test</w:t>
      </w:r>
      <w:r w:rsidRPr="00A16D1D">
        <w:rPr>
          <w:rFonts w:ascii="Cambria Math" w:hAnsi="Cambria Math" w:cs="Cambria Math"/>
        </w:rPr>
        <w:t>‑</w:t>
      </w:r>
      <w:r w:rsidRPr="00A16D1D">
        <w:t>and</w:t>
      </w:r>
      <w:r w:rsidRPr="00A16D1D">
        <w:rPr>
          <w:rFonts w:ascii="Cambria Math" w:hAnsi="Cambria Math" w:cs="Cambria Math"/>
        </w:rPr>
        <w:t>‑</w:t>
      </w:r>
      <w:r w:rsidRPr="00A16D1D">
        <w:t>learn approach</w:t>
      </w:r>
      <w:r w:rsidR="00F401DA">
        <w:t xml:space="preserve"> </w:t>
      </w:r>
      <w:r w:rsidRPr="00A16D1D">
        <w:t>with implementation by the end of Q4</w:t>
      </w:r>
      <w:r w:rsidR="00C612B3">
        <w:t>,</w:t>
      </w:r>
      <w:r w:rsidR="00C612B3" w:rsidRPr="00C612B3">
        <w:rPr>
          <w:rFonts w:ascii="Segoe UI" w:hAnsi="Segoe UI" w:cs="Segoe UI"/>
          <w:color w:val="424242"/>
          <w:shd w:val="clear" w:color="auto" w:fill="F5F5F5"/>
        </w:rPr>
        <w:t xml:space="preserve"> </w:t>
      </w:r>
      <w:r w:rsidR="00C612B3" w:rsidRPr="00C612B3">
        <w:t>to align with the broader programme timeline</w:t>
      </w:r>
      <w:r w:rsidR="00C612B3">
        <w:t>.</w:t>
      </w:r>
    </w:p>
    <w:p w14:paraId="4AB0AC12" w14:textId="1DBBAC56" w:rsidR="00CF0170" w:rsidRPr="00FD02F8" w:rsidRDefault="00D13965" w:rsidP="00FD02F8">
      <w:pPr>
        <w:pStyle w:val="BodyText1"/>
        <w:spacing w:after="240"/>
        <w:jc w:val="both"/>
        <w:rPr>
          <w:rFonts w:ascii="Arial" w:eastAsia="SimSun" w:hAnsi="Arial" w:cs="Arial"/>
          <w:kern w:val="1"/>
          <w:lang w:eastAsia="hi-IN" w:bidi="hi-IN"/>
        </w:rPr>
        <w:sectPr w:rsidR="00CF0170" w:rsidRPr="00FD02F8" w:rsidSect="00AB47A1">
          <w:headerReference w:type="even" r:id="rId15"/>
          <w:headerReference w:type="default" r:id="rId16"/>
          <w:footerReference w:type="even" r:id="rId17"/>
          <w:footerReference w:type="default" r:id="rId18"/>
          <w:headerReference w:type="first" r:id="rId19"/>
          <w:footerReference w:type="first" r:id="rId20"/>
          <w:pgSz w:w="11906" w:h="16838" w:code="9"/>
          <w:pgMar w:top="1440" w:right="1083" w:bottom="567" w:left="1083" w:header="567" w:footer="567" w:gutter="0"/>
          <w:pgNumType w:start="0"/>
          <w:cols w:space="708"/>
          <w:titlePg/>
          <w:docGrid w:linePitch="360"/>
        </w:sectPr>
      </w:pPr>
      <w:r w:rsidRPr="00FD02F8">
        <w:t>We continue</w:t>
      </w:r>
      <w:r w:rsidR="003F0B14" w:rsidRPr="00FD02F8">
        <w:t xml:space="preserve"> to </w:t>
      </w:r>
      <w:r w:rsidR="00917BA4" w:rsidRPr="00FD02F8">
        <w:t>develop our</w:t>
      </w:r>
      <w:r w:rsidR="00AC5B0A" w:rsidRPr="00FD02F8">
        <w:rPr>
          <w:rFonts w:ascii="Arial" w:eastAsia="SimSun" w:hAnsi="Arial" w:cs="Arial"/>
          <w:kern w:val="1"/>
          <w:lang w:eastAsia="hi-IN" w:bidi="hi-IN"/>
        </w:rPr>
        <w:t xml:space="preserve"> reporting mechanism</w:t>
      </w:r>
      <w:r w:rsidR="00AD60B0" w:rsidRPr="00FD02F8">
        <w:rPr>
          <w:rFonts w:ascii="Arial" w:eastAsia="SimSun" w:hAnsi="Arial" w:cs="Arial"/>
          <w:kern w:val="1"/>
          <w:lang w:eastAsia="hi-IN" w:bidi="hi-IN"/>
        </w:rPr>
        <w:t>s</w:t>
      </w:r>
      <w:r w:rsidR="000F4E84" w:rsidRPr="00FD02F8">
        <w:rPr>
          <w:rFonts w:ascii="Arial" w:eastAsia="SimSun" w:hAnsi="Arial" w:cs="Arial"/>
          <w:kern w:val="1"/>
          <w:lang w:eastAsia="hi-IN" w:bidi="hi-IN"/>
        </w:rPr>
        <w:t xml:space="preserve"> </w:t>
      </w:r>
      <w:r w:rsidR="00E964C5" w:rsidRPr="00FD02F8">
        <w:rPr>
          <w:rFonts w:ascii="Arial" w:eastAsia="SimSun" w:hAnsi="Arial" w:cs="Arial"/>
          <w:kern w:val="1"/>
          <w:lang w:eastAsia="hi-IN" w:bidi="hi-IN"/>
        </w:rPr>
        <w:t xml:space="preserve">and style </w:t>
      </w:r>
      <w:r w:rsidR="000F4E84" w:rsidRPr="00FD02F8">
        <w:rPr>
          <w:rFonts w:ascii="Arial" w:eastAsia="SimSun" w:hAnsi="Arial" w:cs="Arial"/>
          <w:kern w:val="1"/>
          <w:lang w:eastAsia="hi-IN" w:bidi="hi-IN"/>
        </w:rPr>
        <w:t xml:space="preserve">to enable effective scrutiny of </w:t>
      </w:r>
      <w:r w:rsidR="00FC6110" w:rsidRPr="00FD02F8">
        <w:rPr>
          <w:rFonts w:ascii="Arial" w:eastAsia="SimSun" w:hAnsi="Arial" w:cs="Arial"/>
          <w:kern w:val="1"/>
          <w:lang w:eastAsia="hi-IN" w:bidi="hi-IN"/>
        </w:rPr>
        <w:t xml:space="preserve">our </w:t>
      </w:r>
      <w:r w:rsidR="000F4E84" w:rsidRPr="00FD02F8">
        <w:rPr>
          <w:rFonts w:ascii="Arial" w:eastAsia="SimSun" w:hAnsi="Arial" w:cs="Arial"/>
          <w:kern w:val="1"/>
          <w:lang w:eastAsia="hi-IN" w:bidi="hi-IN"/>
        </w:rPr>
        <w:t>delivery</w:t>
      </w:r>
      <w:r w:rsidR="00F408A2" w:rsidRPr="00FD02F8">
        <w:rPr>
          <w:rFonts w:ascii="Arial" w:eastAsia="SimSun" w:hAnsi="Arial" w:cs="Arial"/>
          <w:kern w:val="1"/>
          <w:lang w:eastAsia="hi-IN" w:bidi="hi-IN"/>
        </w:rPr>
        <w:t xml:space="preserve"> in the upcoming period. </w:t>
      </w:r>
      <w:bookmarkStart w:id="10" w:name="_Toc163654243"/>
      <w:bookmarkStart w:id="11" w:name="_Toc164867871"/>
    </w:p>
    <w:p w14:paraId="012EAE6E" w14:textId="359828EE" w:rsidR="00CC14A5" w:rsidRPr="00FD02F8" w:rsidRDefault="4669FD0C" w:rsidP="00C02104">
      <w:pPr>
        <w:pStyle w:val="Heading1"/>
        <w:spacing w:after="240" w:line="240" w:lineRule="auto"/>
        <w:rPr>
          <w:sz w:val="48"/>
          <w:szCs w:val="48"/>
        </w:rPr>
      </w:pPr>
      <w:bookmarkStart w:id="12" w:name="_Toc1401122898"/>
      <w:r w:rsidRPr="00FD02F8">
        <w:rPr>
          <w:sz w:val="48"/>
          <w:szCs w:val="48"/>
        </w:rPr>
        <w:lastRenderedPageBreak/>
        <w:t xml:space="preserve">2. </w:t>
      </w:r>
      <w:r w:rsidRPr="00FD02F8">
        <w:tab/>
      </w:r>
      <w:r w:rsidR="16E84D52" w:rsidRPr="00FD02F8">
        <w:rPr>
          <w:sz w:val="48"/>
          <w:szCs w:val="48"/>
        </w:rPr>
        <w:t xml:space="preserve">Performance </w:t>
      </w:r>
      <w:r w:rsidR="0989C4F2" w:rsidRPr="00FD02F8">
        <w:rPr>
          <w:sz w:val="48"/>
          <w:szCs w:val="48"/>
        </w:rPr>
        <w:t>S</w:t>
      </w:r>
      <w:r w:rsidR="16E84D52" w:rsidRPr="00FD02F8">
        <w:rPr>
          <w:sz w:val="48"/>
          <w:szCs w:val="48"/>
        </w:rPr>
        <w:t>ummary</w:t>
      </w:r>
      <w:bookmarkEnd w:id="10"/>
      <w:bookmarkEnd w:id="11"/>
      <w:bookmarkEnd w:id="12"/>
    </w:p>
    <w:p w14:paraId="067CEDDC" w14:textId="452362BA" w:rsidR="00656A2C" w:rsidRPr="00FD02F8" w:rsidRDefault="00703DBD" w:rsidP="00443742">
      <w:pPr>
        <w:spacing w:after="240"/>
      </w:pPr>
      <w:r w:rsidRPr="00FD02F8">
        <w:t>This section provides a</w:t>
      </w:r>
      <w:r w:rsidR="00B7597B" w:rsidRPr="00FD02F8">
        <w:t xml:space="preserve"> high</w:t>
      </w:r>
      <w:r w:rsidR="00AC48B6" w:rsidRPr="00FD02F8">
        <w:t>-</w:t>
      </w:r>
      <w:r w:rsidR="00B7597B" w:rsidRPr="00FD02F8">
        <w:t>level</w:t>
      </w:r>
      <w:r w:rsidR="00C02104" w:rsidRPr="00FD02F8">
        <w:t>,</w:t>
      </w:r>
      <w:r w:rsidR="00815100" w:rsidRPr="00FD02F8">
        <w:t xml:space="preserve"> visual</w:t>
      </w:r>
      <w:r w:rsidR="00B7597B" w:rsidRPr="00FD02F8">
        <w:t xml:space="preserve"> summary of the </w:t>
      </w:r>
      <w:r w:rsidR="002E7F1F" w:rsidRPr="00FD02F8">
        <w:t>status</w:t>
      </w:r>
      <w:r w:rsidR="00B7597B" w:rsidRPr="00FD02F8">
        <w:t xml:space="preserve"> of each </w:t>
      </w:r>
      <w:r w:rsidR="00815100" w:rsidRPr="00FD02F8">
        <w:t>OKR and KPI</w:t>
      </w:r>
      <w:r w:rsidR="002E7F1F" w:rsidRPr="00FD02F8">
        <w:t xml:space="preserve"> </w:t>
      </w:r>
      <w:r w:rsidR="00B7597B" w:rsidRPr="00FD02F8">
        <w:t xml:space="preserve">for quarter </w:t>
      </w:r>
      <w:r w:rsidR="005E27EC">
        <w:t>three</w:t>
      </w:r>
      <w:r w:rsidR="00656A2C" w:rsidRPr="00FD02F8">
        <w:t xml:space="preserve">. </w:t>
      </w:r>
    </w:p>
    <w:p w14:paraId="1B62025F" w14:textId="7F949B83" w:rsidR="00647399" w:rsidRPr="00FD02F8" w:rsidRDefault="00417355" w:rsidP="0075136D">
      <w:pPr>
        <w:spacing w:after="240" w:line="240" w:lineRule="auto"/>
        <w:rPr>
          <w:b/>
          <w:bCs/>
          <w:i/>
          <w:iCs/>
          <w:color w:val="016574"/>
        </w:rPr>
      </w:pPr>
      <w:r w:rsidRPr="00FD02F8">
        <w:rPr>
          <w:b/>
          <w:i/>
          <w:color w:val="016574" w:themeColor="accent2"/>
        </w:rPr>
        <w:t xml:space="preserve">Figure 1: </w:t>
      </w:r>
      <w:r w:rsidR="004333FB" w:rsidRPr="00FD02F8">
        <w:rPr>
          <w:b/>
          <w:i/>
          <w:color w:val="016574" w:themeColor="accent2"/>
        </w:rPr>
        <w:t xml:space="preserve">Overall </w:t>
      </w:r>
      <w:r w:rsidRPr="00FD02F8">
        <w:rPr>
          <w:b/>
          <w:i/>
          <w:color w:val="016574" w:themeColor="accent2"/>
        </w:rPr>
        <w:t>OKRs by status as at Q</w:t>
      </w:r>
      <w:r w:rsidR="002645D1" w:rsidRPr="00FD02F8">
        <w:rPr>
          <w:b/>
          <w:i/>
          <w:color w:val="016574" w:themeColor="accent2"/>
        </w:rPr>
        <w:t>3</w:t>
      </w:r>
      <w:r w:rsidR="00F4501A" w:rsidRPr="00FD02F8">
        <w:rPr>
          <w:b/>
          <w:i/>
          <w:color w:val="016574" w:themeColor="accent2"/>
        </w:rPr>
        <w:t>.</w:t>
      </w:r>
      <w:r w:rsidR="689A4A09" w:rsidRPr="00FD02F8">
        <w:rPr>
          <w:b/>
          <w:bCs/>
          <w:i/>
          <w:iCs/>
          <w:color w:val="016574" w:themeColor="accent2"/>
        </w:rPr>
        <w:t xml:space="preserve"> </w:t>
      </w:r>
      <w:r w:rsidRPr="00FD02F8">
        <w:tab/>
      </w:r>
      <w:r w:rsidRPr="00FD02F8">
        <w:tab/>
      </w:r>
      <w:r w:rsidR="00086DD3" w:rsidRPr="00FD02F8">
        <w:tab/>
      </w:r>
      <w:r w:rsidR="00086DD3" w:rsidRPr="00FD02F8">
        <w:tab/>
      </w:r>
      <w:r w:rsidR="00626477" w:rsidRPr="00FD02F8">
        <w:rPr>
          <w:b/>
          <w:i/>
          <w:color w:val="016574" w:themeColor="accent2"/>
        </w:rPr>
        <w:t xml:space="preserve">   </w:t>
      </w:r>
      <w:r w:rsidR="00EA1875" w:rsidRPr="00FD02F8">
        <w:rPr>
          <w:b/>
          <w:i/>
          <w:color w:val="016574" w:themeColor="accent2"/>
        </w:rPr>
        <w:tab/>
      </w:r>
      <w:r w:rsidR="001D71AB" w:rsidRPr="00FD02F8">
        <w:rPr>
          <w:b/>
          <w:i/>
          <w:color w:val="016574" w:themeColor="accent2"/>
        </w:rPr>
        <w:tab/>
      </w:r>
      <w:r w:rsidRPr="00FD02F8">
        <w:rPr>
          <w:b/>
          <w:i/>
          <w:color w:val="016574" w:themeColor="accent2"/>
        </w:rPr>
        <w:t xml:space="preserve">Figure 2: Breakdown of </w:t>
      </w:r>
      <w:r w:rsidR="004333FB" w:rsidRPr="00FD02F8">
        <w:rPr>
          <w:b/>
          <w:i/>
          <w:color w:val="016574" w:themeColor="accent2"/>
        </w:rPr>
        <w:t xml:space="preserve">overall </w:t>
      </w:r>
      <w:r w:rsidRPr="00FD02F8">
        <w:rPr>
          <w:b/>
          <w:i/>
          <w:color w:val="016574" w:themeColor="accent2"/>
        </w:rPr>
        <w:t>OKRs by status</w:t>
      </w:r>
      <w:r w:rsidR="00BD17B6" w:rsidRPr="00FD02F8">
        <w:rPr>
          <w:b/>
          <w:i/>
          <w:color w:val="016574" w:themeColor="accent2"/>
        </w:rPr>
        <w:t xml:space="preserve"> and quarter</w:t>
      </w:r>
      <w:r w:rsidR="00F4501A" w:rsidRPr="00FD02F8">
        <w:rPr>
          <w:b/>
          <w:i/>
          <w:color w:val="016574" w:themeColor="accent2"/>
        </w:rPr>
        <w:t>.</w:t>
      </w:r>
    </w:p>
    <w:p w14:paraId="02BC5B50" w14:textId="57A495B2" w:rsidR="00BC039E" w:rsidRPr="00FD02F8" w:rsidRDefault="00C82212" w:rsidP="0075136D">
      <w:pPr>
        <w:spacing w:after="240" w:line="240" w:lineRule="auto"/>
        <w:rPr>
          <w:b/>
          <w:bCs/>
          <w:i/>
          <w:iCs/>
        </w:rPr>
      </w:pPr>
      <w:r>
        <w:rPr>
          <w:noProof/>
        </w:rPr>
        <w:drawing>
          <wp:inline distT="0" distB="0" distL="0" distR="0" wp14:anchorId="600FA2A2" wp14:editId="15923F1F">
            <wp:extent cx="4736465" cy="3422015"/>
            <wp:effectExtent l="0" t="0" r="6985" b="6985"/>
            <wp:docPr id="1196511442" name="Chart 1" descr="Figure 1: Overall OKRs by status as at Q3. &#10;Graph shows a percentage break down of our 11 OKRs by their associated delivery status over each quarter. &#10;&#10;For Q3, this is noted as:&#10;55% delivering.&#10;27% progressing.&#10;18% no progression.&#10;">
              <a:extLst xmlns:a="http://schemas.openxmlformats.org/drawingml/2006/main">
                <a:ext uri="{FF2B5EF4-FFF2-40B4-BE49-F238E27FC236}">
                  <a16:creationId xmlns:a16="http://schemas.microsoft.com/office/drawing/2014/main" id="{789253A6-4505-42A3-A553-5120E067D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A46215" w:rsidRPr="00FD02F8">
        <w:rPr>
          <w:b/>
          <w:bCs/>
          <w:i/>
          <w:iCs/>
          <w:noProof/>
        </w:rPr>
        <mc:AlternateContent>
          <mc:Choice Requires="wps">
            <w:drawing>
              <wp:anchor distT="45720" distB="45720" distL="114300" distR="114300" simplePos="0" relativeHeight="251650048" behindDoc="0" locked="0" layoutInCell="1" allowOverlap="1" wp14:anchorId="0A6E6797" wp14:editId="03928DAD">
                <wp:simplePos x="0" y="0"/>
                <wp:positionH relativeFrom="column">
                  <wp:posOffset>3590667</wp:posOffset>
                </wp:positionH>
                <wp:positionV relativeFrom="paragraph">
                  <wp:posOffset>2987059</wp:posOffset>
                </wp:positionV>
                <wp:extent cx="688490" cy="301214"/>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90" cy="301214"/>
                        </a:xfrm>
                        <a:prstGeom prst="rect">
                          <a:avLst/>
                        </a:prstGeom>
                        <a:noFill/>
                        <a:ln w="9525">
                          <a:noFill/>
                          <a:miter lim="800000"/>
                          <a:headEnd/>
                          <a:tailEnd/>
                        </a:ln>
                      </wps:spPr>
                      <wps:txbx>
                        <w:txbxContent>
                          <w:p w14:paraId="3EE4C18F" w14:textId="23DAC7A6" w:rsidR="00FE6E18" w:rsidRPr="00FD02F8" w:rsidRDefault="00FE6E18">
                            <w:pPr>
                              <w:rPr>
                                <w:color w:val="808080" w:themeColor="background1" w:themeShade="80"/>
                              </w:rPr>
                            </w:pPr>
                            <w:r w:rsidRPr="00FD02F8">
                              <w:rPr>
                                <w:color w:val="808080" w:themeColor="background1" w:themeShade="80"/>
                              </w:rPr>
                              <w:t>(N=11)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E6797" id="Text Box 2" o:spid="_x0000_s1027" type="#_x0000_t202" style="position:absolute;margin-left:282.75pt;margin-top:235.2pt;width:54.2pt;height:23.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" filled="f" stroked="f">
                <v:textbox>
                  <w:txbxContent>
                    <w:p w14:paraId="3EE4C18F" w14:textId="23DAC7A6" w:rsidR="00FE6E18" w:rsidRPr="00FD02F8" w:rsidRDefault="00FE6E18">
                      <w:pPr>
                        <w:rPr>
                          <w:color w:val="808080" w:themeColor="background1" w:themeShade="80"/>
                        </w:rPr>
                      </w:pPr>
                      <w:r w:rsidRPr="00FD02F8">
                        <w:rPr>
                          <w:color w:val="808080" w:themeColor="background1" w:themeShade="80"/>
                        </w:rPr>
                        <w:t>(N=11)</w:t>
                      </w:r>
                    </w:p>
                  </w:txbxContent>
                </v:textbox>
              </v:shape>
            </w:pict>
          </mc:Fallback>
        </mc:AlternateContent>
      </w:r>
      <w:r w:rsidR="009B6FDE" w:rsidRPr="00FD02F8">
        <w:t xml:space="preserve"> </w:t>
      </w:r>
      <w:r w:rsidR="004425B6">
        <w:rPr>
          <w:noProof/>
        </w:rPr>
        <w:drawing>
          <wp:inline distT="0" distB="0" distL="0" distR="0" wp14:anchorId="59D151B6" wp14:editId="628600EA">
            <wp:extent cx="8915400" cy="3427094"/>
            <wp:effectExtent l="0" t="0" r="0" b="2540"/>
            <wp:docPr id="120890562" name="Chart 1" descr="Figure 2: Breakdown of overall OKRs by status and quarter. &#10;Graph shows a numeric break down of our 11 OKRs by their associated delivery status across each quarter. &#10;For Q1, this is noted as:&#10;2 delivering.&#10;4 progressing.&#10;3 no progression.&#10;2 not started.&#10;&#10;For Q2, this is noted as:&#10;2 delivering.&#10;6 progressing.&#10;1 no progression.&#10;2 not started.&#10;&#10;For Q3, this is noted as:&#10;6 delivering.&#10;3 progressing.&#10;2 no progression.&#10;">
              <a:extLst xmlns:a="http://schemas.openxmlformats.org/drawingml/2006/main">
                <a:ext uri="{FF2B5EF4-FFF2-40B4-BE49-F238E27FC236}">
                  <a16:creationId xmlns:a16="http://schemas.microsoft.com/office/drawing/2014/main" id="{90BBD272-D27B-4ECA-B823-DB09CE775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4B8BCF" w14:textId="1D139286" w:rsidR="00CC2ABD" w:rsidRPr="00FD02F8" w:rsidRDefault="00ED006B" w:rsidP="0075136D">
      <w:pPr>
        <w:spacing w:after="240" w:line="240" w:lineRule="auto"/>
        <w:rPr>
          <w:b/>
          <w:bCs/>
          <w:i/>
          <w:iCs/>
          <w:color w:val="016574"/>
        </w:rPr>
      </w:pPr>
      <w:r w:rsidRPr="00FD02F8">
        <w:rPr>
          <w:color w:val="016574" w:themeColor="accent2"/>
        </w:rPr>
        <w:t xml:space="preserve"> </w:t>
      </w:r>
      <w:r w:rsidR="00E57D7E" w:rsidRPr="00FD02F8">
        <w:rPr>
          <w:b/>
          <w:i/>
          <w:color w:val="016574" w:themeColor="accent2"/>
        </w:rPr>
        <w:t xml:space="preserve">Figure </w:t>
      </w:r>
      <w:r w:rsidR="00422C92" w:rsidRPr="00FD02F8">
        <w:rPr>
          <w:b/>
          <w:i/>
          <w:color w:val="016574" w:themeColor="accent2"/>
        </w:rPr>
        <w:t>3</w:t>
      </w:r>
      <w:r w:rsidR="00E57D7E" w:rsidRPr="00FD02F8">
        <w:rPr>
          <w:b/>
          <w:i/>
          <w:color w:val="016574" w:themeColor="accent2"/>
        </w:rPr>
        <w:t xml:space="preserve">: KPIs by status </w:t>
      </w:r>
      <w:r w:rsidR="00086DD3" w:rsidRPr="00FD02F8">
        <w:rPr>
          <w:b/>
          <w:i/>
          <w:color w:val="016574" w:themeColor="accent2"/>
        </w:rPr>
        <w:t>as at Q</w:t>
      </w:r>
      <w:r w:rsidR="00BB0216" w:rsidRPr="00FD02F8">
        <w:rPr>
          <w:b/>
          <w:i/>
          <w:color w:val="016574" w:themeColor="accent2"/>
        </w:rPr>
        <w:t>3</w:t>
      </w:r>
      <w:r w:rsidR="00F4501A" w:rsidRPr="00FD02F8">
        <w:rPr>
          <w:b/>
          <w:i/>
          <w:color w:val="016574" w:themeColor="accent2"/>
        </w:rPr>
        <w:t>.</w:t>
      </w:r>
      <w:r w:rsidR="577F5C6B" w:rsidRPr="00FD02F8">
        <w:rPr>
          <w:b/>
          <w:bCs/>
          <w:i/>
          <w:iCs/>
          <w:color w:val="016574" w:themeColor="accent2"/>
        </w:rPr>
        <w:t xml:space="preserve"> </w:t>
      </w:r>
      <w:r w:rsidR="00EA1875" w:rsidRPr="00FD02F8">
        <w:rPr>
          <w:b/>
          <w:bCs/>
          <w:i/>
          <w:iCs/>
          <w:color w:val="016574" w:themeColor="accent2"/>
        </w:rPr>
        <w:t xml:space="preserve">   </w:t>
      </w:r>
      <w:r w:rsidR="00086DD3" w:rsidRPr="00FD02F8">
        <w:tab/>
      </w:r>
      <w:r w:rsidR="00086DD3" w:rsidRPr="00FD02F8">
        <w:tab/>
      </w:r>
      <w:r w:rsidR="00086DD3" w:rsidRPr="00FD02F8">
        <w:tab/>
      </w:r>
      <w:r w:rsidR="00626477" w:rsidRPr="00FD02F8">
        <w:tab/>
      </w:r>
      <w:r w:rsidR="00626477" w:rsidRPr="00FD02F8">
        <w:rPr>
          <w:b/>
          <w:i/>
          <w:color w:val="016574" w:themeColor="accent2"/>
        </w:rPr>
        <w:t xml:space="preserve">   </w:t>
      </w:r>
      <w:r w:rsidR="00EA1875" w:rsidRPr="00FD02F8">
        <w:rPr>
          <w:b/>
          <w:i/>
          <w:color w:val="016574" w:themeColor="accent2"/>
        </w:rPr>
        <w:tab/>
      </w:r>
      <w:r w:rsidR="00EA1875" w:rsidRPr="00FD02F8">
        <w:rPr>
          <w:b/>
          <w:i/>
          <w:color w:val="016574" w:themeColor="accent2"/>
        </w:rPr>
        <w:tab/>
      </w:r>
      <w:r w:rsidR="00EA1875" w:rsidRPr="00FD02F8">
        <w:rPr>
          <w:b/>
          <w:i/>
          <w:color w:val="016574" w:themeColor="accent2"/>
        </w:rPr>
        <w:tab/>
      </w:r>
      <w:r w:rsidR="00086DD3" w:rsidRPr="00FD02F8">
        <w:rPr>
          <w:b/>
          <w:i/>
          <w:color w:val="016574" w:themeColor="accent2"/>
        </w:rPr>
        <w:t>Figure 4: Breakdown of KPIs by status and quarter</w:t>
      </w:r>
      <w:r w:rsidR="00F4501A" w:rsidRPr="00FD02F8">
        <w:rPr>
          <w:b/>
          <w:i/>
          <w:color w:val="016574" w:themeColor="accent2"/>
        </w:rPr>
        <w:t>.</w:t>
      </w:r>
    </w:p>
    <w:p w14:paraId="74603689" w14:textId="7DEBC6E9" w:rsidR="00C45A5A" w:rsidRPr="00FD02F8" w:rsidRDefault="004132A4" w:rsidP="0075136D">
      <w:pPr>
        <w:spacing w:after="240" w:line="240" w:lineRule="auto"/>
      </w:pPr>
      <w:r>
        <w:rPr>
          <w:noProof/>
        </w:rPr>
        <w:drawing>
          <wp:inline distT="0" distB="0" distL="0" distR="0" wp14:anchorId="113224E9" wp14:editId="0A105BD6">
            <wp:extent cx="4736465" cy="3862317"/>
            <wp:effectExtent l="0" t="0" r="6985" b="5080"/>
            <wp:docPr id="1025759081" name="Chart 1" descr="Figure 3: Overall KPIs by status as at Q3. &#10;Graph shows a percentage break down of the KPIs by their associated delivery status over each quarter. &#10;&#10;For Q3, this is noted as:&#10;70% Achieving&#10;22% Partially achieving.&#10;9% Not achieving.">
              <a:extLst xmlns:a="http://schemas.openxmlformats.org/drawingml/2006/main">
                <a:ext uri="{FF2B5EF4-FFF2-40B4-BE49-F238E27FC236}">
                  <a16:creationId xmlns:a16="http://schemas.microsoft.com/office/drawing/2014/main" id="{9EDF4C68-8590-45CA-B27B-1CB3E891D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D7E26" w:rsidRPr="00FD02F8">
        <w:t xml:space="preserve"> </w:t>
      </w:r>
      <w:r>
        <w:rPr>
          <w:noProof/>
        </w:rPr>
        <w:drawing>
          <wp:inline distT="0" distB="0" distL="0" distR="0" wp14:anchorId="593ADB18" wp14:editId="6AC2EA4A">
            <wp:extent cx="8915400" cy="3856033"/>
            <wp:effectExtent l="0" t="0" r="0" b="11430"/>
            <wp:docPr id="1298367018" name="Chart 1" descr="Figure 4: Breakdown of KPIs by status and quarter. &#10;Graph shows a numeric break down of our KPIs by their associated delivery status across each quarter. &#10;For Q1, this is noted as:&#10;10 achieving.&#10;4 partially achieved.&#10;1 not achieving.&#10;8 not yet reported. &#10;&#10;&#10;For Q2, this is noted as:&#10;11 achieving.&#10;5 partially achieved.&#10;7 not yet reported. &#10;&#10;For Q3, this is noted as:&#10;16 achieving.&#10;5 partially achieved.&#10;2 not achieving. ">
              <a:extLst xmlns:a="http://schemas.openxmlformats.org/drawingml/2006/main">
                <a:ext uri="{FF2B5EF4-FFF2-40B4-BE49-F238E27FC236}">
                  <a16:creationId xmlns:a16="http://schemas.microsoft.com/office/drawing/2014/main" id="{AE6307B1-1D8B-470E-B5A0-72227532C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79150C" w14:textId="5025F64D" w:rsidR="00C02104" w:rsidRPr="00FD02F8" w:rsidRDefault="00C02104" w:rsidP="00C02104">
      <w:pPr>
        <w:pStyle w:val="Heading2"/>
        <w:spacing w:before="120" w:after="120"/>
        <w:ind w:left="720" w:hanging="720"/>
      </w:pPr>
      <w:bookmarkStart w:id="13" w:name="_Toc206390042"/>
      <w:bookmarkStart w:id="14" w:name="_Toc527849685"/>
      <w:r w:rsidRPr="00FD02F8">
        <w:lastRenderedPageBreak/>
        <w:t xml:space="preserve">2.1 Annual </w:t>
      </w:r>
      <w:r w:rsidR="3480252F" w:rsidRPr="00FD02F8">
        <w:t>O</w:t>
      </w:r>
      <w:r w:rsidRPr="00FD02F8">
        <w:t xml:space="preserve">bjectives and </w:t>
      </w:r>
      <w:r w:rsidR="13DA0ED1" w:rsidRPr="00FD02F8">
        <w:t>K</w:t>
      </w:r>
      <w:r w:rsidRPr="00FD02F8">
        <w:t xml:space="preserve">ey </w:t>
      </w:r>
      <w:r w:rsidR="282FAE5C" w:rsidRPr="00FD02F8">
        <w:t>R</w:t>
      </w:r>
      <w:r w:rsidRPr="00FD02F8">
        <w:t>esults (OKRs) – Progress and exception summary</w:t>
      </w:r>
      <w:bookmarkEnd w:id="13"/>
      <w:bookmarkEnd w:id="14"/>
    </w:p>
    <w:p w14:paraId="63260971" w14:textId="261C4EC7" w:rsidR="00955EBB" w:rsidRPr="00FD02F8" w:rsidRDefault="00313CE8" w:rsidP="00955EBB">
      <w:pPr>
        <w:spacing w:after="120"/>
        <w:rPr>
          <w:szCs w:val="28"/>
        </w:rPr>
      </w:pPr>
      <w:r w:rsidRPr="00FD02F8">
        <w:rPr>
          <w:szCs w:val="28"/>
        </w:rPr>
        <w:t xml:space="preserve">This section provides </w:t>
      </w:r>
      <w:r w:rsidR="00A907F8" w:rsidRPr="00FD02F8">
        <w:rPr>
          <w:szCs w:val="28"/>
        </w:rPr>
        <w:t xml:space="preserve">a summary of </w:t>
      </w:r>
      <w:r w:rsidR="00230C1C" w:rsidRPr="00FD02F8">
        <w:rPr>
          <w:szCs w:val="28"/>
        </w:rPr>
        <w:t xml:space="preserve">progress and any exception commentary </w:t>
      </w:r>
      <w:r w:rsidR="00035BDC" w:rsidRPr="00FD02F8">
        <w:rPr>
          <w:szCs w:val="28"/>
        </w:rPr>
        <w:t>for our OKRs as at Q</w:t>
      </w:r>
      <w:r w:rsidR="00F76E20" w:rsidRPr="00FD02F8">
        <w:rPr>
          <w:szCs w:val="28"/>
        </w:rPr>
        <w:t>2</w:t>
      </w:r>
      <w:r w:rsidR="00035BDC" w:rsidRPr="00FD02F8">
        <w:rPr>
          <w:szCs w:val="28"/>
        </w:rPr>
        <w:t>. T</w:t>
      </w:r>
      <w:r w:rsidR="00A536DC" w:rsidRPr="00FD02F8">
        <w:rPr>
          <w:szCs w:val="28"/>
        </w:rPr>
        <w:t>able</w:t>
      </w:r>
      <w:r w:rsidR="00035BDC" w:rsidRPr="00FD02F8">
        <w:rPr>
          <w:szCs w:val="28"/>
        </w:rPr>
        <w:t xml:space="preserve"> 1</w:t>
      </w:r>
      <w:r w:rsidR="00A536DC" w:rsidRPr="00FD02F8">
        <w:rPr>
          <w:szCs w:val="28"/>
        </w:rPr>
        <w:t xml:space="preserve"> outlines the scoring </w:t>
      </w:r>
      <w:r w:rsidR="005210EA" w:rsidRPr="00FD02F8">
        <w:rPr>
          <w:szCs w:val="28"/>
        </w:rPr>
        <w:t xml:space="preserve">matrix </w:t>
      </w:r>
      <w:r w:rsidR="005A45DC" w:rsidRPr="00FD02F8">
        <w:rPr>
          <w:szCs w:val="28"/>
        </w:rPr>
        <w:t>applie</w:t>
      </w:r>
      <w:r w:rsidR="006F3AAA" w:rsidRPr="00FD02F8">
        <w:rPr>
          <w:szCs w:val="28"/>
        </w:rPr>
        <w:t>d</w:t>
      </w:r>
      <w:r w:rsidR="005210EA" w:rsidRPr="00FD02F8">
        <w:rPr>
          <w:szCs w:val="28"/>
        </w:rPr>
        <w:t xml:space="preserve">. </w:t>
      </w:r>
      <w:r w:rsidR="005F5504" w:rsidRPr="00FD02F8">
        <w:rPr>
          <w:szCs w:val="28"/>
        </w:rPr>
        <w:t xml:space="preserve">We have also noted guidance to consider when reviewing the report. </w:t>
      </w:r>
    </w:p>
    <w:p w14:paraId="180506CF" w14:textId="3BD46543" w:rsidR="00035BDC" w:rsidRPr="00FD02F8" w:rsidRDefault="00035BDC" w:rsidP="00955EBB">
      <w:pPr>
        <w:spacing w:after="120"/>
        <w:rPr>
          <w:szCs w:val="28"/>
        </w:rPr>
      </w:pPr>
      <w:r w:rsidRPr="00FD02F8">
        <w:rPr>
          <w:b/>
          <w:bCs/>
          <w:i/>
          <w:iCs/>
          <w:color w:val="016574"/>
        </w:rPr>
        <w:t>Table 1: OKR scoring matri</w:t>
      </w:r>
      <w:r w:rsidR="00891D89" w:rsidRPr="00FD02F8">
        <w:rPr>
          <w:b/>
          <w:bCs/>
          <w:i/>
          <w:iCs/>
          <w:color w:val="016574"/>
        </w:rPr>
        <w:t>x</w:t>
      </w:r>
    </w:p>
    <w:tbl>
      <w:tblPr>
        <w:tblStyle w:val="TableGrid"/>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OKR Scoring Matrix"/>
        <w:tblDescription w:val="Outline of the scoring matrix applied to the OKRs. This includes the scoring range and the associated staus and description for each of the five options to record progress against delivery."/>
      </w:tblPr>
      <w:tblGrid>
        <w:gridCol w:w="2405"/>
        <w:gridCol w:w="1245"/>
        <w:gridCol w:w="16757"/>
      </w:tblGrid>
      <w:tr w:rsidR="00164531" w:rsidRPr="00FD02F8" w14:paraId="11BAE2BC" w14:textId="77777777" w:rsidTr="00720A36">
        <w:trPr>
          <w:trHeight w:val="276"/>
        </w:trPr>
        <w:tc>
          <w:tcPr>
            <w:tcW w:w="2405" w:type="dxa"/>
            <w:shd w:val="clear" w:color="auto" w:fill="016574" w:themeFill="accent2"/>
          </w:tcPr>
          <w:p w14:paraId="4960D348" w14:textId="603454F8" w:rsidR="00164531" w:rsidRPr="00FD02F8" w:rsidRDefault="00164531" w:rsidP="00164531">
            <w:pPr>
              <w:spacing w:before="60" w:after="60" w:line="240" w:lineRule="auto"/>
              <w:rPr>
                <w:b/>
                <w:bCs/>
                <w:color w:val="FFFFFF" w:themeColor="background1"/>
                <w:sz w:val="28"/>
                <w:szCs w:val="28"/>
                <w:lang w:val="en-GB"/>
              </w:rPr>
            </w:pPr>
            <w:r w:rsidRPr="00FD02F8">
              <w:rPr>
                <w:b/>
                <w:bCs/>
                <w:color w:val="FFFFFF" w:themeColor="background1"/>
                <w:sz w:val="28"/>
                <w:szCs w:val="28"/>
                <w:lang w:val="en-GB"/>
              </w:rPr>
              <w:t>Scoring</w:t>
            </w:r>
          </w:p>
        </w:tc>
        <w:tc>
          <w:tcPr>
            <w:tcW w:w="1245" w:type="dxa"/>
            <w:shd w:val="clear" w:color="auto" w:fill="016574" w:themeFill="accent2"/>
          </w:tcPr>
          <w:p w14:paraId="2F97697A" w14:textId="7CF7CC2D" w:rsidR="00164531" w:rsidRPr="00FD02F8" w:rsidRDefault="00164531" w:rsidP="00164531">
            <w:pPr>
              <w:spacing w:before="60" w:after="60" w:line="240" w:lineRule="auto"/>
              <w:rPr>
                <w:b/>
                <w:bCs/>
                <w:color w:val="FFFFFF" w:themeColor="background1"/>
                <w:sz w:val="28"/>
                <w:szCs w:val="28"/>
                <w:lang w:val="en-GB"/>
              </w:rPr>
            </w:pPr>
            <w:r w:rsidRPr="00FD02F8">
              <w:rPr>
                <w:b/>
                <w:bCs/>
                <w:color w:val="FFFFFF" w:themeColor="background1"/>
                <w:sz w:val="28"/>
                <w:szCs w:val="28"/>
                <w:lang w:val="en-GB"/>
              </w:rPr>
              <w:t>Status</w:t>
            </w:r>
          </w:p>
        </w:tc>
        <w:tc>
          <w:tcPr>
            <w:tcW w:w="16757" w:type="dxa"/>
            <w:shd w:val="clear" w:color="auto" w:fill="016574" w:themeFill="accent2"/>
          </w:tcPr>
          <w:p w14:paraId="3A04686D" w14:textId="7E8B5202" w:rsidR="00164531" w:rsidRPr="00FD02F8" w:rsidRDefault="00164531" w:rsidP="00164531">
            <w:pPr>
              <w:spacing w:before="60" w:after="60" w:line="240" w:lineRule="auto"/>
              <w:rPr>
                <w:b/>
                <w:bCs/>
                <w:color w:val="FFFFFF" w:themeColor="background1"/>
                <w:sz w:val="28"/>
                <w:szCs w:val="28"/>
                <w:lang w:val="en-GB"/>
              </w:rPr>
            </w:pPr>
            <w:r w:rsidRPr="00FD02F8">
              <w:rPr>
                <w:b/>
                <w:bCs/>
                <w:color w:val="FFFFFF" w:themeColor="background1"/>
                <w:sz w:val="28"/>
                <w:szCs w:val="28"/>
                <w:lang w:val="en-GB"/>
              </w:rPr>
              <w:t>Description</w:t>
            </w:r>
          </w:p>
        </w:tc>
      </w:tr>
      <w:tr w:rsidR="00164531" w:rsidRPr="00FD02F8" w14:paraId="5FBE53D9" w14:textId="77777777" w:rsidTr="00720A36">
        <w:trPr>
          <w:trHeight w:val="567"/>
        </w:trPr>
        <w:tc>
          <w:tcPr>
            <w:tcW w:w="2405" w:type="dxa"/>
            <w:vAlign w:val="center"/>
          </w:tcPr>
          <w:p w14:paraId="541C7C80" w14:textId="295D7A46" w:rsidR="00164531" w:rsidRPr="00FD02F8" w:rsidRDefault="00164531" w:rsidP="00443742">
            <w:pPr>
              <w:textAlignment w:val="baseline"/>
              <w:rPr>
                <w:rFonts w:ascii="Arial" w:eastAsia="Times New Roman" w:hAnsi="Arial" w:cs="Arial"/>
                <w:lang w:val="en-GB" w:eastAsia="en-GB"/>
              </w:rPr>
            </w:pPr>
            <w:r w:rsidRPr="00FD02F8">
              <w:rPr>
                <w:rFonts w:ascii="Arial" w:eastAsia="Times New Roman" w:hAnsi="Arial" w:cs="Arial"/>
                <w:lang w:val="en-GB" w:eastAsia="en-GB"/>
              </w:rPr>
              <w:t>0.70 to 1.00</w:t>
            </w:r>
          </w:p>
        </w:tc>
        <w:tc>
          <w:tcPr>
            <w:tcW w:w="1245" w:type="dxa"/>
            <w:vAlign w:val="center"/>
          </w:tcPr>
          <w:p w14:paraId="4998F80D" w14:textId="799363D1" w:rsidR="00164531" w:rsidRPr="00FD02F8" w:rsidRDefault="00164531" w:rsidP="005118E6">
            <w:pPr>
              <w:jc w:val="center"/>
              <w:textAlignment w:val="baseline"/>
              <w:rPr>
                <w:rFonts w:ascii="Arial" w:eastAsia="Times New Roman" w:hAnsi="Arial" w:cs="Arial"/>
                <w:lang w:val="en-GB" w:eastAsia="en-GB"/>
              </w:rPr>
            </w:pPr>
            <w:r w:rsidRPr="00FD02F8">
              <w:rPr>
                <w:b/>
                <w:noProof/>
              </w:rPr>
              <w:drawing>
                <wp:inline distT="0" distB="0" distL="0" distR="0" wp14:anchorId="26694A7B" wp14:editId="53A1E868">
                  <wp:extent cx="360000" cy="360000"/>
                  <wp:effectExtent l="0" t="0" r="2540" b="2540"/>
                  <wp:docPr id="180746510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3D908B0E" w14:textId="2A3C2556" w:rsidR="00164531" w:rsidRPr="00FD02F8" w:rsidRDefault="00164531" w:rsidP="00443742">
            <w:pPr>
              <w:spacing w:before="60" w:after="60"/>
              <w:rPr>
                <w:lang w:val="en-GB"/>
              </w:rPr>
            </w:pPr>
            <w:r w:rsidRPr="00FD02F8">
              <w:rPr>
                <w:rFonts w:ascii="Arial" w:eastAsia="Times New Roman" w:hAnsi="Arial" w:cs="Arial"/>
                <w:b/>
                <w:bCs/>
                <w:lang w:val="en-GB" w:eastAsia="en-GB"/>
              </w:rPr>
              <w:t>Delivering</w:t>
            </w:r>
            <w:r w:rsidRPr="00FD02F8">
              <w:rPr>
                <w:lang w:val="en-GB"/>
              </w:rPr>
              <w:t xml:space="preserve"> – We are delivering </w:t>
            </w:r>
            <w:r w:rsidR="00371B35" w:rsidRPr="00FD02F8">
              <w:rPr>
                <w:lang w:val="en-GB"/>
              </w:rPr>
              <w:t xml:space="preserve">or have delivered </w:t>
            </w:r>
            <w:r w:rsidRPr="00FD02F8">
              <w:rPr>
                <w:lang w:val="en-GB"/>
              </w:rPr>
              <w:t xml:space="preserve">against </w:t>
            </w:r>
            <w:r w:rsidRPr="00FD02F8">
              <w:rPr>
                <w:rFonts w:ascii="Arial" w:eastAsia="Times New Roman" w:hAnsi="Arial" w:cs="Arial"/>
                <w:lang w:val="en-GB" w:eastAsia="en-GB"/>
              </w:rPr>
              <w:t>our OKR measure this quarter.</w:t>
            </w:r>
          </w:p>
        </w:tc>
      </w:tr>
      <w:tr w:rsidR="00164531" w:rsidRPr="00FD02F8" w14:paraId="60CC9676" w14:textId="77777777" w:rsidTr="00720A36">
        <w:trPr>
          <w:trHeight w:val="567"/>
        </w:trPr>
        <w:tc>
          <w:tcPr>
            <w:tcW w:w="2405" w:type="dxa"/>
            <w:vAlign w:val="center"/>
          </w:tcPr>
          <w:p w14:paraId="3BED4DED" w14:textId="7867C646" w:rsidR="00164531" w:rsidRPr="00FD02F8" w:rsidRDefault="00164531" w:rsidP="00443742">
            <w:pPr>
              <w:textAlignment w:val="baseline"/>
              <w:rPr>
                <w:rFonts w:ascii="Arial" w:eastAsia="Times New Roman" w:hAnsi="Arial" w:cs="Arial"/>
                <w:lang w:val="en-GB" w:eastAsia="en-GB"/>
              </w:rPr>
            </w:pPr>
            <w:r w:rsidRPr="00FD02F8">
              <w:rPr>
                <w:rFonts w:ascii="Arial" w:eastAsia="Times New Roman" w:hAnsi="Arial" w:cs="Arial"/>
                <w:lang w:val="en-GB" w:eastAsia="en-GB"/>
              </w:rPr>
              <w:t>0.31 to 0.69</w:t>
            </w:r>
          </w:p>
        </w:tc>
        <w:tc>
          <w:tcPr>
            <w:tcW w:w="1245" w:type="dxa"/>
            <w:vAlign w:val="center"/>
          </w:tcPr>
          <w:p w14:paraId="23A397CE" w14:textId="2F11A6B0" w:rsidR="00164531" w:rsidRPr="00FD02F8" w:rsidRDefault="00164531" w:rsidP="005118E6">
            <w:pPr>
              <w:jc w:val="center"/>
              <w:textAlignment w:val="baseline"/>
              <w:rPr>
                <w:rFonts w:ascii="Arial" w:eastAsia="Times New Roman" w:hAnsi="Arial" w:cs="Arial"/>
                <w:lang w:val="en-GB" w:eastAsia="en-GB"/>
              </w:rPr>
            </w:pPr>
            <w:r w:rsidRPr="00FD02F8">
              <w:rPr>
                <w:b/>
                <w:noProof/>
              </w:rPr>
              <w:drawing>
                <wp:inline distT="0" distB="0" distL="0" distR="0" wp14:anchorId="53347EC9" wp14:editId="17507BE5">
                  <wp:extent cx="360000" cy="360000"/>
                  <wp:effectExtent l="0" t="0" r="2540" b="2540"/>
                  <wp:docPr id="568950558"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6646E8D7" w14:textId="570B3953" w:rsidR="00164531" w:rsidRPr="00FD02F8" w:rsidRDefault="00164531" w:rsidP="00443742">
            <w:pPr>
              <w:spacing w:before="60" w:after="60"/>
              <w:rPr>
                <w:lang w:val="en-GB"/>
              </w:rPr>
            </w:pPr>
            <w:r w:rsidRPr="00FD02F8">
              <w:rPr>
                <w:rFonts w:ascii="Arial" w:eastAsia="Times New Roman" w:hAnsi="Arial" w:cs="Arial"/>
                <w:b/>
                <w:bCs/>
                <w:lang w:val="en-GB" w:eastAsia="en-GB"/>
              </w:rPr>
              <w:t>Progressing</w:t>
            </w:r>
            <w:r w:rsidRPr="00FD02F8">
              <w:rPr>
                <w:lang w:val="en-GB"/>
              </w:rPr>
              <w:t xml:space="preserve"> – We are making measurable progress against </w:t>
            </w:r>
            <w:r w:rsidR="000033AE" w:rsidRPr="00FD02F8">
              <w:rPr>
                <w:lang w:val="en-GB"/>
              </w:rPr>
              <w:t xml:space="preserve">delivery of </w:t>
            </w:r>
            <w:r w:rsidRPr="00FD02F8">
              <w:rPr>
                <w:lang w:val="en-GB"/>
              </w:rPr>
              <w:t xml:space="preserve">our </w:t>
            </w:r>
            <w:r w:rsidRPr="00FD02F8">
              <w:rPr>
                <w:rFonts w:ascii="Arial" w:eastAsia="Times New Roman" w:hAnsi="Arial" w:cs="Arial"/>
                <w:lang w:val="en-GB" w:eastAsia="en-GB"/>
              </w:rPr>
              <w:t>OKR measure this quarter</w:t>
            </w:r>
            <w:r w:rsidRPr="00FD02F8">
              <w:rPr>
                <w:lang w:val="en-GB"/>
              </w:rPr>
              <w:t xml:space="preserve"> but </w:t>
            </w:r>
            <w:r w:rsidR="00A945A1" w:rsidRPr="00FD02F8">
              <w:rPr>
                <w:lang w:val="en-GB"/>
              </w:rPr>
              <w:t>remain</w:t>
            </w:r>
            <w:r w:rsidRPr="00FD02F8">
              <w:rPr>
                <w:lang w:val="en-GB"/>
              </w:rPr>
              <w:t xml:space="preserve"> short of our target.</w:t>
            </w:r>
          </w:p>
        </w:tc>
      </w:tr>
      <w:tr w:rsidR="00164531" w:rsidRPr="00FD02F8" w14:paraId="697C4498" w14:textId="77777777" w:rsidTr="00720A36">
        <w:trPr>
          <w:trHeight w:val="567"/>
        </w:trPr>
        <w:tc>
          <w:tcPr>
            <w:tcW w:w="2405" w:type="dxa"/>
            <w:vAlign w:val="center"/>
          </w:tcPr>
          <w:p w14:paraId="05E980ED" w14:textId="3E06E3C9" w:rsidR="00164531" w:rsidRPr="00FD02F8" w:rsidRDefault="00164531" w:rsidP="00443742">
            <w:pPr>
              <w:rPr>
                <w:rFonts w:ascii="Arial" w:eastAsia="Times New Roman" w:hAnsi="Arial" w:cs="Arial"/>
                <w:lang w:val="en-GB" w:eastAsia="en-GB"/>
              </w:rPr>
            </w:pPr>
            <w:r w:rsidRPr="00FD02F8">
              <w:rPr>
                <w:rFonts w:ascii="Arial" w:eastAsia="Times New Roman" w:hAnsi="Arial" w:cs="Arial"/>
                <w:lang w:val="en-GB" w:eastAsia="en-GB"/>
              </w:rPr>
              <w:t>0.00 to 0.30</w:t>
            </w:r>
          </w:p>
        </w:tc>
        <w:tc>
          <w:tcPr>
            <w:tcW w:w="1245" w:type="dxa"/>
            <w:vAlign w:val="center"/>
          </w:tcPr>
          <w:p w14:paraId="23B50908" w14:textId="71C8703D" w:rsidR="00164531" w:rsidRPr="00FD02F8" w:rsidRDefault="00164531" w:rsidP="005118E6">
            <w:pPr>
              <w:jc w:val="center"/>
              <w:rPr>
                <w:b/>
                <w:bCs/>
                <w:lang w:val="en-GB"/>
              </w:rPr>
            </w:pPr>
            <w:r w:rsidRPr="00FD02F8">
              <w:rPr>
                <w:b/>
                <w:noProof/>
              </w:rPr>
              <w:drawing>
                <wp:inline distT="0" distB="0" distL="0" distR="0" wp14:anchorId="3186C228" wp14:editId="62F6F7C9">
                  <wp:extent cx="360000" cy="360000"/>
                  <wp:effectExtent l="0" t="0" r="2540" b="2540"/>
                  <wp:docPr id="79209360"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29">
                            <a:extLst>
                              <a:ext uri="{96DAC541-7B7A-43D3-8B79-37D633B846F1}">
                                <asvg:svgBlip xmlns:asvg="http://schemas.microsoft.com/office/drawing/2016/SVG/main" r:embed="rId30"/>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3AEDBC72" w14:textId="25AA2745" w:rsidR="00164531" w:rsidRPr="00FD02F8" w:rsidRDefault="00164531" w:rsidP="00443742">
            <w:pPr>
              <w:spacing w:before="60" w:after="60"/>
              <w:rPr>
                <w:lang w:val="en-GB"/>
              </w:rPr>
            </w:pPr>
            <w:r w:rsidRPr="00FD02F8">
              <w:rPr>
                <w:rFonts w:ascii="Arial" w:eastAsia="Times New Roman" w:hAnsi="Arial" w:cs="Arial"/>
                <w:b/>
                <w:bCs/>
                <w:lang w:val="en-GB" w:eastAsia="en-GB"/>
              </w:rPr>
              <w:t>No progression</w:t>
            </w:r>
            <w:r w:rsidRPr="00FD02F8">
              <w:rPr>
                <w:rFonts w:ascii="Arial" w:eastAsia="Times New Roman" w:hAnsi="Arial" w:cs="Arial"/>
                <w:lang w:val="en-GB" w:eastAsia="en-GB"/>
              </w:rPr>
              <w:t xml:space="preserve"> – We did not make </w:t>
            </w:r>
            <w:r w:rsidR="09A1E69E" w:rsidRPr="00FD02F8">
              <w:rPr>
                <w:rFonts w:ascii="Arial" w:eastAsia="Times New Roman" w:hAnsi="Arial" w:cs="Arial"/>
                <w:lang w:val="en-GB" w:eastAsia="en-GB"/>
              </w:rPr>
              <w:t xml:space="preserve">significant </w:t>
            </w:r>
            <w:r w:rsidRPr="00FD02F8">
              <w:rPr>
                <w:rFonts w:ascii="Arial" w:eastAsia="Times New Roman" w:hAnsi="Arial" w:cs="Arial"/>
                <w:lang w:val="en-GB" w:eastAsia="en-GB"/>
              </w:rPr>
              <w:t xml:space="preserve">measurable progress towards </w:t>
            </w:r>
            <w:r w:rsidR="000033AE" w:rsidRPr="00FD02F8">
              <w:rPr>
                <w:rFonts w:ascii="Arial" w:eastAsia="Times New Roman" w:hAnsi="Arial" w:cs="Arial"/>
                <w:lang w:val="en-GB" w:eastAsia="en-GB"/>
              </w:rPr>
              <w:t xml:space="preserve">delivery of </w:t>
            </w:r>
            <w:r w:rsidRPr="00FD02F8">
              <w:rPr>
                <w:rFonts w:ascii="Arial" w:eastAsia="Times New Roman" w:hAnsi="Arial" w:cs="Arial"/>
                <w:lang w:val="en-GB" w:eastAsia="en-GB"/>
              </w:rPr>
              <w:t>our OKR measure this quarter.</w:t>
            </w:r>
          </w:p>
        </w:tc>
      </w:tr>
      <w:tr w:rsidR="00164531" w:rsidRPr="00FD02F8" w14:paraId="254830AC" w14:textId="77777777" w:rsidTr="00720A36">
        <w:trPr>
          <w:trHeight w:val="567"/>
        </w:trPr>
        <w:tc>
          <w:tcPr>
            <w:tcW w:w="2405" w:type="dxa"/>
            <w:vAlign w:val="center"/>
          </w:tcPr>
          <w:p w14:paraId="67E62717" w14:textId="7AACFB98" w:rsidR="00164531" w:rsidRPr="00FD02F8" w:rsidRDefault="00164531" w:rsidP="00443742">
            <w:pPr>
              <w:textAlignment w:val="baseline"/>
              <w:rPr>
                <w:rFonts w:ascii="Arial" w:eastAsia="Times New Roman" w:hAnsi="Arial" w:cs="Arial"/>
                <w:szCs w:val="28"/>
                <w:lang w:val="en-GB" w:eastAsia="en-GB"/>
              </w:rPr>
            </w:pPr>
            <w:r w:rsidRPr="00FD02F8">
              <w:rPr>
                <w:rFonts w:ascii="Arial" w:eastAsia="Times New Roman" w:hAnsi="Arial" w:cs="Arial"/>
                <w:szCs w:val="28"/>
                <w:lang w:val="en-GB" w:eastAsia="en-GB"/>
              </w:rPr>
              <w:t>Not applicable</w:t>
            </w:r>
          </w:p>
        </w:tc>
        <w:tc>
          <w:tcPr>
            <w:tcW w:w="1245" w:type="dxa"/>
            <w:vAlign w:val="center"/>
          </w:tcPr>
          <w:p w14:paraId="5F607B6B" w14:textId="59066F76" w:rsidR="00164531" w:rsidRPr="00FD02F8" w:rsidRDefault="00164531" w:rsidP="005118E6">
            <w:pPr>
              <w:jc w:val="center"/>
              <w:textAlignment w:val="baseline"/>
              <w:rPr>
                <w:rFonts w:ascii="Arial" w:eastAsia="Times New Roman" w:hAnsi="Arial" w:cs="Arial"/>
                <w:szCs w:val="28"/>
                <w:lang w:val="en-GB" w:eastAsia="en-GB"/>
              </w:rPr>
            </w:pPr>
            <w:r w:rsidRPr="00FD02F8">
              <w:rPr>
                <w:b/>
                <w:noProof/>
              </w:rPr>
              <w:drawing>
                <wp:inline distT="0" distB="0" distL="0" distR="0" wp14:anchorId="66EEE824" wp14:editId="02A1CC31">
                  <wp:extent cx="360000" cy="360000"/>
                  <wp:effectExtent l="0" t="0" r="2540" b="2540"/>
                  <wp:docPr id="1728373149"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1359C9F0" w14:textId="33C3BDE0" w:rsidR="00164531" w:rsidRPr="00FD02F8" w:rsidRDefault="00164531" w:rsidP="00443742">
            <w:pPr>
              <w:spacing w:before="60" w:after="60"/>
              <w:rPr>
                <w:lang w:val="en-GB"/>
              </w:rPr>
            </w:pPr>
            <w:r w:rsidRPr="00FD02F8">
              <w:rPr>
                <w:rFonts w:ascii="Arial" w:eastAsia="Times New Roman" w:hAnsi="Arial" w:cs="Arial"/>
                <w:b/>
                <w:bCs/>
                <w:szCs w:val="28"/>
                <w:lang w:val="en-GB" w:eastAsia="en-GB"/>
              </w:rPr>
              <w:t>Not started</w:t>
            </w:r>
            <w:r w:rsidRPr="00FD02F8">
              <w:rPr>
                <w:rFonts w:ascii="Arial" w:eastAsia="Times New Roman" w:hAnsi="Arial" w:cs="Arial"/>
                <w:szCs w:val="28"/>
                <w:lang w:val="en-GB" w:eastAsia="en-GB"/>
              </w:rPr>
              <w:t xml:space="preserve"> – Activity has not yet started or is not yet due for our OKR measure this quarter.</w:t>
            </w:r>
          </w:p>
        </w:tc>
      </w:tr>
      <w:tr w:rsidR="00164531" w:rsidRPr="00FD02F8" w14:paraId="53B987FD" w14:textId="77777777" w:rsidTr="00720A36">
        <w:trPr>
          <w:trHeight w:val="567"/>
        </w:trPr>
        <w:tc>
          <w:tcPr>
            <w:tcW w:w="2405" w:type="dxa"/>
            <w:vAlign w:val="center"/>
          </w:tcPr>
          <w:p w14:paraId="7F2B954F" w14:textId="20DD8467" w:rsidR="00164531" w:rsidRPr="00FD02F8" w:rsidRDefault="00ED2866" w:rsidP="00443742">
            <w:pPr>
              <w:rPr>
                <w:rFonts w:ascii="Arial" w:eastAsia="Times New Roman" w:hAnsi="Arial" w:cs="Arial"/>
                <w:szCs w:val="28"/>
                <w:lang w:val="en-GB" w:eastAsia="en-GB"/>
              </w:rPr>
            </w:pPr>
            <w:r w:rsidRPr="00FD02F8">
              <w:rPr>
                <w:rFonts w:ascii="Arial" w:eastAsia="Times New Roman" w:hAnsi="Arial" w:cs="Arial"/>
                <w:szCs w:val="28"/>
                <w:lang w:val="en-GB" w:eastAsia="en-GB"/>
              </w:rPr>
              <w:t>1.00</w:t>
            </w:r>
          </w:p>
        </w:tc>
        <w:tc>
          <w:tcPr>
            <w:tcW w:w="1245" w:type="dxa"/>
            <w:vAlign w:val="center"/>
          </w:tcPr>
          <w:p w14:paraId="5D8004B5" w14:textId="764758D6" w:rsidR="00164531" w:rsidRPr="00FD02F8" w:rsidRDefault="00164531" w:rsidP="005118E6">
            <w:pPr>
              <w:jc w:val="center"/>
              <w:rPr>
                <w:b/>
                <w:bCs/>
                <w:lang w:val="en-GB"/>
              </w:rPr>
            </w:pPr>
            <w:r w:rsidRPr="00FD02F8">
              <w:rPr>
                <w:b/>
                <w:noProof/>
              </w:rPr>
              <w:drawing>
                <wp:inline distT="0" distB="0" distL="0" distR="0" wp14:anchorId="2A27EFDF" wp14:editId="066C47DF">
                  <wp:extent cx="432000" cy="432000"/>
                  <wp:effectExtent l="0" t="0" r="0" b="0"/>
                  <wp:docPr id="173643512"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6757" w:type="dxa"/>
            <w:vAlign w:val="center"/>
          </w:tcPr>
          <w:p w14:paraId="0050FF6B" w14:textId="1C2E77AA" w:rsidR="00164531" w:rsidRPr="00FD02F8" w:rsidRDefault="00164531" w:rsidP="00443742">
            <w:pPr>
              <w:spacing w:before="60" w:after="60"/>
              <w:rPr>
                <w:lang w:val="en-GB"/>
              </w:rPr>
            </w:pPr>
            <w:r w:rsidRPr="00FD02F8">
              <w:rPr>
                <w:b/>
                <w:bCs/>
                <w:lang w:val="en-GB"/>
              </w:rPr>
              <w:t>Complete</w:t>
            </w:r>
            <w:r w:rsidRPr="00FD02F8">
              <w:rPr>
                <w:lang w:val="en-GB"/>
              </w:rPr>
              <w:t xml:space="preserve"> – The OKR measure is complete and the deadline for completion has passed.</w:t>
            </w:r>
          </w:p>
        </w:tc>
      </w:tr>
    </w:tbl>
    <w:p w14:paraId="18C16237" w14:textId="2EADA253" w:rsidR="00C65366" w:rsidRPr="00FD02F8" w:rsidRDefault="00CB0A95" w:rsidP="00E01430">
      <w:pPr>
        <w:spacing w:before="240" w:after="120"/>
        <w:rPr>
          <w:b/>
          <w:bCs/>
          <w:color w:val="016574"/>
        </w:rPr>
      </w:pPr>
      <w:r w:rsidRPr="00FD02F8">
        <w:rPr>
          <w:b/>
          <w:bCs/>
          <w:color w:val="016574"/>
        </w:rPr>
        <w:t xml:space="preserve">Key results and Objectives </w:t>
      </w:r>
      <w:r w:rsidR="00EE3987" w:rsidRPr="00FD02F8">
        <w:rPr>
          <w:b/>
          <w:bCs/>
          <w:color w:val="016574"/>
        </w:rPr>
        <w:t xml:space="preserve">Scoring </w:t>
      </w:r>
      <w:r w:rsidR="00C65366" w:rsidRPr="00FD02F8">
        <w:rPr>
          <w:b/>
          <w:bCs/>
          <w:color w:val="016574"/>
        </w:rPr>
        <w:t>Guidance</w:t>
      </w:r>
    </w:p>
    <w:p w14:paraId="4532AC2D" w14:textId="77777777" w:rsidR="001B10D8" w:rsidRPr="00FD02F8" w:rsidRDefault="001B10D8" w:rsidP="001B10D8">
      <w:pPr>
        <w:spacing w:after="120"/>
        <w:rPr>
          <w:szCs w:val="28"/>
        </w:rPr>
      </w:pPr>
      <w:r w:rsidRPr="00FD02F8">
        <w:rPr>
          <w:szCs w:val="28"/>
        </w:rPr>
        <w:t xml:space="preserve">When reviewing the OKRs scoring in the report, please consider the guidance below: </w:t>
      </w:r>
    </w:p>
    <w:p w14:paraId="0CD90423" w14:textId="06346CF6" w:rsidR="007E6F46" w:rsidRPr="00FD02F8" w:rsidRDefault="007E4BD9" w:rsidP="007E6F46">
      <w:pPr>
        <w:spacing w:before="240" w:after="120"/>
        <w:rPr>
          <w:szCs w:val="28"/>
        </w:rPr>
      </w:pPr>
      <w:r w:rsidRPr="00FD02F8">
        <w:rPr>
          <w:b/>
          <w:bCs/>
          <w:szCs w:val="28"/>
        </w:rPr>
        <w:t>Key results scores</w:t>
      </w:r>
      <w:r w:rsidRPr="00FD02F8">
        <w:rPr>
          <w:szCs w:val="28"/>
        </w:rPr>
        <w:t xml:space="preserve"> </w:t>
      </w:r>
    </w:p>
    <w:p w14:paraId="5848B765" w14:textId="39870BB5" w:rsidR="007E6F46" w:rsidRPr="00FD02F8" w:rsidRDefault="007E4BD9" w:rsidP="003E2603">
      <w:pPr>
        <w:pStyle w:val="ListParagraph"/>
        <w:numPr>
          <w:ilvl w:val="0"/>
          <w:numId w:val="3"/>
        </w:numPr>
        <w:spacing w:after="120" w:line="360" w:lineRule="auto"/>
        <w:rPr>
          <w:sz w:val="24"/>
          <w:lang w:val="en-GB"/>
        </w:rPr>
      </w:pPr>
      <w:r w:rsidRPr="00FD02F8">
        <w:rPr>
          <w:sz w:val="24"/>
          <w:lang w:val="en-GB"/>
        </w:rPr>
        <w:t>Key results are scored on a sliding scale between 0 and 1</w:t>
      </w:r>
      <w:r w:rsidR="00970DDC" w:rsidRPr="00FD02F8">
        <w:rPr>
          <w:sz w:val="24"/>
          <w:lang w:val="en-GB"/>
        </w:rPr>
        <w:t xml:space="preserve">, with 1 representing 100% </w:t>
      </w:r>
      <w:r w:rsidR="007E6F46" w:rsidRPr="00FD02F8">
        <w:rPr>
          <w:sz w:val="24"/>
          <w:lang w:val="en-GB"/>
        </w:rPr>
        <w:t>delivery</w:t>
      </w:r>
      <w:r w:rsidRPr="00FD02F8">
        <w:rPr>
          <w:sz w:val="24"/>
          <w:lang w:val="en-GB"/>
        </w:rPr>
        <w:t xml:space="preserve">. </w:t>
      </w:r>
    </w:p>
    <w:p w14:paraId="27BDAD5C" w14:textId="482EFCE5" w:rsidR="007E6F46" w:rsidRPr="00FD02F8" w:rsidRDefault="00E64838" w:rsidP="003E2603">
      <w:pPr>
        <w:pStyle w:val="ListParagraph"/>
        <w:numPr>
          <w:ilvl w:val="0"/>
          <w:numId w:val="3"/>
        </w:numPr>
        <w:spacing w:before="240" w:after="120" w:line="360" w:lineRule="auto"/>
        <w:rPr>
          <w:sz w:val="24"/>
          <w:lang w:val="en-GB"/>
        </w:rPr>
      </w:pPr>
      <w:r w:rsidRPr="00FD02F8">
        <w:rPr>
          <w:sz w:val="24"/>
          <w:lang w:val="en-GB"/>
        </w:rPr>
        <w:t>Key result s</w:t>
      </w:r>
      <w:r w:rsidR="007E4BD9" w:rsidRPr="00FD02F8">
        <w:rPr>
          <w:sz w:val="24"/>
          <w:lang w:val="en-GB"/>
        </w:rPr>
        <w:t>cores are typically set to measure the desired outcomes, not actions or activity. The score therefore aims to show what has been delivered in the quarter in terms of quantifiable impact or change, not what activity may have been undertaken. As a result, a KR can be scored ‘0’ or N/A and still be on track for delivery by the due date. </w:t>
      </w:r>
    </w:p>
    <w:p w14:paraId="19F3D7DC" w14:textId="37153098" w:rsidR="007E4BD9" w:rsidRPr="00FD02F8" w:rsidRDefault="00E75C42" w:rsidP="003E2603">
      <w:pPr>
        <w:pStyle w:val="ListParagraph"/>
        <w:numPr>
          <w:ilvl w:val="0"/>
          <w:numId w:val="3"/>
        </w:numPr>
        <w:spacing w:before="240" w:after="120" w:line="360" w:lineRule="auto"/>
        <w:rPr>
          <w:sz w:val="24"/>
          <w:lang w:val="en-GB"/>
        </w:rPr>
      </w:pPr>
      <w:r w:rsidRPr="00FD02F8">
        <w:rPr>
          <w:sz w:val="24"/>
          <w:lang w:val="en-GB"/>
        </w:rPr>
        <w:t xml:space="preserve">For example, </w:t>
      </w:r>
      <w:r w:rsidR="69C24AD7" w:rsidRPr="00FD02F8">
        <w:rPr>
          <w:sz w:val="24"/>
          <w:lang w:val="en-GB"/>
        </w:rPr>
        <w:t>let us</w:t>
      </w:r>
      <w:r w:rsidR="00512FA9" w:rsidRPr="00FD02F8">
        <w:rPr>
          <w:sz w:val="24"/>
          <w:lang w:val="en-GB"/>
        </w:rPr>
        <w:t xml:space="preserve"> assume</w:t>
      </w:r>
      <w:r w:rsidR="001B3FC0" w:rsidRPr="00FD02F8">
        <w:rPr>
          <w:sz w:val="24"/>
          <w:lang w:val="en-GB"/>
        </w:rPr>
        <w:t xml:space="preserve"> we have a key result to ‘</w:t>
      </w:r>
      <w:r w:rsidR="001B3FC0" w:rsidRPr="00FD02F8">
        <w:rPr>
          <w:i/>
          <w:iCs/>
          <w:sz w:val="24"/>
          <w:lang w:val="en-GB"/>
        </w:rPr>
        <w:t>Replace 1000 monitoring stations by Q1’</w:t>
      </w:r>
      <w:r w:rsidR="00512FA9" w:rsidRPr="00FD02F8">
        <w:rPr>
          <w:sz w:val="24"/>
          <w:lang w:val="en-GB"/>
        </w:rPr>
        <w:t xml:space="preserve">. If we replace </w:t>
      </w:r>
      <w:r w:rsidR="00487875" w:rsidRPr="00FD02F8">
        <w:rPr>
          <w:sz w:val="24"/>
          <w:lang w:val="en-GB"/>
        </w:rPr>
        <w:t xml:space="preserve">300 monitoring stations, </w:t>
      </w:r>
      <w:r w:rsidR="005F5504" w:rsidRPr="00FD02F8">
        <w:rPr>
          <w:sz w:val="24"/>
          <w:lang w:val="en-GB"/>
        </w:rPr>
        <w:t>the key result would be scored as</w:t>
      </w:r>
      <w:r w:rsidR="00487875" w:rsidRPr="00FD02F8">
        <w:rPr>
          <w:sz w:val="28"/>
          <w:szCs w:val="28"/>
          <w:lang w:val="en-GB"/>
        </w:rPr>
        <w:t xml:space="preserve"> </w:t>
      </w:r>
      <w:r w:rsidR="00487875" w:rsidRPr="00FD02F8">
        <w:rPr>
          <w:sz w:val="24"/>
          <w:lang w:val="en-GB"/>
        </w:rPr>
        <w:t xml:space="preserve">0.3. </w:t>
      </w:r>
      <w:r w:rsidR="002455E2" w:rsidRPr="00FD02F8">
        <w:rPr>
          <w:sz w:val="24"/>
          <w:lang w:val="en-GB"/>
        </w:rPr>
        <w:t>If we replace 950 monitoring stations, the key result would be scored as</w:t>
      </w:r>
      <w:r w:rsidR="002455E2" w:rsidRPr="00FD02F8">
        <w:rPr>
          <w:sz w:val="28"/>
          <w:szCs w:val="28"/>
          <w:lang w:val="en-GB"/>
        </w:rPr>
        <w:t xml:space="preserve"> </w:t>
      </w:r>
      <w:r w:rsidR="002455E2" w:rsidRPr="00FD02F8">
        <w:rPr>
          <w:sz w:val="24"/>
          <w:lang w:val="en-GB"/>
        </w:rPr>
        <w:t>0.95.</w:t>
      </w:r>
    </w:p>
    <w:p w14:paraId="137F583D" w14:textId="772C1D85" w:rsidR="00E916C7" w:rsidRPr="00FD02F8" w:rsidRDefault="00E916C7" w:rsidP="003E2603">
      <w:pPr>
        <w:pStyle w:val="ListParagraph"/>
        <w:numPr>
          <w:ilvl w:val="0"/>
          <w:numId w:val="3"/>
        </w:numPr>
        <w:spacing w:before="240" w:after="120" w:line="360" w:lineRule="auto"/>
        <w:rPr>
          <w:sz w:val="24"/>
          <w:szCs w:val="32"/>
          <w:lang w:val="en-GB"/>
        </w:rPr>
      </w:pPr>
      <w:r w:rsidRPr="00FD02F8">
        <w:rPr>
          <w:sz w:val="24"/>
          <w:szCs w:val="32"/>
          <w:lang w:val="en-GB"/>
        </w:rPr>
        <w:t>As key results are</w:t>
      </w:r>
      <w:r w:rsidR="00BD44F9" w:rsidRPr="00FD02F8">
        <w:rPr>
          <w:sz w:val="24"/>
          <w:szCs w:val="32"/>
          <w:lang w:val="en-GB"/>
        </w:rPr>
        <w:t xml:space="preserve"> designed to drive ambitious</w:t>
      </w:r>
      <w:r w:rsidR="00EC06F1" w:rsidRPr="00FD02F8">
        <w:rPr>
          <w:sz w:val="24"/>
          <w:szCs w:val="32"/>
          <w:lang w:val="en-GB"/>
        </w:rPr>
        <w:t>,</w:t>
      </w:r>
      <w:r w:rsidR="00DD1D84" w:rsidRPr="00FD02F8">
        <w:rPr>
          <w:sz w:val="24"/>
          <w:szCs w:val="32"/>
          <w:lang w:val="en-GB"/>
        </w:rPr>
        <w:t xml:space="preserve"> stretch goals with</w:t>
      </w:r>
      <w:r w:rsidR="00BD44F9" w:rsidRPr="00FD02F8">
        <w:rPr>
          <w:sz w:val="24"/>
          <w:szCs w:val="32"/>
          <w:lang w:val="en-GB"/>
        </w:rPr>
        <w:t xml:space="preserve"> measurable change and impact</w:t>
      </w:r>
      <w:r w:rsidR="00DD1D84" w:rsidRPr="00FD02F8">
        <w:rPr>
          <w:sz w:val="24"/>
          <w:szCs w:val="32"/>
          <w:lang w:val="en-GB"/>
        </w:rPr>
        <w:t>,</w:t>
      </w:r>
      <w:r w:rsidR="00BD44F9" w:rsidRPr="00FD02F8">
        <w:rPr>
          <w:sz w:val="24"/>
          <w:szCs w:val="32"/>
          <w:lang w:val="en-GB"/>
        </w:rPr>
        <w:t xml:space="preserve"> any score over 0.70 is considered</w:t>
      </w:r>
      <w:r w:rsidR="00DD1D84" w:rsidRPr="00FD02F8">
        <w:rPr>
          <w:sz w:val="24"/>
          <w:szCs w:val="32"/>
          <w:lang w:val="en-GB"/>
        </w:rPr>
        <w:t xml:space="preserve"> as delivering against the measure.</w:t>
      </w:r>
    </w:p>
    <w:p w14:paraId="38311C04" w14:textId="77777777" w:rsidR="007E6F46" w:rsidRPr="00FD02F8" w:rsidRDefault="007E4BD9" w:rsidP="007E4BD9">
      <w:pPr>
        <w:spacing w:before="240" w:after="120"/>
        <w:rPr>
          <w:szCs w:val="28"/>
        </w:rPr>
      </w:pPr>
      <w:r w:rsidRPr="00FD02F8">
        <w:rPr>
          <w:b/>
          <w:bCs/>
          <w:szCs w:val="28"/>
        </w:rPr>
        <w:t>Overall objective score</w:t>
      </w:r>
      <w:r w:rsidRPr="00FD02F8">
        <w:rPr>
          <w:szCs w:val="28"/>
        </w:rPr>
        <w:t xml:space="preserve"> </w:t>
      </w:r>
    </w:p>
    <w:p w14:paraId="3687F46E" w14:textId="35DCC008" w:rsidR="007E6F46" w:rsidRPr="00FD02F8" w:rsidRDefault="00287965" w:rsidP="003E2603">
      <w:pPr>
        <w:pStyle w:val="ListParagraph"/>
        <w:numPr>
          <w:ilvl w:val="0"/>
          <w:numId w:val="3"/>
        </w:numPr>
        <w:spacing w:after="120" w:line="360" w:lineRule="auto"/>
        <w:rPr>
          <w:sz w:val="24"/>
          <w:szCs w:val="32"/>
          <w:lang w:val="en-GB"/>
        </w:rPr>
      </w:pPr>
      <w:r w:rsidRPr="00FD02F8">
        <w:rPr>
          <w:sz w:val="24"/>
          <w:szCs w:val="32"/>
          <w:lang w:val="en-GB"/>
        </w:rPr>
        <w:t>An o</w:t>
      </w:r>
      <w:r w:rsidR="00E75C42" w:rsidRPr="00FD02F8">
        <w:rPr>
          <w:sz w:val="24"/>
          <w:szCs w:val="32"/>
          <w:lang w:val="en-GB"/>
        </w:rPr>
        <w:t xml:space="preserve">verall objective score </w:t>
      </w:r>
      <w:r w:rsidR="007E4BD9" w:rsidRPr="00FD02F8">
        <w:rPr>
          <w:sz w:val="24"/>
          <w:szCs w:val="32"/>
          <w:lang w:val="en-GB"/>
        </w:rPr>
        <w:t>equate</w:t>
      </w:r>
      <w:r w:rsidRPr="00FD02F8">
        <w:rPr>
          <w:sz w:val="24"/>
          <w:szCs w:val="32"/>
          <w:lang w:val="en-GB"/>
        </w:rPr>
        <w:t>s</w:t>
      </w:r>
      <w:r w:rsidR="007E4BD9" w:rsidRPr="00FD02F8">
        <w:rPr>
          <w:sz w:val="24"/>
          <w:szCs w:val="32"/>
          <w:lang w:val="en-GB"/>
        </w:rPr>
        <w:t xml:space="preserve"> to the cumulative score of each key result, divided by the number of relevant key results. </w:t>
      </w:r>
    </w:p>
    <w:p w14:paraId="3AACD502" w14:textId="36FD8831" w:rsidR="007E4BD9" w:rsidRPr="00FD02F8" w:rsidRDefault="007E4BD9" w:rsidP="003E2603">
      <w:pPr>
        <w:pStyle w:val="ListParagraph"/>
        <w:numPr>
          <w:ilvl w:val="0"/>
          <w:numId w:val="3"/>
        </w:numPr>
        <w:spacing w:before="240" w:after="120" w:line="360" w:lineRule="auto"/>
        <w:rPr>
          <w:sz w:val="24"/>
          <w:lang w:val="en-GB"/>
        </w:rPr>
      </w:pPr>
      <w:r w:rsidRPr="00FD02F8">
        <w:rPr>
          <w:sz w:val="24"/>
          <w:lang w:val="en-GB"/>
        </w:rPr>
        <w:t xml:space="preserve">For example, assuming we have three KRs with scores provided, </w:t>
      </w:r>
      <w:r w:rsidR="00DB038A" w:rsidRPr="00FD02F8">
        <w:rPr>
          <w:sz w:val="24"/>
          <w:lang w:val="en-GB"/>
        </w:rPr>
        <w:t>the calculation</w:t>
      </w:r>
      <w:r w:rsidRPr="00FD02F8">
        <w:rPr>
          <w:sz w:val="24"/>
          <w:lang w:val="en-GB"/>
        </w:rPr>
        <w:t xml:space="preserve"> would be</w:t>
      </w:r>
      <w:r w:rsidR="00DB038A" w:rsidRPr="00FD02F8">
        <w:rPr>
          <w:sz w:val="24"/>
          <w:lang w:val="en-GB"/>
        </w:rPr>
        <w:t xml:space="preserve"> </w:t>
      </w:r>
      <w:r w:rsidR="00287965" w:rsidRPr="00FD02F8">
        <w:rPr>
          <w:sz w:val="24"/>
          <w:lang w:val="en-GB"/>
        </w:rPr>
        <w:t>‘</w:t>
      </w:r>
      <w:r w:rsidR="00DB038A" w:rsidRPr="00FD02F8">
        <w:rPr>
          <w:sz w:val="24"/>
          <w:lang w:val="en-GB"/>
        </w:rPr>
        <w:t>KR</w:t>
      </w:r>
      <w:r w:rsidRPr="00FD02F8">
        <w:rPr>
          <w:sz w:val="24"/>
          <w:lang w:val="en-GB"/>
        </w:rPr>
        <w:t>1</w:t>
      </w:r>
      <w:r w:rsidR="00E75C42" w:rsidRPr="00FD02F8">
        <w:rPr>
          <w:sz w:val="24"/>
          <w:lang w:val="en-GB"/>
        </w:rPr>
        <w:t xml:space="preserve"> score</w:t>
      </w:r>
      <w:r w:rsidRPr="00FD02F8">
        <w:rPr>
          <w:sz w:val="24"/>
          <w:lang w:val="en-GB"/>
        </w:rPr>
        <w:t xml:space="preserve"> + </w:t>
      </w:r>
      <w:r w:rsidR="00DB038A" w:rsidRPr="00FD02F8">
        <w:rPr>
          <w:sz w:val="24"/>
          <w:lang w:val="en-GB"/>
        </w:rPr>
        <w:t>KR2</w:t>
      </w:r>
      <w:r w:rsidR="00E75C42" w:rsidRPr="00FD02F8">
        <w:rPr>
          <w:sz w:val="24"/>
          <w:lang w:val="en-GB"/>
        </w:rPr>
        <w:t xml:space="preserve"> score</w:t>
      </w:r>
      <w:r w:rsidRPr="00FD02F8">
        <w:rPr>
          <w:sz w:val="24"/>
          <w:lang w:val="en-GB"/>
        </w:rPr>
        <w:t xml:space="preserve"> + </w:t>
      </w:r>
      <w:r w:rsidR="00DB038A" w:rsidRPr="00FD02F8">
        <w:rPr>
          <w:sz w:val="24"/>
          <w:lang w:val="en-GB"/>
        </w:rPr>
        <w:t>KR3</w:t>
      </w:r>
      <w:r w:rsidR="00E75C42" w:rsidRPr="00FD02F8">
        <w:rPr>
          <w:sz w:val="24"/>
          <w:lang w:val="en-GB"/>
        </w:rPr>
        <w:t xml:space="preserve"> score</w:t>
      </w:r>
      <w:r w:rsidR="00287965" w:rsidRPr="00FD02F8">
        <w:rPr>
          <w:sz w:val="24"/>
          <w:lang w:val="en-GB"/>
        </w:rPr>
        <w:t>’</w:t>
      </w:r>
      <w:r w:rsidR="00DB038A" w:rsidRPr="00FD02F8">
        <w:rPr>
          <w:sz w:val="24"/>
          <w:lang w:val="en-GB"/>
        </w:rPr>
        <w:t xml:space="preserve"> divided by </w:t>
      </w:r>
      <w:r w:rsidR="00287965" w:rsidRPr="00FD02F8">
        <w:rPr>
          <w:sz w:val="24"/>
          <w:lang w:val="en-GB"/>
        </w:rPr>
        <w:t>three</w:t>
      </w:r>
      <w:r w:rsidRPr="00FD02F8">
        <w:rPr>
          <w:sz w:val="24"/>
          <w:lang w:val="en-GB"/>
        </w:rPr>
        <w:t xml:space="preserve"> = </w:t>
      </w:r>
      <w:r w:rsidR="00BB5896" w:rsidRPr="00FD02F8">
        <w:rPr>
          <w:sz w:val="24"/>
          <w:lang w:val="en-GB"/>
        </w:rPr>
        <w:t>O</w:t>
      </w:r>
      <w:r w:rsidRPr="00FD02F8">
        <w:rPr>
          <w:sz w:val="24"/>
          <w:lang w:val="en-GB"/>
        </w:rPr>
        <w:t xml:space="preserve">verall OKR score. If a key result is noted as not </w:t>
      </w:r>
      <w:r w:rsidR="00BB5896" w:rsidRPr="00FD02F8">
        <w:rPr>
          <w:sz w:val="24"/>
          <w:lang w:val="en-GB"/>
        </w:rPr>
        <w:t>started</w:t>
      </w:r>
      <w:r w:rsidRPr="00FD02F8">
        <w:rPr>
          <w:sz w:val="24"/>
          <w:lang w:val="en-GB"/>
        </w:rPr>
        <w:t xml:space="preserve">, this </w:t>
      </w:r>
      <w:r w:rsidR="1069B97A" w:rsidRPr="00FD02F8">
        <w:rPr>
          <w:sz w:val="24"/>
          <w:lang w:val="en-GB"/>
        </w:rPr>
        <w:t>is not</w:t>
      </w:r>
      <w:r w:rsidRPr="00FD02F8">
        <w:rPr>
          <w:sz w:val="24"/>
          <w:lang w:val="en-GB"/>
        </w:rPr>
        <w:t xml:space="preserve"> included in the cumulative calculation.</w:t>
      </w:r>
    </w:p>
    <w:p w14:paraId="43D570C8" w14:textId="16EAFE56" w:rsidR="00DD1D84" w:rsidRPr="00FD02F8" w:rsidRDefault="00DD1D84" w:rsidP="6F74EC91">
      <w:pPr>
        <w:spacing w:after="120"/>
        <w:rPr>
          <w:b/>
          <w:i/>
          <w:color w:val="016574" w:themeColor="accent2"/>
        </w:rPr>
      </w:pPr>
    </w:p>
    <w:p w14:paraId="17FA0D4B" w14:textId="3083223A" w:rsidR="00DD1D84" w:rsidRPr="00FD02F8" w:rsidRDefault="00DD1D84" w:rsidP="00212108">
      <w:pPr>
        <w:tabs>
          <w:tab w:val="left" w:pos="15626"/>
        </w:tabs>
        <w:spacing w:after="120"/>
        <w:rPr>
          <w:b/>
          <w:i/>
          <w:color w:val="016574" w:themeColor="accent2"/>
        </w:rPr>
      </w:pPr>
    </w:p>
    <w:p w14:paraId="69E5FDC4" w14:textId="77777777" w:rsidR="000F4601" w:rsidRDefault="000F4601" w:rsidP="00955EBB">
      <w:pPr>
        <w:spacing w:after="120"/>
        <w:rPr>
          <w:b/>
          <w:bCs/>
          <w:i/>
          <w:iCs/>
          <w:color w:val="016574"/>
        </w:rPr>
      </w:pPr>
    </w:p>
    <w:p w14:paraId="09194C74" w14:textId="0415C4D2" w:rsidR="007434AF" w:rsidRPr="00FD02F8" w:rsidRDefault="007434AF" w:rsidP="00955EBB">
      <w:pPr>
        <w:spacing w:after="120"/>
        <w:rPr>
          <w:szCs w:val="28"/>
        </w:rPr>
      </w:pPr>
      <w:r w:rsidRPr="00FD02F8">
        <w:rPr>
          <w:b/>
          <w:bCs/>
          <w:i/>
          <w:iCs/>
          <w:color w:val="016574"/>
        </w:rPr>
        <w:lastRenderedPageBreak/>
        <w:t xml:space="preserve">Table 2: OKR </w:t>
      </w:r>
      <w:r w:rsidR="009B3470" w:rsidRPr="00FD02F8">
        <w:rPr>
          <w:b/>
          <w:bCs/>
          <w:i/>
          <w:iCs/>
          <w:color w:val="016574"/>
        </w:rPr>
        <w:t>progress and e</w:t>
      </w:r>
      <w:r w:rsidR="00737DD5" w:rsidRPr="00FD02F8">
        <w:rPr>
          <w:b/>
          <w:bCs/>
          <w:i/>
          <w:iCs/>
          <w:color w:val="016574"/>
        </w:rPr>
        <w:t>x</w:t>
      </w:r>
      <w:r w:rsidR="00E734F3" w:rsidRPr="00FD02F8">
        <w:rPr>
          <w:b/>
          <w:bCs/>
          <w:i/>
          <w:iCs/>
          <w:color w:val="016574"/>
        </w:rPr>
        <w:t>c</w:t>
      </w:r>
      <w:r w:rsidR="00C70F98" w:rsidRPr="00FD02F8">
        <w:rPr>
          <w:b/>
          <w:bCs/>
          <w:i/>
          <w:iCs/>
          <w:color w:val="016574"/>
        </w:rPr>
        <w:t>eption summary</w:t>
      </w:r>
    </w:p>
    <w:tbl>
      <w:tblPr>
        <w:tblW w:w="2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Table 2: OKR progress and exception summary"/>
        <w:tblDescription w:val="Summary for each of the eleven OKRs, including the OKR code, Corporate Plan priority, objectives and the associated Q1,Q2 and Q3 score, Q3 status, and Q3 exception commentary and annual forecast."/>
      </w:tblPr>
      <w:tblGrid>
        <w:gridCol w:w="1014"/>
        <w:gridCol w:w="1890"/>
        <w:gridCol w:w="6305"/>
        <w:gridCol w:w="1134"/>
        <w:gridCol w:w="1134"/>
        <w:gridCol w:w="992"/>
        <w:gridCol w:w="993"/>
        <w:gridCol w:w="1275"/>
        <w:gridCol w:w="5529"/>
        <w:gridCol w:w="1417"/>
      </w:tblGrid>
      <w:tr w:rsidR="0090035E" w:rsidRPr="00FD02F8" w14:paraId="5711599A" w14:textId="17064E5B" w:rsidTr="5FAD6993">
        <w:trPr>
          <w:cantSplit/>
          <w:trHeight w:val="534"/>
          <w:tblHeader/>
        </w:trPr>
        <w:tc>
          <w:tcPr>
            <w:tcW w:w="1014" w:type="dxa"/>
            <w:tcBorders>
              <w:bottom w:val="single" w:sz="8" w:space="0" w:color="auto"/>
            </w:tcBorders>
            <w:shd w:val="clear" w:color="auto" w:fill="016574" w:themeFill="accent2"/>
          </w:tcPr>
          <w:p w14:paraId="48380A35" w14:textId="77777777" w:rsidR="00AF5229" w:rsidRPr="00FD02F8" w:rsidRDefault="00AF5229" w:rsidP="005B56CB">
            <w:pPr>
              <w:spacing w:before="40" w:after="40" w:line="240" w:lineRule="auto"/>
              <w:textAlignment w:val="baseline"/>
              <w:rPr>
                <w:rFonts w:ascii="Arial" w:eastAsia="Times New Roman" w:hAnsi="Arial" w:cs="Arial"/>
                <w:b/>
                <w:bCs/>
                <w:color w:val="000000"/>
                <w:sz w:val="28"/>
                <w:szCs w:val="28"/>
                <w:lang w:eastAsia="en-GB"/>
              </w:rPr>
            </w:pPr>
            <w:r w:rsidRPr="00FD02F8">
              <w:rPr>
                <w:rFonts w:ascii="Arial" w:eastAsia="Times New Roman" w:hAnsi="Arial" w:cs="Arial"/>
                <w:b/>
                <w:bCs/>
                <w:color w:val="FFFFFF" w:themeColor="background1"/>
                <w:sz w:val="28"/>
                <w:szCs w:val="28"/>
                <w:lang w:eastAsia="en-GB"/>
              </w:rPr>
              <w:t>Code</w:t>
            </w:r>
          </w:p>
        </w:tc>
        <w:tc>
          <w:tcPr>
            <w:tcW w:w="1890" w:type="dxa"/>
            <w:tcBorders>
              <w:bottom w:val="single" w:sz="8" w:space="0" w:color="auto"/>
            </w:tcBorders>
            <w:shd w:val="clear" w:color="auto" w:fill="016574" w:themeFill="accent2"/>
          </w:tcPr>
          <w:p w14:paraId="28EC817A" w14:textId="77777777" w:rsidR="00AF5229" w:rsidRPr="00FD02F8" w:rsidRDefault="00AF5229" w:rsidP="005B56CB">
            <w:pPr>
              <w:spacing w:before="40" w:after="40" w:line="240" w:lineRule="auto"/>
              <w:textAlignment w:val="baseline"/>
              <w:rPr>
                <w:rFonts w:ascii="Arial" w:eastAsia="MS PGothic" w:hAnsi="Arial" w:cs="Arial"/>
                <w:b/>
                <w:bCs/>
                <w:color w:val="FFFFFF" w:themeColor="background1"/>
                <w:sz w:val="28"/>
                <w:szCs w:val="28"/>
              </w:rPr>
            </w:pPr>
            <w:r w:rsidRPr="00FD02F8">
              <w:rPr>
                <w:rFonts w:ascii="Arial" w:eastAsia="MS PGothic" w:hAnsi="Arial" w:cs="Arial"/>
                <w:b/>
                <w:bCs/>
                <w:color w:val="FFFFFF" w:themeColor="background1"/>
                <w:sz w:val="28"/>
                <w:szCs w:val="28"/>
              </w:rPr>
              <w:t>Priority</w:t>
            </w:r>
          </w:p>
        </w:tc>
        <w:tc>
          <w:tcPr>
            <w:tcW w:w="6305" w:type="dxa"/>
            <w:tcBorders>
              <w:bottom w:val="single" w:sz="8" w:space="0" w:color="auto"/>
            </w:tcBorders>
            <w:shd w:val="clear" w:color="auto" w:fill="016574" w:themeFill="accent2"/>
          </w:tcPr>
          <w:p w14:paraId="142FE038" w14:textId="02F32591" w:rsidR="00AF5229" w:rsidRPr="00FD02F8" w:rsidRDefault="00AF5229" w:rsidP="005B56CB">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sz w:val="28"/>
                <w:szCs w:val="28"/>
              </w:rPr>
              <w:t>Objectives</w:t>
            </w:r>
          </w:p>
        </w:tc>
        <w:tc>
          <w:tcPr>
            <w:tcW w:w="1134" w:type="dxa"/>
            <w:tcBorders>
              <w:bottom w:val="single" w:sz="8" w:space="0" w:color="auto"/>
            </w:tcBorders>
            <w:shd w:val="clear" w:color="auto" w:fill="016574" w:themeFill="accent2"/>
          </w:tcPr>
          <w:p w14:paraId="10DE2D82" w14:textId="54765247" w:rsidR="00AF5229" w:rsidRPr="00FD02F8" w:rsidRDefault="00AF5229" w:rsidP="005B56C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 xml:space="preserve">Q1 </w:t>
            </w:r>
            <w:r w:rsidR="000E0D80" w:rsidRPr="00FD02F8">
              <w:rPr>
                <w:rFonts w:ascii="Arial" w:eastAsia="MS PGothic" w:hAnsi="Arial" w:cs="Arial"/>
                <w:b/>
                <w:bCs/>
                <w:color w:val="FFFFFF"/>
                <w:sz w:val="28"/>
                <w:szCs w:val="28"/>
              </w:rPr>
              <w:t>s</w:t>
            </w:r>
            <w:r w:rsidRPr="00FD02F8">
              <w:rPr>
                <w:rFonts w:ascii="Arial" w:eastAsia="MS PGothic" w:hAnsi="Arial" w:cs="Arial"/>
                <w:b/>
                <w:bCs/>
                <w:color w:val="FFFFFF"/>
                <w:sz w:val="28"/>
                <w:szCs w:val="28"/>
              </w:rPr>
              <w:t>core</w:t>
            </w:r>
          </w:p>
        </w:tc>
        <w:tc>
          <w:tcPr>
            <w:tcW w:w="1134" w:type="dxa"/>
            <w:tcBorders>
              <w:bottom w:val="single" w:sz="8" w:space="0" w:color="auto"/>
            </w:tcBorders>
            <w:shd w:val="clear" w:color="auto" w:fill="016574" w:themeFill="accent2"/>
          </w:tcPr>
          <w:p w14:paraId="1EEB7625" w14:textId="46A8C1B4" w:rsidR="00AF5229" w:rsidRPr="00FD02F8" w:rsidRDefault="00AF5229" w:rsidP="005B56C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Q2 score</w:t>
            </w:r>
          </w:p>
        </w:tc>
        <w:tc>
          <w:tcPr>
            <w:tcW w:w="992" w:type="dxa"/>
            <w:tcBorders>
              <w:bottom w:val="single" w:sz="8" w:space="0" w:color="auto"/>
            </w:tcBorders>
            <w:shd w:val="clear" w:color="auto" w:fill="016574" w:themeFill="accent2"/>
          </w:tcPr>
          <w:p w14:paraId="00DCFBB8" w14:textId="390F12E6" w:rsidR="00AF5229" w:rsidRPr="00FD02F8" w:rsidRDefault="00AF5229" w:rsidP="005B56C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Q3 score</w:t>
            </w:r>
          </w:p>
        </w:tc>
        <w:tc>
          <w:tcPr>
            <w:tcW w:w="993" w:type="dxa"/>
            <w:tcBorders>
              <w:bottom w:val="single" w:sz="8" w:space="0" w:color="auto"/>
            </w:tcBorders>
            <w:shd w:val="clear" w:color="auto" w:fill="016574" w:themeFill="accent2"/>
          </w:tcPr>
          <w:p w14:paraId="0BB96EFB" w14:textId="45B21A3B" w:rsidR="00AF5229" w:rsidRPr="00FD02F8" w:rsidRDefault="00AF5229" w:rsidP="005B56C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Q4 score</w:t>
            </w:r>
          </w:p>
        </w:tc>
        <w:tc>
          <w:tcPr>
            <w:tcW w:w="1275" w:type="dxa"/>
            <w:tcBorders>
              <w:bottom w:val="single" w:sz="8" w:space="0" w:color="auto"/>
            </w:tcBorders>
            <w:shd w:val="clear" w:color="auto" w:fill="016574" w:themeFill="accent2"/>
          </w:tcPr>
          <w:p w14:paraId="63E35438" w14:textId="16580F24" w:rsidR="00AF5229" w:rsidRPr="00FD02F8" w:rsidRDefault="00AF5229" w:rsidP="005B56CB">
            <w:pPr>
              <w:spacing w:before="40" w:after="40" w:line="240" w:lineRule="auto"/>
              <w:jc w:val="center"/>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sz w:val="28"/>
                <w:szCs w:val="28"/>
              </w:rPr>
              <w:t>Status</w:t>
            </w:r>
          </w:p>
        </w:tc>
        <w:tc>
          <w:tcPr>
            <w:tcW w:w="5529" w:type="dxa"/>
            <w:tcBorders>
              <w:bottom w:val="single" w:sz="8" w:space="0" w:color="auto"/>
            </w:tcBorders>
            <w:shd w:val="clear" w:color="auto" w:fill="016574" w:themeFill="accent2"/>
          </w:tcPr>
          <w:p w14:paraId="2322DBA9" w14:textId="5C79C299" w:rsidR="00AF5229" w:rsidRPr="00FD02F8" w:rsidRDefault="00AF5229" w:rsidP="005B56CB">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634481"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 xml:space="preserve"> Exception </w:t>
            </w:r>
            <w:r w:rsidR="000E0D80" w:rsidRPr="00FD02F8">
              <w:rPr>
                <w:rFonts w:ascii="Arial" w:eastAsia="MS PGothic" w:hAnsi="Arial" w:cs="Arial"/>
                <w:b/>
                <w:bCs/>
                <w:color w:val="FFFFFF"/>
                <w:sz w:val="28"/>
                <w:szCs w:val="28"/>
              </w:rPr>
              <w:t>C</w:t>
            </w:r>
            <w:r w:rsidRPr="00FD02F8">
              <w:rPr>
                <w:rFonts w:ascii="Arial" w:eastAsia="MS PGothic" w:hAnsi="Arial" w:cs="Arial"/>
                <w:b/>
                <w:bCs/>
                <w:color w:val="FFFFFF"/>
                <w:sz w:val="28"/>
                <w:szCs w:val="28"/>
              </w:rPr>
              <w:t>ommentary</w:t>
            </w:r>
          </w:p>
        </w:tc>
        <w:tc>
          <w:tcPr>
            <w:tcW w:w="1417" w:type="dxa"/>
            <w:tcBorders>
              <w:bottom w:val="single" w:sz="8" w:space="0" w:color="auto"/>
            </w:tcBorders>
            <w:shd w:val="clear" w:color="auto" w:fill="016574" w:themeFill="accent2"/>
          </w:tcPr>
          <w:p w14:paraId="0B51AAC7" w14:textId="31C39043" w:rsidR="00AF5229" w:rsidRPr="00FD02F8" w:rsidRDefault="00AF5229" w:rsidP="005B56CB">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 xml:space="preserve">Annual </w:t>
            </w:r>
            <w:r w:rsidR="000E0D80" w:rsidRPr="00FD02F8">
              <w:rPr>
                <w:rFonts w:ascii="Arial" w:eastAsia="MS PGothic" w:hAnsi="Arial" w:cs="Arial"/>
                <w:b/>
                <w:bCs/>
                <w:color w:val="FFFFFF"/>
                <w:sz w:val="28"/>
                <w:szCs w:val="28"/>
              </w:rPr>
              <w:t>F</w:t>
            </w:r>
            <w:r w:rsidRPr="00FD02F8">
              <w:rPr>
                <w:rFonts w:ascii="Arial" w:eastAsia="MS PGothic" w:hAnsi="Arial" w:cs="Arial"/>
                <w:b/>
                <w:bCs/>
                <w:color w:val="FFFFFF"/>
                <w:sz w:val="28"/>
                <w:szCs w:val="28"/>
              </w:rPr>
              <w:t>orecast</w:t>
            </w:r>
          </w:p>
        </w:tc>
      </w:tr>
      <w:tr w:rsidR="0090035E" w:rsidRPr="00FD02F8" w14:paraId="23FA7BC0" w14:textId="29B62381" w:rsidTr="5FAD6993">
        <w:tblPrEx>
          <w:tblCellMar>
            <w:left w:w="108" w:type="dxa"/>
            <w:right w:w="108" w:type="dxa"/>
          </w:tblCellMar>
        </w:tblPrEx>
        <w:trPr>
          <w:cantSplit/>
          <w:trHeight w:val="749"/>
        </w:trPr>
        <w:tc>
          <w:tcPr>
            <w:tcW w:w="1014" w:type="dxa"/>
            <w:tcBorders>
              <w:top w:val="single" w:sz="8" w:space="0" w:color="auto"/>
              <w:left w:val="single" w:sz="8" w:space="0" w:color="auto"/>
              <w:bottom w:val="single" w:sz="8" w:space="0" w:color="auto"/>
              <w:right w:val="single" w:sz="8" w:space="0" w:color="auto"/>
            </w:tcBorders>
            <w:vAlign w:val="center"/>
            <w:hideMark/>
          </w:tcPr>
          <w:p w14:paraId="4FA74375" w14:textId="5AE949BA" w:rsidR="00AF5229" w:rsidRPr="00FD02F8" w:rsidRDefault="00AF5229" w:rsidP="005B56CB">
            <w:pPr>
              <w:textAlignment w:val="baseline"/>
              <w:rPr>
                <w:rFonts w:ascii="Arial" w:eastAsia="Times New Roman" w:hAnsi="Arial" w:cs="Arial"/>
                <w:lang w:eastAsia="en-GB"/>
              </w:rPr>
            </w:pPr>
            <w:r w:rsidRPr="00FD02F8">
              <w:rPr>
                <w:rFonts w:ascii="Arial" w:eastAsia="Times New Roman" w:hAnsi="Arial" w:cs="Arial"/>
                <w:lang w:eastAsia="en-GB"/>
              </w:rPr>
              <w:t>NZ OKR1</w:t>
            </w:r>
          </w:p>
        </w:tc>
        <w:tc>
          <w:tcPr>
            <w:tcW w:w="1890" w:type="dxa"/>
            <w:tcBorders>
              <w:top w:val="single" w:sz="8" w:space="0" w:color="auto"/>
              <w:left w:val="single" w:sz="8" w:space="0" w:color="auto"/>
              <w:bottom w:val="single" w:sz="8" w:space="0" w:color="auto"/>
              <w:right w:val="single" w:sz="8" w:space="0" w:color="auto"/>
            </w:tcBorders>
            <w:vAlign w:val="center"/>
          </w:tcPr>
          <w:p w14:paraId="5ED3C987" w14:textId="77777777" w:rsidR="00AF5229" w:rsidRPr="00FD02F8" w:rsidRDefault="00AF5229" w:rsidP="005B56CB">
            <w:pPr>
              <w:textAlignment w:val="baseline"/>
              <w:rPr>
                <w:rFonts w:ascii="Arial" w:eastAsia="Times New Roman" w:hAnsi="Arial" w:cs="Arial"/>
                <w:lang w:eastAsia="en-GB"/>
              </w:rPr>
            </w:pPr>
            <w:r w:rsidRPr="00FD02F8">
              <w:rPr>
                <w:rFonts w:ascii="Arial" w:eastAsia="Times New Roman" w:hAnsi="Arial" w:cs="Arial"/>
                <w:lang w:eastAsia="en-GB"/>
              </w:rPr>
              <w:t>Net Zero</w:t>
            </w:r>
          </w:p>
        </w:tc>
        <w:tc>
          <w:tcPr>
            <w:tcW w:w="6305" w:type="dxa"/>
            <w:tcBorders>
              <w:top w:val="single" w:sz="8" w:space="0" w:color="auto"/>
              <w:left w:val="single" w:sz="8" w:space="0" w:color="auto"/>
              <w:bottom w:val="single" w:sz="8" w:space="0" w:color="auto"/>
              <w:right w:val="single" w:sz="8" w:space="0" w:color="auto"/>
            </w:tcBorders>
            <w:vAlign w:val="center"/>
          </w:tcPr>
          <w:p w14:paraId="7DE71AB4" w14:textId="5B3A7CF3" w:rsidR="00AF5229" w:rsidRPr="00FD02F8" w:rsidRDefault="00AF5229" w:rsidP="005B56CB">
            <w:pPr>
              <w:textAlignment w:val="baseline"/>
              <w:rPr>
                <w:rFonts w:ascii="Arial" w:eastAsia="Times New Roman" w:hAnsi="Arial" w:cs="Arial"/>
                <w:lang w:eastAsia="en-GB"/>
              </w:rPr>
            </w:pPr>
            <w:r w:rsidRPr="00FD02F8">
              <w:rPr>
                <w:rFonts w:ascii="Arial" w:hAnsi="Arial" w:cs="Arial"/>
              </w:rPr>
              <w:t>Develop our regulatory role with a more integrated approach to energy efficiency and industrial decarbonisation.</w:t>
            </w:r>
          </w:p>
        </w:tc>
        <w:tc>
          <w:tcPr>
            <w:tcW w:w="1134" w:type="dxa"/>
            <w:tcBorders>
              <w:top w:val="single" w:sz="8" w:space="0" w:color="auto"/>
              <w:left w:val="single" w:sz="8" w:space="0" w:color="auto"/>
              <w:bottom w:val="single" w:sz="8" w:space="0" w:color="auto"/>
              <w:right w:val="single" w:sz="8" w:space="0" w:color="auto"/>
            </w:tcBorders>
            <w:vAlign w:val="center"/>
          </w:tcPr>
          <w:p w14:paraId="2EA8B05E" w14:textId="7DBA162B" w:rsidR="00AF5229" w:rsidRPr="00FD02F8" w:rsidRDefault="00AF5229" w:rsidP="005B56CB">
            <w:pPr>
              <w:jc w:val="center"/>
              <w:textAlignment w:val="baseline"/>
              <w:rPr>
                <w:rFonts w:asciiTheme="majorHAnsi" w:eastAsia="Times New Roman" w:hAnsiTheme="majorHAnsi" w:cstheme="majorHAnsi"/>
                <w:b/>
                <w:lang w:eastAsia="en-GB"/>
              </w:rPr>
            </w:pPr>
            <w:r w:rsidRPr="00FD02F8">
              <w:rPr>
                <w:rFonts w:asciiTheme="majorHAnsi" w:eastAsia="Times New Roman" w:hAnsiTheme="majorHAnsi" w:cstheme="majorHAnsi"/>
                <w:b/>
                <w:bCs/>
                <w:lang w:eastAsia="en-GB"/>
              </w:rPr>
              <w:t>0</w:t>
            </w:r>
          </w:p>
        </w:tc>
        <w:tc>
          <w:tcPr>
            <w:tcW w:w="1134" w:type="dxa"/>
            <w:tcBorders>
              <w:top w:val="single" w:sz="8" w:space="0" w:color="auto"/>
              <w:left w:val="single" w:sz="8" w:space="0" w:color="auto"/>
              <w:bottom w:val="single" w:sz="8" w:space="0" w:color="auto"/>
              <w:right w:val="single" w:sz="8" w:space="0" w:color="auto"/>
            </w:tcBorders>
            <w:vAlign w:val="center"/>
          </w:tcPr>
          <w:p w14:paraId="5A5B4CCC" w14:textId="0B7DC434" w:rsidR="00AF5229" w:rsidRPr="00FD02F8" w:rsidRDefault="00AF5229" w:rsidP="005B56CB">
            <w:pPr>
              <w:jc w:val="center"/>
              <w:textAlignment w:val="baseline"/>
              <w:rPr>
                <w:rFonts w:ascii="Arial" w:eastAsia="Times New Roman" w:hAnsi="Arial" w:cs="Arial"/>
                <w:b/>
                <w:lang w:eastAsia="en-GB"/>
              </w:rPr>
            </w:pPr>
            <w:r w:rsidRPr="00FD02F8">
              <w:rPr>
                <w:rFonts w:ascii="Arial" w:eastAsia="Times New Roman" w:hAnsi="Arial" w:cs="Arial"/>
                <w:b/>
                <w:lang w:eastAsia="en-GB"/>
              </w:rPr>
              <w:t>0.66</w:t>
            </w:r>
          </w:p>
        </w:tc>
        <w:tc>
          <w:tcPr>
            <w:tcW w:w="992" w:type="dxa"/>
            <w:tcBorders>
              <w:top w:val="single" w:sz="8" w:space="0" w:color="auto"/>
              <w:left w:val="single" w:sz="8" w:space="0" w:color="auto"/>
              <w:bottom w:val="single" w:sz="8" w:space="0" w:color="auto"/>
              <w:right w:val="single" w:sz="8" w:space="0" w:color="auto"/>
            </w:tcBorders>
            <w:vAlign w:val="center"/>
          </w:tcPr>
          <w:p w14:paraId="60191D9A" w14:textId="05A35D59" w:rsidR="00AF5229" w:rsidRPr="00FD02F8" w:rsidRDefault="00052249" w:rsidP="005B56CB">
            <w:pPr>
              <w:jc w:val="center"/>
              <w:textAlignment w:val="baseline"/>
              <w:rPr>
                <w:rFonts w:asciiTheme="majorHAnsi" w:eastAsia="Times New Roman" w:hAnsiTheme="majorHAnsi" w:cstheme="majorHAnsi"/>
                <w:b/>
                <w:bCs/>
                <w:lang w:eastAsia="en-GB"/>
              </w:rPr>
            </w:pPr>
            <w:r w:rsidRPr="00FD02F8">
              <w:rPr>
                <w:rFonts w:asciiTheme="majorHAnsi" w:eastAsia="Times New Roman" w:hAnsiTheme="majorHAnsi" w:cstheme="majorHAnsi"/>
                <w:b/>
                <w:bCs/>
                <w:lang w:eastAsia="en-GB"/>
              </w:rPr>
              <w:t>1</w:t>
            </w:r>
          </w:p>
        </w:tc>
        <w:tc>
          <w:tcPr>
            <w:tcW w:w="993" w:type="dxa"/>
            <w:tcBorders>
              <w:top w:val="single" w:sz="8" w:space="0" w:color="auto"/>
              <w:left w:val="single" w:sz="8" w:space="0" w:color="auto"/>
              <w:bottom w:val="single" w:sz="8" w:space="0" w:color="auto"/>
              <w:right w:val="single" w:sz="8" w:space="0" w:color="auto"/>
            </w:tcBorders>
            <w:vAlign w:val="center"/>
          </w:tcPr>
          <w:p w14:paraId="25F8635A" w14:textId="43012B76" w:rsidR="00AF5229" w:rsidRPr="00FD02F8" w:rsidRDefault="00AF5229" w:rsidP="005B56CB">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79DA0927" w14:textId="379F1C74" w:rsidR="00AF5229" w:rsidRPr="00FD02F8" w:rsidRDefault="00E12013" w:rsidP="005B56CB">
            <w:pPr>
              <w:jc w:val="center"/>
              <w:textAlignment w:val="baseline"/>
              <w:rPr>
                <w:b/>
                <w:bCs/>
                <w:i/>
                <w:iCs/>
                <w:color w:val="016574" w:themeColor="accent2"/>
                <w:highlight w:val="yellow"/>
                <w:lang w:eastAsia="en-GB"/>
              </w:rPr>
            </w:pPr>
            <w:r w:rsidRPr="00FD02F8">
              <w:rPr>
                <w:b/>
                <w:bCs/>
                <w:noProof/>
                <w:highlight w:val="yellow"/>
              </w:rPr>
              <w:drawing>
                <wp:anchor distT="0" distB="0" distL="114300" distR="114300" simplePos="0" relativeHeight="251651072" behindDoc="0" locked="0" layoutInCell="1" allowOverlap="1" wp14:anchorId="6E136774" wp14:editId="0F61A172">
                  <wp:simplePos x="0" y="0"/>
                  <wp:positionH relativeFrom="column">
                    <wp:posOffset>107950</wp:posOffset>
                  </wp:positionH>
                  <wp:positionV relativeFrom="paragraph">
                    <wp:posOffset>1270</wp:posOffset>
                  </wp:positionV>
                  <wp:extent cx="463550" cy="463550"/>
                  <wp:effectExtent l="0" t="0" r="0" b="0"/>
                  <wp:wrapNone/>
                  <wp:docPr id="2045862508"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3C9E1368" w14:textId="11671667" w:rsidR="00AF5229" w:rsidRPr="00FD02F8" w:rsidRDefault="006B1E98" w:rsidP="005B56CB">
            <w:pPr>
              <w:textAlignment w:val="baseline"/>
              <w:rPr>
                <w:rFonts w:ascii="Arial" w:eastAsia="Times New Roman" w:hAnsi="Arial" w:cs="Arial"/>
                <w:lang w:eastAsia="en-GB"/>
              </w:rPr>
            </w:pPr>
            <w:r w:rsidRPr="00FD02F8">
              <w:rPr>
                <w:rFonts w:ascii="Arial" w:eastAsia="Times New Roman" w:hAnsi="Arial" w:cs="Arial"/>
                <w:lang w:eastAsia="en-GB"/>
              </w:rPr>
              <w:t xml:space="preserve">We are delivering against this measure. </w:t>
            </w:r>
            <w:r w:rsidR="001F29B4" w:rsidRPr="00FD02F8">
              <w:rPr>
                <w:rFonts w:ascii="Arial" w:eastAsia="Times New Roman" w:hAnsi="Arial" w:cs="Arial"/>
                <w:lang w:eastAsia="en-GB"/>
              </w:rPr>
              <w:t xml:space="preserve">Key Results 1.1 and 1.2 have been </w:t>
            </w:r>
            <w:r w:rsidR="00052419" w:rsidRPr="00FD02F8">
              <w:rPr>
                <w:rFonts w:ascii="Arial" w:eastAsia="Times New Roman" w:hAnsi="Arial" w:cs="Arial"/>
                <w:lang w:eastAsia="en-GB"/>
              </w:rPr>
              <w:t xml:space="preserve">fully </w:t>
            </w:r>
            <w:r w:rsidR="001F29B4" w:rsidRPr="00FD02F8">
              <w:rPr>
                <w:rFonts w:ascii="Arial" w:eastAsia="Times New Roman" w:hAnsi="Arial" w:cs="Arial"/>
                <w:lang w:eastAsia="en-GB"/>
              </w:rPr>
              <w:t>deliver</w:t>
            </w:r>
            <w:r w:rsidR="00213F83" w:rsidRPr="00FD02F8">
              <w:rPr>
                <w:rFonts w:ascii="Arial" w:eastAsia="Times New Roman" w:hAnsi="Arial" w:cs="Arial"/>
                <w:lang w:eastAsia="en-GB"/>
              </w:rPr>
              <w:t xml:space="preserve">ed. </w:t>
            </w:r>
            <w:r w:rsidR="00D40C46" w:rsidRPr="00FD02F8">
              <w:rPr>
                <w:rFonts w:ascii="Arial" w:eastAsia="Times New Roman" w:hAnsi="Arial" w:cs="Arial"/>
                <w:lang w:eastAsia="en-GB"/>
              </w:rPr>
              <w:t xml:space="preserve">Key </w:t>
            </w:r>
            <w:r w:rsidR="00B72BDA" w:rsidRPr="00FD02F8">
              <w:rPr>
                <w:rFonts w:ascii="Arial" w:eastAsia="Times New Roman" w:hAnsi="Arial" w:cs="Arial"/>
                <w:lang w:eastAsia="en-GB"/>
              </w:rPr>
              <w:t>R</w:t>
            </w:r>
            <w:r w:rsidR="00D40C46" w:rsidRPr="00FD02F8">
              <w:rPr>
                <w:rFonts w:ascii="Arial" w:eastAsia="Times New Roman" w:hAnsi="Arial" w:cs="Arial"/>
                <w:lang w:eastAsia="en-GB"/>
              </w:rPr>
              <w:t>esult 1.3</w:t>
            </w:r>
            <w:r w:rsidR="00BE306B" w:rsidRPr="00FD02F8">
              <w:rPr>
                <w:rFonts w:ascii="Arial" w:eastAsia="Times New Roman" w:hAnsi="Arial" w:cs="Arial"/>
                <w:lang w:eastAsia="en-GB"/>
              </w:rPr>
              <w:t>, the</w:t>
            </w:r>
            <w:r w:rsidR="00052419" w:rsidRPr="00FD02F8">
              <w:rPr>
                <w:rFonts w:ascii="Arial" w:eastAsia="Times New Roman" w:hAnsi="Arial" w:cs="Arial"/>
                <w:lang w:eastAsia="en-GB"/>
              </w:rPr>
              <w:t xml:space="preserve"> report outlining the results of our work with the pilot sites</w:t>
            </w:r>
            <w:r w:rsidR="00BE306B" w:rsidRPr="00FD02F8">
              <w:rPr>
                <w:rFonts w:ascii="Arial" w:eastAsia="Times New Roman" w:hAnsi="Arial" w:cs="Arial"/>
                <w:lang w:eastAsia="en-GB"/>
              </w:rPr>
              <w:t>,</w:t>
            </w:r>
            <w:r w:rsidR="00052419" w:rsidRPr="00FD02F8">
              <w:rPr>
                <w:rFonts w:ascii="Arial" w:eastAsia="Times New Roman" w:hAnsi="Arial" w:cs="Arial"/>
                <w:lang w:eastAsia="en-GB"/>
              </w:rPr>
              <w:t xml:space="preserve"> is due to be delivered in Q4.</w:t>
            </w:r>
          </w:p>
        </w:tc>
        <w:tc>
          <w:tcPr>
            <w:tcW w:w="1417" w:type="dxa"/>
            <w:tcBorders>
              <w:top w:val="single" w:sz="8" w:space="0" w:color="auto"/>
              <w:left w:val="single" w:sz="8" w:space="0" w:color="auto"/>
              <w:bottom w:val="single" w:sz="8" w:space="0" w:color="auto"/>
              <w:right w:val="single" w:sz="8" w:space="0" w:color="auto"/>
            </w:tcBorders>
            <w:vAlign w:val="center"/>
          </w:tcPr>
          <w:p w14:paraId="175B4889" w14:textId="0FCEFCBA" w:rsidR="00AF5229" w:rsidRPr="00FD02F8" w:rsidRDefault="00AF5229" w:rsidP="006A7722">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Delivered</w:t>
            </w:r>
          </w:p>
        </w:tc>
      </w:tr>
      <w:tr w:rsidR="0090035E" w:rsidRPr="00FD02F8" w14:paraId="15C0E201" w14:textId="54F12C48" w:rsidTr="5FAD6993">
        <w:trPr>
          <w:cantSplit/>
          <w:trHeight w:val="567"/>
        </w:trPr>
        <w:tc>
          <w:tcPr>
            <w:tcW w:w="1014" w:type="dxa"/>
            <w:tcBorders>
              <w:top w:val="single" w:sz="8" w:space="0" w:color="auto"/>
              <w:left w:val="single" w:sz="8" w:space="0" w:color="auto"/>
              <w:bottom w:val="single" w:sz="8" w:space="0" w:color="auto"/>
              <w:right w:val="single" w:sz="8" w:space="0" w:color="auto"/>
            </w:tcBorders>
            <w:vAlign w:val="center"/>
          </w:tcPr>
          <w:p w14:paraId="1FD9ADF2" w14:textId="42BE472D" w:rsidR="00AF5229" w:rsidRPr="00FD02F8" w:rsidRDefault="00AF5229" w:rsidP="005B56CB">
            <w:pPr>
              <w:textAlignment w:val="baseline"/>
              <w:rPr>
                <w:rFonts w:ascii="Arial" w:eastAsia="Times New Roman" w:hAnsi="Arial" w:cs="Arial"/>
                <w:lang w:eastAsia="en-GB"/>
              </w:rPr>
            </w:pPr>
            <w:r w:rsidRPr="00FD02F8">
              <w:rPr>
                <w:rFonts w:ascii="Arial" w:eastAsia="Times New Roman" w:hAnsi="Arial" w:cs="Arial"/>
                <w:lang w:eastAsia="en-GB"/>
              </w:rPr>
              <w:t>NZ OKR2</w:t>
            </w:r>
          </w:p>
        </w:tc>
        <w:tc>
          <w:tcPr>
            <w:tcW w:w="1890" w:type="dxa"/>
            <w:tcBorders>
              <w:top w:val="single" w:sz="8" w:space="0" w:color="auto"/>
              <w:left w:val="single" w:sz="8" w:space="0" w:color="auto"/>
              <w:bottom w:val="single" w:sz="8" w:space="0" w:color="auto"/>
              <w:right w:val="single" w:sz="8" w:space="0" w:color="auto"/>
            </w:tcBorders>
            <w:vAlign w:val="center"/>
          </w:tcPr>
          <w:p w14:paraId="7CF2E418" w14:textId="5512B3CA" w:rsidR="00AF5229" w:rsidRPr="00FD02F8" w:rsidRDefault="00AF5229" w:rsidP="005B56CB">
            <w:pPr>
              <w:textAlignment w:val="baseline"/>
              <w:rPr>
                <w:rFonts w:ascii="Arial" w:eastAsia="Times New Roman" w:hAnsi="Arial" w:cs="Arial"/>
                <w:lang w:eastAsia="en-GB"/>
              </w:rPr>
            </w:pPr>
            <w:r w:rsidRPr="00FD02F8">
              <w:rPr>
                <w:rFonts w:ascii="Arial" w:eastAsia="Times New Roman" w:hAnsi="Arial" w:cs="Arial"/>
                <w:lang w:eastAsia="en-GB"/>
              </w:rPr>
              <w:t>Net Zero</w:t>
            </w:r>
          </w:p>
        </w:tc>
        <w:tc>
          <w:tcPr>
            <w:tcW w:w="6305" w:type="dxa"/>
            <w:tcBorders>
              <w:top w:val="single" w:sz="8" w:space="0" w:color="auto"/>
              <w:left w:val="single" w:sz="8" w:space="0" w:color="auto"/>
              <w:bottom w:val="single" w:sz="8" w:space="0" w:color="auto"/>
              <w:right w:val="single" w:sz="8" w:space="0" w:color="auto"/>
            </w:tcBorders>
          </w:tcPr>
          <w:p w14:paraId="0D255BFE" w14:textId="2953B321" w:rsidR="00AF5229" w:rsidRPr="00FD02F8" w:rsidRDefault="00AF5229" w:rsidP="005B56CB">
            <w:pPr>
              <w:textAlignment w:val="baseline"/>
              <w:rPr>
                <w:rFonts w:ascii="Arial" w:eastAsia="Times New Roman" w:hAnsi="Arial" w:cs="Arial"/>
                <w:lang w:eastAsia="en-GB"/>
              </w:rPr>
            </w:pPr>
            <w:r w:rsidRPr="00FD02F8">
              <w:rPr>
                <w:rFonts w:ascii="Arial" w:hAnsi="Arial" w:cs="Arial"/>
              </w:rPr>
              <w:t>Transform our workspaces and fleet to minimise emissions, reduce costs and move to co-located workspaces by default and zero emissions fleet by 2030.</w:t>
            </w:r>
          </w:p>
        </w:tc>
        <w:tc>
          <w:tcPr>
            <w:tcW w:w="1134" w:type="dxa"/>
            <w:tcBorders>
              <w:top w:val="single" w:sz="8" w:space="0" w:color="auto"/>
              <w:left w:val="single" w:sz="8" w:space="0" w:color="auto"/>
              <w:bottom w:val="single" w:sz="8" w:space="0" w:color="auto"/>
              <w:right w:val="single" w:sz="8" w:space="0" w:color="auto"/>
            </w:tcBorders>
            <w:vAlign w:val="center"/>
          </w:tcPr>
          <w:p w14:paraId="6DC88AD7" w14:textId="7427FB6F" w:rsidR="00AF5229" w:rsidRPr="00FD02F8" w:rsidRDefault="00AF5229" w:rsidP="005B56CB">
            <w:pPr>
              <w:jc w:val="center"/>
              <w:rPr>
                <w:rFonts w:asciiTheme="majorHAnsi" w:hAnsiTheme="majorHAnsi" w:cstheme="majorHAnsi"/>
                <w:b/>
                <w:color w:val="000000"/>
              </w:rPr>
            </w:pPr>
            <w:r w:rsidRPr="00FD02F8">
              <w:rPr>
                <w:rFonts w:asciiTheme="majorHAnsi" w:eastAsia="Times New Roman" w:hAnsiTheme="majorHAnsi" w:cstheme="majorHAnsi"/>
                <w:b/>
                <w:bCs/>
                <w:lang w:eastAsia="en-GB"/>
              </w:rPr>
              <w:t>0.33</w:t>
            </w:r>
          </w:p>
        </w:tc>
        <w:tc>
          <w:tcPr>
            <w:tcW w:w="1134" w:type="dxa"/>
            <w:tcBorders>
              <w:top w:val="single" w:sz="8" w:space="0" w:color="auto"/>
              <w:left w:val="single" w:sz="8" w:space="0" w:color="auto"/>
              <w:bottom w:val="single" w:sz="8" w:space="0" w:color="auto"/>
              <w:right w:val="single" w:sz="8" w:space="0" w:color="auto"/>
            </w:tcBorders>
            <w:vAlign w:val="center"/>
          </w:tcPr>
          <w:p w14:paraId="11C42107" w14:textId="77497720" w:rsidR="00AF5229" w:rsidRPr="00FD02F8" w:rsidRDefault="00AF5229" w:rsidP="005B56CB">
            <w:pPr>
              <w:jc w:val="center"/>
              <w:rPr>
                <w:rFonts w:asciiTheme="majorHAnsi" w:hAnsiTheme="majorHAnsi" w:cstheme="majorHAnsi"/>
                <w:b/>
                <w:bCs/>
                <w:color w:val="000000"/>
              </w:rPr>
            </w:pPr>
            <w:r w:rsidRPr="00FD02F8">
              <w:rPr>
                <w:rFonts w:asciiTheme="majorHAnsi" w:hAnsiTheme="majorHAnsi" w:cstheme="majorHAnsi"/>
                <w:b/>
                <w:bCs/>
                <w:color w:val="000000"/>
              </w:rPr>
              <w:t>0.25</w:t>
            </w:r>
          </w:p>
        </w:tc>
        <w:tc>
          <w:tcPr>
            <w:tcW w:w="992" w:type="dxa"/>
            <w:tcBorders>
              <w:top w:val="single" w:sz="8" w:space="0" w:color="auto"/>
              <w:left w:val="single" w:sz="8" w:space="0" w:color="auto"/>
              <w:bottom w:val="single" w:sz="8" w:space="0" w:color="auto"/>
              <w:right w:val="single" w:sz="8" w:space="0" w:color="auto"/>
            </w:tcBorders>
            <w:vAlign w:val="center"/>
          </w:tcPr>
          <w:p w14:paraId="47DBF883" w14:textId="79D86287" w:rsidR="00AF5229" w:rsidRPr="00FD02F8" w:rsidRDefault="00BB389B" w:rsidP="005B56CB">
            <w:pPr>
              <w:jc w:val="center"/>
              <w:rPr>
                <w:rFonts w:asciiTheme="majorHAnsi" w:hAnsiTheme="majorHAnsi" w:cstheme="majorHAnsi"/>
                <w:b/>
                <w:bCs/>
                <w:color w:val="000000"/>
              </w:rPr>
            </w:pPr>
            <w:r w:rsidRPr="00FD02F8">
              <w:rPr>
                <w:rFonts w:asciiTheme="majorHAnsi" w:eastAsia="Times New Roman" w:hAnsiTheme="majorHAnsi" w:cstheme="majorHAnsi"/>
                <w:b/>
                <w:bCs/>
                <w:lang w:eastAsia="en-GB"/>
              </w:rPr>
              <w:t>0.</w:t>
            </w:r>
            <w:r w:rsidR="00A90EBB">
              <w:rPr>
                <w:rFonts w:asciiTheme="majorHAnsi" w:eastAsia="Times New Roman" w:hAnsiTheme="majorHAnsi" w:cstheme="majorHAnsi"/>
                <w:b/>
                <w:bCs/>
                <w:lang w:eastAsia="en-GB"/>
              </w:rPr>
              <w:t>5</w:t>
            </w:r>
          </w:p>
        </w:tc>
        <w:tc>
          <w:tcPr>
            <w:tcW w:w="993" w:type="dxa"/>
            <w:tcBorders>
              <w:top w:val="single" w:sz="8" w:space="0" w:color="auto"/>
              <w:left w:val="single" w:sz="8" w:space="0" w:color="auto"/>
              <w:bottom w:val="single" w:sz="8" w:space="0" w:color="auto"/>
              <w:right w:val="single" w:sz="8" w:space="0" w:color="auto"/>
            </w:tcBorders>
            <w:vAlign w:val="center"/>
          </w:tcPr>
          <w:p w14:paraId="6D46C8B5" w14:textId="43498EE6" w:rsidR="00AF5229" w:rsidRPr="00FD02F8" w:rsidRDefault="00AF5229" w:rsidP="005B56CB">
            <w:pPr>
              <w:jc w:val="center"/>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4F8EB2C0" w14:textId="56B7E31A" w:rsidR="00AF5229" w:rsidRPr="00FD02F8" w:rsidRDefault="00A90EBB" w:rsidP="005B56CB">
            <w:pPr>
              <w:jc w:val="center"/>
              <w:textAlignment w:val="baseline"/>
              <w:rPr>
                <w:b/>
                <w:i/>
                <w:color w:val="016574" w:themeColor="accent2"/>
                <w:lang w:eastAsia="en-GB"/>
              </w:rPr>
            </w:pPr>
            <w:r w:rsidRPr="00FD02F8">
              <w:rPr>
                <w:noProof/>
              </w:rPr>
              <w:drawing>
                <wp:inline distT="0" distB="0" distL="0" distR="0" wp14:anchorId="67904CB0" wp14:editId="25DAD986">
                  <wp:extent cx="463550" cy="463550"/>
                  <wp:effectExtent l="0" t="0" r="0" b="0"/>
                  <wp:docPr id="1329740709"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306C5847" w14:textId="38C8B568" w:rsidR="00AF5229" w:rsidRPr="00FD02F8" w:rsidRDefault="00A336B5" w:rsidP="005B56CB">
            <w:pPr>
              <w:textAlignment w:val="baseline"/>
              <w:rPr>
                <w:rFonts w:ascii="Arial" w:eastAsia="Times New Roman" w:hAnsi="Arial" w:cs="Arial"/>
                <w:lang w:eastAsia="en-GB"/>
              </w:rPr>
            </w:pPr>
            <w:r w:rsidRPr="00FD02F8">
              <w:rPr>
                <w:rFonts w:ascii="Arial" w:eastAsia="Times New Roman" w:hAnsi="Arial" w:cs="Arial"/>
                <w:lang w:eastAsia="en-GB"/>
              </w:rPr>
              <w:t>We are on track for delivering three out of the four Key Results</w:t>
            </w:r>
            <w:r w:rsidR="006435D7" w:rsidRPr="00FD02F8">
              <w:rPr>
                <w:rFonts w:ascii="Arial" w:eastAsia="Times New Roman" w:hAnsi="Arial" w:cs="Arial"/>
                <w:lang w:eastAsia="en-GB"/>
              </w:rPr>
              <w:t xml:space="preserve"> for this objective</w:t>
            </w:r>
            <w:r w:rsidR="00B20740" w:rsidRPr="00FD02F8">
              <w:rPr>
                <w:rFonts w:ascii="Arial" w:eastAsia="Times New Roman" w:hAnsi="Arial" w:cs="Arial"/>
                <w:lang w:eastAsia="en-GB"/>
              </w:rPr>
              <w:t xml:space="preserve">, with significant progress made. </w:t>
            </w:r>
            <w:r w:rsidR="004950AE" w:rsidRPr="00FD02F8">
              <w:rPr>
                <w:rFonts w:ascii="Arial" w:eastAsia="Times New Roman" w:hAnsi="Arial" w:cs="Arial"/>
                <w:lang w:eastAsia="en-GB"/>
              </w:rPr>
              <w:t>A</w:t>
            </w:r>
            <w:r w:rsidR="00E664C9" w:rsidRPr="00FD02F8">
              <w:rPr>
                <w:rFonts w:ascii="Arial" w:eastAsia="Times New Roman" w:hAnsi="Arial" w:cs="Arial"/>
                <w:lang w:eastAsia="en-GB"/>
              </w:rPr>
              <w:t xml:space="preserve"> cross o</w:t>
            </w:r>
            <w:r w:rsidR="000654A8" w:rsidRPr="00FD02F8">
              <w:rPr>
                <w:rFonts w:ascii="Arial" w:eastAsia="Times New Roman" w:hAnsi="Arial" w:cs="Arial"/>
                <w:lang w:eastAsia="en-GB"/>
              </w:rPr>
              <w:t xml:space="preserve">rganisational </w:t>
            </w:r>
            <w:r w:rsidR="004950AE" w:rsidRPr="00FD02F8">
              <w:rPr>
                <w:rFonts w:ascii="Arial" w:eastAsia="Times New Roman" w:hAnsi="Arial" w:cs="Arial"/>
                <w:lang w:eastAsia="en-GB"/>
              </w:rPr>
              <w:t xml:space="preserve">action plan is </w:t>
            </w:r>
            <w:r w:rsidR="000654A8" w:rsidRPr="00FD02F8">
              <w:rPr>
                <w:rFonts w:ascii="Arial" w:eastAsia="Times New Roman" w:hAnsi="Arial" w:cs="Arial"/>
                <w:lang w:eastAsia="en-GB"/>
              </w:rPr>
              <w:t>being</w:t>
            </w:r>
            <w:r w:rsidR="004950AE" w:rsidRPr="00FD02F8">
              <w:rPr>
                <w:rFonts w:ascii="Arial" w:eastAsia="Times New Roman" w:hAnsi="Arial" w:cs="Arial"/>
                <w:lang w:eastAsia="en-GB"/>
              </w:rPr>
              <w:t xml:space="preserve"> implemented for </w:t>
            </w:r>
            <w:r w:rsidR="00B32601" w:rsidRPr="00FD02F8">
              <w:rPr>
                <w:rFonts w:ascii="Arial" w:eastAsia="Times New Roman" w:hAnsi="Arial" w:cs="Arial"/>
                <w:lang w:eastAsia="en-GB"/>
              </w:rPr>
              <w:t>Key Result 2.3</w:t>
            </w:r>
            <w:r w:rsidR="00904CDD" w:rsidRPr="00FD02F8">
              <w:rPr>
                <w:rFonts w:ascii="Arial" w:eastAsia="Times New Roman" w:hAnsi="Arial" w:cs="Arial"/>
                <w:lang w:eastAsia="en-GB"/>
              </w:rPr>
              <w:t>.</w:t>
            </w:r>
          </w:p>
        </w:tc>
        <w:tc>
          <w:tcPr>
            <w:tcW w:w="1417" w:type="dxa"/>
            <w:tcBorders>
              <w:top w:val="single" w:sz="8" w:space="0" w:color="auto"/>
              <w:left w:val="single" w:sz="8" w:space="0" w:color="auto"/>
              <w:bottom w:val="single" w:sz="8" w:space="0" w:color="auto"/>
              <w:right w:val="single" w:sz="8" w:space="0" w:color="auto"/>
            </w:tcBorders>
            <w:vAlign w:val="center"/>
          </w:tcPr>
          <w:p w14:paraId="47835E2E" w14:textId="0ABA6DD3" w:rsidR="00AF5229" w:rsidRPr="00FD02F8" w:rsidRDefault="00AF5229" w:rsidP="006A7722">
            <w:pPr>
              <w:jc w:val="center"/>
              <w:textAlignment w:val="baseline"/>
              <w:rPr>
                <w:rFonts w:ascii="Arial" w:eastAsia="Times New Roman" w:hAnsi="Arial" w:cs="Arial"/>
                <w:lang w:eastAsia="en-GB"/>
              </w:rPr>
            </w:pPr>
            <w:r w:rsidRPr="00FD02F8">
              <w:rPr>
                <w:rFonts w:ascii="Arial" w:eastAsia="Times New Roman" w:hAnsi="Arial" w:cs="Arial"/>
                <w:szCs w:val="28"/>
                <w:lang w:eastAsia="en-GB"/>
              </w:rPr>
              <w:t>Partial Delivery</w:t>
            </w:r>
          </w:p>
        </w:tc>
      </w:tr>
      <w:tr w:rsidR="0090035E" w:rsidRPr="00FD02F8" w14:paraId="61107C6E" w14:textId="1B2AEFEF" w:rsidTr="5FAD6993">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555A20ED" w14:textId="18BD64B0" w:rsidR="00AF5229" w:rsidRPr="00FD02F8" w:rsidRDefault="00AF5229" w:rsidP="005B56CB">
            <w:pPr>
              <w:textAlignment w:val="baseline"/>
              <w:rPr>
                <w:rFonts w:ascii="Arial" w:eastAsia="Times New Roman" w:hAnsi="Arial" w:cs="Arial"/>
                <w:lang w:eastAsia="en-GB"/>
              </w:rPr>
            </w:pPr>
            <w:r w:rsidRPr="00FD02F8">
              <w:rPr>
                <w:rFonts w:ascii="Arial" w:eastAsia="Times New Roman" w:hAnsi="Arial" w:cs="Arial"/>
                <w:lang w:eastAsia="en-GB"/>
              </w:rPr>
              <w:t>CR OKR3</w:t>
            </w:r>
          </w:p>
        </w:tc>
        <w:tc>
          <w:tcPr>
            <w:tcW w:w="1890" w:type="dxa"/>
            <w:tcBorders>
              <w:top w:val="single" w:sz="8" w:space="0" w:color="auto"/>
              <w:left w:val="single" w:sz="8" w:space="0" w:color="auto"/>
              <w:bottom w:val="single" w:sz="8" w:space="0" w:color="auto"/>
              <w:right w:val="single" w:sz="8" w:space="0" w:color="auto"/>
            </w:tcBorders>
            <w:vAlign w:val="center"/>
          </w:tcPr>
          <w:p w14:paraId="7DAE1A4B" w14:textId="2A2D2ADE" w:rsidR="00AF5229" w:rsidRPr="00FD02F8" w:rsidRDefault="00AF5229" w:rsidP="005B56CB">
            <w:pPr>
              <w:textAlignment w:val="baseline"/>
              <w:rPr>
                <w:rFonts w:ascii="Arial" w:eastAsia="Times New Roman" w:hAnsi="Arial" w:cs="Arial"/>
                <w:lang w:eastAsia="en-GB"/>
              </w:rPr>
            </w:pPr>
            <w:r w:rsidRPr="00FD02F8">
              <w:rPr>
                <w:rFonts w:ascii="Arial" w:eastAsia="Times New Roman" w:hAnsi="Arial" w:cs="Arial"/>
                <w:lang w:eastAsia="en-GB"/>
              </w:rPr>
              <w:t>Climate Resilience</w:t>
            </w:r>
          </w:p>
        </w:tc>
        <w:tc>
          <w:tcPr>
            <w:tcW w:w="6305" w:type="dxa"/>
            <w:tcBorders>
              <w:top w:val="single" w:sz="8" w:space="0" w:color="auto"/>
              <w:left w:val="single" w:sz="8" w:space="0" w:color="auto"/>
              <w:bottom w:val="single" w:sz="8" w:space="0" w:color="auto"/>
              <w:right w:val="single" w:sz="8" w:space="0" w:color="auto"/>
            </w:tcBorders>
            <w:vAlign w:val="center"/>
          </w:tcPr>
          <w:p w14:paraId="1B33B0E0" w14:textId="2706FD43" w:rsidR="00AF5229" w:rsidRPr="00FD02F8" w:rsidRDefault="00AF5229" w:rsidP="005B56CB">
            <w:pPr>
              <w:rPr>
                <w:rFonts w:ascii="Arial" w:hAnsi="Arial" w:cs="Arial"/>
              </w:rPr>
            </w:pPr>
            <w:r w:rsidRPr="00FD02F8">
              <w:rPr>
                <w:rFonts w:ascii="Arial" w:hAnsi="Arial" w:cs="Arial"/>
              </w:rPr>
              <w:t>Improve awareness and understanding of flood and drought risk, including implications of climate change, to support effective decision making</w:t>
            </w:r>
            <w:r w:rsidR="00F76E20" w:rsidRPr="00FD02F8">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vAlign w:val="center"/>
          </w:tcPr>
          <w:p w14:paraId="30C75510" w14:textId="2CC68481" w:rsidR="00AF5229" w:rsidRPr="00FD02F8" w:rsidRDefault="00AF5229" w:rsidP="005B56CB">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bCs/>
                <w:lang w:eastAsia="en-GB"/>
              </w:rPr>
              <w:t>0.80</w:t>
            </w:r>
          </w:p>
        </w:tc>
        <w:tc>
          <w:tcPr>
            <w:tcW w:w="1134" w:type="dxa"/>
            <w:tcBorders>
              <w:top w:val="single" w:sz="8" w:space="0" w:color="auto"/>
              <w:left w:val="single" w:sz="8" w:space="0" w:color="auto"/>
              <w:bottom w:val="single" w:sz="8" w:space="0" w:color="auto"/>
              <w:right w:val="single" w:sz="8" w:space="0" w:color="auto"/>
            </w:tcBorders>
            <w:vAlign w:val="center"/>
          </w:tcPr>
          <w:p w14:paraId="291BEC3D" w14:textId="1317F95D" w:rsidR="00AF5229" w:rsidRPr="00FD02F8" w:rsidRDefault="00AF5229" w:rsidP="005B56CB">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0.9</w:t>
            </w:r>
            <w:r w:rsidR="00062E21" w:rsidRPr="00FD02F8">
              <w:rPr>
                <w:rFonts w:asciiTheme="majorHAnsi" w:hAnsiTheme="majorHAnsi" w:cstheme="majorHAnsi"/>
                <w:b/>
                <w:bCs/>
                <w:color w:val="000000"/>
              </w:rPr>
              <w:t>0</w:t>
            </w:r>
          </w:p>
        </w:tc>
        <w:tc>
          <w:tcPr>
            <w:tcW w:w="992" w:type="dxa"/>
            <w:tcBorders>
              <w:top w:val="single" w:sz="8" w:space="0" w:color="auto"/>
              <w:left w:val="single" w:sz="8" w:space="0" w:color="auto"/>
              <w:bottom w:val="single" w:sz="8" w:space="0" w:color="auto"/>
              <w:right w:val="single" w:sz="8" w:space="0" w:color="auto"/>
            </w:tcBorders>
            <w:vAlign w:val="center"/>
          </w:tcPr>
          <w:p w14:paraId="3DDCB2E3" w14:textId="237ACDBA" w:rsidR="00AF5229" w:rsidRPr="00FD02F8" w:rsidRDefault="00D9449E" w:rsidP="005B56CB">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1</w:t>
            </w:r>
          </w:p>
        </w:tc>
        <w:tc>
          <w:tcPr>
            <w:tcW w:w="993" w:type="dxa"/>
            <w:tcBorders>
              <w:top w:val="single" w:sz="8" w:space="0" w:color="auto"/>
              <w:left w:val="single" w:sz="8" w:space="0" w:color="auto"/>
              <w:bottom w:val="single" w:sz="8" w:space="0" w:color="auto"/>
              <w:right w:val="single" w:sz="8" w:space="0" w:color="auto"/>
            </w:tcBorders>
            <w:vAlign w:val="center"/>
          </w:tcPr>
          <w:p w14:paraId="29153E25" w14:textId="6F186238" w:rsidR="00AF5229" w:rsidRPr="00FD02F8" w:rsidRDefault="00AF5229" w:rsidP="005B56CB">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2EFDD0D5" w14:textId="2B6F9403" w:rsidR="00AF5229" w:rsidRPr="00FD02F8" w:rsidRDefault="00AF5229" w:rsidP="005B56CB">
            <w:pPr>
              <w:jc w:val="center"/>
              <w:textAlignment w:val="baseline"/>
              <w:rPr>
                <w:rFonts w:ascii="Arial" w:eastAsia="Times New Roman" w:hAnsi="Arial" w:cs="Arial"/>
                <w:highlight w:val="yellow"/>
                <w:lang w:eastAsia="en-GB"/>
              </w:rPr>
            </w:pPr>
            <w:r w:rsidRPr="00FD02F8">
              <w:rPr>
                <w:b/>
                <w:bCs/>
                <w:noProof/>
                <w:highlight w:val="yellow"/>
              </w:rPr>
              <w:drawing>
                <wp:anchor distT="0" distB="0" distL="114300" distR="114300" simplePos="0" relativeHeight="251652096" behindDoc="0" locked="0" layoutInCell="1" allowOverlap="1" wp14:anchorId="728DEEFC" wp14:editId="5CD740A6">
                  <wp:simplePos x="0" y="0"/>
                  <wp:positionH relativeFrom="column">
                    <wp:posOffset>105410</wp:posOffset>
                  </wp:positionH>
                  <wp:positionV relativeFrom="paragraph">
                    <wp:posOffset>36830</wp:posOffset>
                  </wp:positionV>
                  <wp:extent cx="463550" cy="463550"/>
                  <wp:effectExtent l="0" t="0" r="0" b="0"/>
                  <wp:wrapNone/>
                  <wp:docPr id="1539588854"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5A41487B" w14:textId="508ACCF3" w:rsidR="00AF5229" w:rsidRPr="00FD02F8" w:rsidRDefault="00213F83" w:rsidP="005B56CB">
            <w:pPr>
              <w:textAlignment w:val="baseline"/>
              <w:rPr>
                <w:rFonts w:ascii="Arial" w:eastAsia="Times New Roman" w:hAnsi="Arial" w:cs="Arial"/>
                <w:highlight w:val="yellow"/>
                <w:lang w:eastAsia="en-GB"/>
              </w:rPr>
            </w:pPr>
            <w:r w:rsidRPr="00FD02F8">
              <w:rPr>
                <w:rFonts w:ascii="Arial" w:eastAsia="Times New Roman" w:hAnsi="Arial" w:cs="Arial"/>
                <w:lang w:eastAsia="en-GB"/>
              </w:rPr>
              <w:t>We are delivering against this measure. Key Results 3.1 and 3.2 have been delivered. Key Result</w:t>
            </w:r>
            <w:r w:rsidR="00127052" w:rsidRPr="00FD02F8">
              <w:rPr>
                <w:rFonts w:ascii="Arial" w:eastAsia="Times New Roman" w:hAnsi="Arial" w:cs="Arial"/>
                <w:lang w:eastAsia="en-GB"/>
              </w:rPr>
              <w:t>s</w:t>
            </w:r>
            <w:r w:rsidRPr="00FD02F8">
              <w:rPr>
                <w:rFonts w:ascii="Arial" w:eastAsia="Times New Roman" w:hAnsi="Arial" w:cs="Arial"/>
                <w:lang w:eastAsia="en-GB"/>
              </w:rPr>
              <w:t xml:space="preserve"> </w:t>
            </w:r>
            <w:r w:rsidR="00127052" w:rsidRPr="00FD02F8">
              <w:rPr>
                <w:rFonts w:ascii="Arial" w:eastAsia="Times New Roman" w:hAnsi="Arial" w:cs="Arial"/>
                <w:lang w:eastAsia="en-GB"/>
              </w:rPr>
              <w:t>3</w:t>
            </w:r>
            <w:r w:rsidRPr="00FD02F8">
              <w:rPr>
                <w:rFonts w:ascii="Arial" w:eastAsia="Times New Roman" w:hAnsi="Arial" w:cs="Arial"/>
                <w:lang w:eastAsia="en-GB"/>
              </w:rPr>
              <w:t>.3 </w:t>
            </w:r>
            <w:r w:rsidR="00127052" w:rsidRPr="00FD02F8">
              <w:rPr>
                <w:rFonts w:ascii="Arial" w:eastAsia="Times New Roman" w:hAnsi="Arial" w:cs="Arial"/>
                <w:lang w:eastAsia="en-GB"/>
              </w:rPr>
              <w:t>and 3.4 are</w:t>
            </w:r>
            <w:r w:rsidRPr="00FD02F8">
              <w:rPr>
                <w:rFonts w:ascii="Arial" w:eastAsia="Times New Roman" w:hAnsi="Arial" w:cs="Arial"/>
                <w:lang w:eastAsia="en-GB"/>
              </w:rPr>
              <w:t xml:space="preserve"> due to be delivered in Q4.</w:t>
            </w:r>
          </w:p>
        </w:tc>
        <w:tc>
          <w:tcPr>
            <w:tcW w:w="1417" w:type="dxa"/>
            <w:tcBorders>
              <w:top w:val="single" w:sz="8" w:space="0" w:color="auto"/>
              <w:left w:val="single" w:sz="8" w:space="0" w:color="auto"/>
              <w:bottom w:val="single" w:sz="8" w:space="0" w:color="auto"/>
              <w:right w:val="single" w:sz="8" w:space="0" w:color="auto"/>
            </w:tcBorders>
            <w:vAlign w:val="center"/>
          </w:tcPr>
          <w:p w14:paraId="15866D01" w14:textId="0F32570B" w:rsidR="00AF5229" w:rsidRPr="00FD02F8" w:rsidRDefault="00AF5229" w:rsidP="001D4BBE">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Delivered</w:t>
            </w:r>
          </w:p>
        </w:tc>
      </w:tr>
      <w:tr w:rsidR="0090035E" w:rsidRPr="00FD02F8" w14:paraId="692D36DE" w14:textId="2947761D" w:rsidTr="5FAD6993">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01C69BF8" w14:textId="09E3EF99" w:rsidR="00702EEA" w:rsidRPr="00FD02F8" w:rsidRDefault="00702EEA" w:rsidP="00702EEA">
            <w:pPr>
              <w:textAlignment w:val="baseline"/>
              <w:rPr>
                <w:rFonts w:ascii="Arial" w:eastAsia="Times New Roman" w:hAnsi="Arial" w:cs="Arial"/>
                <w:lang w:eastAsia="en-GB"/>
              </w:rPr>
            </w:pPr>
            <w:r w:rsidRPr="00FD02F8">
              <w:rPr>
                <w:rFonts w:ascii="Arial" w:eastAsia="Times New Roman" w:hAnsi="Arial" w:cs="Arial"/>
                <w:lang w:eastAsia="en-GB"/>
              </w:rPr>
              <w:t>CR OKR4</w:t>
            </w:r>
          </w:p>
        </w:tc>
        <w:tc>
          <w:tcPr>
            <w:tcW w:w="1890" w:type="dxa"/>
            <w:tcBorders>
              <w:top w:val="single" w:sz="8" w:space="0" w:color="auto"/>
              <w:left w:val="single" w:sz="8" w:space="0" w:color="auto"/>
              <w:bottom w:val="single" w:sz="8" w:space="0" w:color="auto"/>
              <w:right w:val="single" w:sz="8" w:space="0" w:color="auto"/>
            </w:tcBorders>
            <w:vAlign w:val="center"/>
          </w:tcPr>
          <w:p w14:paraId="3B5A23E1" w14:textId="456B377E" w:rsidR="00702EEA" w:rsidRPr="00FD02F8" w:rsidRDefault="00702EEA" w:rsidP="00702EEA">
            <w:pPr>
              <w:textAlignment w:val="baseline"/>
              <w:rPr>
                <w:rFonts w:ascii="Arial" w:eastAsia="Times New Roman" w:hAnsi="Arial" w:cs="Arial"/>
                <w:lang w:eastAsia="en-GB"/>
              </w:rPr>
            </w:pPr>
            <w:r w:rsidRPr="00FD02F8">
              <w:rPr>
                <w:rFonts w:ascii="Arial" w:eastAsia="Times New Roman" w:hAnsi="Arial" w:cs="Arial"/>
                <w:lang w:eastAsia="en-GB"/>
              </w:rPr>
              <w:t>Climate Resilience</w:t>
            </w:r>
          </w:p>
        </w:tc>
        <w:tc>
          <w:tcPr>
            <w:tcW w:w="6305" w:type="dxa"/>
            <w:tcBorders>
              <w:top w:val="single" w:sz="8" w:space="0" w:color="auto"/>
              <w:left w:val="single" w:sz="8" w:space="0" w:color="auto"/>
              <w:bottom w:val="single" w:sz="8" w:space="0" w:color="auto"/>
              <w:right w:val="single" w:sz="8" w:space="0" w:color="auto"/>
            </w:tcBorders>
            <w:vAlign w:val="center"/>
          </w:tcPr>
          <w:p w14:paraId="0C1F3DB8" w14:textId="522ECC6E" w:rsidR="00702EEA" w:rsidRPr="00FD02F8" w:rsidRDefault="00702EEA" w:rsidP="00702EEA">
            <w:pPr>
              <w:textAlignment w:val="baseline"/>
              <w:rPr>
                <w:rFonts w:ascii="Arial" w:eastAsia="Times New Roman" w:hAnsi="Arial" w:cs="Arial"/>
                <w:lang w:eastAsia="en-GB"/>
              </w:rPr>
            </w:pPr>
            <w:r w:rsidRPr="00FD02F8">
              <w:rPr>
                <w:rFonts w:ascii="Arial" w:eastAsia="Times New Roman" w:hAnsi="Arial" w:cs="Arial"/>
                <w:lang w:eastAsia="en-GB"/>
              </w:rPr>
              <w:t>Ensure effective and resilient flood services which are designed to meet future requirements.</w:t>
            </w:r>
          </w:p>
        </w:tc>
        <w:tc>
          <w:tcPr>
            <w:tcW w:w="1134" w:type="dxa"/>
            <w:tcBorders>
              <w:top w:val="single" w:sz="8" w:space="0" w:color="auto"/>
              <w:left w:val="single" w:sz="8" w:space="0" w:color="auto"/>
              <w:bottom w:val="single" w:sz="8" w:space="0" w:color="auto"/>
              <w:right w:val="single" w:sz="8" w:space="0" w:color="auto"/>
            </w:tcBorders>
            <w:vAlign w:val="center"/>
          </w:tcPr>
          <w:p w14:paraId="24F51EE2" w14:textId="412E28D6" w:rsidR="00702EEA" w:rsidRPr="00FD02F8" w:rsidRDefault="00702EEA" w:rsidP="00702EEA">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bCs/>
                <w:lang w:eastAsia="en-GB"/>
              </w:rPr>
              <w:t>0.50</w:t>
            </w:r>
          </w:p>
        </w:tc>
        <w:tc>
          <w:tcPr>
            <w:tcW w:w="1134" w:type="dxa"/>
            <w:tcBorders>
              <w:top w:val="single" w:sz="8" w:space="0" w:color="auto"/>
              <w:left w:val="single" w:sz="8" w:space="0" w:color="auto"/>
              <w:bottom w:val="single" w:sz="8" w:space="0" w:color="auto"/>
              <w:right w:val="single" w:sz="8" w:space="0" w:color="auto"/>
            </w:tcBorders>
            <w:vAlign w:val="center"/>
          </w:tcPr>
          <w:p w14:paraId="6DF3F1D2" w14:textId="396B93E5" w:rsidR="00702EEA" w:rsidRPr="00FD02F8" w:rsidRDefault="00702EEA" w:rsidP="00702EEA">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0.50</w:t>
            </w:r>
          </w:p>
        </w:tc>
        <w:tc>
          <w:tcPr>
            <w:tcW w:w="992" w:type="dxa"/>
            <w:tcBorders>
              <w:top w:val="single" w:sz="8" w:space="0" w:color="auto"/>
              <w:left w:val="single" w:sz="8" w:space="0" w:color="auto"/>
              <w:bottom w:val="single" w:sz="8" w:space="0" w:color="auto"/>
              <w:right w:val="single" w:sz="8" w:space="0" w:color="auto"/>
            </w:tcBorders>
            <w:vAlign w:val="center"/>
          </w:tcPr>
          <w:p w14:paraId="3AA191E6" w14:textId="3040B68D" w:rsidR="00702EEA" w:rsidRPr="00FD02F8" w:rsidRDefault="00702EEA" w:rsidP="00702EEA">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0.57</w:t>
            </w:r>
          </w:p>
        </w:tc>
        <w:tc>
          <w:tcPr>
            <w:tcW w:w="993" w:type="dxa"/>
            <w:tcBorders>
              <w:top w:val="single" w:sz="8" w:space="0" w:color="auto"/>
              <w:left w:val="single" w:sz="8" w:space="0" w:color="auto"/>
              <w:bottom w:val="single" w:sz="8" w:space="0" w:color="auto"/>
              <w:right w:val="single" w:sz="8" w:space="0" w:color="auto"/>
            </w:tcBorders>
            <w:vAlign w:val="center"/>
          </w:tcPr>
          <w:p w14:paraId="258F7132" w14:textId="0A5CA65B" w:rsidR="00702EEA" w:rsidRPr="00FD02F8" w:rsidRDefault="00702EEA" w:rsidP="00702EEA">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0AF64B3B" w14:textId="39972953" w:rsidR="00702EEA" w:rsidRPr="00FD02F8" w:rsidRDefault="00702EEA" w:rsidP="00702EEA">
            <w:pPr>
              <w:jc w:val="center"/>
              <w:textAlignment w:val="baseline"/>
              <w:rPr>
                <w:rFonts w:ascii="Arial" w:eastAsia="Times New Roman" w:hAnsi="Arial" w:cs="Arial"/>
                <w:lang w:eastAsia="en-GB"/>
              </w:rPr>
            </w:pPr>
            <w:r w:rsidRPr="00FD02F8">
              <w:rPr>
                <w:noProof/>
              </w:rPr>
              <w:drawing>
                <wp:inline distT="0" distB="0" distL="0" distR="0" wp14:anchorId="77192087" wp14:editId="1A01D0E8">
                  <wp:extent cx="463550" cy="463550"/>
                  <wp:effectExtent l="0" t="0" r="0" b="0"/>
                  <wp:docPr id="1607495521"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25B0D586" w14:textId="4442E520" w:rsidR="00702EEA" w:rsidRPr="00FD02F8" w:rsidRDefault="00702EEA" w:rsidP="00702EEA">
            <w:pPr>
              <w:textAlignment w:val="baseline"/>
              <w:rPr>
                <w:rFonts w:ascii="Arial" w:eastAsia="Times New Roman" w:hAnsi="Arial" w:cs="Arial"/>
                <w:lang w:eastAsia="en-GB"/>
              </w:rPr>
            </w:pPr>
            <w:r w:rsidRPr="00FD02F8">
              <w:rPr>
                <w:rFonts w:ascii="Arial" w:eastAsia="Times New Roman" w:hAnsi="Arial" w:cs="Arial"/>
                <w:lang w:eastAsia="en-GB"/>
              </w:rPr>
              <w:t>We are on track for delivering one of the three Key Results for this objective.</w:t>
            </w:r>
          </w:p>
        </w:tc>
        <w:tc>
          <w:tcPr>
            <w:tcW w:w="1417" w:type="dxa"/>
            <w:tcBorders>
              <w:top w:val="single" w:sz="8" w:space="0" w:color="auto"/>
              <w:left w:val="single" w:sz="8" w:space="0" w:color="auto"/>
              <w:bottom w:val="single" w:sz="8" w:space="0" w:color="auto"/>
              <w:right w:val="single" w:sz="8" w:space="0" w:color="auto"/>
            </w:tcBorders>
            <w:vAlign w:val="center"/>
          </w:tcPr>
          <w:p w14:paraId="0BFC4D46" w14:textId="656BE7D4" w:rsidR="00702EEA" w:rsidRPr="00FD02F8" w:rsidRDefault="00702EEA" w:rsidP="00702EEA">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Partial Delivery</w:t>
            </w:r>
          </w:p>
        </w:tc>
      </w:tr>
      <w:tr w:rsidR="0090035E" w:rsidRPr="00FD02F8" w14:paraId="29E40543" w14:textId="54F71257" w:rsidTr="5FAD6993">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4F3D2A6E" w14:textId="5C77BB05" w:rsidR="00702EEA" w:rsidRPr="00FD02F8" w:rsidRDefault="00702EEA" w:rsidP="00702EEA">
            <w:pPr>
              <w:textAlignment w:val="baseline"/>
              <w:rPr>
                <w:rFonts w:ascii="Arial" w:eastAsia="Times New Roman" w:hAnsi="Arial" w:cs="Arial"/>
                <w:lang w:eastAsia="en-GB"/>
              </w:rPr>
            </w:pPr>
            <w:r w:rsidRPr="00FD02F8">
              <w:rPr>
                <w:rFonts w:ascii="Arial" w:eastAsia="Times New Roman" w:hAnsi="Arial" w:cs="Arial"/>
                <w:lang w:eastAsia="en-GB"/>
              </w:rPr>
              <w:t>WE OKR5</w:t>
            </w:r>
          </w:p>
        </w:tc>
        <w:tc>
          <w:tcPr>
            <w:tcW w:w="1890" w:type="dxa"/>
            <w:tcBorders>
              <w:top w:val="single" w:sz="8" w:space="0" w:color="auto"/>
              <w:left w:val="single" w:sz="8" w:space="0" w:color="auto"/>
              <w:bottom w:val="single" w:sz="8" w:space="0" w:color="auto"/>
              <w:right w:val="single" w:sz="8" w:space="0" w:color="auto"/>
            </w:tcBorders>
            <w:vAlign w:val="center"/>
          </w:tcPr>
          <w:p w14:paraId="78919912" w14:textId="0C7201B7" w:rsidR="00702EEA" w:rsidRPr="00FD02F8" w:rsidRDefault="00702EEA" w:rsidP="00702EEA">
            <w:pPr>
              <w:textAlignment w:val="baseline"/>
              <w:rPr>
                <w:rFonts w:ascii="Arial" w:eastAsia="Times New Roman" w:hAnsi="Arial" w:cs="Arial"/>
                <w:lang w:eastAsia="en-GB"/>
              </w:rPr>
            </w:pPr>
            <w:r w:rsidRPr="00FD02F8">
              <w:rPr>
                <w:rFonts w:ascii="Arial" w:eastAsia="Times New Roman" w:hAnsi="Arial" w:cs="Arial"/>
                <w:lang w:eastAsia="en-GB"/>
              </w:rPr>
              <w:t>Water Environment</w:t>
            </w:r>
          </w:p>
        </w:tc>
        <w:tc>
          <w:tcPr>
            <w:tcW w:w="6305" w:type="dxa"/>
            <w:tcBorders>
              <w:top w:val="single" w:sz="8" w:space="0" w:color="auto"/>
              <w:left w:val="single" w:sz="8" w:space="0" w:color="auto"/>
              <w:bottom w:val="single" w:sz="8" w:space="0" w:color="auto"/>
              <w:right w:val="single" w:sz="8" w:space="0" w:color="auto"/>
            </w:tcBorders>
            <w:vAlign w:val="center"/>
          </w:tcPr>
          <w:p w14:paraId="04AA42F3" w14:textId="23AFD762" w:rsidR="00702EEA" w:rsidRPr="00FD02F8" w:rsidRDefault="00702EEA" w:rsidP="00702EEA">
            <w:pPr>
              <w:textAlignment w:val="baseline"/>
              <w:rPr>
                <w:rFonts w:ascii="Arial" w:eastAsia="Times New Roman" w:hAnsi="Arial" w:cs="Arial"/>
                <w:lang w:eastAsia="en-GB"/>
              </w:rPr>
            </w:pPr>
            <w:r w:rsidRPr="00FD02F8">
              <w:rPr>
                <w:rFonts w:cstheme="minorHAnsi"/>
              </w:rPr>
              <w:t>Deliver River Basin Management Plan programme of actions to improve the water environment.</w:t>
            </w:r>
          </w:p>
        </w:tc>
        <w:tc>
          <w:tcPr>
            <w:tcW w:w="1134" w:type="dxa"/>
            <w:tcBorders>
              <w:top w:val="single" w:sz="8" w:space="0" w:color="auto"/>
              <w:left w:val="single" w:sz="8" w:space="0" w:color="auto"/>
              <w:bottom w:val="single" w:sz="8" w:space="0" w:color="auto"/>
              <w:right w:val="single" w:sz="8" w:space="0" w:color="auto"/>
            </w:tcBorders>
            <w:vAlign w:val="center"/>
          </w:tcPr>
          <w:p w14:paraId="2CAC9868" w14:textId="3BF2F067" w:rsidR="00702EEA" w:rsidRPr="00FD02F8" w:rsidRDefault="00702EEA" w:rsidP="00702EEA">
            <w:pPr>
              <w:jc w:val="center"/>
              <w:textAlignment w:val="baseline"/>
              <w:rPr>
                <w:rFonts w:asciiTheme="majorHAnsi" w:hAnsiTheme="majorHAnsi" w:cstheme="majorHAnsi"/>
                <w:b/>
                <w:color w:val="000000"/>
              </w:rPr>
            </w:pPr>
            <w:r w:rsidRPr="00FD02F8">
              <w:rPr>
                <w:rFonts w:asciiTheme="majorHAnsi" w:hAnsiTheme="majorHAnsi" w:cstheme="majorHAnsi"/>
                <w:b/>
                <w:color w:val="000000"/>
              </w:rPr>
              <w:t>0.35</w:t>
            </w:r>
          </w:p>
        </w:tc>
        <w:tc>
          <w:tcPr>
            <w:tcW w:w="1134" w:type="dxa"/>
            <w:tcBorders>
              <w:top w:val="single" w:sz="8" w:space="0" w:color="auto"/>
              <w:left w:val="single" w:sz="8" w:space="0" w:color="auto"/>
              <w:bottom w:val="single" w:sz="8" w:space="0" w:color="auto"/>
              <w:right w:val="single" w:sz="8" w:space="0" w:color="auto"/>
            </w:tcBorders>
            <w:vAlign w:val="center"/>
          </w:tcPr>
          <w:p w14:paraId="17FE9F09" w14:textId="511989AC" w:rsidR="00702EEA" w:rsidRPr="00FD02F8" w:rsidRDefault="00702EEA" w:rsidP="00702EEA">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0.47</w:t>
            </w:r>
          </w:p>
        </w:tc>
        <w:tc>
          <w:tcPr>
            <w:tcW w:w="992" w:type="dxa"/>
            <w:tcBorders>
              <w:top w:val="single" w:sz="8" w:space="0" w:color="auto"/>
              <w:left w:val="single" w:sz="8" w:space="0" w:color="auto"/>
              <w:bottom w:val="single" w:sz="8" w:space="0" w:color="auto"/>
              <w:right w:val="single" w:sz="8" w:space="0" w:color="auto"/>
            </w:tcBorders>
            <w:vAlign w:val="center"/>
          </w:tcPr>
          <w:p w14:paraId="2939FBF7" w14:textId="7C9A6EFC" w:rsidR="00702EEA" w:rsidRPr="00FD02F8" w:rsidRDefault="00F27B43" w:rsidP="00702EEA">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0.84</w:t>
            </w:r>
          </w:p>
        </w:tc>
        <w:tc>
          <w:tcPr>
            <w:tcW w:w="993" w:type="dxa"/>
            <w:tcBorders>
              <w:top w:val="single" w:sz="8" w:space="0" w:color="auto"/>
              <w:left w:val="single" w:sz="8" w:space="0" w:color="auto"/>
              <w:bottom w:val="single" w:sz="8" w:space="0" w:color="auto"/>
              <w:right w:val="single" w:sz="8" w:space="0" w:color="auto"/>
            </w:tcBorders>
            <w:vAlign w:val="center"/>
          </w:tcPr>
          <w:p w14:paraId="12D71E0D" w14:textId="57AECB38" w:rsidR="00702EEA" w:rsidRPr="00FD02F8" w:rsidRDefault="00702EEA" w:rsidP="00702EEA">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61A88DEC" w14:textId="753D1C1F" w:rsidR="00702EEA" w:rsidRPr="00FD02F8" w:rsidRDefault="00C274DD" w:rsidP="00702EEA">
            <w:pPr>
              <w:jc w:val="center"/>
              <w:textAlignment w:val="baseline"/>
              <w:rPr>
                <w:rFonts w:ascii="Arial" w:eastAsia="Times New Roman" w:hAnsi="Arial" w:cs="Arial"/>
                <w:highlight w:val="yellow"/>
                <w:lang w:eastAsia="en-GB"/>
              </w:rPr>
            </w:pPr>
            <w:r w:rsidRPr="00FD02F8">
              <w:rPr>
                <w:b/>
                <w:bCs/>
                <w:noProof/>
                <w:highlight w:val="yellow"/>
              </w:rPr>
              <w:drawing>
                <wp:anchor distT="0" distB="0" distL="114300" distR="114300" simplePos="0" relativeHeight="251653120" behindDoc="0" locked="0" layoutInCell="1" allowOverlap="1" wp14:anchorId="446CC207" wp14:editId="32DADC03">
                  <wp:simplePos x="0" y="0"/>
                  <wp:positionH relativeFrom="column">
                    <wp:posOffset>99695</wp:posOffset>
                  </wp:positionH>
                  <wp:positionV relativeFrom="paragraph">
                    <wp:posOffset>34925</wp:posOffset>
                  </wp:positionV>
                  <wp:extent cx="463550" cy="463550"/>
                  <wp:effectExtent l="0" t="0" r="0" b="0"/>
                  <wp:wrapNone/>
                  <wp:docPr id="665183623"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1A596F3A" w14:textId="76AE3EE6" w:rsidR="00702EEA" w:rsidRPr="00FD02F8" w:rsidRDefault="001D4BBE" w:rsidP="00702EEA">
            <w:pPr>
              <w:textAlignment w:val="baseline"/>
              <w:rPr>
                <w:rFonts w:ascii="Arial" w:eastAsia="Times New Roman" w:hAnsi="Arial" w:cs="Arial"/>
                <w:highlight w:val="yellow"/>
                <w:lang w:eastAsia="en-GB"/>
              </w:rPr>
            </w:pPr>
            <w:r w:rsidRPr="00FD02F8">
              <w:rPr>
                <w:rFonts w:ascii="Arial" w:eastAsia="Times New Roman" w:hAnsi="Arial" w:cs="Arial"/>
                <w:lang w:eastAsia="en-GB"/>
              </w:rPr>
              <w:t>Delivery on track. </w:t>
            </w:r>
          </w:p>
        </w:tc>
        <w:tc>
          <w:tcPr>
            <w:tcW w:w="1417" w:type="dxa"/>
            <w:tcBorders>
              <w:top w:val="single" w:sz="8" w:space="0" w:color="auto"/>
              <w:left w:val="single" w:sz="8" w:space="0" w:color="auto"/>
              <w:bottom w:val="single" w:sz="8" w:space="0" w:color="auto"/>
              <w:right w:val="single" w:sz="8" w:space="0" w:color="auto"/>
            </w:tcBorders>
            <w:vAlign w:val="center"/>
          </w:tcPr>
          <w:p w14:paraId="740CCB66" w14:textId="57CB716E" w:rsidR="00702EEA" w:rsidRPr="00FD02F8" w:rsidRDefault="001D4BBE" w:rsidP="001D4BBE">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Delivered</w:t>
            </w:r>
          </w:p>
        </w:tc>
      </w:tr>
      <w:tr w:rsidR="0090035E" w:rsidRPr="00FD02F8" w14:paraId="089146CE" w14:textId="41DE5B6F" w:rsidTr="5FAD6993">
        <w:tblPrEx>
          <w:tblCellMar>
            <w:left w:w="108" w:type="dxa"/>
            <w:right w:w="108" w:type="dxa"/>
          </w:tblCellMar>
        </w:tblPrEx>
        <w:trPr>
          <w:cantSplit/>
          <w:trHeight w:val="624"/>
        </w:trPr>
        <w:tc>
          <w:tcPr>
            <w:tcW w:w="1014" w:type="dxa"/>
            <w:tcBorders>
              <w:top w:val="single" w:sz="8" w:space="0" w:color="auto"/>
              <w:left w:val="single" w:sz="8" w:space="0" w:color="auto"/>
              <w:bottom w:val="single" w:sz="8" w:space="0" w:color="auto"/>
              <w:right w:val="single" w:sz="8" w:space="0" w:color="auto"/>
            </w:tcBorders>
            <w:vAlign w:val="center"/>
          </w:tcPr>
          <w:p w14:paraId="06E96B05" w14:textId="59B83CB2"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WE OKR6</w:t>
            </w:r>
          </w:p>
        </w:tc>
        <w:tc>
          <w:tcPr>
            <w:tcW w:w="1890" w:type="dxa"/>
            <w:tcBorders>
              <w:top w:val="single" w:sz="8" w:space="0" w:color="auto"/>
              <w:left w:val="single" w:sz="8" w:space="0" w:color="auto"/>
              <w:bottom w:val="single" w:sz="8" w:space="0" w:color="auto"/>
              <w:right w:val="single" w:sz="8" w:space="0" w:color="auto"/>
            </w:tcBorders>
            <w:vAlign w:val="center"/>
          </w:tcPr>
          <w:p w14:paraId="43BB5F8E" w14:textId="3875A3BD"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Water Environment</w:t>
            </w:r>
          </w:p>
        </w:tc>
        <w:tc>
          <w:tcPr>
            <w:tcW w:w="6305" w:type="dxa"/>
            <w:tcBorders>
              <w:top w:val="single" w:sz="8" w:space="0" w:color="auto"/>
              <w:left w:val="single" w:sz="8" w:space="0" w:color="auto"/>
              <w:bottom w:val="single" w:sz="8" w:space="0" w:color="auto"/>
              <w:right w:val="single" w:sz="8" w:space="0" w:color="auto"/>
            </w:tcBorders>
            <w:vAlign w:val="center"/>
          </w:tcPr>
          <w:p w14:paraId="064DA208" w14:textId="1C78A105" w:rsidR="00583F43" w:rsidRPr="00FD02F8" w:rsidRDefault="00583F43" w:rsidP="00583F43">
            <w:pPr>
              <w:textAlignment w:val="baseline"/>
              <w:rPr>
                <w:rFonts w:ascii="Arial" w:eastAsia="Times New Roman" w:hAnsi="Arial" w:cs="Arial"/>
                <w:lang w:eastAsia="en-GB"/>
              </w:rPr>
            </w:pPr>
            <w:r w:rsidRPr="00FD02F8">
              <w:rPr>
                <w:rFonts w:cstheme="minorHAnsi"/>
              </w:rPr>
              <w:t>Prepare for future cycles of river basin management planning.</w:t>
            </w:r>
          </w:p>
        </w:tc>
        <w:tc>
          <w:tcPr>
            <w:tcW w:w="1134" w:type="dxa"/>
            <w:tcBorders>
              <w:top w:val="single" w:sz="8" w:space="0" w:color="auto"/>
              <w:left w:val="single" w:sz="8" w:space="0" w:color="auto"/>
              <w:bottom w:val="single" w:sz="8" w:space="0" w:color="auto"/>
              <w:right w:val="single" w:sz="8" w:space="0" w:color="auto"/>
            </w:tcBorders>
            <w:vAlign w:val="center"/>
          </w:tcPr>
          <w:p w14:paraId="1114DCBB" w14:textId="51E99644" w:rsidR="00583F43" w:rsidRPr="00FD02F8" w:rsidRDefault="00583F43" w:rsidP="00583F43">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lang w:eastAsia="en-GB"/>
              </w:rPr>
              <w:t>N/A</w:t>
            </w:r>
          </w:p>
        </w:tc>
        <w:tc>
          <w:tcPr>
            <w:tcW w:w="1134" w:type="dxa"/>
            <w:tcBorders>
              <w:top w:val="single" w:sz="8" w:space="0" w:color="auto"/>
              <w:left w:val="single" w:sz="8" w:space="0" w:color="auto"/>
              <w:bottom w:val="single" w:sz="8" w:space="0" w:color="auto"/>
              <w:right w:val="single" w:sz="8" w:space="0" w:color="auto"/>
            </w:tcBorders>
            <w:vAlign w:val="center"/>
          </w:tcPr>
          <w:p w14:paraId="03DF5E1E" w14:textId="69BA1CD6"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N/A</w:t>
            </w:r>
          </w:p>
        </w:tc>
        <w:tc>
          <w:tcPr>
            <w:tcW w:w="992" w:type="dxa"/>
            <w:tcBorders>
              <w:top w:val="single" w:sz="8" w:space="0" w:color="auto"/>
              <w:left w:val="single" w:sz="8" w:space="0" w:color="auto"/>
              <w:bottom w:val="single" w:sz="8" w:space="0" w:color="auto"/>
              <w:right w:val="single" w:sz="8" w:space="0" w:color="auto"/>
            </w:tcBorders>
            <w:vAlign w:val="center"/>
          </w:tcPr>
          <w:p w14:paraId="4C489DCB" w14:textId="5561CE1A"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1</w:t>
            </w:r>
          </w:p>
        </w:tc>
        <w:tc>
          <w:tcPr>
            <w:tcW w:w="993" w:type="dxa"/>
            <w:tcBorders>
              <w:top w:val="single" w:sz="8" w:space="0" w:color="auto"/>
              <w:left w:val="single" w:sz="8" w:space="0" w:color="auto"/>
              <w:bottom w:val="single" w:sz="8" w:space="0" w:color="auto"/>
              <w:right w:val="single" w:sz="8" w:space="0" w:color="auto"/>
            </w:tcBorders>
            <w:vAlign w:val="center"/>
          </w:tcPr>
          <w:p w14:paraId="6B4DBF68" w14:textId="499B7B3F"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20B4E2F5" w14:textId="76D157E9" w:rsidR="00583F43" w:rsidRPr="00FD02F8" w:rsidRDefault="00583F43" w:rsidP="00583F43">
            <w:pPr>
              <w:jc w:val="center"/>
              <w:textAlignment w:val="baseline"/>
              <w:rPr>
                <w:rFonts w:ascii="Arial" w:eastAsia="Times New Roman" w:hAnsi="Arial" w:cs="Arial"/>
                <w:highlight w:val="yellow"/>
                <w:lang w:eastAsia="en-GB"/>
              </w:rPr>
            </w:pPr>
            <w:r w:rsidRPr="00FD02F8">
              <w:rPr>
                <w:b/>
                <w:bCs/>
                <w:noProof/>
                <w:highlight w:val="yellow"/>
              </w:rPr>
              <w:drawing>
                <wp:anchor distT="0" distB="0" distL="114300" distR="114300" simplePos="0" relativeHeight="251654144" behindDoc="0" locked="0" layoutInCell="1" allowOverlap="1" wp14:anchorId="58268565" wp14:editId="7C80E1D5">
                  <wp:simplePos x="0" y="0"/>
                  <wp:positionH relativeFrom="column">
                    <wp:posOffset>107950</wp:posOffset>
                  </wp:positionH>
                  <wp:positionV relativeFrom="paragraph">
                    <wp:posOffset>-1905</wp:posOffset>
                  </wp:positionV>
                  <wp:extent cx="463550" cy="463550"/>
                  <wp:effectExtent l="0" t="0" r="0" b="0"/>
                  <wp:wrapNone/>
                  <wp:docPr id="40582548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56739350" w14:textId="4DA44DD0" w:rsidR="00583F43" w:rsidRPr="00FD02F8" w:rsidRDefault="00583F43" w:rsidP="00583F43">
            <w:pPr>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We are delivering against this measure. Key Results </w:t>
            </w:r>
            <w:r w:rsidR="00497F39" w:rsidRPr="00FD02F8">
              <w:rPr>
                <w:rFonts w:ascii="Arial" w:eastAsia="Times New Roman" w:hAnsi="Arial" w:cs="Arial"/>
                <w:lang w:eastAsia="en-GB"/>
              </w:rPr>
              <w:t>6</w:t>
            </w:r>
            <w:r w:rsidRPr="00FD02F8">
              <w:rPr>
                <w:rFonts w:ascii="Arial" w:eastAsia="Times New Roman" w:hAnsi="Arial" w:cs="Arial"/>
                <w:lang w:eastAsia="en-GB"/>
              </w:rPr>
              <w:t xml:space="preserve">.1 and </w:t>
            </w:r>
            <w:r w:rsidR="00497F39" w:rsidRPr="00FD02F8">
              <w:rPr>
                <w:rFonts w:ascii="Arial" w:eastAsia="Times New Roman" w:hAnsi="Arial" w:cs="Arial"/>
                <w:lang w:eastAsia="en-GB"/>
              </w:rPr>
              <w:t>6</w:t>
            </w:r>
            <w:r w:rsidRPr="00FD02F8">
              <w:rPr>
                <w:rFonts w:ascii="Arial" w:eastAsia="Times New Roman" w:hAnsi="Arial" w:cs="Arial"/>
                <w:lang w:eastAsia="en-GB"/>
              </w:rPr>
              <w:t xml:space="preserve">.2 have been delivered. Key Result </w:t>
            </w:r>
            <w:r w:rsidR="00497F39" w:rsidRPr="00FD02F8">
              <w:rPr>
                <w:rFonts w:ascii="Arial" w:eastAsia="Times New Roman" w:hAnsi="Arial" w:cs="Arial"/>
                <w:lang w:eastAsia="en-GB"/>
              </w:rPr>
              <w:t>6</w:t>
            </w:r>
            <w:r w:rsidRPr="00FD02F8">
              <w:rPr>
                <w:rFonts w:ascii="Arial" w:eastAsia="Times New Roman" w:hAnsi="Arial" w:cs="Arial"/>
                <w:lang w:eastAsia="en-GB"/>
              </w:rPr>
              <w:t>.3 is due to be delivered in Q4.</w:t>
            </w:r>
          </w:p>
        </w:tc>
        <w:tc>
          <w:tcPr>
            <w:tcW w:w="1417" w:type="dxa"/>
            <w:tcBorders>
              <w:top w:val="single" w:sz="8" w:space="0" w:color="auto"/>
              <w:left w:val="single" w:sz="8" w:space="0" w:color="auto"/>
              <w:bottom w:val="single" w:sz="8" w:space="0" w:color="auto"/>
              <w:right w:val="single" w:sz="8" w:space="0" w:color="auto"/>
            </w:tcBorders>
            <w:vAlign w:val="center"/>
          </w:tcPr>
          <w:p w14:paraId="2AE75AC0" w14:textId="465DB00F" w:rsidR="00583F43" w:rsidRPr="00FD02F8" w:rsidRDefault="00583F43" w:rsidP="00583F43">
            <w:pPr>
              <w:jc w:val="center"/>
              <w:textAlignment w:val="baseline"/>
              <w:rPr>
                <w:rFonts w:ascii="Arial" w:eastAsia="Times New Roman" w:hAnsi="Arial" w:cs="Arial"/>
                <w:highlight w:val="yellow"/>
                <w:lang w:eastAsia="en-GB"/>
              </w:rPr>
            </w:pPr>
            <w:r w:rsidRPr="00FD02F8">
              <w:rPr>
                <w:rFonts w:asciiTheme="majorHAnsi" w:eastAsia="Times New Roman" w:hAnsiTheme="majorHAnsi" w:cstheme="majorHAnsi"/>
                <w:lang w:eastAsia="en-GB"/>
              </w:rPr>
              <w:t>Delivered</w:t>
            </w:r>
          </w:p>
        </w:tc>
      </w:tr>
      <w:tr w:rsidR="0090035E" w:rsidRPr="00FD02F8" w14:paraId="2BE68571" w14:textId="354AF0D7" w:rsidTr="5FAD6993">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7C4A3F6B" w14:textId="1997C8FB"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RE OKR7</w:t>
            </w:r>
          </w:p>
        </w:tc>
        <w:tc>
          <w:tcPr>
            <w:tcW w:w="1890" w:type="dxa"/>
            <w:tcBorders>
              <w:top w:val="single" w:sz="8" w:space="0" w:color="auto"/>
              <w:left w:val="single" w:sz="8" w:space="0" w:color="auto"/>
              <w:bottom w:val="single" w:sz="8" w:space="0" w:color="auto"/>
              <w:right w:val="single" w:sz="8" w:space="0" w:color="auto"/>
            </w:tcBorders>
            <w:vAlign w:val="center"/>
          </w:tcPr>
          <w:p w14:paraId="476FE9A3" w14:textId="2782BB25"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Resource Efficiency</w:t>
            </w:r>
          </w:p>
        </w:tc>
        <w:tc>
          <w:tcPr>
            <w:tcW w:w="6305" w:type="dxa"/>
            <w:tcBorders>
              <w:top w:val="single" w:sz="8" w:space="0" w:color="auto"/>
              <w:left w:val="single" w:sz="8" w:space="0" w:color="auto"/>
              <w:bottom w:val="single" w:sz="8" w:space="0" w:color="auto"/>
              <w:right w:val="single" w:sz="8" w:space="0" w:color="auto"/>
            </w:tcBorders>
            <w:vAlign w:val="center"/>
          </w:tcPr>
          <w:p w14:paraId="2B62FAE4" w14:textId="61A711CA" w:rsidR="00583F43" w:rsidRPr="00FD02F8" w:rsidRDefault="00583F43" w:rsidP="00583F43">
            <w:pPr>
              <w:textAlignment w:val="baseline"/>
              <w:rPr>
                <w:rFonts w:ascii="Arial" w:eastAsia="Times New Roman" w:hAnsi="Arial" w:cs="Arial"/>
                <w:lang w:eastAsia="en-GB"/>
              </w:rPr>
            </w:pPr>
            <w:r w:rsidRPr="00FD02F8">
              <w:t>Prepare to support the 2026-2027 phase of the UK digital waste tracking service implementation by DEFRA and Scottish Government.</w:t>
            </w:r>
          </w:p>
        </w:tc>
        <w:tc>
          <w:tcPr>
            <w:tcW w:w="1134" w:type="dxa"/>
            <w:tcBorders>
              <w:top w:val="single" w:sz="8" w:space="0" w:color="auto"/>
              <w:left w:val="single" w:sz="8" w:space="0" w:color="auto"/>
              <w:bottom w:val="single" w:sz="8" w:space="0" w:color="auto"/>
              <w:right w:val="single" w:sz="8" w:space="0" w:color="auto"/>
            </w:tcBorders>
            <w:vAlign w:val="center"/>
          </w:tcPr>
          <w:p w14:paraId="59343F93" w14:textId="2E561A36" w:rsidR="00583F43" w:rsidRPr="00FD02F8" w:rsidRDefault="00583F43" w:rsidP="00583F43">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bCs/>
                <w:lang w:eastAsia="en-GB"/>
              </w:rPr>
              <w:t>0</w:t>
            </w:r>
          </w:p>
        </w:tc>
        <w:tc>
          <w:tcPr>
            <w:tcW w:w="1134" w:type="dxa"/>
            <w:tcBorders>
              <w:top w:val="single" w:sz="8" w:space="0" w:color="auto"/>
              <w:left w:val="single" w:sz="8" w:space="0" w:color="auto"/>
              <w:bottom w:val="single" w:sz="8" w:space="0" w:color="auto"/>
              <w:right w:val="single" w:sz="8" w:space="0" w:color="auto"/>
            </w:tcBorders>
            <w:vAlign w:val="center"/>
          </w:tcPr>
          <w:p w14:paraId="7DE8CC20" w14:textId="54577AB9"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0.50</w:t>
            </w:r>
          </w:p>
        </w:tc>
        <w:tc>
          <w:tcPr>
            <w:tcW w:w="992" w:type="dxa"/>
            <w:tcBorders>
              <w:top w:val="single" w:sz="8" w:space="0" w:color="auto"/>
              <w:left w:val="single" w:sz="8" w:space="0" w:color="auto"/>
              <w:bottom w:val="single" w:sz="8" w:space="0" w:color="auto"/>
              <w:right w:val="single" w:sz="8" w:space="0" w:color="auto"/>
            </w:tcBorders>
            <w:vAlign w:val="center"/>
          </w:tcPr>
          <w:p w14:paraId="6900D0D7" w14:textId="1A961D50" w:rsidR="00583F43" w:rsidRPr="00FD02F8" w:rsidRDefault="00D31A1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0.50</w:t>
            </w:r>
          </w:p>
        </w:tc>
        <w:tc>
          <w:tcPr>
            <w:tcW w:w="993" w:type="dxa"/>
            <w:tcBorders>
              <w:top w:val="single" w:sz="8" w:space="0" w:color="auto"/>
              <w:left w:val="single" w:sz="8" w:space="0" w:color="auto"/>
              <w:bottom w:val="single" w:sz="8" w:space="0" w:color="auto"/>
              <w:right w:val="single" w:sz="8" w:space="0" w:color="auto"/>
            </w:tcBorders>
            <w:vAlign w:val="center"/>
          </w:tcPr>
          <w:p w14:paraId="0F3FCD28" w14:textId="3DE5C30D"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1DAE2038" w14:textId="36DEFBD9" w:rsidR="00583F43" w:rsidRPr="00FD02F8" w:rsidRDefault="00583F43" w:rsidP="00583F43">
            <w:pPr>
              <w:jc w:val="center"/>
              <w:textAlignment w:val="baseline"/>
              <w:rPr>
                <w:rFonts w:ascii="Arial" w:eastAsia="Times New Roman" w:hAnsi="Arial" w:cs="Arial"/>
                <w:lang w:eastAsia="en-GB"/>
              </w:rPr>
            </w:pPr>
            <w:r w:rsidRPr="00FD02F8">
              <w:rPr>
                <w:noProof/>
              </w:rPr>
              <w:drawing>
                <wp:inline distT="0" distB="0" distL="0" distR="0" wp14:anchorId="23707492" wp14:editId="2C34DC7B">
                  <wp:extent cx="463550" cy="463550"/>
                  <wp:effectExtent l="0" t="0" r="0" b="0"/>
                  <wp:docPr id="1187390453"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3C16D006" w14:textId="2F0A5929"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 xml:space="preserve">We are on track for delivering areas within our control. We continue to pursue </w:t>
            </w:r>
            <w:r w:rsidRPr="00FD02F8">
              <w:rPr>
                <w:lang w:eastAsia="en-GB"/>
              </w:rPr>
              <w:t>clarity from DEFRA’s digital build</w:t>
            </w:r>
            <w:r w:rsidRPr="00FD02F8">
              <w:t xml:space="preserve"> t</w:t>
            </w:r>
            <w:r w:rsidRPr="00FD02F8">
              <w:rPr>
                <w:lang w:eastAsia="en-GB"/>
              </w:rPr>
              <w:t>eam regarding SEPA’s requirements and what will be delivered by Q4. Until</w:t>
            </w:r>
            <w:r w:rsidRPr="00FD02F8">
              <w:rPr>
                <w:rFonts w:ascii="Arial" w:eastAsia="Times New Roman" w:hAnsi="Arial" w:cs="Arial"/>
                <w:lang w:eastAsia="en-GB"/>
              </w:rPr>
              <w:t xml:space="preserve"> this is received, we are forecasting partial delivery. </w:t>
            </w:r>
          </w:p>
        </w:tc>
        <w:tc>
          <w:tcPr>
            <w:tcW w:w="1417" w:type="dxa"/>
            <w:tcBorders>
              <w:top w:val="single" w:sz="8" w:space="0" w:color="auto"/>
              <w:left w:val="single" w:sz="8" w:space="0" w:color="auto"/>
              <w:bottom w:val="single" w:sz="8" w:space="0" w:color="auto"/>
              <w:right w:val="single" w:sz="8" w:space="0" w:color="auto"/>
            </w:tcBorders>
            <w:vAlign w:val="center"/>
          </w:tcPr>
          <w:p w14:paraId="52373B30" w14:textId="58576FB1" w:rsidR="00583F43" w:rsidRPr="00FD02F8" w:rsidRDefault="00583F43" w:rsidP="00583F43">
            <w:pPr>
              <w:jc w:val="center"/>
              <w:textAlignment w:val="baseline"/>
              <w:rPr>
                <w:rFonts w:ascii="Arial" w:eastAsia="Times New Roman" w:hAnsi="Arial" w:cs="Arial"/>
                <w:lang w:eastAsia="en-GB"/>
              </w:rPr>
            </w:pPr>
            <w:r w:rsidRPr="00FD02F8">
              <w:rPr>
                <w:rFonts w:asciiTheme="majorHAnsi" w:eastAsia="Times New Roman" w:hAnsiTheme="majorHAnsi" w:cstheme="majorHAnsi"/>
                <w:lang w:eastAsia="en-GB"/>
              </w:rPr>
              <w:t>Partial Delivery</w:t>
            </w:r>
          </w:p>
        </w:tc>
      </w:tr>
      <w:tr w:rsidR="0090035E" w:rsidRPr="00FD02F8" w14:paraId="119B2E75" w14:textId="5602DCA0" w:rsidTr="5FAD6993">
        <w:trPr>
          <w:cantSplit/>
          <w:trHeight w:val="397"/>
        </w:trPr>
        <w:tc>
          <w:tcPr>
            <w:tcW w:w="1014" w:type="dxa"/>
            <w:tcBorders>
              <w:top w:val="single" w:sz="8" w:space="0" w:color="auto"/>
              <w:left w:val="single" w:sz="8" w:space="0" w:color="auto"/>
              <w:bottom w:val="single" w:sz="8" w:space="0" w:color="auto"/>
              <w:right w:val="single" w:sz="8" w:space="0" w:color="auto"/>
            </w:tcBorders>
            <w:vAlign w:val="center"/>
          </w:tcPr>
          <w:p w14:paraId="4AEA5307" w14:textId="1F7172D7"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lastRenderedPageBreak/>
              <w:t>BEP OKR8</w:t>
            </w:r>
          </w:p>
        </w:tc>
        <w:tc>
          <w:tcPr>
            <w:tcW w:w="1890" w:type="dxa"/>
            <w:tcBorders>
              <w:top w:val="single" w:sz="8" w:space="0" w:color="auto"/>
              <w:left w:val="single" w:sz="8" w:space="0" w:color="auto"/>
              <w:bottom w:val="single" w:sz="8" w:space="0" w:color="auto"/>
              <w:right w:val="single" w:sz="8" w:space="0" w:color="auto"/>
            </w:tcBorders>
            <w:vAlign w:val="center"/>
          </w:tcPr>
          <w:p w14:paraId="1A80140E" w14:textId="1777C9FE"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Business Environmental Performance</w:t>
            </w:r>
          </w:p>
        </w:tc>
        <w:tc>
          <w:tcPr>
            <w:tcW w:w="6305" w:type="dxa"/>
            <w:tcBorders>
              <w:top w:val="single" w:sz="8" w:space="0" w:color="auto"/>
              <w:left w:val="single" w:sz="8" w:space="0" w:color="auto"/>
              <w:bottom w:val="single" w:sz="8" w:space="0" w:color="auto"/>
              <w:right w:val="single" w:sz="8" w:space="0" w:color="auto"/>
            </w:tcBorders>
            <w:vAlign w:val="center"/>
          </w:tcPr>
          <w:p w14:paraId="3E8E0EC4" w14:textId="5ECCC52B" w:rsidR="00583F43" w:rsidRPr="00FD02F8" w:rsidRDefault="00583F43" w:rsidP="00583F43">
            <w:pPr>
              <w:rPr>
                <w:rFonts w:ascii="Arial" w:hAnsi="Arial" w:cs="Arial"/>
              </w:rPr>
            </w:pPr>
            <w:r w:rsidRPr="00FD02F8">
              <w:rPr>
                <w:rFonts w:ascii="Arial" w:hAnsi="Arial" w:cs="Arial"/>
              </w:rPr>
              <w:t>Ensure key stakeholders are engaged and informed on the necessary preparations required for compliance with the Biodegradable Municipal Waste (BMW) Landfill ban.</w:t>
            </w:r>
          </w:p>
        </w:tc>
        <w:tc>
          <w:tcPr>
            <w:tcW w:w="1134" w:type="dxa"/>
            <w:tcBorders>
              <w:top w:val="single" w:sz="8" w:space="0" w:color="auto"/>
              <w:left w:val="single" w:sz="8" w:space="0" w:color="auto"/>
              <w:bottom w:val="single" w:sz="8" w:space="0" w:color="auto"/>
              <w:right w:val="single" w:sz="8" w:space="0" w:color="auto"/>
            </w:tcBorders>
            <w:vAlign w:val="center"/>
          </w:tcPr>
          <w:p w14:paraId="05496AEF" w14:textId="205E037D" w:rsidR="00583F43" w:rsidRPr="00FD02F8" w:rsidRDefault="00583F43" w:rsidP="00583F43">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lang w:eastAsia="en-GB"/>
              </w:rPr>
              <w:t>0.33</w:t>
            </w:r>
          </w:p>
        </w:tc>
        <w:tc>
          <w:tcPr>
            <w:tcW w:w="1134" w:type="dxa"/>
            <w:tcBorders>
              <w:top w:val="single" w:sz="8" w:space="0" w:color="auto"/>
              <w:left w:val="single" w:sz="8" w:space="0" w:color="auto"/>
              <w:bottom w:val="single" w:sz="8" w:space="0" w:color="auto"/>
              <w:right w:val="single" w:sz="8" w:space="0" w:color="auto"/>
            </w:tcBorders>
            <w:vAlign w:val="center"/>
          </w:tcPr>
          <w:p w14:paraId="509A57FC" w14:textId="0CF92E0E"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0.33</w:t>
            </w:r>
          </w:p>
        </w:tc>
        <w:tc>
          <w:tcPr>
            <w:tcW w:w="992" w:type="dxa"/>
            <w:tcBorders>
              <w:top w:val="single" w:sz="8" w:space="0" w:color="auto"/>
              <w:left w:val="single" w:sz="8" w:space="0" w:color="auto"/>
              <w:bottom w:val="single" w:sz="8" w:space="0" w:color="auto"/>
              <w:right w:val="single" w:sz="8" w:space="0" w:color="auto"/>
            </w:tcBorders>
            <w:vAlign w:val="center"/>
          </w:tcPr>
          <w:p w14:paraId="78520751" w14:textId="7A14DB55" w:rsidR="00583F43" w:rsidRPr="00FD02F8" w:rsidRDefault="009D573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0.2</w:t>
            </w:r>
            <w:r w:rsidR="00B812AB" w:rsidRPr="00FD02F8">
              <w:rPr>
                <w:rFonts w:asciiTheme="majorHAnsi" w:eastAsia="Times New Roman" w:hAnsiTheme="majorHAnsi" w:cstheme="majorHAnsi"/>
                <w:b/>
                <w:bCs/>
                <w:lang w:eastAsia="en-GB"/>
              </w:rPr>
              <w:t>0</w:t>
            </w:r>
          </w:p>
        </w:tc>
        <w:tc>
          <w:tcPr>
            <w:tcW w:w="993" w:type="dxa"/>
            <w:tcBorders>
              <w:top w:val="single" w:sz="8" w:space="0" w:color="auto"/>
              <w:left w:val="single" w:sz="8" w:space="0" w:color="auto"/>
              <w:bottom w:val="single" w:sz="8" w:space="0" w:color="auto"/>
              <w:right w:val="single" w:sz="8" w:space="0" w:color="auto"/>
            </w:tcBorders>
            <w:vAlign w:val="center"/>
          </w:tcPr>
          <w:p w14:paraId="6AD93916" w14:textId="15ABAE9B"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2A6FF090" w14:textId="3F4E6F79" w:rsidR="00583F43" w:rsidRPr="00FD02F8" w:rsidRDefault="009D5733" w:rsidP="00583F43">
            <w:pPr>
              <w:jc w:val="center"/>
              <w:textAlignment w:val="baseline"/>
              <w:rPr>
                <w:rFonts w:ascii="Arial" w:eastAsia="Times New Roman" w:hAnsi="Arial" w:cs="Arial"/>
                <w:highlight w:val="yellow"/>
                <w:lang w:eastAsia="en-GB"/>
              </w:rPr>
            </w:pPr>
            <w:r w:rsidRPr="00FD02F8">
              <w:rPr>
                <w:noProof/>
              </w:rPr>
              <w:drawing>
                <wp:inline distT="0" distB="0" distL="0" distR="0" wp14:anchorId="3F173CAA" wp14:editId="797F1913">
                  <wp:extent cx="444747" cy="444747"/>
                  <wp:effectExtent l="0" t="0" r="0" b="0"/>
                  <wp:docPr id="1436646691"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747" cy="444747"/>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2F679925" w14:textId="3D49307A" w:rsidR="00EB3218" w:rsidRPr="00FD02F8" w:rsidRDefault="00583F43" w:rsidP="00583F43">
            <w:r w:rsidRPr="00FD02F8">
              <w:t xml:space="preserve">We remain on track with our preparations. </w:t>
            </w:r>
          </w:p>
          <w:p w14:paraId="236C89A0" w14:textId="3A3255E7" w:rsidR="00EB3218" w:rsidRPr="00FD02F8" w:rsidRDefault="00EB3218" w:rsidP="00583F43">
            <w:r w:rsidRPr="00FD02F8">
              <w:t>During Q3 SEPA systems were put in place to support the temporary Regulatory Position Statement (tRPS) and enable operator compliance. As a result of the late policy change</w:t>
            </w:r>
            <w:r w:rsidR="002345F1" w:rsidRPr="00FD02F8">
              <w:t>,</w:t>
            </w:r>
            <w:r w:rsidRPr="00FD02F8">
              <w:t xml:space="preserve"> the decision has been taken not to engage with </w:t>
            </w:r>
            <w:r w:rsidR="00A77A60" w:rsidRPr="00FD02F8">
              <w:t>stakeholders</w:t>
            </w:r>
            <w:r w:rsidRPr="00FD02F8">
              <w:t xml:space="preserve"> until Q4 to assess satisfaction and awareness with both preparatory guidance prior to the tRPS being published and the revised process and accompanying guidance and support following the publication of the tRPS. We anticipate delivery by end of Q4.</w:t>
            </w:r>
          </w:p>
        </w:tc>
        <w:tc>
          <w:tcPr>
            <w:tcW w:w="1417" w:type="dxa"/>
            <w:tcBorders>
              <w:top w:val="single" w:sz="8" w:space="0" w:color="auto"/>
              <w:left w:val="single" w:sz="8" w:space="0" w:color="auto"/>
              <w:bottom w:val="single" w:sz="8" w:space="0" w:color="auto"/>
              <w:right w:val="single" w:sz="8" w:space="0" w:color="auto"/>
            </w:tcBorders>
            <w:vAlign w:val="center"/>
          </w:tcPr>
          <w:p w14:paraId="15E87347" w14:textId="41D5074F" w:rsidR="00583F43" w:rsidRPr="00FD02F8" w:rsidRDefault="00583F43" w:rsidP="00583F43">
            <w:pPr>
              <w:jc w:val="center"/>
              <w:textAlignment w:val="baseline"/>
              <w:rPr>
                <w:rFonts w:ascii="Arial" w:eastAsia="Times New Roman" w:hAnsi="Arial" w:cs="Arial"/>
                <w:lang w:eastAsia="en-GB"/>
              </w:rPr>
            </w:pPr>
            <w:r w:rsidRPr="00FD02F8">
              <w:rPr>
                <w:rFonts w:asciiTheme="majorHAnsi" w:eastAsia="Times New Roman" w:hAnsiTheme="majorHAnsi" w:cstheme="majorHAnsi"/>
                <w:lang w:eastAsia="en-GB"/>
              </w:rPr>
              <w:t>Delivered</w:t>
            </w:r>
          </w:p>
        </w:tc>
      </w:tr>
      <w:tr w:rsidR="0090035E" w:rsidRPr="00FD02F8" w14:paraId="200BEE65" w14:textId="7501957C" w:rsidTr="5FAD6993">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5181EA26" w14:textId="474B71E8"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BEP OKR9</w:t>
            </w:r>
          </w:p>
        </w:tc>
        <w:tc>
          <w:tcPr>
            <w:tcW w:w="1890" w:type="dxa"/>
            <w:tcBorders>
              <w:top w:val="single" w:sz="8" w:space="0" w:color="auto"/>
              <w:left w:val="single" w:sz="8" w:space="0" w:color="auto"/>
              <w:bottom w:val="single" w:sz="8" w:space="0" w:color="auto"/>
              <w:right w:val="single" w:sz="8" w:space="0" w:color="auto"/>
            </w:tcBorders>
            <w:vAlign w:val="center"/>
          </w:tcPr>
          <w:p w14:paraId="00009B0F" w14:textId="37115C17"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Business Environmental Performance</w:t>
            </w:r>
          </w:p>
        </w:tc>
        <w:tc>
          <w:tcPr>
            <w:tcW w:w="6305" w:type="dxa"/>
            <w:tcBorders>
              <w:top w:val="single" w:sz="8" w:space="0" w:color="auto"/>
              <w:left w:val="single" w:sz="8" w:space="0" w:color="auto"/>
              <w:bottom w:val="single" w:sz="8" w:space="0" w:color="auto"/>
              <w:right w:val="single" w:sz="8" w:space="0" w:color="auto"/>
            </w:tcBorders>
            <w:vAlign w:val="center"/>
          </w:tcPr>
          <w:p w14:paraId="32494D77" w14:textId="15FAD4A5" w:rsidR="00583F43" w:rsidRPr="00FD02F8" w:rsidRDefault="00583F43" w:rsidP="00583F43">
            <w:pPr>
              <w:rPr>
                <w:rFonts w:ascii="Arial" w:hAnsi="Arial" w:cs="Arial"/>
              </w:rPr>
            </w:pPr>
            <w:r w:rsidRPr="00FD02F8">
              <w:rPr>
                <w:rFonts w:ascii="Arial" w:hAnsi="Arial" w:cs="Arial"/>
              </w:rPr>
              <w:t>Tackle environmental crime using interventions approach.</w:t>
            </w:r>
          </w:p>
        </w:tc>
        <w:tc>
          <w:tcPr>
            <w:tcW w:w="1134" w:type="dxa"/>
            <w:tcBorders>
              <w:top w:val="single" w:sz="8" w:space="0" w:color="auto"/>
              <w:left w:val="single" w:sz="8" w:space="0" w:color="auto"/>
              <w:bottom w:val="single" w:sz="8" w:space="0" w:color="auto"/>
              <w:right w:val="single" w:sz="8" w:space="0" w:color="auto"/>
            </w:tcBorders>
            <w:vAlign w:val="center"/>
          </w:tcPr>
          <w:p w14:paraId="798EB197" w14:textId="02DA7E54" w:rsidR="00583F43" w:rsidRPr="00FD02F8" w:rsidRDefault="00583F43" w:rsidP="00583F43">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lang w:eastAsia="en-GB"/>
              </w:rPr>
              <w:t>0.13</w:t>
            </w:r>
          </w:p>
        </w:tc>
        <w:tc>
          <w:tcPr>
            <w:tcW w:w="1134" w:type="dxa"/>
            <w:tcBorders>
              <w:top w:val="single" w:sz="8" w:space="0" w:color="auto"/>
              <w:left w:val="single" w:sz="8" w:space="0" w:color="auto"/>
              <w:bottom w:val="single" w:sz="8" w:space="0" w:color="auto"/>
              <w:right w:val="single" w:sz="8" w:space="0" w:color="auto"/>
            </w:tcBorders>
            <w:vAlign w:val="center"/>
          </w:tcPr>
          <w:p w14:paraId="5C5731A5" w14:textId="2B78F7F3"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1</w:t>
            </w:r>
          </w:p>
        </w:tc>
        <w:tc>
          <w:tcPr>
            <w:tcW w:w="992" w:type="dxa"/>
            <w:tcBorders>
              <w:top w:val="single" w:sz="8" w:space="0" w:color="auto"/>
              <w:left w:val="single" w:sz="8" w:space="0" w:color="auto"/>
              <w:bottom w:val="single" w:sz="8" w:space="0" w:color="auto"/>
              <w:right w:val="single" w:sz="8" w:space="0" w:color="auto"/>
            </w:tcBorders>
            <w:vAlign w:val="center"/>
          </w:tcPr>
          <w:p w14:paraId="3C8FC082" w14:textId="1F313664" w:rsidR="00583F43" w:rsidRPr="00FD02F8" w:rsidRDefault="00457751"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0.91</w:t>
            </w:r>
          </w:p>
        </w:tc>
        <w:tc>
          <w:tcPr>
            <w:tcW w:w="993" w:type="dxa"/>
            <w:tcBorders>
              <w:top w:val="single" w:sz="8" w:space="0" w:color="auto"/>
              <w:left w:val="single" w:sz="8" w:space="0" w:color="auto"/>
              <w:bottom w:val="single" w:sz="8" w:space="0" w:color="auto"/>
              <w:right w:val="single" w:sz="8" w:space="0" w:color="auto"/>
            </w:tcBorders>
            <w:vAlign w:val="center"/>
          </w:tcPr>
          <w:p w14:paraId="412D9EDB" w14:textId="038C2FC4"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0E3409E8" w14:textId="12032623" w:rsidR="00583F43" w:rsidRPr="00FD02F8" w:rsidRDefault="00583F43" w:rsidP="00583F43">
            <w:pPr>
              <w:jc w:val="center"/>
              <w:textAlignment w:val="baseline"/>
              <w:rPr>
                <w:rFonts w:ascii="Arial" w:eastAsia="Times New Roman" w:hAnsi="Arial" w:cs="Arial"/>
                <w:lang w:eastAsia="en-GB"/>
              </w:rPr>
            </w:pPr>
            <w:r w:rsidRPr="00FD02F8">
              <w:rPr>
                <w:b/>
                <w:bCs/>
                <w:noProof/>
              </w:rPr>
              <w:drawing>
                <wp:anchor distT="0" distB="0" distL="114300" distR="114300" simplePos="0" relativeHeight="251655168" behindDoc="0" locked="0" layoutInCell="1" allowOverlap="1" wp14:anchorId="1DDAC510" wp14:editId="27744DC9">
                  <wp:simplePos x="0" y="0"/>
                  <wp:positionH relativeFrom="column">
                    <wp:posOffset>109220</wp:posOffset>
                  </wp:positionH>
                  <wp:positionV relativeFrom="paragraph">
                    <wp:posOffset>20320</wp:posOffset>
                  </wp:positionV>
                  <wp:extent cx="463550" cy="463550"/>
                  <wp:effectExtent l="0" t="0" r="0" b="0"/>
                  <wp:wrapNone/>
                  <wp:docPr id="1190806979"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7D6CD4A8" w14:textId="0819E0D8" w:rsidR="00583F43" w:rsidRPr="00FD02F8" w:rsidRDefault="001F40A3" w:rsidP="00583F43">
            <w:pPr>
              <w:textAlignment w:val="baseline"/>
              <w:rPr>
                <w:rFonts w:ascii="Arial" w:eastAsia="Times New Roman" w:hAnsi="Arial" w:cs="Arial"/>
                <w:lang w:eastAsia="en-GB"/>
              </w:rPr>
            </w:pPr>
            <w:r w:rsidRPr="00FD02F8">
              <w:rPr>
                <w:rFonts w:ascii="Arial" w:eastAsia="Times New Roman" w:hAnsi="Arial" w:cs="Arial"/>
                <w:lang w:eastAsia="en-GB"/>
              </w:rPr>
              <w:t>Delivery on track. </w:t>
            </w:r>
            <w:r w:rsidR="00583F43" w:rsidRPr="00FD02F8">
              <w:rPr>
                <w:rFonts w:ascii="Arial" w:eastAsia="Times New Roman" w:hAnsi="Arial" w:cs="Arial"/>
                <w:lang w:eastAsia="en-GB"/>
              </w:rPr>
              <w:t xml:space="preserve">New stretch targets </w:t>
            </w:r>
            <w:r w:rsidR="00E90EFD" w:rsidRPr="00FD02F8">
              <w:rPr>
                <w:rFonts w:ascii="Arial" w:eastAsia="Times New Roman" w:hAnsi="Arial" w:cs="Arial"/>
                <w:lang w:eastAsia="en-GB"/>
              </w:rPr>
              <w:t>were</w:t>
            </w:r>
            <w:r w:rsidR="00583F43" w:rsidRPr="00FD02F8">
              <w:rPr>
                <w:rFonts w:ascii="Arial" w:eastAsia="Times New Roman" w:hAnsi="Arial" w:cs="Arial"/>
                <w:lang w:eastAsia="en-GB"/>
              </w:rPr>
              <w:t xml:space="preserve"> implemented from Q3. Key Result 9.4 is not due to be delivered until Q4.</w:t>
            </w:r>
          </w:p>
        </w:tc>
        <w:tc>
          <w:tcPr>
            <w:tcW w:w="1417" w:type="dxa"/>
            <w:tcBorders>
              <w:top w:val="single" w:sz="8" w:space="0" w:color="auto"/>
              <w:left w:val="single" w:sz="8" w:space="0" w:color="auto"/>
              <w:bottom w:val="single" w:sz="8" w:space="0" w:color="auto"/>
              <w:right w:val="single" w:sz="8" w:space="0" w:color="auto"/>
            </w:tcBorders>
            <w:vAlign w:val="center"/>
          </w:tcPr>
          <w:p w14:paraId="532726E5" w14:textId="06DCF070" w:rsidR="00583F43" w:rsidRPr="00FD02F8" w:rsidRDefault="00583F43" w:rsidP="00583F43">
            <w:pPr>
              <w:jc w:val="center"/>
              <w:textAlignment w:val="baseline"/>
              <w:rPr>
                <w:rFonts w:ascii="Arial" w:eastAsia="Times New Roman" w:hAnsi="Arial" w:cs="Arial"/>
                <w:lang w:eastAsia="en-GB"/>
              </w:rPr>
            </w:pPr>
            <w:r w:rsidRPr="00FD02F8">
              <w:rPr>
                <w:rFonts w:ascii="Arial" w:eastAsia="Times New Roman" w:hAnsi="Arial" w:cs="Arial"/>
                <w:szCs w:val="28"/>
                <w:lang w:eastAsia="en-GB"/>
              </w:rPr>
              <w:t>Delivered</w:t>
            </w:r>
          </w:p>
        </w:tc>
      </w:tr>
      <w:tr w:rsidR="0090035E" w:rsidRPr="00FD02F8" w14:paraId="727A0FBB" w14:textId="29DB0AA4" w:rsidTr="5FAD6993">
        <w:trPr>
          <w:cantSplit/>
          <w:trHeight w:val="409"/>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F48B0A" w14:textId="3F84AE15"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OO OKR10</w:t>
            </w:r>
          </w:p>
        </w:tc>
        <w:tc>
          <w:tcPr>
            <w:tcW w:w="18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86C2F8" w14:textId="1371F96C"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Our Organisation</w:t>
            </w:r>
          </w:p>
        </w:tc>
        <w:tc>
          <w:tcPr>
            <w:tcW w:w="630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F270BF" w14:textId="2AF224CD" w:rsidR="00583F43" w:rsidRPr="00FD02F8" w:rsidRDefault="00583F43" w:rsidP="00583F43">
            <w:pPr>
              <w:rPr>
                <w:rFonts w:ascii="Arial" w:hAnsi="Arial" w:cs="Arial"/>
              </w:rPr>
            </w:pPr>
            <w:r w:rsidRPr="00FD02F8">
              <w:rPr>
                <w:rFonts w:ascii="Arial" w:hAnsi="Arial" w:cs="Arial"/>
              </w:rPr>
              <w:t>Introduce effective digital public contact services for customers.</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C900C8" w14:textId="2C189F3A" w:rsidR="00583F43" w:rsidRPr="00FD02F8" w:rsidRDefault="00583F43" w:rsidP="00583F43">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lang w:eastAsia="en-GB"/>
              </w:rPr>
              <w:t>N/A</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AA440B" w14:textId="13C976A8"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844572" w14:textId="45DA0897" w:rsidR="00583F43" w:rsidRPr="00FD02F8" w:rsidRDefault="00F94C80"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0</w:t>
            </w:r>
          </w:p>
        </w:tc>
        <w:tc>
          <w:tcPr>
            <w:tcW w:w="99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DC2241" w14:textId="0BF4BAD8"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1B13C5" w14:textId="69039430" w:rsidR="00583F43" w:rsidRPr="00FD02F8" w:rsidRDefault="001F30B7" w:rsidP="00583F43">
            <w:pPr>
              <w:jc w:val="center"/>
              <w:textAlignment w:val="baseline"/>
              <w:rPr>
                <w:rFonts w:ascii="Arial" w:eastAsia="Times New Roman" w:hAnsi="Arial" w:cs="Arial"/>
                <w:lang w:eastAsia="en-GB"/>
              </w:rPr>
            </w:pPr>
            <w:r w:rsidRPr="00FD02F8">
              <w:rPr>
                <w:noProof/>
              </w:rPr>
              <w:drawing>
                <wp:inline distT="0" distB="0" distL="0" distR="0" wp14:anchorId="4958DF16" wp14:editId="71732D2D">
                  <wp:extent cx="444747" cy="444747"/>
                  <wp:effectExtent l="0" t="0" r="0" b="0"/>
                  <wp:docPr id="303906437"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747" cy="444747"/>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D24595" w14:textId="7B84A13D"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 xml:space="preserve">We are awaiting results from externally commissioned customer research to inform our strategy development, which is expected by the end of this financial year. It is important we use the findings to inform </w:t>
            </w:r>
            <w:r w:rsidRPr="00FD02F8">
              <w:rPr>
                <w:rFonts w:ascii="Arial" w:eastAsia="Times New Roman" w:hAnsi="Arial" w:cs="Arial"/>
                <w:i/>
                <w:iCs/>
                <w:lang w:eastAsia="en-GB"/>
              </w:rPr>
              <w:t>the new digital contact methods</w:t>
            </w:r>
            <w:r w:rsidRPr="00FD02F8">
              <w:rPr>
                <w:rFonts w:ascii="Arial" w:eastAsia="Times New Roman" w:hAnsi="Arial" w:cs="Arial"/>
                <w:lang w:eastAsia="en-GB"/>
              </w:rPr>
              <w:t xml:space="preserve"> (KR10.1) as well as the </w:t>
            </w:r>
            <w:r w:rsidRPr="00FD02F8">
              <w:rPr>
                <w:rFonts w:ascii="Arial" w:eastAsia="Times New Roman" w:hAnsi="Arial" w:cs="Arial"/>
                <w:i/>
                <w:iCs/>
                <w:lang w:eastAsia="en-GB"/>
              </w:rPr>
              <w:t xml:space="preserve">target service level agreement timeframes </w:t>
            </w:r>
            <w:r w:rsidRPr="00FD02F8">
              <w:rPr>
                <w:rFonts w:ascii="Arial" w:eastAsia="Times New Roman" w:hAnsi="Arial" w:cs="Arial"/>
                <w:lang w:eastAsia="en-GB"/>
              </w:rPr>
              <w:t xml:space="preserve">(KR10.3), to ensure these are future proof. As a result, we have decided to pause these for now and review them for 2026/27. We continue to progress </w:t>
            </w:r>
            <w:r w:rsidRPr="00FD02F8">
              <w:rPr>
                <w:rFonts w:ascii="Arial" w:eastAsia="Times New Roman" w:hAnsi="Arial" w:cs="Arial"/>
                <w:i/>
                <w:iCs/>
                <w:lang w:eastAsia="en-GB"/>
              </w:rPr>
              <w:t>Customer Service Standards implementation</w:t>
            </w:r>
            <w:r w:rsidRPr="00FD02F8">
              <w:rPr>
                <w:rFonts w:ascii="Arial" w:eastAsia="Times New Roman" w:hAnsi="Arial" w:cs="Arial"/>
                <w:lang w:eastAsia="en-GB"/>
              </w:rPr>
              <w:t> (KR10.2) (excluding the new digital channels) and now aim to have these in place by the end of Q4 to align with the broader programme timeline.</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C436E0" w14:textId="75AE0423" w:rsidR="00583F43" w:rsidRPr="00FD02F8" w:rsidRDefault="00583F43" w:rsidP="00583F43">
            <w:pPr>
              <w:jc w:val="center"/>
              <w:textAlignment w:val="baseline"/>
              <w:rPr>
                <w:rFonts w:ascii="Arial" w:eastAsia="Times New Roman" w:hAnsi="Arial" w:cs="Arial"/>
                <w:lang w:eastAsia="en-GB"/>
              </w:rPr>
            </w:pPr>
            <w:r w:rsidRPr="00FD02F8">
              <w:rPr>
                <w:rFonts w:asciiTheme="majorHAnsi" w:eastAsia="Times New Roman" w:hAnsiTheme="majorHAnsi" w:cstheme="majorHAnsi"/>
                <w:lang w:eastAsia="en-GB"/>
              </w:rPr>
              <w:t>Partial Delivery</w:t>
            </w:r>
          </w:p>
        </w:tc>
      </w:tr>
      <w:tr w:rsidR="0090035E" w:rsidRPr="00FD02F8" w14:paraId="6CFD8FA0" w14:textId="10FE9482" w:rsidTr="5FAD6993">
        <w:tblPrEx>
          <w:tblCellMar>
            <w:left w:w="108" w:type="dxa"/>
            <w:right w:w="108" w:type="dxa"/>
          </w:tblCellMar>
        </w:tblPrEx>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0456D095" w14:textId="0275F6CD"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lastRenderedPageBreak/>
              <w:t>OO OKR11</w:t>
            </w:r>
          </w:p>
        </w:tc>
        <w:tc>
          <w:tcPr>
            <w:tcW w:w="1890" w:type="dxa"/>
            <w:tcBorders>
              <w:top w:val="single" w:sz="8" w:space="0" w:color="auto"/>
              <w:left w:val="single" w:sz="8" w:space="0" w:color="auto"/>
              <w:bottom w:val="single" w:sz="8" w:space="0" w:color="auto"/>
              <w:right w:val="single" w:sz="8" w:space="0" w:color="auto"/>
            </w:tcBorders>
            <w:vAlign w:val="center"/>
          </w:tcPr>
          <w:p w14:paraId="118CA6D1" w14:textId="61F12FC2" w:rsidR="00583F43" w:rsidRPr="00FD02F8" w:rsidRDefault="00583F43" w:rsidP="00583F43">
            <w:pPr>
              <w:textAlignment w:val="baseline"/>
              <w:rPr>
                <w:rFonts w:ascii="Arial" w:eastAsia="Times New Roman" w:hAnsi="Arial" w:cs="Arial"/>
                <w:lang w:eastAsia="en-GB"/>
              </w:rPr>
            </w:pPr>
            <w:r w:rsidRPr="00FD02F8">
              <w:rPr>
                <w:rFonts w:ascii="Arial" w:eastAsia="Times New Roman" w:hAnsi="Arial" w:cs="Arial"/>
                <w:lang w:eastAsia="en-GB"/>
              </w:rPr>
              <w:t>Our Organisation</w:t>
            </w:r>
          </w:p>
        </w:tc>
        <w:tc>
          <w:tcPr>
            <w:tcW w:w="6305" w:type="dxa"/>
            <w:tcBorders>
              <w:top w:val="single" w:sz="8" w:space="0" w:color="auto"/>
              <w:left w:val="single" w:sz="8" w:space="0" w:color="auto"/>
              <w:bottom w:val="single" w:sz="8" w:space="0" w:color="auto"/>
              <w:right w:val="single" w:sz="8" w:space="0" w:color="auto"/>
            </w:tcBorders>
          </w:tcPr>
          <w:p w14:paraId="5BE86CBA" w14:textId="250AD09F" w:rsidR="00583F43" w:rsidRPr="00FD02F8" w:rsidRDefault="00583F43" w:rsidP="00583F43">
            <w:pPr>
              <w:rPr>
                <w:rFonts w:ascii="Arial" w:hAnsi="Arial" w:cs="Arial"/>
              </w:rPr>
            </w:pPr>
            <w:r w:rsidRPr="00FD02F8">
              <w:rPr>
                <w:rFonts w:ascii="Arial" w:hAnsi="Arial" w:cs="Arial"/>
              </w:rPr>
              <w:t>Deliver our People Strategy to build a safe, welcoming and high performing environment which empowers our people to be purposeful, professional and passionate.</w:t>
            </w:r>
          </w:p>
        </w:tc>
        <w:tc>
          <w:tcPr>
            <w:tcW w:w="1134" w:type="dxa"/>
            <w:tcBorders>
              <w:top w:val="single" w:sz="8" w:space="0" w:color="auto"/>
              <w:left w:val="single" w:sz="8" w:space="0" w:color="auto"/>
              <w:bottom w:val="single" w:sz="8" w:space="0" w:color="auto"/>
              <w:right w:val="single" w:sz="8" w:space="0" w:color="auto"/>
            </w:tcBorders>
            <w:vAlign w:val="center"/>
          </w:tcPr>
          <w:p w14:paraId="371829ED" w14:textId="50959C07" w:rsidR="00583F43" w:rsidRPr="00FD02F8" w:rsidRDefault="00583F43" w:rsidP="00583F43">
            <w:pPr>
              <w:jc w:val="center"/>
              <w:textAlignment w:val="baseline"/>
              <w:rPr>
                <w:rFonts w:asciiTheme="majorHAnsi" w:hAnsiTheme="majorHAnsi" w:cstheme="majorHAnsi"/>
                <w:b/>
                <w:color w:val="000000"/>
              </w:rPr>
            </w:pPr>
            <w:r w:rsidRPr="00FD02F8">
              <w:rPr>
                <w:rFonts w:asciiTheme="majorHAnsi" w:eastAsia="Times New Roman" w:hAnsiTheme="majorHAnsi" w:cstheme="majorHAnsi"/>
                <w:b/>
                <w:lang w:eastAsia="en-GB"/>
              </w:rPr>
              <w:t>0.58</w:t>
            </w:r>
          </w:p>
        </w:tc>
        <w:tc>
          <w:tcPr>
            <w:tcW w:w="1134" w:type="dxa"/>
            <w:tcBorders>
              <w:top w:val="single" w:sz="8" w:space="0" w:color="auto"/>
              <w:left w:val="single" w:sz="8" w:space="0" w:color="auto"/>
              <w:bottom w:val="single" w:sz="8" w:space="0" w:color="auto"/>
              <w:right w:val="single" w:sz="8" w:space="0" w:color="auto"/>
            </w:tcBorders>
            <w:vAlign w:val="center"/>
          </w:tcPr>
          <w:p w14:paraId="3FC7897D" w14:textId="217BC5A6"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hAnsiTheme="majorHAnsi" w:cstheme="majorHAnsi"/>
                <w:b/>
                <w:bCs/>
                <w:color w:val="000000"/>
              </w:rPr>
              <w:t>0.66</w:t>
            </w:r>
          </w:p>
        </w:tc>
        <w:tc>
          <w:tcPr>
            <w:tcW w:w="992" w:type="dxa"/>
            <w:tcBorders>
              <w:top w:val="single" w:sz="8" w:space="0" w:color="auto"/>
              <w:left w:val="single" w:sz="8" w:space="0" w:color="auto"/>
              <w:bottom w:val="single" w:sz="8" w:space="0" w:color="auto"/>
              <w:right w:val="single" w:sz="8" w:space="0" w:color="auto"/>
            </w:tcBorders>
            <w:vAlign w:val="center"/>
          </w:tcPr>
          <w:p w14:paraId="2C6E01B3" w14:textId="0A7797A4" w:rsidR="00583F43" w:rsidRPr="00FD02F8" w:rsidRDefault="003E7CBA"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b/>
                <w:bCs/>
                <w:lang w:eastAsia="en-GB"/>
              </w:rPr>
              <w:t>1</w:t>
            </w:r>
          </w:p>
        </w:tc>
        <w:tc>
          <w:tcPr>
            <w:tcW w:w="993" w:type="dxa"/>
            <w:tcBorders>
              <w:top w:val="single" w:sz="8" w:space="0" w:color="auto"/>
              <w:left w:val="single" w:sz="8" w:space="0" w:color="auto"/>
              <w:bottom w:val="single" w:sz="8" w:space="0" w:color="auto"/>
              <w:right w:val="single" w:sz="8" w:space="0" w:color="auto"/>
            </w:tcBorders>
            <w:vAlign w:val="center"/>
          </w:tcPr>
          <w:p w14:paraId="7E9FFC60" w14:textId="713ED8A6" w:rsidR="00583F43" w:rsidRPr="00FD02F8" w:rsidRDefault="00583F43" w:rsidP="00583F43">
            <w:pPr>
              <w:jc w:val="center"/>
              <w:textAlignment w:val="baseline"/>
              <w:rPr>
                <w:rFonts w:asciiTheme="majorHAnsi" w:hAnsiTheme="majorHAnsi" w:cstheme="majorHAnsi"/>
                <w:b/>
                <w:bCs/>
                <w:color w:val="000000"/>
              </w:rPr>
            </w:pPr>
            <w:r w:rsidRPr="00FD02F8">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5AA1E2CA" w14:textId="207E6EE9" w:rsidR="00583F43" w:rsidRPr="00FD02F8" w:rsidRDefault="003E7CBA" w:rsidP="00583F43">
            <w:pPr>
              <w:jc w:val="center"/>
              <w:textAlignment w:val="baseline"/>
              <w:rPr>
                <w:rFonts w:ascii="Arial" w:eastAsia="Times New Roman" w:hAnsi="Arial" w:cs="Arial"/>
                <w:highlight w:val="yellow"/>
                <w:lang w:eastAsia="en-GB"/>
              </w:rPr>
            </w:pPr>
            <w:r w:rsidRPr="00FD02F8">
              <w:rPr>
                <w:b/>
                <w:bCs/>
                <w:noProof/>
              </w:rPr>
              <w:drawing>
                <wp:anchor distT="0" distB="0" distL="114300" distR="114300" simplePos="0" relativeHeight="251656192" behindDoc="0" locked="0" layoutInCell="1" allowOverlap="1" wp14:anchorId="2D7197F1" wp14:editId="32DA1021">
                  <wp:simplePos x="0" y="0"/>
                  <wp:positionH relativeFrom="column">
                    <wp:posOffset>79375</wp:posOffset>
                  </wp:positionH>
                  <wp:positionV relativeFrom="paragraph">
                    <wp:posOffset>-62865</wp:posOffset>
                  </wp:positionV>
                  <wp:extent cx="463550" cy="463550"/>
                  <wp:effectExtent l="0" t="0" r="0" b="0"/>
                  <wp:wrapNone/>
                  <wp:docPr id="36880775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0F86393A" w14:textId="777C7708" w:rsidR="00583F43" w:rsidRPr="00FD02F8" w:rsidRDefault="00C3068D" w:rsidP="00583F43">
            <w:pPr>
              <w:textAlignment w:val="baseline"/>
              <w:rPr>
                <w:rFonts w:ascii="Arial" w:eastAsia="Times New Roman" w:hAnsi="Arial" w:cs="Arial"/>
                <w:lang w:eastAsia="en-GB"/>
              </w:rPr>
            </w:pPr>
            <w:r w:rsidRPr="00FD02F8">
              <w:rPr>
                <w:rFonts w:ascii="Arial" w:eastAsia="Times New Roman" w:hAnsi="Arial" w:cs="Arial"/>
                <w:lang w:eastAsia="en-GB"/>
              </w:rPr>
              <w:t xml:space="preserve">We have delivered </w:t>
            </w:r>
            <w:r w:rsidR="00D31AFB" w:rsidRPr="00FD02F8">
              <w:rPr>
                <w:rFonts w:ascii="Arial" w:eastAsia="Times New Roman" w:hAnsi="Arial" w:cs="Arial"/>
                <w:lang w:eastAsia="en-GB"/>
              </w:rPr>
              <w:t xml:space="preserve">against </w:t>
            </w:r>
            <w:r w:rsidRPr="00FD02F8">
              <w:rPr>
                <w:rFonts w:ascii="Arial" w:eastAsia="Times New Roman" w:hAnsi="Arial" w:cs="Arial"/>
                <w:lang w:eastAsia="en-GB"/>
              </w:rPr>
              <w:t>this objective</w:t>
            </w:r>
            <w:r w:rsidR="00D31AFB" w:rsidRPr="00FD02F8">
              <w:rPr>
                <w:rFonts w:ascii="Arial" w:eastAsia="Times New Roman" w:hAnsi="Arial" w:cs="Arial"/>
                <w:lang w:eastAsia="en-GB"/>
              </w:rPr>
              <w:t>.</w:t>
            </w:r>
            <w:r w:rsidR="00583F43" w:rsidRPr="00FD02F8">
              <w:rPr>
                <w:rFonts w:ascii="Arial" w:eastAsia="Times New Roman" w:hAnsi="Arial" w:cs="Arial"/>
                <w:lang w:eastAsia="en-GB"/>
              </w:rPr>
              <w:t> </w:t>
            </w:r>
            <w:r w:rsidR="007D29B2" w:rsidRPr="00FD02F8">
              <w:rPr>
                <w:rFonts w:ascii="Arial" w:eastAsia="Times New Roman" w:hAnsi="Arial" w:cs="Arial"/>
                <w:lang w:eastAsia="en-GB"/>
              </w:rPr>
              <w:t>All key results have been delivered</w:t>
            </w:r>
            <w:r w:rsidR="00E94EF9" w:rsidRPr="00FD02F8">
              <w:rPr>
                <w:rFonts w:ascii="Arial" w:eastAsia="Times New Roman" w:hAnsi="Arial" w:cs="Arial"/>
                <w:lang w:eastAsia="en-GB"/>
              </w:rPr>
              <w:t>.</w:t>
            </w:r>
          </w:p>
        </w:tc>
        <w:tc>
          <w:tcPr>
            <w:tcW w:w="1417" w:type="dxa"/>
            <w:tcBorders>
              <w:top w:val="single" w:sz="8" w:space="0" w:color="auto"/>
              <w:left w:val="single" w:sz="8" w:space="0" w:color="auto"/>
              <w:bottom w:val="single" w:sz="8" w:space="0" w:color="auto"/>
              <w:right w:val="single" w:sz="8" w:space="0" w:color="auto"/>
            </w:tcBorders>
            <w:vAlign w:val="center"/>
          </w:tcPr>
          <w:p w14:paraId="2B4E1161" w14:textId="61549E33" w:rsidR="00583F43" w:rsidRPr="00FD02F8" w:rsidRDefault="00583F43" w:rsidP="00583F43">
            <w:pP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Delivered</w:t>
            </w:r>
          </w:p>
        </w:tc>
      </w:tr>
    </w:tbl>
    <w:p w14:paraId="15285F41" w14:textId="77777777" w:rsidR="00800F29" w:rsidRPr="00FD02F8" w:rsidRDefault="00800F29" w:rsidP="004222B2">
      <w:pPr>
        <w:spacing w:line="240" w:lineRule="auto"/>
        <w:rPr>
          <w:b/>
          <w:bCs/>
        </w:rPr>
      </w:pPr>
    </w:p>
    <w:p w14:paraId="10F0D794" w14:textId="77777777" w:rsidR="0034095F" w:rsidRPr="00FD02F8" w:rsidRDefault="0034095F" w:rsidP="00987F4E">
      <w:bookmarkStart w:id="15" w:name="_Toc206390043"/>
      <w:bookmarkStart w:id="16" w:name="_Toc1560554380"/>
    </w:p>
    <w:p w14:paraId="60F8D4B5" w14:textId="77777777" w:rsidR="00125AE7" w:rsidRDefault="00125AE7">
      <w:pPr>
        <w:spacing w:line="240" w:lineRule="auto"/>
        <w:rPr>
          <w:rFonts w:asciiTheme="majorHAnsi" w:eastAsiaTheme="majorEastAsia" w:hAnsiTheme="majorHAnsi" w:cstheme="majorBidi"/>
          <w:b/>
          <w:color w:val="016574" w:themeColor="accent2"/>
          <w:sz w:val="32"/>
          <w:szCs w:val="26"/>
        </w:rPr>
      </w:pPr>
      <w:r>
        <w:br w:type="page"/>
      </w:r>
    </w:p>
    <w:p w14:paraId="2A5DE0B9" w14:textId="2FDA338F" w:rsidR="00813683" w:rsidRPr="00FD02F8" w:rsidRDefault="005F4871" w:rsidP="009D3B0A">
      <w:pPr>
        <w:pStyle w:val="Heading2"/>
        <w:spacing w:before="0" w:after="120"/>
        <w:ind w:left="720" w:hanging="720"/>
      </w:pPr>
      <w:r w:rsidRPr="00FD02F8">
        <w:lastRenderedPageBreak/>
        <w:t>2.2 Key strategic and operational performance indicators</w:t>
      </w:r>
      <w:r w:rsidR="00C02104" w:rsidRPr="00FD02F8">
        <w:t xml:space="preserve"> – Progress and exception summary</w:t>
      </w:r>
      <w:bookmarkEnd w:id="15"/>
      <w:bookmarkEnd w:id="16"/>
    </w:p>
    <w:p w14:paraId="469A205B" w14:textId="7CF02FE5" w:rsidR="005F4871" w:rsidRPr="00FD02F8" w:rsidRDefault="00813683" w:rsidP="00813683">
      <w:pPr>
        <w:spacing w:line="240" w:lineRule="auto"/>
      </w:pPr>
      <w:r w:rsidRPr="00FD02F8">
        <w:t xml:space="preserve">A high-level summary of the progress of each </w:t>
      </w:r>
      <w:r w:rsidR="00C85AC8" w:rsidRPr="00FD02F8">
        <w:t>key performance indicator aligned to our corporate plan priorities f</w:t>
      </w:r>
      <w:r w:rsidRPr="00FD02F8">
        <w:t xml:space="preserve">or </w:t>
      </w:r>
      <w:r w:rsidR="000E0D80" w:rsidRPr="00FD02F8">
        <w:t>quarter two</w:t>
      </w:r>
      <w:r w:rsidRPr="00FD02F8">
        <w:t xml:space="preserve"> is below. </w:t>
      </w:r>
    </w:p>
    <w:p w14:paraId="4BCACA0A" w14:textId="77777777" w:rsidR="00645204" w:rsidRPr="00FD02F8" w:rsidRDefault="00645204" w:rsidP="00813683">
      <w:pPr>
        <w:spacing w:line="240" w:lineRule="auto"/>
      </w:pPr>
    </w:p>
    <w:p w14:paraId="5003F29C" w14:textId="43BE62A7" w:rsidR="00650025" w:rsidRPr="00FD02F8" w:rsidRDefault="00645204" w:rsidP="00645204">
      <w:pPr>
        <w:spacing w:after="120"/>
      </w:pPr>
      <w:r w:rsidRPr="00FD02F8">
        <w:rPr>
          <w:b/>
          <w:bCs/>
          <w:i/>
          <w:iCs/>
          <w:color w:val="016574"/>
        </w:rPr>
        <w:t>Table 3: KPI progress and exception summary</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Table 3: KPI progress and exception summary"/>
        <w:tblDescription w:val="Summary for each of the 23 KPIs; detailing the KPI code, Corporate Plan priority, Performance indicator and trajectory, Measure type, Baseline, Target and the associated Q3 result, Q3 status, Q3 commentary and Annual forecast."/>
      </w:tblPr>
      <w:tblGrid>
        <w:gridCol w:w="985"/>
        <w:gridCol w:w="1844"/>
        <w:gridCol w:w="3546"/>
        <w:gridCol w:w="1698"/>
        <w:gridCol w:w="2127"/>
        <w:gridCol w:w="2410"/>
        <w:gridCol w:w="1844"/>
        <w:gridCol w:w="1702"/>
        <w:gridCol w:w="4537"/>
        <w:gridCol w:w="1415"/>
      </w:tblGrid>
      <w:tr w:rsidR="00B2335A" w:rsidRPr="00FD02F8" w14:paraId="07CEB085" w14:textId="6B0D728F" w:rsidTr="1901DC8B">
        <w:trPr>
          <w:cantSplit/>
          <w:trHeight w:val="312"/>
          <w:tblHeader/>
        </w:trPr>
        <w:tc>
          <w:tcPr>
            <w:tcW w:w="223" w:type="pct"/>
            <w:tcBorders>
              <w:bottom w:val="single" w:sz="8" w:space="0" w:color="auto"/>
            </w:tcBorders>
            <w:shd w:val="clear" w:color="auto" w:fill="016574" w:themeFill="accent2"/>
          </w:tcPr>
          <w:p w14:paraId="57DBBDEE" w14:textId="760369D0" w:rsidR="00F36988" w:rsidRPr="00FD02F8" w:rsidRDefault="00F36988" w:rsidP="000E50DE">
            <w:pPr>
              <w:spacing w:line="240" w:lineRule="auto"/>
              <w:jc w:val="center"/>
              <w:textAlignment w:val="baseline"/>
              <w:rPr>
                <w:rFonts w:ascii="Arial" w:eastAsia="Times New Roman" w:hAnsi="Arial" w:cs="Arial"/>
                <w:b/>
                <w:bCs/>
                <w:color w:val="000000"/>
                <w:lang w:eastAsia="en-GB"/>
              </w:rPr>
            </w:pPr>
            <w:r w:rsidRPr="00FD02F8">
              <w:rPr>
                <w:rFonts w:ascii="Arial" w:eastAsia="Times New Roman" w:hAnsi="Arial" w:cs="Arial"/>
                <w:b/>
                <w:bCs/>
                <w:color w:val="FFFFFF" w:themeColor="background1"/>
                <w:sz w:val="28"/>
                <w:szCs w:val="28"/>
                <w:lang w:eastAsia="en-GB"/>
              </w:rPr>
              <w:t>Code</w:t>
            </w:r>
          </w:p>
        </w:tc>
        <w:tc>
          <w:tcPr>
            <w:tcW w:w="417" w:type="pct"/>
            <w:tcBorders>
              <w:bottom w:val="single" w:sz="8" w:space="0" w:color="auto"/>
            </w:tcBorders>
            <w:shd w:val="clear" w:color="auto" w:fill="016574" w:themeFill="accent2"/>
          </w:tcPr>
          <w:p w14:paraId="24123EFC" w14:textId="77777777" w:rsidR="00F36988" w:rsidRPr="00FD02F8" w:rsidRDefault="00F36988" w:rsidP="000E50DE">
            <w:pPr>
              <w:spacing w:line="240" w:lineRule="auto"/>
              <w:jc w:val="center"/>
              <w:textAlignment w:val="baseline"/>
              <w:rPr>
                <w:rFonts w:ascii="Arial" w:eastAsia="MS PGothic" w:hAnsi="Arial" w:cs="Arial"/>
                <w:b/>
                <w:bCs/>
                <w:color w:val="FFFFFF" w:themeColor="background1"/>
                <w:sz w:val="28"/>
                <w:szCs w:val="28"/>
              </w:rPr>
            </w:pPr>
            <w:r w:rsidRPr="00FD02F8">
              <w:rPr>
                <w:rFonts w:ascii="Arial" w:eastAsia="MS PGothic" w:hAnsi="Arial" w:cs="Arial"/>
                <w:b/>
                <w:bCs/>
                <w:color w:val="FFFFFF" w:themeColor="background1"/>
                <w:sz w:val="28"/>
                <w:szCs w:val="28"/>
              </w:rPr>
              <w:t>Priority</w:t>
            </w:r>
          </w:p>
        </w:tc>
        <w:tc>
          <w:tcPr>
            <w:tcW w:w="802" w:type="pct"/>
            <w:tcBorders>
              <w:bottom w:val="single" w:sz="8" w:space="0" w:color="auto"/>
            </w:tcBorders>
            <w:shd w:val="clear" w:color="auto" w:fill="016574" w:themeFill="accent2"/>
          </w:tcPr>
          <w:p w14:paraId="09E89588" w14:textId="7C38B844" w:rsidR="00F36988" w:rsidRPr="00FD02F8" w:rsidRDefault="00F36988" w:rsidP="00B2335A">
            <w:pPr>
              <w:spacing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sz w:val="28"/>
                <w:szCs w:val="28"/>
              </w:rPr>
              <w:t xml:space="preserve">Performance Indicator and </w:t>
            </w:r>
            <w:r w:rsidR="000E0D80" w:rsidRPr="00FD02F8">
              <w:rPr>
                <w:rFonts w:ascii="Arial" w:eastAsia="MS PGothic" w:hAnsi="Arial" w:cs="Arial"/>
                <w:b/>
                <w:bCs/>
                <w:color w:val="FFFFFF" w:themeColor="background1"/>
                <w:sz w:val="28"/>
                <w:szCs w:val="28"/>
              </w:rPr>
              <w:t>T</w:t>
            </w:r>
            <w:r w:rsidRPr="00FD02F8">
              <w:rPr>
                <w:rFonts w:ascii="Arial" w:eastAsia="MS PGothic" w:hAnsi="Arial" w:cs="Arial"/>
                <w:b/>
                <w:bCs/>
                <w:color w:val="FFFFFF" w:themeColor="background1"/>
                <w:sz w:val="28"/>
                <w:szCs w:val="28"/>
              </w:rPr>
              <w:t>rajectory</w:t>
            </w:r>
          </w:p>
        </w:tc>
        <w:tc>
          <w:tcPr>
            <w:tcW w:w="384" w:type="pct"/>
            <w:tcBorders>
              <w:bottom w:val="single" w:sz="8" w:space="0" w:color="auto"/>
            </w:tcBorders>
            <w:shd w:val="clear" w:color="auto" w:fill="016574" w:themeFill="accent2"/>
          </w:tcPr>
          <w:p w14:paraId="4EB2481E" w14:textId="0118940E" w:rsidR="00F36988" w:rsidRPr="00FD02F8" w:rsidRDefault="00F36988" w:rsidP="000E50DE">
            <w:pPr>
              <w:spacing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Measure Type</w:t>
            </w:r>
          </w:p>
        </w:tc>
        <w:tc>
          <w:tcPr>
            <w:tcW w:w="481" w:type="pct"/>
            <w:tcBorders>
              <w:bottom w:val="single" w:sz="8" w:space="0" w:color="auto"/>
            </w:tcBorders>
            <w:shd w:val="clear" w:color="auto" w:fill="016574" w:themeFill="accent2"/>
          </w:tcPr>
          <w:p w14:paraId="7DCB2865" w14:textId="1B76E0AB" w:rsidR="00F36988" w:rsidRPr="00FD02F8" w:rsidRDefault="00F36988" w:rsidP="000E50DE">
            <w:pPr>
              <w:spacing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Baseline</w:t>
            </w:r>
          </w:p>
        </w:tc>
        <w:tc>
          <w:tcPr>
            <w:tcW w:w="545" w:type="pct"/>
            <w:tcBorders>
              <w:bottom w:val="single" w:sz="8" w:space="0" w:color="auto"/>
            </w:tcBorders>
            <w:shd w:val="clear" w:color="auto" w:fill="016574" w:themeFill="accent2"/>
          </w:tcPr>
          <w:p w14:paraId="4A454A5E" w14:textId="331B5135" w:rsidR="00F36988" w:rsidRPr="00FD02F8" w:rsidRDefault="00F36988" w:rsidP="000E50DE">
            <w:pPr>
              <w:spacing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Target</w:t>
            </w:r>
          </w:p>
        </w:tc>
        <w:tc>
          <w:tcPr>
            <w:tcW w:w="417" w:type="pct"/>
            <w:tcBorders>
              <w:bottom w:val="single" w:sz="8" w:space="0" w:color="auto"/>
            </w:tcBorders>
            <w:shd w:val="clear" w:color="auto" w:fill="016574" w:themeFill="accent2"/>
          </w:tcPr>
          <w:p w14:paraId="3ABD3608" w14:textId="5324F932" w:rsidR="00F36988" w:rsidRPr="00FD02F8" w:rsidRDefault="00F36988" w:rsidP="000E50DE">
            <w:pPr>
              <w:spacing w:line="240" w:lineRule="auto"/>
              <w:jc w:val="center"/>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sz w:val="28"/>
                <w:szCs w:val="28"/>
              </w:rPr>
              <w:t>Q</w:t>
            </w:r>
            <w:r w:rsidR="00195912" w:rsidRPr="00FD02F8">
              <w:rPr>
                <w:rFonts w:ascii="Arial" w:eastAsia="MS PGothic" w:hAnsi="Arial" w:cs="Arial"/>
                <w:b/>
                <w:bCs/>
                <w:color w:val="FFFFFF"/>
                <w:sz w:val="28"/>
                <w:szCs w:val="28"/>
              </w:rPr>
              <w:t xml:space="preserve">3 </w:t>
            </w:r>
            <w:r w:rsidR="000E0D80" w:rsidRPr="00FD02F8">
              <w:rPr>
                <w:rFonts w:ascii="Arial" w:eastAsia="MS PGothic" w:hAnsi="Arial" w:cs="Arial"/>
                <w:b/>
                <w:bCs/>
                <w:color w:val="FFFFFF"/>
                <w:sz w:val="28"/>
                <w:szCs w:val="28"/>
              </w:rPr>
              <w:t>R</w:t>
            </w:r>
            <w:r w:rsidR="004C42B2" w:rsidRPr="00FD02F8">
              <w:rPr>
                <w:rFonts w:ascii="Arial" w:eastAsia="MS PGothic" w:hAnsi="Arial" w:cs="Arial"/>
                <w:b/>
                <w:bCs/>
                <w:color w:val="FFFFFF"/>
                <w:sz w:val="28"/>
                <w:szCs w:val="28"/>
              </w:rPr>
              <w:t>esult</w:t>
            </w:r>
          </w:p>
        </w:tc>
        <w:tc>
          <w:tcPr>
            <w:tcW w:w="385" w:type="pct"/>
            <w:tcBorders>
              <w:bottom w:val="single" w:sz="8" w:space="0" w:color="auto"/>
            </w:tcBorders>
            <w:shd w:val="clear" w:color="auto" w:fill="016574" w:themeFill="accent2"/>
          </w:tcPr>
          <w:p w14:paraId="51919018" w14:textId="554B83C5" w:rsidR="00F36988" w:rsidRPr="00FD02F8" w:rsidRDefault="00F36988" w:rsidP="000E50DE">
            <w:pPr>
              <w:spacing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195912"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 xml:space="preserve"> Status</w:t>
            </w:r>
          </w:p>
        </w:tc>
        <w:tc>
          <w:tcPr>
            <w:tcW w:w="1026" w:type="pct"/>
            <w:tcBorders>
              <w:bottom w:val="single" w:sz="8" w:space="0" w:color="auto"/>
            </w:tcBorders>
            <w:shd w:val="clear" w:color="auto" w:fill="016574" w:themeFill="accent2"/>
          </w:tcPr>
          <w:p w14:paraId="4B037232" w14:textId="3ADAAB97" w:rsidR="00F36988" w:rsidRPr="00FD02F8" w:rsidRDefault="00F36988" w:rsidP="000E50DE">
            <w:pPr>
              <w:spacing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195912" w:rsidRPr="00FD02F8">
              <w:rPr>
                <w:rFonts w:ascii="Arial" w:eastAsia="MS PGothic" w:hAnsi="Arial" w:cs="Arial"/>
                <w:b/>
                <w:bCs/>
                <w:color w:val="FFFFFF"/>
                <w:sz w:val="28"/>
                <w:szCs w:val="28"/>
              </w:rPr>
              <w:t>3</w:t>
            </w:r>
            <w:r w:rsidR="00270EC3" w:rsidRPr="00FD02F8">
              <w:rPr>
                <w:rFonts w:ascii="Arial" w:eastAsia="MS PGothic" w:hAnsi="Arial" w:cs="Arial"/>
                <w:b/>
                <w:bCs/>
                <w:color w:val="FFFFFF"/>
                <w:sz w:val="28"/>
                <w:szCs w:val="28"/>
              </w:rPr>
              <w:t xml:space="preserve"> </w:t>
            </w:r>
            <w:r w:rsidRPr="00FD02F8">
              <w:rPr>
                <w:rFonts w:ascii="Arial" w:eastAsia="MS PGothic" w:hAnsi="Arial" w:cs="Arial"/>
                <w:b/>
                <w:bCs/>
                <w:color w:val="FFFFFF"/>
                <w:sz w:val="28"/>
                <w:szCs w:val="28"/>
              </w:rPr>
              <w:t>Commentary</w:t>
            </w:r>
          </w:p>
        </w:tc>
        <w:tc>
          <w:tcPr>
            <w:tcW w:w="320" w:type="pct"/>
            <w:tcBorders>
              <w:bottom w:val="single" w:sz="8" w:space="0" w:color="auto"/>
            </w:tcBorders>
            <w:shd w:val="clear" w:color="auto" w:fill="016574" w:themeFill="accent2"/>
          </w:tcPr>
          <w:p w14:paraId="7DF0D394" w14:textId="17A5C0CD" w:rsidR="00F36988" w:rsidRPr="00FD02F8" w:rsidRDefault="00F36988" w:rsidP="000E50DE">
            <w:pPr>
              <w:spacing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 xml:space="preserve">Annual </w:t>
            </w:r>
            <w:r w:rsidR="000E0D80" w:rsidRPr="00FD02F8">
              <w:rPr>
                <w:rFonts w:ascii="Arial" w:eastAsia="MS PGothic" w:hAnsi="Arial" w:cs="Arial"/>
                <w:b/>
                <w:bCs/>
                <w:color w:val="FFFFFF"/>
                <w:sz w:val="28"/>
                <w:szCs w:val="28"/>
              </w:rPr>
              <w:t>F</w:t>
            </w:r>
            <w:r w:rsidRPr="00FD02F8">
              <w:rPr>
                <w:rFonts w:ascii="Arial" w:eastAsia="MS PGothic" w:hAnsi="Arial" w:cs="Arial"/>
                <w:b/>
                <w:bCs/>
                <w:color w:val="FFFFFF"/>
                <w:sz w:val="28"/>
                <w:szCs w:val="28"/>
              </w:rPr>
              <w:t>orecast</w:t>
            </w:r>
          </w:p>
        </w:tc>
      </w:tr>
      <w:tr w:rsidR="00B2335A" w:rsidRPr="00FD02F8" w14:paraId="4835B0CA" w14:textId="044583A6"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1F56891A" w14:textId="2396D0C6" w:rsidR="00F36988" w:rsidRPr="00FD02F8" w:rsidRDefault="00F36988"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NZ01</w:t>
            </w:r>
          </w:p>
        </w:tc>
        <w:tc>
          <w:tcPr>
            <w:tcW w:w="417" w:type="pct"/>
            <w:tcBorders>
              <w:top w:val="single" w:sz="8" w:space="0" w:color="auto"/>
              <w:left w:val="single" w:sz="8" w:space="0" w:color="auto"/>
              <w:bottom w:val="single" w:sz="8" w:space="0" w:color="auto"/>
              <w:right w:val="single" w:sz="8" w:space="0" w:color="auto"/>
            </w:tcBorders>
          </w:tcPr>
          <w:p w14:paraId="55D6796B" w14:textId="77777777" w:rsidR="00F36988" w:rsidRPr="00FD02F8" w:rsidRDefault="00F36988"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Net Zero</w:t>
            </w:r>
          </w:p>
        </w:tc>
        <w:tc>
          <w:tcPr>
            <w:tcW w:w="802" w:type="pct"/>
            <w:tcBorders>
              <w:top w:val="single" w:sz="8" w:space="0" w:color="auto"/>
              <w:left w:val="single" w:sz="8" w:space="0" w:color="auto"/>
              <w:bottom w:val="single" w:sz="8" w:space="0" w:color="auto"/>
              <w:right w:val="single" w:sz="8" w:space="0" w:color="auto"/>
            </w:tcBorders>
          </w:tcPr>
          <w:p w14:paraId="4481550B" w14:textId="77777777" w:rsidR="00F36988" w:rsidRPr="00FD02F8" w:rsidRDefault="00F36988"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Annual greenhouse gas emissions in the </w:t>
            </w:r>
            <w:hyperlink r:id="rId35" w:history="1">
              <w:r w:rsidRPr="00FD02F8">
                <w:rPr>
                  <w:rFonts w:ascii="Arial" w:eastAsia="MS PGothic" w:hAnsi="Arial" w:cs="Arial"/>
                  <w:color w:val="016574"/>
                  <w:u w:val="single"/>
                  <w:lang w:eastAsia="en-GB"/>
                </w:rPr>
                <w:t>Scottish Pollutant Release Inventory</w:t>
              </w:r>
            </w:hyperlink>
            <w:r w:rsidRPr="00FD02F8">
              <w:rPr>
                <w:rFonts w:ascii="Arial" w:eastAsia="Times New Roman" w:hAnsi="Arial" w:cs="Arial"/>
                <w:lang w:eastAsia="en-GB"/>
              </w:rPr>
              <w:t xml:space="preserve">– Reducing </w:t>
            </w:r>
            <w:r w:rsidRPr="00FD02F8">
              <w:rPr>
                <w:rStyle w:val="FootnoteReference"/>
                <w:rFonts w:ascii="Arial" w:eastAsia="Times New Roman" w:hAnsi="Arial" w:cs="Arial"/>
                <w:lang w:eastAsia="en-GB"/>
              </w:rPr>
              <w:footnoteReference w:id="2"/>
            </w:r>
          </w:p>
        </w:tc>
        <w:tc>
          <w:tcPr>
            <w:tcW w:w="384" w:type="pct"/>
            <w:tcBorders>
              <w:top w:val="single" w:sz="8" w:space="0" w:color="auto"/>
              <w:left w:val="single" w:sz="8" w:space="0" w:color="auto"/>
              <w:bottom w:val="single" w:sz="8" w:space="0" w:color="auto"/>
              <w:right w:val="single" w:sz="8" w:space="0" w:color="auto"/>
            </w:tcBorders>
          </w:tcPr>
          <w:p w14:paraId="0E6C98CA" w14:textId="16350281" w:rsidR="00F36988" w:rsidRPr="00FD02F8" w:rsidRDefault="00F36988" w:rsidP="004405DF">
            <w:pPr>
              <w:spacing w:line="276" w:lineRule="auto"/>
              <w:textAlignment w:val="baseline"/>
              <w:rPr>
                <w:rFonts w:ascii="Arial" w:eastAsia="Times New Roman" w:hAnsi="Arial" w:cs="Arial"/>
                <w:lang w:eastAsia="en-GB"/>
              </w:rPr>
            </w:pPr>
            <w:r w:rsidRPr="00FD02F8">
              <w:rPr>
                <w:rFonts w:ascii="Arial" w:hAnsi="Arial" w:cs="Arial"/>
                <w:color w:val="000000"/>
              </w:rPr>
              <w:t>Strategic – Indirect influence</w:t>
            </w:r>
          </w:p>
        </w:tc>
        <w:tc>
          <w:tcPr>
            <w:tcW w:w="481" w:type="pct"/>
            <w:tcBorders>
              <w:top w:val="single" w:sz="8" w:space="0" w:color="auto"/>
              <w:left w:val="single" w:sz="8" w:space="0" w:color="auto"/>
              <w:bottom w:val="single" w:sz="8" w:space="0" w:color="auto"/>
              <w:right w:val="single" w:sz="8" w:space="0" w:color="auto"/>
            </w:tcBorders>
          </w:tcPr>
          <w:p w14:paraId="70413054" w14:textId="39D1BC6B" w:rsidR="00F36988" w:rsidRPr="00FD02F8" w:rsidRDefault="00A14730"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Baseline provided from 2007</w:t>
            </w:r>
            <w:r w:rsidR="00BD6D45" w:rsidRPr="00FD02F8">
              <w:rPr>
                <w:rFonts w:ascii="Arial" w:eastAsia="Times New Roman" w:hAnsi="Arial" w:cs="Arial"/>
                <w:lang w:eastAsia="en-GB"/>
              </w:rPr>
              <w:t xml:space="preserve"> </w:t>
            </w:r>
            <w:r w:rsidR="00564830" w:rsidRPr="00FD02F8">
              <w:rPr>
                <w:rFonts w:ascii="Arial" w:eastAsia="Times New Roman" w:hAnsi="Arial" w:cs="Arial"/>
                <w:lang w:eastAsia="en-GB"/>
              </w:rPr>
              <w:t>Scottish Poll</w:t>
            </w:r>
            <w:r w:rsidR="00457FE3" w:rsidRPr="00FD02F8">
              <w:rPr>
                <w:rFonts w:ascii="Arial" w:eastAsia="Times New Roman" w:hAnsi="Arial" w:cs="Arial"/>
                <w:lang w:eastAsia="en-GB"/>
              </w:rPr>
              <w:t xml:space="preserve">utant </w:t>
            </w:r>
            <w:r w:rsidR="00B62383" w:rsidRPr="00FD02F8">
              <w:rPr>
                <w:rFonts w:ascii="Arial" w:eastAsia="Times New Roman" w:hAnsi="Arial" w:cs="Arial"/>
                <w:lang w:eastAsia="en-GB"/>
              </w:rPr>
              <w:t>Release Inventory (</w:t>
            </w:r>
            <w:r w:rsidR="003E57F8" w:rsidRPr="00FD02F8">
              <w:rPr>
                <w:rFonts w:ascii="Arial" w:eastAsia="Times New Roman" w:hAnsi="Arial" w:cs="Arial"/>
                <w:lang w:eastAsia="en-GB"/>
              </w:rPr>
              <w:t>SPRI</w:t>
            </w:r>
            <w:r w:rsidR="00B62383" w:rsidRPr="00FD02F8">
              <w:rPr>
                <w:rFonts w:ascii="Arial" w:eastAsia="Times New Roman" w:hAnsi="Arial" w:cs="Arial"/>
                <w:lang w:eastAsia="en-GB"/>
              </w:rPr>
              <w:t>)</w:t>
            </w:r>
            <w:r w:rsidR="003E57F8" w:rsidRPr="00FD02F8">
              <w:rPr>
                <w:rFonts w:ascii="Arial" w:eastAsia="Times New Roman" w:hAnsi="Arial" w:cs="Arial"/>
                <w:lang w:eastAsia="en-GB"/>
              </w:rPr>
              <w:t xml:space="preserve"> </w:t>
            </w:r>
          </w:p>
        </w:tc>
        <w:tc>
          <w:tcPr>
            <w:tcW w:w="545" w:type="pct"/>
            <w:tcBorders>
              <w:top w:val="single" w:sz="8" w:space="0" w:color="auto"/>
              <w:left w:val="single" w:sz="8" w:space="0" w:color="auto"/>
              <w:bottom w:val="single" w:sz="8" w:space="0" w:color="auto"/>
              <w:right w:val="single" w:sz="8" w:space="0" w:color="auto"/>
            </w:tcBorders>
          </w:tcPr>
          <w:p w14:paraId="18FFB882" w14:textId="77777777" w:rsidR="00F36988" w:rsidRPr="00FD02F8" w:rsidRDefault="003173BC" w:rsidP="00347E7D">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P</w:t>
            </w:r>
            <w:r w:rsidR="00B77C51" w:rsidRPr="00FD02F8">
              <w:rPr>
                <w:rFonts w:ascii="Arial" w:eastAsia="Times New Roman" w:hAnsi="Arial" w:cs="Arial"/>
                <w:lang w:eastAsia="en-GB"/>
              </w:rPr>
              <w:t>ublish SPRI on time and in accordance with the Code of Practice</w:t>
            </w:r>
            <w:r w:rsidR="00B00DE3" w:rsidRPr="00FD02F8">
              <w:rPr>
                <w:rFonts w:ascii="Arial" w:eastAsia="Times New Roman" w:hAnsi="Arial" w:cs="Arial"/>
                <w:lang w:eastAsia="en-GB"/>
              </w:rPr>
              <w:t xml:space="preserve"> – SEPA responsibility</w:t>
            </w:r>
            <w:r w:rsidR="00B77C51" w:rsidRPr="00FD02F8">
              <w:rPr>
                <w:rFonts w:ascii="Arial" w:eastAsia="Times New Roman" w:hAnsi="Arial" w:cs="Arial"/>
                <w:lang w:eastAsia="en-GB"/>
              </w:rPr>
              <w:t>.</w:t>
            </w:r>
          </w:p>
          <w:p w14:paraId="743A0BCC" w14:textId="77777777" w:rsidR="00E175D0" w:rsidRPr="00FD02F8" w:rsidRDefault="00E175D0" w:rsidP="00347E7D">
            <w:pPr>
              <w:spacing w:line="276" w:lineRule="auto"/>
              <w:textAlignment w:val="baseline"/>
              <w:rPr>
                <w:rFonts w:ascii="Arial" w:eastAsia="Times New Roman" w:hAnsi="Arial" w:cs="Arial"/>
                <w:lang w:eastAsia="en-GB"/>
              </w:rPr>
            </w:pPr>
          </w:p>
          <w:p w14:paraId="0EC188E6" w14:textId="03E1351D" w:rsidR="00F36988" w:rsidRPr="00FD02F8" w:rsidRDefault="003173BC" w:rsidP="00347E7D">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Reduce annual greenhouse gas emissions </w:t>
            </w:r>
            <w:r w:rsidR="00B00DE3" w:rsidRPr="00FD02F8">
              <w:rPr>
                <w:rFonts w:ascii="Arial" w:eastAsia="Times New Roman" w:hAnsi="Arial" w:cs="Arial"/>
                <w:lang w:eastAsia="en-GB"/>
              </w:rPr>
              <w:t xml:space="preserve">– </w:t>
            </w:r>
            <w:r w:rsidR="00FC4962" w:rsidRPr="00FD02F8">
              <w:rPr>
                <w:rFonts w:ascii="Arial" w:eastAsia="Times New Roman" w:hAnsi="Arial" w:cs="Arial"/>
                <w:lang w:eastAsia="en-GB"/>
              </w:rPr>
              <w:t>N</w:t>
            </w:r>
            <w:r w:rsidR="00B00DE3" w:rsidRPr="00FD02F8">
              <w:rPr>
                <w:rFonts w:ascii="Arial" w:eastAsia="Times New Roman" w:hAnsi="Arial" w:cs="Arial"/>
                <w:lang w:eastAsia="en-GB"/>
              </w:rPr>
              <w:t xml:space="preserve">ational </w:t>
            </w:r>
            <w:r w:rsidR="00325869" w:rsidRPr="00FD02F8">
              <w:rPr>
                <w:rFonts w:ascii="Arial" w:eastAsia="Times New Roman" w:hAnsi="Arial" w:cs="Arial"/>
                <w:lang w:eastAsia="en-GB"/>
              </w:rPr>
              <w:t>outcome</w:t>
            </w:r>
            <w:r w:rsidR="00347E7D" w:rsidRPr="00FD02F8">
              <w:rPr>
                <w:rFonts w:ascii="Arial" w:eastAsia="Times New Roman" w:hAnsi="Arial" w:cs="Arial"/>
                <w:lang w:eastAsia="en-GB"/>
              </w:rPr>
              <w:t xml:space="preserve"> for Scotland,</w:t>
            </w:r>
            <w:r w:rsidR="00325869" w:rsidRPr="00FD02F8">
              <w:rPr>
                <w:rFonts w:ascii="Arial" w:eastAsia="Times New Roman" w:hAnsi="Arial" w:cs="Arial"/>
                <w:lang w:eastAsia="en-GB"/>
              </w:rPr>
              <w:t xml:space="preserve"> SEPA plays a contributing role</w:t>
            </w:r>
            <w:r w:rsidR="00B00DE3" w:rsidRPr="00FD02F8">
              <w:rPr>
                <w:rFonts w:ascii="Arial" w:eastAsia="Times New Roman" w:hAnsi="Arial" w:cs="Arial"/>
                <w:lang w:eastAsia="en-GB"/>
              </w:rPr>
              <w:t xml:space="preserve">. </w:t>
            </w:r>
          </w:p>
        </w:tc>
        <w:tc>
          <w:tcPr>
            <w:tcW w:w="417" w:type="pct"/>
            <w:tcBorders>
              <w:top w:val="single" w:sz="8" w:space="0" w:color="auto"/>
              <w:left w:val="single" w:sz="8" w:space="0" w:color="auto"/>
              <w:bottom w:val="single" w:sz="8" w:space="0" w:color="auto"/>
              <w:right w:val="single" w:sz="8" w:space="0" w:color="auto"/>
            </w:tcBorders>
          </w:tcPr>
          <w:p w14:paraId="7235DE29" w14:textId="2E41723F" w:rsidR="002D30C8" w:rsidRPr="00FD02F8" w:rsidRDefault="00651A45" w:rsidP="004405DF">
            <w:pPr>
              <w:spacing w:line="276" w:lineRule="auto"/>
              <w:textAlignment w:val="baseline"/>
              <w:rPr>
                <w:rFonts w:ascii="Arial" w:eastAsia="Times New Roman" w:hAnsi="Arial" w:cs="Arial"/>
                <w:lang w:eastAsia="en-GB"/>
              </w:rPr>
            </w:pPr>
            <w:hyperlink r:id="rId36" w:history="1">
              <w:r w:rsidRPr="00FD02F8">
                <w:rPr>
                  <w:rStyle w:val="Hyperlink"/>
                </w:rPr>
                <w:t>2024 SPRI data</w:t>
              </w:r>
            </w:hyperlink>
            <w:r w:rsidRPr="00FD02F8">
              <w:t xml:space="preserve"> </w:t>
            </w:r>
            <w:r w:rsidRPr="00FD02F8">
              <w:rPr>
                <w:rFonts w:ascii="Arial" w:eastAsia="Times New Roman" w:hAnsi="Arial" w:cs="Arial"/>
                <w:lang w:eastAsia="en-GB"/>
              </w:rPr>
              <w:t xml:space="preserve">published on time on 30 September 2025. </w:t>
            </w:r>
          </w:p>
          <w:p w14:paraId="73203A82" w14:textId="77777777" w:rsidR="00651A45" w:rsidRPr="00FD02F8" w:rsidRDefault="00651A45" w:rsidP="004405DF">
            <w:pPr>
              <w:spacing w:line="276" w:lineRule="auto"/>
              <w:textAlignment w:val="baseline"/>
              <w:rPr>
                <w:rFonts w:ascii="Arial" w:eastAsia="Times New Roman" w:hAnsi="Arial" w:cs="Arial"/>
                <w:lang w:eastAsia="en-GB"/>
              </w:rPr>
            </w:pPr>
          </w:p>
          <w:p w14:paraId="59C02655" w14:textId="47A4DCC8" w:rsidR="002D30C8" w:rsidRPr="00FD02F8" w:rsidRDefault="001D2937"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3.85% </w:t>
            </w:r>
            <w:r w:rsidR="00A5497B" w:rsidRPr="00FD02F8">
              <w:rPr>
                <w:rFonts w:ascii="Arial" w:eastAsia="Times New Roman" w:hAnsi="Arial" w:cs="Arial"/>
                <w:lang w:eastAsia="en-GB"/>
              </w:rPr>
              <w:t>reduction in greenhouse gas emissions.</w:t>
            </w:r>
          </w:p>
          <w:p w14:paraId="71BC2245" w14:textId="77777777" w:rsidR="002D30C8" w:rsidRPr="00FD02F8" w:rsidRDefault="002D30C8" w:rsidP="004405DF">
            <w:pPr>
              <w:spacing w:line="276" w:lineRule="auto"/>
              <w:textAlignment w:val="baseline"/>
              <w:rPr>
                <w:rFonts w:ascii="Arial" w:eastAsia="Times New Roman" w:hAnsi="Arial" w:cs="Arial"/>
                <w:lang w:eastAsia="en-GB"/>
              </w:rPr>
            </w:pPr>
          </w:p>
          <w:p w14:paraId="30A86BA0" w14:textId="2E588337" w:rsidR="00F36988" w:rsidRPr="00FD02F8" w:rsidRDefault="00F36988" w:rsidP="004405DF">
            <w:pPr>
              <w:spacing w:line="276" w:lineRule="auto"/>
              <w:textAlignment w:val="baseline"/>
              <w:rPr>
                <w:rFonts w:ascii="Arial" w:eastAsia="Times New Roman" w:hAnsi="Arial" w:cs="Arial"/>
                <w:lang w:eastAsia="en-GB"/>
              </w:rPr>
            </w:pPr>
          </w:p>
        </w:tc>
        <w:tc>
          <w:tcPr>
            <w:tcW w:w="385" w:type="pct"/>
            <w:tcBorders>
              <w:top w:val="single" w:sz="8" w:space="0" w:color="auto"/>
              <w:left w:val="single" w:sz="8" w:space="0" w:color="auto"/>
              <w:bottom w:val="single" w:sz="8" w:space="0" w:color="auto"/>
              <w:right w:val="single" w:sz="8" w:space="0" w:color="auto"/>
            </w:tcBorders>
          </w:tcPr>
          <w:p w14:paraId="010E68E0" w14:textId="70123A06" w:rsidR="00F36988" w:rsidRPr="00FD02F8" w:rsidRDefault="00E827F9"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Achieved</w:t>
            </w:r>
          </w:p>
        </w:tc>
        <w:tc>
          <w:tcPr>
            <w:tcW w:w="1026" w:type="pct"/>
            <w:tcBorders>
              <w:top w:val="single" w:sz="8" w:space="0" w:color="auto"/>
              <w:left w:val="single" w:sz="8" w:space="0" w:color="auto"/>
              <w:bottom w:val="single" w:sz="8" w:space="0" w:color="auto"/>
              <w:right w:val="single" w:sz="8" w:space="0" w:color="auto"/>
            </w:tcBorders>
          </w:tcPr>
          <w:p w14:paraId="0EB8F414" w14:textId="7B8A8ACF" w:rsidR="00733A83" w:rsidRPr="00FD02F8" w:rsidRDefault="00FD7F27" w:rsidP="00733A83">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We published SPRI data on time and in accordance with the Code of Practice</w:t>
            </w:r>
            <w:r w:rsidR="008B26B1" w:rsidRPr="00FD02F8">
              <w:rPr>
                <w:rFonts w:ascii="Arial" w:eastAsia="Times New Roman" w:hAnsi="Arial" w:cs="Arial"/>
                <w:lang w:eastAsia="en-GB"/>
              </w:rPr>
              <w:t>.</w:t>
            </w:r>
            <w:r w:rsidRPr="00FD02F8">
              <w:rPr>
                <w:rFonts w:ascii="Arial" w:eastAsia="Times New Roman" w:hAnsi="Arial" w:cs="Arial"/>
                <w:lang w:eastAsia="en-GB"/>
              </w:rPr>
              <w:t xml:space="preserve"> </w:t>
            </w:r>
            <w:r w:rsidR="009065AC" w:rsidRPr="00FD02F8">
              <w:rPr>
                <w:rFonts w:ascii="Arial" w:eastAsia="Times New Roman" w:hAnsi="Arial" w:cs="Arial"/>
                <w:lang w:eastAsia="en-GB"/>
              </w:rPr>
              <w:t xml:space="preserve">Greenhouse gas emissions from all SEPA-regulated industrial facilities fell by 3.85% </w:t>
            </w:r>
            <w:r w:rsidR="002308F0" w:rsidRPr="00FD02F8">
              <w:rPr>
                <w:rFonts w:ascii="Arial" w:eastAsia="Times New Roman" w:hAnsi="Arial" w:cs="Arial"/>
                <w:lang w:eastAsia="en-GB"/>
              </w:rPr>
              <w:t>(</w:t>
            </w:r>
            <w:r w:rsidR="008F6795" w:rsidRPr="00FD02F8">
              <w:t>0.37 megatonnes carbon dioxide equivalent)</w:t>
            </w:r>
            <w:r w:rsidR="006658EA" w:rsidRPr="00FD02F8">
              <w:t xml:space="preserve"> (CO</w:t>
            </w:r>
            <w:r w:rsidR="006658EA" w:rsidRPr="00FD02F8">
              <w:rPr>
                <w:vertAlign w:val="subscript"/>
              </w:rPr>
              <w:t>2</w:t>
            </w:r>
            <w:r w:rsidR="006658EA" w:rsidRPr="00FD02F8">
              <w:t>e</w:t>
            </w:r>
            <w:r w:rsidR="008F6795" w:rsidRPr="00FD02F8">
              <w:t xml:space="preserve">), </w:t>
            </w:r>
            <w:r w:rsidR="009065AC" w:rsidRPr="00FD02F8">
              <w:rPr>
                <w:rFonts w:ascii="Arial" w:eastAsia="Times New Roman" w:hAnsi="Arial" w:cs="Arial"/>
                <w:lang w:eastAsia="en-GB"/>
              </w:rPr>
              <w:t>compared with 2023</w:t>
            </w:r>
            <w:r w:rsidR="00860C3D" w:rsidRPr="00FD02F8">
              <w:rPr>
                <w:rFonts w:ascii="Arial" w:eastAsia="Times New Roman" w:hAnsi="Arial" w:cs="Arial"/>
                <w:lang w:eastAsia="en-GB"/>
              </w:rPr>
              <w:t>. This is</w:t>
            </w:r>
            <w:r w:rsidR="009065AC" w:rsidRPr="00FD02F8">
              <w:rPr>
                <w:rFonts w:ascii="Arial" w:eastAsia="Times New Roman" w:hAnsi="Arial" w:cs="Arial"/>
                <w:lang w:eastAsia="en-GB"/>
              </w:rPr>
              <w:t xml:space="preserve"> </w:t>
            </w:r>
            <w:r w:rsidR="006658EA" w:rsidRPr="00FD02F8">
              <w:rPr>
                <w:rFonts w:ascii="Arial" w:eastAsia="Times New Roman" w:hAnsi="Arial" w:cs="Arial"/>
                <w:lang w:eastAsia="en-GB"/>
              </w:rPr>
              <w:t>continuing a long-term downward trend</w:t>
            </w:r>
            <w:r w:rsidR="00167C10" w:rsidRPr="00FD02F8">
              <w:rPr>
                <w:rFonts w:ascii="Arial" w:eastAsia="Times New Roman" w:hAnsi="Arial" w:cs="Arial"/>
                <w:lang w:eastAsia="en-GB"/>
              </w:rPr>
              <w:t xml:space="preserve"> overall since 2007</w:t>
            </w:r>
            <w:r w:rsidR="009065AC" w:rsidRPr="00FD02F8">
              <w:rPr>
                <w:rFonts w:ascii="Arial" w:eastAsia="Times New Roman" w:hAnsi="Arial" w:cs="Arial"/>
                <w:lang w:eastAsia="en-GB"/>
              </w:rPr>
              <w:t>.</w:t>
            </w:r>
            <w:r w:rsidR="00733A83" w:rsidRPr="00FD02F8">
              <w:rPr>
                <w:rFonts w:ascii="Arial" w:eastAsia="Times New Roman" w:hAnsi="Arial" w:cs="Arial"/>
                <w:lang w:eastAsia="en-GB"/>
              </w:rPr>
              <w:t xml:space="preserve"> </w:t>
            </w:r>
          </w:p>
          <w:p w14:paraId="3B8A2D8D" w14:textId="77777777" w:rsidR="001A2583" w:rsidRPr="00FD02F8" w:rsidRDefault="001A2583" w:rsidP="004405DF">
            <w:pPr>
              <w:spacing w:line="276" w:lineRule="auto"/>
              <w:textAlignment w:val="baseline"/>
              <w:rPr>
                <w:rFonts w:ascii="Arial" w:eastAsia="Times New Roman" w:hAnsi="Arial" w:cs="Arial"/>
                <w:lang w:eastAsia="en-GB"/>
              </w:rPr>
            </w:pPr>
          </w:p>
          <w:p w14:paraId="712690E1" w14:textId="70FA0811" w:rsidR="00F36988" w:rsidRPr="00FD02F8" w:rsidRDefault="009065A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The energy sector remained the highest emitting sector, with 38.6% of total industrial greenhouse gas emissions.</w:t>
            </w:r>
            <w:r w:rsidR="00D662FA" w:rsidRPr="00FD02F8">
              <w:rPr>
                <w:rFonts w:ascii="Arial" w:eastAsia="Times New Roman" w:hAnsi="Arial" w:cs="Arial"/>
                <w:lang w:eastAsia="en-GB"/>
              </w:rPr>
              <w:t xml:space="preserve"> However, energy sector emissions fell by 7.4% from 2023 to 2024 </w:t>
            </w:r>
            <w:bookmarkStart w:id="17" w:name="_Int_HfNDMHHb"/>
            <w:r w:rsidR="00D662FA" w:rsidRPr="00FD02F8">
              <w:rPr>
                <w:rFonts w:ascii="Arial" w:eastAsia="Times New Roman" w:hAnsi="Arial" w:cs="Arial"/>
                <w:lang w:eastAsia="en-GB"/>
              </w:rPr>
              <w:t>largely due to</w:t>
            </w:r>
            <w:bookmarkEnd w:id="17"/>
            <w:r w:rsidR="00D662FA" w:rsidRPr="00FD02F8">
              <w:rPr>
                <w:rFonts w:ascii="Arial" w:eastAsia="Times New Roman" w:hAnsi="Arial" w:cs="Arial"/>
                <w:lang w:eastAsia="en-GB"/>
              </w:rPr>
              <w:t xml:space="preserve"> changes in production outputs.</w:t>
            </w:r>
          </w:p>
        </w:tc>
        <w:tc>
          <w:tcPr>
            <w:tcW w:w="320" w:type="pct"/>
            <w:tcBorders>
              <w:top w:val="single" w:sz="8" w:space="0" w:color="auto"/>
              <w:left w:val="single" w:sz="8" w:space="0" w:color="auto"/>
              <w:bottom w:val="single" w:sz="8" w:space="0" w:color="auto"/>
              <w:right w:val="single" w:sz="8" w:space="0" w:color="auto"/>
            </w:tcBorders>
          </w:tcPr>
          <w:p w14:paraId="79D83052" w14:textId="2D201E50" w:rsidR="00F36988" w:rsidRPr="00FD02F8" w:rsidRDefault="00F36988" w:rsidP="004405DF">
            <w:pPr>
              <w:spacing w:line="276" w:lineRule="auto"/>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Achieved</w:t>
            </w:r>
          </w:p>
        </w:tc>
      </w:tr>
      <w:tr w:rsidR="00B2335A" w:rsidRPr="00FD02F8" w14:paraId="37736DF7" w14:textId="2FB98096"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4ECC2327" w14:textId="373FCCF1"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lastRenderedPageBreak/>
              <w:t>NZ02</w:t>
            </w:r>
          </w:p>
        </w:tc>
        <w:tc>
          <w:tcPr>
            <w:tcW w:w="417" w:type="pct"/>
            <w:tcBorders>
              <w:top w:val="single" w:sz="8" w:space="0" w:color="auto"/>
              <w:left w:val="single" w:sz="8" w:space="0" w:color="auto"/>
              <w:bottom w:val="single" w:sz="8" w:space="0" w:color="auto"/>
              <w:right w:val="single" w:sz="8" w:space="0" w:color="auto"/>
            </w:tcBorders>
          </w:tcPr>
          <w:p w14:paraId="086D6CFB" w14:textId="77777777" w:rsidR="009A64BC" w:rsidRPr="00FD02F8" w:rsidRDefault="009A64BC" w:rsidP="004405DF">
            <w:pPr>
              <w:tabs>
                <w:tab w:val="left" w:pos="3660"/>
              </w:tabs>
              <w:spacing w:line="276" w:lineRule="auto"/>
              <w:textAlignment w:val="baseline"/>
              <w:rPr>
                <w:rFonts w:ascii="Arial" w:eastAsia="Times New Roman" w:hAnsi="Arial" w:cs="Arial"/>
                <w:lang w:eastAsia="en-GB"/>
              </w:rPr>
            </w:pPr>
            <w:r w:rsidRPr="00FD02F8">
              <w:rPr>
                <w:rFonts w:ascii="Arial" w:hAnsi="Arial" w:cs="Arial"/>
              </w:rPr>
              <w:t>Net Zero</w:t>
            </w:r>
          </w:p>
        </w:tc>
        <w:tc>
          <w:tcPr>
            <w:tcW w:w="802" w:type="pct"/>
            <w:tcBorders>
              <w:top w:val="single" w:sz="8" w:space="0" w:color="auto"/>
              <w:left w:val="single" w:sz="8" w:space="0" w:color="auto"/>
              <w:bottom w:val="single" w:sz="8" w:space="0" w:color="auto"/>
              <w:right w:val="single" w:sz="8" w:space="0" w:color="auto"/>
            </w:tcBorders>
          </w:tcPr>
          <w:p w14:paraId="715465A6" w14:textId="77777777" w:rsidR="009A64BC" w:rsidRPr="00FD02F8" w:rsidRDefault="009A64BC" w:rsidP="004405DF">
            <w:pPr>
              <w:tabs>
                <w:tab w:val="left" w:pos="3660"/>
              </w:tabs>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Annual reports of </w:t>
            </w:r>
            <w:hyperlink r:id="rId37" w:history="1">
              <w:r w:rsidRPr="00FD02F8">
                <w:rPr>
                  <w:rFonts w:ascii="Arial" w:eastAsia="Times New Roman" w:hAnsi="Arial" w:cs="Arial"/>
                  <w:color w:val="016574"/>
                  <w:u w:val="single"/>
                </w:rPr>
                <w:t>greenhouse gas emission by SEPA</w:t>
              </w:r>
            </w:hyperlink>
            <w:r w:rsidRPr="00FD02F8">
              <w:rPr>
                <w:rFonts w:ascii="Arial" w:eastAsia="Times New Roman" w:hAnsi="Arial" w:cs="Arial"/>
                <w:color w:val="000000"/>
              </w:rPr>
              <w:t xml:space="preserve"> </w:t>
            </w:r>
            <w:r w:rsidRPr="00FD02F8">
              <w:rPr>
                <w:rFonts w:ascii="Arial" w:eastAsia="Times New Roman" w:hAnsi="Arial" w:cs="Arial"/>
                <w:lang w:eastAsia="en-GB"/>
              </w:rPr>
              <w:t>- Reducing</w:t>
            </w:r>
          </w:p>
        </w:tc>
        <w:tc>
          <w:tcPr>
            <w:tcW w:w="384" w:type="pct"/>
            <w:tcBorders>
              <w:top w:val="single" w:sz="8" w:space="0" w:color="auto"/>
              <w:left w:val="single" w:sz="8" w:space="0" w:color="auto"/>
              <w:bottom w:val="single" w:sz="8" w:space="0" w:color="auto"/>
              <w:right w:val="single" w:sz="8" w:space="0" w:color="auto"/>
            </w:tcBorders>
          </w:tcPr>
          <w:p w14:paraId="37E81DF2" w14:textId="2AF72DA4"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083BB7AE" w14:textId="3CB665BC"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1742 tCO2e in 2022/23</w:t>
            </w:r>
          </w:p>
        </w:tc>
        <w:tc>
          <w:tcPr>
            <w:tcW w:w="545" w:type="pct"/>
            <w:tcBorders>
              <w:top w:val="single" w:sz="8" w:space="0" w:color="auto"/>
              <w:left w:val="single" w:sz="8" w:space="0" w:color="auto"/>
              <w:bottom w:val="single" w:sz="8" w:space="0" w:color="auto"/>
              <w:right w:val="single" w:sz="8" w:space="0" w:color="auto"/>
            </w:tcBorders>
          </w:tcPr>
          <w:p w14:paraId="38264DEE" w14:textId="616E84BB" w:rsidR="009A64BC" w:rsidRPr="00FD02F8" w:rsidRDefault="009A64BC" w:rsidP="004405DF">
            <w:pPr>
              <w:spacing w:line="276" w:lineRule="auto"/>
              <w:textAlignment w:val="baseline"/>
              <w:rPr>
                <w:rFonts w:ascii="Arial" w:eastAsia="Times New Roman" w:hAnsi="Arial" w:cs="Arial"/>
                <w:lang w:eastAsia="en-GB"/>
              </w:rPr>
            </w:pPr>
            <w:r w:rsidRPr="00FD02F8">
              <w:t>Reduce direct emissions by 15% by March 2026</w:t>
            </w:r>
            <w:r w:rsidR="00EE63E5" w:rsidRPr="00FD02F8">
              <w:t xml:space="preserve"> - </w:t>
            </w:r>
            <w:r w:rsidRPr="00FD02F8">
              <w:t>Target: 1481 tCO2e</w:t>
            </w:r>
            <w:r w:rsidR="00EE63E5" w:rsidRPr="00FD02F8">
              <w:t>.</w:t>
            </w:r>
          </w:p>
        </w:tc>
        <w:tc>
          <w:tcPr>
            <w:tcW w:w="417" w:type="pct"/>
            <w:tcBorders>
              <w:top w:val="single" w:sz="8" w:space="0" w:color="auto"/>
              <w:left w:val="single" w:sz="8" w:space="0" w:color="auto"/>
              <w:bottom w:val="single" w:sz="8" w:space="0" w:color="auto"/>
              <w:right w:val="single" w:sz="8" w:space="0" w:color="auto"/>
            </w:tcBorders>
          </w:tcPr>
          <w:p w14:paraId="4DCC7363" w14:textId="53A79C18" w:rsidR="009A64BC" w:rsidRPr="00FD02F8" w:rsidRDefault="00C278B8" w:rsidP="004405DF">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873.15</w:t>
            </w:r>
            <w:r w:rsidR="00A25A64" w:rsidRPr="00FD02F8">
              <w:rPr>
                <w:rFonts w:ascii="Arial" w:eastAsia="Times New Roman" w:hAnsi="Arial" w:cs="Arial"/>
                <w:lang w:eastAsia="en-GB"/>
              </w:rPr>
              <w:t xml:space="preserve"> tCO2e</w:t>
            </w:r>
          </w:p>
        </w:tc>
        <w:tc>
          <w:tcPr>
            <w:tcW w:w="385" w:type="pct"/>
            <w:tcBorders>
              <w:top w:val="single" w:sz="8" w:space="0" w:color="auto"/>
              <w:left w:val="single" w:sz="8" w:space="0" w:color="auto"/>
              <w:bottom w:val="single" w:sz="8" w:space="0" w:color="auto"/>
              <w:right w:val="single" w:sz="8" w:space="0" w:color="auto"/>
            </w:tcBorders>
          </w:tcPr>
          <w:p w14:paraId="00CE253F" w14:textId="3209C231" w:rsidR="009A64BC" w:rsidRPr="00FD02F8" w:rsidRDefault="00593817" w:rsidP="004405DF">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Partially Achieving</w:t>
            </w:r>
          </w:p>
        </w:tc>
        <w:tc>
          <w:tcPr>
            <w:tcW w:w="1026" w:type="pct"/>
            <w:tcBorders>
              <w:top w:val="single" w:sz="8" w:space="0" w:color="auto"/>
              <w:left w:val="single" w:sz="8" w:space="0" w:color="auto"/>
              <w:bottom w:val="single" w:sz="8" w:space="0" w:color="auto"/>
              <w:right w:val="single" w:sz="8" w:space="0" w:color="auto"/>
            </w:tcBorders>
          </w:tcPr>
          <w:p w14:paraId="5E14BF57" w14:textId="167603FE" w:rsidR="008D0A48" w:rsidRPr="00FD02F8" w:rsidRDefault="008D0A48" w:rsidP="008D0A48">
            <w:pPr>
              <w:spacing w:line="276" w:lineRule="auto"/>
              <w:jc w:val="both"/>
              <w:textAlignment w:val="baseline"/>
              <w:rPr>
                <w:rFonts w:ascii="Arial" w:eastAsia="Times New Roman" w:hAnsi="Arial" w:cs="Arial"/>
                <w:lang w:eastAsia="en-GB"/>
              </w:rPr>
            </w:pPr>
            <w:r w:rsidRPr="00FD02F8">
              <w:rPr>
                <w:rFonts w:ascii="Arial" w:eastAsia="Times New Roman" w:hAnsi="Arial" w:cs="Arial"/>
                <w:lang w:eastAsia="en-GB"/>
              </w:rPr>
              <w:t xml:space="preserve">Progress against this KPI is reported one quarter in arrears. </w:t>
            </w:r>
            <w:r w:rsidR="00CC7BA4" w:rsidRPr="00FD02F8">
              <w:rPr>
                <w:rFonts w:ascii="Arial" w:eastAsia="Times New Roman" w:hAnsi="Arial" w:cs="Arial"/>
                <w:lang w:eastAsia="en-GB"/>
              </w:rPr>
              <w:t>Data</w:t>
            </w:r>
            <w:r w:rsidRPr="00FD02F8">
              <w:rPr>
                <w:rFonts w:ascii="Arial" w:eastAsia="Times New Roman" w:hAnsi="Arial" w:cs="Arial"/>
                <w:lang w:eastAsia="en-GB"/>
              </w:rPr>
              <w:t xml:space="preserve"> is for Q1 and Q2 of 2025/26 (April to September 2025). </w:t>
            </w:r>
          </w:p>
          <w:p w14:paraId="2B2F5EA6" w14:textId="021E774A" w:rsidR="007D71AE" w:rsidRPr="00FD02F8" w:rsidRDefault="008D0A48" w:rsidP="008D0A48">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Total emissions were 873.15</w:t>
            </w:r>
            <w:r w:rsidR="001A5709" w:rsidRPr="00FD02F8">
              <w:rPr>
                <w:rFonts w:ascii="Arial" w:eastAsia="Times New Roman" w:hAnsi="Arial" w:cs="Arial"/>
                <w:lang w:eastAsia="en-GB"/>
              </w:rPr>
              <w:t xml:space="preserve"> </w:t>
            </w:r>
            <w:r w:rsidR="00CC7BA4" w:rsidRPr="00FD02F8">
              <w:rPr>
                <w:rFonts w:ascii="Arial" w:eastAsia="Times New Roman" w:hAnsi="Arial" w:cs="Arial"/>
                <w:lang w:eastAsia="en-GB"/>
              </w:rPr>
              <w:t>tCO2e</w:t>
            </w:r>
            <w:r w:rsidRPr="00FD02F8">
              <w:rPr>
                <w:rFonts w:ascii="Arial" w:eastAsia="Times New Roman" w:hAnsi="Arial" w:cs="Arial"/>
                <w:lang w:eastAsia="en-GB"/>
              </w:rPr>
              <w:t xml:space="preserve">.  This is almost </w:t>
            </w:r>
            <w:r w:rsidR="007D71AE" w:rsidRPr="00FD02F8">
              <w:rPr>
                <w:rFonts w:ascii="Arial" w:eastAsia="Times New Roman" w:hAnsi="Arial" w:cs="Arial"/>
                <w:lang w:eastAsia="en-GB"/>
              </w:rPr>
              <w:t>the same</w:t>
            </w:r>
            <w:r w:rsidRPr="00FD02F8">
              <w:rPr>
                <w:rFonts w:ascii="Arial" w:eastAsia="Times New Roman" w:hAnsi="Arial" w:cs="Arial"/>
                <w:lang w:eastAsia="en-GB"/>
              </w:rPr>
              <w:t xml:space="preserve"> as our emissions in the </w:t>
            </w:r>
            <w:r w:rsidR="007D71AE" w:rsidRPr="00FD02F8">
              <w:rPr>
                <w:rFonts w:ascii="Arial" w:eastAsia="Times New Roman" w:hAnsi="Arial" w:cs="Arial"/>
                <w:lang w:eastAsia="en-GB"/>
              </w:rPr>
              <w:t>equivalent</w:t>
            </w:r>
            <w:r w:rsidRPr="00FD02F8">
              <w:rPr>
                <w:rFonts w:ascii="Arial" w:eastAsia="Times New Roman" w:hAnsi="Arial" w:cs="Arial"/>
                <w:lang w:eastAsia="en-GB"/>
              </w:rPr>
              <w:t xml:space="preserve"> period of our baseline year (2022/23). </w:t>
            </w:r>
          </w:p>
          <w:p w14:paraId="142A9AEB" w14:textId="77777777" w:rsidR="007D71AE" w:rsidRPr="00FD02F8" w:rsidRDefault="007D71AE" w:rsidP="008D0A48">
            <w:pPr>
              <w:spacing w:line="276" w:lineRule="auto"/>
              <w:textAlignment w:val="baseline"/>
              <w:rPr>
                <w:rFonts w:ascii="Arial" w:eastAsia="Times New Roman" w:hAnsi="Arial" w:cs="Arial"/>
                <w:lang w:eastAsia="en-GB"/>
              </w:rPr>
            </w:pPr>
          </w:p>
          <w:p w14:paraId="76E88846" w14:textId="5C725163" w:rsidR="00885707" w:rsidRPr="00FD02F8" w:rsidRDefault="008D0A48" w:rsidP="008D0A48">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The </w:t>
            </w:r>
            <w:r w:rsidR="00C231F0" w:rsidRPr="00FD02F8">
              <w:rPr>
                <w:rFonts w:ascii="Arial" w:eastAsia="Times New Roman" w:hAnsi="Arial" w:cs="Arial"/>
                <w:lang w:eastAsia="en-GB"/>
              </w:rPr>
              <w:t>result</w:t>
            </w:r>
            <w:r w:rsidRPr="00FD02F8">
              <w:rPr>
                <w:rFonts w:ascii="Arial" w:eastAsia="Times New Roman" w:hAnsi="Arial" w:cs="Arial"/>
                <w:lang w:eastAsia="en-GB"/>
              </w:rPr>
              <w:t xml:space="preserve"> is almost entirely due to a</w:t>
            </w:r>
            <w:r w:rsidR="006A5A6B" w:rsidRPr="00FD02F8">
              <w:rPr>
                <w:rFonts w:ascii="Arial" w:eastAsia="Times New Roman" w:hAnsi="Arial" w:cs="Arial"/>
                <w:lang w:eastAsia="en-GB"/>
              </w:rPr>
              <w:t xml:space="preserve"> significant</w:t>
            </w:r>
            <w:r w:rsidRPr="00FD02F8">
              <w:rPr>
                <w:rFonts w:ascii="Arial" w:eastAsia="Times New Roman" w:hAnsi="Arial" w:cs="Arial"/>
                <w:lang w:eastAsia="en-GB"/>
              </w:rPr>
              <w:t xml:space="preserve"> increase (by 217%) in emissions from our marine survey vessel</w:t>
            </w:r>
            <w:r w:rsidR="006A5A6B" w:rsidRPr="00FD02F8">
              <w:rPr>
                <w:rFonts w:ascii="Arial" w:eastAsia="Times New Roman" w:hAnsi="Arial" w:cs="Arial"/>
                <w:lang w:eastAsia="en-GB"/>
              </w:rPr>
              <w:t>, the Sir John Murray</w:t>
            </w:r>
            <w:r w:rsidR="00D35396" w:rsidRPr="00FD02F8">
              <w:rPr>
                <w:rFonts w:ascii="Arial" w:eastAsia="Times New Roman" w:hAnsi="Arial" w:cs="Arial"/>
                <w:lang w:eastAsia="en-GB"/>
              </w:rPr>
              <w:t xml:space="preserve"> (SJM)</w:t>
            </w:r>
            <w:r w:rsidR="006A5A6B" w:rsidRPr="00FD02F8">
              <w:rPr>
                <w:rFonts w:ascii="Arial" w:eastAsia="Times New Roman" w:hAnsi="Arial" w:cs="Arial"/>
                <w:lang w:eastAsia="en-GB"/>
              </w:rPr>
              <w:t>,</w:t>
            </w:r>
            <w:r w:rsidRPr="00FD02F8">
              <w:rPr>
                <w:rFonts w:ascii="Arial" w:eastAsia="Times New Roman" w:hAnsi="Arial" w:cs="Arial"/>
                <w:lang w:eastAsia="en-GB"/>
              </w:rPr>
              <w:t xml:space="preserve"> in the same period of our baseline year</w:t>
            </w:r>
            <w:r w:rsidR="00CB11E9" w:rsidRPr="00FD02F8">
              <w:rPr>
                <w:rFonts w:ascii="Arial" w:eastAsia="Times New Roman" w:hAnsi="Arial" w:cs="Arial"/>
                <w:lang w:eastAsia="en-GB"/>
              </w:rPr>
              <w:t xml:space="preserve"> and</w:t>
            </w:r>
            <w:r w:rsidRPr="00FD02F8">
              <w:rPr>
                <w:rFonts w:ascii="Arial" w:eastAsia="Times New Roman" w:hAnsi="Arial" w:cs="Arial"/>
                <w:lang w:eastAsia="en-GB"/>
              </w:rPr>
              <w:t xml:space="preserve"> masks positive performance in other areas.  </w:t>
            </w:r>
          </w:p>
          <w:p w14:paraId="6D4DCB04" w14:textId="77777777" w:rsidR="00885707" w:rsidRPr="00FD02F8" w:rsidRDefault="00885707" w:rsidP="008D0A48">
            <w:pPr>
              <w:spacing w:line="276" w:lineRule="auto"/>
              <w:textAlignment w:val="baseline"/>
              <w:rPr>
                <w:rFonts w:ascii="Arial" w:eastAsia="Times New Roman" w:hAnsi="Arial" w:cs="Arial"/>
                <w:lang w:eastAsia="en-GB"/>
              </w:rPr>
            </w:pPr>
          </w:p>
          <w:p w14:paraId="71FF45D5" w14:textId="39899530" w:rsidR="009A64BC" w:rsidRPr="00FD02F8" w:rsidRDefault="008D0A48" w:rsidP="008D0A48">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Emissions from workspaces are down by more than 20% and from travel (</w:t>
            </w:r>
            <w:r w:rsidR="00CB11E9" w:rsidRPr="00FD02F8">
              <w:rPr>
                <w:rFonts w:ascii="Arial" w:eastAsia="Times New Roman" w:hAnsi="Arial" w:cs="Arial"/>
                <w:lang w:eastAsia="en-GB"/>
              </w:rPr>
              <w:t>excluding</w:t>
            </w:r>
            <w:r w:rsidRPr="00FD02F8">
              <w:rPr>
                <w:rFonts w:ascii="Arial" w:eastAsia="Times New Roman" w:hAnsi="Arial" w:cs="Arial"/>
                <w:lang w:eastAsia="en-GB"/>
              </w:rPr>
              <w:t xml:space="preserve"> SJM) by more than 8.5% in the same period of our baseline year</w:t>
            </w:r>
            <w:r w:rsidR="00361F66">
              <w:rPr>
                <w:rFonts w:ascii="Arial" w:eastAsia="Times New Roman" w:hAnsi="Arial" w:cs="Arial"/>
                <w:lang w:eastAsia="en-GB"/>
              </w:rPr>
              <w:t xml:space="preserve"> 2022/23</w:t>
            </w:r>
            <w:r w:rsidRPr="00FD02F8">
              <w:rPr>
                <w:rFonts w:ascii="Arial" w:eastAsia="Times New Roman" w:hAnsi="Arial" w:cs="Arial"/>
                <w:lang w:eastAsia="en-GB"/>
              </w:rPr>
              <w:t>.</w:t>
            </w:r>
          </w:p>
        </w:tc>
        <w:tc>
          <w:tcPr>
            <w:tcW w:w="320" w:type="pct"/>
            <w:tcBorders>
              <w:top w:val="single" w:sz="8" w:space="0" w:color="auto"/>
              <w:left w:val="single" w:sz="8" w:space="0" w:color="auto"/>
              <w:bottom w:val="single" w:sz="8" w:space="0" w:color="auto"/>
              <w:right w:val="single" w:sz="8" w:space="0" w:color="auto"/>
            </w:tcBorders>
          </w:tcPr>
          <w:p w14:paraId="7A86D527" w14:textId="1BA673DE" w:rsidR="009A64BC" w:rsidRPr="00FD02F8" w:rsidRDefault="00421FC4" w:rsidP="004405DF">
            <w:pPr>
              <w:spacing w:line="276" w:lineRule="auto"/>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Parti</w:t>
            </w:r>
            <w:r w:rsidR="00593817" w:rsidRPr="00FD02F8">
              <w:rPr>
                <w:rFonts w:ascii="Arial" w:eastAsia="Times New Roman" w:hAnsi="Arial" w:cs="Arial"/>
                <w:lang w:eastAsia="en-GB"/>
              </w:rPr>
              <w:t>ally Achieved</w:t>
            </w:r>
          </w:p>
        </w:tc>
      </w:tr>
      <w:tr w:rsidR="00B2335A" w:rsidRPr="00FD02F8" w14:paraId="47827F64"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73A5C503" w14:textId="255CEFB6" w:rsidR="009A64BC" w:rsidRPr="00FD02F8" w:rsidRDefault="009A64BC" w:rsidP="004405DF">
            <w:pPr>
              <w:spacing w:line="276" w:lineRule="auto"/>
              <w:textAlignment w:val="baseline"/>
              <w:rPr>
                <w:rFonts w:ascii="Arial" w:eastAsia="Times New Roman" w:hAnsi="Arial" w:cs="Arial"/>
                <w:color w:val="000000"/>
                <w:lang w:eastAsia="en-GB"/>
              </w:rPr>
            </w:pPr>
            <w:r w:rsidRPr="00FD02F8">
              <w:rPr>
                <w:rFonts w:ascii="Arial" w:eastAsia="Times New Roman" w:hAnsi="Arial" w:cs="Arial"/>
                <w:color w:val="000000"/>
                <w:lang w:eastAsia="en-GB"/>
              </w:rPr>
              <w:t>NZ03</w:t>
            </w:r>
          </w:p>
        </w:tc>
        <w:tc>
          <w:tcPr>
            <w:tcW w:w="417" w:type="pct"/>
            <w:tcBorders>
              <w:top w:val="single" w:sz="8" w:space="0" w:color="auto"/>
              <w:left w:val="single" w:sz="8" w:space="0" w:color="auto"/>
              <w:bottom w:val="single" w:sz="8" w:space="0" w:color="auto"/>
              <w:right w:val="single" w:sz="8" w:space="0" w:color="auto"/>
            </w:tcBorders>
          </w:tcPr>
          <w:p w14:paraId="39840963" w14:textId="5FDF2A93" w:rsidR="009A64BC" w:rsidRPr="00FD02F8" w:rsidRDefault="009A64BC" w:rsidP="004405DF">
            <w:pPr>
              <w:tabs>
                <w:tab w:val="left" w:pos="3660"/>
              </w:tabs>
              <w:spacing w:line="276" w:lineRule="auto"/>
              <w:textAlignment w:val="baseline"/>
              <w:rPr>
                <w:rFonts w:ascii="Arial" w:hAnsi="Arial" w:cs="Arial"/>
              </w:rPr>
            </w:pPr>
            <w:r w:rsidRPr="00FD02F8">
              <w:rPr>
                <w:rFonts w:ascii="Arial" w:eastAsia="Times New Roman" w:hAnsi="Arial" w:cs="Arial"/>
                <w:lang w:eastAsia="en-GB"/>
              </w:rPr>
              <w:t>Net Zero</w:t>
            </w:r>
          </w:p>
        </w:tc>
        <w:tc>
          <w:tcPr>
            <w:tcW w:w="802" w:type="pct"/>
            <w:tcBorders>
              <w:top w:val="single" w:sz="8" w:space="0" w:color="auto"/>
              <w:left w:val="single" w:sz="8" w:space="0" w:color="auto"/>
              <w:bottom w:val="single" w:sz="8" w:space="0" w:color="auto"/>
              <w:right w:val="single" w:sz="8" w:space="0" w:color="auto"/>
            </w:tcBorders>
          </w:tcPr>
          <w:p w14:paraId="6B534B32" w14:textId="7ED9F8FB" w:rsidR="009A64BC" w:rsidRPr="00FD02F8" w:rsidRDefault="009A64BC" w:rsidP="004405DF">
            <w:pPr>
              <w:spacing w:after="80" w:line="276" w:lineRule="auto"/>
              <w:ind w:right="465"/>
              <w:rPr>
                <w:rFonts w:ascii="Arial" w:eastAsiaTheme="minorHAnsi" w:hAnsi="Arial" w:cs="Arial"/>
              </w:rPr>
            </w:pPr>
            <w:r w:rsidRPr="00FD02F8">
              <w:rPr>
                <w:rFonts w:ascii="Arial" w:hAnsi="Arial" w:cs="Arial"/>
              </w:rPr>
              <w:t xml:space="preserve">Percentage of vehicles in SEPA fleet that </w:t>
            </w:r>
            <w:r w:rsidR="008D1BAB" w:rsidRPr="00FD02F8">
              <w:rPr>
                <w:rFonts w:ascii="Arial" w:hAnsi="Arial" w:cs="Arial"/>
              </w:rPr>
              <w:t xml:space="preserve">are </w:t>
            </w:r>
            <w:r w:rsidR="004F5B2D" w:rsidRPr="00FD02F8">
              <w:rPr>
                <w:rFonts w:ascii="Arial" w:hAnsi="Arial" w:cs="Arial"/>
              </w:rPr>
              <w:t>zero</w:t>
            </w:r>
            <w:r w:rsidRPr="00FD02F8">
              <w:rPr>
                <w:rFonts w:ascii="Arial" w:hAnsi="Arial" w:cs="Arial"/>
              </w:rPr>
              <w:t xml:space="preserve"> emissions - Increasing</w:t>
            </w:r>
          </w:p>
        </w:tc>
        <w:tc>
          <w:tcPr>
            <w:tcW w:w="384" w:type="pct"/>
            <w:tcBorders>
              <w:top w:val="single" w:sz="8" w:space="0" w:color="auto"/>
              <w:left w:val="single" w:sz="8" w:space="0" w:color="auto"/>
              <w:bottom w:val="single" w:sz="8" w:space="0" w:color="auto"/>
              <w:right w:val="single" w:sz="8" w:space="0" w:color="auto"/>
            </w:tcBorders>
          </w:tcPr>
          <w:p w14:paraId="30A7420D" w14:textId="2552E63D"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4BC53CB3" w14:textId="602623B3"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25 </w:t>
            </w:r>
            <w:r w:rsidR="0909E85A" w:rsidRPr="00FD02F8">
              <w:rPr>
                <w:rFonts w:ascii="Arial" w:eastAsia="Times New Roman" w:hAnsi="Arial" w:cs="Arial"/>
                <w:lang w:eastAsia="en-GB"/>
              </w:rPr>
              <w:t>EVs</w:t>
            </w:r>
            <w:r w:rsidRPr="00FD02F8">
              <w:rPr>
                <w:rFonts w:ascii="Arial" w:eastAsia="Times New Roman" w:hAnsi="Arial" w:cs="Arial"/>
                <w:lang w:eastAsia="en-GB"/>
              </w:rPr>
              <w:t xml:space="preserve"> in SEPA’s fleet as of 1 April 2025</w:t>
            </w:r>
          </w:p>
        </w:tc>
        <w:tc>
          <w:tcPr>
            <w:tcW w:w="545" w:type="pct"/>
            <w:tcBorders>
              <w:top w:val="single" w:sz="8" w:space="0" w:color="auto"/>
              <w:left w:val="single" w:sz="8" w:space="0" w:color="auto"/>
              <w:bottom w:val="single" w:sz="8" w:space="0" w:color="auto"/>
              <w:right w:val="single" w:sz="8" w:space="0" w:color="auto"/>
            </w:tcBorders>
          </w:tcPr>
          <w:p w14:paraId="339BC534" w14:textId="3AF71EB3"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26 </w:t>
            </w:r>
            <w:r w:rsidR="004B6C9E" w:rsidRPr="00FD02F8">
              <w:rPr>
                <w:rFonts w:ascii="Arial" w:eastAsia="Times New Roman" w:hAnsi="Arial" w:cs="Arial"/>
                <w:lang w:eastAsia="en-GB"/>
              </w:rPr>
              <w:t>EVs</w:t>
            </w:r>
            <w:r w:rsidRPr="00FD02F8">
              <w:rPr>
                <w:rFonts w:ascii="Arial" w:eastAsia="Times New Roman" w:hAnsi="Arial" w:cs="Arial"/>
                <w:lang w:eastAsia="en-GB"/>
              </w:rPr>
              <w:t xml:space="preserve"> in SEPA fleet as a minimum by 31 March 2026</w:t>
            </w:r>
          </w:p>
        </w:tc>
        <w:tc>
          <w:tcPr>
            <w:tcW w:w="417" w:type="pct"/>
            <w:tcBorders>
              <w:top w:val="single" w:sz="8" w:space="0" w:color="auto"/>
              <w:left w:val="single" w:sz="8" w:space="0" w:color="auto"/>
              <w:bottom w:val="single" w:sz="8" w:space="0" w:color="auto"/>
              <w:right w:val="single" w:sz="8" w:space="0" w:color="auto"/>
            </w:tcBorders>
          </w:tcPr>
          <w:p w14:paraId="7578A0BE" w14:textId="4ED776D8" w:rsidR="009A64BC" w:rsidRPr="00FD02F8" w:rsidRDefault="00D337FF"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26 EVs</w:t>
            </w:r>
          </w:p>
        </w:tc>
        <w:tc>
          <w:tcPr>
            <w:tcW w:w="385" w:type="pct"/>
            <w:tcBorders>
              <w:top w:val="single" w:sz="8" w:space="0" w:color="auto"/>
              <w:left w:val="single" w:sz="8" w:space="0" w:color="auto"/>
              <w:bottom w:val="single" w:sz="8" w:space="0" w:color="auto"/>
              <w:right w:val="single" w:sz="8" w:space="0" w:color="auto"/>
            </w:tcBorders>
          </w:tcPr>
          <w:p w14:paraId="53F7FC1F" w14:textId="607C7FA2" w:rsidR="009A64BC" w:rsidRPr="00FD02F8" w:rsidRDefault="001623E4"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w:t>
            </w:r>
            <w:r w:rsidR="00C9376A" w:rsidRPr="00FD02F8">
              <w:rPr>
                <w:rFonts w:ascii="Arial" w:eastAsia="Times New Roman" w:hAnsi="Arial" w:cs="Arial"/>
                <w:lang w:eastAsia="en-GB"/>
              </w:rPr>
              <w:t>ed</w:t>
            </w:r>
          </w:p>
        </w:tc>
        <w:tc>
          <w:tcPr>
            <w:tcW w:w="1026" w:type="pct"/>
            <w:tcBorders>
              <w:top w:val="single" w:sz="8" w:space="0" w:color="auto"/>
              <w:left w:val="single" w:sz="8" w:space="0" w:color="auto"/>
              <w:bottom w:val="single" w:sz="8" w:space="0" w:color="auto"/>
              <w:right w:val="single" w:sz="8" w:space="0" w:color="auto"/>
            </w:tcBorders>
          </w:tcPr>
          <w:p w14:paraId="4EDDFABE" w14:textId="36DDBF32" w:rsidR="009A64BC" w:rsidRPr="00FD02F8" w:rsidRDefault="009D2E6F" w:rsidP="00725C79">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We received </w:t>
            </w:r>
            <w:r w:rsidR="00136294" w:rsidRPr="00FD02F8">
              <w:rPr>
                <w:rFonts w:ascii="Arial" w:eastAsia="Times New Roman" w:hAnsi="Arial" w:cs="Arial"/>
                <w:lang w:eastAsia="en-GB"/>
              </w:rPr>
              <w:t xml:space="preserve">delivery of </w:t>
            </w:r>
            <w:r w:rsidR="008D1BAB" w:rsidRPr="00FD02F8">
              <w:rPr>
                <w:rFonts w:ascii="Arial" w:eastAsia="Times New Roman" w:hAnsi="Arial" w:cs="Arial"/>
                <w:lang w:eastAsia="en-GB"/>
              </w:rPr>
              <w:t xml:space="preserve">an </w:t>
            </w:r>
            <w:r w:rsidR="005938D7" w:rsidRPr="00FD02F8">
              <w:rPr>
                <w:rFonts w:ascii="Arial" w:eastAsia="Times New Roman" w:hAnsi="Arial" w:cs="Arial"/>
                <w:lang w:eastAsia="en-GB"/>
              </w:rPr>
              <w:t>additional</w:t>
            </w:r>
            <w:r w:rsidR="004B6C9E" w:rsidRPr="00FD02F8">
              <w:rPr>
                <w:rFonts w:ascii="Arial" w:eastAsia="Times New Roman" w:hAnsi="Arial" w:cs="Arial"/>
                <w:lang w:eastAsia="en-GB"/>
              </w:rPr>
              <w:t xml:space="preserve"> </w:t>
            </w:r>
            <w:r w:rsidR="00A129D9" w:rsidRPr="00FD02F8">
              <w:rPr>
                <w:rFonts w:ascii="Arial" w:eastAsia="Times New Roman" w:hAnsi="Arial" w:cs="Arial"/>
                <w:lang w:eastAsia="en-GB"/>
              </w:rPr>
              <w:t>electric vehicle (</w:t>
            </w:r>
            <w:r w:rsidR="004B6C9E" w:rsidRPr="00FD02F8">
              <w:rPr>
                <w:rFonts w:ascii="Arial" w:eastAsia="Times New Roman" w:hAnsi="Arial" w:cs="Arial"/>
                <w:lang w:eastAsia="en-GB"/>
              </w:rPr>
              <w:t>EV</w:t>
            </w:r>
            <w:r w:rsidR="00A129D9" w:rsidRPr="00FD02F8">
              <w:rPr>
                <w:rFonts w:ascii="Arial" w:eastAsia="Times New Roman" w:hAnsi="Arial" w:cs="Arial"/>
                <w:lang w:eastAsia="en-GB"/>
              </w:rPr>
              <w:t>)</w:t>
            </w:r>
            <w:r w:rsidR="00152FD0" w:rsidRPr="00FD02F8">
              <w:rPr>
                <w:rFonts w:ascii="Arial" w:eastAsia="Times New Roman" w:hAnsi="Arial" w:cs="Arial"/>
                <w:lang w:eastAsia="en-GB"/>
              </w:rPr>
              <w:t xml:space="preserve"> in July 2025, bringing the total number of EVs in the fleet to 26.</w:t>
            </w:r>
            <w:r w:rsidR="005938D7" w:rsidRPr="00FD02F8">
              <w:rPr>
                <w:rFonts w:ascii="Arial" w:eastAsia="Times New Roman" w:hAnsi="Arial" w:cs="Arial"/>
                <w:lang w:eastAsia="en-GB"/>
              </w:rPr>
              <w:t xml:space="preserve"> </w:t>
            </w:r>
          </w:p>
        </w:tc>
        <w:tc>
          <w:tcPr>
            <w:tcW w:w="320" w:type="pct"/>
            <w:tcBorders>
              <w:top w:val="single" w:sz="8" w:space="0" w:color="auto"/>
              <w:left w:val="single" w:sz="8" w:space="0" w:color="auto"/>
              <w:bottom w:val="single" w:sz="8" w:space="0" w:color="auto"/>
              <w:right w:val="single" w:sz="8" w:space="0" w:color="auto"/>
            </w:tcBorders>
          </w:tcPr>
          <w:p w14:paraId="2FBB824D" w14:textId="1323BCDF" w:rsidR="009A64BC" w:rsidRPr="00FD02F8" w:rsidRDefault="009A64BC" w:rsidP="004405DF">
            <w:pPr>
              <w:spacing w:line="276" w:lineRule="auto"/>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Achieved</w:t>
            </w:r>
          </w:p>
        </w:tc>
      </w:tr>
      <w:tr w:rsidR="00B2335A" w:rsidRPr="00FD02F8" w14:paraId="44694A93"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3A1EE80F" w14:textId="060E9738" w:rsidR="009A64BC" w:rsidRPr="00FD02F8" w:rsidRDefault="009A64BC" w:rsidP="004405DF">
            <w:pPr>
              <w:spacing w:line="276" w:lineRule="auto"/>
              <w:textAlignment w:val="baseline"/>
              <w:rPr>
                <w:rFonts w:ascii="Arial" w:eastAsia="Times New Roman" w:hAnsi="Arial" w:cs="Arial"/>
                <w:color w:val="000000"/>
                <w:lang w:eastAsia="en-GB"/>
              </w:rPr>
            </w:pPr>
            <w:r w:rsidRPr="00FD02F8">
              <w:rPr>
                <w:rFonts w:ascii="Arial" w:eastAsia="Times New Roman" w:hAnsi="Arial" w:cs="Arial"/>
                <w:color w:val="000000"/>
                <w:lang w:eastAsia="en-GB"/>
              </w:rPr>
              <w:t>NZ04</w:t>
            </w:r>
          </w:p>
        </w:tc>
        <w:tc>
          <w:tcPr>
            <w:tcW w:w="417" w:type="pct"/>
            <w:tcBorders>
              <w:top w:val="single" w:sz="8" w:space="0" w:color="auto"/>
              <w:left w:val="single" w:sz="8" w:space="0" w:color="auto"/>
              <w:bottom w:val="single" w:sz="8" w:space="0" w:color="auto"/>
              <w:right w:val="single" w:sz="8" w:space="0" w:color="auto"/>
            </w:tcBorders>
          </w:tcPr>
          <w:p w14:paraId="4EB95539" w14:textId="0F7139CC" w:rsidR="009A64BC" w:rsidRPr="00FD02F8" w:rsidRDefault="009A64BC" w:rsidP="004405DF">
            <w:pPr>
              <w:tabs>
                <w:tab w:val="left" w:pos="3660"/>
              </w:tabs>
              <w:spacing w:line="276" w:lineRule="auto"/>
              <w:textAlignment w:val="baseline"/>
              <w:rPr>
                <w:rFonts w:ascii="Arial" w:hAnsi="Arial" w:cs="Arial"/>
              </w:rPr>
            </w:pPr>
            <w:r w:rsidRPr="00FD02F8">
              <w:rPr>
                <w:rFonts w:ascii="Arial" w:hAnsi="Arial" w:cs="Arial"/>
              </w:rPr>
              <w:t>Net Zero</w:t>
            </w:r>
          </w:p>
        </w:tc>
        <w:tc>
          <w:tcPr>
            <w:tcW w:w="802" w:type="pct"/>
            <w:tcBorders>
              <w:top w:val="single" w:sz="8" w:space="0" w:color="auto"/>
              <w:left w:val="single" w:sz="8" w:space="0" w:color="auto"/>
              <w:bottom w:val="single" w:sz="8" w:space="0" w:color="auto"/>
              <w:right w:val="single" w:sz="8" w:space="0" w:color="auto"/>
            </w:tcBorders>
          </w:tcPr>
          <w:p w14:paraId="3022F994" w14:textId="60F6089A" w:rsidR="009A64BC" w:rsidRPr="00FD02F8" w:rsidRDefault="009A64BC" w:rsidP="004405DF">
            <w:pPr>
              <w:tabs>
                <w:tab w:val="left" w:pos="3660"/>
              </w:tabs>
              <w:spacing w:line="276" w:lineRule="auto"/>
              <w:textAlignment w:val="baseline"/>
              <w:rPr>
                <w:rFonts w:ascii="Arial" w:eastAsia="Times New Roman" w:hAnsi="Arial" w:cs="Arial"/>
                <w:lang w:eastAsia="en-GB"/>
              </w:rPr>
            </w:pPr>
            <w:r w:rsidRPr="00FD02F8">
              <w:rPr>
                <w:rFonts w:ascii="Arial" w:hAnsi="Arial" w:cs="Arial"/>
              </w:rPr>
              <w:t>Number of SEPA solely owned or leased buildings - Reducing</w:t>
            </w:r>
          </w:p>
        </w:tc>
        <w:tc>
          <w:tcPr>
            <w:tcW w:w="384" w:type="pct"/>
            <w:tcBorders>
              <w:top w:val="single" w:sz="8" w:space="0" w:color="auto"/>
              <w:left w:val="single" w:sz="8" w:space="0" w:color="auto"/>
              <w:bottom w:val="single" w:sz="8" w:space="0" w:color="auto"/>
              <w:right w:val="single" w:sz="8" w:space="0" w:color="auto"/>
            </w:tcBorders>
          </w:tcPr>
          <w:p w14:paraId="44C427C5" w14:textId="5D2EE6DD"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6083D5C2" w14:textId="425E89F2"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11 buildings solely owned or leased by SEPA as of 1 April 2025</w:t>
            </w:r>
          </w:p>
        </w:tc>
        <w:tc>
          <w:tcPr>
            <w:tcW w:w="545" w:type="pct"/>
            <w:tcBorders>
              <w:top w:val="single" w:sz="8" w:space="0" w:color="auto"/>
              <w:left w:val="single" w:sz="8" w:space="0" w:color="auto"/>
              <w:bottom w:val="single" w:sz="8" w:space="0" w:color="auto"/>
              <w:right w:val="single" w:sz="8" w:space="0" w:color="auto"/>
            </w:tcBorders>
          </w:tcPr>
          <w:p w14:paraId="34E5DBF1" w14:textId="36DD4173" w:rsidR="009A64BC" w:rsidRPr="00FD02F8" w:rsidRDefault="009A64BC"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Reduction of 2 workspaces per annum.</w:t>
            </w:r>
          </w:p>
        </w:tc>
        <w:tc>
          <w:tcPr>
            <w:tcW w:w="417" w:type="pct"/>
            <w:tcBorders>
              <w:top w:val="single" w:sz="8" w:space="0" w:color="auto"/>
              <w:left w:val="single" w:sz="8" w:space="0" w:color="auto"/>
              <w:bottom w:val="single" w:sz="8" w:space="0" w:color="auto"/>
              <w:right w:val="single" w:sz="8" w:space="0" w:color="auto"/>
            </w:tcBorders>
          </w:tcPr>
          <w:p w14:paraId="48CD8166" w14:textId="67DCE950" w:rsidR="009A64BC" w:rsidRPr="00FD02F8" w:rsidRDefault="003B7A94" w:rsidP="004405DF">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1</w:t>
            </w:r>
          </w:p>
        </w:tc>
        <w:tc>
          <w:tcPr>
            <w:tcW w:w="385" w:type="pct"/>
            <w:tcBorders>
              <w:top w:val="single" w:sz="8" w:space="0" w:color="auto"/>
              <w:left w:val="single" w:sz="8" w:space="0" w:color="auto"/>
              <w:bottom w:val="single" w:sz="8" w:space="0" w:color="auto"/>
              <w:right w:val="single" w:sz="8" w:space="0" w:color="auto"/>
            </w:tcBorders>
          </w:tcPr>
          <w:p w14:paraId="2F58C803" w14:textId="2171B82E" w:rsidR="009A64BC" w:rsidRPr="00FD02F8" w:rsidRDefault="00F160EE" w:rsidP="004405DF">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Partially Achieving</w:t>
            </w:r>
          </w:p>
        </w:tc>
        <w:tc>
          <w:tcPr>
            <w:tcW w:w="1026" w:type="pct"/>
            <w:tcBorders>
              <w:top w:val="single" w:sz="8" w:space="0" w:color="auto"/>
              <w:left w:val="single" w:sz="8" w:space="0" w:color="auto"/>
              <w:bottom w:val="single" w:sz="8" w:space="0" w:color="auto"/>
              <w:right w:val="single" w:sz="8" w:space="0" w:color="auto"/>
            </w:tcBorders>
          </w:tcPr>
          <w:p w14:paraId="787F7F8B" w14:textId="2AD024FD" w:rsidR="009A64BC" w:rsidRPr="00FD02F8" w:rsidRDefault="00A23B91" w:rsidP="004405D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We </w:t>
            </w:r>
            <w:r w:rsidR="001844A7" w:rsidRPr="00FD02F8">
              <w:rPr>
                <w:rFonts w:ascii="Arial" w:eastAsia="Times New Roman" w:hAnsi="Arial" w:cs="Arial"/>
                <w:lang w:eastAsia="en-GB"/>
              </w:rPr>
              <w:t xml:space="preserve">completed </w:t>
            </w:r>
            <w:r w:rsidR="002B4A85" w:rsidRPr="00FD02F8">
              <w:rPr>
                <w:rFonts w:ascii="Arial" w:eastAsia="Times New Roman" w:hAnsi="Arial" w:cs="Arial"/>
                <w:lang w:eastAsia="en-GB"/>
              </w:rPr>
              <w:t>the exit of our</w:t>
            </w:r>
            <w:r w:rsidRPr="00FD02F8">
              <w:rPr>
                <w:rFonts w:ascii="Arial" w:eastAsia="Times New Roman" w:hAnsi="Arial" w:cs="Arial"/>
                <w:lang w:eastAsia="en-GB"/>
              </w:rPr>
              <w:t xml:space="preserve"> </w:t>
            </w:r>
            <w:r w:rsidR="001844A7" w:rsidRPr="00FD02F8">
              <w:rPr>
                <w:rFonts w:ascii="Arial" w:eastAsia="Times New Roman" w:hAnsi="Arial" w:cs="Arial"/>
                <w:lang w:eastAsia="en-GB"/>
              </w:rPr>
              <w:t xml:space="preserve">Glasgow </w:t>
            </w:r>
            <w:r w:rsidR="002B4A85" w:rsidRPr="00FD02F8">
              <w:rPr>
                <w:rFonts w:ascii="Arial" w:eastAsia="Times New Roman" w:hAnsi="Arial" w:cs="Arial"/>
                <w:lang w:eastAsia="en-GB"/>
              </w:rPr>
              <w:t xml:space="preserve">workspace </w:t>
            </w:r>
            <w:r w:rsidR="001844A7" w:rsidRPr="00FD02F8">
              <w:rPr>
                <w:rFonts w:ascii="Arial" w:eastAsia="Times New Roman" w:hAnsi="Arial" w:cs="Arial"/>
                <w:lang w:eastAsia="en-GB"/>
              </w:rPr>
              <w:t xml:space="preserve">in October 2025. </w:t>
            </w:r>
            <w:r w:rsidR="002B4A85" w:rsidRPr="00FD02F8">
              <w:rPr>
                <w:rFonts w:ascii="Arial" w:eastAsia="Times New Roman" w:hAnsi="Arial" w:cs="Arial"/>
                <w:lang w:eastAsia="en-GB"/>
              </w:rPr>
              <w:t xml:space="preserve">We are </w:t>
            </w:r>
            <w:r w:rsidR="00667634" w:rsidRPr="00FD02F8">
              <w:rPr>
                <w:rFonts w:ascii="Arial" w:eastAsia="Times New Roman" w:hAnsi="Arial" w:cs="Arial"/>
                <w:lang w:eastAsia="en-GB"/>
              </w:rPr>
              <w:t>i</w:t>
            </w:r>
            <w:r w:rsidR="002B4A85" w:rsidRPr="00FD02F8">
              <w:rPr>
                <w:rFonts w:ascii="Arial" w:eastAsia="Times New Roman" w:hAnsi="Arial" w:cs="Arial"/>
                <w:lang w:eastAsia="en-GB"/>
              </w:rPr>
              <w:t xml:space="preserve">n the process of finalising the legal </w:t>
            </w:r>
            <w:r w:rsidR="00667634" w:rsidRPr="00FD02F8">
              <w:rPr>
                <w:rFonts w:ascii="Arial" w:eastAsia="Times New Roman" w:hAnsi="Arial" w:cs="Arial"/>
                <w:lang w:eastAsia="en-GB"/>
              </w:rPr>
              <w:t>arrangements</w:t>
            </w:r>
            <w:r w:rsidR="001844A7" w:rsidRPr="00FD02F8">
              <w:rPr>
                <w:rFonts w:ascii="Arial" w:eastAsia="Times New Roman" w:hAnsi="Arial" w:cs="Arial"/>
                <w:lang w:eastAsia="en-GB"/>
              </w:rPr>
              <w:t xml:space="preserve"> for our early exit from Strathallan House</w:t>
            </w:r>
            <w:r w:rsidR="169B491E" w:rsidRPr="00FD02F8">
              <w:rPr>
                <w:rFonts w:ascii="Arial" w:eastAsia="Times New Roman" w:hAnsi="Arial" w:cs="Arial"/>
                <w:lang w:eastAsia="en-GB"/>
              </w:rPr>
              <w:t>, Stirling</w:t>
            </w:r>
            <w:r w:rsidR="001844A7" w:rsidRPr="00FD02F8">
              <w:rPr>
                <w:rFonts w:ascii="Arial" w:eastAsia="Times New Roman" w:hAnsi="Arial" w:cs="Arial"/>
                <w:lang w:eastAsia="en-GB"/>
              </w:rPr>
              <w:t>.</w:t>
            </w:r>
          </w:p>
        </w:tc>
        <w:tc>
          <w:tcPr>
            <w:tcW w:w="320" w:type="pct"/>
            <w:tcBorders>
              <w:top w:val="single" w:sz="8" w:space="0" w:color="auto"/>
              <w:left w:val="single" w:sz="8" w:space="0" w:color="auto"/>
              <w:bottom w:val="single" w:sz="8" w:space="0" w:color="auto"/>
              <w:right w:val="single" w:sz="8" w:space="0" w:color="auto"/>
            </w:tcBorders>
          </w:tcPr>
          <w:p w14:paraId="0EEA0FB5" w14:textId="6981875A" w:rsidR="009A64BC" w:rsidRPr="00FD02F8" w:rsidRDefault="009A64BC" w:rsidP="004405DF">
            <w:pPr>
              <w:spacing w:line="276" w:lineRule="auto"/>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Achieved</w:t>
            </w:r>
          </w:p>
        </w:tc>
      </w:tr>
      <w:tr w:rsidR="00940144" w:rsidRPr="00FD02F8" w14:paraId="68A343EA" w14:textId="330B1B5D"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624E5DC4" w14:textId="7C8FD566" w:rsidR="00940144" w:rsidRPr="00FD02F8" w:rsidRDefault="00940144" w:rsidP="00940144">
            <w:pPr>
              <w:spacing w:line="276" w:lineRule="auto"/>
              <w:textAlignment w:val="baseline"/>
              <w:rPr>
                <w:rFonts w:ascii="Arial" w:hAnsi="Arial" w:cs="Arial"/>
              </w:rPr>
            </w:pPr>
            <w:r w:rsidRPr="00FD02F8">
              <w:rPr>
                <w:rFonts w:ascii="Arial" w:hAnsi="Arial" w:cs="Arial"/>
              </w:rPr>
              <w:lastRenderedPageBreak/>
              <w:t>CR01</w:t>
            </w:r>
          </w:p>
        </w:tc>
        <w:tc>
          <w:tcPr>
            <w:tcW w:w="417" w:type="pct"/>
            <w:tcBorders>
              <w:top w:val="single" w:sz="8" w:space="0" w:color="auto"/>
              <w:left w:val="single" w:sz="8" w:space="0" w:color="auto"/>
              <w:bottom w:val="single" w:sz="8" w:space="0" w:color="auto"/>
              <w:right w:val="single" w:sz="8" w:space="0" w:color="auto"/>
            </w:tcBorders>
          </w:tcPr>
          <w:p w14:paraId="73701B84" w14:textId="0BB681F1"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5D01E97C" w14:textId="3B4BB01C" w:rsidR="00940144" w:rsidRPr="00FD02F8" w:rsidRDefault="00940144" w:rsidP="00940144">
            <w:pPr>
              <w:spacing w:line="276" w:lineRule="auto"/>
              <w:textAlignment w:val="baseline"/>
              <w:rPr>
                <w:rFonts w:ascii="Arial" w:hAnsi="Arial" w:cs="Arial"/>
              </w:rPr>
            </w:pPr>
            <w:r w:rsidRPr="00FD02F8">
              <w:rPr>
                <w:rFonts w:ascii="Arial" w:hAnsi="Arial" w:cs="Arial"/>
              </w:rPr>
              <w:t>Number of flood warnings and alerts issued by SEPA - Maintain</w:t>
            </w:r>
            <w:r w:rsidR="001914C8" w:rsidRPr="00FD02F8">
              <w:rPr>
                <w:rFonts w:ascii="Arial" w:hAnsi="Arial" w:cs="Arial"/>
              </w:rPr>
              <w:t>ing</w:t>
            </w:r>
          </w:p>
        </w:tc>
        <w:tc>
          <w:tcPr>
            <w:tcW w:w="384" w:type="pct"/>
            <w:tcBorders>
              <w:top w:val="single" w:sz="8" w:space="0" w:color="auto"/>
              <w:left w:val="single" w:sz="8" w:space="0" w:color="auto"/>
              <w:bottom w:val="single" w:sz="8" w:space="0" w:color="auto"/>
              <w:right w:val="single" w:sz="8" w:space="0" w:color="auto"/>
            </w:tcBorders>
          </w:tcPr>
          <w:p w14:paraId="1733FFEF" w14:textId="39DE033F"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010B423E" w14:textId="7847FB0B"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Average number of alerts (244) and warnings (342) issued on an annual basis calculated over the last 14 financial years.</w:t>
            </w:r>
          </w:p>
        </w:tc>
        <w:tc>
          <w:tcPr>
            <w:tcW w:w="545" w:type="pct"/>
            <w:tcBorders>
              <w:top w:val="single" w:sz="8" w:space="0" w:color="auto"/>
              <w:left w:val="single" w:sz="8" w:space="0" w:color="auto"/>
              <w:bottom w:val="single" w:sz="8" w:space="0" w:color="auto"/>
              <w:right w:val="single" w:sz="8" w:space="0" w:color="auto"/>
            </w:tcBorders>
          </w:tcPr>
          <w:p w14:paraId="4A405C37" w14:textId="0A9A1637"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Maintain - The number of reports and warnings is dependent on the duration of a flood event and associated conditions.</w:t>
            </w:r>
          </w:p>
        </w:tc>
        <w:tc>
          <w:tcPr>
            <w:tcW w:w="417" w:type="pct"/>
            <w:tcBorders>
              <w:top w:val="single" w:sz="8" w:space="0" w:color="auto"/>
              <w:left w:val="single" w:sz="8" w:space="0" w:color="auto"/>
              <w:bottom w:val="single" w:sz="8" w:space="0" w:color="auto"/>
              <w:right w:val="single" w:sz="8" w:space="0" w:color="auto"/>
            </w:tcBorders>
          </w:tcPr>
          <w:p w14:paraId="52796601" w14:textId="29475F2C" w:rsidR="003B7A94" w:rsidRPr="00FD02F8" w:rsidRDefault="00F27387" w:rsidP="00E421F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7</w:t>
            </w:r>
            <w:r w:rsidR="003B7A94" w:rsidRPr="00FD02F8">
              <w:rPr>
                <w:rFonts w:ascii="Arial" w:eastAsia="Times New Roman" w:hAnsi="Arial" w:cs="Arial"/>
                <w:lang w:eastAsia="en-GB"/>
              </w:rPr>
              <w:t xml:space="preserve">6 regional flood alerts </w:t>
            </w:r>
          </w:p>
          <w:p w14:paraId="58B76F33" w14:textId="77777777" w:rsidR="003B7A94" w:rsidRPr="00FD02F8" w:rsidRDefault="003B7A94" w:rsidP="00E421F6">
            <w:pPr>
              <w:spacing w:line="276" w:lineRule="auto"/>
              <w:textAlignment w:val="baseline"/>
              <w:rPr>
                <w:rFonts w:ascii="Arial" w:eastAsia="Times New Roman" w:hAnsi="Arial" w:cs="Arial"/>
                <w:lang w:eastAsia="en-GB"/>
              </w:rPr>
            </w:pPr>
          </w:p>
          <w:p w14:paraId="2D672280" w14:textId="75F464D9" w:rsidR="00940144" w:rsidRPr="00FD02F8" w:rsidRDefault="00F27387"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143</w:t>
            </w:r>
            <w:r w:rsidR="003B7A94" w:rsidRPr="00FD02F8">
              <w:rPr>
                <w:rFonts w:ascii="Arial" w:eastAsia="Times New Roman" w:hAnsi="Arial" w:cs="Arial"/>
                <w:lang w:eastAsia="en-GB"/>
              </w:rPr>
              <w:t xml:space="preserve"> local flood warnings.</w:t>
            </w:r>
          </w:p>
        </w:tc>
        <w:tc>
          <w:tcPr>
            <w:tcW w:w="385" w:type="pct"/>
            <w:tcBorders>
              <w:top w:val="single" w:sz="8" w:space="0" w:color="auto"/>
              <w:left w:val="single" w:sz="8" w:space="0" w:color="auto"/>
              <w:bottom w:val="single" w:sz="8" w:space="0" w:color="auto"/>
              <w:right w:val="single" w:sz="8" w:space="0" w:color="auto"/>
            </w:tcBorders>
          </w:tcPr>
          <w:p w14:paraId="34530C8B" w14:textId="2E22CF84" w:rsidR="00940144" w:rsidRPr="00FD02F8" w:rsidRDefault="00940144"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59789B19" w14:textId="77777777" w:rsidR="0085239D" w:rsidRPr="00FD02F8" w:rsidRDefault="0085239D" w:rsidP="00FA7F3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Cumulative total for the year is 160 regional flood alerts and 171 local flood warnings.</w:t>
            </w:r>
          </w:p>
          <w:p w14:paraId="74ADC883" w14:textId="77777777" w:rsidR="000D6CBD" w:rsidRPr="00FD02F8" w:rsidRDefault="000D6CBD" w:rsidP="00FA7F3F">
            <w:pPr>
              <w:spacing w:line="276" w:lineRule="auto"/>
              <w:textAlignment w:val="baseline"/>
              <w:rPr>
                <w:rFonts w:ascii="Arial" w:eastAsia="Times New Roman" w:hAnsi="Arial" w:cs="Arial"/>
                <w:lang w:eastAsia="en-GB"/>
              </w:rPr>
            </w:pPr>
          </w:p>
          <w:p w14:paraId="4F7220C4" w14:textId="3F69EDBF" w:rsidR="00940144" w:rsidRPr="00FD02F8" w:rsidRDefault="00FA7F3F" w:rsidP="00FA7F3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The period was marked by two periods of heavy </w:t>
            </w:r>
            <w:r w:rsidR="00A33BA6" w:rsidRPr="00FD02F8">
              <w:rPr>
                <w:rFonts w:ascii="Arial" w:eastAsia="Times New Roman" w:hAnsi="Arial" w:cs="Arial"/>
                <w:lang w:eastAsia="en-GB"/>
              </w:rPr>
              <w:t>rainfall</w:t>
            </w:r>
            <w:r w:rsidRPr="00FD02F8">
              <w:rPr>
                <w:rFonts w:ascii="Arial" w:eastAsia="Times New Roman" w:hAnsi="Arial" w:cs="Arial"/>
                <w:lang w:eastAsia="en-GB"/>
              </w:rPr>
              <w:t xml:space="preserve"> and enhanced (Amber) flood risk - during Storm Amy at the start of October and </w:t>
            </w:r>
            <w:r w:rsidR="00A33BA6" w:rsidRPr="00FD02F8">
              <w:rPr>
                <w:rFonts w:ascii="Arial" w:eastAsia="Times New Roman" w:hAnsi="Arial" w:cs="Arial"/>
                <w:lang w:eastAsia="en-GB"/>
              </w:rPr>
              <w:t>around</w:t>
            </w:r>
            <w:r w:rsidRPr="00FD02F8">
              <w:rPr>
                <w:rFonts w:ascii="Arial" w:eastAsia="Times New Roman" w:hAnsi="Arial" w:cs="Arial"/>
                <w:lang w:eastAsia="en-GB"/>
              </w:rPr>
              <w:t xml:space="preserve"> the period of 13-14 December. The main impacts were on the transport network. </w:t>
            </w:r>
          </w:p>
        </w:tc>
        <w:tc>
          <w:tcPr>
            <w:tcW w:w="320" w:type="pct"/>
            <w:tcBorders>
              <w:top w:val="single" w:sz="8" w:space="0" w:color="auto"/>
              <w:left w:val="single" w:sz="8" w:space="0" w:color="auto"/>
              <w:bottom w:val="single" w:sz="8" w:space="0" w:color="auto"/>
              <w:right w:val="single" w:sz="8" w:space="0" w:color="auto"/>
            </w:tcBorders>
          </w:tcPr>
          <w:p w14:paraId="73940302" w14:textId="102BA5E5"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4C25860B" w14:textId="33F90726" w:rsidR="00940144" w:rsidRPr="00FD02F8" w:rsidRDefault="00940144" w:rsidP="00940144">
            <w:pPr>
              <w:spacing w:line="276" w:lineRule="auto"/>
              <w:jc w:val="center"/>
              <w:textAlignment w:val="baseline"/>
              <w:rPr>
                <w:rFonts w:ascii="Arial" w:eastAsia="Times New Roman" w:hAnsi="Arial" w:cs="Arial"/>
                <w:lang w:eastAsia="en-GB"/>
              </w:rPr>
            </w:pPr>
          </w:p>
        </w:tc>
      </w:tr>
      <w:tr w:rsidR="00940144" w:rsidRPr="00FD02F8" w14:paraId="5BFB73E7" w14:textId="4C188470"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A7169C8" w14:textId="6A01AC95" w:rsidR="00940144" w:rsidRPr="00FD02F8" w:rsidRDefault="00940144" w:rsidP="00940144">
            <w:pPr>
              <w:spacing w:line="276" w:lineRule="auto"/>
              <w:textAlignment w:val="baseline"/>
              <w:rPr>
                <w:rFonts w:ascii="Arial" w:hAnsi="Arial" w:cs="Arial"/>
              </w:rPr>
            </w:pPr>
            <w:r w:rsidRPr="00FD02F8">
              <w:rPr>
                <w:rFonts w:ascii="Arial" w:hAnsi="Arial" w:cs="Arial"/>
              </w:rPr>
              <w:t>CR02</w:t>
            </w:r>
          </w:p>
        </w:tc>
        <w:tc>
          <w:tcPr>
            <w:tcW w:w="417" w:type="pct"/>
            <w:tcBorders>
              <w:top w:val="single" w:sz="8" w:space="0" w:color="auto"/>
              <w:left w:val="single" w:sz="8" w:space="0" w:color="auto"/>
              <w:bottom w:val="single" w:sz="8" w:space="0" w:color="auto"/>
              <w:right w:val="single" w:sz="8" w:space="0" w:color="auto"/>
            </w:tcBorders>
          </w:tcPr>
          <w:p w14:paraId="4BF40E93" w14:textId="7EB37591"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659308E9" w14:textId="30879568" w:rsidR="00940144" w:rsidRPr="00FD02F8" w:rsidRDefault="00940144" w:rsidP="00940144">
            <w:pPr>
              <w:spacing w:line="276" w:lineRule="auto"/>
              <w:textAlignment w:val="baseline"/>
              <w:rPr>
                <w:rFonts w:ascii="Arial" w:hAnsi="Arial" w:cs="Arial"/>
              </w:rPr>
            </w:pPr>
            <w:r w:rsidRPr="00FD02F8">
              <w:rPr>
                <w:rFonts w:ascii="Arial" w:hAnsi="Arial" w:cs="Arial"/>
              </w:rPr>
              <w:t>Number of water scarcity warnings and alerts issued by SEPA - Maintain</w:t>
            </w:r>
            <w:r w:rsidR="001914C8" w:rsidRPr="00FD02F8">
              <w:rPr>
                <w:rFonts w:ascii="Arial" w:hAnsi="Arial" w:cs="Arial"/>
              </w:rPr>
              <w:t>ing</w:t>
            </w:r>
          </w:p>
        </w:tc>
        <w:tc>
          <w:tcPr>
            <w:tcW w:w="384" w:type="pct"/>
            <w:tcBorders>
              <w:top w:val="single" w:sz="8" w:space="0" w:color="auto"/>
              <w:left w:val="single" w:sz="8" w:space="0" w:color="auto"/>
              <w:bottom w:val="single" w:sz="8" w:space="0" w:color="auto"/>
              <w:right w:val="single" w:sz="8" w:space="0" w:color="auto"/>
            </w:tcBorders>
          </w:tcPr>
          <w:p w14:paraId="0A4475E5" w14:textId="665D06E2"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1B6C5790" w14:textId="77777777"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23 x weekly water scarcity reports</w:t>
            </w:r>
          </w:p>
          <w:p w14:paraId="7A71512E" w14:textId="65713787"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 x autumn water </w:t>
            </w:r>
            <w:r w:rsidR="003B7A94" w:rsidRPr="00FD02F8">
              <w:rPr>
                <w:rFonts w:ascii="Arial" w:eastAsia="Times New Roman" w:hAnsi="Arial" w:cs="Arial"/>
                <w:lang w:eastAsia="en-GB"/>
              </w:rPr>
              <w:t xml:space="preserve">and </w:t>
            </w:r>
            <w:r w:rsidRPr="00FD02F8">
              <w:rPr>
                <w:rFonts w:ascii="Arial" w:eastAsia="Times New Roman" w:hAnsi="Arial" w:cs="Arial"/>
                <w:lang w:eastAsia="en-GB"/>
              </w:rPr>
              <w:t>1 x winter water situation report.</w:t>
            </w:r>
          </w:p>
          <w:p w14:paraId="7997146B" w14:textId="77777777" w:rsidR="009E29E4" w:rsidRPr="00FD02F8" w:rsidRDefault="009E29E4" w:rsidP="00E421F6">
            <w:pPr>
              <w:spacing w:line="276" w:lineRule="auto"/>
              <w:textAlignment w:val="baseline"/>
              <w:rPr>
                <w:rFonts w:ascii="Arial" w:eastAsia="Times New Roman" w:hAnsi="Arial" w:cs="Arial"/>
                <w:lang w:eastAsia="en-GB"/>
              </w:rPr>
            </w:pPr>
          </w:p>
          <w:p w14:paraId="39AF3F8B" w14:textId="77777777" w:rsidR="00CB3EF0"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914 normal conditions. </w:t>
            </w:r>
          </w:p>
          <w:p w14:paraId="24761435" w14:textId="77777777" w:rsidR="00CB3EF0"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152 early warning. </w:t>
            </w:r>
          </w:p>
          <w:p w14:paraId="3EEF77C6" w14:textId="77777777" w:rsidR="00CB3EF0"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12 </w:t>
            </w:r>
            <w:bookmarkStart w:id="18" w:name="_Int_xsagSwaB"/>
            <w:r w:rsidRPr="00FD02F8">
              <w:rPr>
                <w:rFonts w:ascii="Arial" w:eastAsia="Times New Roman" w:hAnsi="Arial" w:cs="Arial"/>
                <w:lang w:eastAsia="en-GB"/>
              </w:rPr>
              <w:t>alert</w:t>
            </w:r>
            <w:bookmarkEnd w:id="18"/>
            <w:r w:rsidRPr="00FD02F8">
              <w:rPr>
                <w:rFonts w:ascii="Arial" w:eastAsia="Times New Roman" w:hAnsi="Arial" w:cs="Arial"/>
                <w:lang w:eastAsia="en-GB"/>
              </w:rPr>
              <w:t xml:space="preserve">. </w:t>
            </w:r>
          </w:p>
          <w:p w14:paraId="46AA5DB4" w14:textId="77777777" w:rsidR="00CB3EF0"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 moderate scarcity. </w:t>
            </w:r>
          </w:p>
          <w:p w14:paraId="40F46B4A" w14:textId="49430025"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Nil significant scarcity</w:t>
            </w:r>
            <w:r w:rsidR="00A60A2B" w:rsidRPr="00FD02F8">
              <w:rPr>
                <w:rFonts w:ascii="Arial" w:eastAsia="Times New Roman" w:hAnsi="Arial" w:cs="Arial"/>
                <w:lang w:eastAsia="en-GB"/>
              </w:rPr>
              <w:t>.</w:t>
            </w:r>
          </w:p>
        </w:tc>
        <w:tc>
          <w:tcPr>
            <w:tcW w:w="545" w:type="pct"/>
            <w:tcBorders>
              <w:top w:val="single" w:sz="8" w:space="0" w:color="auto"/>
              <w:left w:val="single" w:sz="8" w:space="0" w:color="auto"/>
              <w:bottom w:val="single" w:sz="8" w:space="0" w:color="auto"/>
              <w:right w:val="single" w:sz="8" w:space="0" w:color="auto"/>
            </w:tcBorders>
          </w:tcPr>
          <w:p w14:paraId="0A71A949" w14:textId="4B1B5C9A"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Maintain - The number of reports and alerts/ warnings is dependent on the duration of a water scarcity event and associated conditions.</w:t>
            </w:r>
          </w:p>
        </w:tc>
        <w:tc>
          <w:tcPr>
            <w:tcW w:w="417" w:type="pct"/>
            <w:tcBorders>
              <w:top w:val="single" w:sz="8" w:space="0" w:color="auto"/>
              <w:left w:val="single" w:sz="8" w:space="0" w:color="auto"/>
              <w:bottom w:val="single" w:sz="8" w:space="0" w:color="auto"/>
              <w:right w:val="single" w:sz="8" w:space="0" w:color="auto"/>
            </w:tcBorders>
          </w:tcPr>
          <w:p w14:paraId="4946C24B" w14:textId="77777777" w:rsidR="00486D92" w:rsidRPr="00FD02F8" w:rsidRDefault="00486D92"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5 weekly reports issued with the following breakdown on water scarcity levels: </w:t>
            </w:r>
          </w:p>
          <w:p w14:paraId="4C019A79" w14:textId="77777777" w:rsidR="005249C7" w:rsidRPr="00FD02F8" w:rsidRDefault="005249C7" w:rsidP="00940144">
            <w:pPr>
              <w:spacing w:line="276" w:lineRule="auto"/>
              <w:textAlignment w:val="baseline"/>
              <w:rPr>
                <w:rFonts w:ascii="Arial" w:eastAsia="Times New Roman" w:hAnsi="Arial" w:cs="Arial"/>
                <w:lang w:eastAsia="en-GB"/>
              </w:rPr>
            </w:pPr>
          </w:p>
          <w:p w14:paraId="4E336B5F" w14:textId="43CF08AE" w:rsidR="0027399F" w:rsidRPr="00FD02F8" w:rsidRDefault="00486D92"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151 </w:t>
            </w:r>
            <w:r w:rsidR="0027399F" w:rsidRPr="00FD02F8">
              <w:rPr>
                <w:rFonts w:ascii="Arial" w:eastAsia="Times New Roman" w:hAnsi="Arial" w:cs="Arial"/>
                <w:lang w:eastAsia="en-GB"/>
              </w:rPr>
              <w:t>normal conditions</w:t>
            </w:r>
            <w:r w:rsidR="005249C7" w:rsidRPr="00FD02F8">
              <w:rPr>
                <w:rFonts w:ascii="Arial" w:eastAsia="Times New Roman" w:hAnsi="Arial" w:cs="Arial"/>
                <w:lang w:eastAsia="en-GB"/>
              </w:rPr>
              <w:t>.</w:t>
            </w:r>
          </w:p>
          <w:p w14:paraId="0B503BAA" w14:textId="6A769712" w:rsidR="00486D92" w:rsidRPr="00FD02F8" w:rsidRDefault="00486D92"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37 </w:t>
            </w:r>
            <w:r w:rsidR="005249C7" w:rsidRPr="00FD02F8">
              <w:rPr>
                <w:rFonts w:ascii="Arial" w:eastAsia="Times New Roman" w:hAnsi="Arial" w:cs="Arial"/>
                <w:lang w:eastAsia="en-GB"/>
              </w:rPr>
              <w:t>early warning. </w:t>
            </w:r>
          </w:p>
          <w:p w14:paraId="4837988D" w14:textId="069A1545" w:rsidR="00486D92" w:rsidRPr="00FD02F8" w:rsidRDefault="00486D92"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29 </w:t>
            </w:r>
            <w:r w:rsidR="005249C7" w:rsidRPr="00FD02F8">
              <w:rPr>
                <w:rFonts w:ascii="Arial" w:eastAsia="Times New Roman" w:hAnsi="Arial" w:cs="Arial"/>
                <w:lang w:eastAsia="en-GB"/>
              </w:rPr>
              <w:t>alert.</w:t>
            </w:r>
            <w:r w:rsidRPr="00FD02F8">
              <w:rPr>
                <w:rFonts w:ascii="Arial" w:eastAsia="Times New Roman" w:hAnsi="Arial" w:cs="Arial"/>
                <w:lang w:eastAsia="en-GB"/>
              </w:rPr>
              <w:t xml:space="preserve"> </w:t>
            </w:r>
          </w:p>
          <w:p w14:paraId="5013881D" w14:textId="4FE9797D" w:rsidR="005249C7" w:rsidRPr="00FD02F8" w:rsidRDefault="00486D92"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14 </w:t>
            </w:r>
            <w:r w:rsidR="005249C7" w:rsidRPr="00FD02F8">
              <w:rPr>
                <w:rFonts w:ascii="Arial" w:eastAsia="Times New Roman" w:hAnsi="Arial" w:cs="Arial"/>
                <w:lang w:eastAsia="en-GB"/>
              </w:rPr>
              <w:t>m</w:t>
            </w:r>
            <w:r w:rsidRPr="00FD02F8">
              <w:rPr>
                <w:rFonts w:ascii="Arial" w:eastAsia="Times New Roman" w:hAnsi="Arial" w:cs="Arial"/>
                <w:lang w:eastAsia="en-GB"/>
              </w:rPr>
              <w:t>oderate</w:t>
            </w:r>
            <w:r w:rsidR="005249C7" w:rsidRPr="00FD02F8">
              <w:rPr>
                <w:rFonts w:ascii="Arial" w:eastAsia="Times New Roman" w:hAnsi="Arial" w:cs="Arial"/>
                <w:lang w:eastAsia="en-GB"/>
              </w:rPr>
              <w:t xml:space="preserve"> scarcity.</w:t>
            </w:r>
          </w:p>
          <w:p w14:paraId="54C9C79B" w14:textId="374CD457" w:rsidR="00940144" w:rsidRPr="00FD02F8" w:rsidRDefault="00486D92"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17 </w:t>
            </w:r>
            <w:r w:rsidR="005249C7" w:rsidRPr="00FD02F8">
              <w:rPr>
                <w:rFonts w:ascii="Arial" w:eastAsia="Times New Roman" w:hAnsi="Arial" w:cs="Arial"/>
                <w:lang w:eastAsia="en-GB"/>
              </w:rPr>
              <w:t>s</w:t>
            </w:r>
            <w:r w:rsidRPr="00FD02F8">
              <w:rPr>
                <w:rFonts w:ascii="Arial" w:eastAsia="Times New Roman" w:hAnsi="Arial" w:cs="Arial"/>
                <w:lang w:eastAsia="en-GB"/>
              </w:rPr>
              <w:t>ignificant</w:t>
            </w:r>
            <w:r w:rsidR="005249C7" w:rsidRPr="00FD02F8">
              <w:rPr>
                <w:rFonts w:ascii="Arial" w:eastAsia="Times New Roman" w:hAnsi="Arial" w:cs="Arial"/>
                <w:lang w:eastAsia="en-GB"/>
              </w:rPr>
              <w:t xml:space="preserve"> scarcity</w:t>
            </w:r>
            <w:r w:rsidRPr="00FD02F8">
              <w:rPr>
                <w:rFonts w:ascii="Arial" w:eastAsia="Times New Roman" w:hAnsi="Arial" w:cs="Arial"/>
                <w:lang w:eastAsia="en-GB"/>
              </w:rPr>
              <w:t xml:space="preserve">. </w:t>
            </w:r>
          </w:p>
        </w:tc>
        <w:tc>
          <w:tcPr>
            <w:tcW w:w="385" w:type="pct"/>
            <w:tcBorders>
              <w:top w:val="single" w:sz="8" w:space="0" w:color="auto"/>
              <w:left w:val="single" w:sz="8" w:space="0" w:color="auto"/>
              <w:bottom w:val="single" w:sz="8" w:space="0" w:color="auto"/>
              <w:right w:val="single" w:sz="8" w:space="0" w:color="auto"/>
            </w:tcBorders>
          </w:tcPr>
          <w:p w14:paraId="55070BDA" w14:textId="208926B8" w:rsidR="00940144" w:rsidRPr="00FD02F8" w:rsidRDefault="008B094D"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6B72E68D" w14:textId="08EAA1E5" w:rsidR="00E46212" w:rsidRPr="00FD02F8" w:rsidRDefault="007C35D8"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Cumulative total for the year is 29 weekly reports issued</w:t>
            </w:r>
            <w:r w:rsidR="00AC3F98" w:rsidRPr="00FD02F8">
              <w:rPr>
                <w:rFonts w:ascii="Arial" w:eastAsia="Times New Roman" w:hAnsi="Arial" w:cs="Arial"/>
                <w:lang w:eastAsia="en-GB"/>
              </w:rPr>
              <w:t>,</w:t>
            </w:r>
            <w:r w:rsidRPr="00FD02F8">
              <w:rPr>
                <w:rFonts w:ascii="Arial" w:eastAsia="Times New Roman" w:hAnsi="Arial" w:cs="Arial"/>
                <w:lang w:eastAsia="en-GB"/>
              </w:rPr>
              <w:t xml:space="preserve"> with the following breakdown on water scarcity levels: </w:t>
            </w:r>
          </w:p>
          <w:p w14:paraId="678C9418" w14:textId="66FD8E6A" w:rsidR="00940144" w:rsidRPr="00FD02F8" w:rsidRDefault="0058014E"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533</w:t>
            </w:r>
            <w:r w:rsidR="007C35D8" w:rsidRPr="00FD02F8">
              <w:rPr>
                <w:rFonts w:ascii="Arial" w:eastAsia="Times New Roman" w:hAnsi="Arial" w:cs="Arial"/>
                <w:lang w:eastAsia="en-GB"/>
              </w:rPr>
              <w:t xml:space="preserve"> Normal, 3</w:t>
            </w:r>
            <w:r w:rsidR="003E1B7D" w:rsidRPr="00FD02F8">
              <w:rPr>
                <w:rFonts w:ascii="Arial" w:eastAsia="Times New Roman" w:hAnsi="Arial" w:cs="Arial"/>
                <w:lang w:eastAsia="en-GB"/>
              </w:rPr>
              <w:t>65</w:t>
            </w:r>
            <w:r w:rsidR="007C35D8" w:rsidRPr="00FD02F8">
              <w:rPr>
                <w:rFonts w:ascii="Arial" w:eastAsia="Times New Roman" w:hAnsi="Arial" w:cs="Arial"/>
                <w:lang w:eastAsia="en-GB"/>
              </w:rPr>
              <w:t xml:space="preserve"> Early Warning, 2</w:t>
            </w:r>
            <w:r w:rsidR="00444A8D" w:rsidRPr="00FD02F8">
              <w:rPr>
                <w:rFonts w:ascii="Arial" w:eastAsia="Times New Roman" w:hAnsi="Arial" w:cs="Arial"/>
                <w:lang w:eastAsia="en-GB"/>
              </w:rPr>
              <w:t>52</w:t>
            </w:r>
            <w:r w:rsidR="007C35D8" w:rsidRPr="00FD02F8">
              <w:rPr>
                <w:rFonts w:ascii="Arial" w:eastAsia="Times New Roman" w:hAnsi="Arial" w:cs="Arial"/>
                <w:lang w:eastAsia="en-GB"/>
              </w:rPr>
              <w:t xml:space="preserve"> Alert, 19</w:t>
            </w:r>
            <w:r w:rsidR="005F4BBB" w:rsidRPr="00FD02F8">
              <w:rPr>
                <w:rFonts w:ascii="Arial" w:eastAsia="Times New Roman" w:hAnsi="Arial" w:cs="Arial"/>
                <w:lang w:eastAsia="en-GB"/>
              </w:rPr>
              <w:t>3</w:t>
            </w:r>
            <w:r w:rsidR="007C35D8" w:rsidRPr="00FD02F8">
              <w:rPr>
                <w:rFonts w:ascii="Arial" w:eastAsia="Times New Roman" w:hAnsi="Arial" w:cs="Arial"/>
                <w:lang w:eastAsia="en-GB"/>
              </w:rPr>
              <w:t xml:space="preserve"> Moderate</w:t>
            </w:r>
            <w:r w:rsidR="00084548" w:rsidRPr="00FD02F8">
              <w:rPr>
                <w:rFonts w:ascii="Arial" w:eastAsia="Times New Roman" w:hAnsi="Arial" w:cs="Arial"/>
                <w:lang w:eastAsia="en-GB"/>
              </w:rPr>
              <w:t xml:space="preserve"> and</w:t>
            </w:r>
            <w:r w:rsidR="007C35D8" w:rsidRPr="00FD02F8">
              <w:rPr>
                <w:rFonts w:ascii="Arial" w:eastAsia="Times New Roman" w:hAnsi="Arial" w:cs="Arial"/>
                <w:lang w:eastAsia="en-GB"/>
              </w:rPr>
              <w:t xml:space="preserve"> </w:t>
            </w:r>
            <w:r w:rsidR="005F4BBB" w:rsidRPr="00FD02F8">
              <w:rPr>
                <w:rFonts w:ascii="Arial" w:eastAsia="Times New Roman" w:hAnsi="Arial" w:cs="Arial"/>
                <w:lang w:eastAsia="en-GB"/>
              </w:rPr>
              <w:t>67</w:t>
            </w:r>
            <w:r w:rsidR="007C35D8" w:rsidRPr="00FD02F8">
              <w:rPr>
                <w:rFonts w:ascii="Arial" w:eastAsia="Times New Roman" w:hAnsi="Arial" w:cs="Arial"/>
                <w:lang w:eastAsia="en-GB"/>
              </w:rPr>
              <w:t xml:space="preserve"> Significant</w:t>
            </w:r>
            <w:r w:rsidR="006F2B79" w:rsidRPr="00FD02F8">
              <w:rPr>
                <w:rFonts w:ascii="Arial" w:eastAsia="Times New Roman" w:hAnsi="Arial" w:cs="Arial"/>
                <w:lang w:eastAsia="en-GB"/>
              </w:rPr>
              <w:t>.</w:t>
            </w:r>
          </w:p>
        </w:tc>
        <w:tc>
          <w:tcPr>
            <w:tcW w:w="320" w:type="pct"/>
            <w:tcBorders>
              <w:top w:val="single" w:sz="8" w:space="0" w:color="auto"/>
              <w:left w:val="single" w:sz="8" w:space="0" w:color="auto"/>
              <w:bottom w:val="single" w:sz="8" w:space="0" w:color="auto"/>
              <w:right w:val="single" w:sz="8" w:space="0" w:color="auto"/>
            </w:tcBorders>
          </w:tcPr>
          <w:p w14:paraId="218D279B" w14:textId="77777777"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639DA5CF" w14:textId="4AAE7361" w:rsidR="00940144" w:rsidRPr="00FD02F8" w:rsidRDefault="00940144" w:rsidP="00940144">
            <w:pPr>
              <w:spacing w:line="276" w:lineRule="auto"/>
              <w:jc w:val="center"/>
              <w:textAlignment w:val="baseline"/>
              <w:rPr>
                <w:rFonts w:ascii="Arial" w:eastAsia="Times New Roman" w:hAnsi="Arial" w:cs="Arial"/>
                <w:highlight w:val="yellow"/>
                <w:lang w:eastAsia="en-GB"/>
              </w:rPr>
            </w:pPr>
          </w:p>
        </w:tc>
      </w:tr>
      <w:tr w:rsidR="00940144" w:rsidRPr="00FD02F8" w14:paraId="48E01DBE" w14:textId="6BEF8D99"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89A42A7" w14:textId="6250F13E" w:rsidR="00940144" w:rsidRPr="00FD02F8" w:rsidRDefault="00940144" w:rsidP="00940144">
            <w:pPr>
              <w:spacing w:line="276" w:lineRule="auto"/>
              <w:textAlignment w:val="baseline"/>
              <w:rPr>
                <w:rFonts w:ascii="Arial" w:hAnsi="Arial" w:cs="Arial"/>
              </w:rPr>
            </w:pPr>
            <w:r w:rsidRPr="00FD02F8">
              <w:rPr>
                <w:rFonts w:ascii="Arial" w:hAnsi="Arial" w:cs="Arial"/>
              </w:rPr>
              <w:t>CR03</w:t>
            </w:r>
          </w:p>
        </w:tc>
        <w:tc>
          <w:tcPr>
            <w:tcW w:w="417" w:type="pct"/>
            <w:tcBorders>
              <w:top w:val="single" w:sz="8" w:space="0" w:color="auto"/>
              <w:left w:val="single" w:sz="8" w:space="0" w:color="auto"/>
              <w:bottom w:val="single" w:sz="8" w:space="0" w:color="auto"/>
              <w:right w:val="single" w:sz="8" w:space="0" w:color="auto"/>
            </w:tcBorders>
          </w:tcPr>
          <w:p w14:paraId="30FBE36D" w14:textId="7EDB243D"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F9E4FF0" w14:textId="64FC9E16" w:rsidR="00940144" w:rsidRPr="00FD02F8" w:rsidRDefault="00940144" w:rsidP="00940144">
            <w:pPr>
              <w:spacing w:line="276" w:lineRule="auto"/>
              <w:textAlignment w:val="baseline"/>
              <w:rPr>
                <w:rFonts w:ascii="Arial" w:hAnsi="Arial" w:cs="Arial"/>
              </w:rPr>
            </w:pPr>
            <w:r w:rsidRPr="00FD02F8">
              <w:rPr>
                <w:rFonts w:ascii="Arial" w:hAnsi="Arial" w:cs="Arial"/>
              </w:rPr>
              <w:t>Percentage of daily Flood Guidance Statements and Scottish Flood Forecasts issued on time ​- Maintaining</w:t>
            </w:r>
          </w:p>
        </w:tc>
        <w:tc>
          <w:tcPr>
            <w:tcW w:w="384" w:type="pct"/>
            <w:tcBorders>
              <w:top w:val="single" w:sz="8" w:space="0" w:color="auto"/>
              <w:left w:val="single" w:sz="8" w:space="0" w:color="auto"/>
              <w:bottom w:val="single" w:sz="8" w:space="0" w:color="auto"/>
              <w:right w:val="single" w:sz="8" w:space="0" w:color="auto"/>
            </w:tcBorders>
          </w:tcPr>
          <w:p w14:paraId="1749D83D" w14:textId="39D34178"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5FBBA9A9" w14:textId="77777777"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2023/24</w:t>
            </w:r>
          </w:p>
          <w:p w14:paraId="3D688F76" w14:textId="77777777"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84% by 10:30</w:t>
            </w:r>
          </w:p>
          <w:p w14:paraId="22FFFC2F" w14:textId="6F547E40"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98% by 11:00</w:t>
            </w:r>
          </w:p>
        </w:tc>
        <w:tc>
          <w:tcPr>
            <w:tcW w:w="545" w:type="pct"/>
            <w:tcBorders>
              <w:top w:val="single" w:sz="8" w:space="0" w:color="auto"/>
              <w:left w:val="single" w:sz="8" w:space="0" w:color="auto"/>
              <w:bottom w:val="single" w:sz="8" w:space="0" w:color="auto"/>
              <w:right w:val="single" w:sz="8" w:space="0" w:color="auto"/>
            </w:tcBorders>
          </w:tcPr>
          <w:p w14:paraId="2EFAA57C" w14:textId="6AF3663C"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At least 84% of Flood Guidance Statements are issued by 10:30am and 98% by 11:00am. The Scottish Flood Forecast is published at the same time.</w:t>
            </w:r>
          </w:p>
        </w:tc>
        <w:tc>
          <w:tcPr>
            <w:tcW w:w="417" w:type="pct"/>
            <w:tcBorders>
              <w:top w:val="single" w:sz="8" w:space="0" w:color="auto"/>
              <w:left w:val="single" w:sz="8" w:space="0" w:color="auto"/>
              <w:bottom w:val="single" w:sz="8" w:space="0" w:color="auto"/>
              <w:right w:val="single" w:sz="8" w:space="0" w:color="auto"/>
            </w:tcBorders>
          </w:tcPr>
          <w:p w14:paraId="1624438B" w14:textId="77777777" w:rsidR="0049131C" w:rsidRPr="00FD02F8" w:rsidRDefault="0049131C" w:rsidP="0049131C">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83.7% of the Flood Guidance Statements were issued by 10:30</w:t>
            </w:r>
          </w:p>
          <w:p w14:paraId="476D5845" w14:textId="465E3E2B" w:rsidR="00940144" w:rsidRPr="00FD02F8" w:rsidRDefault="0049131C"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98.9</w:t>
            </w:r>
            <w:r w:rsidR="00BD00F8" w:rsidRPr="00FD02F8">
              <w:rPr>
                <w:rFonts w:ascii="Arial" w:eastAsia="Times New Roman" w:hAnsi="Arial" w:cs="Arial"/>
                <w:lang w:eastAsia="en-GB"/>
              </w:rPr>
              <w:t>% of Flood Guidance Statements were issued by 11:00</w:t>
            </w:r>
            <w:r w:rsidR="00084548" w:rsidRPr="00FD02F8">
              <w:rPr>
                <w:rFonts w:ascii="Arial" w:eastAsia="Times New Roman" w:hAnsi="Arial" w:cs="Arial"/>
                <w:lang w:eastAsia="en-GB"/>
              </w:rPr>
              <w:t>.</w:t>
            </w:r>
            <w:r w:rsidRPr="00FD02F8">
              <w:rPr>
                <w:rFonts w:ascii="Arial" w:eastAsia="Times New Roman" w:hAnsi="Arial" w:cs="Arial"/>
                <w:lang w:eastAsia="en-GB"/>
              </w:rPr>
              <w:t xml:space="preserve"> </w:t>
            </w:r>
          </w:p>
        </w:tc>
        <w:tc>
          <w:tcPr>
            <w:tcW w:w="385" w:type="pct"/>
            <w:tcBorders>
              <w:top w:val="single" w:sz="8" w:space="0" w:color="auto"/>
              <w:left w:val="single" w:sz="8" w:space="0" w:color="auto"/>
              <w:bottom w:val="single" w:sz="8" w:space="0" w:color="auto"/>
              <w:right w:val="single" w:sz="8" w:space="0" w:color="auto"/>
            </w:tcBorders>
          </w:tcPr>
          <w:p w14:paraId="3DA671B2" w14:textId="1BF7D460" w:rsidR="00940144" w:rsidRPr="00FD02F8" w:rsidRDefault="00071165"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Partially </w:t>
            </w:r>
            <w:r w:rsidR="00C23D3F" w:rsidRPr="00FD02F8">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575047E6" w14:textId="378F3259" w:rsidR="00940144" w:rsidRPr="00FD02F8" w:rsidRDefault="009B4097" w:rsidP="00C23D3F">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C</w:t>
            </w:r>
            <w:r w:rsidR="00EB6565" w:rsidRPr="00FD02F8">
              <w:rPr>
                <w:rFonts w:ascii="Arial" w:eastAsia="Times New Roman" w:hAnsi="Arial" w:cs="Arial"/>
                <w:lang w:eastAsia="en-GB"/>
              </w:rPr>
              <w:t>umulative p</w:t>
            </w:r>
            <w:r w:rsidR="00630D1B" w:rsidRPr="00FD02F8">
              <w:rPr>
                <w:rFonts w:ascii="Arial" w:eastAsia="Times New Roman" w:hAnsi="Arial" w:cs="Arial"/>
                <w:lang w:eastAsia="en-GB"/>
              </w:rPr>
              <w:t>rogress at Q</w:t>
            </w:r>
            <w:r w:rsidR="003F3D7E" w:rsidRPr="00FD02F8">
              <w:rPr>
                <w:rFonts w:ascii="Arial" w:eastAsia="Times New Roman" w:hAnsi="Arial" w:cs="Arial"/>
                <w:lang w:eastAsia="en-GB"/>
              </w:rPr>
              <w:t>3</w:t>
            </w:r>
            <w:r w:rsidR="00630D1B" w:rsidRPr="00FD02F8">
              <w:rPr>
                <w:rFonts w:ascii="Arial" w:eastAsia="Times New Roman" w:hAnsi="Arial" w:cs="Arial"/>
                <w:lang w:eastAsia="en-GB"/>
              </w:rPr>
              <w:t xml:space="preserve"> ahead of </w:t>
            </w:r>
            <w:r w:rsidR="00614A98" w:rsidRPr="00FD02F8">
              <w:rPr>
                <w:rFonts w:ascii="Arial" w:eastAsia="Times New Roman" w:hAnsi="Arial" w:cs="Arial"/>
                <w:lang w:eastAsia="en-GB"/>
              </w:rPr>
              <w:t>target</w:t>
            </w:r>
            <w:r w:rsidR="00EB0FB9" w:rsidRPr="00FD02F8">
              <w:rPr>
                <w:rFonts w:ascii="Arial" w:eastAsia="Times New Roman" w:hAnsi="Arial" w:cs="Arial"/>
                <w:lang w:eastAsia="en-GB"/>
              </w:rPr>
              <w:t>:</w:t>
            </w:r>
          </w:p>
          <w:p w14:paraId="5051777F" w14:textId="77777777" w:rsidR="00974BA9" w:rsidRPr="00FD02F8" w:rsidRDefault="00974BA9" w:rsidP="00C23D3F">
            <w:pPr>
              <w:spacing w:line="276" w:lineRule="auto"/>
              <w:textAlignment w:val="baseline"/>
              <w:rPr>
                <w:rFonts w:ascii="Arial" w:eastAsia="Times New Roman" w:hAnsi="Arial" w:cs="Arial"/>
                <w:lang w:eastAsia="en-GB"/>
              </w:rPr>
            </w:pPr>
          </w:p>
          <w:p w14:paraId="27D07E69" w14:textId="71ADA8DF" w:rsidR="00974BA9" w:rsidRPr="00FD02F8" w:rsidRDefault="003F3D7E" w:rsidP="003E2603">
            <w:pPr>
              <w:pStyle w:val="ListParagraph"/>
              <w:numPr>
                <w:ilvl w:val="0"/>
                <w:numId w:val="4"/>
              </w:numPr>
              <w:spacing w:line="276" w:lineRule="auto"/>
              <w:textAlignment w:val="baseline"/>
              <w:rPr>
                <w:rFonts w:ascii="Arial" w:eastAsia="Times New Roman" w:hAnsi="Arial" w:cs="Arial"/>
                <w:sz w:val="24"/>
                <w:szCs w:val="28"/>
                <w:lang w:val="en-GB" w:eastAsia="en-GB"/>
              </w:rPr>
            </w:pPr>
            <w:r w:rsidRPr="00FD02F8">
              <w:rPr>
                <w:rFonts w:ascii="Arial" w:eastAsia="Times New Roman" w:hAnsi="Arial" w:cs="Arial"/>
                <w:sz w:val="24"/>
                <w:szCs w:val="28"/>
                <w:lang w:val="en-GB" w:eastAsia="en-GB"/>
              </w:rPr>
              <w:t>90.2</w:t>
            </w:r>
            <w:r w:rsidR="003C0784" w:rsidRPr="00FD02F8">
              <w:rPr>
                <w:rFonts w:ascii="Arial" w:eastAsia="Times New Roman" w:hAnsi="Arial" w:cs="Arial"/>
                <w:sz w:val="24"/>
                <w:szCs w:val="28"/>
                <w:lang w:val="en-GB" w:eastAsia="en-GB"/>
              </w:rPr>
              <w:t xml:space="preserve">% </w:t>
            </w:r>
            <w:r w:rsidR="009D789E" w:rsidRPr="00FD02F8">
              <w:rPr>
                <w:rFonts w:ascii="Arial" w:eastAsia="Times New Roman" w:hAnsi="Arial" w:cs="Arial"/>
                <w:sz w:val="24"/>
                <w:szCs w:val="28"/>
                <w:lang w:val="en-GB" w:eastAsia="en-GB"/>
              </w:rPr>
              <w:t>Flood Guidance Statements issued by 10:30</w:t>
            </w:r>
          </w:p>
          <w:p w14:paraId="21C6DA61" w14:textId="2CAADCF0" w:rsidR="00FC797E" w:rsidRPr="00FD02F8" w:rsidRDefault="003A2814" w:rsidP="003E2603">
            <w:pPr>
              <w:pStyle w:val="ListParagraph"/>
              <w:numPr>
                <w:ilvl w:val="0"/>
                <w:numId w:val="4"/>
              </w:numPr>
              <w:spacing w:line="276" w:lineRule="auto"/>
              <w:textAlignment w:val="baseline"/>
              <w:rPr>
                <w:rFonts w:ascii="Arial" w:eastAsia="Times New Roman" w:hAnsi="Arial" w:cs="Arial"/>
                <w:sz w:val="24"/>
                <w:szCs w:val="28"/>
                <w:lang w:val="en-GB" w:eastAsia="en-GB"/>
              </w:rPr>
            </w:pPr>
            <w:r w:rsidRPr="00FD02F8">
              <w:rPr>
                <w:rFonts w:ascii="Arial" w:eastAsia="Times New Roman" w:hAnsi="Arial" w:cs="Arial"/>
                <w:sz w:val="24"/>
                <w:szCs w:val="28"/>
                <w:lang w:val="en-GB" w:eastAsia="en-GB"/>
              </w:rPr>
              <w:t>99.</w:t>
            </w:r>
            <w:r w:rsidR="003F3D7E" w:rsidRPr="00FD02F8">
              <w:rPr>
                <w:rFonts w:ascii="Arial" w:eastAsia="Times New Roman" w:hAnsi="Arial" w:cs="Arial"/>
                <w:sz w:val="24"/>
                <w:szCs w:val="28"/>
                <w:lang w:val="en-GB" w:eastAsia="en-GB"/>
              </w:rPr>
              <w:t>3</w:t>
            </w:r>
            <w:r w:rsidRPr="00FD02F8">
              <w:rPr>
                <w:rFonts w:ascii="Arial" w:eastAsia="Times New Roman" w:hAnsi="Arial" w:cs="Arial"/>
                <w:sz w:val="24"/>
                <w:szCs w:val="28"/>
                <w:lang w:val="en-GB" w:eastAsia="en-GB"/>
              </w:rPr>
              <w:t>%</w:t>
            </w:r>
            <w:r w:rsidR="009D789E" w:rsidRPr="00FD02F8">
              <w:rPr>
                <w:rFonts w:ascii="Arial" w:eastAsia="Times New Roman" w:hAnsi="Arial" w:cs="Arial"/>
                <w:sz w:val="24"/>
                <w:szCs w:val="28"/>
                <w:lang w:val="en-GB" w:eastAsia="en-GB"/>
              </w:rPr>
              <w:t xml:space="preserve"> Flood Guidance Statements were issued by 11:00</w:t>
            </w:r>
          </w:p>
          <w:p w14:paraId="4AEEE8EE" w14:textId="53E63058" w:rsidR="003C0784" w:rsidRPr="00FD02F8" w:rsidRDefault="003C0784" w:rsidP="001F1830">
            <w:pPr>
              <w:spacing w:line="276" w:lineRule="auto"/>
              <w:textAlignment w:val="baseline"/>
              <w:rPr>
                <w:rFonts w:ascii="Arial" w:eastAsia="Times New Roman" w:hAnsi="Arial" w:cs="Arial"/>
                <w:highlight w:val="yellow"/>
                <w:lang w:eastAsia="en-GB"/>
              </w:rPr>
            </w:pPr>
          </w:p>
        </w:tc>
        <w:tc>
          <w:tcPr>
            <w:tcW w:w="320" w:type="pct"/>
            <w:tcBorders>
              <w:top w:val="single" w:sz="8" w:space="0" w:color="auto"/>
              <w:left w:val="single" w:sz="8" w:space="0" w:color="auto"/>
              <w:bottom w:val="single" w:sz="8" w:space="0" w:color="auto"/>
              <w:right w:val="single" w:sz="8" w:space="0" w:color="auto"/>
            </w:tcBorders>
          </w:tcPr>
          <w:p w14:paraId="3C13AB57" w14:textId="6D80D94A"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60182330" w14:textId="5D804D88" w:rsidR="00940144" w:rsidRPr="00FD02F8" w:rsidRDefault="00940144" w:rsidP="00940144">
            <w:pPr>
              <w:spacing w:line="276" w:lineRule="auto"/>
              <w:jc w:val="center"/>
              <w:textAlignment w:val="baseline"/>
              <w:rPr>
                <w:rFonts w:ascii="Arial" w:eastAsia="Times New Roman" w:hAnsi="Arial" w:cs="Arial"/>
                <w:highlight w:val="yellow"/>
                <w:lang w:eastAsia="en-GB"/>
              </w:rPr>
            </w:pPr>
          </w:p>
        </w:tc>
      </w:tr>
      <w:tr w:rsidR="00940144" w:rsidRPr="00FD02F8" w14:paraId="6CD37AE4" w14:textId="489565AF"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8E1D139" w14:textId="78441A6F" w:rsidR="00940144" w:rsidRPr="00FD02F8" w:rsidRDefault="00940144" w:rsidP="00940144">
            <w:pPr>
              <w:spacing w:line="276" w:lineRule="auto"/>
              <w:textAlignment w:val="baseline"/>
              <w:rPr>
                <w:rFonts w:ascii="Arial" w:hAnsi="Arial" w:cs="Arial"/>
              </w:rPr>
            </w:pPr>
            <w:r w:rsidRPr="00FD02F8">
              <w:rPr>
                <w:rFonts w:ascii="Arial" w:hAnsi="Arial" w:cs="Arial"/>
              </w:rPr>
              <w:lastRenderedPageBreak/>
              <w:t>CR04</w:t>
            </w:r>
          </w:p>
        </w:tc>
        <w:tc>
          <w:tcPr>
            <w:tcW w:w="417" w:type="pct"/>
            <w:tcBorders>
              <w:top w:val="single" w:sz="8" w:space="0" w:color="auto"/>
              <w:left w:val="single" w:sz="8" w:space="0" w:color="auto"/>
              <w:bottom w:val="single" w:sz="8" w:space="0" w:color="auto"/>
              <w:right w:val="single" w:sz="8" w:space="0" w:color="auto"/>
            </w:tcBorders>
          </w:tcPr>
          <w:p w14:paraId="6A245152" w14:textId="720C19DC"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51742BB" w14:textId="516AAEB6" w:rsidR="00940144" w:rsidRPr="00FD02F8" w:rsidRDefault="00940144" w:rsidP="00940144">
            <w:pPr>
              <w:spacing w:line="276" w:lineRule="auto"/>
              <w:rPr>
                <w:rFonts w:ascii="Arial" w:hAnsi="Arial" w:cs="Arial"/>
              </w:rPr>
            </w:pPr>
            <w:r w:rsidRPr="00FD02F8">
              <w:rPr>
                <w:rFonts w:ascii="Arial" w:hAnsi="Arial" w:cs="Arial"/>
              </w:rPr>
              <w:t>Percentage of water scarcity warnings and alerts issued on time - Maintaining</w:t>
            </w:r>
          </w:p>
        </w:tc>
        <w:tc>
          <w:tcPr>
            <w:tcW w:w="384" w:type="pct"/>
            <w:tcBorders>
              <w:top w:val="single" w:sz="8" w:space="0" w:color="auto"/>
              <w:left w:val="single" w:sz="8" w:space="0" w:color="auto"/>
              <w:bottom w:val="single" w:sz="8" w:space="0" w:color="auto"/>
              <w:right w:val="single" w:sz="8" w:space="0" w:color="auto"/>
            </w:tcBorders>
          </w:tcPr>
          <w:p w14:paraId="70262845" w14:textId="7FDC19B5"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2429A96D" w14:textId="1B86E672"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No baseline, first year of reporting. 2025/26 will establish the baseline.</w:t>
            </w:r>
          </w:p>
        </w:tc>
        <w:tc>
          <w:tcPr>
            <w:tcW w:w="545" w:type="pct"/>
            <w:tcBorders>
              <w:top w:val="single" w:sz="8" w:space="0" w:color="auto"/>
              <w:left w:val="single" w:sz="8" w:space="0" w:color="auto"/>
              <w:bottom w:val="single" w:sz="8" w:space="0" w:color="auto"/>
              <w:right w:val="single" w:sz="8" w:space="0" w:color="auto"/>
            </w:tcBorders>
          </w:tcPr>
          <w:p w14:paraId="23872983" w14:textId="38A0A744"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Water Scarcity reports published on Thursdays by 15:00.</w:t>
            </w:r>
          </w:p>
          <w:p w14:paraId="4B348B54" w14:textId="740B7BC4"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100% of messages to abstractors </w:t>
            </w:r>
            <w:bookmarkStart w:id="19" w:name="_Int_62tex9so"/>
            <w:r w:rsidRPr="00FD02F8">
              <w:rPr>
                <w:rFonts w:ascii="Arial" w:eastAsia="Times New Roman" w:hAnsi="Arial" w:cs="Arial"/>
                <w:lang w:eastAsia="en-GB"/>
              </w:rPr>
              <w:t>as a result of</w:t>
            </w:r>
            <w:bookmarkEnd w:id="19"/>
            <w:r w:rsidRPr="00FD02F8">
              <w:rPr>
                <w:rFonts w:ascii="Arial" w:eastAsia="Times New Roman" w:hAnsi="Arial" w:cs="Arial"/>
                <w:lang w:eastAsia="en-GB"/>
              </w:rPr>
              <w:t xml:space="preserve"> changes to locations status in relation to Water Scarcity </w:t>
            </w:r>
            <w:r w:rsidRPr="00FD02F8">
              <w:t>level</w:t>
            </w:r>
            <w:r w:rsidRPr="00FD02F8">
              <w:rPr>
                <w:rFonts w:ascii="Arial" w:eastAsia="Times New Roman" w:hAnsi="Arial" w:cs="Arial"/>
                <w:lang w:eastAsia="en-GB"/>
              </w:rPr>
              <w:t xml:space="preserve"> sent by Friday 15:00.</w:t>
            </w:r>
          </w:p>
        </w:tc>
        <w:tc>
          <w:tcPr>
            <w:tcW w:w="417" w:type="pct"/>
            <w:tcBorders>
              <w:top w:val="single" w:sz="8" w:space="0" w:color="auto"/>
              <w:left w:val="single" w:sz="8" w:space="0" w:color="auto"/>
              <w:bottom w:val="single" w:sz="8" w:space="0" w:color="auto"/>
              <w:right w:val="single" w:sz="8" w:space="0" w:color="auto"/>
            </w:tcBorders>
          </w:tcPr>
          <w:p w14:paraId="6867AFE3" w14:textId="425964FA" w:rsidR="00940144" w:rsidRPr="00FD02F8" w:rsidRDefault="00A87FF2"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100%</w:t>
            </w:r>
            <w:r w:rsidR="00EB11AC" w:rsidRPr="00FD02F8">
              <w:rPr>
                <w:rFonts w:ascii="Arial" w:eastAsia="Times New Roman" w:hAnsi="Arial" w:cs="Arial"/>
                <w:highlight w:val="yellow"/>
                <w:lang w:eastAsia="en-GB"/>
              </w:rPr>
              <w:t xml:space="preserve"> </w:t>
            </w:r>
          </w:p>
        </w:tc>
        <w:tc>
          <w:tcPr>
            <w:tcW w:w="385" w:type="pct"/>
            <w:tcBorders>
              <w:top w:val="single" w:sz="8" w:space="0" w:color="auto"/>
              <w:left w:val="single" w:sz="8" w:space="0" w:color="auto"/>
              <w:bottom w:val="single" w:sz="8" w:space="0" w:color="auto"/>
              <w:right w:val="single" w:sz="8" w:space="0" w:color="auto"/>
            </w:tcBorders>
          </w:tcPr>
          <w:p w14:paraId="08198588" w14:textId="1FC55264" w:rsidR="00940144" w:rsidRPr="00FD02F8" w:rsidRDefault="00C23D3F"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1F8A9C84" w14:textId="00494427" w:rsidR="008600D5" w:rsidRPr="00FD02F8" w:rsidRDefault="008600D5" w:rsidP="00FA676D">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100% performance maintained from Q1 and Q2. </w:t>
            </w:r>
          </w:p>
          <w:p w14:paraId="1D21D488" w14:textId="77777777" w:rsidR="00841252" w:rsidRPr="00FD02F8" w:rsidRDefault="00841252" w:rsidP="00FA676D">
            <w:pPr>
              <w:spacing w:line="276" w:lineRule="auto"/>
              <w:textAlignment w:val="baseline"/>
              <w:rPr>
                <w:rFonts w:ascii="Arial" w:eastAsia="Times New Roman" w:hAnsi="Arial" w:cs="Arial"/>
                <w:lang w:eastAsia="en-GB"/>
              </w:rPr>
            </w:pPr>
          </w:p>
          <w:p w14:paraId="69BAAC3B" w14:textId="4CF7CAD6" w:rsidR="00841252" w:rsidRPr="00FD02F8" w:rsidRDefault="00AF6C48" w:rsidP="00FA676D">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All identified authorisation holders whose activities are affected by water scarcity and who have supplied up to date contact information was supplied to SEPA, received the appropriate Water Scarcity level advice within 24 hours of the Water Scarcity Report being made public. All new and reviewed contact details are updated as required. </w:t>
            </w:r>
          </w:p>
          <w:p w14:paraId="56B3FB18" w14:textId="77777777" w:rsidR="00841252" w:rsidRPr="00FD02F8" w:rsidRDefault="00841252" w:rsidP="00FA676D">
            <w:pPr>
              <w:spacing w:line="276" w:lineRule="auto"/>
              <w:textAlignment w:val="baseline"/>
              <w:rPr>
                <w:rFonts w:ascii="Arial" w:eastAsia="Times New Roman" w:hAnsi="Arial" w:cs="Arial"/>
                <w:lang w:eastAsia="en-GB"/>
              </w:rPr>
            </w:pPr>
          </w:p>
          <w:p w14:paraId="24E48831" w14:textId="692245C6" w:rsidR="00424E44" w:rsidRPr="00FD02F8" w:rsidRDefault="00F75011" w:rsidP="00FA676D">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11,014 total communications sent </w:t>
            </w:r>
            <w:r w:rsidR="00841252" w:rsidRPr="00FD02F8">
              <w:rPr>
                <w:rFonts w:ascii="Arial" w:eastAsia="Times New Roman" w:hAnsi="Arial" w:cs="Arial"/>
                <w:lang w:eastAsia="en-GB"/>
              </w:rPr>
              <w:t>from Q1 to Q3, with breakdown shown below</w:t>
            </w:r>
            <w:r w:rsidR="007409CF" w:rsidRPr="00FD02F8">
              <w:rPr>
                <w:rFonts w:ascii="Arial" w:eastAsia="Times New Roman" w:hAnsi="Arial" w:cs="Arial"/>
                <w:lang w:eastAsia="en-GB"/>
              </w:rPr>
              <w:t xml:space="preserve">. Reduction in messages in Q3 resulting from </w:t>
            </w:r>
            <w:r w:rsidR="00D14472" w:rsidRPr="00FD02F8">
              <w:rPr>
                <w:rFonts w:ascii="Arial" w:eastAsia="Times New Roman" w:hAnsi="Arial" w:cs="Arial"/>
                <w:lang w:eastAsia="en-GB"/>
              </w:rPr>
              <w:t xml:space="preserve">fewer changes to locations status as we enter the </w:t>
            </w:r>
            <w:r w:rsidR="00646BBB" w:rsidRPr="00FD02F8">
              <w:rPr>
                <w:rFonts w:ascii="Arial" w:eastAsia="Times New Roman" w:hAnsi="Arial" w:cs="Arial"/>
                <w:lang w:eastAsia="en-GB"/>
              </w:rPr>
              <w:t>end of the year.</w:t>
            </w:r>
          </w:p>
          <w:p w14:paraId="771FE4AF" w14:textId="2E9EDE47" w:rsidR="00424E44" w:rsidRPr="00FD02F8" w:rsidRDefault="00424E44" w:rsidP="003E2603">
            <w:pPr>
              <w:pStyle w:val="ListParagraph"/>
              <w:numPr>
                <w:ilvl w:val="0"/>
                <w:numId w:val="8"/>
              </w:numPr>
              <w:spacing w:line="276" w:lineRule="auto"/>
              <w:textAlignment w:val="baseline"/>
              <w:rPr>
                <w:rFonts w:ascii="Arial" w:eastAsia="Times New Roman" w:hAnsi="Arial" w:cs="Arial"/>
                <w:sz w:val="24"/>
                <w:lang w:val="en-GB" w:eastAsia="en-GB"/>
              </w:rPr>
            </w:pPr>
            <w:r w:rsidRPr="00FD02F8">
              <w:rPr>
                <w:rFonts w:ascii="Arial" w:eastAsia="Times New Roman" w:hAnsi="Arial" w:cs="Arial"/>
                <w:sz w:val="24"/>
                <w:lang w:val="en-GB" w:eastAsia="en-GB"/>
              </w:rPr>
              <w:t>Q1 – 5960</w:t>
            </w:r>
            <w:r w:rsidR="007B6C1B" w:rsidRPr="00FD02F8">
              <w:rPr>
                <w:rFonts w:ascii="Arial" w:eastAsia="Times New Roman" w:hAnsi="Arial" w:cs="Arial"/>
                <w:sz w:val="24"/>
                <w:lang w:val="en-GB" w:eastAsia="en-GB"/>
              </w:rPr>
              <w:t>.</w:t>
            </w:r>
          </w:p>
          <w:p w14:paraId="1B0FA948" w14:textId="2A7D93E1" w:rsidR="005502D6" w:rsidRPr="00FD02F8" w:rsidRDefault="00F83BFE" w:rsidP="003E2603">
            <w:pPr>
              <w:pStyle w:val="ListParagraph"/>
              <w:numPr>
                <w:ilvl w:val="0"/>
                <w:numId w:val="8"/>
              </w:numPr>
              <w:spacing w:line="276" w:lineRule="auto"/>
              <w:textAlignment w:val="baseline"/>
              <w:rPr>
                <w:rFonts w:ascii="Arial" w:eastAsia="Times New Roman" w:hAnsi="Arial" w:cs="Arial"/>
                <w:sz w:val="24"/>
                <w:lang w:val="en-GB" w:eastAsia="en-GB"/>
              </w:rPr>
            </w:pPr>
            <w:r w:rsidRPr="00FD02F8">
              <w:rPr>
                <w:rFonts w:ascii="Arial" w:eastAsia="Times New Roman" w:hAnsi="Arial" w:cs="Arial"/>
                <w:sz w:val="24"/>
                <w:lang w:val="en-GB" w:eastAsia="en-GB"/>
              </w:rPr>
              <w:t>Q2</w:t>
            </w:r>
            <w:r w:rsidR="00424E44" w:rsidRPr="00FD02F8">
              <w:rPr>
                <w:rFonts w:ascii="Arial" w:eastAsia="Times New Roman" w:hAnsi="Arial" w:cs="Arial"/>
                <w:sz w:val="24"/>
                <w:lang w:val="en-GB" w:eastAsia="en-GB"/>
              </w:rPr>
              <w:t xml:space="preserve"> </w:t>
            </w:r>
            <w:r w:rsidR="005502D6" w:rsidRPr="00FD02F8">
              <w:rPr>
                <w:rFonts w:ascii="Arial" w:eastAsia="Times New Roman" w:hAnsi="Arial" w:cs="Arial"/>
                <w:sz w:val="24"/>
                <w:lang w:val="en-GB" w:eastAsia="en-GB"/>
              </w:rPr>
              <w:t>–</w:t>
            </w:r>
            <w:r w:rsidRPr="00FD02F8">
              <w:rPr>
                <w:rFonts w:ascii="Arial" w:eastAsia="Times New Roman" w:hAnsi="Arial" w:cs="Arial"/>
                <w:sz w:val="24"/>
                <w:lang w:val="en-GB" w:eastAsia="en-GB"/>
              </w:rPr>
              <w:t xml:space="preserve"> 4900</w:t>
            </w:r>
            <w:r w:rsidR="007B6C1B" w:rsidRPr="00FD02F8">
              <w:rPr>
                <w:rFonts w:ascii="Arial" w:eastAsia="Times New Roman" w:hAnsi="Arial" w:cs="Arial"/>
                <w:sz w:val="24"/>
                <w:lang w:val="en-GB" w:eastAsia="en-GB"/>
              </w:rPr>
              <w:t>.</w:t>
            </w:r>
          </w:p>
          <w:p w14:paraId="25B7B8A1" w14:textId="6463D6D7" w:rsidR="00F83BFE" w:rsidRPr="00FD02F8" w:rsidRDefault="005502D6" w:rsidP="003E2603">
            <w:pPr>
              <w:pStyle w:val="ListParagraph"/>
              <w:numPr>
                <w:ilvl w:val="0"/>
                <w:numId w:val="8"/>
              </w:numPr>
              <w:spacing w:line="276" w:lineRule="auto"/>
              <w:textAlignment w:val="baseline"/>
              <w:rPr>
                <w:rFonts w:ascii="Arial" w:eastAsia="Times New Roman" w:hAnsi="Arial" w:cs="Arial"/>
                <w:lang w:val="en-GB" w:eastAsia="en-GB"/>
              </w:rPr>
            </w:pPr>
            <w:r w:rsidRPr="00FD02F8">
              <w:rPr>
                <w:rFonts w:ascii="Arial" w:eastAsia="Times New Roman" w:hAnsi="Arial" w:cs="Arial"/>
                <w:sz w:val="24"/>
                <w:lang w:val="en-GB" w:eastAsia="en-GB"/>
              </w:rPr>
              <w:t>Q3</w:t>
            </w:r>
            <w:r w:rsidR="00B20EBE">
              <w:rPr>
                <w:rFonts w:ascii="Arial" w:eastAsia="Times New Roman" w:hAnsi="Arial" w:cs="Arial"/>
                <w:sz w:val="24"/>
                <w:lang w:val="en-GB" w:eastAsia="en-GB"/>
              </w:rPr>
              <w:t xml:space="preserve"> - </w:t>
            </w:r>
            <w:r w:rsidR="00AF6C48" w:rsidRPr="00FD02F8">
              <w:rPr>
                <w:rFonts w:ascii="Arial" w:eastAsia="Times New Roman" w:hAnsi="Arial" w:cs="Arial"/>
                <w:sz w:val="24"/>
                <w:lang w:val="en-GB" w:eastAsia="en-GB"/>
              </w:rPr>
              <w:t>154.</w:t>
            </w:r>
          </w:p>
        </w:tc>
        <w:tc>
          <w:tcPr>
            <w:tcW w:w="320" w:type="pct"/>
            <w:tcBorders>
              <w:top w:val="single" w:sz="8" w:space="0" w:color="auto"/>
              <w:left w:val="single" w:sz="8" w:space="0" w:color="auto"/>
              <w:bottom w:val="single" w:sz="8" w:space="0" w:color="auto"/>
              <w:right w:val="single" w:sz="8" w:space="0" w:color="auto"/>
            </w:tcBorders>
          </w:tcPr>
          <w:p w14:paraId="0EBAF0D1" w14:textId="77777777"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266AC64A" w14:textId="12562AF7" w:rsidR="00940144" w:rsidRPr="00FD02F8" w:rsidRDefault="00940144" w:rsidP="00940144">
            <w:pPr>
              <w:spacing w:line="276" w:lineRule="auto"/>
              <w:jc w:val="center"/>
              <w:textAlignment w:val="baseline"/>
              <w:rPr>
                <w:rFonts w:ascii="Arial" w:eastAsia="Times New Roman" w:hAnsi="Arial" w:cs="Arial"/>
                <w:highlight w:val="yellow"/>
                <w:lang w:eastAsia="en-GB"/>
              </w:rPr>
            </w:pPr>
          </w:p>
        </w:tc>
      </w:tr>
      <w:tr w:rsidR="00940144" w:rsidRPr="00FD02F8" w14:paraId="35B03B5F" w14:textId="2D87B6BE"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081E7E75" w14:textId="6B1C9DE4" w:rsidR="00940144" w:rsidRPr="00FD02F8" w:rsidRDefault="00940144" w:rsidP="00940144">
            <w:pPr>
              <w:spacing w:line="276" w:lineRule="auto"/>
              <w:textAlignment w:val="baseline"/>
              <w:rPr>
                <w:rFonts w:ascii="Arial" w:hAnsi="Arial" w:cs="Arial"/>
              </w:rPr>
            </w:pPr>
            <w:r w:rsidRPr="00FD02F8">
              <w:rPr>
                <w:rFonts w:ascii="Arial" w:hAnsi="Arial" w:cs="Arial"/>
              </w:rPr>
              <w:t>CR05</w:t>
            </w:r>
          </w:p>
        </w:tc>
        <w:tc>
          <w:tcPr>
            <w:tcW w:w="417" w:type="pct"/>
            <w:tcBorders>
              <w:top w:val="single" w:sz="8" w:space="0" w:color="auto"/>
              <w:left w:val="single" w:sz="8" w:space="0" w:color="auto"/>
              <w:bottom w:val="single" w:sz="8" w:space="0" w:color="auto"/>
              <w:right w:val="single" w:sz="8" w:space="0" w:color="auto"/>
            </w:tcBorders>
          </w:tcPr>
          <w:p w14:paraId="14E60B46" w14:textId="52DCC350"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5942B464" w14:textId="1AF070E9" w:rsidR="00940144" w:rsidRPr="00FD02F8" w:rsidRDefault="00940144" w:rsidP="00940144">
            <w:pPr>
              <w:spacing w:line="276" w:lineRule="auto"/>
              <w:textAlignment w:val="baseline"/>
              <w:rPr>
                <w:rFonts w:ascii="Arial" w:hAnsi="Arial" w:cs="Arial"/>
              </w:rPr>
            </w:pPr>
            <w:r w:rsidRPr="00FD02F8">
              <w:rPr>
                <w:rFonts w:ascii="Arial" w:hAnsi="Arial" w:cs="Arial"/>
              </w:rPr>
              <w:t>Number of people accessing flood warning information on SEPA’s website ​- Maintaining</w:t>
            </w:r>
          </w:p>
        </w:tc>
        <w:tc>
          <w:tcPr>
            <w:tcW w:w="384" w:type="pct"/>
            <w:tcBorders>
              <w:top w:val="single" w:sz="8" w:space="0" w:color="auto"/>
              <w:left w:val="single" w:sz="8" w:space="0" w:color="auto"/>
              <w:bottom w:val="single" w:sz="8" w:space="0" w:color="auto"/>
              <w:right w:val="single" w:sz="8" w:space="0" w:color="auto"/>
            </w:tcBorders>
          </w:tcPr>
          <w:p w14:paraId="18B3214A" w14:textId="6681D5B8"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104CA448" w14:textId="5E471F10" w:rsidR="00940144" w:rsidRPr="005824C3" w:rsidRDefault="00940144" w:rsidP="00940144">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896,038 annual users accessing SEPA flood forecasting and warning services web pages.</w:t>
            </w:r>
          </w:p>
          <w:p w14:paraId="164B455E" w14:textId="664CACFE" w:rsidR="00940144" w:rsidRPr="005824C3" w:rsidRDefault="00940144" w:rsidP="00940144">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Baseline derived using data from 1 January 2024 – 31 December 2024</w:t>
            </w:r>
          </w:p>
        </w:tc>
        <w:tc>
          <w:tcPr>
            <w:tcW w:w="545" w:type="pct"/>
            <w:tcBorders>
              <w:top w:val="single" w:sz="8" w:space="0" w:color="auto"/>
              <w:left w:val="single" w:sz="8" w:space="0" w:color="auto"/>
              <w:bottom w:val="single" w:sz="8" w:space="0" w:color="auto"/>
              <w:right w:val="single" w:sz="8" w:space="0" w:color="auto"/>
            </w:tcBorders>
          </w:tcPr>
          <w:p w14:paraId="52C26CF3" w14:textId="32FA3507" w:rsidR="00940144" w:rsidRPr="005824C3" w:rsidRDefault="00940144" w:rsidP="00940144">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Maintaining – The number of users will be dependent on the duration of a flood event and associated conditions.</w:t>
            </w:r>
          </w:p>
        </w:tc>
        <w:tc>
          <w:tcPr>
            <w:tcW w:w="417" w:type="pct"/>
            <w:tcBorders>
              <w:top w:val="single" w:sz="8" w:space="0" w:color="auto"/>
              <w:left w:val="single" w:sz="8" w:space="0" w:color="auto"/>
              <w:bottom w:val="single" w:sz="8" w:space="0" w:color="auto"/>
              <w:right w:val="single" w:sz="8" w:space="0" w:color="auto"/>
            </w:tcBorders>
          </w:tcPr>
          <w:p w14:paraId="6F0F36A5" w14:textId="34379ADB" w:rsidR="00940144" w:rsidRPr="005824C3" w:rsidRDefault="00DC7BEF" w:rsidP="00940144">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195,197</w:t>
            </w:r>
            <w:r w:rsidR="004F10F0" w:rsidRPr="005824C3">
              <w:rPr>
                <w:rFonts w:ascii="Arial" w:eastAsia="Times New Roman" w:hAnsi="Arial" w:cs="Arial"/>
                <w:shd w:val="clear" w:color="auto" w:fill="FFFFFF" w:themeFill="background1"/>
                <w:lang w:eastAsia="en-GB"/>
              </w:rPr>
              <w:t xml:space="preserve"> views</w:t>
            </w:r>
          </w:p>
        </w:tc>
        <w:tc>
          <w:tcPr>
            <w:tcW w:w="385" w:type="pct"/>
            <w:tcBorders>
              <w:top w:val="single" w:sz="8" w:space="0" w:color="auto"/>
              <w:left w:val="single" w:sz="8" w:space="0" w:color="auto"/>
              <w:bottom w:val="single" w:sz="8" w:space="0" w:color="auto"/>
              <w:right w:val="single" w:sz="8" w:space="0" w:color="auto"/>
            </w:tcBorders>
          </w:tcPr>
          <w:p w14:paraId="239BD381" w14:textId="48913642" w:rsidR="00940144" w:rsidRPr="005824C3" w:rsidRDefault="00E32BC5" w:rsidP="00940144">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Partially Achieving</w:t>
            </w:r>
          </w:p>
        </w:tc>
        <w:tc>
          <w:tcPr>
            <w:tcW w:w="1026" w:type="pct"/>
            <w:tcBorders>
              <w:top w:val="single" w:sz="8" w:space="0" w:color="auto"/>
              <w:left w:val="single" w:sz="8" w:space="0" w:color="auto"/>
              <w:bottom w:val="single" w:sz="8" w:space="0" w:color="auto"/>
              <w:right w:val="single" w:sz="8" w:space="0" w:color="auto"/>
            </w:tcBorders>
          </w:tcPr>
          <w:p w14:paraId="343E8F85" w14:textId="2D424A1D" w:rsidR="00187EC2" w:rsidRPr="005824C3" w:rsidRDefault="00187EC2" w:rsidP="00187EC2">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Cumulative total for year is 365,061</w:t>
            </w:r>
            <w:r w:rsidR="00BC1552" w:rsidRPr="005824C3">
              <w:rPr>
                <w:rFonts w:ascii="Arial" w:eastAsia="Times New Roman" w:hAnsi="Arial" w:cs="Arial"/>
                <w:lang w:eastAsia="en-GB"/>
              </w:rPr>
              <w:t xml:space="preserve"> views</w:t>
            </w:r>
            <w:r w:rsidR="002C7105" w:rsidRPr="005824C3">
              <w:rPr>
                <w:rFonts w:ascii="Arial" w:eastAsia="Times New Roman" w:hAnsi="Arial" w:cs="Arial"/>
                <w:lang w:eastAsia="en-GB"/>
              </w:rPr>
              <w:t xml:space="preserve"> of SEPA flood forecasting and warning services web pages</w:t>
            </w:r>
            <w:r w:rsidR="00BC1552" w:rsidRPr="005824C3">
              <w:rPr>
                <w:rFonts w:ascii="Arial" w:eastAsia="Times New Roman" w:hAnsi="Arial" w:cs="Arial"/>
                <w:lang w:eastAsia="en-GB"/>
              </w:rPr>
              <w:t xml:space="preserve">. </w:t>
            </w:r>
          </w:p>
          <w:p w14:paraId="049F6E4D" w14:textId="77777777" w:rsidR="005439B9" w:rsidRPr="005824C3" w:rsidRDefault="005439B9" w:rsidP="00E32BC5">
            <w:pPr>
              <w:spacing w:line="276" w:lineRule="auto"/>
              <w:textAlignment w:val="baseline"/>
              <w:rPr>
                <w:rFonts w:ascii="Arial" w:eastAsia="Times New Roman" w:hAnsi="Arial" w:cs="Arial"/>
                <w:lang w:eastAsia="en-GB"/>
              </w:rPr>
            </w:pPr>
          </w:p>
          <w:p w14:paraId="47A0719F" w14:textId="158A41BE" w:rsidR="00940144" w:rsidRPr="005824C3" w:rsidRDefault="00C41427" w:rsidP="00E32BC5">
            <w:pPr>
              <w:spacing w:line="276" w:lineRule="auto"/>
              <w:textAlignment w:val="baseline"/>
              <w:rPr>
                <w:rFonts w:ascii="Arial" w:eastAsia="Times New Roman" w:hAnsi="Arial" w:cs="Arial"/>
                <w:lang w:eastAsia="en-GB"/>
              </w:rPr>
            </w:pPr>
            <w:r w:rsidRPr="005824C3">
              <w:rPr>
                <w:rFonts w:ascii="Arial" w:eastAsia="Times New Roman" w:hAnsi="Arial" w:cs="Arial"/>
                <w:lang w:eastAsia="en-GB"/>
              </w:rPr>
              <w:t>This</w:t>
            </w:r>
            <w:r w:rsidR="00DC7BEF" w:rsidRPr="005824C3">
              <w:rPr>
                <w:rFonts w:ascii="Arial" w:eastAsia="Times New Roman" w:hAnsi="Arial" w:cs="Arial"/>
                <w:lang w:eastAsia="en-GB"/>
              </w:rPr>
              <w:t xml:space="preserve"> is a relatively low number compared to last year's nearly 900,000 </w:t>
            </w:r>
            <w:r w:rsidR="00950C85">
              <w:rPr>
                <w:rFonts w:ascii="Arial" w:eastAsia="Times New Roman" w:hAnsi="Arial" w:cs="Arial"/>
                <w:lang w:eastAsia="en-GB"/>
              </w:rPr>
              <w:t>views</w:t>
            </w:r>
            <w:r w:rsidR="00DC7BEF" w:rsidRPr="005824C3">
              <w:rPr>
                <w:rFonts w:ascii="Arial" w:eastAsia="Times New Roman" w:hAnsi="Arial" w:cs="Arial"/>
                <w:lang w:eastAsia="en-GB"/>
              </w:rPr>
              <w:t xml:space="preserve"> (40.7%) and reflects</w:t>
            </w:r>
            <w:r w:rsidR="00E32BC5" w:rsidRPr="005824C3">
              <w:rPr>
                <w:rFonts w:ascii="Arial" w:eastAsia="Times New Roman" w:hAnsi="Arial" w:cs="Arial"/>
                <w:lang w:eastAsia="en-GB"/>
              </w:rPr>
              <w:t xml:space="preserve"> the relatively limited flood warning </w:t>
            </w:r>
            <w:r w:rsidR="00F93F24" w:rsidRPr="005824C3">
              <w:rPr>
                <w:rFonts w:ascii="Arial" w:eastAsia="Times New Roman" w:hAnsi="Arial" w:cs="Arial"/>
                <w:lang w:eastAsia="en-GB"/>
              </w:rPr>
              <w:t xml:space="preserve">activity </w:t>
            </w:r>
            <w:r w:rsidR="00DC7BEF" w:rsidRPr="005824C3">
              <w:rPr>
                <w:rFonts w:ascii="Arial" w:eastAsia="Times New Roman" w:hAnsi="Arial" w:cs="Arial"/>
                <w:lang w:eastAsia="en-GB"/>
              </w:rPr>
              <w:t>this year compared to last year,</w:t>
            </w:r>
            <w:r w:rsidR="00E32BC5" w:rsidRPr="005824C3">
              <w:rPr>
                <w:rFonts w:ascii="Arial" w:eastAsia="Times New Roman" w:hAnsi="Arial" w:cs="Arial"/>
                <w:lang w:eastAsia="en-GB"/>
              </w:rPr>
              <w:t xml:space="preserve"> so </w:t>
            </w:r>
            <w:r w:rsidR="00DC7BEF" w:rsidRPr="005824C3">
              <w:rPr>
                <w:rFonts w:ascii="Arial" w:eastAsia="Times New Roman" w:hAnsi="Arial" w:cs="Arial"/>
                <w:lang w:eastAsia="en-GB"/>
              </w:rPr>
              <w:t>less</w:t>
            </w:r>
            <w:r w:rsidR="00E32BC5" w:rsidRPr="005824C3">
              <w:rPr>
                <w:rFonts w:ascii="Arial" w:eastAsia="Times New Roman" w:hAnsi="Arial" w:cs="Arial"/>
                <w:lang w:eastAsia="en-GB"/>
              </w:rPr>
              <w:t xml:space="preserve"> incentive for people to </w:t>
            </w:r>
            <w:r w:rsidR="00DC7BEF" w:rsidRPr="005824C3">
              <w:rPr>
                <w:rFonts w:ascii="Arial" w:eastAsia="Times New Roman" w:hAnsi="Arial" w:cs="Arial"/>
                <w:lang w:eastAsia="en-GB"/>
              </w:rPr>
              <w:t>view</w:t>
            </w:r>
            <w:r w:rsidR="00E32BC5" w:rsidRPr="005824C3">
              <w:rPr>
                <w:rFonts w:ascii="Arial" w:eastAsia="Times New Roman" w:hAnsi="Arial" w:cs="Arial"/>
                <w:lang w:eastAsia="en-GB"/>
              </w:rPr>
              <w:t xml:space="preserve"> our information.</w:t>
            </w:r>
          </w:p>
        </w:tc>
        <w:tc>
          <w:tcPr>
            <w:tcW w:w="320" w:type="pct"/>
            <w:tcBorders>
              <w:top w:val="single" w:sz="8" w:space="0" w:color="auto"/>
              <w:left w:val="single" w:sz="8" w:space="0" w:color="auto"/>
              <w:bottom w:val="single" w:sz="8" w:space="0" w:color="auto"/>
              <w:right w:val="single" w:sz="8" w:space="0" w:color="auto"/>
            </w:tcBorders>
          </w:tcPr>
          <w:p w14:paraId="23D16AED" w14:textId="77777777"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4A7A5776" w14:textId="295B04BC" w:rsidR="00940144" w:rsidRPr="00FD02F8" w:rsidRDefault="00940144" w:rsidP="00940144">
            <w:pPr>
              <w:spacing w:line="276" w:lineRule="auto"/>
              <w:jc w:val="center"/>
              <w:textAlignment w:val="baseline"/>
              <w:rPr>
                <w:rFonts w:ascii="Arial" w:eastAsia="Times New Roman" w:hAnsi="Arial" w:cs="Arial"/>
                <w:lang w:eastAsia="en-GB"/>
              </w:rPr>
            </w:pPr>
          </w:p>
        </w:tc>
      </w:tr>
      <w:tr w:rsidR="00940144" w:rsidRPr="00FD02F8" w14:paraId="2228BB75" w14:textId="76D6E32D"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44E286D9" w14:textId="2B5967B0" w:rsidR="00940144" w:rsidRPr="00FD02F8" w:rsidRDefault="00940144" w:rsidP="00940144">
            <w:pPr>
              <w:spacing w:line="276" w:lineRule="auto"/>
              <w:textAlignment w:val="baseline"/>
              <w:rPr>
                <w:rFonts w:ascii="Arial" w:hAnsi="Arial" w:cs="Arial"/>
              </w:rPr>
            </w:pPr>
            <w:r w:rsidRPr="00FD02F8">
              <w:rPr>
                <w:rFonts w:ascii="Arial" w:hAnsi="Arial" w:cs="Arial"/>
              </w:rPr>
              <w:t>CR06</w:t>
            </w:r>
          </w:p>
        </w:tc>
        <w:tc>
          <w:tcPr>
            <w:tcW w:w="417" w:type="pct"/>
            <w:tcBorders>
              <w:top w:val="single" w:sz="8" w:space="0" w:color="auto"/>
              <w:left w:val="single" w:sz="8" w:space="0" w:color="auto"/>
              <w:bottom w:val="single" w:sz="8" w:space="0" w:color="auto"/>
              <w:right w:val="single" w:sz="8" w:space="0" w:color="auto"/>
            </w:tcBorders>
          </w:tcPr>
          <w:p w14:paraId="415C1CC8" w14:textId="29BC2A67"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9EC6A6B" w14:textId="0BD4A597" w:rsidR="00940144" w:rsidRPr="00FD02F8" w:rsidRDefault="00940144" w:rsidP="00940144">
            <w:pPr>
              <w:spacing w:line="276" w:lineRule="auto"/>
              <w:textAlignment w:val="baseline"/>
              <w:rPr>
                <w:rFonts w:ascii="Arial" w:hAnsi="Arial" w:cs="Arial"/>
              </w:rPr>
            </w:pPr>
            <w:r w:rsidRPr="00FD02F8">
              <w:rPr>
                <w:rFonts w:ascii="Arial" w:hAnsi="Arial" w:cs="Arial"/>
              </w:rPr>
              <w:t>Percentage of new developments approved in accordance with SEPA's advice on flood risk – Maintaining</w:t>
            </w:r>
          </w:p>
        </w:tc>
        <w:tc>
          <w:tcPr>
            <w:tcW w:w="384" w:type="pct"/>
            <w:tcBorders>
              <w:top w:val="single" w:sz="8" w:space="0" w:color="auto"/>
              <w:left w:val="single" w:sz="8" w:space="0" w:color="auto"/>
              <w:bottom w:val="single" w:sz="8" w:space="0" w:color="auto"/>
              <w:right w:val="single" w:sz="8" w:space="0" w:color="auto"/>
            </w:tcBorders>
          </w:tcPr>
          <w:p w14:paraId="4F1246DE" w14:textId="725EDCEF"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single" w:sz="8" w:space="0" w:color="auto"/>
              <w:left w:val="single" w:sz="8" w:space="0" w:color="auto"/>
              <w:bottom w:val="single" w:sz="8" w:space="0" w:color="auto"/>
              <w:right w:val="single" w:sz="8" w:space="0" w:color="auto"/>
            </w:tcBorders>
          </w:tcPr>
          <w:p w14:paraId="0A6DC89C" w14:textId="6177BF6B"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98.4% 2024/25 baseline.</w:t>
            </w:r>
          </w:p>
          <w:p w14:paraId="091D3FFE" w14:textId="34E46AF3"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1478 consultations on 946 separate planning applications. </w:t>
            </w:r>
          </w:p>
        </w:tc>
        <w:tc>
          <w:tcPr>
            <w:tcW w:w="545" w:type="pct"/>
            <w:tcBorders>
              <w:top w:val="single" w:sz="8" w:space="0" w:color="auto"/>
              <w:left w:val="single" w:sz="8" w:space="0" w:color="auto"/>
              <w:bottom w:val="single" w:sz="8" w:space="0" w:color="auto"/>
              <w:right w:val="single" w:sz="8" w:space="0" w:color="auto"/>
            </w:tcBorders>
          </w:tcPr>
          <w:p w14:paraId="4F51C61A" w14:textId="7EAC3F12"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Maintain &gt;95%, recognising that exceptions may occur.</w:t>
            </w:r>
          </w:p>
        </w:tc>
        <w:tc>
          <w:tcPr>
            <w:tcW w:w="417" w:type="pct"/>
            <w:tcBorders>
              <w:top w:val="single" w:sz="8" w:space="0" w:color="auto"/>
              <w:left w:val="single" w:sz="8" w:space="0" w:color="auto"/>
              <w:bottom w:val="single" w:sz="8" w:space="0" w:color="auto"/>
              <w:right w:val="single" w:sz="8" w:space="0" w:color="auto"/>
            </w:tcBorders>
          </w:tcPr>
          <w:p w14:paraId="4DBB368E" w14:textId="0A257EE8" w:rsidR="00940144" w:rsidRPr="00FD02F8" w:rsidRDefault="00C74049"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9</w:t>
            </w:r>
            <w:r w:rsidR="00082FE3" w:rsidRPr="00FD02F8">
              <w:rPr>
                <w:rFonts w:ascii="Arial" w:eastAsia="Times New Roman" w:hAnsi="Arial" w:cs="Arial"/>
                <w:lang w:eastAsia="en-GB"/>
              </w:rPr>
              <w:t>8.5</w:t>
            </w:r>
            <w:r w:rsidRPr="00FD02F8">
              <w:rPr>
                <w:rFonts w:ascii="Arial" w:eastAsia="Times New Roman" w:hAnsi="Arial" w:cs="Arial"/>
                <w:lang w:eastAsia="en-GB"/>
              </w:rPr>
              <w:t>%</w:t>
            </w:r>
            <w:r w:rsidR="00EA658E" w:rsidRPr="00FD02F8">
              <w:rPr>
                <w:rFonts w:ascii="Arial" w:eastAsia="Times New Roman" w:hAnsi="Arial" w:cs="Arial"/>
                <w:lang w:eastAsia="en-GB"/>
              </w:rPr>
              <w:t xml:space="preserve"> of 2</w:t>
            </w:r>
            <w:r w:rsidR="00082FE3" w:rsidRPr="00FD02F8">
              <w:rPr>
                <w:rFonts w:ascii="Arial" w:eastAsia="Times New Roman" w:hAnsi="Arial" w:cs="Arial"/>
                <w:lang w:eastAsia="en-GB"/>
              </w:rPr>
              <w:t>70</w:t>
            </w:r>
            <w:r w:rsidR="00EA658E" w:rsidRPr="00FD02F8">
              <w:rPr>
                <w:rFonts w:ascii="Arial" w:eastAsia="Times New Roman" w:hAnsi="Arial" w:cs="Arial"/>
                <w:lang w:eastAsia="en-GB"/>
              </w:rPr>
              <w:t xml:space="preserve"> consultations</w:t>
            </w:r>
          </w:p>
        </w:tc>
        <w:tc>
          <w:tcPr>
            <w:tcW w:w="385" w:type="pct"/>
            <w:tcBorders>
              <w:top w:val="single" w:sz="8" w:space="0" w:color="auto"/>
              <w:left w:val="single" w:sz="8" w:space="0" w:color="auto"/>
              <w:bottom w:val="single" w:sz="8" w:space="0" w:color="auto"/>
              <w:right w:val="single" w:sz="8" w:space="0" w:color="auto"/>
            </w:tcBorders>
          </w:tcPr>
          <w:p w14:paraId="0B09502D" w14:textId="6FF684D1" w:rsidR="00940144" w:rsidRPr="00FD02F8" w:rsidRDefault="00C23D3F"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652CAE59" w14:textId="15C2C168" w:rsidR="009C0849" w:rsidRPr="00FD02F8" w:rsidRDefault="00507091"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Four</w:t>
            </w:r>
            <w:r w:rsidR="0046346B" w:rsidRPr="00FD02F8">
              <w:rPr>
                <w:rFonts w:ascii="Arial" w:eastAsia="Times New Roman" w:hAnsi="Arial" w:cs="Arial"/>
                <w:lang w:eastAsia="en-GB"/>
              </w:rPr>
              <w:t xml:space="preserve"> developments were approved against </w:t>
            </w:r>
            <w:r w:rsidRPr="00FD02F8">
              <w:rPr>
                <w:rFonts w:ascii="Arial" w:eastAsia="Times New Roman" w:hAnsi="Arial" w:cs="Arial"/>
                <w:lang w:eastAsia="en-GB"/>
              </w:rPr>
              <w:t>SEPA's</w:t>
            </w:r>
            <w:r w:rsidR="0046346B" w:rsidRPr="00FD02F8">
              <w:rPr>
                <w:rFonts w:ascii="Arial" w:eastAsia="Times New Roman" w:hAnsi="Arial" w:cs="Arial"/>
                <w:lang w:eastAsia="en-GB"/>
              </w:rPr>
              <w:t xml:space="preserve"> advice this quarter, following notification to Scottish Ministers.</w:t>
            </w:r>
            <w:r w:rsidRPr="00FD02F8">
              <w:rPr>
                <w:rFonts w:ascii="Arial" w:eastAsia="Times New Roman" w:hAnsi="Arial" w:cs="Arial"/>
                <w:lang w:eastAsia="en-GB"/>
              </w:rPr>
              <w:t xml:space="preserve"> </w:t>
            </w:r>
          </w:p>
          <w:p w14:paraId="7D81B81F" w14:textId="77777777" w:rsidR="00082FE3" w:rsidRPr="00FD02F8" w:rsidRDefault="00082FE3" w:rsidP="00940144">
            <w:pPr>
              <w:spacing w:line="276" w:lineRule="auto"/>
              <w:textAlignment w:val="baseline"/>
              <w:rPr>
                <w:rFonts w:ascii="Arial" w:eastAsia="Times New Roman" w:hAnsi="Arial" w:cs="Arial"/>
                <w:lang w:eastAsia="en-GB"/>
              </w:rPr>
            </w:pPr>
          </w:p>
          <w:p w14:paraId="55612E6E" w14:textId="12D41BB3" w:rsidR="009C0849" w:rsidRPr="00FD02F8" w:rsidRDefault="00DC5181" w:rsidP="00F70490">
            <w:pPr>
              <w:spacing w:line="240" w:lineRule="auto"/>
              <w:rPr>
                <w:rFonts w:ascii="Arial" w:eastAsia="Times New Roman" w:hAnsi="Arial" w:cs="Arial"/>
                <w:lang w:eastAsia="en-GB"/>
              </w:rPr>
            </w:pPr>
            <w:r w:rsidRPr="00FD02F8">
              <w:rPr>
                <w:rFonts w:ascii="Arial" w:eastAsia="Times New Roman" w:hAnsi="Arial" w:cs="Arial"/>
                <w:lang w:eastAsia="en-GB"/>
              </w:rPr>
              <w:t>Cumulative</w:t>
            </w:r>
            <w:r w:rsidRPr="00FD02F8">
              <w:rPr>
                <w:rFonts w:ascii="Arial" w:hAnsi="Arial" w:cs="Arial"/>
                <w:lang w:eastAsia="en-GB"/>
              </w:rPr>
              <w:t xml:space="preserve"> Q1 </w:t>
            </w:r>
            <w:r w:rsidR="000360A2" w:rsidRPr="00FD02F8">
              <w:rPr>
                <w:rFonts w:ascii="Arial" w:hAnsi="Arial" w:cs="Arial"/>
                <w:lang w:eastAsia="en-GB"/>
              </w:rPr>
              <w:t xml:space="preserve">Q2, </w:t>
            </w:r>
            <w:r w:rsidRPr="00FD02F8">
              <w:rPr>
                <w:rFonts w:ascii="Arial" w:hAnsi="Arial" w:cs="Arial"/>
                <w:lang w:eastAsia="en-GB"/>
              </w:rPr>
              <w:t>and Q</w:t>
            </w:r>
            <w:r w:rsidR="000360A2" w:rsidRPr="00FD02F8">
              <w:rPr>
                <w:rFonts w:ascii="Arial" w:hAnsi="Arial" w:cs="Arial"/>
                <w:lang w:eastAsia="en-GB"/>
              </w:rPr>
              <w:t>3</w:t>
            </w:r>
            <w:r w:rsidR="00F02128" w:rsidRPr="00FD02F8">
              <w:rPr>
                <w:rFonts w:ascii="Arial" w:hAnsi="Arial" w:cs="Arial"/>
                <w:lang w:eastAsia="en-GB"/>
              </w:rPr>
              <w:t xml:space="preserve"> performanc</w:t>
            </w:r>
            <w:r w:rsidR="00F70490" w:rsidRPr="00FD02F8">
              <w:rPr>
                <w:rFonts w:ascii="Arial" w:hAnsi="Arial" w:cs="Arial"/>
                <w:lang w:eastAsia="en-GB"/>
              </w:rPr>
              <w:t xml:space="preserve">e is </w:t>
            </w:r>
            <w:r w:rsidR="002F68AB" w:rsidRPr="00FD02F8">
              <w:rPr>
                <w:rFonts w:ascii="Arial" w:eastAsia="Times New Roman" w:hAnsi="Arial" w:cs="Arial"/>
                <w:lang w:eastAsia="en-GB"/>
              </w:rPr>
              <w:t>98.2%</w:t>
            </w:r>
            <w:r w:rsidR="00F70490" w:rsidRPr="00FD02F8">
              <w:rPr>
                <w:rFonts w:ascii="Arial" w:eastAsia="Times New Roman" w:hAnsi="Arial" w:cs="Arial"/>
                <w:lang w:eastAsia="en-GB"/>
              </w:rPr>
              <w:t>.</w:t>
            </w:r>
          </w:p>
        </w:tc>
        <w:tc>
          <w:tcPr>
            <w:tcW w:w="320" w:type="pct"/>
            <w:tcBorders>
              <w:top w:val="single" w:sz="8" w:space="0" w:color="auto"/>
              <w:left w:val="single" w:sz="8" w:space="0" w:color="auto"/>
              <w:bottom w:val="single" w:sz="8" w:space="0" w:color="auto"/>
              <w:right w:val="single" w:sz="8" w:space="0" w:color="auto"/>
            </w:tcBorders>
          </w:tcPr>
          <w:p w14:paraId="60C39EF0" w14:textId="77777777"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2CD62C09" w14:textId="01276E6B" w:rsidR="00940144" w:rsidRPr="00FD02F8" w:rsidRDefault="00940144" w:rsidP="00940144">
            <w:pPr>
              <w:spacing w:line="276" w:lineRule="auto"/>
              <w:jc w:val="center"/>
              <w:textAlignment w:val="baseline"/>
              <w:rPr>
                <w:rFonts w:ascii="Arial" w:eastAsia="Times New Roman" w:hAnsi="Arial" w:cs="Arial"/>
                <w:highlight w:val="yellow"/>
                <w:lang w:eastAsia="en-GB"/>
              </w:rPr>
            </w:pPr>
          </w:p>
        </w:tc>
      </w:tr>
      <w:tr w:rsidR="00940144" w:rsidRPr="00FD02F8" w14:paraId="71AB81B3" w14:textId="2C8DA59B"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0FAC3121" w14:textId="2C45BC69" w:rsidR="00940144" w:rsidRPr="00FD02F8" w:rsidRDefault="00940144" w:rsidP="00940144">
            <w:pPr>
              <w:spacing w:line="276" w:lineRule="auto"/>
              <w:textAlignment w:val="baseline"/>
              <w:rPr>
                <w:rFonts w:ascii="Arial" w:hAnsi="Arial" w:cs="Arial"/>
              </w:rPr>
            </w:pPr>
            <w:r w:rsidRPr="00FD02F8">
              <w:rPr>
                <w:rFonts w:ascii="Arial" w:hAnsi="Arial" w:cs="Arial"/>
              </w:rPr>
              <w:lastRenderedPageBreak/>
              <w:t>CR07</w:t>
            </w:r>
          </w:p>
        </w:tc>
        <w:tc>
          <w:tcPr>
            <w:tcW w:w="417" w:type="pct"/>
            <w:tcBorders>
              <w:top w:val="single" w:sz="8" w:space="0" w:color="auto"/>
              <w:left w:val="single" w:sz="8" w:space="0" w:color="auto"/>
              <w:bottom w:val="single" w:sz="8" w:space="0" w:color="auto"/>
              <w:right w:val="single" w:sz="8" w:space="0" w:color="auto"/>
            </w:tcBorders>
          </w:tcPr>
          <w:p w14:paraId="5BE56640" w14:textId="31FDB7B9"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6570DB21" w14:textId="30AA5DDB" w:rsidR="00940144" w:rsidRPr="00FD02F8" w:rsidRDefault="00940144" w:rsidP="00940144">
            <w:pPr>
              <w:spacing w:line="276" w:lineRule="auto"/>
              <w:textAlignment w:val="baseline"/>
              <w:rPr>
                <w:rFonts w:ascii="Arial" w:hAnsi="Arial" w:cs="Arial"/>
              </w:rPr>
            </w:pPr>
            <w:r w:rsidRPr="00FD02F8">
              <w:rPr>
                <w:rFonts w:ascii="Arial" w:hAnsi="Arial" w:cs="Arial"/>
              </w:rPr>
              <w:t>Percentage of responses to planning consultations within time​ - Increasing</w:t>
            </w:r>
          </w:p>
        </w:tc>
        <w:tc>
          <w:tcPr>
            <w:tcW w:w="384" w:type="pct"/>
            <w:tcBorders>
              <w:top w:val="single" w:sz="8" w:space="0" w:color="auto"/>
              <w:left w:val="single" w:sz="8" w:space="0" w:color="auto"/>
              <w:bottom w:val="single" w:sz="8" w:space="0" w:color="auto"/>
              <w:right w:val="single" w:sz="8" w:space="0" w:color="auto"/>
            </w:tcBorders>
          </w:tcPr>
          <w:p w14:paraId="31F52C91" w14:textId="3ABBFC7D"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6613A2A9" w14:textId="77777777"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70%</w:t>
            </w:r>
          </w:p>
          <w:p w14:paraId="264BA036" w14:textId="1A541DDD"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2023/24 baseline</w:t>
            </w:r>
          </w:p>
        </w:tc>
        <w:tc>
          <w:tcPr>
            <w:tcW w:w="545" w:type="pct"/>
            <w:tcBorders>
              <w:top w:val="single" w:sz="8" w:space="0" w:color="auto"/>
              <w:left w:val="single" w:sz="8" w:space="0" w:color="auto"/>
              <w:bottom w:val="single" w:sz="8" w:space="0" w:color="auto"/>
              <w:right w:val="single" w:sz="8" w:space="0" w:color="auto"/>
            </w:tcBorders>
          </w:tcPr>
          <w:p w14:paraId="7D8FAE2C" w14:textId="35A531BA"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Increase the percentage of consultations responded to within time to over 80%.</w:t>
            </w:r>
          </w:p>
        </w:tc>
        <w:tc>
          <w:tcPr>
            <w:tcW w:w="417" w:type="pct"/>
            <w:tcBorders>
              <w:top w:val="single" w:sz="8" w:space="0" w:color="auto"/>
              <w:left w:val="single" w:sz="8" w:space="0" w:color="auto"/>
              <w:bottom w:val="single" w:sz="8" w:space="0" w:color="auto"/>
              <w:right w:val="single" w:sz="8" w:space="0" w:color="auto"/>
            </w:tcBorders>
          </w:tcPr>
          <w:p w14:paraId="35935EE0" w14:textId="60005ED6" w:rsidR="00940144" w:rsidRPr="00FD02F8" w:rsidRDefault="00982496"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96.2</w:t>
            </w:r>
            <w:r w:rsidR="00B14092" w:rsidRPr="00FD02F8">
              <w:rPr>
                <w:rFonts w:ascii="Arial" w:eastAsia="Times New Roman" w:hAnsi="Arial" w:cs="Arial"/>
                <w:lang w:eastAsia="en-GB"/>
              </w:rPr>
              <w:t>%</w:t>
            </w:r>
          </w:p>
        </w:tc>
        <w:tc>
          <w:tcPr>
            <w:tcW w:w="385" w:type="pct"/>
            <w:tcBorders>
              <w:top w:val="single" w:sz="8" w:space="0" w:color="auto"/>
              <w:left w:val="single" w:sz="8" w:space="0" w:color="auto"/>
              <w:bottom w:val="single" w:sz="8" w:space="0" w:color="auto"/>
              <w:right w:val="single" w:sz="8" w:space="0" w:color="auto"/>
            </w:tcBorders>
          </w:tcPr>
          <w:p w14:paraId="26F80F31" w14:textId="5F52327F" w:rsidR="00940144" w:rsidRPr="00FD02F8" w:rsidRDefault="00C23D3F"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706D1F65" w14:textId="5037C6F9" w:rsidR="00940144" w:rsidRPr="00FD02F8" w:rsidRDefault="00465893" w:rsidP="00940144">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We responded to</w:t>
            </w:r>
            <w:r w:rsidR="0046346B" w:rsidRPr="00FD02F8">
              <w:rPr>
                <w:rFonts w:ascii="Arial" w:eastAsia="Times New Roman" w:hAnsi="Arial" w:cs="Arial"/>
                <w:lang w:eastAsia="en-GB"/>
              </w:rPr>
              <w:t xml:space="preserve"> </w:t>
            </w:r>
            <w:r w:rsidR="00AB04E4" w:rsidRPr="00FD02F8">
              <w:rPr>
                <w:rFonts w:ascii="Arial" w:eastAsia="Times New Roman" w:hAnsi="Arial" w:cs="Arial"/>
                <w:lang w:eastAsia="en-GB"/>
              </w:rPr>
              <w:t>4</w:t>
            </w:r>
            <w:r w:rsidR="003E7164" w:rsidRPr="00FD02F8">
              <w:rPr>
                <w:rFonts w:ascii="Arial" w:eastAsia="Times New Roman" w:hAnsi="Arial" w:cs="Arial"/>
                <w:lang w:eastAsia="en-GB"/>
              </w:rPr>
              <w:t>57</w:t>
            </w:r>
            <w:r w:rsidR="0046346B" w:rsidRPr="00FD02F8">
              <w:rPr>
                <w:rFonts w:ascii="Arial" w:eastAsia="Times New Roman" w:hAnsi="Arial" w:cs="Arial"/>
                <w:lang w:eastAsia="en-GB"/>
              </w:rPr>
              <w:t xml:space="preserve"> </w:t>
            </w:r>
            <w:r w:rsidRPr="00FD02F8">
              <w:rPr>
                <w:rFonts w:ascii="Arial" w:eastAsia="Times New Roman" w:hAnsi="Arial" w:cs="Arial"/>
                <w:lang w:eastAsia="en-GB"/>
              </w:rPr>
              <w:t>planning consultations</w:t>
            </w:r>
            <w:r w:rsidR="0046346B" w:rsidRPr="00FD02F8">
              <w:rPr>
                <w:rFonts w:ascii="Arial" w:eastAsia="Times New Roman" w:hAnsi="Arial" w:cs="Arial"/>
                <w:lang w:eastAsia="en-GB"/>
              </w:rPr>
              <w:t xml:space="preserve"> on time</w:t>
            </w:r>
            <w:r w:rsidR="00EE18A8" w:rsidRPr="00FD02F8">
              <w:rPr>
                <w:rFonts w:ascii="Arial" w:eastAsia="Times New Roman" w:hAnsi="Arial" w:cs="Arial"/>
                <w:lang w:eastAsia="en-GB"/>
              </w:rPr>
              <w:t xml:space="preserve"> with</w:t>
            </w:r>
            <w:r w:rsidR="0046346B" w:rsidRPr="00FD02F8">
              <w:rPr>
                <w:rFonts w:ascii="Arial" w:eastAsia="Times New Roman" w:hAnsi="Arial" w:cs="Arial"/>
                <w:lang w:eastAsia="en-GB"/>
              </w:rPr>
              <w:t xml:space="preserve"> </w:t>
            </w:r>
            <w:r w:rsidR="003E7164" w:rsidRPr="00FD02F8">
              <w:rPr>
                <w:rFonts w:ascii="Arial" w:eastAsia="Times New Roman" w:hAnsi="Arial" w:cs="Arial"/>
                <w:lang w:eastAsia="en-GB"/>
              </w:rPr>
              <w:t>18</w:t>
            </w:r>
            <w:r w:rsidR="0046346B" w:rsidRPr="00FD02F8">
              <w:rPr>
                <w:rFonts w:ascii="Arial" w:eastAsia="Times New Roman" w:hAnsi="Arial" w:cs="Arial"/>
                <w:lang w:eastAsia="en-GB"/>
              </w:rPr>
              <w:t xml:space="preserve"> responses beyond time.</w:t>
            </w:r>
            <w:r w:rsidR="00650441" w:rsidRPr="00FD02F8">
              <w:rPr>
                <w:rFonts w:ascii="Arial" w:eastAsia="Times New Roman" w:hAnsi="Arial" w:cs="Arial"/>
                <w:lang w:eastAsia="en-GB"/>
              </w:rPr>
              <w:t xml:space="preserve"> </w:t>
            </w:r>
          </w:p>
          <w:p w14:paraId="3C67FC3D" w14:textId="77777777" w:rsidR="00AB04E4" w:rsidRPr="00FD02F8" w:rsidRDefault="00AB04E4" w:rsidP="00650441">
            <w:pPr>
              <w:spacing w:line="240" w:lineRule="auto"/>
              <w:rPr>
                <w:rFonts w:ascii="Arial" w:eastAsia="Times New Roman" w:hAnsi="Arial" w:cs="Arial"/>
                <w:lang w:eastAsia="en-GB"/>
              </w:rPr>
            </w:pPr>
          </w:p>
          <w:p w14:paraId="40B726DD" w14:textId="754AC36B" w:rsidR="00B94378" w:rsidRPr="00FD02F8" w:rsidRDefault="007864DB" w:rsidP="00F70490">
            <w:pPr>
              <w:spacing w:line="240" w:lineRule="auto"/>
              <w:rPr>
                <w:rFonts w:ascii="Arial" w:eastAsia="Times New Roman" w:hAnsi="Arial" w:cs="Arial"/>
                <w:lang w:eastAsia="en-GB"/>
              </w:rPr>
            </w:pPr>
            <w:r w:rsidRPr="00FD02F8">
              <w:rPr>
                <w:rFonts w:ascii="Arial" w:eastAsia="Times New Roman" w:hAnsi="Arial" w:cs="Arial"/>
                <w:lang w:eastAsia="en-GB"/>
              </w:rPr>
              <w:t xml:space="preserve">Cumulative </w:t>
            </w:r>
            <w:r w:rsidR="00650441" w:rsidRPr="00FD02F8">
              <w:rPr>
                <w:rFonts w:ascii="Arial" w:eastAsia="Times New Roman" w:hAnsi="Arial" w:cs="Arial"/>
                <w:lang w:eastAsia="en-GB"/>
              </w:rPr>
              <w:t xml:space="preserve">performance </w:t>
            </w:r>
            <w:r w:rsidR="00715538" w:rsidRPr="00FD02F8">
              <w:rPr>
                <w:rFonts w:ascii="Arial" w:eastAsia="Times New Roman" w:hAnsi="Arial" w:cs="Arial"/>
                <w:lang w:eastAsia="en-GB"/>
              </w:rPr>
              <w:t>to date</w:t>
            </w:r>
            <w:r w:rsidR="00825651" w:rsidRPr="00FD02F8">
              <w:rPr>
                <w:rFonts w:ascii="Arial" w:hAnsi="Arial" w:cs="Arial"/>
                <w:lang w:eastAsia="en-GB"/>
              </w:rPr>
              <w:t xml:space="preserve"> is </w:t>
            </w:r>
            <w:r w:rsidR="003F42F5" w:rsidRPr="00FD02F8">
              <w:rPr>
                <w:rFonts w:ascii="Arial" w:hAnsi="Arial" w:cs="Arial"/>
                <w:lang w:eastAsia="en-GB"/>
              </w:rPr>
              <w:t>90.8</w:t>
            </w:r>
            <w:r w:rsidR="00CD621C" w:rsidRPr="00FD02F8">
              <w:rPr>
                <w:rFonts w:ascii="Arial" w:eastAsia="Times New Roman" w:hAnsi="Arial" w:cs="Arial"/>
                <w:lang w:eastAsia="en-GB"/>
              </w:rPr>
              <w:t>%</w:t>
            </w:r>
            <w:r w:rsidR="00825651" w:rsidRPr="00FD02F8">
              <w:rPr>
                <w:rFonts w:ascii="Arial" w:eastAsia="Times New Roman" w:hAnsi="Arial" w:cs="Arial"/>
                <w:lang w:eastAsia="en-GB"/>
              </w:rPr>
              <w:t xml:space="preserve">. </w:t>
            </w:r>
            <w:r w:rsidR="00F32B12" w:rsidRPr="00FD02F8">
              <w:rPr>
                <w:rFonts w:ascii="Arial" w:eastAsia="Times New Roman" w:hAnsi="Arial" w:cs="Arial"/>
                <w:lang w:eastAsia="en-GB"/>
              </w:rPr>
              <w:t>1615</w:t>
            </w:r>
            <w:r w:rsidR="00002DCD" w:rsidRPr="00FD02F8">
              <w:rPr>
                <w:rFonts w:ascii="Arial" w:eastAsia="Times New Roman" w:hAnsi="Arial" w:cs="Arial"/>
                <w:lang w:eastAsia="en-GB"/>
              </w:rPr>
              <w:t xml:space="preserve"> on time</w:t>
            </w:r>
            <w:r w:rsidR="00B42F9A" w:rsidRPr="00FD02F8">
              <w:rPr>
                <w:rFonts w:ascii="Arial" w:eastAsia="Times New Roman" w:hAnsi="Arial" w:cs="Arial"/>
                <w:lang w:eastAsia="en-GB"/>
              </w:rPr>
              <w:t>, 1</w:t>
            </w:r>
            <w:r w:rsidR="00196D01" w:rsidRPr="00FD02F8">
              <w:rPr>
                <w:rFonts w:ascii="Arial" w:eastAsia="Times New Roman" w:hAnsi="Arial" w:cs="Arial"/>
                <w:lang w:eastAsia="en-GB"/>
              </w:rPr>
              <w:t>63</w:t>
            </w:r>
            <w:r w:rsidR="00B42F9A" w:rsidRPr="00FD02F8">
              <w:rPr>
                <w:rFonts w:ascii="Arial" w:eastAsia="Times New Roman" w:hAnsi="Arial" w:cs="Arial"/>
                <w:lang w:eastAsia="en-GB"/>
              </w:rPr>
              <w:t xml:space="preserve"> </w:t>
            </w:r>
            <w:r w:rsidR="00B94378" w:rsidRPr="00FD02F8">
              <w:rPr>
                <w:rFonts w:ascii="Arial" w:eastAsia="Times New Roman" w:hAnsi="Arial" w:cs="Arial"/>
                <w:lang w:eastAsia="en-GB"/>
              </w:rPr>
              <w:t>beyond time.</w:t>
            </w:r>
          </w:p>
        </w:tc>
        <w:tc>
          <w:tcPr>
            <w:tcW w:w="320" w:type="pct"/>
            <w:tcBorders>
              <w:top w:val="single" w:sz="8" w:space="0" w:color="auto"/>
              <w:left w:val="single" w:sz="8" w:space="0" w:color="auto"/>
              <w:bottom w:val="single" w:sz="8" w:space="0" w:color="auto"/>
              <w:right w:val="single" w:sz="8" w:space="0" w:color="auto"/>
            </w:tcBorders>
          </w:tcPr>
          <w:p w14:paraId="7432E708" w14:textId="77777777" w:rsidR="00940144" w:rsidRPr="00FD02F8" w:rsidRDefault="00940144" w:rsidP="00940144">
            <w:pPr>
              <w:spacing w:line="276" w:lineRule="auto"/>
              <w:jc w:val="center"/>
              <w:textAlignment w:val="baseline"/>
              <w:rPr>
                <w:rFonts w:ascii="Arial" w:eastAsia="Times New Roman" w:hAnsi="Arial" w:cs="Arial"/>
                <w:lang w:eastAsia="en-GB"/>
              </w:rPr>
            </w:pPr>
            <w:r w:rsidRPr="00FD02F8">
              <w:rPr>
                <w:rFonts w:ascii="Arial" w:eastAsia="Times New Roman" w:hAnsi="Arial" w:cs="Arial"/>
                <w:lang w:eastAsia="en-GB"/>
              </w:rPr>
              <w:t>Achieved</w:t>
            </w:r>
          </w:p>
          <w:p w14:paraId="5116E9F3" w14:textId="0651338A" w:rsidR="00940144" w:rsidRPr="00FD02F8" w:rsidRDefault="00940144" w:rsidP="00940144">
            <w:pPr>
              <w:spacing w:line="276" w:lineRule="auto"/>
              <w:jc w:val="center"/>
              <w:textAlignment w:val="baseline"/>
              <w:rPr>
                <w:rFonts w:ascii="Arial" w:eastAsia="Times New Roman" w:hAnsi="Arial" w:cs="Arial"/>
                <w:highlight w:val="yellow"/>
                <w:lang w:eastAsia="en-GB"/>
              </w:rPr>
            </w:pPr>
          </w:p>
        </w:tc>
      </w:tr>
      <w:tr w:rsidR="00940144" w:rsidRPr="00FD02F8" w14:paraId="4E8A31F2" w14:textId="40C24BE3" w:rsidTr="1901DC8B">
        <w:trPr>
          <w:cantSplit/>
          <w:trHeight w:val="510"/>
        </w:trPr>
        <w:tc>
          <w:tcPr>
            <w:tcW w:w="223" w:type="pct"/>
            <w:tcBorders>
              <w:top w:val="single" w:sz="8" w:space="0" w:color="auto"/>
              <w:left w:val="single" w:sz="8" w:space="0" w:color="auto"/>
              <w:bottom w:val="single" w:sz="4" w:space="0" w:color="auto"/>
              <w:right w:val="single" w:sz="8" w:space="0" w:color="auto"/>
            </w:tcBorders>
          </w:tcPr>
          <w:p w14:paraId="5B9BB76C" w14:textId="18BCAAB9" w:rsidR="00940144" w:rsidRPr="00FD02F8" w:rsidRDefault="00940144" w:rsidP="00940144">
            <w:pPr>
              <w:spacing w:line="276" w:lineRule="auto"/>
              <w:textAlignment w:val="baseline"/>
              <w:rPr>
                <w:rFonts w:ascii="Arial" w:hAnsi="Arial" w:cs="Arial"/>
              </w:rPr>
            </w:pPr>
            <w:r w:rsidRPr="00FD02F8">
              <w:rPr>
                <w:rFonts w:ascii="Arial" w:hAnsi="Arial" w:cs="Arial"/>
              </w:rPr>
              <w:t>CR08</w:t>
            </w:r>
          </w:p>
        </w:tc>
        <w:tc>
          <w:tcPr>
            <w:tcW w:w="417" w:type="pct"/>
            <w:tcBorders>
              <w:top w:val="single" w:sz="8" w:space="0" w:color="auto"/>
              <w:left w:val="single" w:sz="8" w:space="0" w:color="auto"/>
              <w:bottom w:val="single" w:sz="4" w:space="0" w:color="auto"/>
              <w:right w:val="single" w:sz="8" w:space="0" w:color="auto"/>
            </w:tcBorders>
          </w:tcPr>
          <w:p w14:paraId="7FD88CC3" w14:textId="05FD302E" w:rsidR="00940144" w:rsidRPr="00FD02F8" w:rsidRDefault="00940144" w:rsidP="00940144">
            <w:pPr>
              <w:spacing w:line="276" w:lineRule="auto"/>
              <w:textAlignment w:val="baseline"/>
              <w:rPr>
                <w:rFonts w:ascii="Arial" w:hAnsi="Arial" w:cs="Arial"/>
              </w:rPr>
            </w:pPr>
            <w:r w:rsidRPr="00FD02F8">
              <w:rPr>
                <w:rFonts w:ascii="Arial" w:hAnsi="Arial" w:cs="Arial"/>
              </w:rPr>
              <w:t>Climate Resilience</w:t>
            </w:r>
          </w:p>
        </w:tc>
        <w:tc>
          <w:tcPr>
            <w:tcW w:w="802" w:type="pct"/>
            <w:tcBorders>
              <w:top w:val="single" w:sz="8" w:space="0" w:color="auto"/>
              <w:left w:val="single" w:sz="8" w:space="0" w:color="auto"/>
              <w:bottom w:val="single" w:sz="4" w:space="0" w:color="auto"/>
              <w:right w:val="single" w:sz="8" w:space="0" w:color="auto"/>
            </w:tcBorders>
          </w:tcPr>
          <w:p w14:paraId="716B4242" w14:textId="64BB4E18"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rPr>
              <w:t xml:space="preserve">Number of people registered to Floodline to receive flood alerts and warnings – Increasing </w:t>
            </w:r>
          </w:p>
        </w:tc>
        <w:tc>
          <w:tcPr>
            <w:tcW w:w="384" w:type="pct"/>
            <w:tcBorders>
              <w:top w:val="single" w:sz="8" w:space="0" w:color="auto"/>
              <w:left w:val="single" w:sz="8" w:space="0" w:color="auto"/>
              <w:bottom w:val="single" w:sz="4" w:space="0" w:color="auto"/>
              <w:right w:val="single" w:sz="8" w:space="0" w:color="auto"/>
            </w:tcBorders>
          </w:tcPr>
          <w:p w14:paraId="248809BD" w14:textId="559EB081"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rPr>
              <w:t xml:space="preserve">Operational </w:t>
            </w:r>
            <w:r w:rsidRPr="00FD02F8">
              <w:rPr>
                <w:rFonts w:ascii="Arial" w:hAnsi="Arial" w:cs="Arial"/>
                <w:color w:val="000000"/>
              </w:rPr>
              <w:t>– Direct Influence</w:t>
            </w:r>
          </w:p>
        </w:tc>
        <w:tc>
          <w:tcPr>
            <w:tcW w:w="481" w:type="pct"/>
            <w:tcBorders>
              <w:top w:val="single" w:sz="4" w:space="0" w:color="auto"/>
              <w:left w:val="single" w:sz="4" w:space="0" w:color="auto"/>
              <w:bottom w:val="single" w:sz="4" w:space="0" w:color="auto"/>
              <w:right w:val="single" w:sz="4" w:space="0" w:color="auto"/>
            </w:tcBorders>
          </w:tcPr>
          <w:p w14:paraId="770D3D34" w14:textId="00AFCF28"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41,992 registrations at the end of March 2025</w:t>
            </w:r>
          </w:p>
        </w:tc>
        <w:tc>
          <w:tcPr>
            <w:tcW w:w="545" w:type="pct"/>
            <w:tcBorders>
              <w:top w:val="single" w:sz="4" w:space="0" w:color="auto"/>
              <w:left w:val="single" w:sz="4" w:space="0" w:color="auto"/>
              <w:bottom w:val="single" w:sz="4" w:space="0" w:color="auto"/>
              <w:right w:val="single" w:sz="4" w:space="0" w:color="auto"/>
            </w:tcBorders>
          </w:tcPr>
          <w:p w14:paraId="46BB140F" w14:textId="40C1AB70" w:rsidR="00940144" w:rsidRPr="00FD02F8" w:rsidRDefault="00940144" w:rsidP="00940144">
            <w:pPr>
              <w:spacing w:line="276" w:lineRule="auto"/>
              <w:textAlignment w:val="baseline"/>
              <w:rPr>
                <w:rFonts w:ascii="Arial" w:eastAsia="Times New Roman" w:hAnsi="Arial" w:cs="Arial"/>
                <w:lang w:eastAsia="en-GB"/>
              </w:rPr>
            </w:pPr>
            <w:r w:rsidRPr="00FD02F8">
              <w:rPr>
                <w:rFonts w:ascii="Arial" w:hAnsi="Arial" w:cs="Arial"/>
                <w:color w:val="000000"/>
              </w:rPr>
              <w:t>An increase from 41,992 registrations by the end of March 2026</w:t>
            </w:r>
          </w:p>
        </w:tc>
        <w:tc>
          <w:tcPr>
            <w:tcW w:w="417" w:type="pct"/>
            <w:tcBorders>
              <w:top w:val="single" w:sz="8" w:space="0" w:color="auto"/>
              <w:left w:val="single" w:sz="8" w:space="0" w:color="auto"/>
              <w:bottom w:val="single" w:sz="4" w:space="0" w:color="auto"/>
              <w:right w:val="single" w:sz="8" w:space="0" w:color="auto"/>
            </w:tcBorders>
          </w:tcPr>
          <w:p w14:paraId="3AD9BF3C" w14:textId="327AD0C4" w:rsidR="00940144" w:rsidRPr="00FD02F8" w:rsidRDefault="00F0393C"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4</w:t>
            </w:r>
            <w:r w:rsidR="00770B55" w:rsidRPr="00FD02F8">
              <w:rPr>
                <w:rFonts w:ascii="Arial" w:eastAsia="Times New Roman" w:hAnsi="Arial" w:cs="Arial"/>
                <w:lang w:eastAsia="en-GB"/>
              </w:rPr>
              <w:t>2,175</w:t>
            </w:r>
            <w:r w:rsidRPr="00FD02F8">
              <w:rPr>
                <w:rFonts w:ascii="Arial" w:eastAsia="Times New Roman" w:hAnsi="Arial" w:cs="Arial"/>
                <w:lang w:eastAsia="en-GB"/>
              </w:rPr>
              <w:t xml:space="preserve"> registrations</w:t>
            </w:r>
          </w:p>
        </w:tc>
        <w:tc>
          <w:tcPr>
            <w:tcW w:w="385" w:type="pct"/>
            <w:tcBorders>
              <w:top w:val="single" w:sz="4" w:space="0" w:color="auto"/>
              <w:left w:val="single" w:sz="4" w:space="0" w:color="auto"/>
              <w:bottom w:val="single" w:sz="4" w:space="0" w:color="auto"/>
              <w:right w:val="single" w:sz="4" w:space="0" w:color="auto"/>
            </w:tcBorders>
          </w:tcPr>
          <w:p w14:paraId="280941C6" w14:textId="68535796" w:rsidR="00940144" w:rsidRPr="00FD02F8" w:rsidRDefault="000E4397" w:rsidP="00940144">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single" w:sz="4" w:space="0" w:color="auto"/>
              <w:left w:val="single" w:sz="4" w:space="0" w:color="auto"/>
              <w:bottom w:val="single" w:sz="4" w:space="0" w:color="auto"/>
              <w:right w:val="single" w:sz="4" w:space="0" w:color="auto"/>
            </w:tcBorders>
          </w:tcPr>
          <w:p w14:paraId="4C746949" w14:textId="4C8C6428" w:rsidR="006D57E6" w:rsidRPr="00FD02F8" w:rsidRDefault="006E6F59" w:rsidP="006D57E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We had a net increase </w:t>
            </w:r>
            <w:r w:rsidR="004B19DD">
              <w:rPr>
                <w:rFonts w:ascii="Arial" w:eastAsia="Times New Roman" w:hAnsi="Arial" w:cs="Arial"/>
                <w:lang w:eastAsia="en-GB"/>
              </w:rPr>
              <w:t>o</w:t>
            </w:r>
            <w:r w:rsidRPr="00FD02F8">
              <w:rPr>
                <w:rFonts w:ascii="Arial" w:eastAsia="Times New Roman" w:hAnsi="Arial" w:cs="Arial"/>
                <w:lang w:eastAsia="en-GB"/>
              </w:rPr>
              <w:t xml:space="preserve">f </w:t>
            </w:r>
            <w:r w:rsidR="006D57E6" w:rsidRPr="00FD02F8">
              <w:rPr>
                <w:rFonts w:ascii="Arial" w:eastAsia="Times New Roman" w:hAnsi="Arial" w:cs="Arial"/>
                <w:lang w:eastAsia="en-GB"/>
              </w:rPr>
              <w:t xml:space="preserve">405 </w:t>
            </w:r>
            <w:r w:rsidRPr="00FD02F8">
              <w:rPr>
                <w:rFonts w:ascii="Arial" w:eastAsia="Times New Roman" w:hAnsi="Arial" w:cs="Arial"/>
                <w:lang w:eastAsia="en-GB"/>
              </w:rPr>
              <w:t>registrations to Floodline</w:t>
            </w:r>
            <w:r w:rsidR="006D57E6" w:rsidRPr="00FD02F8">
              <w:rPr>
                <w:rFonts w:ascii="Arial" w:eastAsia="Times New Roman" w:hAnsi="Arial" w:cs="Arial"/>
                <w:lang w:eastAsia="en-GB"/>
              </w:rPr>
              <w:t xml:space="preserve"> compared to </w:t>
            </w:r>
            <w:r w:rsidR="008E6555" w:rsidRPr="00FD02F8">
              <w:rPr>
                <w:rFonts w:ascii="Arial" w:eastAsia="Times New Roman" w:hAnsi="Arial" w:cs="Arial"/>
                <w:lang w:eastAsia="en-GB"/>
              </w:rPr>
              <w:t xml:space="preserve">Q2. </w:t>
            </w:r>
            <w:r w:rsidR="00C060E7" w:rsidRPr="00FD02F8">
              <w:rPr>
                <w:rFonts w:ascii="Arial" w:eastAsia="Times New Roman" w:hAnsi="Arial" w:cs="Arial"/>
                <w:lang w:eastAsia="en-GB"/>
              </w:rPr>
              <w:t>1,</w:t>
            </w:r>
            <w:r w:rsidR="006D57E6" w:rsidRPr="00FD02F8">
              <w:rPr>
                <w:rFonts w:ascii="Arial" w:eastAsia="Times New Roman" w:hAnsi="Arial" w:cs="Arial"/>
                <w:lang w:eastAsia="en-GB"/>
              </w:rPr>
              <w:t xml:space="preserve">146 </w:t>
            </w:r>
            <w:r w:rsidR="00C060E7" w:rsidRPr="00FD02F8">
              <w:rPr>
                <w:rFonts w:ascii="Arial" w:eastAsia="Times New Roman" w:hAnsi="Arial" w:cs="Arial"/>
                <w:lang w:eastAsia="en-GB"/>
              </w:rPr>
              <w:t xml:space="preserve">new </w:t>
            </w:r>
            <w:r w:rsidR="006D57E6" w:rsidRPr="00FD02F8">
              <w:rPr>
                <w:rFonts w:ascii="Arial" w:eastAsia="Times New Roman" w:hAnsi="Arial" w:cs="Arial"/>
                <w:lang w:eastAsia="en-GB"/>
              </w:rPr>
              <w:t xml:space="preserve">registrations and 741 </w:t>
            </w:r>
            <w:r w:rsidR="00C060E7" w:rsidRPr="00FD02F8">
              <w:rPr>
                <w:rFonts w:ascii="Arial" w:eastAsia="Times New Roman" w:hAnsi="Arial" w:cs="Arial"/>
                <w:lang w:eastAsia="en-GB"/>
              </w:rPr>
              <w:t>deregistrations</w:t>
            </w:r>
            <w:r w:rsidR="006D57E6" w:rsidRPr="00FD02F8">
              <w:rPr>
                <w:rFonts w:ascii="Arial" w:eastAsia="Times New Roman" w:hAnsi="Arial" w:cs="Arial"/>
                <w:lang w:eastAsia="en-GB"/>
              </w:rPr>
              <w:t xml:space="preserve">. </w:t>
            </w:r>
          </w:p>
          <w:p w14:paraId="367FBF0F" w14:textId="77777777" w:rsidR="00E97115" w:rsidRPr="00FD02F8" w:rsidRDefault="00E97115" w:rsidP="006D57E6">
            <w:pPr>
              <w:spacing w:line="276" w:lineRule="auto"/>
              <w:textAlignment w:val="baseline"/>
              <w:rPr>
                <w:rFonts w:ascii="Arial" w:eastAsia="Times New Roman" w:hAnsi="Arial" w:cs="Arial"/>
                <w:lang w:eastAsia="en-GB"/>
              </w:rPr>
            </w:pPr>
          </w:p>
          <w:p w14:paraId="7CC6D9E7" w14:textId="77777777" w:rsidR="00940144" w:rsidRDefault="006D57E6" w:rsidP="00626110">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We have been promoting the Floodline service for “winter readiness” across SEPA channels including our newsletter, social media, media releases and internally. We have also sent an annual reminder message to existing customers to confirm that their details are up to date, which has </w:t>
            </w:r>
            <w:r w:rsidR="009B71BA" w:rsidRPr="00FD02F8">
              <w:rPr>
                <w:rFonts w:ascii="Arial" w:eastAsia="Times New Roman" w:hAnsi="Arial" w:cs="Arial"/>
                <w:lang w:eastAsia="en-GB"/>
              </w:rPr>
              <w:t>led</w:t>
            </w:r>
            <w:r w:rsidRPr="00FD02F8">
              <w:rPr>
                <w:rFonts w:ascii="Arial" w:eastAsia="Times New Roman" w:hAnsi="Arial" w:cs="Arial"/>
                <w:lang w:eastAsia="en-GB"/>
              </w:rPr>
              <w:t xml:space="preserve"> to some deregistrations (for example because people have moved out of an area). </w:t>
            </w:r>
          </w:p>
          <w:p w14:paraId="36A38690" w14:textId="77777777" w:rsidR="004E050B" w:rsidRDefault="004E050B" w:rsidP="00626110">
            <w:pPr>
              <w:spacing w:line="276" w:lineRule="auto"/>
              <w:textAlignment w:val="baseline"/>
              <w:rPr>
                <w:rFonts w:ascii="Arial" w:eastAsia="Times New Roman" w:hAnsi="Arial" w:cs="Arial"/>
                <w:highlight w:val="yellow"/>
                <w:lang w:eastAsia="en-GB"/>
              </w:rPr>
            </w:pPr>
          </w:p>
          <w:p w14:paraId="73ADB837" w14:textId="67C856C1" w:rsidR="00436623" w:rsidRPr="00884133" w:rsidRDefault="00CC2A25" w:rsidP="00626110">
            <w:pPr>
              <w:spacing w:line="276" w:lineRule="auto"/>
              <w:textAlignment w:val="baseline"/>
              <w:rPr>
                <w:rFonts w:ascii="Arial" w:eastAsia="Times New Roman" w:hAnsi="Arial" w:cs="Arial"/>
                <w:lang w:eastAsia="en-GB"/>
              </w:rPr>
            </w:pPr>
            <w:r w:rsidRPr="00CC2A25">
              <w:rPr>
                <w:rFonts w:ascii="Arial" w:eastAsia="Times New Roman" w:hAnsi="Arial" w:cs="Arial"/>
                <w:lang w:eastAsia="en-GB"/>
              </w:rPr>
              <w:t xml:space="preserve">Owing to the volume of deregistrations, we </w:t>
            </w:r>
            <w:r w:rsidR="00E948FA">
              <w:rPr>
                <w:rFonts w:ascii="Arial" w:eastAsia="Times New Roman" w:hAnsi="Arial" w:cs="Arial"/>
                <w:lang w:eastAsia="en-GB"/>
              </w:rPr>
              <w:t>anticipate</w:t>
            </w:r>
            <w:r w:rsidRPr="00CC2A25">
              <w:rPr>
                <w:rFonts w:ascii="Arial" w:eastAsia="Times New Roman" w:hAnsi="Arial" w:cs="Arial"/>
                <w:lang w:eastAsia="en-GB"/>
              </w:rPr>
              <w:t xml:space="preserve"> overall numbers will remain at approximately 42,000 and cannot guarantee that registrations will surpass 41,988. Consequently, the measure is forecast as partially achieved.</w:t>
            </w:r>
          </w:p>
        </w:tc>
        <w:tc>
          <w:tcPr>
            <w:tcW w:w="320" w:type="pct"/>
            <w:tcBorders>
              <w:top w:val="single" w:sz="8" w:space="0" w:color="auto"/>
              <w:left w:val="single" w:sz="8" w:space="0" w:color="auto"/>
              <w:bottom w:val="single" w:sz="4" w:space="0" w:color="auto"/>
              <w:right w:val="single" w:sz="8" w:space="0" w:color="auto"/>
            </w:tcBorders>
          </w:tcPr>
          <w:p w14:paraId="78E62984" w14:textId="7FCF1CFC" w:rsidR="00940144" w:rsidRPr="00FD02F8" w:rsidRDefault="00626110" w:rsidP="00940144">
            <w:pPr>
              <w:spacing w:line="276" w:lineRule="auto"/>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Partially </w:t>
            </w:r>
            <w:r w:rsidR="00940144" w:rsidRPr="00554A7E">
              <w:rPr>
                <w:rFonts w:ascii="Arial" w:eastAsia="Times New Roman" w:hAnsi="Arial" w:cs="Arial"/>
                <w:lang w:eastAsia="en-GB"/>
              </w:rPr>
              <w:t>Achieved</w:t>
            </w:r>
          </w:p>
        </w:tc>
      </w:tr>
      <w:tr w:rsidR="000E4397" w:rsidRPr="00FD02F8" w14:paraId="3C3F203F" w14:textId="6274AF0B" w:rsidTr="1901DC8B">
        <w:trPr>
          <w:cantSplit/>
          <w:trHeight w:val="510"/>
        </w:trPr>
        <w:tc>
          <w:tcPr>
            <w:tcW w:w="223" w:type="pct"/>
            <w:tcBorders>
              <w:top w:val="single" w:sz="4" w:space="0" w:color="auto"/>
              <w:left w:val="single" w:sz="4" w:space="0" w:color="auto"/>
              <w:bottom w:val="single" w:sz="4" w:space="0" w:color="auto"/>
              <w:right w:val="single" w:sz="4" w:space="0" w:color="auto"/>
            </w:tcBorders>
          </w:tcPr>
          <w:p w14:paraId="26AADFE4" w14:textId="0C015C43" w:rsidR="000E4397" w:rsidRPr="00FD02F8" w:rsidRDefault="000E4397" w:rsidP="000E4397">
            <w:pPr>
              <w:spacing w:line="276" w:lineRule="auto"/>
              <w:textAlignment w:val="baseline"/>
              <w:rPr>
                <w:rFonts w:ascii="Arial" w:hAnsi="Arial" w:cs="Arial"/>
              </w:rPr>
            </w:pPr>
            <w:r w:rsidRPr="00FD02F8">
              <w:rPr>
                <w:rFonts w:ascii="Arial" w:hAnsi="Arial" w:cs="Arial"/>
              </w:rPr>
              <w:lastRenderedPageBreak/>
              <w:t>WE01</w:t>
            </w:r>
          </w:p>
        </w:tc>
        <w:tc>
          <w:tcPr>
            <w:tcW w:w="417" w:type="pct"/>
            <w:tcBorders>
              <w:top w:val="single" w:sz="4" w:space="0" w:color="auto"/>
              <w:left w:val="single" w:sz="4" w:space="0" w:color="auto"/>
              <w:bottom w:val="single" w:sz="4" w:space="0" w:color="auto"/>
              <w:right w:val="single" w:sz="4" w:space="0" w:color="auto"/>
            </w:tcBorders>
          </w:tcPr>
          <w:p w14:paraId="045BF28B" w14:textId="2B3D240C" w:rsidR="000E4397" w:rsidRPr="00FD02F8" w:rsidRDefault="000E4397" w:rsidP="000E4397">
            <w:pPr>
              <w:spacing w:line="276" w:lineRule="auto"/>
              <w:textAlignment w:val="baseline"/>
              <w:rPr>
                <w:rFonts w:ascii="Arial" w:hAnsi="Arial" w:cs="Arial"/>
              </w:rPr>
            </w:pPr>
            <w:r w:rsidRPr="00FD02F8">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49C42BF8" w14:textId="639CB28E" w:rsidR="000E4397" w:rsidRPr="00FD02F8" w:rsidRDefault="000E4397" w:rsidP="000E4397">
            <w:pPr>
              <w:spacing w:line="276" w:lineRule="auto"/>
              <w:textAlignment w:val="baseline"/>
              <w:rPr>
                <w:rFonts w:ascii="Arial" w:eastAsia="Times New Roman" w:hAnsi="Arial" w:cs="Arial"/>
                <w:lang w:eastAsia="en-GB"/>
              </w:rPr>
            </w:pPr>
            <w:hyperlink r:id="rId38" w:history="1">
              <w:r w:rsidRPr="00FD02F8">
                <w:rPr>
                  <w:rFonts w:ascii="Arial" w:eastAsia="MS PGothic" w:hAnsi="Arial" w:cs="Arial"/>
                  <w:color w:val="016574"/>
                  <w:u w:val="single"/>
                </w:rPr>
                <w:t>Classification of water bodies</w:t>
              </w:r>
            </w:hyperlink>
            <w:r w:rsidRPr="00FD02F8">
              <w:rPr>
                <w:rFonts w:ascii="Arial" w:hAnsi="Arial" w:cs="Arial"/>
              </w:rPr>
              <w:t xml:space="preserve"> </w:t>
            </w:r>
            <w:r w:rsidRPr="00FD02F8">
              <w:rPr>
                <w:rFonts w:ascii="Arial" w:eastAsia="Times New Roman" w:hAnsi="Arial" w:cs="Arial"/>
                <w:lang w:eastAsia="en-GB"/>
              </w:rPr>
              <w:t>across Scotland - Increasing</w:t>
            </w:r>
            <w:r w:rsidRPr="00FD02F8">
              <w:rPr>
                <w:rStyle w:val="FootnoteReference"/>
                <w:rFonts w:ascii="Arial" w:eastAsia="Times New Roman" w:hAnsi="Arial" w:cs="Arial"/>
                <w:lang w:eastAsia="en-GB"/>
              </w:rPr>
              <w:footnoteReference w:id="3"/>
            </w:r>
          </w:p>
        </w:tc>
        <w:tc>
          <w:tcPr>
            <w:tcW w:w="384" w:type="pct"/>
            <w:tcBorders>
              <w:top w:val="single" w:sz="4" w:space="0" w:color="auto"/>
              <w:left w:val="single" w:sz="4" w:space="0" w:color="auto"/>
              <w:bottom w:val="single" w:sz="4" w:space="0" w:color="auto"/>
              <w:right w:val="single" w:sz="4" w:space="0" w:color="auto"/>
            </w:tcBorders>
          </w:tcPr>
          <w:p w14:paraId="706944D9" w14:textId="02394982"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7D370E6B" w14:textId="07850195"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 xml:space="preserve">2020 data (start of third RBMP) </w:t>
            </w:r>
            <w:r w:rsidRPr="00FD02F8">
              <w:rPr>
                <w:rFonts w:ascii="Arial" w:hAnsi="Arial" w:cs="Arial"/>
              </w:rPr>
              <w:br/>
            </w:r>
            <w:r w:rsidRPr="00FD02F8">
              <w:rPr>
                <w:rFonts w:ascii="Arial" w:hAnsi="Arial" w:cs="Arial"/>
              </w:rPr>
              <w:br/>
              <w:t xml:space="preserve">Good or better overall condition = 66% </w:t>
            </w:r>
          </w:p>
        </w:tc>
        <w:tc>
          <w:tcPr>
            <w:tcW w:w="545" w:type="pct"/>
            <w:tcBorders>
              <w:top w:val="single" w:sz="4" w:space="0" w:color="auto"/>
              <w:left w:val="single" w:sz="4" w:space="0" w:color="auto"/>
              <w:bottom w:val="single" w:sz="4" w:space="0" w:color="auto"/>
              <w:right w:val="single" w:sz="4" w:space="0" w:color="auto"/>
            </w:tcBorders>
          </w:tcPr>
          <w:p w14:paraId="392CD0E1" w14:textId="2C71B737" w:rsidR="000E4397" w:rsidRPr="00FD02F8" w:rsidRDefault="000E4397" w:rsidP="000E4397">
            <w:pPr>
              <w:spacing w:line="276" w:lineRule="auto"/>
              <w:textAlignment w:val="baseline"/>
              <w:rPr>
                <w:rFonts w:ascii="Arial" w:hAnsi="Arial" w:cs="Arial"/>
                <w:color w:val="000000"/>
              </w:rPr>
            </w:pPr>
            <w:r w:rsidRPr="00FD02F8">
              <w:rPr>
                <w:rFonts w:ascii="Arial" w:eastAsia="Times New Roman" w:hAnsi="Arial" w:cs="Arial"/>
                <w:lang w:eastAsia="en-GB"/>
              </w:rPr>
              <w:t>National outcome for Scotland and SEPA plays a contributing role</w:t>
            </w:r>
            <w:r w:rsidRPr="00FD02F8">
              <w:rPr>
                <w:rFonts w:ascii="Arial" w:hAnsi="Arial" w:cs="Arial"/>
                <w:color w:val="000000"/>
              </w:rPr>
              <w:t xml:space="preserve"> </w:t>
            </w:r>
          </w:p>
          <w:p w14:paraId="0EBDDEE1" w14:textId="0E671B89" w:rsidR="000E4397" w:rsidRPr="00FD02F8" w:rsidRDefault="000E4397" w:rsidP="000E4397">
            <w:pPr>
              <w:spacing w:line="276" w:lineRule="auto"/>
              <w:textAlignment w:val="baseline"/>
              <w:rPr>
                <w:rFonts w:ascii="Arial" w:hAnsi="Arial" w:cs="Arial"/>
                <w:color w:val="000000"/>
              </w:rPr>
            </w:pPr>
            <w:r w:rsidRPr="00FD02F8">
              <w:rPr>
                <w:rFonts w:ascii="Arial" w:hAnsi="Arial" w:cs="Arial"/>
                <w:color w:val="000000"/>
              </w:rPr>
              <w:t xml:space="preserve">As set out in RBMP3: Good or better overall condition = 81% by 2027  </w:t>
            </w:r>
          </w:p>
        </w:tc>
        <w:tc>
          <w:tcPr>
            <w:tcW w:w="417" w:type="pct"/>
            <w:tcBorders>
              <w:top w:val="single" w:sz="4" w:space="0" w:color="auto"/>
              <w:left w:val="single" w:sz="4" w:space="0" w:color="auto"/>
              <w:bottom w:val="single" w:sz="4" w:space="0" w:color="auto"/>
              <w:right w:val="single" w:sz="4" w:space="0" w:color="auto"/>
            </w:tcBorders>
          </w:tcPr>
          <w:p w14:paraId="05D7A0C4" w14:textId="411C683A" w:rsidR="000E4397" w:rsidRPr="00FD02F8" w:rsidRDefault="003D46E1"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Good or high overall condition =</w:t>
            </w:r>
            <w:r w:rsidR="00F819E6" w:rsidRPr="00FD02F8">
              <w:rPr>
                <w:rFonts w:ascii="Arial" w:eastAsia="Times New Roman" w:hAnsi="Arial" w:cs="Arial"/>
                <w:lang w:eastAsia="en-GB"/>
              </w:rPr>
              <w:t xml:space="preserve"> </w:t>
            </w:r>
            <w:r w:rsidRPr="00FD02F8">
              <w:rPr>
                <w:rFonts w:ascii="Arial" w:eastAsia="Times New Roman" w:hAnsi="Arial" w:cs="Arial"/>
                <w:lang w:eastAsia="en-GB"/>
              </w:rPr>
              <w:t>67%</w:t>
            </w:r>
          </w:p>
        </w:tc>
        <w:tc>
          <w:tcPr>
            <w:tcW w:w="385" w:type="pct"/>
            <w:tcBorders>
              <w:top w:val="single" w:sz="4" w:space="0" w:color="auto"/>
              <w:left w:val="single" w:sz="4" w:space="0" w:color="auto"/>
              <w:bottom w:val="single" w:sz="4" w:space="0" w:color="auto"/>
              <w:right w:val="single" w:sz="4" w:space="0" w:color="auto"/>
            </w:tcBorders>
          </w:tcPr>
          <w:p w14:paraId="486E8D51" w14:textId="2DB3D0D5" w:rsidR="000E4397" w:rsidRPr="00FD02F8" w:rsidRDefault="003D46E1" w:rsidP="000E4397">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Achieving</w:t>
            </w:r>
          </w:p>
        </w:tc>
        <w:tc>
          <w:tcPr>
            <w:tcW w:w="1026" w:type="pct"/>
            <w:tcBorders>
              <w:top w:val="single" w:sz="4" w:space="0" w:color="auto"/>
              <w:left w:val="single" w:sz="4" w:space="0" w:color="auto"/>
              <w:bottom w:val="single" w:sz="4" w:space="0" w:color="auto"/>
              <w:right w:val="single" w:sz="4" w:space="0" w:color="auto"/>
            </w:tcBorders>
          </w:tcPr>
          <w:p w14:paraId="05C87C7C" w14:textId="006B80A3" w:rsidR="000E4397" w:rsidRPr="00FD02F8" w:rsidRDefault="00FD601C" w:rsidP="00793434">
            <w:pPr>
              <w:spacing w:line="276" w:lineRule="auto"/>
              <w:textAlignment w:val="baseline"/>
              <w:rPr>
                <w:rFonts w:cstheme="minorHAnsi"/>
                <w:color w:val="000000"/>
              </w:rPr>
            </w:pPr>
            <w:r w:rsidRPr="00FD02F8">
              <w:rPr>
                <w:rFonts w:cstheme="minorHAnsi"/>
                <w:color w:val="000000"/>
              </w:rPr>
              <w:t>Classification 2024 reports good</w:t>
            </w:r>
            <w:r w:rsidR="003E28F0" w:rsidRPr="00FD02F8">
              <w:rPr>
                <w:rFonts w:cstheme="minorHAnsi"/>
                <w:color w:val="000000"/>
              </w:rPr>
              <w:t xml:space="preserve"> or high overall condition </w:t>
            </w:r>
            <w:r w:rsidR="00701772" w:rsidRPr="00FD02F8">
              <w:rPr>
                <w:rFonts w:cstheme="minorHAnsi"/>
                <w:color w:val="000000"/>
              </w:rPr>
              <w:t>as</w:t>
            </w:r>
            <w:r w:rsidR="003E28F0" w:rsidRPr="00FD02F8">
              <w:rPr>
                <w:rFonts w:cstheme="minorHAnsi"/>
                <w:color w:val="000000"/>
              </w:rPr>
              <w:t xml:space="preserve"> 67%</w:t>
            </w:r>
            <w:r w:rsidR="00701772" w:rsidRPr="00FD02F8">
              <w:rPr>
                <w:rFonts w:cstheme="minorHAnsi"/>
                <w:color w:val="000000"/>
              </w:rPr>
              <w:t>.</w:t>
            </w:r>
          </w:p>
          <w:p w14:paraId="6D000610" w14:textId="77777777" w:rsidR="003E28F0" w:rsidRPr="00FD02F8" w:rsidRDefault="003E28F0" w:rsidP="00793434">
            <w:pPr>
              <w:spacing w:line="276" w:lineRule="auto"/>
              <w:textAlignment w:val="baseline"/>
              <w:rPr>
                <w:rFonts w:cstheme="minorHAnsi"/>
                <w:color w:val="000000"/>
              </w:rPr>
            </w:pPr>
          </w:p>
          <w:p w14:paraId="20BFE9E1" w14:textId="2CEF16DB" w:rsidR="000E4397" w:rsidRPr="00FD02F8" w:rsidRDefault="003E28F0" w:rsidP="00793434">
            <w:pPr>
              <w:spacing w:line="276" w:lineRule="auto"/>
              <w:textAlignment w:val="baseline"/>
              <w:rPr>
                <w:rFonts w:eastAsia="Times New Roman" w:cstheme="minorHAnsi"/>
                <w:lang w:eastAsia="en-GB"/>
              </w:rPr>
            </w:pPr>
            <w:r w:rsidRPr="00FD02F8">
              <w:rPr>
                <w:rFonts w:eastAsia="Times New Roman" w:cstheme="minorHAnsi"/>
                <w:lang w:eastAsia="en-GB"/>
              </w:rPr>
              <w:t>2449 out of 3652 water bodies are at good or high overall condition. This is an improvement compared to the 2020 baseline of 66%.</w:t>
            </w:r>
          </w:p>
        </w:tc>
        <w:tc>
          <w:tcPr>
            <w:tcW w:w="320" w:type="pct"/>
            <w:tcBorders>
              <w:top w:val="single" w:sz="4" w:space="0" w:color="auto"/>
              <w:left w:val="single" w:sz="4" w:space="0" w:color="auto"/>
              <w:bottom w:val="single" w:sz="4" w:space="0" w:color="auto"/>
              <w:right w:val="single" w:sz="4" w:space="0" w:color="auto"/>
            </w:tcBorders>
          </w:tcPr>
          <w:p w14:paraId="316C286A" w14:textId="6235ABDA" w:rsidR="000E4397" w:rsidRPr="00FD02F8" w:rsidRDefault="000E4397" w:rsidP="00D548C0">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Achieved</w:t>
            </w:r>
          </w:p>
        </w:tc>
      </w:tr>
      <w:tr w:rsidR="000E4397" w:rsidRPr="00FD02F8" w14:paraId="1DA1B53E" w14:textId="003D042E" w:rsidTr="1901DC8B">
        <w:trPr>
          <w:cantSplit/>
          <w:trHeight w:val="510"/>
        </w:trPr>
        <w:tc>
          <w:tcPr>
            <w:tcW w:w="223" w:type="pct"/>
            <w:tcBorders>
              <w:top w:val="single" w:sz="4" w:space="0" w:color="auto"/>
              <w:left w:val="single" w:sz="8" w:space="0" w:color="auto"/>
              <w:bottom w:val="single" w:sz="8" w:space="0" w:color="auto"/>
              <w:right w:val="single" w:sz="8" w:space="0" w:color="auto"/>
            </w:tcBorders>
          </w:tcPr>
          <w:p w14:paraId="5CC4EEB2" w14:textId="4555C1EA" w:rsidR="000E4397" w:rsidRPr="00FD02F8" w:rsidRDefault="000E4397" w:rsidP="000E4397">
            <w:pPr>
              <w:spacing w:line="276" w:lineRule="auto"/>
              <w:textAlignment w:val="baseline"/>
              <w:rPr>
                <w:rFonts w:ascii="Arial" w:hAnsi="Arial" w:cs="Arial"/>
              </w:rPr>
            </w:pPr>
            <w:r w:rsidRPr="00FD02F8">
              <w:rPr>
                <w:rFonts w:ascii="Arial" w:hAnsi="Arial" w:cs="Arial"/>
              </w:rPr>
              <w:t>WE02</w:t>
            </w:r>
          </w:p>
        </w:tc>
        <w:tc>
          <w:tcPr>
            <w:tcW w:w="417" w:type="pct"/>
            <w:tcBorders>
              <w:top w:val="single" w:sz="4" w:space="0" w:color="auto"/>
              <w:left w:val="single" w:sz="8" w:space="0" w:color="auto"/>
              <w:bottom w:val="single" w:sz="8" w:space="0" w:color="auto"/>
              <w:right w:val="single" w:sz="8" w:space="0" w:color="auto"/>
            </w:tcBorders>
          </w:tcPr>
          <w:p w14:paraId="0A060C64" w14:textId="571D21C3" w:rsidR="000E4397" w:rsidRPr="00FD02F8" w:rsidRDefault="000E4397" w:rsidP="000E4397">
            <w:pPr>
              <w:spacing w:line="276" w:lineRule="auto"/>
              <w:textAlignment w:val="baseline"/>
              <w:rPr>
                <w:rFonts w:ascii="Arial" w:hAnsi="Arial" w:cs="Arial"/>
              </w:rPr>
            </w:pPr>
            <w:r w:rsidRPr="00FD02F8">
              <w:rPr>
                <w:rFonts w:ascii="Arial" w:hAnsi="Arial" w:cs="Arial"/>
              </w:rPr>
              <w:t>Water Environment</w:t>
            </w:r>
          </w:p>
        </w:tc>
        <w:tc>
          <w:tcPr>
            <w:tcW w:w="802" w:type="pct"/>
            <w:tcBorders>
              <w:top w:val="single" w:sz="4" w:space="0" w:color="auto"/>
              <w:left w:val="single" w:sz="8" w:space="0" w:color="auto"/>
              <w:bottom w:val="single" w:sz="8" w:space="0" w:color="auto"/>
              <w:right w:val="single" w:sz="8" w:space="0" w:color="auto"/>
            </w:tcBorders>
          </w:tcPr>
          <w:p w14:paraId="5B81BBFA" w14:textId="0CAC7031" w:rsidR="000E4397" w:rsidRPr="00FD02F8" w:rsidRDefault="000E4397" w:rsidP="000E4397">
            <w:pPr>
              <w:spacing w:line="276" w:lineRule="auto"/>
              <w:textAlignment w:val="baseline"/>
              <w:rPr>
                <w:rFonts w:ascii="Arial" w:hAnsi="Arial" w:cs="Arial"/>
              </w:rPr>
            </w:pPr>
            <w:r w:rsidRPr="00FD02F8">
              <w:rPr>
                <w:rFonts w:ascii="Arial" w:hAnsi="Arial" w:cs="Arial"/>
              </w:rPr>
              <w:t xml:space="preserve">Number of water bodies at High, Good, Moderate, Poor or Bad status/potential​ for water quality. – Improvement </w:t>
            </w:r>
          </w:p>
        </w:tc>
        <w:tc>
          <w:tcPr>
            <w:tcW w:w="384" w:type="pct"/>
            <w:tcBorders>
              <w:top w:val="single" w:sz="4" w:space="0" w:color="auto"/>
              <w:left w:val="single" w:sz="8" w:space="0" w:color="auto"/>
              <w:bottom w:val="single" w:sz="8" w:space="0" w:color="auto"/>
              <w:right w:val="single" w:sz="8" w:space="0" w:color="auto"/>
            </w:tcBorders>
          </w:tcPr>
          <w:p w14:paraId="58F8579B" w14:textId="799BACCB"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6C170B9E" w14:textId="2FE3F769"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 xml:space="preserve">2020 data (start of third RBMP) </w:t>
            </w:r>
            <w:r w:rsidRPr="00FD02F8">
              <w:rPr>
                <w:rFonts w:ascii="Arial" w:hAnsi="Arial" w:cs="Arial"/>
              </w:rPr>
              <w:br/>
            </w:r>
            <w:r w:rsidRPr="00FD02F8">
              <w:rPr>
                <w:rFonts w:ascii="Arial" w:hAnsi="Arial" w:cs="Arial"/>
              </w:rPr>
              <w:br/>
              <w:t>Good or better overall condition = 87%</w:t>
            </w:r>
          </w:p>
        </w:tc>
        <w:tc>
          <w:tcPr>
            <w:tcW w:w="545" w:type="pct"/>
            <w:tcBorders>
              <w:top w:val="single" w:sz="4" w:space="0" w:color="auto"/>
              <w:left w:val="single" w:sz="4" w:space="0" w:color="auto"/>
              <w:bottom w:val="single" w:sz="4" w:space="0" w:color="auto"/>
              <w:right w:val="single" w:sz="4" w:space="0" w:color="auto"/>
            </w:tcBorders>
          </w:tcPr>
          <w:p w14:paraId="5897BB18" w14:textId="2B1C10B0"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 xml:space="preserve">As set out in RBMP3: Good or better overall condition = 92% by 2027  </w:t>
            </w:r>
          </w:p>
        </w:tc>
        <w:tc>
          <w:tcPr>
            <w:tcW w:w="417" w:type="pct"/>
            <w:tcBorders>
              <w:top w:val="single" w:sz="4" w:space="0" w:color="auto"/>
              <w:left w:val="single" w:sz="8" w:space="0" w:color="auto"/>
              <w:bottom w:val="single" w:sz="8" w:space="0" w:color="auto"/>
              <w:right w:val="single" w:sz="8" w:space="0" w:color="auto"/>
            </w:tcBorders>
          </w:tcPr>
          <w:p w14:paraId="1B155D1C" w14:textId="27F0789F" w:rsidR="000E4397" w:rsidRPr="00FD02F8" w:rsidRDefault="00877AC5"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Good or high water quality = 87%</w:t>
            </w:r>
          </w:p>
        </w:tc>
        <w:tc>
          <w:tcPr>
            <w:tcW w:w="385" w:type="pct"/>
            <w:tcBorders>
              <w:top w:val="single" w:sz="4" w:space="0" w:color="auto"/>
              <w:left w:val="single" w:sz="4" w:space="0" w:color="auto"/>
              <w:bottom w:val="single" w:sz="4" w:space="0" w:color="auto"/>
              <w:right w:val="single" w:sz="4" w:space="0" w:color="auto"/>
            </w:tcBorders>
          </w:tcPr>
          <w:p w14:paraId="344BDC68" w14:textId="204D6BAA" w:rsidR="000E4397" w:rsidRPr="00FD02F8" w:rsidRDefault="00295067"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Partially Achieving</w:t>
            </w:r>
          </w:p>
        </w:tc>
        <w:tc>
          <w:tcPr>
            <w:tcW w:w="1026" w:type="pct"/>
            <w:tcBorders>
              <w:top w:val="nil"/>
              <w:left w:val="single" w:sz="4" w:space="0" w:color="auto"/>
              <w:bottom w:val="single" w:sz="4" w:space="0" w:color="auto"/>
              <w:right w:val="single" w:sz="4" w:space="0" w:color="auto"/>
            </w:tcBorders>
          </w:tcPr>
          <w:p w14:paraId="55288F7A" w14:textId="309EE79F" w:rsidR="000E4397" w:rsidRPr="00FD02F8" w:rsidRDefault="00045A1D" w:rsidP="00163735">
            <w:pPr>
              <w:spacing w:line="276" w:lineRule="auto"/>
              <w:textAlignment w:val="baseline"/>
              <w:rPr>
                <w:rFonts w:cstheme="minorHAnsi"/>
                <w:color w:val="000000"/>
              </w:rPr>
            </w:pPr>
            <w:r w:rsidRPr="00FD02F8">
              <w:rPr>
                <w:rFonts w:cstheme="minorHAnsi"/>
                <w:color w:val="000000"/>
              </w:rPr>
              <w:t>Classification 2024 reports g</w:t>
            </w:r>
            <w:r w:rsidR="00501B5E" w:rsidRPr="00FD02F8">
              <w:rPr>
                <w:rFonts w:cstheme="minorHAnsi"/>
                <w:color w:val="000000"/>
              </w:rPr>
              <w:t>ood or high water quality at 87%</w:t>
            </w:r>
            <w:r w:rsidRPr="00FD02F8">
              <w:rPr>
                <w:rFonts w:cstheme="minorHAnsi"/>
                <w:color w:val="000000"/>
              </w:rPr>
              <w:t>.</w:t>
            </w:r>
            <w:r w:rsidR="00501B5E" w:rsidRPr="00FD02F8">
              <w:rPr>
                <w:rFonts w:cstheme="minorHAnsi"/>
                <w:color w:val="000000"/>
              </w:rPr>
              <w:t xml:space="preserve"> </w:t>
            </w:r>
            <w:r w:rsidR="00501B5E" w:rsidRPr="00FD02F8">
              <w:rPr>
                <w:rFonts w:eastAsia="Times New Roman" w:cstheme="minorHAnsi"/>
                <w:lang w:eastAsia="en-GB"/>
              </w:rPr>
              <w:t>This is stable compared to the 2020 baseline of 87%.</w:t>
            </w:r>
          </w:p>
        </w:tc>
        <w:tc>
          <w:tcPr>
            <w:tcW w:w="320" w:type="pct"/>
            <w:tcBorders>
              <w:top w:val="single" w:sz="4" w:space="0" w:color="auto"/>
              <w:left w:val="single" w:sz="4" w:space="0" w:color="auto"/>
              <w:bottom w:val="single" w:sz="4" w:space="0" w:color="auto"/>
              <w:right w:val="single" w:sz="4" w:space="0" w:color="auto"/>
            </w:tcBorders>
          </w:tcPr>
          <w:p w14:paraId="3FD613AE" w14:textId="580E312B" w:rsidR="000E4397" w:rsidRPr="00FD02F8" w:rsidRDefault="00295067" w:rsidP="00D548C0">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Partially Achieving</w:t>
            </w:r>
          </w:p>
        </w:tc>
      </w:tr>
      <w:tr w:rsidR="000E4397" w:rsidRPr="00FD02F8" w14:paraId="4FF951CB"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20771AEE" w14:textId="046E5720" w:rsidR="000E4397" w:rsidRPr="00FD02F8" w:rsidRDefault="000E4397" w:rsidP="000E4397">
            <w:pPr>
              <w:spacing w:line="276" w:lineRule="auto"/>
              <w:textAlignment w:val="baseline"/>
              <w:rPr>
                <w:rFonts w:ascii="Arial" w:hAnsi="Arial" w:cs="Arial"/>
              </w:rPr>
            </w:pPr>
            <w:r w:rsidRPr="00FD02F8">
              <w:rPr>
                <w:rFonts w:ascii="Arial" w:hAnsi="Arial" w:cs="Arial"/>
              </w:rPr>
              <w:t>WE03</w:t>
            </w:r>
          </w:p>
        </w:tc>
        <w:tc>
          <w:tcPr>
            <w:tcW w:w="417" w:type="pct"/>
            <w:tcBorders>
              <w:top w:val="single" w:sz="8" w:space="0" w:color="auto"/>
              <w:left w:val="single" w:sz="8" w:space="0" w:color="auto"/>
              <w:bottom w:val="single" w:sz="8" w:space="0" w:color="auto"/>
              <w:right w:val="single" w:sz="8" w:space="0" w:color="auto"/>
            </w:tcBorders>
          </w:tcPr>
          <w:p w14:paraId="1450E452" w14:textId="617C9C20" w:rsidR="000E4397" w:rsidRPr="00FD02F8" w:rsidRDefault="000E4397" w:rsidP="000E4397">
            <w:pPr>
              <w:spacing w:line="276" w:lineRule="auto"/>
              <w:textAlignment w:val="baseline"/>
              <w:rPr>
                <w:rFonts w:ascii="Arial" w:hAnsi="Arial" w:cs="Arial"/>
              </w:rPr>
            </w:pPr>
            <w:r w:rsidRPr="00FD02F8">
              <w:rPr>
                <w:rFonts w:ascii="Arial" w:hAnsi="Arial" w:cs="Arial"/>
              </w:rPr>
              <w:t>Water Environment</w:t>
            </w:r>
          </w:p>
        </w:tc>
        <w:tc>
          <w:tcPr>
            <w:tcW w:w="802" w:type="pct"/>
            <w:tcBorders>
              <w:top w:val="single" w:sz="8" w:space="0" w:color="auto"/>
              <w:left w:val="single" w:sz="8" w:space="0" w:color="auto"/>
              <w:bottom w:val="single" w:sz="8" w:space="0" w:color="auto"/>
              <w:right w:val="single" w:sz="8" w:space="0" w:color="auto"/>
            </w:tcBorders>
          </w:tcPr>
          <w:p w14:paraId="7E53D8AE" w14:textId="4E58C012" w:rsidR="000E4397" w:rsidRPr="00FD02F8" w:rsidRDefault="000E4397" w:rsidP="000E4397">
            <w:pPr>
              <w:spacing w:line="276" w:lineRule="auto"/>
              <w:textAlignment w:val="baseline"/>
              <w:rPr>
                <w:rFonts w:ascii="Arial" w:hAnsi="Arial" w:cs="Arial"/>
              </w:rPr>
            </w:pPr>
            <w:r w:rsidRPr="00FD02F8">
              <w:rPr>
                <w:rFonts w:ascii="Arial" w:hAnsi="Arial" w:cs="Arial"/>
              </w:rPr>
              <w:t>Number of water bodies at High, Good, Moderate, Poor or Bad status/potential​ for water flows and levels – Improvement</w:t>
            </w:r>
          </w:p>
        </w:tc>
        <w:tc>
          <w:tcPr>
            <w:tcW w:w="384" w:type="pct"/>
            <w:tcBorders>
              <w:top w:val="single" w:sz="8" w:space="0" w:color="auto"/>
              <w:left w:val="single" w:sz="8" w:space="0" w:color="auto"/>
              <w:bottom w:val="single" w:sz="8" w:space="0" w:color="auto"/>
              <w:right w:val="single" w:sz="8" w:space="0" w:color="auto"/>
            </w:tcBorders>
          </w:tcPr>
          <w:p w14:paraId="71AC8292" w14:textId="3AA84E07"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tcPr>
          <w:p w14:paraId="0E66B945" w14:textId="5F72CE9A"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2020 data (start of third RBMP). Good or better overall condition = 90%</w:t>
            </w:r>
          </w:p>
        </w:tc>
        <w:tc>
          <w:tcPr>
            <w:tcW w:w="545" w:type="pct"/>
            <w:tcBorders>
              <w:top w:val="nil"/>
              <w:left w:val="single" w:sz="4" w:space="0" w:color="auto"/>
              <w:bottom w:val="single" w:sz="4" w:space="0" w:color="auto"/>
              <w:right w:val="single" w:sz="4" w:space="0" w:color="auto"/>
            </w:tcBorders>
          </w:tcPr>
          <w:p w14:paraId="067B4A62" w14:textId="46D68139"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 xml:space="preserve">As set out in RBMP3: Good or better overall condition = 96% by 2027  </w:t>
            </w:r>
          </w:p>
        </w:tc>
        <w:tc>
          <w:tcPr>
            <w:tcW w:w="417" w:type="pct"/>
            <w:tcBorders>
              <w:top w:val="single" w:sz="8" w:space="0" w:color="auto"/>
              <w:left w:val="single" w:sz="8" w:space="0" w:color="auto"/>
              <w:bottom w:val="single" w:sz="8" w:space="0" w:color="auto"/>
              <w:right w:val="single" w:sz="8" w:space="0" w:color="auto"/>
            </w:tcBorders>
          </w:tcPr>
          <w:p w14:paraId="021A0285" w14:textId="5288A1A8" w:rsidR="000E4397" w:rsidRPr="00FD02F8" w:rsidRDefault="00F819E6"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Good or high water flows and levels = 89%</w:t>
            </w:r>
          </w:p>
        </w:tc>
        <w:tc>
          <w:tcPr>
            <w:tcW w:w="385" w:type="pct"/>
            <w:tcBorders>
              <w:top w:val="single" w:sz="4" w:space="0" w:color="auto"/>
              <w:left w:val="single" w:sz="4" w:space="0" w:color="auto"/>
              <w:bottom w:val="single" w:sz="4" w:space="0" w:color="auto"/>
              <w:right w:val="single" w:sz="4" w:space="0" w:color="auto"/>
            </w:tcBorders>
          </w:tcPr>
          <w:p w14:paraId="33946E39" w14:textId="23932A1F" w:rsidR="000E4397" w:rsidRPr="00FD02F8" w:rsidRDefault="00E96A9A" w:rsidP="000E4397">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Not Achieving</w:t>
            </w:r>
          </w:p>
        </w:tc>
        <w:tc>
          <w:tcPr>
            <w:tcW w:w="1026" w:type="pct"/>
            <w:tcBorders>
              <w:top w:val="nil"/>
              <w:left w:val="single" w:sz="4" w:space="0" w:color="auto"/>
              <w:bottom w:val="single" w:sz="4" w:space="0" w:color="auto"/>
              <w:right w:val="single" w:sz="4" w:space="0" w:color="auto"/>
            </w:tcBorders>
          </w:tcPr>
          <w:p w14:paraId="5174D33F" w14:textId="6361BE44" w:rsidR="00B5753E" w:rsidRPr="00FD02F8" w:rsidRDefault="00045A1D" w:rsidP="00B5753E">
            <w:pPr>
              <w:spacing w:line="276" w:lineRule="auto"/>
              <w:textAlignment w:val="baseline"/>
              <w:rPr>
                <w:rFonts w:ascii="Arial" w:eastAsia="Times New Roman" w:hAnsi="Arial" w:cs="Arial"/>
                <w:lang w:eastAsia="en-GB"/>
              </w:rPr>
            </w:pPr>
            <w:r w:rsidRPr="00FD02F8">
              <w:rPr>
                <w:rFonts w:cstheme="minorHAnsi"/>
                <w:color w:val="000000"/>
              </w:rPr>
              <w:t>Classification 2024 reports g</w:t>
            </w:r>
            <w:r w:rsidR="00A117A6" w:rsidRPr="00FD02F8">
              <w:rPr>
                <w:rFonts w:ascii="Arial" w:eastAsia="Times New Roman" w:hAnsi="Arial" w:cs="Arial"/>
                <w:lang w:eastAsia="en-GB"/>
              </w:rPr>
              <w:t xml:space="preserve">ood or high water flows and levels </w:t>
            </w:r>
            <w:r w:rsidRPr="00FD02F8">
              <w:rPr>
                <w:rFonts w:ascii="Arial" w:eastAsia="Times New Roman" w:hAnsi="Arial" w:cs="Arial"/>
                <w:lang w:eastAsia="en-GB"/>
              </w:rPr>
              <w:t>at</w:t>
            </w:r>
            <w:r w:rsidR="00A117A6" w:rsidRPr="00FD02F8">
              <w:rPr>
                <w:rFonts w:ascii="Arial" w:eastAsia="Times New Roman" w:hAnsi="Arial" w:cs="Arial"/>
                <w:lang w:eastAsia="en-GB"/>
              </w:rPr>
              <w:t xml:space="preserve"> 89%</w:t>
            </w:r>
            <w:r w:rsidRPr="00FD02F8">
              <w:rPr>
                <w:rFonts w:ascii="Arial" w:eastAsia="Times New Roman" w:hAnsi="Arial" w:cs="Arial"/>
                <w:lang w:eastAsia="en-GB"/>
              </w:rPr>
              <w:t>.</w:t>
            </w:r>
          </w:p>
          <w:p w14:paraId="76903F71" w14:textId="77777777" w:rsidR="00B5753E" w:rsidRPr="00FD02F8" w:rsidRDefault="00B5753E" w:rsidP="00B5753E">
            <w:pPr>
              <w:spacing w:line="276" w:lineRule="auto"/>
              <w:textAlignment w:val="baseline"/>
              <w:rPr>
                <w:rFonts w:ascii="Arial" w:eastAsia="Times New Roman" w:hAnsi="Arial" w:cs="Arial"/>
                <w:lang w:eastAsia="en-GB"/>
              </w:rPr>
            </w:pPr>
          </w:p>
          <w:p w14:paraId="3ADF55F3" w14:textId="79FDA7CF" w:rsidR="000E4397" w:rsidRPr="00FD02F8" w:rsidRDefault="009A3723" w:rsidP="00D548C0">
            <w:pPr>
              <w:spacing w:line="276" w:lineRule="auto"/>
              <w:textAlignment w:val="baseline"/>
              <w:rPr>
                <w:rFonts w:eastAsia="Times New Roman" w:cstheme="minorHAnsi"/>
                <w:lang w:eastAsia="en-GB"/>
              </w:rPr>
            </w:pPr>
            <w:r w:rsidRPr="00FD02F8">
              <w:rPr>
                <w:rFonts w:eastAsia="Times New Roman" w:cstheme="minorHAnsi"/>
                <w:lang w:eastAsia="en-GB"/>
              </w:rPr>
              <w:t>The reported decrease from the 2020 baseline of 90% is due to changes in assessment and reporting methodologies. There has been no underlying environmental change; results reflect updated classification in line with new information. These changes will be further reviewed through River Basin Management Planning (RBMP) workstream.</w:t>
            </w:r>
          </w:p>
        </w:tc>
        <w:tc>
          <w:tcPr>
            <w:tcW w:w="320" w:type="pct"/>
            <w:tcBorders>
              <w:top w:val="nil"/>
              <w:left w:val="single" w:sz="4" w:space="0" w:color="auto"/>
              <w:bottom w:val="single" w:sz="4" w:space="0" w:color="auto"/>
              <w:right w:val="single" w:sz="4" w:space="0" w:color="auto"/>
            </w:tcBorders>
          </w:tcPr>
          <w:p w14:paraId="24F11682" w14:textId="44F57FD9" w:rsidR="000E4397" w:rsidRPr="00FD02F8" w:rsidRDefault="00E96A9A" w:rsidP="00D548C0">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 xml:space="preserve">Not </w:t>
            </w:r>
            <w:r w:rsidR="002B66D2" w:rsidRPr="00FD02F8">
              <w:rPr>
                <w:rFonts w:ascii="Arial" w:hAnsi="Arial" w:cs="Arial"/>
                <w:color w:val="000000"/>
              </w:rPr>
              <w:t>Achieved</w:t>
            </w:r>
          </w:p>
        </w:tc>
      </w:tr>
      <w:tr w:rsidR="000E4397" w:rsidRPr="00FD02F8" w14:paraId="1868F06B" w14:textId="77777777" w:rsidTr="1901DC8B">
        <w:trPr>
          <w:cantSplit/>
          <w:trHeight w:val="510"/>
        </w:trPr>
        <w:tc>
          <w:tcPr>
            <w:tcW w:w="223" w:type="pct"/>
            <w:tcBorders>
              <w:top w:val="single" w:sz="8" w:space="0" w:color="auto"/>
              <w:left w:val="single" w:sz="8" w:space="0" w:color="auto"/>
              <w:bottom w:val="single" w:sz="4" w:space="0" w:color="auto"/>
              <w:right w:val="single" w:sz="8" w:space="0" w:color="auto"/>
            </w:tcBorders>
          </w:tcPr>
          <w:p w14:paraId="0A1067E6" w14:textId="0183004E" w:rsidR="000E4397" w:rsidRPr="00FD02F8" w:rsidRDefault="000E4397" w:rsidP="000E4397">
            <w:pPr>
              <w:spacing w:line="276" w:lineRule="auto"/>
              <w:textAlignment w:val="baseline"/>
              <w:rPr>
                <w:rFonts w:ascii="Arial" w:hAnsi="Arial" w:cs="Arial"/>
              </w:rPr>
            </w:pPr>
            <w:r w:rsidRPr="00FD02F8">
              <w:rPr>
                <w:rFonts w:ascii="Arial" w:hAnsi="Arial" w:cs="Arial"/>
              </w:rPr>
              <w:t>WE04</w:t>
            </w:r>
          </w:p>
        </w:tc>
        <w:tc>
          <w:tcPr>
            <w:tcW w:w="417" w:type="pct"/>
            <w:tcBorders>
              <w:top w:val="single" w:sz="8" w:space="0" w:color="auto"/>
              <w:left w:val="single" w:sz="8" w:space="0" w:color="auto"/>
              <w:bottom w:val="single" w:sz="4" w:space="0" w:color="auto"/>
              <w:right w:val="single" w:sz="8" w:space="0" w:color="auto"/>
            </w:tcBorders>
          </w:tcPr>
          <w:p w14:paraId="326E96B5" w14:textId="794FCBD3" w:rsidR="000E4397" w:rsidRPr="00FD02F8" w:rsidRDefault="000E4397" w:rsidP="000E4397">
            <w:pPr>
              <w:spacing w:line="276" w:lineRule="auto"/>
              <w:textAlignment w:val="baseline"/>
              <w:rPr>
                <w:rFonts w:ascii="Arial" w:hAnsi="Arial" w:cs="Arial"/>
              </w:rPr>
            </w:pPr>
            <w:r w:rsidRPr="00FD02F8">
              <w:rPr>
                <w:rFonts w:ascii="Arial" w:hAnsi="Arial" w:cs="Arial"/>
              </w:rPr>
              <w:t>Water Environment</w:t>
            </w:r>
          </w:p>
        </w:tc>
        <w:tc>
          <w:tcPr>
            <w:tcW w:w="802" w:type="pct"/>
            <w:tcBorders>
              <w:top w:val="single" w:sz="8" w:space="0" w:color="auto"/>
              <w:left w:val="single" w:sz="8" w:space="0" w:color="auto"/>
              <w:bottom w:val="single" w:sz="4" w:space="0" w:color="auto"/>
              <w:right w:val="single" w:sz="8" w:space="0" w:color="auto"/>
            </w:tcBorders>
          </w:tcPr>
          <w:p w14:paraId="5798616A" w14:textId="14F8D7CF" w:rsidR="000E4397" w:rsidRPr="00FD02F8" w:rsidRDefault="000E4397" w:rsidP="000E4397">
            <w:pPr>
              <w:spacing w:line="276" w:lineRule="auto"/>
              <w:textAlignment w:val="baseline"/>
              <w:rPr>
                <w:rFonts w:ascii="Arial" w:hAnsi="Arial" w:cs="Arial"/>
              </w:rPr>
            </w:pPr>
            <w:r w:rsidRPr="00FD02F8">
              <w:rPr>
                <w:rFonts w:ascii="Arial" w:hAnsi="Arial" w:cs="Arial"/>
              </w:rPr>
              <w:t>Number of surface water bodies at High, Good, Moderate, Poor or Bad status/potential​ for physical condition. – Improvement</w:t>
            </w:r>
          </w:p>
        </w:tc>
        <w:tc>
          <w:tcPr>
            <w:tcW w:w="384" w:type="pct"/>
            <w:tcBorders>
              <w:top w:val="single" w:sz="8" w:space="0" w:color="auto"/>
              <w:left w:val="single" w:sz="8" w:space="0" w:color="auto"/>
              <w:bottom w:val="single" w:sz="4" w:space="0" w:color="auto"/>
              <w:right w:val="single" w:sz="8" w:space="0" w:color="auto"/>
            </w:tcBorders>
          </w:tcPr>
          <w:p w14:paraId="0BDDFA2D" w14:textId="13466B8D"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tcPr>
          <w:p w14:paraId="73C55C9D" w14:textId="33B66FA3"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2020 data (start of third RBMP). Good or better overall condition = 90%</w:t>
            </w:r>
          </w:p>
        </w:tc>
        <w:tc>
          <w:tcPr>
            <w:tcW w:w="545" w:type="pct"/>
            <w:tcBorders>
              <w:top w:val="nil"/>
              <w:left w:val="single" w:sz="4" w:space="0" w:color="auto"/>
              <w:bottom w:val="single" w:sz="4" w:space="0" w:color="auto"/>
              <w:right w:val="single" w:sz="4" w:space="0" w:color="auto"/>
            </w:tcBorders>
          </w:tcPr>
          <w:p w14:paraId="1D09EE86" w14:textId="57C97C27"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 xml:space="preserve">As set out in RBMP3: Good or better overall condition = 92% by 2027  </w:t>
            </w:r>
          </w:p>
        </w:tc>
        <w:tc>
          <w:tcPr>
            <w:tcW w:w="417" w:type="pct"/>
            <w:tcBorders>
              <w:top w:val="single" w:sz="8" w:space="0" w:color="auto"/>
              <w:left w:val="single" w:sz="8" w:space="0" w:color="auto"/>
              <w:bottom w:val="single" w:sz="4" w:space="0" w:color="auto"/>
              <w:right w:val="single" w:sz="8" w:space="0" w:color="auto"/>
            </w:tcBorders>
          </w:tcPr>
          <w:p w14:paraId="5DD33B94" w14:textId="7EB12BCB" w:rsidR="000E4397" w:rsidRPr="00FD02F8" w:rsidRDefault="00DF1A75"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Good or high physical condition = 91%</w:t>
            </w:r>
          </w:p>
        </w:tc>
        <w:tc>
          <w:tcPr>
            <w:tcW w:w="385" w:type="pct"/>
            <w:tcBorders>
              <w:top w:val="single" w:sz="4" w:space="0" w:color="auto"/>
              <w:left w:val="single" w:sz="4" w:space="0" w:color="auto"/>
              <w:bottom w:val="single" w:sz="4" w:space="0" w:color="auto"/>
              <w:right w:val="single" w:sz="4" w:space="0" w:color="auto"/>
            </w:tcBorders>
          </w:tcPr>
          <w:p w14:paraId="118BF898" w14:textId="4278F73F" w:rsidR="000E4397" w:rsidRPr="00FD02F8" w:rsidRDefault="001D452A" w:rsidP="000E4397">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tcPr>
          <w:p w14:paraId="0BA1958E" w14:textId="53017507" w:rsidR="000E4397" w:rsidRPr="00FD02F8" w:rsidRDefault="00B81CBE" w:rsidP="00D548C0">
            <w:pPr>
              <w:spacing w:line="276" w:lineRule="auto"/>
              <w:textAlignment w:val="baseline"/>
              <w:rPr>
                <w:rFonts w:cstheme="minorHAnsi"/>
                <w:color w:val="000000"/>
              </w:rPr>
            </w:pPr>
            <w:r w:rsidRPr="00FD02F8">
              <w:rPr>
                <w:rFonts w:cstheme="minorHAnsi"/>
                <w:color w:val="000000"/>
              </w:rPr>
              <w:t>Classification 2024 reports g</w:t>
            </w:r>
            <w:r w:rsidRPr="00FD02F8">
              <w:rPr>
                <w:rFonts w:ascii="Arial" w:eastAsia="Times New Roman" w:hAnsi="Arial" w:cs="Arial"/>
                <w:lang w:eastAsia="en-GB"/>
              </w:rPr>
              <w:t xml:space="preserve">ood </w:t>
            </w:r>
            <w:r w:rsidR="001D452A" w:rsidRPr="00FD02F8">
              <w:rPr>
                <w:rFonts w:cstheme="minorHAnsi"/>
                <w:color w:val="000000"/>
              </w:rPr>
              <w:t>or high physical condition at 91%</w:t>
            </w:r>
            <w:r w:rsidRPr="00FD02F8">
              <w:rPr>
                <w:rFonts w:cstheme="minorHAnsi"/>
                <w:color w:val="000000"/>
              </w:rPr>
              <w:t>.</w:t>
            </w:r>
            <w:r w:rsidR="001D452A" w:rsidRPr="00FD02F8">
              <w:rPr>
                <w:rFonts w:cstheme="minorHAnsi"/>
                <w:color w:val="000000"/>
              </w:rPr>
              <w:t xml:space="preserve"> This is an improvement compared to the 2020 baseline of 90%.</w:t>
            </w:r>
          </w:p>
        </w:tc>
        <w:tc>
          <w:tcPr>
            <w:tcW w:w="320" w:type="pct"/>
            <w:tcBorders>
              <w:top w:val="single" w:sz="4" w:space="0" w:color="auto"/>
              <w:left w:val="single" w:sz="4" w:space="0" w:color="auto"/>
              <w:bottom w:val="single" w:sz="4" w:space="0" w:color="auto"/>
              <w:right w:val="single" w:sz="4" w:space="0" w:color="auto"/>
            </w:tcBorders>
          </w:tcPr>
          <w:p w14:paraId="50F31491" w14:textId="7D3B9AB4" w:rsidR="000E4397" w:rsidRPr="00FD02F8" w:rsidRDefault="000E4397" w:rsidP="00D548C0">
            <w:pPr>
              <w:spacing w:line="276" w:lineRule="auto"/>
              <w:jc w:val="center"/>
              <w:textAlignment w:val="baseline"/>
              <w:rPr>
                <w:rFonts w:ascii="Arial" w:eastAsia="Times New Roman" w:hAnsi="Arial" w:cs="Arial"/>
                <w:lang w:eastAsia="en-GB"/>
              </w:rPr>
            </w:pPr>
            <w:r w:rsidRPr="00FD02F8">
              <w:rPr>
                <w:rFonts w:ascii="Arial" w:hAnsi="Arial" w:cs="Arial"/>
                <w:color w:val="000000"/>
              </w:rPr>
              <w:t>Achieved</w:t>
            </w:r>
          </w:p>
        </w:tc>
      </w:tr>
      <w:tr w:rsidR="000E4397" w:rsidRPr="00FD02F8" w14:paraId="3ABD58A0" w14:textId="77777777" w:rsidTr="1901DC8B">
        <w:trPr>
          <w:cantSplit/>
          <w:trHeight w:val="510"/>
        </w:trPr>
        <w:tc>
          <w:tcPr>
            <w:tcW w:w="223" w:type="pct"/>
            <w:tcBorders>
              <w:top w:val="single" w:sz="4" w:space="0" w:color="auto"/>
              <w:left w:val="single" w:sz="4" w:space="0" w:color="auto"/>
              <w:bottom w:val="single" w:sz="4" w:space="0" w:color="auto"/>
              <w:right w:val="single" w:sz="4" w:space="0" w:color="auto"/>
            </w:tcBorders>
          </w:tcPr>
          <w:p w14:paraId="094783AA" w14:textId="391E4807" w:rsidR="000E4397" w:rsidRPr="00FD02F8" w:rsidRDefault="000E4397" w:rsidP="000E4397">
            <w:pPr>
              <w:spacing w:line="276" w:lineRule="auto"/>
              <w:textAlignment w:val="baseline"/>
              <w:rPr>
                <w:rFonts w:ascii="Arial" w:hAnsi="Arial" w:cs="Arial"/>
              </w:rPr>
            </w:pPr>
            <w:r w:rsidRPr="00FD02F8">
              <w:rPr>
                <w:rFonts w:ascii="Arial" w:hAnsi="Arial" w:cs="Arial"/>
              </w:rPr>
              <w:lastRenderedPageBreak/>
              <w:t>WE05</w:t>
            </w:r>
          </w:p>
        </w:tc>
        <w:tc>
          <w:tcPr>
            <w:tcW w:w="417" w:type="pct"/>
            <w:tcBorders>
              <w:top w:val="single" w:sz="4" w:space="0" w:color="auto"/>
              <w:left w:val="single" w:sz="4" w:space="0" w:color="auto"/>
              <w:bottom w:val="single" w:sz="4" w:space="0" w:color="auto"/>
              <w:right w:val="single" w:sz="4" w:space="0" w:color="auto"/>
            </w:tcBorders>
          </w:tcPr>
          <w:p w14:paraId="1792CF07" w14:textId="6CC4658E" w:rsidR="000E4397" w:rsidRPr="00FD02F8" w:rsidRDefault="000E4397" w:rsidP="000E4397">
            <w:pPr>
              <w:spacing w:line="276" w:lineRule="auto"/>
              <w:textAlignment w:val="baseline"/>
              <w:rPr>
                <w:rFonts w:ascii="Arial" w:hAnsi="Arial" w:cs="Arial"/>
              </w:rPr>
            </w:pPr>
            <w:r w:rsidRPr="00FD02F8">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761CF0D8" w14:textId="297BDBD8" w:rsidR="000E4397" w:rsidRPr="00FD02F8" w:rsidRDefault="000E4397" w:rsidP="000E4397">
            <w:pPr>
              <w:spacing w:line="276" w:lineRule="auto"/>
              <w:textAlignment w:val="baseline"/>
              <w:rPr>
                <w:rFonts w:ascii="Arial" w:hAnsi="Arial" w:cs="Arial"/>
              </w:rPr>
            </w:pPr>
            <w:r w:rsidRPr="00FD02F8">
              <w:rPr>
                <w:rFonts w:ascii="Arial" w:hAnsi="Arial" w:cs="Arial"/>
              </w:rPr>
              <w:t>Number of surface water bodies at High, Good, Moderate, Poor or Bad status/potential​ for fish migration – Improvement</w:t>
            </w:r>
          </w:p>
        </w:tc>
        <w:tc>
          <w:tcPr>
            <w:tcW w:w="384" w:type="pct"/>
            <w:tcBorders>
              <w:top w:val="single" w:sz="4" w:space="0" w:color="auto"/>
              <w:left w:val="single" w:sz="4" w:space="0" w:color="auto"/>
              <w:bottom w:val="single" w:sz="4" w:space="0" w:color="auto"/>
              <w:right w:val="single" w:sz="4" w:space="0" w:color="auto"/>
            </w:tcBorders>
          </w:tcPr>
          <w:p w14:paraId="4F507C3D" w14:textId="5B1BA637"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56EFD8FA" w14:textId="1B5F5C3E"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2020 data (start of third RBMP). Good or better overall condition = 88%</w:t>
            </w:r>
          </w:p>
        </w:tc>
        <w:tc>
          <w:tcPr>
            <w:tcW w:w="545" w:type="pct"/>
            <w:tcBorders>
              <w:top w:val="single" w:sz="4" w:space="0" w:color="auto"/>
              <w:left w:val="single" w:sz="4" w:space="0" w:color="auto"/>
              <w:bottom w:val="single" w:sz="4" w:space="0" w:color="auto"/>
              <w:right w:val="single" w:sz="4" w:space="0" w:color="auto"/>
            </w:tcBorders>
          </w:tcPr>
          <w:p w14:paraId="609CC36E" w14:textId="6BA2C622"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 xml:space="preserve">As set out in RBMP3: Good or better overall condition = 99% by 2027  </w:t>
            </w:r>
          </w:p>
        </w:tc>
        <w:tc>
          <w:tcPr>
            <w:tcW w:w="417" w:type="pct"/>
            <w:tcBorders>
              <w:top w:val="single" w:sz="4" w:space="0" w:color="auto"/>
              <w:left w:val="single" w:sz="4" w:space="0" w:color="auto"/>
              <w:bottom w:val="single" w:sz="4" w:space="0" w:color="auto"/>
              <w:right w:val="single" w:sz="4" w:space="0" w:color="auto"/>
            </w:tcBorders>
          </w:tcPr>
          <w:p w14:paraId="5DBB0E0B" w14:textId="1F9AFFB9" w:rsidR="000E4397" w:rsidRPr="00FD02F8" w:rsidRDefault="00926338"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Good or high </w:t>
            </w:r>
            <w:r w:rsidR="00701772" w:rsidRPr="00FD02F8">
              <w:rPr>
                <w:rFonts w:ascii="Arial" w:hAnsi="Arial" w:cs="Arial"/>
              </w:rPr>
              <w:t>status/potential​ for fish migration</w:t>
            </w:r>
            <w:r w:rsidR="00701772" w:rsidRPr="00FD02F8">
              <w:rPr>
                <w:rFonts w:ascii="Arial" w:eastAsia="Times New Roman" w:hAnsi="Arial" w:cs="Arial"/>
                <w:lang w:eastAsia="en-GB"/>
              </w:rPr>
              <w:t xml:space="preserve"> </w:t>
            </w:r>
            <w:r w:rsidRPr="00FD02F8">
              <w:rPr>
                <w:rFonts w:ascii="Arial" w:eastAsia="Times New Roman" w:hAnsi="Arial" w:cs="Arial"/>
                <w:lang w:eastAsia="en-GB"/>
              </w:rPr>
              <w:t>= 90%</w:t>
            </w:r>
          </w:p>
        </w:tc>
        <w:tc>
          <w:tcPr>
            <w:tcW w:w="385" w:type="pct"/>
            <w:tcBorders>
              <w:top w:val="single" w:sz="4" w:space="0" w:color="auto"/>
              <w:left w:val="single" w:sz="4" w:space="0" w:color="auto"/>
              <w:bottom w:val="single" w:sz="4" w:space="0" w:color="auto"/>
              <w:right w:val="single" w:sz="4" w:space="0" w:color="auto"/>
            </w:tcBorders>
          </w:tcPr>
          <w:p w14:paraId="51E169F6" w14:textId="65890B9C" w:rsidR="000E4397" w:rsidRPr="00FD02F8" w:rsidRDefault="006107F0"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Achieving </w:t>
            </w:r>
          </w:p>
        </w:tc>
        <w:tc>
          <w:tcPr>
            <w:tcW w:w="1026" w:type="pct"/>
            <w:tcBorders>
              <w:top w:val="nil"/>
              <w:left w:val="single" w:sz="4" w:space="0" w:color="auto"/>
              <w:bottom w:val="single" w:sz="4" w:space="0" w:color="auto"/>
              <w:right w:val="single" w:sz="4" w:space="0" w:color="auto"/>
            </w:tcBorders>
          </w:tcPr>
          <w:p w14:paraId="6C16ACB0" w14:textId="4CD32841" w:rsidR="000E4397" w:rsidRPr="00FD02F8" w:rsidRDefault="00662A3F" w:rsidP="00C32884">
            <w:pPr>
              <w:spacing w:line="276" w:lineRule="auto"/>
              <w:textAlignment w:val="baseline"/>
              <w:rPr>
                <w:rFonts w:cstheme="minorHAnsi"/>
                <w:color w:val="000000"/>
              </w:rPr>
            </w:pPr>
            <w:r w:rsidRPr="00FD02F8">
              <w:rPr>
                <w:rFonts w:cstheme="minorHAnsi"/>
                <w:color w:val="000000"/>
              </w:rPr>
              <w:t xml:space="preserve">Classification 2024 reports </w:t>
            </w:r>
            <w:r w:rsidR="006107F0" w:rsidRPr="00FD02F8">
              <w:rPr>
                <w:rFonts w:cstheme="minorHAnsi"/>
                <w:color w:val="000000"/>
              </w:rPr>
              <w:t>g</w:t>
            </w:r>
            <w:r w:rsidR="006107F0" w:rsidRPr="00FD02F8">
              <w:rPr>
                <w:rFonts w:ascii="Arial" w:eastAsia="Times New Roman" w:hAnsi="Arial" w:cs="Arial"/>
                <w:lang w:eastAsia="en-GB"/>
              </w:rPr>
              <w:t xml:space="preserve">ood </w:t>
            </w:r>
            <w:r w:rsidR="006107F0" w:rsidRPr="00FD02F8">
              <w:rPr>
                <w:rFonts w:cstheme="minorHAnsi"/>
                <w:color w:val="000000"/>
              </w:rPr>
              <w:t>or high status</w:t>
            </w:r>
            <w:r w:rsidR="00FD601C" w:rsidRPr="00FD02F8">
              <w:rPr>
                <w:rFonts w:cstheme="minorHAnsi"/>
                <w:color w:val="000000"/>
              </w:rPr>
              <w:t xml:space="preserve"> </w:t>
            </w:r>
            <w:r w:rsidR="006107F0" w:rsidRPr="00FD02F8">
              <w:rPr>
                <w:rFonts w:cstheme="minorHAnsi"/>
                <w:color w:val="000000"/>
              </w:rPr>
              <w:t xml:space="preserve">/potential for </w:t>
            </w:r>
            <w:r w:rsidR="00FD601C" w:rsidRPr="00FD02F8">
              <w:rPr>
                <w:rFonts w:cstheme="minorHAnsi"/>
                <w:color w:val="000000"/>
              </w:rPr>
              <w:t xml:space="preserve">fish migration </w:t>
            </w:r>
            <w:r w:rsidRPr="00FD02F8">
              <w:rPr>
                <w:rFonts w:cstheme="minorHAnsi"/>
                <w:color w:val="000000"/>
              </w:rPr>
              <w:t>at</w:t>
            </w:r>
            <w:r w:rsidR="006107F0" w:rsidRPr="00FD02F8">
              <w:rPr>
                <w:rFonts w:cstheme="minorHAnsi"/>
                <w:color w:val="000000"/>
              </w:rPr>
              <w:t xml:space="preserve"> 90% This is an improvement compared to the 2020 baseline of 88%.</w:t>
            </w:r>
          </w:p>
        </w:tc>
        <w:tc>
          <w:tcPr>
            <w:tcW w:w="320" w:type="pct"/>
            <w:tcBorders>
              <w:top w:val="single" w:sz="4" w:space="0" w:color="auto"/>
              <w:left w:val="single" w:sz="4" w:space="0" w:color="auto"/>
              <w:bottom w:val="single" w:sz="4" w:space="0" w:color="auto"/>
              <w:right w:val="single" w:sz="4" w:space="0" w:color="auto"/>
            </w:tcBorders>
          </w:tcPr>
          <w:p w14:paraId="3CEBBCF8" w14:textId="1FC712DE" w:rsidR="000E4397" w:rsidRPr="00FD02F8" w:rsidRDefault="000E4397" w:rsidP="000E4397">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Achieved</w:t>
            </w:r>
          </w:p>
        </w:tc>
      </w:tr>
      <w:tr w:rsidR="00312056" w:rsidRPr="00FD02F8" w14:paraId="3BBCC96D" w14:textId="77777777" w:rsidTr="1901DC8B">
        <w:trPr>
          <w:cantSplit/>
          <w:trHeight w:val="510"/>
        </w:trPr>
        <w:tc>
          <w:tcPr>
            <w:tcW w:w="223" w:type="pct"/>
            <w:tcBorders>
              <w:top w:val="single" w:sz="4" w:space="0" w:color="auto"/>
              <w:left w:val="single" w:sz="4" w:space="0" w:color="auto"/>
              <w:bottom w:val="single" w:sz="4" w:space="0" w:color="auto"/>
              <w:right w:val="single" w:sz="4" w:space="0" w:color="auto"/>
            </w:tcBorders>
          </w:tcPr>
          <w:p w14:paraId="6BCD4754" w14:textId="48BCFF71" w:rsidR="00312056" w:rsidRPr="00FD02F8" w:rsidRDefault="00312056" w:rsidP="00312056">
            <w:pPr>
              <w:spacing w:line="276" w:lineRule="auto"/>
              <w:textAlignment w:val="baseline"/>
              <w:rPr>
                <w:rFonts w:ascii="Arial" w:hAnsi="Arial" w:cs="Arial"/>
              </w:rPr>
            </w:pPr>
            <w:r w:rsidRPr="00FD02F8">
              <w:rPr>
                <w:rFonts w:ascii="Arial" w:hAnsi="Arial" w:cs="Arial"/>
              </w:rPr>
              <w:t>WE06</w:t>
            </w:r>
          </w:p>
        </w:tc>
        <w:tc>
          <w:tcPr>
            <w:tcW w:w="417" w:type="pct"/>
            <w:tcBorders>
              <w:top w:val="single" w:sz="4" w:space="0" w:color="auto"/>
              <w:left w:val="single" w:sz="4" w:space="0" w:color="auto"/>
              <w:bottom w:val="single" w:sz="4" w:space="0" w:color="auto"/>
              <w:right w:val="single" w:sz="4" w:space="0" w:color="auto"/>
            </w:tcBorders>
          </w:tcPr>
          <w:p w14:paraId="3D365A27" w14:textId="48C1DFB2" w:rsidR="00312056" w:rsidRPr="00FD02F8" w:rsidRDefault="00312056" w:rsidP="00312056">
            <w:pPr>
              <w:spacing w:line="276" w:lineRule="auto"/>
              <w:textAlignment w:val="baseline"/>
              <w:rPr>
                <w:rFonts w:ascii="Arial" w:hAnsi="Arial" w:cs="Arial"/>
              </w:rPr>
            </w:pPr>
            <w:r w:rsidRPr="00FD02F8">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692D4EBA" w14:textId="0FADB76D" w:rsidR="00312056" w:rsidRPr="00FD02F8" w:rsidRDefault="00312056" w:rsidP="00312056">
            <w:pPr>
              <w:spacing w:line="276" w:lineRule="auto"/>
              <w:textAlignment w:val="baseline"/>
              <w:rPr>
                <w:rFonts w:ascii="Arial" w:hAnsi="Arial" w:cs="Arial"/>
              </w:rPr>
            </w:pPr>
            <w:r w:rsidRPr="00FD02F8">
              <w:rPr>
                <w:rFonts w:ascii="Arial" w:hAnsi="Arial" w:cs="Arial"/>
              </w:rPr>
              <w:t>Percentage of bathing waters meeting excellent, good, or sufficient quality standards​– Improvement</w:t>
            </w:r>
          </w:p>
        </w:tc>
        <w:tc>
          <w:tcPr>
            <w:tcW w:w="384" w:type="pct"/>
            <w:tcBorders>
              <w:top w:val="single" w:sz="4" w:space="0" w:color="auto"/>
              <w:left w:val="single" w:sz="4" w:space="0" w:color="auto"/>
              <w:bottom w:val="single" w:sz="4" w:space="0" w:color="auto"/>
              <w:right w:val="single" w:sz="4" w:space="0" w:color="auto"/>
            </w:tcBorders>
          </w:tcPr>
          <w:p w14:paraId="0A321721" w14:textId="6460F533"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7CBAF4B9" w14:textId="1E54903E"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hAnsi="Arial" w:cs="Arial"/>
              </w:rPr>
              <w:t xml:space="preserve">2024/2025 baseline classification </w:t>
            </w:r>
            <w:r w:rsidRPr="00FD02F8">
              <w:rPr>
                <w:rFonts w:ascii="Arial" w:hAnsi="Arial" w:cs="Arial"/>
              </w:rPr>
              <w:br/>
            </w:r>
            <w:r w:rsidRPr="00FD02F8">
              <w:rPr>
                <w:rFonts w:ascii="Arial" w:hAnsi="Arial" w:cs="Arial"/>
              </w:rPr>
              <w:br/>
              <w:t xml:space="preserve">89 bathing waters with 96.6% sufficient or better </w:t>
            </w:r>
          </w:p>
        </w:tc>
        <w:tc>
          <w:tcPr>
            <w:tcW w:w="545" w:type="pct"/>
            <w:tcBorders>
              <w:top w:val="single" w:sz="4" w:space="0" w:color="auto"/>
              <w:left w:val="single" w:sz="4" w:space="0" w:color="auto"/>
              <w:bottom w:val="single" w:sz="4" w:space="0" w:color="auto"/>
              <w:right w:val="single" w:sz="4" w:space="0" w:color="auto"/>
            </w:tcBorders>
          </w:tcPr>
          <w:p w14:paraId="5A719906" w14:textId="6815EB8E"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hAnsi="Arial" w:cs="Arial"/>
                <w:color w:val="000000"/>
              </w:rPr>
              <w:t>Achieving - the percentage of bathing waters at excellent, good and sufficient classifications to meet or exceed the baseline percentage.</w:t>
            </w:r>
          </w:p>
        </w:tc>
        <w:tc>
          <w:tcPr>
            <w:tcW w:w="417" w:type="pct"/>
            <w:tcBorders>
              <w:top w:val="single" w:sz="4" w:space="0" w:color="auto"/>
              <w:left w:val="single" w:sz="4" w:space="0" w:color="auto"/>
              <w:bottom w:val="single" w:sz="4" w:space="0" w:color="auto"/>
              <w:right w:val="single" w:sz="4" w:space="0" w:color="auto"/>
            </w:tcBorders>
          </w:tcPr>
          <w:p w14:paraId="3EAE137F" w14:textId="2349F6DA" w:rsidR="00312056" w:rsidRPr="00FD02F8" w:rsidRDefault="00ED0AC9" w:rsidP="00312056">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Met baseline percentage of </w:t>
            </w:r>
            <w:r w:rsidR="002E7EC1" w:rsidRPr="00FD02F8">
              <w:rPr>
                <w:rFonts w:ascii="Arial" w:eastAsia="Times New Roman" w:hAnsi="Arial" w:cs="Arial"/>
                <w:lang w:eastAsia="en-GB"/>
              </w:rPr>
              <w:t>96.6%</w:t>
            </w:r>
          </w:p>
        </w:tc>
        <w:tc>
          <w:tcPr>
            <w:tcW w:w="385" w:type="pct"/>
            <w:tcBorders>
              <w:top w:val="single" w:sz="4" w:space="0" w:color="auto"/>
              <w:left w:val="single" w:sz="4" w:space="0" w:color="auto"/>
              <w:bottom w:val="single" w:sz="4" w:space="0" w:color="auto"/>
              <w:right w:val="single" w:sz="4" w:space="0" w:color="auto"/>
            </w:tcBorders>
          </w:tcPr>
          <w:p w14:paraId="0F954B67" w14:textId="70CEEBB8" w:rsidR="00312056" w:rsidRPr="00FD02F8" w:rsidRDefault="002702AA"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Achieving</w:t>
            </w:r>
          </w:p>
        </w:tc>
        <w:tc>
          <w:tcPr>
            <w:tcW w:w="1026" w:type="pct"/>
            <w:tcBorders>
              <w:top w:val="nil"/>
              <w:left w:val="single" w:sz="4" w:space="0" w:color="auto"/>
              <w:bottom w:val="single" w:sz="8" w:space="0" w:color="auto"/>
              <w:right w:val="single" w:sz="4" w:space="0" w:color="auto"/>
            </w:tcBorders>
          </w:tcPr>
          <w:p w14:paraId="372EC60E" w14:textId="3D18EAFB" w:rsidR="00312056" w:rsidRPr="00FD02F8" w:rsidRDefault="00312056" w:rsidP="00C32884">
            <w:pPr>
              <w:spacing w:line="276" w:lineRule="auto"/>
              <w:textAlignment w:val="baseline"/>
              <w:rPr>
                <w:rFonts w:eastAsia="Times New Roman" w:cstheme="minorHAnsi"/>
                <w:lang w:eastAsia="en-GB"/>
              </w:rPr>
            </w:pPr>
            <w:r w:rsidRPr="00FD02F8">
              <w:rPr>
                <w:rFonts w:cstheme="minorHAnsi"/>
                <w:color w:val="000000"/>
              </w:rPr>
              <w:t xml:space="preserve">The 2025/2026 bathing water classifications </w:t>
            </w:r>
            <w:r w:rsidR="00C34B08" w:rsidRPr="00FD02F8">
              <w:rPr>
                <w:rFonts w:cstheme="minorHAnsi"/>
                <w:color w:val="000000"/>
              </w:rPr>
              <w:t>were published on target</w:t>
            </w:r>
            <w:r w:rsidRPr="00FD02F8">
              <w:rPr>
                <w:rFonts w:cstheme="minorHAnsi"/>
                <w:color w:val="000000"/>
              </w:rPr>
              <w:t xml:space="preserve"> on 18 November 2025. </w:t>
            </w:r>
            <w:r w:rsidR="00C34B08" w:rsidRPr="00FD02F8">
              <w:rPr>
                <w:rFonts w:cstheme="minorHAnsi"/>
                <w:color w:val="000000"/>
              </w:rPr>
              <w:t xml:space="preserve">The percentage of bathing waters at excellent, good and sufficient classifications have met the baseline percentage </w:t>
            </w:r>
            <w:r w:rsidR="00B00DE2" w:rsidRPr="00FD02F8">
              <w:rPr>
                <w:rFonts w:cstheme="minorHAnsi"/>
                <w:color w:val="000000"/>
              </w:rPr>
              <w:t>of 96.6%.</w:t>
            </w:r>
          </w:p>
        </w:tc>
        <w:tc>
          <w:tcPr>
            <w:tcW w:w="320" w:type="pct"/>
            <w:tcBorders>
              <w:top w:val="single" w:sz="4" w:space="0" w:color="auto"/>
              <w:left w:val="single" w:sz="4" w:space="0" w:color="auto"/>
              <w:bottom w:val="single" w:sz="4" w:space="0" w:color="auto"/>
              <w:right w:val="single" w:sz="4" w:space="0" w:color="auto"/>
            </w:tcBorders>
          </w:tcPr>
          <w:p w14:paraId="1870D58A" w14:textId="2A22B528" w:rsidR="00312056" w:rsidRPr="00FD02F8" w:rsidRDefault="00312056" w:rsidP="00312056">
            <w:pPr>
              <w:spacing w:line="276" w:lineRule="auto"/>
              <w:jc w:val="center"/>
              <w:textAlignment w:val="baseline"/>
              <w:rPr>
                <w:rFonts w:ascii="Arial" w:eastAsia="Times New Roman" w:hAnsi="Arial" w:cs="Arial"/>
                <w:lang w:eastAsia="en-GB"/>
              </w:rPr>
            </w:pPr>
            <w:r w:rsidRPr="00FD02F8">
              <w:rPr>
                <w:rFonts w:ascii="Arial" w:hAnsi="Arial" w:cs="Arial"/>
                <w:color w:val="000000"/>
              </w:rPr>
              <w:t>Achieved</w:t>
            </w:r>
          </w:p>
        </w:tc>
      </w:tr>
      <w:tr w:rsidR="00312056" w:rsidRPr="00FD02F8" w14:paraId="508069AC" w14:textId="77777777" w:rsidTr="1901DC8B">
        <w:trPr>
          <w:cantSplit/>
          <w:trHeight w:val="510"/>
        </w:trPr>
        <w:tc>
          <w:tcPr>
            <w:tcW w:w="223" w:type="pct"/>
            <w:tcBorders>
              <w:top w:val="single" w:sz="4" w:space="0" w:color="auto"/>
              <w:left w:val="single" w:sz="8" w:space="0" w:color="auto"/>
              <w:bottom w:val="single" w:sz="8" w:space="0" w:color="auto"/>
              <w:right w:val="single" w:sz="8" w:space="0" w:color="auto"/>
            </w:tcBorders>
          </w:tcPr>
          <w:p w14:paraId="3CF7FA63" w14:textId="54611D85" w:rsidR="00312056" w:rsidRPr="00FD02F8" w:rsidRDefault="00312056" w:rsidP="00312056">
            <w:pPr>
              <w:spacing w:line="276" w:lineRule="auto"/>
              <w:textAlignment w:val="baseline"/>
              <w:rPr>
                <w:rFonts w:ascii="Arial" w:hAnsi="Arial" w:cs="Arial"/>
              </w:rPr>
            </w:pPr>
            <w:r w:rsidRPr="00FD02F8">
              <w:rPr>
                <w:rFonts w:ascii="Arial" w:hAnsi="Arial" w:cs="Arial"/>
              </w:rPr>
              <w:t>RE01</w:t>
            </w:r>
          </w:p>
        </w:tc>
        <w:tc>
          <w:tcPr>
            <w:tcW w:w="417" w:type="pct"/>
            <w:tcBorders>
              <w:top w:val="single" w:sz="4" w:space="0" w:color="auto"/>
              <w:left w:val="single" w:sz="8" w:space="0" w:color="auto"/>
              <w:bottom w:val="single" w:sz="8" w:space="0" w:color="auto"/>
              <w:right w:val="single" w:sz="8" w:space="0" w:color="auto"/>
            </w:tcBorders>
          </w:tcPr>
          <w:p w14:paraId="104D8B9F" w14:textId="1CA3BEB9" w:rsidR="00312056" w:rsidRPr="00FD02F8" w:rsidRDefault="00312056" w:rsidP="00312056">
            <w:pPr>
              <w:spacing w:line="276" w:lineRule="auto"/>
              <w:textAlignment w:val="baseline"/>
              <w:rPr>
                <w:rFonts w:ascii="Arial" w:hAnsi="Arial" w:cs="Arial"/>
              </w:rPr>
            </w:pPr>
            <w:r w:rsidRPr="00FD02F8">
              <w:rPr>
                <w:rFonts w:ascii="Arial" w:hAnsi="Arial" w:cs="Arial"/>
              </w:rPr>
              <w:t>Resource Efficiency</w:t>
            </w:r>
          </w:p>
        </w:tc>
        <w:tc>
          <w:tcPr>
            <w:tcW w:w="802" w:type="pct"/>
            <w:tcBorders>
              <w:top w:val="single" w:sz="4" w:space="0" w:color="auto"/>
              <w:left w:val="single" w:sz="8" w:space="0" w:color="auto"/>
              <w:bottom w:val="single" w:sz="8" w:space="0" w:color="auto"/>
              <w:right w:val="single" w:sz="8" w:space="0" w:color="auto"/>
            </w:tcBorders>
          </w:tcPr>
          <w:p w14:paraId="09F21C92" w14:textId="7CDBDB79"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Rates of waste to landfill in annual </w:t>
            </w:r>
            <w:hyperlink r:id="rId39" w:history="1">
              <w:r w:rsidRPr="00FD02F8">
                <w:rPr>
                  <w:rFonts w:ascii="Arial" w:eastAsia="MS PGothic" w:hAnsi="Arial" w:cs="Arial"/>
                  <w:color w:val="016574"/>
                  <w:u w:val="single"/>
                </w:rPr>
                <w:t>Scottish household waste data</w:t>
              </w:r>
            </w:hyperlink>
            <w:r w:rsidRPr="00FD02F8">
              <w:rPr>
                <w:rFonts w:ascii="Arial" w:eastAsia="MS PGothic" w:hAnsi="Arial" w:cs="Arial"/>
              </w:rPr>
              <w:t xml:space="preserve"> </w:t>
            </w:r>
            <w:r w:rsidRPr="00FD02F8">
              <w:rPr>
                <w:rFonts w:ascii="Arial" w:eastAsia="Times New Roman" w:hAnsi="Arial" w:cs="Arial"/>
                <w:lang w:eastAsia="en-GB"/>
              </w:rPr>
              <w:t>- Reducing</w:t>
            </w:r>
            <w:r w:rsidRPr="00FD02F8">
              <w:rPr>
                <w:rStyle w:val="FootnoteReference"/>
                <w:rFonts w:ascii="Arial" w:eastAsia="Times New Roman" w:hAnsi="Arial" w:cs="Arial"/>
                <w:lang w:eastAsia="en-GB"/>
              </w:rPr>
              <w:footnoteReference w:id="4"/>
            </w:r>
          </w:p>
        </w:tc>
        <w:tc>
          <w:tcPr>
            <w:tcW w:w="384" w:type="pct"/>
            <w:tcBorders>
              <w:top w:val="single" w:sz="4" w:space="0" w:color="auto"/>
              <w:left w:val="single" w:sz="8" w:space="0" w:color="auto"/>
              <w:bottom w:val="single" w:sz="8" w:space="0" w:color="auto"/>
              <w:right w:val="single" w:sz="8" w:space="0" w:color="auto"/>
            </w:tcBorders>
          </w:tcPr>
          <w:p w14:paraId="283EBD4B" w14:textId="07B6C17D"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Strategic – Indirect influence</w:t>
            </w:r>
          </w:p>
        </w:tc>
        <w:tc>
          <w:tcPr>
            <w:tcW w:w="481" w:type="pct"/>
            <w:tcBorders>
              <w:top w:val="single" w:sz="4" w:space="0" w:color="auto"/>
              <w:left w:val="single" w:sz="4" w:space="0" w:color="auto"/>
              <w:bottom w:val="single" w:sz="8" w:space="0" w:color="auto"/>
              <w:right w:val="single" w:sz="4" w:space="0" w:color="auto"/>
            </w:tcBorders>
          </w:tcPr>
          <w:p w14:paraId="083CFF30" w14:textId="52C387FF"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hAnsi="Arial" w:cs="Arial"/>
              </w:rPr>
              <w:t>2011 data (1.45 million tonnes of Scottish household waste landfilled)</w:t>
            </w:r>
          </w:p>
        </w:tc>
        <w:tc>
          <w:tcPr>
            <w:tcW w:w="545" w:type="pct"/>
            <w:tcBorders>
              <w:top w:val="single" w:sz="4" w:space="0" w:color="auto"/>
              <w:left w:val="single" w:sz="4" w:space="0" w:color="auto"/>
              <w:bottom w:val="single" w:sz="8" w:space="0" w:color="auto"/>
              <w:right w:val="single" w:sz="4" w:space="0" w:color="auto"/>
            </w:tcBorders>
          </w:tcPr>
          <w:p w14:paraId="0DD85BD9" w14:textId="5A5CFDD9"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Rates of waste to landfill to decrease – National outcome for Scotland and SEPA plays a contributing role. </w:t>
            </w:r>
          </w:p>
          <w:p w14:paraId="40484EA7" w14:textId="77777777" w:rsidR="00312056" w:rsidRPr="00FD02F8" w:rsidRDefault="00312056" w:rsidP="00312056">
            <w:pPr>
              <w:spacing w:line="276" w:lineRule="auto"/>
              <w:textAlignment w:val="baseline"/>
              <w:rPr>
                <w:rFonts w:ascii="Arial" w:eastAsia="Times New Roman" w:hAnsi="Arial" w:cs="Arial"/>
                <w:lang w:eastAsia="en-GB"/>
              </w:rPr>
            </w:pPr>
          </w:p>
          <w:p w14:paraId="08D810C2" w14:textId="785F9A59" w:rsidR="00312056" w:rsidRPr="00FD02F8" w:rsidRDefault="00312056"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Publish </w:t>
            </w:r>
            <w:r w:rsidRPr="00FD02F8">
              <w:rPr>
                <w:rFonts w:ascii="Arial" w:hAnsi="Arial" w:cs="Arial"/>
                <w:color w:val="000000"/>
              </w:rPr>
              <w:t xml:space="preserve">Scottish household waste data </w:t>
            </w:r>
            <w:r w:rsidRPr="00FD02F8">
              <w:rPr>
                <w:rFonts w:ascii="Arial" w:eastAsia="Times New Roman" w:hAnsi="Arial" w:cs="Arial"/>
                <w:lang w:eastAsia="en-GB"/>
              </w:rPr>
              <w:t>on time and in accordance with the Code of Practice – SEPA responsibility.</w:t>
            </w:r>
          </w:p>
        </w:tc>
        <w:tc>
          <w:tcPr>
            <w:tcW w:w="417" w:type="pct"/>
            <w:tcBorders>
              <w:top w:val="single" w:sz="4" w:space="0" w:color="auto"/>
              <w:left w:val="single" w:sz="8" w:space="0" w:color="auto"/>
              <w:bottom w:val="single" w:sz="8" w:space="0" w:color="auto"/>
              <w:right w:val="single" w:sz="8" w:space="0" w:color="auto"/>
            </w:tcBorders>
          </w:tcPr>
          <w:p w14:paraId="09F0BF31" w14:textId="10AFF52F" w:rsidR="00312056" w:rsidRPr="00FD02F8" w:rsidRDefault="00C32EFF" w:rsidP="00312056">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Published </w:t>
            </w:r>
            <w:r w:rsidR="007A189D" w:rsidRPr="00FD02F8">
              <w:rPr>
                <w:rFonts w:ascii="Arial" w:eastAsia="Times New Roman" w:hAnsi="Arial" w:cs="Arial"/>
                <w:lang w:eastAsia="en-GB"/>
              </w:rPr>
              <w:t>28</w:t>
            </w:r>
            <w:r w:rsidR="007A189D" w:rsidRPr="00FD02F8">
              <w:rPr>
                <w:rFonts w:ascii="Arial" w:eastAsia="Times New Roman" w:hAnsi="Arial" w:cs="Arial"/>
                <w:vertAlign w:val="superscript"/>
                <w:lang w:eastAsia="en-GB"/>
              </w:rPr>
              <w:t>th</w:t>
            </w:r>
            <w:r w:rsidR="007A189D" w:rsidRPr="00FD02F8">
              <w:rPr>
                <w:rFonts w:ascii="Arial" w:eastAsia="Times New Roman" w:hAnsi="Arial" w:cs="Arial"/>
                <w:lang w:eastAsia="en-GB"/>
              </w:rPr>
              <w:t xml:space="preserve"> October 2025 – on time</w:t>
            </w:r>
          </w:p>
        </w:tc>
        <w:tc>
          <w:tcPr>
            <w:tcW w:w="385" w:type="pct"/>
            <w:tcBorders>
              <w:top w:val="single" w:sz="4" w:space="0" w:color="auto"/>
              <w:left w:val="single" w:sz="4" w:space="0" w:color="auto"/>
              <w:bottom w:val="single" w:sz="8" w:space="0" w:color="auto"/>
              <w:right w:val="single" w:sz="4" w:space="0" w:color="auto"/>
            </w:tcBorders>
          </w:tcPr>
          <w:p w14:paraId="68838258" w14:textId="482C13C8" w:rsidR="00312056" w:rsidRPr="00FD02F8" w:rsidRDefault="00B53CBD"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Achieving</w:t>
            </w:r>
          </w:p>
        </w:tc>
        <w:tc>
          <w:tcPr>
            <w:tcW w:w="1026" w:type="pct"/>
            <w:tcBorders>
              <w:top w:val="single" w:sz="4" w:space="0" w:color="auto"/>
              <w:left w:val="single" w:sz="4" w:space="0" w:color="auto"/>
              <w:bottom w:val="single" w:sz="4" w:space="0" w:color="auto"/>
              <w:right w:val="single" w:sz="4" w:space="0" w:color="auto"/>
            </w:tcBorders>
          </w:tcPr>
          <w:p w14:paraId="6DEC185C" w14:textId="77777777" w:rsidR="00312056" w:rsidRPr="00FD02F8" w:rsidRDefault="00612AB7" w:rsidP="00312056">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The 2024 Official Statistics report was published on time on 28 October 2025 along with press release.</w:t>
            </w:r>
          </w:p>
          <w:p w14:paraId="7273615E" w14:textId="77777777" w:rsidR="0096505E" w:rsidRPr="00FD02F8" w:rsidRDefault="0096505E" w:rsidP="00312056">
            <w:pPr>
              <w:spacing w:line="276" w:lineRule="auto"/>
              <w:textAlignment w:val="baseline"/>
              <w:rPr>
                <w:rFonts w:ascii="Arial" w:eastAsia="Times New Roman" w:hAnsi="Arial" w:cs="Arial"/>
                <w:lang w:eastAsia="en-GB"/>
              </w:rPr>
            </w:pPr>
          </w:p>
          <w:p w14:paraId="73E35F37" w14:textId="4F6B5107" w:rsidR="00312056" w:rsidRPr="00FD02F8" w:rsidRDefault="0096505E" w:rsidP="00312056">
            <w:pPr>
              <w:spacing w:line="276" w:lineRule="auto"/>
              <w:textAlignment w:val="baseline"/>
              <w:rPr>
                <w:rFonts w:ascii="Arial" w:eastAsia="Times New Roman" w:hAnsi="Arial" w:cs="Arial"/>
                <w:lang w:eastAsia="en-GB"/>
              </w:rPr>
            </w:pPr>
            <w:r w:rsidRPr="00FD02F8">
              <w:rPr>
                <w:rFonts w:ascii="Arial" w:eastAsia="Arial" w:hAnsi="Arial" w:cs="Arial"/>
                <w:color w:val="000000"/>
              </w:rPr>
              <w:t>The total quantity of all waste landfilled in Scotland in 2024 was 1.81 million tonnes, a reduction of 8.6% from 2023. This continues a long-term trend with a reduction of 74.3% from 2005 and is the lowest annual amount of waste landfilled in Scotland in the time series.</w:t>
            </w:r>
          </w:p>
        </w:tc>
        <w:tc>
          <w:tcPr>
            <w:tcW w:w="320" w:type="pct"/>
            <w:tcBorders>
              <w:top w:val="single" w:sz="4" w:space="0" w:color="auto"/>
              <w:left w:val="single" w:sz="4" w:space="0" w:color="auto"/>
              <w:bottom w:val="single" w:sz="8" w:space="0" w:color="auto"/>
              <w:right w:val="single" w:sz="4" w:space="0" w:color="auto"/>
            </w:tcBorders>
          </w:tcPr>
          <w:p w14:paraId="74C8A575" w14:textId="7AC27BC1" w:rsidR="00312056" w:rsidRPr="00FD02F8" w:rsidRDefault="00312056" w:rsidP="00312056">
            <w:pPr>
              <w:spacing w:line="276" w:lineRule="auto"/>
              <w:jc w:val="center"/>
              <w:textAlignment w:val="baseline"/>
              <w:rPr>
                <w:rFonts w:ascii="Arial" w:eastAsia="Times New Roman" w:hAnsi="Arial" w:cs="Arial"/>
                <w:lang w:eastAsia="en-GB"/>
              </w:rPr>
            </w:pPr>
            <w:r w:rsidRPr="00FD02F8">
              <w:rPr>
                <w:rFonts w:ascii="Arial" w:hAnsi="Arial" w:cs="Arial"/>
                <w:color w:val="000000"/>
              </w:rPr>
              <w:t>Achieved</w:t>
            </w:r>
          </w:p>
        </w:tc>
      </w:tr>
      <w:tr w:rsidR="000E4397" w:rsidRPr="00FD02F8" w14:paraId="159A5417" w14:textId="77777777" w:rsidTr="00F3173D">
        <w:trPr>
          <w:cantSplit/>
          <w:trHeight w:val="510"/>
        </w:trPr>
        <w:tc>
          <w:tcPr>
            <w:tcW w:w="223" w:type="pct"/>
            <w:tcBorders>
              <w:top w:val="single" w:sz="8" w:space="0" w:color="auto"/>
              <w:left w:val="single" w:sz="8" w:space="0" w:color="auto"/>
              <w:bottom w:val="single" w:sz="8" w:space="0" w:color="auto"/>
              <w:right w:val="single" w:sz="8" w:space="0" w:color="auto"/>
            </w:tcBorders>
            <w:shd w:val="clear" w:color="auto" w:fill="FFFFFF" w:themeFill="background1"/>
          </w:tcPr>
          <w:p w14:paraId="3344321E" w14:textId="50D883B1" w:rsidR="000E4397" w:rsidRPr="00FD02F8" w:rsidRDefault="000E4397" w:rsidP="000E4397">
            <w:pPr>
              <w:spacing w:line="276" w:lineRule="auto"/>
              <w:textAlignment w:val="baseline"/>
              <w:rPr>
                <w:rFonts w:ascii="Arial" w:hAnsi="Arial" w:cs="Arial"/>
              </w:rPr>
            </w:pPr>
            <w:r w:rsidRPr="00FD02F8">
              <w:rPr>
                <w:rFonts w:ascii="Arial" w:hAnsi="Arial" w:cs="Arial"/>
              </w:rPr>
              <w:t>BEP01</w:t>
            </w:r>
          </w:p>
        </w:tc>
        <w:tc>
          <w:tcPr>
            <w:tcW w:w="417" w:type="pct"/>
            <w:tcBorders>
              <w:top w:val="single" w:sz="8" w:space="0" w:color="auto"/>
              <w:left w:val="single" w:sz="8" w:space="0" w:color="auto"/>
              <w:bottom w:val="single" w:sz="8" w:space="0" w:color="auto"/>
              <w:right w:val="single" w:sz="8" w:space="0" w:color="auto"/>
            </w:tcBorders>
            <w:shd w:val="clear" w:color="auto" w:fill="FFFFFF" w:themeFill="background1"/>
          </w:tcPr>
          <w:p w14:paraId="5A436A3C" w14:textId="1D40F7E4" w:rsidR="000E4397" w:rsidRPr="00FD02F8" w:rsidRDefault="000E4397" w:rsidP="000E4397">
            <w:pPr>
              <w:spacing w:line="276" w:lineRule="auto"/>
              <w:textAlignment w:val="baseline"/>
              <w:rPr>
                <w:rFonts w:ascii="Arial" w:hAnsi="Arial" w:cs="Arial"/>
              </w:rPr>
            </w:pPr>
            <w:r w:rsidRPr="00FD02F8">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shd w:val="clear" w:color="auto" w:fill="FFFFFF" w:themeFill="background1"/>
          </w:tcPr>
          <w:p w14:paraId="674F689F" w14:textId="5745F844" w:rsidR="000E4397" w:rsidRPr="00FD02F8" w:rsidRDefault="000E4397" w:rsidP="000E4397">
            <w:pPr>
              <w:spacing w:line="276" w:lineRule="auto"/>
              <w:textAlignment w:val="baseline"/>
              <w:rPr>
                <w:rFonts w:ascii="Arial" w:hAnsi="Arial" w:cs="Arial"/>
              </w:rPr>
            </w:pPr>
            <w:r w:rsidRPr="00FD02F8">
              <w:rPr>
                <w:rFonts w:ascii="Arial" w:hAnsi="Arial" w:cs="Arial"/>
              </w:rPr>
              <w:t xml:space="preserve">Number of successful interventions per year – Increasing </w:t>
            </w:r>
          </w:p>
        </w:tc>
        <w:tc>
          <w:tcPr>
            <w:tcW w:w="384" w:type="pct"/>
            <w:tcBorders>
              <w:top w:val="single" w:sz="8" w:space="0" w:color="auto"/>
              <w:left w:val="single" w:sz="8" w:space="0" w:color="auto"/>
              <w:bottom w:val="single" w:sz="8" w:space="0" w:color="auto"/>
              <w:right w:val="single" w:sz="8" w:space="0" w:color="auto"/>
            </w:tcBorders>
            <w:shd w:val="clear" w:color="auto" w:fill="FFFFFF" w:themeFill="background1"/>
          </w:tcPr>
          <w:p w14:paraId="6C6D7A05" w14:textId="6F5198D6"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shd w:val="clear" w:color="auto" w:fill="FFFFFF" w:themeFill="background1"/>
          </w:tcPr>
          <w:p w14:paraId="28DAF9B7" w14:textId="5D7B114B"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 xml:space="preserve">2024/25 baseline: 167 interventions. </w:t>
            </w:r>
          </w:p>
        </w:tc>
        <w:tc>
          <w:tcPr>
            <w:tcW w:w="545" w:type="pct"/>
            <w:tcBorders>
              <w:top w:val="nil"/>
              <w:left w:val="single" w:sz="4" w:space="0" w:color="auto"/>
              <w:bottom w:val="single" w:sz="4" w:space="0" w:color="auto"/>
              <w:right w:val="single" w:sz="4" w:space="0" w:color="auto"/>
            </w:tcBorders>
            <w:shd w:val="clear" w:color="auto" w:fill="FFFFFF" w:themeFill="background1"/>
          </w:tcPr>
          <w:p w14:paraId="5D196287" w14:textId="390BAAA7"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Increasing number of interventions</w:t>
            </w:r>
          </w:p>
        </w:tc>
        <w:tc>
          <w:tcPr>
            <w:tcW w:w="417" w:type="pct"/>
            <w:tcBorders>
              <w:top w:val="single" w:sz="8" w:space="0" w:color="auto"/>
              <w:left w:val="single" w:sz="8" w:space="0" w:color="auto"/>
              <w:bottom w:val="single" w:sz="8" w:space="0" w:color="auto"/>
              <w:right w:val="single" w:sz="8" w:space="0" w:color="auto"/>
            </w:tcBorders>
          </w:tcPr>
          <w:p w14:paraId="3EEEFEFD" w14:textId="05FC4D52" w:rsidR="000E4397" w:rsidRPr="00FD02F8" w:rsidRDefault="00C2389B" w:rsidP="000E4397">
            <w:pPr>
              <w:spacing w:line="276" w:lineRule="auto"/>
              <w:textAlignment w:val="baseline"/>
              <w:rPr>
                <w:rFonts w:ascii="Arial" w:eastAsia="Times New Roman" w:hAnsi="Arial" w:cs="Arial"/>
                <w:highlight w:val="yellow"/>
                <w:lang w:eastAsia="en-GB"/>
              </w:rPr>
            </w:pPr>
            <w:r>
              <w:rPr>
                <w:rFonts w:ascii="Arial" w:eastAsia="Times New Roman" w:hAnsi="Arial" w:cs="Arial"/>
                <w:lang w:eastAsia="en-GB"/>
              </w:rPr>
              <w:t xml:space="preserve">170 successful </w:t>
            </w:r>
            <w:r w:rsidR="003D13DA">
              <w:rPr>
                <w:rFonts w:ascii="Arial" w:eastAsia="Times New Roman" w:hAnsi="Arial" w:cs="Arial"/>
                <w:lang w:eastAsia="en-GB"/>
              </w:rPr>
              <w:t>interventions</w:t>
            </w:r>
            <w:r>
              <w:rPr>
                <w:rFonts w:ascii="Arial" w:eastAsia="Times New Roman" w:hAnsi="Arial" w:cs="Arial"/>
                <w:lang w:eastAsia="en-GB"/>
              </w:rPr>
              <w:t xml:space="preserve"> </w:t>
            </w:r>
            <w:r w:rsidR="003D13DA">
              <w:rPr>
                <w:rFonts w:ascii="Arial" w:eastAsia="Times New Roman" w:hAnsi="Arial" w:cs="Arial"/>
                <w:lang w:eastAsia="en-GB"/>
              </w:rPr>
              <w:t>carried out up to the end of Q3.</w:t>
            </w:r>
          </w:p>
        </w:tc>
        <w:tc>
          <w:tcPr>
            <w:tcW w:w="385" w:type="pct"/>
            <w:tcBorders>
              <w:top w:val="nil"/>
              <w:left w:val="single" w:sz="4" w:space="0" w:color="auto"/>
              <w:bottom w:val="single" w:sz="4" w:space="0" w:color="auto"/>
              <w:right w:val="single" w:sz="4" w:space="0" w:color="auto"/>
            </w:tcBorders>
            <w:shd w:val="clear" w:color="auto" w:fill="FFFFFF" w:themeFill="background1"/>
          </w:tcPr>
          <w:p w14:paraId="31A6B9C7" w14:textId="5190007C" w:rsidR="000E4397" w:rsidRPr="00F3173D" w:rsidRDefault="000E4397" w:rsidP="000E4397">
            <w:pPr>
              <w:spacing w:line="276" w:lineRule="auto"/>
              <w:textAlignment w:val="baseline"/>
              <w:rPr>
                <w:rFonts w:ascii="Arial" w:eastAsia="Times New Roman" w:hAnsi="Arial" w:cs="Arial"/>
                <w:lang w:eastAsia="en-GB"/>
              </w:rPr>
            </w:pPr>
            <w:r w:rsidRPr="00F3173D">
              <w:rPr>
                <w:rFonts w:ascii="Arial" w:eastAsia="Times New Roman" w:hAnsi="Arial" w:cs="Arial"/>
                <w:lang w:eastAsia="en-GB"/>
              </w:rPr>
              <w:t>Achiev</w:t>
            </w:r>
            <w:r w:rsidR="000249C6">
              <w:rPr>
                <w:rFonts w:ascii="Arial" w:eastAsia="Times New Roman" w:hAnsi="Arial" w:cs="Arial"/>
                <w:lang w:eastAsia="en-GB"/>
              </w:rPr>
              <w:t>ed</w:t>
            </w:r>
          </w:p>
        </w:tc>
        <w:tc>
          <w:tcPr>
            <w:tcW w:w="1026" w:type="pct"/>
            <w:tcBorders>
              <w:top w:val="nil"/>
              <w:left w:val="single" w:sz="4" w:space="0" w:color="auto"/>
              <w:bottom w:val="single" w:sz="4" w:space="0" w:color="auto"/>
              <w:right w:val="single" w:sz="4" w:space="0" w:color="auto"/>
            </w:tcBorders>
            <w:shd w:val="clear" w:color="auto" w:fill="FFFFFF" w:themeFill="background1"/>
          </w:tcPr>
          <w:p w14:paraId="71B8FC69" w14:textId="66C34E19" w:rsidR="000E4397" w:rsidRPr="00F3173D" w:rsidRDefault="003466AB" w:rsidP="000E4397">
            <w:pPr>
              <w:spacing w:line="276" w:lineRule="auto"/>
              <w:textAlignment w:val="baseline"/>
              <w:rPr>
                <w:rFonts w:ascii="Arial" w:eastAsia="Times New Roman" w:hAnsi="Arial" w:cs="Arial"/>
                <w:lang w:eastAsia="en-GB"/>
              </w:rPr>
            </w:pPr>
            <w:r w:rsidRPr="003466AB">
              <w:rPr>
                <w:rFonts w:ascii="Arial" w:eastAsia="Times New Roman" w:hAnsi="Arial" w:cs="Arial"/>
                <w:lang w:eastAsia="en-GB"/>
              </w:rPr>
              <w:t xml:space="preserve">As </w:t>
            </w:r>
            <w:r w:rsidR="007F411F">
              <w:rPr>
                <w:rFonts w:ascii="Arial" w:eastAsia="Times New Roman" w:hAnsi="Arial" w:cs="Arial"/>
                <w:lang w:eastAsia="en-GB"/>
              </w:rPr>
              <w:t>at</w:t>
            </w:r>
            <w:r w:rsidRPr="003466AB">
              <w:rPr>
                <w:rFonts w:ascii="Arial" w:eastAsia="Times New Roman" w:hAnsi="Arial" w:cs="Arial"/>
                <w:lang w:eastAsia="en-GB"/>
              </w:rPr>
              <w:t xml:space="preserve"> the end of Q3, </w:t>
            </w:r>
            <w:r w:rsidR="00C8790C">
              <w:rPr>
                <w:rFonts w:ascii="Arial" w:eastAsia="Times New Roman" w:hAnsi="Arial" w:cs="Arial"/>
                <w:lang w:eastAsia="en-GB"/>
              </w:rPr>
              <w:t>we have carried out a</w:t>
            </w:r>
            <w:r w:rsidRPr="003466AB">
              <w:rPr>
                <w:rFonts w:ascii="Arial" w:eastAsia="Times New Roman" w:hAnsi="Arial" w:cs="Arial"/>
                <w:lang w:eastAsia="en-GB"/>
              </w:rPr>
              <w:t xml:space="preserve"> total of 170</w:t>
            </w:r>
            <w:r w:rsidR="00B12EC3" w:rsidRPr="00B12EC3">
              <w:rPr>
                <w:rFonts w:ascii="Arial" w:eastAsia="Times New Roman" w:hAnsi="Arial" w:cs="Arial"/>
                <w:lang w:eastAsia="en-GB"/>
              </w:rPr>
              <w:t xml:space="preserve"> successful interventions</w:t>
            </w:r>
            <w:r w:rsidRPr="003466AB">
              <w:rPr>
                <w:rFonts w:ascii="Arial" w:eastAsia="Times New Roman" w:hAnsi="Arial" w:cs="Arial"/>
                <w:lang w:eastAsia="en-GB"/>
              </w:rPr>
              <w:t>, exceeding the 167 delivered during the entire 2024</w:t>
            </w:r>
            <w:r w:rsidR="00C8790C">
              <w:rPr>
                <w:rFonts w:ascii="Arial" w:eastAsia="Times New Roman" w:hAnsi="Arial" w:cs="Arial"/>
                <w:lang w:eastAsia="en-GB"/>
              </w:rPr>
              <w:t>/</w:t>
            </w:r>
            <w:r w:rsidRPr="003466AB">
              <w:rPr>
                <w:rFonts w:ascii="Arial" w:eastAsia="Times New Roman" w:hAnsi="Arial" w:cs="Arial"/>
                <w:lang w:eastAsia="en-GB"/>
              </w:rPr>
              <w:t>25 period</w:t>
            </w:r>
            <w:r w:rsidR="00C8790C">
              <w:rPr>
                <w:rFonts w:ascii="Arial" w:eastAsia="Times New Roman" w:hAnsi="Arial" w:cs="Arial"/>
                <w:lang w:eastAsia="en-GB"/>
              </w:rPr>
              <w:t>.</w:t>
            </w:r>
          </w:p>
        </w:tc>
        <w:tc>
          <w:tcPr>
            <w:tcW w:w="320" w:type="pct"/>
            <w:tcBorders>
              <w:top w:val="nil"/>
              <w:left w:val="single" w:sz="4" w:space="0" w:color="auto"/>
              <w:bottom w:val="single" w:sz="4" w:space="0" w:color="auto"/>
              <w:right w:val="single" w:sz="4" w:space="0" w:color="auto"/>
            </w:tcBorders>
            <w:shd w:val="clear" w:color="auto" w:fill="FFFFFF" w:themeFill="background1"/>
          </w:tcPr>
          <w:p w14:paraId="60B83371" w14:textId="76D7BB94" w:rsidR="000E4397" w:rsidRPr="00F3173D" w:rsidRDefault="000E4397" w:rsidP="000E4397">
            <w:pPr>
              <w:spacing w:line="276" w:lineRule="auto"/>
              <w:jc w:val="center"/>
              <w:textAlignment w:val="baseline"/>
              <w:rPr>
                <w:rFonts w:ascii="Arial" w:eastAsia="Times New Roman" w:hAnsi="Arial" w:cs="Arial"/>
                <w:lang w:eastAsia="en-GB"/>
              </w:rPr>
            </w:pPr>
            <w:r w:rsidRPr="00F3173D">
              <w:rPr>
                <w:rFonts w:ascii="Arial" w:hAnsi="Arial" w:cs="Arial"/>
                <w:color w:val="000000"/>
              </w:rPr>
              <w:t>Achieved</w:t>
            </w:r>
          </w:p>
        </w:tc>
      </w:tr>
      <w:tr w:rsidR="000E4397" w:rsidRPr="00FD02F8" w14:paraId="719FD74A"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4FC771A0" w14:textId="6072B074" w:rsidR="000E4397" w:rsidRPr="00FD02F8" w:rsidRDefault="000E4397" w:rsidP="000E4397">
            <w:pPr>
              <w:spacing w:line="276" w:lineRule="auto"/>
              <w:textAlignment w:val="baseline"/>
              <w:rPr>
                <w:rFonts w:ascii="Arial" w:hAnsi="Arial" w:cs="Arial"/>
              </w:rPr>
            </w:pPr>
            <w:r w:rsidRPr="00FD02F8">
              <w:rPr>
                <w:rFonts w:ascii="Arial" w:hAnsi="Arial" w:cs="Arial"/>
              </w:rPr>
              <w:lastRenderedPageBreak/>
              <w:t>BEP02</w:t>
            </w:r>
          </w:p>
        </w:tc>
        <w:tc>
          <w:tcPr>
            <w:tcW w:w="417" w:type="pct"/>
            <w:tcBorders>
              <w:top w:val="single" w:sz="8" w:space="0" w:color="auto"/>
              <w:left w:val="single" w:sz="8" w:space="0" w:color="auto"/>
              <w:bottom w:val="single" w:sz="8" w:space="0" w:color="auto"/>
              <w:right w:val="single" w:sz="8" w:space="0" w:color="auto"/>
            </w:tcBorders>
          </w:tcPr>
          <w:p w14:paraId="315EF3D9" w14:textId="2AE84F0C" w:rsidR="000E4397" w:rsidRPr="00FD02F8" w:rsidRDefault="000E4397" w:rsidP="000E4397">
            <w:pPr>
              <w:spacing w:line="276" w:lineRule="auto"/>
              <w:textAlignment w:val="baseline"/>
              <w:rPr>
                <w:rFonts w:ascii="Arial" w:hAnsi="Arial" w:cs="Arial"/>
              </w:rPr>
            </w:pPr>
            <w:r w:rsidRPr="00FD02F8">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tcPr>
          <w:p w14:paraId="22BD94D0" w14:textId="292DF9F1" w:rsidR="000E4397" w:rsidRPr="00FD02F8" w:rsidRDefault="000E4397" w:rsidP="000E4397">
            <w:pPr>
              <w:spacing w:line="276" w:lineRule="auto"/>
              <w:textAlignment w:val="baseline"/>
              <w:rPr>
                <w:rFonts w:ascii="Arial" w:hAnsi="Arial" w:cs="Arial"/>
              </w:rPr>
            </w:pPr>
            <w:r w:rsidRPr="00FD02F8">
              <w:rPr>
                <w:rFonts w:ascii="Arial" w:hAnsi="Arial" w:cs="Arial"/>
              </w:rPr>
              <w:t xml:space="preserve">Percentage of environmental monitoring statutory reports published by the scheduled date – Maintaining </w:t>
            </w:r>
          </w:p>
        </w:tc>
        <w:tc>
          <w:tcPr>
            <w:tcW w:w="384" w:type="pct"/>
            <w:tcBorders>
              <w:top w:val="single" w:sz="8" w:space="0" w:color="auto"/>
              <w:left w:val="single" w:sz="8" w:space="0" w:color="auto"/>
              <w:bottom w:val="single" w:sz="8" w:space="0" w:color="auto"/>
              <w:right w:val="single" w:sz="8" w:space="0" w:color="auto"/>
            </w:tcBorders>
          </w:tcPr>
          <w:p w14:paraId="5E02C641" w14:textId="32BD9699"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0FA9FA2B" w14:textId="64435725"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2024/25 baseline – 100% Four out of four on-time publication rate from the previous year.</w:t>
            </w:r>
          </w:p>
        </w:tc>
        <w:tc>
          <w:tcPr>
            <w:tcW w:w="545" w:type="pct"/>
            <w:tcBorders>
              <w:top w:val="nil"/>
              <w:left w:val="single" w:sz="4" w:space="0" w:color="auto"/>
              <w:bottom w:val="single" w:sz="4" w:space="0" w:color="auto"/>
              <w:right w:val="single" w:sz="4" w:space="0" w:color="auto"/>
            </w:tcBorders>
          </w:tcPr>
          <w:p w14:paraId="7943E5CF" w14:textId="08B0FA16" w:rsidR="000E4397" w:rsidRPr="00FD02F8" w:rsidRDefault="00A832FE" w:rsidP="000E4397">
            <w:pPr>
              <w:spacing w:line="276" w:lineRule="auto"/>
              <w:textAlignment w:val="baseline"/>
              <w:rPr>
                <w:rFonts w:ascii="Arial" w:eastAsia="Times New Roman" w:hAnsi="Arial" w:cs="Arial"/>
                <w:lang w:eastAsia="en-GB"/>
              </w:rPr>
            </w:pPr>
            <w:r w:rsidRPr="00FD02F8">
              <w:rPr>
                <w:rFonts w:ascii="Arial" w:hAnsi="Arial" w:cs="Arial"/>
                <w:color w:val="000000"/>
              </w:rPr>
              <w:t>100% - Four out of four reports published on-time</w:t>
            </w:r>
          </w:p>
        </w:tc>
        <w:tc>
          <w:tcPr>
            <w:tcW w:w="417" w:type="pct"/>
            <w:tcBorders>
              <w:top w:val="single" w:sz="8" w:space="0" w:color="auto"/>
              <w:left w:val="single" w:sz="8" w:space="0" w:color="auto"/>
              <w:bottom w:val="single" w:sz="8" w:space="0" w:color="auto"/>
              <w:right w:val="single" w:sz="8" w:space="0" w:color="auto"/>
            </w:tcBorders>
          </w:tcPr>
          <w:p w14:paraId="2B7C8B86" w14:textId="4032F649" w:rsidR="000E4397" w:rsidRPr="00FD02F8" w:rsidRDefault="00E25640"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100% </w:t>
            </w:r>
            <w:r w:rsidR="00B81FA8" w:rsidRPr="00FD02F8">
              <w:rPr>
                <w:rFonts w:ascii="Arial" w:eastAsia="Times New Roman" w:hAnsi="Arial" w:cs="Arial"/>
                <w:lang w:eastAsia="en-GB"/>
              </w:rPr>
              <w:t>- Four out of four reports published</w:t>
            </w:r>
          </w:p>
        </w:tc>
        <w:tc>
          <w:tcPr>
            <w:tcW w:w="385" w:type="pct"/>
            <w:tcBorders>
              <w:top w:val="single" w:sz="4" w:space="0" w:color="auto"/>
              <w:left w:val="single" w:sz="4" w:space="0" w:color="auto"/>
              <w:bottom w:val="single" w:sz="4" w:space="0" w:color="auto"/>
              <w:right w:val="single" w:sz="4" w:space="0" w:color="auto"/>
            </w:tcBorders>
          </w:tcPr>
          <w:p w14:paraId="2360F487" w14:textId="5471113D" w:rsidR="000E4397" w:rsidRPr="00FD02F8" w:rsidRDefault="000E4397"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tcPr>
          <w:p w14:paraId="64015A56" w14:textId="2301931E" w:rsidR="000E4397" w:rsidRPr="00FD02F8" w:rsidRDefault="00A55EEA"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We published </w:t>
            </w:r>
            <w:r w:rsidR="009F4640" w:rsidRPr="00FD02F8">
              <w:rPr>
                <w:rFonts w:ascii="Arial" w:eastAsia="Times New Roman" w:hAnsi="Arial" w:cs="Arial"/>
                <w:lang w:eastAsia="en-GB"/>
              </w:rPr>
              <w:t>two reports: the</w:t>
            </w:r>
            <w:r w:rsidR="00F02728" w:rsidRPr="00FD02F8">
              <w:rPr>
                <w:rFonts w:ascii="Arial" w:eastAsia="Times New Roman" w:hAnsi="Arial" w:cs="Arial"/>
                <w:lang w:eastAsia="en-GB"/>
              </w:rPr>
              <w:t xml:space="preserve"> Annual Bathing Water </w:t>
            </w:r>
            <w:r w:rsidR="00991C4D" w:rsidRPr="00FD02F8">
              <w:rPr>
                <w:rFonts w:ascii="Arial" w:eastAsia="Times New Roman" w:hAnsi="Arial" w:cs="Arial"/>
                <w:lang w:eastAsia="en-GB"/>
              </w:rPr>
              <w:t xml:space="preserve">classification report and the </w:t>
            </w:r>
            <w:r w:rsidRPr="00FD02F8">
              <w:rPr>
                <w:rFonts w:ascii="Arial" w:eastAsia="Times New Roman" w:hAnsi="Arial" w:cs="Arial"/>
                <w:lang w:eastAsia="en-GB"/>
              </w:rPr>
              <w:t>Aquatic</w:t>
            </w:r>
            <w:r w:rsidR="00991C4D" w:rsidRPr="00FD02F8">
              <w:rPr>
                <w:rFonts w:ascii="Arial" w:eastAsia="Times New Roman" w:hAnsi="Arial" w:cs="Arial"/>
                <w:lang w:eastAsia="en-GB"/>
              </w:rPr>
              <w:t xml:space="preserve"> classification reports in November</w:t>
            </w:r>
            <w:r w:rsidRPr="00FD02F8">
              <w:rPr>
                <w:rFonts w:ascii="Arial" w:eastAsia="Times New Roman" w:hAnsi="Arial" w:cs="Arial"/>
                <w:lang w:eastAsia="en-GB"/>
              </w:rPr>
              <w:t xml:space="preserve"> 2025</w:t>
            </w:r>
            <w:r w:rsidR="001500C0" w:rsidRPr="00FD02F8">
              <w:rPr>
                <w:rFonts w:ascii="Arial" w:eastAsia="Times New Roman" w:hAnsi="Arial" w:cs="Arial"/>
                <w:lang w:eastAsia="en-GB"/>
              </w:rPr>
              <w:t>.</w:t>
            </w:r>
            <w:r w:rsidR="00991C4D" w:rsidRPr="00FD02F8">
              <w:rPr>
                <w:rFonts w:ascii="Arial" w:eastAsia="Times New Roman" w:hAnsi="Arial" w:cs="Arial"/>
                <w:lang w:eastAsia="en-GB"/>
              </w:rPr>
              <w:t xml:space="preserve"> </w:t>
            </w:r>
            <w:r w:rsidR="009F4640" w:rsidRPr="00FD02F8">
              <w:rPr>
                <w:rFonts w:ascii="Arial" w:eastAsia="Times New Roman" w:hAnsi="Arial" w:cs="Arial"/>
                <w:lang w:eastAsia="en-GB"/>
              </w:rPr>
              <w:t>We have published all f</w:t>
            </w:r>
            <w:r w:rsidR="00DB44E9" w:rsidRPr="00FD02F8">
              <w:rPr>
                <w:rFonts w:ascii="Arial" w:eastAsia="Times New Roman" w:hAnsi="Arial" w:cs="Arial"/>
                <w:lang w:eastAsia="en-GB"/>
              </w:rPr>
              <w:t>our reports on time</w:t>
            </w:r>
            <w:r w:rsidR="009F4640" w:rsidRPr="00FD02F8">
              <w:rPr>
                <w:rFonts w:ascii="Arial" w:eastAsia="Times New Roman" w:hAnsi="Arial" w:cs="Arial"/>
                <w:lang w:eastAsia="en-GB"/>
              </w:rPr>
              <w:t>.</w:t>
            </w:r>
          </w:p>
        </w:tc>
        <w:tc>
          <w:tcPr>
            <w:tcW w:w="320" w:type="pct"/>
            <w:tcBorders>
              <w:top w:val="nil"/>
              <w:left w:val="single" w:sz="4" w:space="0" w:color="auto"/>
              <w:bottom w:val="single" w:sz="4" w:space="0" w:color="auto"/>
              <w:right w:val="single" w:sz="4" w:space="0" w:color="auto"/>
            </w:tcBorders>
          </w:tcPr>
          <w:p w14:paraId="22F37A19" w14:textId="001A77C6" w:rsidR="000E4397" w:rsidRPr="00FD02F8" w:rsidRDefault="000E4397" w:rsidP="000E4397">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Achieved</w:t>
            </w:r>
          </w:p>
        </w:tc>
      </w:tr>
      <w:tr w:rsidR="000E4397" w:rsidRPr="00FD02F8" w14:paraId="7159904F"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2D274F65" w14:textId="2D2D5155" w:rsidR="000E4397" w:rsidRPr="00FD02F8" w:rsidRDefault="000E4397" w:rsidP="000E4397">
            <w:pPr>
              <w:spacing w:line="276" w:lineRule="auto"/>
              <w:textAlignment w:val="baseline"/>
              <w:rPr>
                <w:rFonts w:ascii="Arial" w:hAnsi="Arial" w:cs="Arial"/>
              </w:rPr>
            </w:pPr>
            <w:r w:rsidRPr="00FD02F8">
              <w:rPr>
                <w:rFonts w:ascii="Arial" w:hAnsi="Arial" w:cs="Arial"/>
              </w:rPr>
              <w:t>BEP03</w:t>
            </w:r>
          </w:p>
        </w:tc>
        <w:tc>
          <w:tcPr>
            <w:tcW w:w="417" w:type="pct"/>
            <w:tcBorders>
              <w:top w:val="single" w:sz="8" w:space="0" w:color="auto"/>
              <w:left w:val="single" w:sz="8" w:space="0" w:color="auto"/>
              <w:bottom w:val="single" w:sz="8" w:space="0" w:color="auto"/>
              <w:right w:val="single" w:sz="8" w:space="0" w:color="auto"/>
            </w:tcBorders>
          </w:tcPr>
          <w:p w14:paraId="581DA1F8" w14:textId="3E95F8C7" w:rsidR="000E4397" w:rsidRPr="00FD02F8" w:rsidRDefault="000E4397" w:rsidP="000E4397">
            <w:pPr>
              <w:spacing w:line="276" w:lineRule="auto"/>
              <w:textAlignment w:val="baseline"/>
              <w:rPr>
                <w:rFonts w:ascii="Arial" w:hAnsi="Arial" w:cs="Arial"/>
              </w:rPr>
            </w:pPr>
            <w:r w:rsidRPr="00FD02F8">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tcPr>
          <w:p w14:paraId="03DB7D7D" w14:textId="02DD1DA3" w:rsidR="000E4397" w:rsidRPr="00FD02F8" w:rsidRDefault="000E4397" w:rsidP="000E4397">
            <w:pPr>
              <w:spacing w:line="276" w:lineRule="auto"/>
              <w:textAlignment w:val="baseline"/>
              <w:rPr>
                <w:rFonts w:ascii="Arial" w:hAnsi="Arial" w:cs="Arial"/>
              </w:rPr>
            </w:pPr>
            <w:r w:rsidRPr="00FD02F8">
              <w:rPr>
                <w:rFonts w:ascii="Arial" w:hAnsi="Arial" w:cs="Arial"/>
              </w:rPr>
              <w:t xml:space="preserve">Percentage of statutory reviews completed – Increasing </w:t>
            </w:r>
          </w:p>
        </w:tc>
        <w:tc>
          <w:tcPr>
            <w:tcW w:w="384" w:type="pct"/>
            <w:tcBorders>
              <w:top w:val="single" w:sz="8" w:space="0" w:color="auto"/>
              <w:left w:val="single" w:sz="8" w:space="0" w:color="auto"/>
              <w:bottom w:val="single" w:sz="8" w:space="0" w:color="auto"/>
              <w:right w:val="single" w:sz="8" w:space="0" w:color="auto"/>
            </w:tcBorders>
          </w:tcPr>
          <w:p w14:paraId="1669E873" w14:textId="7D9884EA"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6C29B51D" w14:textId="5E769F24" w:rsidR="000E4397" w:rsidRPr="00FD02F8" w:rsidRDefault="000E4397" w:rsidP="000E4397">
            <w:pPr>
              <w:spacing w:line="276" w:lineRule="auto"/>
              <w:textAlignment w:val="baseline"/>
              <w:rPr>
                <w:rFonts w:ascii="Arial" w:hAnsi="Arial" w:cs="Arial"/>
              </w:rPr>
            </w:pPr>
            <w:r w:rsidRPr="00FD02F8">
              <w:rPr>
                <w:rFonts w:ascii="Arial" w:hAnsi="Arial" w:cs="Arial"/>
              </w:rPr>
              <w:t>2024/25 baseline 31%</w:t>
            </w:r>
            <w:r w:rsidRPr="00FD02F8">
              <w:rPr>
                <w:rFonts w:ascii="Arial" w:hAnsi="Arial" w:cs="Arial"/>
              </w:rPr>
              <w:br/>
            </w:r>
          </w:p>
        </w:tc>
        <w:tc>
          <w:tcPr>
            <w:tcW w:w="545" w:type="pct"/>
            <w:tcBorders>
              <w:top w:val="nil"/>
              <w:left w:val="single" w:sz="4" w:space="0" w:color="auto"/>
              <w:bottom w:val="single" w:sz="4" w:space="0" w:color="auto"/>
              <w:right w:val="single" w:sz="4" w:space="0" w:color="auto"/>
            </w:tcBorders>
          </w:tcPr>
          <w:p w14:paraId="073C6ACF" w14:textId="3AE212E2"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80% of in scope planned permit reviews and variations by year end (</w:t>
            </w:r>
            <w:r w:rsidRPr="00FD02F8">
              <w:rPr>
                <w:rFonts w:ascii="Arial" w:hAnsi="Arial" w:cs="Arial"/>
                <w:lang w:eastAsia="en-GB"/>
              </w:rPr>
              <w:t xml:space="preserve">39 </w:t>
            </w:r>
            <w:r w:rsidR="003C4B33" w:rsidRPr="00FD02F8">
              <w:rPr>
                <w:rFonts w:ascii="Arial" w:hAnsi="Arial" w:cs="Arial"/>
                <w:lang w:eastAsia="en-GB"/>
              </w:rPr>
              <w:t>Best Avail</w:t>
            </w:r>
            <w:r w:rsidR="00C562E4" w:rsidRPr="00FD02F8">
              <w:rPr>
                <w:rFonts w:ascii="Arial" w:hAnsi="Arial" w:cs="Arial"/>
                <w:lang w:eastAsia="en-GB"/>
              </w:rPr>
              <w:t>able Techniques (</w:t>
            </w:r>
            <w:r w:rsidRPr="00FD02F8">
              <w:rPr>
                <w:rFonts w:ascii="Arial" w:hAnsi="Arial" w:cs="Arial"/>
                <w:lang w:eastAsia="en-GB"/>
              </w:rPr>
              <w:t>BAT</w:t>
            </w:r>
            <w:r w:rsidR="00937C10" w:rsidRPr="00FD02F8">
              <w:rPr>
                <w:rFonts w:ascii="Arial" w:hAnsi="Arial" w:cs="Arial"/>
                <w:lang w:eastAsia="en-GB"/>
              </w:rPr>
              <w:t>)</w:t>
            </w:r>
            <w:r w:rsidRPr="00FD02F8">
              <w:rPr>
                <w:rFonts w:ascii="Arial" w:hAnsi="Arial" w:cs="Arial"/>
                <w:lang w:eastAsia="en-GB"/>
              </w:rPr>
              <w:t xml:space="preserve"> conclusions / 13 </w:t>
            </w:r>
            <w:r w:rsidRPr="00FD02F8">
              <w:rPr>
                <w:rFonts w:ascii="Arial" w:hAnsi="Arial" w:cs="Arial"/>
              </w:rPr>
              <w:t>medium combustion plant permit variations)</w:t>
            </w:r>
          </w:p>
        </w:tc>
        <w:tc>
          <w:tcPr>
            <w:tcW w:w="417" w:type="pct"/>
            <w:tcBorders>
              <w:top w:val="single" w:sz="8" w:space="0" w:color="auto"/>
              <w:left w:val="single" w:sz="8" w:space="0" w:color="auto"/>
              <w:bottom w:val="single" w:sz="8" w:space="0" w:color="auto"/>
              <w:right w:val="single" w:sz="8" w:space="0" w:color="auto"/>
            </w:tcBorders>
          </w:tcPr>
          <w:p w14:paraId="7807348D" w14:textId="5030937E" w:rsidR="000E4397" w:rsidRPr="00FD02F8" w:rsidRDefault="009B68A3" w:rsidP="000E4397">
            <w:pPr>
              <w:spacing w:line="276" w:lineRule="auto"/>
              <w:textAlignment w:val="baseline"/>
              <w:rPr>
                <w:rFonts w:ascii="Arial" w:eastAsia="Times New Roman" w:hAnsi="Arial" w:cs="Arial"/>
                <w:highlight w:val="yellow"/>
                <w:lang w:eastAsia="en-GB"/>
              </w:rPr>
            </w:pPr>
            <w:r>
              <w:rPr>
                <w:rFonts w:ascii="Arial" w:eastAsia="Times New Roman" w:hAnsi="Arial" w:cs="Arial"/>
                <w:lang w:eastAsia="en-GB"/>
              </w:rPr>
              <w:t>20</w:t>
            </w:r>
            <w:r w:rsidRPr="00FD02F8">
              <w:rPr>
                <w:rFonts w:ascii="Arial" w:eastAsia="Times New Roman" w:hAnsi="Arial" w:cs="Arial"/>
                <w:lang w:eastAsia="en-GB"/>
              </w:rPr>
              <w:t xml:space="preserve"> permit variations issued</w:t>
            </w:r>
            <w:r>
              <w:rPr>
                <w:rFonts w:ascii="Arial" w:eastAsia="Times New Roman" w:hAnsi="Arial" w:cs="Arial"/>
                <w:lang w:eastAsia="en-GB"/>
              </w:rPr>
              <w:t xml:space="preserve"> </w:t>
            </w:r>
            <w:r w:rsidR="00BD4BEA">
              <w:rPr>
                <w:rFonts w:ascii="Arial" w:eastAsia="Times New Roman" w:hAnsi="Arial" w:cs="Arial"/>
                <w:lang w:eastAsia="en-GB"/>
              </w:rPr>
              <w:t>by Q3</w:t>
            </w:r>
            <w:r w:rsidR="00E5669C">
              <w:rPr>
                <w:rFonts w:ascii="Arial" w:eastAsia="Times New Roman" w:hAnsi="Arial" w:cs="Arial"/>
                <w:lang w:eastAsia="en-GB"/>
              </w:rPr>
              <w:t xml:space="preserve"> (38.5%)</w:t>
            </w:r>
          </w:p>
        </w:tc>
        <w:tc>
          <w:tcPr>
            <w:tcW w:w="385" w:type="pct"/>
            <w:tcBorders>
              <w:top w:val="single" w:sz="4" w:space="0" w:color="auto"/>
              <w:left w:val="single" w:sz="4" w:space="0" w:color="auto"/>
              <w:bottom w:val="single" w:sz="4" w:space="0" w:color="auto"/>
              <w:right w:val="single" w:sz="4" w:space="0" w:color="auto"/>
            </w:tcBorders>
          </w:tcPr>
          <w:p w14:paraId="54524EE4" w14:textId="66E3E356" w:rsidR="000E4397" w:rsidRPr="00FD02F8" w:rsidRDefault="0043666A"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Not </w:t>
            </w:r>
            <w:r w:rsidR="000E4397" w:rsidRPr="00FD02F8">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tcPr>
          <w:p w14:paraId="6A427390" w14:textId="77777777" w:rsidR="000A1EE0" w:rsidRDefault="000A1EE0" w:rsidP="000E4397">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The Q3 target is </w:t>
            </w:r>
            <w:r>
              <w:rPr>
                <w:rFonts w:ascii="Arial" w:eastAsia="Times New Roman" w:hAnsi="Arial" w:cs="Arial"/>
                <w:lang w:eastAsia="en-GB"/>
              </w:rPr>
              <w:t>60</w:t>
            </w:r>
            <w:r w:rsidRPr="00FD02F8">
              <w:rPr>
                <w:rFonts w:ascii="Arial" w:eastAsia="Times New Roman" w:hAnsi="Arial" w:cs="Arial"/>
                <w:lang w:eastAsia="en-GB"/>
              </w:rPr>
              <w:t xml:space="preserve">% of statutory reviews complete which equates to </w:t>
            </w:r>
            <w:r>
              <w:rPr>
                <w:rFonts w:ascii="Arial" w:eastAsia="Times New Roman" w:hAnsi="Arial" w:cs="Arial"/>
                <w:lang w:eastAsia="en-GB"/>
              </w:rPr>
              <w:t>31</w:t>
            </w:r>
            <w:r w:rsidRPr="00FD02F8">
              <w:rPr>
                <w:rFonts w:ascii="Arial" w:eastAsia="Times New Roman" w:hAnsi="Arial" w:cs="Arial"/>
                <w:lang w:eastAsia="en-GB"/>
              </w:rPr>
              <w:t xml:space="preserve"> of the in-scope permits. </w:t>
            </w:r>
            <w:r>
              <w:rPr>
                <w:rFonts w:ascii="Arial" w:eastAsia="Times New Roman" w:hAnsi="Arial" w:cs="Arial"/>
                <w:lang w:eastAsia="en-GB"/>
              </w:rPr>
              <w:t>20</w:t>
            </w:r>
            <w:r w:rsidRPr="00FD02F8">
              <w:rPr>
                <w:rFonts w:ascii="Arial" w:eastAsia="Times New Roman" w:hAnsi="Arial" w:cs="Arial"/>
                <w:lang w:eastAsia="en-GB"/>
              </w:rPr>
              <w:t xml:space="preserve"> permit variations have been issued.</w:t>
            </w:r>
          </w:p>
          <w:p w14:paraId="60C77F20" w14:textId="77777777" w:rsidR="000A1EE0" w:rsidRDefault="000A1EE0" w:rsidP="000E4397">
            <w:pPr>
              <w:spacing w:line="276" w:lineRule="auto"/>
              <w:textAlignment w:val="baseline"/>
              <w:rPr>
                <w:rFonts w:ascii="Arial" w:eastAsia="Times New Roman" w:hAnsi="Arial" w:cs="Arial"/>
                <w:lang w:eastAsia="en-GB"/>
              </w:rPr>
            </w:pPr>
          </w:p>
          <w:p w14:paraId="47780EF1" w14:textId="12584E7B" w:rsidR="000E4397" w:rsidRPr="000A1EE0" w:rsidRDefault="009228C9" w:rsidP="000E4397">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Progress with the permit reviews has been delayed by the transition to EASR and the requirement for clarification around some technical aspects of the indirect discharge and fish feed manufacturers policy positions as well as delays in obtaining both internal and external data. These issues are largely resolved although the review of four fish feed manufacturers permits will now take longer than originally anticipated. A plan will ensure the internal data is provided in a phased manner to coincide with the ongoing and planned permit reviews. We are working with operators to ensure their data is submitted in the shortest possible timescales.</w:t>
            </w:r>
          </w:p>
        </w:tc>
        <w:tc>
          <w:tcPr>
            <w:tcW w:w="320" w:type="pct"/>
            <w:tcBorders>
              <w:top w:val="nil"/>
              <w:left w:val="single" w:sz="4" w:space="0" w:color="auto"/>
              <w:bottom w:val="single" w:sz="4" w:space="0" w:color="auto"/>
              <w:right w:val="single" w:sz="4" w:space="0" w:color="auto"/>
            </w:tcBorders>
          </w:tcPr>
          <w:p w14:paraId="63E207FE" w14:textId="2987A701" w:rsidR="000E4397" w:rsidRPr="00FD02F8" w:rsidRDefault="0043666A" w:rsidP="000E4397">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 xml:space="preserve">Not </w:t>
            </w:r>
            <w:r w:rsidR="000E4397" w:rsidRPr="00FD02F8">
              <w:rPr>
                <w:rFonts w:ascii="Arial" w:hAnsi="Arial" w:cs="Arial"/>
                <w:color w:val="000000"/>
              </w:rPr>
              <w:t>Achieved</w:t>
            </w:r>
          </w:p>
        </w:tc>
      </w:tr>
      <w:tr w:rsidR="000E4397" w:rsidRPr="00FD02F8" w14:paraId="36EE9DA0" w14:textId="77777777" w:rsidTr="1901DC8B">
        <w:trPr>
          <w:cantSplit/>
          <w:trHeight w:val="510"/>
        </w:trPr>
        <w:tc>
          <w:tcPr>
            <w:tcW w:w="223" w:type="pct"/>
            <w:tcBorders>
              <w:top w:val="single" w:sz="8" w:space="0" w:color="auto"/>
              <w:left w:val="single" w:sz="8" w:space="0" w:color="auto"/>
              <w:bottom w:val="single" w:sz="4" w:space="0" w:color="auto"/>
              <w:right w:val="single" w:sz="8" w:space="0" w:color="auto"/>
            </w:tcBorders>
          </w:tcPr>
          <w:p w14:paraId="00B41FEF" w14:textId="1A75CE66" w:rsidR="000E4397" w:rsidRPr="00FD02F8" w:rsidRDefault="000E4397" w:rsidP="000E4397">
            <w:pPr>
              <w:spacing w:line="276" w:lineRule="auto"/>
              <w:textAlignment w:val="baseline"/>
              <w:rPr>
                <w:rFonts w:ascii="Arial" w:hAnsi="Arial" w:cs="Arial"/>
              </w:rPr>
            </w:pPr>
            <w:r w:rsidRPr="00FD02F8">
              <w:rPr>
                <w:rFonts w:ascii="Arial" w:hAnsi="Arial" w:cs="Arial"/>
              </w:rPr>
              <w:t>BEP04</w:t>
            </w:r>
          </w:p>
        </w:tc>
        <w:tc>
          <w:tcPr>
            <w:tcW w:w="417" w:type="pct"/>
            <w:tcBorders>
              <w:top w:val="single" w:sz="8" w:space="0" w:color="auto"/>
              <w:left w:val="single" w:sz="8" w:space="0" w:color="auto"/>
              <w:bottom w:val="single" w:sz="4" w:space="0" w:color="auto"/>
              <w:right w:val="single" w:sz="8" w:space="0" w:color="auto"/>
            </w:tcBorders>
          </w:tcPr>
          <w:p w14:paraId="1939B1CC" w14:textId="347BEC4F" w:rsidR="000E4397" w:rsidRPr="00FD02F8" w:rsidRDefault="000E4397" w:rsidP="000E4397">
            <w:pPr>
              <w:spacing w:line="276" w:lineRule="auto"/>
              <w:textAlignment w:val="baseline"/>
              <w:rPr>
                <w:rFonts w:ascii="Arial" w:hAnsi="Arial" w:cs="Arial"/>
              </w:rPr>
            </w:pPr>
            <w:r w:rsidRPr="00FD02F8">
              <w:rPr>
                <w:rFonts w:ascii="Arial" w:hAnsi="Arial" w:cs="Arial"/>
              </w:rPr>
              <w:t>Business Environmental Performance</w:t>
            </w:r>
          </w:p>
        </w:tc>
        <w:tc>
          <w:tcPr>
            <w:tcW w:w="802" w:type="pct"/>
            <w:tcBorders>
              <w:top w:val="single" w:sz="8" w:space="0" w:color="auto"/>
              <w:left w:val="single" w:sz="8" w:space="0" w:color="auto"/>
              <w:bottom w:val="single" w:sz="4" w:space="0" w:color="auto"/>
              <w:right w:val="single" w:sz="8" w:space="0" w:color="auto"/>
            </w:tcBorders>
          </w:tcPr>
          <w:p w14:paraId="5566ABC3" w14:textId="1E2F7E2B" w:rsidR="000E4397" w:rsidRPr="00FD02F8" w:rsidRDefault="000E4397" w:rsidP="000E4397">
            <w:pPr>
              <w:spacing w:line="276" w:lineRule="auto"/>
              <w:textAlignment w:val="baseline"/>
              <w:rPr>
                <w:rFonts w:ascii="Arial" w:hAnsi="Arial" w:cs="Arial"/>
              </w:rPr>
            </w:pPr>
            <w:r w:rsidRPr="00FD02F8">
              <w:rPr>
                <w:rFonts w:ascii="Arial" w:hAnsi="Arial" w:cs="Arial"/>
              </w:rPr>
              <w:t xml:space="preserve">Percentage of applications determined within statutory determination times – Increasing </w:t>
            </w:r>
          </w:p>
        </w:tc>
        <w:tc>
          <w:tcPr>
            <w:tcW w:w="384" w:type="pct"/>
            <w:tcBorders>
              <w:top w:val="single" w:sz="8" w:space="0" w:color="auto"/>
              <w:left w:val="single" w:sz="8" w:space="0" w:color="auto"/>
              <w:bottom w:val="single" w:sz="4" w:space="0" w:color="auto"/>
              <w:right w:val="single" w:sz="8" w:space="0" w:color="auto"/>
            </w:tcBorders>
          </w:tcPr>
          <w:p w14:paraId="5ED83636" w14:textId="4EFFE90D"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22BE52C9" w14:textId="15D50E23"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rPr>
              <w:t>2023/24 baseline: 92% all applications</w:t>
            </w:r>
            <w:r w:rsidRPr="00FD02F8">
              <w:rPr>
                <w:rFonts w:ascii="Arial" w:hAnsi="Arial" w:cs="Arial"/>
              </w:rPr>
              <w:br/>
            </w:r>
            <w:r w:rsidRPr="00FD02F8">
              <w:rPr>
                <w:rFonts w:ascii="Arial" w:hAnsi="Arial" w:cs="Arial"/>
              </w:rPr>
              <w:br/>
              <w:t>75% for permitting licences / 87% for permitting registrations</w:t>
            </w:r>
          </w:p>
        </w:tc>
        <w:tc>
          <w:tcPr>
            <w:tcW w:w="545" w:type="pct"/>
            <w:tcBorders>
              <w:top w:val="nil"/>
              <w:left w:val="single" w:sz="4" w:space="0" w:color="auto"/>
              <w:bottom w:val="single" w:sz="4" w:space="0" w:color="auto"/>
              <w:right w:val="single" w:sz="4" w:space="0" w:color="auto"/>
            </w:tcBorders>
          </w:tcPr>
          <w:p w14:paraId="2529AF02" w14:textId="0E3639FC" w:rsidR="000E4397" w:rsidRPr="00FD02F8" w:rsidRDefault="000E4397" w:rsidP="000E4397">
            <w:pPr>
              <w:spacing w:line="276" w:lineRule="auto"/>
              <w:textAlignment w:val="baseline"/>
              <w:rPr>
                <w:rFonts w:ascii="Arial" w:eastAsia="Times New Roman" w:hAnsi="Arial" w:cs="Arial"/>
                <w:lang w:eastAsia="en-GB"/>
              </w:rPr>
            </w:pPr>
            <w:r w:rsidRPr="00FD02F8">
              <w:rPr>
                <w:rFonts w:ascii="Arial" w:hAnsi="Arial" w:cs="Arial"/>
                <w:color w:val="000000"/>
              </w:rPr>
              <w:t>Maintain the percentage of applications determined within statutory timelines.</w:t>
            </w:r>
          </w:p>
        </w:tc>
        <w:tc>
          <w:tcPr>
            <w:tcW w:w="417" w:type="pct"/>
            <w:tcBorders>
              <w:top w:val="single" w:sz="8" w:space="0" w:color="auto"/>
              <w:left w:val="single" w:sz="8" w:space="0" w:color="auto"/>
              <w:bottom w:val="single" w:sz="4" w:space="0" w:color="auto"/>
              <w:right w:val="single" w:sz="8" w:space="0" w:color="auto"/>
            </w:tcBorders>
          </w:tcPr>
          <w:p w14:paraId="202A7B4C" w14:textId="70759B19" w:rsidR="000E4397" w:rsidRPr="00FD02F8" w:rsidRDefault="00E84E6A" w:rsidP="000E4397">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9</w:t>
            </w:r>
            <w:r w:rsidR="00811359" w:rsidRPr="00FD02F8">
              <w:rPr>
                <w:rFonts w:ascii="Arial" w:eastAsia="Times New Roman" w:hAnsi="Arial" w:cs="Arial"/>
                <w:lang w:eastAsia="en-GB"/>
              </w:rPr>
              <w:t>4</w:t>
            </w:r>
            <w:r w:rsidRPr="00FD02F8">
              <w:rPr>
                <w:rFonts w:ascii="Arial" w:eastAsia="Times New Roman" w:hAnsi="Arial" w:cs="Arial"/>
                <w:lang w:eastAsia="en-GB"/>
              </w:rPr>
              <w:t>% of all applications</w:t>
            </w:r>
            <w:r w:rsidR="00E11B3A" w:rsidRPr="00FD02F8">
              <w:rPr>
                <w:rFonts w:ascii="Arial" w:eastAsia="Times New Roman" w:hAnsi="Arial" w:cs="Arial"/>
                <w:lang w:eastAsia="en-GB"/>
              </w:rPr>
              <w:t>.</w:t>
            </w:r>
          </w:p>
          <w:p w14:paraId="4F716AB7" w14:textId="77777777" w:rsidR="001F62C1" w:rsidRPr="00FD02F8" w:rsidRDefault="001F62C1" w:rsidP="000E4397">
            <w:pPr>
              <w:spacing w:line="276" w:lineRule="auto"/>
              <w:textAlignment w:val="baseline"/>
              <w:rPr>
                <w:rFonts w:ascii="Arial" w:eastAsia="Times New Roman" w:hAnsi="Arial" w:cs="Arial"/>
                <w:lang w:eastAsia="en-GB"/>
              </w:rPr>
            </w:pPr>
          </w:p>
          <w:p w14:paraId="18C8CAE2" w14:textId="0F615903" w:rsidR="0002411E" w:rsidRPr="00FD02F8" w:rsidRDefault="00811359" w:rsidP="0002411E">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86</w:t>
            </w:r>
            <w:r w:rsidR="0002411E" w:rsidRPr="00FD02F8">
              <w:rPr>
                <w:rFonts w:ascii="Arial" w:eastAsia="Times New Roman" w:hAnsi="Arial" w:cs="Arial"/>
                <w:lang w:eastAsia="en-GB"/>
              </w:rPr>
              <w:t>% for permitting licences</w:t>
            </w:r>
            <w:r w:rsidR="00D93C8C" w:rsidRPr="00FD02F8">
              <w:rPr>
                <w:rFonts w:ascii="Arial" w:eastAsia="Times New Roman" w:hAnsi="Arial" w:cs="Arial"/>
                <w:lang w:eastAsia="en-GB"/>
              </w:rPr>
              <w:t xml:space="preserve"> / </w:t>
            </w:r>
          </w:p>
          <w:p w14:paraId="27A49A06" w14:textId="39D6F0B0" w:rsidR="0002411E" w:rsidRPr="00FD02F8" w:rsidRDefault="0002411E" w:rsidP="0002411E">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9</w:t>
            </w:r>
            <w:r w:rsidR="00811359" w:rsidRPr="00FD02F8">
              <w:rPr>
                <w:rFonts w:ascii="Arial" w:eastAsia="Times New Roman" w:hAnsi="Arial" w:cs="Arial"/>
                <w:lang w:eastAsia="en-GB"/>
              </w:rPr>
              <w:t>5</w:t>
            </w:r>
            <w:r w:rsidRPr="00FD02F8">
              <w:rPr>
                <w:rFonts w:ascii="Arial" w:eastAsia="Times New Roman" w:hAnsi="Arial" w:cs="Arial"/>
                <w:lang w:eastAsia="en-GB"/>
              </w:rPr>
              <w:t>% for permitting registrations</w:t>
            </w:r>
          </w:p>
        </w:tc>
        <w:tc>
          <w:tcPr>
            <w:tcW w:w="385" w:type="pct"/>
            <w:tcBorders>
              <w:top w:val="single" w:sz="4" w:space="0" w:color="auto"/>
              <w:left w:val="single" w:sz="4" w:space="0" w:color="auto"/>
              <w:bottom w:val="single" w:sz="4" w:space="0" w:color="auto"/>
              <w:right w:val="single" w:sz="4" w:space="0" w:color="auto"/>
            </w:tcBorders>
          </w:tcPr>
          <w:p w14:paraId="1C339047" w14:textId="67BFAF40" w:rsidR="000E4397" w:rsidRPr="00FD02F8" w:rsidRDefault="004B6211" w:rsidP="000E4397">
            <w:pPr>
              <w:spacing w:line="276" w:lineRule="auto"/>
              <w:textAlignment w:val="baseline"/>
              <w:rPr>
                <w:rFonts w:ascii="Arial" w:eastAsia="Times New Roman" w:hAnsi="Arial" w:cs="Arial"/>
                <w:highlight w:val="yellow"/>
                <w:lang w:eastAsia="en-GB"/>
              </w:rPr>
            </w:pPr>
            <w:r w:rsidRPr="00FD02F8">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tcPr>
          <w:p w14:paraId="70B59AF0" w14:textId="34CE6D6F" w:rsidR="000E4397" w:rsidRPr="00FD02F8" w:rsidRDefault="008C3A1C" w:rsidP="0096726D">
            <w:pPr>
              <w:spacing w:line="276" w:lineRule="auto"/>
              <w:textAlignment w:val="baseline"/>
              <w:rPr>
                <w:rFonts w:ascii="Arial" w:eastAsia="Times New Roman" w:hAnsi="Arial" w:cs="Arial"/>
                <w:lang w:eastAsia="en-GB"/>
              </w:rPr>
            </w:pPr>
            <w:r w:rsidRPr="00FD02F8">
              <w:rPr>
                <w:rFonts w:ascii="Arial" w:eastAsia="Times New Roman" w:hAnsi="Arial" w:cs="Arial"/>
                <w:lang w:eastAsia="en-GB"/>
              </w:rPr>
              <w:t xml:space="preserve">We are maintaining high performance for </w:t>
            </w:r>
            <w:r w:rsidR="0096726D" w:rsidRPr="00FD02F8">
              <w:rPr>
                <w:rFonts w:ascii="Arial" w:eastAsia="Times New Roman" w:hAnsi="Arial" w:cs="Arial"/>
                <w:lang w:eastAsia="en-GB"/>
              </w:rPr>
              <w:t xml:space="preserve">applications determined within </w:t>
            </w:r>
            <w:r w:rsidR="00811359" w:rsidRPr="00FD02F8">
              <w:rPr>
                <w:rFonts w:ascii="Arial" w:eastAsia="Times New Roman" w:hAnsi="Arial" w:cs="Arial"/>
                <w:lang w:eastAsia="en-GB"/>
              </w:rPr>
              <w:t xml:space="preserve">the </w:t>
            </w:r>
            <w:r w:rsidR="0096726D" w:rsidRPr="00FD02F8">
              <w:rPr>
                <w:rFonts w:ascii="Arial" w:eastAsia="Times New Roman" w:hAnsi="Arial" w:cs="Arial"/>
                <w:lang w:eastAsia="en-GB"/>
              </w:rPr>
              <w:t>statutory determination times.</w:t>
            </w:r>
          </w:p>
        </w:tc>
        <w:tc>
          <w:tcPr>
            <w:tcW w:w="320" w:type="pct"/>
            <w:tcBorders>
              <w:top w:val="nil"/>
              <w:left w:val="single" w:sz="4" w:space="0" w:color="auto"/>
              <w:bottom w:val="single" w:sz="4" w:space="0" w:color="auto"/>
              <w:right w:val="single" w:sz="4" w:space="0" w:color="auto"/>
            </w:tcBorders>
          </w:tcPr>
          <w:p w14:paraId="0205E353" w14:textId="3FB31C37" w:rsidR="000E4397" w:rsidRPr="00FD02F8" w:rsidRDefault="004B6211" w:rsidP="000E4397">
            <w:pPr>
              <w:spacing w:line="276" w:lineRule="auto"/>
              <w:jc w:val="center"/>
              <w:textAlignment w:val="baseline"/>
              <w:rPr>
                <w:rFonts w:ascii="Arial" w:eastAsia="Times New Roman" w:hAnsi="Arial" w:cs="Arial"/>
                <w:highlight w:val="yellow"/>
                <w:lang w:eastAsia="en-GB"/>
              </w:rPr>
            </w:pPr>
            <w:r w:rsidRPr="00FD02F8">
              <w:rPr>
                <w:rFonts w:ascii="Arial" w:hAnsi="Arial" w:cs="Arial"/>
                <w:color w:val="000000"/>
              </w:rPr>
              <w:t>Achieved</w:t>
            </w:r>
          </w:p>
        </w:tc>
      </w:tr>
    </w:tbl>
    <w:p w14:paraId="2EADB6F9" w14:textId="77777777" w:rsidR="00D14EBA" w:rsidRPr="00FD02F8" w:rsidRDefault="00D14EBA" w:rsidP="004222B2">
      <w:pPr>
        <w:spacing w:line="240" w:lineRule="auto"/>
        <w:rPr>
          <w:highlight w:val="yellow"/>
        </w:rPr>
      </w:pPr>
    </w:p>
    <w:p w14:paraId="4086D7F6" w14:textId="216FBABD" w:rsidR="000E7600" w:rsidRPr="00FD02F8" w:rsidRDefault="000E7600" w:rsidP="004222B2">
      <w:pPr>
        <w:spacing w:line="240" w:lineRule="auto"/>
        <w:rPr>
          <w:sz w:val="32"/>
          <w:szCs w:val="32"/>
        </w:rPr>
        <w:sectPr w:rsidR="000E7600" w:rsidRPr="00FD02F8" w:rsidSect="007A1B67">
          <w:pgSz w:w="23811" w:h="16838" w:orient="landscape" w:code="8"/>
          <w:pgMar w:top="1083" w:right="1440" w:bottom="1083" w:left="567" w:header="567" w:footer="567" w:gutter="0"/>
          <w:cols w:space="708"/>
          <w:titlePg/>
          <w:docGrid w:linePitch="360"/>
        </w:sectPr>
      </w:pPr>
    </w:p>
    <w:p w14:paraId="0E5B336B" w14:textId="0FBA8D01" w:rsidR="000E7600" w:rsidRPr="00FD02F8" w:rsidRDefault="000E7600" w:rsidP="003E2603">
      <w:pPr>
        <w:pStyle w:val="Heading1"/>
        <w:numPr>
          <w:ilvl w:val="0"/>
          <w:numId w:val="2"/>
        </w:numPr>
        <w:spacing w:after="240" w:line="240" w:lineRule="auto"/>
        <w:rPr>
          <w:sz w:val="48"/>
          <w:szCs w:val="48"/>
        </w:rPr>
      </w:pPr>
      <w:bookmarkStart w:id="20" w:name="_Toc1341224549"/>
      <w:r w:rsidRPr="00FD02F8">
        <w:rPr>
          <w:sz w:val="48"/>
          <w:szCs w:val="48"/>
        </w:rPr>
        <w:lastRenderedPageBreak/>
        <w:t>Performance Updates</w:t>
      </w:r>
      <w:bookmarkEnd w:id="20"/>
    </w:p>
    <w:p w14:paraId="12D94878" w14:textId="6CF0E604" w:rsidR="00A30032" w:rsidRPr="00FD02F8" w:rsidRDefault="00A30032" w:rsidP="7D52A5B7">
      <w:pPr>
        <w:pStyle w:val="Heading2"/>
        <w:shd w:val="clear" w:color="auto" w:fill="016574" w:themeFill="accent2"/>
        <w:spacing w:before="0" w:after="240"/>
        <w:ind w:left="720" w:hanging="720"/>
        <w:rPr>
          <w:color w:val="FFFFFF" w:themeColor="background1"/>
          <w:sz w:val="48"/>
          <w:szCs w:val="48"/>
        </w:rPr>
      </w:pPr>
      <w:bookmarkStart w:id="21" w:name="_Toc1154151876"/>
      <w:r w:rsidRPr="00FD02F8">
        <w:rPr>
          <w:color w:val="FFFFFF" w:themeColor="background1"/>
          <w:sz w:val="48"/>
          <w:szCs w:val="48"/>
        </w:rPr>
        <w:t>Net Zero</w:t>
      </w:r>
      <w:bookmarkEnd w:id="21"/>
    </w:p>
    <w:p w14:paraId="698B386B" w14:textId="77777777" w:rsidR="005E50E7" w:rsidRPr="00FD02F8" w:rsidRDefault="005E50E7" w:rsidP="00E65726">
      <w:pPr>
        <w:pStyle w:val="BodyText1"/>
        <w:shd w:val="clear" w:color="auto" w:fill="018395"/>
        <w:spacing w:before="240" w:after="120"/>
        <w:rPr>
          <w:b/>
          <w:bCs/>
          <w:color w:val="FFFFFF" w:themeColor="background1"/>
          <w:sz w:val="36"/>
          <w:szCs w:val="36"/>
        </w:rPr>
      </w:pPr>
      <w:r w:rsidRPr="00FD02F8">
        <w:rPr>
          <w:b/>
          <w:bCs/>
          <w:color w:val="FFFFFF" w:themeColor="background1"/>
          <w:sz w:val="36"/>
          <w:szCs w:val="36"/>
        </w:rPr>
        <w:t xml:space="preserve">Our ambition is to fully play our part in helping Scotland become a net zero country by 2045 and reduce our own emissions towards net zero. </w:t>
      </w:r>
    </w:p>
    <w:p w14:paraId="02047630" w14:textId="2B330906" w:rsidR="00A33FC2" w:rsidRPr="00FD02F8" w:rsidRDefault="009964CC" w:rsidP="00E53135">
      <w:pPr>
        <w:pStyle w:val="Heading3"/>
        <w:spacing w:before="120" w:after="120"/>
        <w:rPr>
          <w:color w:val="016574"/>
          <w:sz w:val="32"/>
          <w:szCs w:val="28"/>
        </w:rPr>
      </w:pPr>
      <w:r w:rsidRPr="00FD02F8">
        <w:rPr>
          <w:color w:val="016574"/>
          <w:sz w:val="32"/>
          <w:szCs w:val="28"/>
        </w:rPr>
        <w:t>NZ OKR01: Develop our regulatory role with a more integrated approach to energy efficiency and industrial decarbonisation.</w:t>
      </w:r>
    </w:p>
    <w:p w14:paraId="50C65256" w14:textId="57CA691C" w:rsidR="00A33FC2" w:rsidRPr="00FD02F8" w:rsidRDefault="00AA2634" w:rsidP="00790FA6">
      <w:pPr>
        <w:spacing w:after="120"/>
        <w:rPr>
          <w:b/>
          <w:bCs/>
          <w:color w:val="3C4741" w:themeColor="text1"/>
        </w:rPr>
      </w:pPr>
      <w:r w:rsidRPr="00FD02F8">
        <w:rPr>
          <w:noProof/>
        </w:rPr>
        <w:drawing>
          <wp:inline distT="0" distB="0" distL="0" distR="0" wp14:anchorId="0B2F41F3" wp14:editId="7E025FD8">
            <wp:extent cx="9451817" cy="2773146"/>
            <wp:effectExtent l="0" t="0" r="16510" b="8255"/>
            <wp:docPr id="2103961481" name="Chart 1" descr="This is a bar graph which shows the score of each key result for OKR01 over each quarter. &#10;There is a line on the score scale of 0.7 to represent whether the KR is being delivered. There is another line on the score scale of 0.3 to represent whether measurable progress has been made in the quarter.&#10;For Q1 KR1.1 scored 0.&#10;KR1.2 and KR1.3 have no scores.&#10;&#10;For Q2 KR1.1 scored 1.&#10;KR1.2 scored 0.33 and KR1.3 has no score.&#10;&#10;For Q3 KR1.1 scored 1.&#10;KR1.2 scored 1&#10;KR1.3 has no score and is not due until Q4.">
              <a:extLst xmlns:a="http://schemas.openxmlformats.org/drawingml/2006/main">
                <a:ext uri="{FF2B5EF4-FFF2-40B4-BE49-F238E27FC236}">
                  <a16:creationId xmlns:a16="http://schemas.microsoft.com/office/drawing/2014/main" id="{85EDD120-543A-4B9C-9970-764A604D7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 key result summary "/>
        <w:tblDescription w:val="Quarterly summary for each of the three key results under OKR1. This includes the date due, Q3 score, Q3 status, Q3 commentary and annual forecast for each key result."/>
      </w:tblPr>
      <w:tblGrid>
        <w:gridCol w:w="3869"/>
        <w:gridCol w:w="767"/>
        <w:gridCol w:w="924"/>
        <w:gridCol w:w="924"/>
        <w:gridCol w:w="924"/>
        <w:gridCol w:w="924"/>
        <w:gridCol w:w="1020"/>
        <w:gridCol w:w="4110"/>
        <w:gridCol w:w="1496"/>
      </w:tblGrid>
      <w:tr w:rsidR="004F793D" w:rsidRPr="00FD02F8" w14:paraId="64A657E4" w14:textId="77777777" w:rsidTr="00605D02">
        <w:trPr>
          <w:cantSplit/>
          <w:trHeight w:val="545"/>
          <w:tblHeader/>
        </w:trPr>
        <w:tc>
          <w:tcPr>
            <w:tcW w:w="1293" w:type="pct"/>
            <w:shd w:val="clear" w:color="auto" w:fill="016574" w:themeFill="accent2"/>
          </w:tcPr>
          <w:p w14:paraId="2DA89DA6" w14:textId="56B8B946" w:rsidR="0051570C" w:rsidRPr="00FD02F8" w:rsidRDefault="0051570C" w:rsidP="005E4AB1">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56" w:type="pct"/>
            <w:shd w:val="clear" w:color="auto" w:fill="016574" w:themeFill="accent2"/>
          </w:tcPr>
          <w:p w14:paraId="5965B35C" w14:textId="3C9EDC6F" w:rsidR="0051570C" w:rsidRPr="00FD02F8" w:rsidRDefault="0051570C" w:rsidP="005E4AB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09" w:type="pct"/>
            <w:shd w:val="clear" w:color="auto" w:fill="016574" w:themeFill="accent2"/>
          </w:tcPr>
          <w:p w14:paraId="38B4BBA7" w14:textId="517D9263" w:rsidR="0051570C" w:rsidRPr="00FD02F8" w:rsidRDefault="0051570C" w:rsidP="005E4AB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9" w:type="pct"/>
            <w:shd w:val="clear" w:color="auto" w:fill="016574" w:themeFill="accent2"/>
          </w:tcPr>
          <w:p w14:paraId="088FC10D" w14:textId="77777777" w:rsidR="0051570C" w:rsidRPr="00FD02F8" w:rsidRDefault="0051570C" w:rsidP="005E4AB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9" w:type="pct"/>
            <w:shd w:val="clear" w:color="auto" w:fill="016574" w:themeFill="accent2"/>
          </w:tcPr>
          <w:p w14:paraId="0DEDB8DD" w14:textId="77777777" w:rsidR="0051570C" w:rsidRPr="00FD02F8" w:rsidRDefault="0051570C" w:rsidP="005E4AB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9" w:type="pct"/>
            <w:shd w:val="clear" w:color="auto" w:fill="016574" w:themeFill="accent2"/>
          </w:tcPr>
          <w:p w14:paraId="73D99F0B" w14:textId="77777777" w:rsidR="0051570C" w:rsidRPr="00FD02F8" w:rsidRDefault="0051570C" w:rsidP="005E4AB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41" w:type="pct"/>
            <w:shd w:val="clear" w:color="auto" w:fill="016574" w:themeFill="accent2"/>
          </w:tcPr>
          <w:p w14:paraId="7EB76200" w14:textId="661CFDD1" w:rsidR="0051570C" w:rsidRPr="00FD02F8" w:rsidRDefault="0051570C" w:rsidP="005E4AB1">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36CB4" w:rsidRPr="00FD02F8">
              <w:rPr>
                <w:rFonts w:ascii="Arial" w:eastAsia="MS PGothic" w:hAnsi="Arial" w:cs="Arial"/>
                <w:b/>
                <w:bCs/>
                <w:color w:val="FFFFFF"/>
              </w:rPr>
              <w:t>3</w:t>
            </w:r>
            <w:r w:rsidRPr="00FD02F8">
              <w:rPr>
                <w:rFonts w:ascii="Arial" w:eastAsia="MS PGothic" w:hAnsi="Arial" w:cs="Arial"/>
                <w:b/>
                <w:bCs/>
                <w:color w:val="FFFFFF"/>
              </w:rPr>
              <w:t xml:space="preserve"> Status</w:t>
            </w:r>
          </w:p>
        </w:tc>
        <w:tc>
          <w:tcPr>
            <w:tcW w:w="1374" w:type="pct"/>
            <w:shd w:val="clear" w:color="auto" w:fill="016574" w:themeFill="accent2"/>
          </w:tcPr>
          <w:p w14:paraId="5C37A7B0" w14:textId="61093F04" w:rsidR="0051570C" w:rsidRPr="00FD02F8" w:rsidRDefault="0051570C" w:rsidP="005E4AB1">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36CB4"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 xml:space="preserve"> commentary</w:t>
            </w:r>
          </w:p>
        </w:tc>
        <w:tc>
          <w:tcPr>
            <w:tcW w:w="500" w:type="pct"/>
            <w:shd w:val="clear" w:color="auto" w:fill="016574" w:themeFill="accent2"/>
          </w:tcPr>
          <w:p w14:paraId="5E28F75B" w14:textId="77777777" w:rsidR="0051570C" w:rsidRPr="00FD02F8" w:rsidRDefault="0051570C" w:rsidP="005E4AB1">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4F793D" w:rsidRPr="00FD02F8" w14:paraId="2BC3F28A" w14:textId="77777777" w:rsidTr="00605D02">
        <w:tblPrEx>
          <w:tblCellMar>
            <w:left w:w="108" w:type="dxa"/>
            <w:right w:w="108" w:type="dxa"/>
          </w:tblCellMar>
        </w:tblPrEx>
        <w:trPr>
          <w:cantSplit/>
          <w:trHeight w:val="865"/>
        </w:trPr>
        <w:tc>
          <w:tcPr>
            <w:tcW w:w="1293" w:type="pct"/>
          </w:tcPr>
          <w:p w14:paraId="35A7DDC6" w14:textId="2FE945BE" w:rsidR="0051570C" w:rsidRPr="00FD02F8" w:rsidRDefault="0051570C" w:rsidP="00C87A36">
            <w:pPr>
              <w:textAlignment w:val="baseline"/>
              <w:rPr>
                <w:rFonts w:ascii="Arial" w:eastAsia="Times New Roman" w:hAnsi="Arial" w:cs="Arial"/>
                <w:lang w:eastAsia="en-GB"/>
              </w:rPr>
            </w:pPr>
            <w:r w:rsidRPr="00FD02F8">
              <w:rPr>
                <w:rFonts w:ascii="Arial" w:hAnsi="Arial" w:cs="Arial"/>
                <w:b/>
                <w:bCs/>
              </w:rPr>
              <w:t xml:space="preserve">KR1.1: </w:t>
            </w:r>
            <w:r w:rsidRPr="00FD02F8">
              <w:rPr>
                <w:rFonts w:ascii="Arial" w:hAnsi="Arial" w:cs="Arial"/>
              </w:rPr>
              <w:t>100% of requested energy efficiency data received from energy intensive sites.</w:t>
            </w:r>
          </w:p>
        </w:tc>
        <w:tc>
          <w:tcPr>
            <w:tcW w:w="256" w:type="pct"/>
            <w:vAlign w:val="center"/>
          </w:tcPr>
          <w:p w14:paraId="40DA8825" w14:textId="303D6B0E" w:rsidR="0051570C" w:rsidRPr="00FD02F8" w:rsidRDefault="0051570C"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Q2</w:t>
            </w:r>
          </w:p>
        </w:tc>
        <w:tc>
          <w:tcPr>
            <w:tcW w:w="309" w:type="pct"/>
            <w:vAlign w:val="center"/>
          </w:tcPr>
          <w:p w14:paraId="03F3C9AD" w14:textId="6CD26A34" w:rsidR="0051570C" w:rsidRPr="00FD02F8" w:rsidRDefault="00630239"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w:t>
            </w:r>
          </w:p>
        </w:tc>
        <w:tc>
          <w:tcPr>
            <w:tcW w:w="309" w:type="pct"/>
            <w:vAlign w:val="center"/>
          </w:tcPr>
          <w:p w14:paraId="3A8CB608" w14:textId="74601335" w:rsidR="0051570C" w:rsidRPr="00FD02F8" w:rsidRDefault="00856998" w:rsidP="0FB9A58E">
            <w:pPr>
              <w:jc w:val="center"/>
            </w:pPr>
            <w:r w:rsidRPr="00FD02F8">
              <w:rPr>
                <w:rFonts w:ascii="Arial" w:eastAsia="Times New Roman" w:hAnsi="Arial" w:cs="Arial"/>
                <w:lang w:eastAsia="en-GB"/>
              </w:rPr>
              <w:t>1</w:t>
            </w:r>
          </w:p>
        </w:tc>
        <w:tc>
          <w:tcPr>
            <w:tcW w:w="309" w:type="pct"/>
            <w:vAlign w:val="center"/>
          </w:tcPr>
          <w:p w14:paraId="433035FC" w14:textId="1CCF25AD" w:rsidR="0051570C" w:rsidRPr="00FD02F8" w:rsidRDefault="005D58F5"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309" w:type="pct"/>
            <w:vAlign w:val="center"/>
          </w:tcPr>
          <w:p w14:paraId="2B93DFA9" w14:textId="17DFDAAC" w:rsidR="0051570C" w:rsidRPr="00FD02F8" w:rsidRDefault="0001651D"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vAlign w:val="center"/>
          </w:tcPr>
          <w:p w14:paraId="62F82B70" w14:textId="1925390B" w:rsidR="0051570C" w:rsidRPr="00FD02F8" w:rsidRDefault="00AF460B" w:rsidP="0FB9A58E">
            <w:pPr>
              <w:jc w:val="center"/>
              <w:textAlignment w:val="baseline"/>
              <w:rPr>
                <w:b/>
                <w:bCs/>
                <w:color w:val="016574" w:themeColor="accent2"/>
                <w:lang w:eastAsia="en-GB"/>
              </w:rPr>
            </w:pPr>
            <w:r w:rsidRPr="00FD02F8">
              <w:rPr>
                <w:noProof/>
              </w:rPr>
              <w:drawing>
                <wp:inline distT="0" distB="0" distL="0" distR="0" wp14:anchorId="440A2CF8" wp14:editId="556BF4FE">
                  <wp:extent cx="432000" cy="432000"/>
                  <wp:effectExtent l="0" t="0" r="0" b="0"/>
                  <wp:docPr id="975249213"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74" w:type="pct"/>
            <w:vAlign w:val="center"/>
          </w:tcPr>
          <w:p w14:paraId="65A747BE" w14:textId="4CDEC480" w:rsidR="00E31C6F" w:rsidRPr="00FD02F8" w:rsidRDefault="00010FA9" w:rsidP="00C87A36">
            <w:pPr>
              <w:textAlignment w:val="baseline"/>
              <w:rPr>
                <w:rFonts w:ascii="Arial" w:eastAsia="Times New Roman" w:hAnsi="Arial" w:cs="Arial"/>
                <w:lang w:eastAsia="en-GB"/>
              </w:rPr>
            </w:pPr>
            <w:r w:rsidRPr="00FD02F8">
              <w:rPr>
                <w:rFonts w:ascii="Arial" w:eastAsia="Times New Roman" w:hAnsi="Arial" w:cs="Arial"/>
                <w:b/>
                <w:bCs/>
                <w:lang w:eastAsia="en-GB"/>
              </w:rPr>
              <w:t xml:space="preserve">Key result </w:t>
            </w:r>
            <w:r w:rsidR="00AF460B" w:rsidRPr="00FD02F8">
              <w:rPr>
                <w:rFonts w:ascii="Arial" w:eastAsia="Times New Roman" w:hAnsi="Arial" w:cs="Arial"/>
                <w:b/>
                <w:bCs/>
                <w:lang w:eastAsia="en-GB"/>
              </w:rPr>
              <w:t>delivered</w:t>
            </w:r>
            <w:r w:rsidR="00F95A74" w:rsidRPr="00FD02F8">
              <w:rPr>
                <w:rFonts w:ascii="Arial" w:eastAsia="Times New Roman" w:hAnsi="Arial" w:cs="Arial"/>
                <w:b/>
                <w:bCs/>
                <w:lang w:eastAsia="en-GB"/>
              </w:rPr>
              <w:t xml:space="preserve"> in Q2</w:t>
            </w:r>
            <w:r w:rsidRPr="00FD02F8">
              <w:rPr>
                <w:rFonts w:ascii="Arial" w:eastAsia="Times New Roman" w:hAnsi="Arial" w:cs="Arial"/>
                <w:lang w:eastAsia="en-GB"/>
              </w:rPr>
              <w:t xml:space="preserve">. </w:t>
            </w:r>
          </w:p>
        </w:tc>
        <w:tc>
          <w:tcPr>
            <w:tcW w:w="500" w:type="pct"/>
            <w:vAlign w:val="center"/>
          </w:tcPr>
          <w:p w14:paraId="65A5FC11" w14:textId="73B89DA2" w:rsidR="0051570C" w:rsidRPr="00FD02F8" w:rsidRDefault="00A7694A" w:rsidP="00C87A36">
            <w:pPr>
              <w:jc w:val="center"/>
              <w:textAlignment w:val="baseline"/>
              <w:rPr>
                <w:rFonts w:ascii="Arial" w:eastAsia="Times New Roman" w:hAnsi="Arial" w:cs="Arial"/>
                <w:lang w:eastAsia="en-GB"/>
              </w:rPr>
            </w:pPr>
            <w:r w:rsidRPr="00FD02F8">
              <w:rPr>
                <w:rFonts w:ascii="Arial" w:eastAsia="Times New Roman" w:hAnsi="Arial" w:cs="Arial"/>
                <w:lang w:eastAsia="en-GB"/>
              </w:rPr>
              <w:t>Delivered</w:t>
            </w:r>
          </w:p>
        </w:tc>
      </w:tr>
      <w:tr w:rsidR="004F793D" w:rsidRPr="00FD02F8" w14:paraId="4D9D1D59" w14:textId="77777777" w:rsidTr="004C3AE2">
        <w:trPr>
          <w:cantSplit/>
          <w:trHeight w:val="16"/>
        </w:trPr>
        <w:tc>
          <w:tcPr>
            <w:tcW w:w="1293" w:type="pct"/>
            <w:vAlign w:val="center"/>
          </w:tcPr>
          <w:p w14:paraId="6CF86002" w14:textId="627B3D13" w:rsidR="0051570C" w:rsidRPr="00FD02F8" w:rsidRDefault="0051570C" w:rsidP="004C3AE2">
            <w:pPr>
              <w:textAlignment w:val="baseline"/>
              <w:rPr>
                <w:rFonts w:ascii="Arial" w:eastAsia="Times New Roman" w:hAnsi="Arial" w:cs="Arial"/>
                <w:lang w:eastAsia="en-GB"/>
              </w:rPr>
            </w:pPr>
            <w:r w:rsidRPr="00FD02F8">
              <w:rPr>
                <w:rFonts w:ascii="Arial" w:hAnsi="Arial" w:cs="Arial"/>
                <w:b/>
                <w:bCs/>
              </w:rPr>
              <w:t xml:space="preserve">KR1.2: </w:t>
            </w:r>
            <w:r w:rsidRPr="00FD02F8">
              <w:rPr>
                <w:rFonts w:ascii="Arial" w:hAnsi="Arial" w:cs="Arial"/>
              </w:rPr>
              <w:t>Direct engagement with three pilot sites, from the list of energy intensive sites.</w:t>
            </w:r>
          </w:p>
        </w:tc>
        <w:tc>
          <w:tcPr>
            <w:tcW w:w="256" w:type="pct"/>
            <w:vAlign w:val="center"/>
          </w:tcPr>
          <w:p w14:paraId="57333C5D" w14:textId="64B4D5BD" w:rsidR="0051570C" w:rsidRPr="00FD02F8" w:rsidRDefault="0051570C" w:rsidP="00C87A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Q3</w:t>
            </w:r>
          </w:p>
        </w:tc>
        <w:tc>
          <w:tcPr>
            <w:tcW w:w="309" w:type="pct"/>
            <w:vAlign w:val="center"/>
          </w:tcPr>
          <w:p w14:paraId="0F880D63" w14:textId="10912F90" w:rsidR="0051570C" w:rsidRPr="00FD02F8" w:rsidRDefault="00A7694A"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vAlign w:val="center"/>
          </w:tcPr>
          <w:p w14:paraId="71764EBA" w14:textId="565D6C0C" w:rsidR="0051570C" w:rsidRPr="00FD02F8" w:rsidRDefault="4FC1550D" w:rsidP="0FB9A58E">
            <w:pPr>
              <w:jc w:val="center"/>
            </w:pPr>
            <w:r w:rsidRPr="00FD02F8">
              <w:rPr>
                <w:rFonts w:ascii="Arial" w:eastAsia="Times New Roman" w:hAnsi="Arial" w:cs="Arial"/>
                <w:lang w:eastAsia="en-GB"/>
              </w:rPr>
              <w:t>0.33</w:t>
            </w:r>
          </w:p>
        </w:tc>
        <w:tc>
          <w:tcPr>
            <w:tcW w:w="309" w:type="pct"/>
            <w:vAlign w:val="center"/>
          </w:tcPr>
          <w:p w14:paraId="62B72583" w14:textId="58833104" w:rsidR="0051570C" w:rsidRPr="00FD02F8" w:rsidRDefault="00AE5568" w:rsidP="00C87A36">
            <w:pPr>
              <w:jc w:val="center"/>
              <w:textAlignment w:val="baseline"/>
              <w:rPr>
                <w:rFonts w:asciiTheme="majorHAnsi" w:eastAsia="Times New Roman" w:hAnsiTheme="majorHAnsi" w:cstheme="majorHAnsi"/>
                <w:highlight w:val="yellow"/>
                <w:lang w:eastAsia="en-GB"/>
              </w:rPr>
            </w:pPr>
            <w:r w:rsidRPr="00FD02F8">
              <w:rPr>
                <w:rFonts w:asciiTheme="majorHAnsi" w:eastAsia="Times New Roman" w:hAnsiTheme="majorHAnsi" w:cstheme="majorHAnsi"/>
                <w:lang w:eastAsia="en-GB"/>
              </w:rPr>
              <w:t>1</w:t>
            </w:r>
          </w:p>
        </w:tc>
        <w:tc>
          <w:tcPr>
            <w:tcW w:w="309" w:type="pct"/>
            <w:vAlign w:val="center"/>
          </w:tcPr>
          <w:p w14:paraId="2726FAD1" w14:textId="16AD7977" w:rsidR="0051570C" w:rsidRPr="00FD02F8" w:rsidRDefault="0051570C"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vAlign w:val="center"/>
          </w:tcPr>
          <w:p w14:paraId="1D70F0CE" w14:textId="7E87DC92" w:rsidR="0051570C" w:rsidRPr="00FD02F8" w:rsidRDefault="0084585C" w:rsidP="0FB9A58E">
            <w:pPr>
              <w:jc w:val="center"/>
              <w:textAlignment w:val="baseline"/>
              <w:rPr>
                <w:b/>
                <w:bCs/>
                <w:i/>
                <w:iCs/>
                <w:color w:val="016574" w:themeColor="accent2"/>
                <w:highlight w:val="yellow"/>
              </w:rPr>
            </w:pPr>
            <w:r w:rsidRPr="00FD02F8">
              <w:rPr>
                <w:noProof/>
              </w:rPr>
              <w:drawing>
                <wp:inline distT="0" distB="0" distL="0" distR="0" wp14:anchorId="3D25BE2E" wp14:editId="6BFDCF56">
                  <wp:extent cx="463550" cy="463550"/>
                  <wp:effectExtent l="0" t="0" r="0" b="0"/>
                  <wp:docPr id="912174148"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74" w:type="pct"/>
            <w:vAlign w:val="center"/>
          </w:tcPr>
          <w:p w14:paraId="2702E29F" w14:textId="5883E870" w:rsidR="006A69F0" w:rsidRPr="00FD02F8" w:rsidRDefault="001928A7" w:rsidP="00C87A36">
            <w:pPr>
              <w:textAlignment w:val="baseline"/>
              <w:rPr>
                <w:rFonts w:ascii="Arial" w:eastAsia="Times New Roman" w:hAnsi="Arial" w:cs="Arial"/>
                <w:highlight w:val="yellow"/>
                <w:lang w:eastAsia="en-GB"/>
              </w:rPr>
            </w:pPr>
            <w:r w:rsidRPr="00FD02F8">
              <w:rPr>
                <w:rFonts w:ascii="Arial" w:eastAsia="Times New Roman" w:hAnsi="Arial" w:cs="Arial"/>
                <w:lang w:eastAsia="en-GB"/>
              </w:rPr>
              <w:t xml:space="preserve">We have had direct engagement with </w:t>
            </w:r>
            <w:r w:rsidR="00226007" w:rsidRPr="00FD02F8">
              <w:rPr>
                <w:rFonts w:ascii="Arial" w:eastAsia="Times New Roman" w:hAnsi="Arial" w:cs="Arial"/>
                <w:lang w:eastAsia="en-GB"/>
              </w:rPr>
              <w:t xml:space="preserve">the </w:t>
            </w:r>
            <w:r w:rsidRPr="00FD02F8">
              <w:rPr>
                <w:rFonts w:ascii="Arial" w:eastAsia="Times New Roman" w:hAnsi="Arial" w:cs="Arial"/>
                <w:lang w:eastAsia="en-GB"/>
              </w:rPr>
              <w:t xml:space="preserve">three pilot sites. Two from our list of energy intensive sites and </w:t>
            </w:r>
            <w:r w:rsidR="00C934D4" w:rsidRPr="00FD02F8">
              <w:rPr>
                <w:rFonts w:ascii="Arial" w:eastAsia="Times New Roman" w:hAnsi="Arial" w:cs="Arial"/>
                <w:lang w:eastAsia="en-GB"/>
              </w:rPr>
              <w:t>one</w:t>
            </w:r>
            <w:r w:rsidRPr="00FD02F8">
              <w:rPr>
                <w:rFonts w:ascii="Arial" w:eastAsia="Times New Roman" w:hAnsi="Arial" w:cs="Arial"/>
                <w:lang w:eastAsia="en-GB"/>
              </w:rPr>
              <w:t xml:space="preserve"> as an </w:t>
            </w:r>
            <w:r w:rsidR="00416BDF" w:rsidRPr="00FD02F8">
              <w:rPr>
                <w:rFonts w:ascii="Arial" w:eastAsia="Times New Roman" w:hAnsi="Arial" w:cs="Arial"/>
                <w:lang w:eastAsia="en-GB"/>
              </w:rPr>
              <w:t xml:space="preserve">Outcome Based Collaborative Regulation (OBCR) </w:t>
            </w:r>
            <w:r w:rsidRPr="00FD02F8">
              <w:rPr>
                <w:rFonts w:ascii="Arial" w:eastAsia="Times New Roman" w:hAnsi="Arial" w:cs="Arial"/>
                <w:lang w:eastAsia="en-GB"/>
              </w:rPr>
              <w:t>site. This direct engagement will expand in the next quarter</w:t>
            </w:r>
            <w:r w:rsidR="00903884" w:rsidRPr="00FD02F8">
              <w:rPr>
                <w:rFonts w:ascii="Arial" w:eastAsia="Times New Roman" w:hAnsi="Arial" w:cs="Arial"/>
                <w:lang w:eastAsia="en-GB"/>
              </w:rPr>
              <w:t>.</w:t>
            </w:r>
            <w:r w:rsidRPr="00FD02F8">
              <w:rPr>
                <w:rFonts w:ascii="Arial" w:eastAsia="Times New Roman" w:hAnsi="Arial" w:cs="Arial"/>
                <w:lang w:eastAsia="en-GB"/>
              </w:rPr>
              <w:t xml:space="preserve"> </w:t>
            </w:r>
          </w:p>
          <w:p w14:paraId="10D2D040" w14:textId="06B6922D" w:rsidR="00EF4AF6" w:rsidRPr="00FD02F8" w:rsidRDefault="006A69F0" w:rsidP="00C87A36">
            <w:pPr>
              <w:textAlignment w:val="baseline"/>
              <w:rPr>
                <w:rFonts w:ascii="Arial" w:eastAsia="Times New Roman" w:hAnsi="Arial" w:cs="Arial"/>
                <w:b/>
                <w:highlight w:val="yellow"/>
                <w:lang w:eastAsia="en-GB"/>
              </w:rPr>
            </w:pPr>
            <w:r w:rsidRPr="00FD02F8">
              <w:rPr>
                <w:rFonts w:ascii="Arial" w:eastAsia="Times New Roman" w:hAnsi="Arial" w:cs="Arial"/>
                <w:b/>
                <w:lang w:eastAsia="en-GB"/>
              </w:rPr>
              <w:t>Confidence in forecast: High</w:t>
            </w:r>
          </w:p>
        </w:tc>
        <w:tc>
          <w:tcPr>
            <w:tcW w:w="500" w:type="pct"/>
            <w:vAlign w:val="center"/>
          </w:tcPr>
          <w:p w14:paraId="028BF0AF" w14:textId="69565204" w:rsidR="0051570C" w:rsidRPr="00FD02F8" w:rsidRDefault="00A7694A" w:rsidP="00C87A36">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r w:rsidR="004F793D" w:rsidRPr="00FD02F8" w14:paraId="28D62A98" w14:textId="77777777" w:rsidTr="00605D02">
        <w:trPr>
          <w:cantSplit/>
          <w:trHeight w:val="16"/>
        </w:trPr>
        <w:tc>
          <w:tcPr>
            <w:tcW w:w="1293" w:type="pct"/>
          </w:tcPr>
          <w:p w14:paraId="42338223" w14:textId="79C4AFFA" w:rsidR="0051570C" w:rsidRPr="00FD02F8" w:rsidRDefault="0051570C" w:rsidP="00C87A36">
            <w:pPr>
              <w:textAlignment w:val="baseline"/>
              <w:rPr>
                <w:rFonts w:ascii="Arial" w:eastAsia="Times New Roman" w:hAnsi="Arial" w:cs="Arial"/>
                <w:lang w:eastAsia="en-GB"/>
              </w:rPr>
            </w:pPr>
            <w:r w:rsidRPr="00FD02F8">
              <w:rPr>
                <w:rFonts w:ascii="Arial" w:hAnsi="Arial" w:cs="Arial"/>
                <w:b/>
                <w:bCs/>
              </w:rPr>
              <w:lastRenderedPageBreak/>
              <w:t xml:space="preserve">KR1.3: </w:t>
            </w:r>
            <w:r w:rsidRPr="00FD02F8">
              <w:rPr>
                <w:rFonts w:ascii="Arial" w:hAnsi="Arial" w:cs="Arial"/>
              </w:rPr>
              <w:t>Deliver options assessment of regulatory approaches in relation to energy efficiency and industrial decarbonisation.</w:t>
            </w:r>
          </w:p>
        </w:tc>
        <w:tc>
          <w:tcPr>
            <w:tcW w:w="256" w:type="pct"/>
            <w:vAlign w:val="center"/>
          </w:tcPr>
          <w:p w14:paraId="5D8F7827" w14:textId="099FF725" w:rsidR="0051570C" w:rsidRPr="00FD02F8" w:rsidRDefault="0051570C" w:rsidP="00C87A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Q4</w:t>
            </w:r>
          </w:p>
        </w:tc>
        <w:tc>
          <w:tcPr>
            <w:tcW w:w="309" w:type="pct"/>
            <w:vAlign w:val="center"/>
          </w:tcPr>
          <w:p w14:paraId="4D1455ED" w14:textId="1744D73F" w:rsidR="0051570C" w:rsidRPr="00FD02F8" w:rsidRDefault="003044A7"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vAlign w:val="center"/>
          </w:tcPr>
          <w:p w14:paraId="20313D71" w14:textId="698F878C" w:rsidR="0051570C" w:rsidRPr="00FD02F8" w:rsidRDefault="113177AC" w:rsidP="0FB9A58E">
            <w:pPr>
              <w:jc w:val="center"/>
            </w:pPr>
            <w:r w:rsidRPr="00FD02F8">
              <w:rPr>
                <w:rFonts w:ascii="Arial" w:eastAsia="Times New Roman" w:hAnsi="Arial" w:cs="Arial"/>
                <w:lang w:eastAsia="en-GB"/>
              </w:rPr>
              <w:t>N/A</w:t>
            </w:r>
          </w:p>
        </w:tc>
        <w:tc>
          <w:tcPr>
            <w:tcW w:w="309" w:type="pct"/>
            <w:vAlign w:val="center"/>
          </w:tcPr>
          <w:p w14:paraId="1C0ED173" w14:textId="137D1E7F" w:rsidR="0051570C" w:rsidRPr="00FD02F8" w:rsidRDefault="005D58F5" w:rsidP="00C87A36">
            <w:pPr>
              <w:jc w:val="center"/>
              <w:textAlignment w:val="baseline"/>
              <w:rPr>
                <w:rFonts w:asciiTheme="majorHAnsi" w:eastAsia="Times New Roman" w:hAnsiTheme="majorHAnsi" w:cstheme="majorHAnsi"/>
                <w:highlight w:val="yellow"/>
                <w:lang w:eastAsia="en-GB"/>
              </w:rPr>
            </w:pPr>
            <w:r w:rsidRPr="00FD02F8">
              <w:rPr>
                <w:rFonts w:ascii="Arial" w:eastAsia="Times New Roman" w:hAnsi="Arial" w:cs="Arial"/>
                <w:lang w:eastAsia="en-GB"/>
              </w:rPr>
              <w:t>N/A</w:t>
            </w:r>
          </w:p>
        </w:tc>
        <w:tc>
          <w:tcPr>
            <w:tcW w:w="309" w:type="pct"/>
            <w:vAlign w:val="center"/>
          </w:tcPr>
          <w:p w14:paraId="7F85E17F" w14:textId="3A6FE5F6" w:rsidR="0051570C" w:rsidRPr="00FD02F8" w:rsidRDefault="0051570C" w:rsidP="00C87A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vAlign w:val="center"/>
          </w:tcPr>
          <w:p w14:paraId="4E28B23B" w14:textId="3520C3C1" w:rsidR="0051570C" w:rsidRPr="00FD02F8" w:rsidRDefault="27C4B13A" w:rsidP="0FB9A58E">
            <w:pPr>
              <w:jc w:val="center"/>
              <w:textAlignment w:val="baseline"/>
              <w:rPr>
                <w:b/>
                <w:bCs/>
                <w:i/>
                <w:iCs/>
                <w:color w:val="016574" w:themeColor="accent2"/>
              </w:rPr>
            </w:pPr>
            <w:r w:rsidRPr="00FD02F8">
              <w:rPr>
                <w:noProof/>
              </w:rPr>
              <w:drawing>
                <wp:inline distT="0" distB="0" distL="0" distR="0" wp14:anchorId="772CF692" wp14:editId="1E30372A">
                  <wp:extent cx="473075" cy="481433"/>
                  <wp:effectExtent l="0" t="0" r="0" b="0"/>
                  <wp:docPr id="1167157546"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433"/>
                          </a:xfrm>
                          <a:prstGeom prst="rect">
                            <a:avLst/>
                          </a:prstGeom>
                        </pic:spPr>
                      </pic:pic>
                    </a:graphicData>
                  </a:graphic>
                </wp:inline>
              </w:drawing>
            </w:r>
          </w:p>
        </w:tc>
        <w:tc>
          <w:tcPr>
            <w:tcW w:w="1374" w:type="pct"/>
            <w:vAlign w:val="center"/>
          </w:tcPr>
          <w:p w14:paraId="5B794CA6" w14:textId="45D1B359" w:rsidR="00B97DED" w:rsidRPr="00FD02F8" w:rsidRDefault="00B52029" w:rsidP="00C87A36">
            <w:pPr>
              <w:textAlignment w:val="baseline"/>
              <w:rPr>
                <w:rFonts w:ascii="Arial" w:eastAsia="Times New Roman" w:hAnsi="Arial" w:cs="Arial"/>
                <w:lang w:eastAsia="en-GB"/>
              </w:rPr>
            </w:pPr>
            <w:r w:rsidRPr="00FD02F8">
              <w:rPr>
                <w:rFonts w:ascii="Arial" w:eastAsia="Times New Roman" w:hAnsi="Arial" w:cs="Arial"/>
                <w:lang w:eastAsia="en-GB"/>
              </w:rPr>
              <w:t>The report outlining the results of our work with the pilot sites will be developed in Quarter 4</w:t>
            </w:r>
            <w:r w:rsidR="00CC5C6F" w:rsidRPr="00FD02F8">
              <w:rPr>
                <w:rFonts w:ascii="Arial" w:eastAsia="Times New Roman" w:hAnsi="Arial" w:cs="Arial"/>
                <w:lang w:eastAsia="en-GB"/>
              </w:rPr>
              <w:t>.</w:t>
            </w:r>
            <w:r w:rsidRPr="00FD02F8">
              <w:rPr>
                <w:rFonts w:ascii="Arial" w:eastAsia="Times New Roman" w:hAnsi="Arial" w:cs="Arial"/>
                <w:lang w:eastAsia="en-GB"/>
              </w:rPr>
              <w:t xml:space="preserve"> </w:t>
            </w:r>
            <w:r w:rsidR="007A7B43" w:rsidRPr="00FD02F8">
              <w:rPr>
                <w:rFonts w:ascii="Arial" w:eastAsia="Times New Roman" w:hAnsi="Arial" w:cs="Arial"/>
                <w:lang w:eastAsia="en-GB"/>
              </w:rPr>
              <w:t>We will report</w:t>
            </w:r>
            <w:r w:rsidR="2D9A9581" w:rsidRPr="00FD02F8">
              <w:rPr>
                <w:rFonts w:ascii="Arial" w:eastAsia="Times New Roman" w:hAnsi="Arial" w:cs="Arial"/>
                <w:lang w:eastAsia="en-GB"/>
              </w:rPr>
              <w:t xml:space="preserve"> to </w:t>
            </w:r>
            <w:r w:rsidR="007A7B43" w:rsidRPr="00FD02F8">
              <w:rPr>
                <w:rFonts w:ascii="Arial" w:eastAsia="Times New Roman" w:hAnsi="Arial" w:cs="Arial"/>
                <w:lang w:eastAsia="en-GB"/>
              </w:rPr>
              <w:t>the</w:t>
            </w:r>
            <w:r w:rsidR="2D9A9581" w:rsidRPr="00FD02F8">
              <w:rPr>
                <w:rFonts w:ascii="Arial" w:eastAsia="Times New Roman" w:hAnsi="Arial" w:cs="Arial"/>
                <w:lang w:eastAsia="en-GB"/>
              </w:rPr>
              <w:t xml:space="preserve"> </w:t>
            </w:r>
            <w:r w:rsidR="00A32685" w:rsidRPr="00FD02F8">
              <w:rPr>
                <w:rFonts w:ascii="Arial" w:eastAsia="Times New Roman" w:hAnsi="Arial" w:cs="Arial"/>
                <w:lang w:eastAsia="en-GB"/>
              </w:rPr>
              <w:t>Regulation, Business and Environment Management Team</w:t>
            </w:r>
            <w:r w:rsidR="2D9A9581" w:rsidRPr="00FD02F8">
              <w:rPr>
                <w:rFonts w:ascii="Arial" w:eastAsia="Times New Roman" w:hAnsi="Arial" w:cs="Arial"/>
                <w:lang w:eastAsia="en-GB"/>
              </w:rPr>
              <w:t xml:space="preserve"> at the end of </w:t>
            </w:r>
            <w:r w:rsidR="00A6318E" w:rsidRPr="00FD02F8">
              <w:rPr>
                <w:rFonts w:ascii="Arial" w:eastAsia="Times New Roman" w:hAnsi="Arial" w:cs="Arial"/>
                <w:lang w:eastAsia="en-GB"/>
              </w:rPr>
              <w:t>Q</w:t>
            </w:r>
            <w:r w:rsidR="2D9A9581" w:rsidRPr="00FD02F8">
              <w:rPr>
                <w:rFonts w:ascii="Arial" w:eastAsia="Times New Roman" w:hAnsi="Arial" w:cs="Arial"/>
                <w:lang w:eastAsia="en-GB"/>
              </w:rPr>
              <w:t>4</w:t>
            </w:r>
            <w:r w:rsidR="00C40954" w:rsidRPr="00FD02F8">
              <w:rPr>
                <w:rFonts w:ascii="Arial" w:eastAsia="Times New Roman" w:hAnsi="Arial" w:cs="Arial"/>
                <w:lang w:eastAsia="en-GB"/>
              </w:rPr>
              <w:t>.</w:t>
            </w:r>
            <w:r w:rsidR="007A7B43" w:rsidRPr="00FD02F8">
              <w:rPr>
                <w:rFonts w:ascii="Arial" w:eastAsia="Times New Roman" w:hAnsi="Arial" w:cs="Arial"/>
                <w:lang w:eastAsia="en-GB"/>
              </w:rPr>
              <w:t xml:space="preserve"> </w:t>
            </w:r>
          </w:p>
          <w:p w14:paraId="0A4A6D42" w14:textId="14B0BE18" w:rsidR="00C40954" w:rsidRPr="00FD02F8" w:rsidRDefault="00C40954" w:rsidP="00C87A36">
            <w:pPr>
              <w:textAlignment w:val="baseline"/>
              <w:rPr>
                <w:rFonts w:ascii="Arial" w:eastAsia="Times New Roman" w:hAnsi="Arial" w:cs="Arial"/>
                <w:b/>
                <w:lang w:eastAsia="en-GB"/>
              </w:rPr>
            </w:pPr>
            <w:r w:rsidRPr="00FD02F8">
              <w:rPr>
                <w:rFonts w:ascii="Arial" w:eastAsia="Times New Roman" w:hAnsi="Arial" w:cs="Arial"/>
                <w:b/>
                <w:lang w:eastAsia="en-GB"/>
              </w:rPr>
              <w:t>Confidence in forecast: High</w:t>
            </w:r>
          </w:p>
        </w:tc>
        <w:tc>
          <w:tcPr>
            <w:tcW w:w="500" w:type="pct"/>
            <w:vAlign w:val="center"/>
          </w:tcPr>
          <w:p w14:paraId="644E3F10" w14:textId="2F955C77" w:rsidR="0051570C" w:rsidRPr="00FD02F8" w:rsidRDefault="00A7694A" w:rsidP="00C87A36">
            <w:pPr>
              <w:jc w:val="center"/>
              <w:textAlignment w:val="baseline"/>
              <w:rPr>
                <w:rFonts w:ascii="Arial" w:eastAsia="Times New Roman" w:hAnsi="Arial" w:cs="Arial"/>
                <w:szCs w:val="28"/>
                <w:highlight w:val="yellow"/>
                <w:lang w:eastAsia="en-GB"/>
              </w:rPr>
            </w:pPr>
            <w:r w:rsidRPr="00FD02F8">
              <w:rPr>
                <w:rFonts w:ascii="Arial" w:eastAsia="Times New Roman" w:hAnsi="Arial" w:cs="Arial"/>
                <w:lang w:eastAsia="en-GB"/>
              </w:rPr>
              <w:t>Delivered</w:t>
            </w:r>
          </w:p>
        </w:tc>
      </w:tr>
    </w:tbl>
    <w:p w14:paraId="6C544B75" w14:textId="108786B6" w:rsidR="00E5386A" w:rsidRPr="00FD02F8" w:rsidRDefault="00BB2E07" w:rsidP="00000519">
      <w:pPr>
        <w:spacing w:before="240" w:after="120"/>
        <w:rPr>
          <w:sz w:val="28"/>
          <w:szCs w:val="28"/>
        </w:rPr>
      </w:pPr>
      <w:r w:rsidRPr="00FD02F8">
        <w:rPr>
          <w:b/>
          <w:bCs/>
          <w:sz w:val="28"/>
          <w:szCs w:val="28"/>
        </w:rPr>
        <w:t>Overall objective score</w:t>
      </w:r>
      <w:r w:rsidRPr="00FD02F8">
        <w:rPr>
          <w:sz w:val="28"/>
          <w:szCs w:val="28"/>
        </w:rPr>
        <w:t xml:space="preserve"> =</w:t>
      </w:r>
      <w:r w:rsidRPr="00FD02F8">
        <w:rPr>
          <w:color w:val="016574" w:themeColor="accent2"/>
          <w:sz w:val="28"/>
          <w:szCs w:val="28"/>
        </w:rPr>
        <w:t xml:space="preserve"> </w:t>
      </w:r>
      <w:r w:rsidR="00C85A06" w:rsidRPr="00FD02F8">
        <w:rPr>
          <w:sz w:val="28"/>
          <w:szCs w:val="28"/>
        </w:rPr>
        <w:t>1</w:t>
      </w:r>
    </w:p>
    <w:p w14:paraId="7EAAF18A" w14:textId="77777777" w:rsidR="005D64FD" w:rsidRPr="00FD02F8" w:rsidRDefault="00D5386D" w:rsidP="00E53135">
      <w:pPr>
        <w:pStyle w:val="Heading3"/>
        <w:spacing w:before="120" w:after="120"/>
        <w:rPr>
          <w:color w:val="016574"/>
          <w:sz w:val="32"/>
          <w:szCs w:val="32"/>
        </w:rPr>
      </w:pPr>
      <w:r w:rsidRPr="00FD02F8">
        <w:rPr>
          <w:color w:val="016574" w:themeColor="accent2"/>
          <w:sz w:val="32"/>
          <w:szCs w:val="32"/>
        </w:rPr>
        <w:lastRenderedPageBreak/>
        <w:t>N</w:t>
      </w:r>
      <w:r w:rsidR="005D64FD" w:rsidRPr="00FD02F8">
        <w:rPr>
          <w:color w:val="016574" w:themeColor="accent2"/>
          <w:sz w:val="32"/>
          <w:szCs w:val="32"/>
        </w:rPr>
        <w:t xml:space="preserve">Z OKR02: </w:t>
      </w:r>
      <w:r w:rsidR="00873907" w:rsidRPr="00FD02F8">
        <w:rPr>
          <w:color w:val="016574" w:themeColor="accent2"/>
          <w:sz w:val="32"/>
          <w:szCs w:val="32"/>
        </w:rPr>
        <w:t>Transform our workspaces and fleet to minimise emissions, reduce costs and move to co-located workspaces by default and zero emissions fleet by 2030.</w:t>
      </w:r>
    </w:p>
    <w:p w14:paraId="4CB34A03" w14:textId="7FC3A34E" w:rsidR="00E64946" w:rsidRPr="00FD02F8" w:rsidRDefault="00F94FCE" w:rsidP="0075244C">
      <w:pPr>
        <w:spacing w:before="240"/>
      </w:pPr>
      <w:r>
        <w:rPr>
          <w:noProof/>
        </w:rPr>
        <w:drawing>
          <wp:inline distT="0" distB="0" distL="0" distR="0" wp14:anchorId="0F5CE9DD" wp14:editId="77B278AA">
            <wp:extent cx="9505507" cy="3476846"/>
            <wp:effectExtent l="0" t="0" r="635" b="9525"/>
            <wp:docPr id="1150925796" name="Chart 1" descr="This is a bar graph which shows the score of each key result for OKR02 over each quarter. &#10;There is a line on the score scale of 0.7 to represent whether the KR is being delivered. There is another line on the score scale of 0.3 to represent whether measurable progress has been made in the quarter.&#10;For Q1, KR2.1 scored 1.&#10;KR2.2 and KR2.4 scored 0.&#10;and KR2.3 had no score as this will be progressed later in the year.&#10;&#10;For Q2, KR2.1 scored 1.&#10;KR2.2, KR2.3 and KR2.4 scored 0.&#10;&#10;For Q3, KR2.1 scored 1.&#10;KR2.2 and KR2.3 scored 0.&#10;KR2.4 scored 1.">
              <a:extLst xmlns:a="http://schemas.openxmlformats.org/drawingml/2006/main">
                <a:ext uri="{FF2B5EF4-FFF2-40B4-BE49-F238E27FC236}">
                  <a16:creationId xmlns:a16="http://schemas.microsoft.com/office/drawing/2014/main" id="{3D770A8A-454D-484E-AF9D-CDB04E93D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364C4A3" w14:textId="77777777" w:rsidR="00A519D1" w:rsidRPr="00FD02F8" w:rsidRDefault="00A519D1" w:rsidP="0075244C">
      <w:pPr>
        <w:spacing w:before="240"/>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2 key result summary"/>
        <w:tblDescription w:val="Quarterly summary for each of the four key results under OKR2. This includes the date due, Q3 score, Q3 status, Q3 commentary and annual forecast for each key result."/>
      </w:tblPr>
      <w:tblGrid>
        <w:gridCol w:w="3857"/>
        <w:gridCol w:w="755"/>
        <w:gridCol w:w="915"/>
        <w:gridCol w:w="915"/>
        <w:gridCol w:w="915"/>
        <w:gridCol w:w="915"/>
        <w:gridCol w:w="960"/>
        <w:gridCol w:w="4374"/>
        <w:gridCol w:w="1352"/>
      </w:tblGrid>
      <w:tr w:rsidR="004826F0" w:rsidRPr="00FD02F8" w14:paraId="0C600C52" w14:textId="77777777" w:rsidTr="00934B63">
        <w:trPr>
          <w:cantSplit/>
          <w:trHeight w:val="640"/>
          <w:tblHeader/>
        </w:trPr>
        <w:tc>
          <w:tcPr>
            <w:tcW w:w="1289" w:type="pct"/>
            <w:tcBorders>
              <w:bottom w:val="single" w:sz="8" w:space="0" w:color="auto"/>
            </w:tcBorders>
            <w:shd w:val="clear" w:color="auto" w:fill="016574" w:themeFill="accent2"/>
          </w:tcPr>
          <w:p w14:paraId="11BD8106" w14:textId="77777777" w:rsidR="00AE50BF" w:rsidRPr="00FD02F8" w:rsidRDefault="00AE50BF">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52" w:type="pct"/>
            <w:tcBorders>
              <w:bottom w:val="single" w:sz="8" w:space="0" w:color="auto"/>
            </w:tcBorders>
            <w:shd w:val="clear" w:color="auto" w:fill="016574" w:themeFill="accent2"/>
          </w:tcPr>
          <w:p w14:paraId="2E0B832B" w14:textId="77777777" w:rsidR="00AE50BF" w:rsidRPr="00FD02F8" w:rsidRDefault="00AE50BF">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06" w:type="pct"/>
            <w:tcBorders>
              <w:bottom w:val="single" w:sz="8" w:space="0" w:color="auto"/>
            </w:tcBorders>
            <w:shd w:val="clear" w:color="auto" w:fill="016574" w:themeFill="accent2"/>
          </w:tcPr>
          <w:p w14:paraId="0AB3E71C" w14:textId="77777777" w:rsidR="00AE50BF" w:rsidRPr="00FD02F8" w:rsidRDefault="00AE50BF">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6" w:type="pct"/>
            <w:tcBorders>
              <w:bottom w:val="single" w:sz="8" w:space="0" w:color="auto"/>
            </w:tcBorders>
            <w:shd w:val="clear" w:color="auto" w:fill="016574" w:themeFill="accent2"/>
          </w:tcPr>
          <w:p w14:paraId="32B5D286" w14:textId="77777777" w:rsidR="00AE50BF" w:rsidRPr="00FD02F8" w:rsidRDefault="00AE50BF">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6" w:type="pct"/>
            <w:tcBorders>
              <w:bottom w:val="single" w:sz="8" w:space="0" w:color="auto"/>
            </w:tcBorders>
            <w:shd w:val="clear" w:color="auto" w:fill="016574" w:themeFill="accent2"/>
          </w:tcPr>
          <w:p w14:paraId="045A1EBF" w14:textId="77777777" w:rsidR="00AE50BF" w:rsidRPr="00FD02F8" w:rsidRDefault="00AE50BF">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6" w:type="pct"/>
            <w:tcBorders>
              <w:bottom w:val="single" w:sz="8" w:space="0" w:color="auto"/>
            </w:tcBorders>
            <w:shd w:val="clear" w:color="auto" w:fill="016574" w:themeFill="accent2"/>
          </w:tcPr>
          <w:p w14:paraId="105A447B" w14:textId="77777777" w:rsidR="00AE50BF" w:rsidRPr="00FD02F8" w:rsidRDefault="00AE50BF">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21" w:type="pct"/>
            <w:tcBorders>
              <w:bottom w:val="single" w:sz="8" w:space="0" w:color="auto"/>
            </w:tcBorders>
            <w:shd w:val="clear" w:color="auto" w:fill="016574" w:themeFill="accent2"/>
          </w:tcPr>
          <w:p w14:paraId="7201D3E9" w14:textId="779DC128" w:rsidR="00AE50BF" w:rsidRPr="00FD02F8" w:rsidRDefault="00AE50BF">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36CB4" w:rsidRPr="00FD02F8">
              <w:rPr>
                <w:rFonts w:ascii="Arial" w:eastAsia="MS PGothic" w:hAnsi="Arial" w:cs="Arial"/>
                <w:b/>
                <w:bCs/>
                <w:color w:val="FFFFFF"/>
              </w:rPr>
              <w:t>3</w:t>
            </w:r>
            <w:r w:rsidR="007B42BA" w:rsidRPr="00FD02F8">
              <w:rPr>
                <w:rFonts w:ascii="Arial" w:eastAsia="MS PGothic" w:hAnsi="Arial" w:cs="Arial"/>
                <w:b/>
                <w:bCs/>
                <w:color w:val="FFFFFF"/>
              </w:rPr>
              <w:t xml:space="preserve"> </w:t>
            </w:r>
            <w:r w:rsidRPr="00FD02F8">
              <w:rPr>
                <w:rFonts w:ascii="Arial" w:eastAsia="MS PGothic" w:hAnsi="Arial" w:cs="Arial"/>
                <w:b/>
                <w:bCs/>
                <w:color w:val="FFFFFF"/>
              </w:rPr>
              <w:t>Status</w:t>
            </w:r>
          </w:p>
        </w:tc>
        <w:tc>
          <w:tcPr>
            <w:tcW w:w="1462" w:type="pct"/>
            <w:tcBorders>
              <w:bottom w:val="single" w:sz="8" w:space="0" w:color="auto"/>
            </w:tcBorders>
            <w:shd w:val="clear" w:color="auto" w:fill="016574" w:themeFill="accent2"/>
          </w:tcPr>
          <w:p w14:paraId="4B2B7872" w14:textId="239892FF" w:rsidR="00AE50BF" w:rsidRPr="00FD02F8" w:rsidRDefault="00AE50BF">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36CB4"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 xml:space="preserve"> commentary</w:t>
            </w:r>
          </w:p>
        </w:tc>
        <w:tc>
          <w:tcPr>
            <w:tcW w:w="453" w:type="pct"/>
            <w:tcBorders>
              <w:bottom w:val="single" w:sz="8" w:space="0" w:color="auto"/>
            </w:tcBorders>
            <w:shd w:val="clear" w:color="auto" w:fill="016574" w:themeFill="accent2"/>
          </w:tcPr>
          <w:p w14:paraId="5DB88F58" w14:textId="77777777" w:rsidR="00AE50BF" w:rsidRPr="00FD02F8" w:rsidRDefault="00AE50BF">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4826F0" w:rsidRPr="00FD02F8" w14:paraId="0FB2EB00" w14:textId="77777777" w:rsidTr="00934B63">
        <w:trPr>
          <w:cantSplit/>
          <w:trHeight w:val="20"/>
        </w:trPr>
        <w:tc>
          <w:tcPr>
            <w:tcW w:w="1289" w:type="pct"/>
            <w:tcBorders>
              <w:top w:val="single" w:sz="8" w:space="0" w:color="auto"/>
              <w:left w:val="single" w:sz="8" w:space="0" w:color="auto"/>
              <w:bottom w:val="single" w:sz="8" w:space="0" w:color="auto"/>
              <w:right w:val="single" w:sz="8" w:space="0" w:color="auto"/>
            </w:tcBorders>
            <w:vAlign w:val="center"/>
          </w:tcPr>
          <w:p w14:paraId="5BC56819" w14:textId="5415D4CB" w:rsidR="00A07F72" w:rsidRPr="00FD02F8" w:rsidRDefault="00A07F72" w:rsidP="00C96F36">
            <w:pPr>
              <w:textAlignment w:val="baseline"/>
              <w:rPr>
                <w:rFonts w:ascii="Arial" w:eastAsia="Times New Roman" w:hAnsi="Arial" w:cs="Arial"/>
                <w:lang w:eastAsia="en-GB"/>
              </w:rPr>
            </w:pPr>
            <w:r w:rsidRPr="00FD02F8">
              <w:rPr>
                <w:rFonts w:ascii="Arial" w:hAnsi="Arial" w:cs="Arial"/>
                <w:b/>
                <w:bCs/>
                <w:color w:val="000000"/>
              </w:rPr>
              <w:t>KR 2.1</w:t>
            </w:r>
            <w:r w:rsidRPr="00FD02F8">
              <w:rPr>
                <w:rFonts w:ascii="Arial" w:hAnsi="Arial" w:cs="Arial"/>
                <w:color w:val="000000"/>
              </w:rPr>
              <w:t xml:space="preserve">: Launch </w:t>
            </w:r>
            <w:r w:rsidR="00437530" w:rsidRPr="00FD02F8">
              <w:rPr>
                <w:rFonts w:ascii="Arial" w:hAnsi="Arial" w:cs="Arial"/>
                <w:color w:val="000000"/>
              </w:rPr>
              <w:t xml:space="preserve">strategic approach to </w:t>
            </w:r>
            <w:r w:rsidRPr="00FD02F8">
              <w:rPr>
                <w:rFonts w:ascii="Arial" w:hAnsi="Arial" w:cs="Arial"/>
                <w:color w:val="000000"/>
              </w:rPr>
              <w:t xml:space="preserve">our Fleet, working to reduce emissions in our owned vehicle fleet. </w:t>
            </w:r>
          </w:p>
        </w:tc>
        <w:tc>
          <w:tcPr>
            <w:tcW w:w="252" w:type="pct"/>
            <w:tcBorders>
              <w:top w:val="single" w:sz="8" w:space="0" w:color="auto"/>
              <w:left w:val="single" w:sz="8" w:space="0" w:color="auto"/>
              <w:bottom w:val="single" w:sz="8" w:space="0" w:color="auto"/>
              <w:right w:val="single" w:sz="8" w:space="0" w:color="auto"/>
            </w:tcBorders>
            <w:vAlign w:val="center"/>
          </w:tcPr>
          <w:p w14:paraId="3F377DC5" w14:textId="277E3AAC" w:rsidR="00A07F72" w:rsidRPr="00FD02F8" w:rsidRDefault="771AA1FC" w:rsidP="0FB9A58E">
            <w:pPr>
              <w:jc w:val="center"/>
              <w:textAlignment w:val="baseline"/>
              <w:rPr>
                <w:rFonts w:asciiTheme="majorHAnsi" w:eastAsia="Times New Roman" w:hAnsiTheme="majorHAnsi" w:cstheme="majorBidi"/>
                <w:lang w:eastAsia="en-GB"/>
              </w:rPr>
            </w:pPr>
            <w:r w:rsidRPr="00FD02F8">
              <w:rPr>
                <w:rFonts w:asciiTheme="majorHAnsi" w:eastAsia="Times New Roman" w:hAnsiTheme="majorHAnsi" w:cstheme="majorBidi"/>
                <w:lang w:eastAsia="en-GB"/>
              </w:rPr>
              <w:t>Q1</w:t>
            </w:r>
          </w:p>
        </w:tc>
        <w:tc>
          <w:tcPr>
            <w:tcW w:w="306" w:type="pct"/>
            <w:tcBorders>
              <w:top w:val="single" w:sz="8" w:space="0" w:color="auto"/>
              <w:left w:val="single" w:sz="8" w:space="0" w:color="auto"/>
              <w:bottom w:val="single" w:sz="8" w:space="0" w:color="auto"/>
              <w:right w:val="single" w:sz="8" w:space="0" w:color="auto"/>
            </w:tcBorders>
            <w:vAlign w:val="center"/>
          </w:tcPr>
          <w:p w14:paraId="4EE0BD9D" w14:textId="24F36B28" w:rsidR="00A07F72" w:rsidRPr="00FD02F8" w:rsidRDefault="11102EBB" w:rsidP="0FB9A58E">
            <w:pPr>
              <w:jc w:val="center"/>
              <w:textAlignment w:val="baseline"/>
              <w:rPr>
                <w:rFonts w:asciiTheme="majorHAnsi" w:eastAsia="Times New Roman" w:hAnsiTheme="majorHAnsi" w:cstheme="majorBidi"/>
                <w:lang w:eastAsia="en-GB"/>
              </w:rPr>
            </w:pPr>
            <w:r w:rsidRPr="00FD02F8">
              <w:rPr>
                <w:rFonts w:asciiTheme="majorHAnsi" w:eastAsia="Times New Roman" w:hAnsiTheme="majorHAnsi" w:cstheme="majorBidi"/>
                <w:lang w:eastAsia="en-GB"/>
              </w:rPr>
              <w:t>1</w:t>
            </w:r>
          </w:p>
        </w:tc>
        <w:tc>
          <w:tcPr>
            <w:tcW w:w="306" w:type="pct"/>
            <w:tcBorders>
              <w:top w:val="single" w:sz="8" w:space="0" w:color="auto"/>
              <w:left w:val="single" w:sz="8" w:space="0" w:color="auto"/>
              <w:bottom w:val="single" w:sz="8" w:space="0" w:color="auto"/>
              <w:right w:val="single" w:sz="8" w:space="0" w:color="auto"/>
            </w:tcBorders>
            <w:vAlign w:val="center"/>
          </w:tcPr>
          <w:p w14:paraId="1ED72214" w14:textId="2638CC87" w:rsidR="00A07F72" w:rsidRPr="00FD02F8" w:rsidRDefault="006B49E9" w:rsidP="0FB9A58E">
            <w:pPr>
              <w:jc w:val="center"/>
            </w:pPr>
            <w:r w:rsidRPr="00FD02F8">
              <w:rPr>
                <w:rFonts w:ascii="Arial" w:eastAsia="Times New Roman" w:hAnsi="Arial" w:cs="Arial"/>
                <w:lang w:eastAsia="en-GB"/>
              </w:rPr>
              <w:t>1</w:t>
            </w:r>
          </w:p>
        </w:tc>
        <w:tc>
          <w:tcPr>
            <w:tcW w:w="306" w:type="pct"/>
            <w:tcBorders>
              <w:top w:val="single" w:sz="8" w:space="0" w:color="auto"/>
              <w:left w:val="single" w:sz="8" w:space="0" w:color="auto"/>
              <w:bottom w:val="single" w:sz="8" w:space="0" w:color="auto"/>
              <w:right w:val="single" w:sz="8" w:space="0" w:color="auto"/>
            </w:tcBorders>
            <w:vAlign w:val="center"/>
          </w:tcPr>
          <w:p w14:paraId="3E431E46" w14:textId="3FF81667" w:rsidR="00A07F72" w:rsidRPr="00FD02F8" w:rsidRDefault="005D58F5" w:rsidP="0FB9A58E">
            <w:pPr>
              <w:jc w:val="center"/>
            </w:pPr>
            <w:r w:rsidRPr="00FD02F8">
              <w:rPr>
                <w:rFonts w:asciiTheme="majorHAnsi" w:eastAsia="Times New Roman" w:hAnsiTheme="majorHAnsi" w:cstheme="majorBidi"/>
                <w:lang w:eastAsia="en-GB"/>
              </w:rPr>
              <w:t>1</w:t>
            </w:r>
          </w:p>
        </w:tc>
        <w:tc>
          <w:tcPr>
            <w:tcW w:w="306" w:type="pct"/>
            <w:tcBorders>
              <w:top w:val="single" w:sz="8" w:space="0" w:color="auto"/>
              <w:left w:val="single" w:sz="8" w:space="0" w:color="auto"/>
              <w:bottom w:val="single" w:sz="8" w:space="0" w:color="auto"/>
              <w:right w:val="single" w:sz="8" w:space="0" w:color="auto"/>
            </w:tcBorders>
            <w:vAlign w:val="center"/>
          </w:tcPr>
          <w:p w14:paraId="2FED486F" w14:textId="451D6A3B" w:rsidR="00A07F72" w:rsidRPr="00FD02F8" w:rsidRDefault="1F95A7F0" w:rsidP="0FB9A58E">
            <w:pPr>
              <w:jc w:val="center"/>
            </w:pPr>
            <w:r w:rsidRPr="00FD02F8">
              <w:rPr>
                <w:rFonts w:asciiTheme="majorHAnsi" w:eastAsia="Times New Roman" w:hAnsiTheme="majorHAnsi" w:cstheme="majorBidi"/>
                <w:lang w:eastAsia="en-GB"/>
              </w:rPr>
              <w:t>-</w:t>
            </w:r>
          </w:p>
        </w:tc>
        <w:tc>
          <w:tcPr>
            <w:tcW w:w="321" w:type="pct"/>
            <w:tcBorders>
              <w:top w:val="single" w:sz="8" w:space="0" w:color="auto"/>
              <w:left w:val="single" w:sz="8" w:space="0" w:color="auto"/>
              <w:bottom w:val="single" w:sz="8" w:space="0" w:color="auto"/>
              <w:right w:val="single" w:sz="8" w:space="0" w:color="auto"/>
            </w:tcBorders>
            <w:vAlign w:val="center"/>
          </w:tcPr>
          <w:p w14:paraId="3D009E78" w14:textId="6E3C15EB" w:rsidR="00A07F72" w:rsidRPr="00FD02F8" w:rsidRDefault="1F95A7F0" w:rsidP="0FB9A58E">
            <w:pPr>
              <w:jc w:val="center"/>
              <w:textAlignment w:val="baseline"/>
              <w:rPr>
                <w:b/>
                <w:bCs/>
                <w:lang w:eastAsia="en-GB"/>
              </w:rPr>
            </w:pPr>
            <w:r w:rsidRPr="00FD02F8">
              <w:rPr>
                <w:noProof/>
              </w:rPr>
              <w:drawing>
                <wp:inline distT="0" distB="0" distL="0" distR="0" wp14:anchorId="1FE9C67A" wp14:editId="17283F25">
                  <wp:extent cx="432000" cy="432000"/>
                  <wp:effectExtent l="0" t="0" r="0" b="0"/>
                  <wp:docPr id="1527287791"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462" w:type="pct"/>
            <w:tcBorders>
              <w:top w:val="single" w:sz="8" w:space="0" w:color="auto"/>
              <w:left w:val="single" w:sz="8" w:space="0" w:color="auto"/>
              <w:bottom w:val="single" w:sz="8" w:space="0" w:color="auto"/>
              <w:right w:val="single" w:sz="8" w:space="0" w:color="auto"/>
            </w:tcBorders>
            <w:vAlign w:val="center"/>
          </w:tcPr>
          <w:p w14:paraId="5BCC3AC2" w14:textId="23454C7D" w:rsidR="00C40954" w:rsidRPr="00FD02F8" w:rsidRDefault="00BB2097" w:rsidP="00C40954">
            <w:pPr>
              <w:textAlignment w:val="baseline"/>
              <w:rPr>
                <w:rFonts w:ascii="Arial" w:eastAsia="Times New Roman" w:hAnsi="Arial" w:cs="Arial"/>
                <w:highlight w:val="yellow"/>
                <w:lang w:eastAsia="en-GB"/>
              </w:rPr>
            </w:pPr>
            <w:r w:rsidRPr="00FD02F8">
              <w:rPr>
                <w:rFonts w:ascii="Arial" w:eastAsia="Times New Roman" w:hAnsi="Arial" w:cs="Arial"/>
                <w:b/>
                <w:bCs/>
                <w:lang w:eastAsia="en-GB"/>
              </w:rPr>
              <w:t>Key result d</w:t>
            </w:r>
            <w:r w:rsidR="1F95A7F0" w:rsidRPr="00FD02F8">
              <w:rPr>
                <w:rFonts w:ascii="Arial" w:eastAsia="Times New Roman" w:hAnsi="Arial" w:cs="Arial"/>
                <w:b/>
                <w:bCs/>
                <w:lang w:eastAsia="en-GB"/>
              </w:rPr>
              <w:t>elivered in Q1</w:t>
            </w:r>
            <w:r w:rsidR="002B5086" w:rsidRPr="00FD02F8">
              <w:rPr>
                <w:rFonts w:ascii="Arial" w:eastAsia="Times New Roman" w:hAnsi="Arial" w:cs="Arial"/>
                <w:lang w:eastAsia="en-GB"/>
              </w:rPr>
              <w:t>.</w:t>
            </w:r>
          </w:p>
        </w:tc>
        <w:tc>
          <w:tcPr>
            <w:tcW w:w="453" w:type="pct"/>
            <w:tcBorders>
              <w:top w:val="single" w:sz="8" w:space="0" w:color="auto"/>
              <w:left w:val="single" w:sz="8" w:space="0" w:color="auto"/>
              <w:bottom w:val="single" w:sz="8" w:space="0" w:color="auto"/>
              <w:right w:val="single" w:sz="8" w:space="0" w:color="auto"/>
            </w:tcBorders>
            <w:vAlign w:val="center"/>
          </w:tcPr>
          <w:p w14:paraId="42674AF2" w14:textId="11E77B1B" w:rsidR="00A07F72" w:rsidRPr="00FD02F8" w:rsidRDefault="70D8DE9A" w:rsidP="00C96F36">
            <w:pPr>
              <w:jc w:val="center"/>
              <w:textAlignment w:val="baseline"/>
              <w:rPr>
                <w:rFonts w:ascii="Arial" w:eastAsia="Times New Roman" w:hAnsi="Arial" w:cs="Arial"/>
                <w:lang w:eastAsia="en-GB"/>
              </w:rPr>
            </w:pPr>
            <w:r w:rsidRPr="00FD02F8">
              <w:rPr>
                <w:rFonts w:ascii="Arial" w:eastAsia="Times New Roman" w:hAnsi="Arial" w:cs="Arial"/>
                <w:lang w:eastAsia="en-GB"/>
              </w:rPr>
              <w:t>Delivered</w:t>
            </w:r>
          </w:p>
        </w:tc>
      </w:tr>
      <w:tr w:rsidR="004826F0" w:rsidRPr="00FD02F8" w14:paraId="1CE0D50A" w14:textId="77777777" w:rsidTr="00934B63">
        <w:tblPrEx>
          <w:tblCellMar>
            <w:left w:w="108" w:type="dxa"/>
            <w:right w:w="108" w:type="dxa"/>
          </w:tblCellMar>
        </w:tblPrEx>
        <w:trPr>
          <w:cantSplit/>
          <w:trHeight w:val="771"/>
        </w:trPr>
        <w:tc>
          <w:tcPr>
            <w:tcW w:w="1289" w:type="pct"/>
            <w:tcBorders>
              <w:top w:val="single" w:sz="8" w:space="0" w:color="auto"/>
              <w:left w:val="single" w:sz="8" w:space="0" w:color="auto"/>
              <w:bottom w:val="single" w:sz="8" w:space="0" w:color="auto"/>
              <w:right w:val="single" w:sz="8" w:space="0" w:color="auto"/>
            </w:tcBorders>
            <w:vAlign w:val="center"/>
          </w:tcPr>
          <w:p w14:paraId="5DEE249B" w14:textId="6E6B65F7" w:rsidR="00A07F72" w:rsidRPr="00FD02F8" w:rsidRDefault="00A07F72" w:rsidP="00C96F36">
            <w:pPr>
              <w:textAlignment w:val="baseline"/>
              <w:rPr>
                <w:rFonts w:ascii="Arial" w:eastAsia="Times New Roman" w:hAnsi="Arial" w:cs="Arial"/>
                <w:lang w:eastAsia="en-GB"/>
              </w:rPr>
            </w:pPr>
            <w:r w:rsidRPr="00FD02F8">
              <w:rPr>
                <w:rFonts w:ascii="Arial" w:hAnsi="Arial" w:cs="Arial"/>
                <w:b/>
                <w:bCs/>
                <w:color w:val="000000"/>
              </w:rPr>
              <w:t xml:space="preserve">KR 2.2 </w:t>
            </w:r>
            <w:r w:rsidRPr="00FD02F8">
              <w:rPr>
                <w:rFonts w:ascii="Arial" w:hAnsi="Arial" w:cs="Arial"/>
                <w:color w:val="000000"/>
              </w:rPr>
              <w:t>100% of all business travel by fleet vehicle</w:t>
            </w:r>
            <w:r w:rsidR="00255984" w:rsidRPr="00FD02F8">
              <w:rPr>
                <w:rFonts w:ascii="Arial" w:hAnsi="Arial" w:cs="Arial"/>
                <w:color w:val="000000"/>
              </w:rPr>
              <w:t>s</w:t>
            </w:r>
            <w:r w:rsidRPr="00FD02F8">
              <w:rPr>
                <w:rFonts w:ascii="Arial" w:hAnsi="Arial" w:cs="Arial"/>
                <w:color w:val="000000"/>
              </w:rPr>
              <w:t xml:space="preserve"> is tracked.</w:t>
            </w:r>
          </w:p>
        </w:tc>
        <w:tc>
          <w:tcPr>
            <w:tcW w:w="252" w:type="pct"/>
            <w:tcBorders>
              <w:top w:val="single" w:sz="8" w:space="0" w:color="auto"/>
              <w:left w:val="single" w:sz="8" w:space="0" w:color="auto"/>
              <w:bottom w:val="single" w:sz="8" w:space="0" w:color="auto"/>
              <w:right w:val="single" w:sz="8" w:space="0" w:color="auto"/>
            </w:tcBorders>
            <w:vAlign w:val="center"/>
          </w:tcPr>
          <w:p w14:paraId="13FF44B3" w14:textId="77777777" w:rsidR="00A07F72" w:rsidRPr="00FD02F8" w:rsidRDefault="00A07F72"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Q3</w:t>
            </w:r>
          </w:p>
        </w:tc>
        <w:tc>
          <w:tcPr>
            <w:tcW w:w="306" w:type="pct"/>
            <w:tcBorders>
              <w:top w:val="single" w:sz="8" w:space="0" w:color="auto"/>
              <w:left w:val="single" w:sz="8" w:space="0" w:color="auto"/>
              <w:bottom w:val="single" w:sz="8" w:space="0" w:color="auto"/>
              <w:right w:val="single" w:sz="8" w:space="0" w:color="auto"/>
            </w:tcBorders>
            <w:vAlign w:val="center"/>
          </w:tcPr>
          <w:p w14:paraId="42FB3A34" w14:textId="48C8C436" w:rsidR="00A07F72" w:rsidRPr="00FD02F8" w:rsidRDefault="003835EC"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w:t>
            </w:r>
          </w:p>
        </w:tc>
        <w:tc>
          <w:tcPr>
            <w:tcW w:w="306" w:type="pct"/>
            <w:tcBorders>
              <w:top w:val="single" w:sz="8" w:space="0" w:color="auto"/>
              <w:left w:val="single" w:sz="8" w:space="0" w:color="auto"/>
              <w:bottom w:val="single" w:sz="8" w:space="0" w:color="auto"/>
              <w:right w:val="single" w:sz="8" w:space="0" w:color="auto"/>
            </w:tcBorders>
            <w:vAlign w:val="center"/>
          </w:tcPr>
          <w:p w14:paraId="3AF4B90E" w14:textId="63062AE3" w:rsidR="00A07F72" w:rsidRPr="00FD02F8" w:rsidRDefault="00982E97"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306" w:type="pct"/>
            <w:tcBorders>
              <w:top w:val="single" w:sz="8" w:space="0" w:color="auto"/>
              <w:left w:val="single" w:sz="8" w:space="0" w:color="auto"/>
              <w:bottom w:val="single" w:sz="8" w:space="0" w:color="auto"/>
              <w:right w:val="single" w:sz="8" w:space="0" w:color="auto"/>
            </w:tcBorders>
            <w:vAlign w:val="center"/>
          </w:tcPr>
          <w:p w14:paraId="596C1198" w14:textId="4C973419" w:rsidR="00A07F72" w:rsidRPr="00FD02F8" w:rsidRDefault="00EB43AA"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w:t>
            </w:r>
          </w:p>
        </w:tc>
        <w:tc>
          <w:tcPr>
            <w:tcW w:w="306" w:type="pct"/>
            <w:tcBorders>
              <w:top w:val="single" w:sz="8" w:space="0" w:color="auto"/>
              <w:left w:val="single" w:sz="8" w:space="0" w:color="auto"/>
              <w:bottom w:val="single" w:sz="8" w:space="0" w:color="auto"/>
              <w:right w:val="single" w:sz="8" w:space="0" w:color="auto"/>
            </w:tcBorders>
            <w:vAlign w:val="center"/>
          </w:tcPr>
          <w:p w14:paraId="21EBE750" w14:textId="77777777" w:rsidR="00A07F72" w:rsidRPr="00FD02F8" w:rsidRDefault="00A07F72"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21" w:type="pct"/>
            <w:tcBorders>
              <w:top w:val="single" w:sz="8" w:space="0" w:color="auto"/>
              <w:left w:val="single" w:sz="8" w:space="0" w:color="auto"/>
              <w:bottom w:val="single" w:sz="8" w:space="0" w:color="auto"/>
              <w:right w:val="single" w:sz="8" w:space="0" w:color="auto"/>
            </w:tcBorders>
            <w:vAlign w:val="center"/>
          </w:tcPr>
          <w:p w14:paraId="72159B89" w14:textId="0F5FAF4B" w:rsidR="00A07F72" w:rsidRPr="00FD02F8" w:rsidRDefault="00982E97" w:rsidP="00C96F36">
            <w:pPr>
              <w:jc w:val="center"/>
              <w:textAlignment w:val="baseline"/>
            </w:pPr>
            <w:r w:rsidRPr="00FD02F8">
              <w:rPr>
                <w:noProof/>
              </w:rPr>
              <w:drawing>
                <wp:anchor distT="0" distB="0" distL="114300" distR="114300" simplePos="0" relativeHeight="251657216" behindDoc="0" locked="0" layoutInCell="1" allowOverlap="1" wp14:anchorId="64D4893A" wp14:editId="74BF2593">
                  <wp:simplePos x="0" y="0"/>
                  <wp:positionH relativeFrom="column">
                    <wp:posOffset>15240</wp:posOffset>
                  </wp:positionH>
                  <wp:positionV relativeFrom="paragraph">
                    <wp:posOffset>-113665</wp:posOffset>
                  </wp:positionV>
                  <wp:extent cx="444500" cy="444500"/>
                  <wp:effectExtent l="0" t="0" r="0" b="0"/>
                  <wp:wrapNone/>
                  <wp:docPr id="778362820"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62" w:type="pct"/>
            <w:tcBorders>
              <w:top w:val="single" w:sz="8" w:space="0" w:color="auto"/>
              <w:left w:val="single" w:sz="8" w:space="0" w:color="auto"/>
              <w:bottom w:val="single" w:sz="8" w:space="0" w:color="auto"/>
              <w:right w:val="single" w:sz="8" w:space="0" w:color="auto"/>
            </w:tcBorders>
          </w:tcPr>
          <w:p w14:paraId="2861137B" w14:textId="77777777" w:rsidR="00457B81" w:rsidRPr="00FD02F8" w:rsidRDefault="00457B81" w:rsidP="00C96F36">
            <w:pPr>
              <w:textAlignment w:val="baseline"/>
              <w:rPr>
                <w:rFonts w:ascii="Arial" w:eastAsia="Times New Roman" w:hAnsi="Arial" w:cs="Arial"/>
                <w:lang w:eastAsia="en-GB"/>
              </w:rPr>
            </w:pPr>
            <w:r w:rsidRPr="00FD02F8">
              <w:rPr>
                <w:rFonts w:ascii="Arial" w:eastAsia="Times New Roman" w:hAnsi="Arial" w:cs="Arial"/>
                <w:lang w:eastAsia="en-GB"/>
              </w:rPr>
              <w:t>Delivery has been delayed due to required Data Protection Impact Assessment (DPIA) work. The revised delivery timeframe is Q4, subject to completion of the DPIA and approval by the Change &amp; Control Board (CaCB).</w:t>
            </w:r>
          </w:p>
          <w:p w14:paraId="41FCCECE" w14:textId="710E718A" w:rsidR="00312962" w:rsidRPr="00FD02F8" w:rsidRDefault="00312962" w:rsidP="00C96F36">
            <w:pPr>
              <w:textAlignment w:val="baseline"/>
              <w:rPr>
                <w:rFonts w:ascii="Arial" w:eastAsia="Times New Roman" w:hAnsi="Arial" w:cs="Arial"/>
                <w:b/>
                <w:bCs/>
                <w:highlight w:val="yellow"/>
                <w:lang w:eastAsia="en-GB"/>
              </w:rPr>
            </w:pPr>
            <w:r w:rsidRPr="00FD02F8">
              <w:rPr>
                <w:rFonts w:ascii="Arial" w:eastAsia="Times New Roman" w:hAnsi="Arial" w:cs="Arial"/>
                <w:b/>
                <w:bCs/>
                <w:lang w:eastAsia="en-GB"/>
              </w:rPr>
              <w:t xml:space="preserve">Confidence in forecast: </w:t>
            </w:r>
            <w:r w:rsidR="00457B81" w:rsidRPr="00FD02F8">
              <w:rPr>
                <w:rFonts w:ascii="Arial" w:eastAsia="Times New Roman" w:hAnsi="Arial" w:cs="Arial"/>
                <w:b/>
                <w:bCs/>
                <w:lang w:eastAsia="en-GB"/>
              </w:rPr>
              <w:t>High/</w:t>
            </w:r>
            <w:r w:rsidRPr="00FD02F8">
              <w:rPr>
                <w:rFonts w:ascii="Arial" w:eastAsia="Times New Roman" w:hAnsi="Arial" w:cs="Arial"/>
                <w:b/>
                <w:bCs/>
                <w:lang w:eastAsia="en-GB"/>
              </w:rPr>
              <w:t xml:space="preserve">Moderate </w:t>
            </w:r>
          </w:p>
        </w:tc>
        <w:tc>
          <w:tcPr>
            <w:tcW w:w="453" w:type="pct"/>
            <w:tcBorders>
              <w:top w:val="single" w:sz="8" w:space="0" w:color="auto"/>
              <w:left w:val="single" w:sz="8" w:space="0" w:color="auto"/>
              <w:bottom w:val="single" w:sz="8" w:space="0" w:color="auto"/>
              <w:right w:val="single" w:sz="8" w:space="0" w:color="auto"/>
            </w:tcBorders>
            <w:vAlign w:val="center"/>
          </w:tcPr>
          <w:p w14:paraId="1A968E61" w14:textId="6573A63B" w:rsidR="00A07F72" w:rsidRPr="00FD02F8" w:rsidRDefault="00437530" w:rsidP="00DE56F9">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Delivered</w:t>
            </w:r>
          </w:p>
        </w:tc>
      </w:tr>
      <w:tr w:rsidR="004826F0" w:rsidRPr="00FD02F8" w14:paraId="49BD3416" w14:textId="77777777" w:rsidTr="00934B63">
        <w:tblPrEx>
          <w:tblCellMar>
            <w:left w:w="108" w:type="dxa"/>
            <w:right w:w="108" w:type="dxa"/>
          </w:tblCellMar>
        </w:tblPrEx>
        <w:trPr>
          <w:cantSplit/>
          <w:trHeight w:val="16"/>
        </w:trPr>
        <w:tc>
          <w:tcPr>
            <w:tcW w:w="1289" w:type="pct"/>
            <w:tcBorders>
              <w:top w:val="single" w:sz="8" w:space="0" w:color="auto"/>
              <w:left w:val="single" w:sz="8" w:space="0" w:color="auto"/>
              <w:bottom w:val="single" w:sz="8" w:space="0" w:color="auto"/>
              <w:right w:val="single" w:sz="8" w:space="0" w:color="auto"/>
            </w:tcBorders>
            <w:vAlign w:val="center"/>
          </w:tcPr>
          <w:p w14:paraId="7859A424" w14:textId="5C3AEC05" w:rsidR="00A07F72" w:rsidRPr="00FD02F8" w:rsidRDefault="00144B11" w:rsidP="00C96F36">
            <w:pPr>
              <w:textAlignment w:val="baseline"/>
              <w:rPr>
                <w:rFonts w:ascii="Arial" w:eastAsia="Times New Roman" w:hAnsi="Arial" w:cs="Arial"/>
                <w:lang w:eastAsia="en-GB"/>
              </w:rPr>
            </w:pPr>
            <w:r>
              <w:rPr>
                <w:rFonts w:ascii="Arial" w:hAnsi="Arial" w:cs="Arial"/>
                <w:b/>
                <w:bCs/>
                <w:color w:val="000000"/>
              </w:rPr>
              <w:lastRenderedPageBreak/>
              <w:t>O</w:t>
            </w:r>
            <w:r w:rsidR="00A07F72" w:rsidRPr="00FD02F8">
              <w:rPr>
                <w:rFonts w:ascii="Arial" w:hAnsi="Arial" w:cs="Arial"/>
                <w:b/>
                <w:bCs/>
                <w:color w:val="000000"/>
              </w:rPr>
              <w:t>KR 2.3:</w:t>
            </w:r>
            <w:r w:rsidR="00A07F72" w:rsidRPr="00FD02F8">
              <w:rPr>
                <w:rFonts w:ascii="Arial" w:hAnsi="Arial" w:cs="Arial"/>
                <w:color w:val="000000"/>
              </w:rPr>
              <w:t xml:space="preserve"> Reduce mileage of non-SEPA owned fleet vehicles by 10%. </w:t>
            </w:r>
          </w:p>
        </w:tc>
        <w:tc>
          <w:tcPr>
            <w:tcW w:w="252" w:type="pct"/>
            <w:tcBorders>
              <w:top w:val="single" w:sz="8" w:space="0" w:color="auto"/>
              <w:left w:val="single" w:sz="8" w:space="0" w:color="auto"/>
              <w:bottom w:val="single" w:sz="8" w:space="0" w:color="auto"/>
              <w:right w:val="single" w:sz="8" w:space="0" w:color="auto"/>
            </w:tcBorders>
            <w:vAlign w:val="center"/>
          </w:tcPr>
          <w:p w14:paraId="21FAEC2C" w14:textId="77777777" w:rsidR="00A07F72" w:rsidRPr="00FD02F8" w:rsidRDefault="00A07F72"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Q4</w:t>
            </w:r>
          </w:p>
        </w:tc>
        <w:tc>
          <w:tcPr>
            <w:tcW w:w="306" w:type="pct"/>
            <w:tcBorders>
              <w:top w:val="single" w:sz="8" w:space="0" w:color="auto"/>
              <w:left w:val="single" w:sz="8" w:space="0" w:color="auto"/>
              <w:bottom w:val="single" w:sz="8" w:space="0" w:color="auto"/>
              <w:right w:val="single" w:sz="8" w:space="0" w:color="auto"/>
            </w:tcBorders>
            <w:vAlign w:val="center"/>
          </w:tcPr>
          <w:p w14:paraId="32430776" w14:textId="660FF6E9" w:rsidR="00A07F72" w:rsidRPr="00FD02F8" w:rsidRDefault="00057F5F"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0</w:t>
            </w:r>
          </w:p>
        </w:tc>
        <w:tc>
          <w:tcPr>
            <w:tcW w:w="306" w:type="pct"/>
            <w:tcBorders>
              <w:top w:val="single" w:sz="8" w:space="0" w:color="auto"/>
              <w:left w:val="single" w:sz="8" w:space="0" w:color="auto"/>
              <w:bottom w:val="single" w:sz="8" w:space="0" w:color="auto"/>
              <w:right w:val="single" w:sz="8" w:space="0" w:color="auto"/>
            </w:tcBorders>
            <w:vAlign w:val="center"/>
          </w:tcPr>
          <w:p w14:paraId="50820B8A" w14:textId="16BA962B" w:rsidR="00A07F72" w:rsidRPr="00FD02F8" w:rsidRDefault="00982E97"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306" w:type="pct"/>
            <w:tcBorders>
              <w:top w:val="single" w:sz="8" w:space="0" w:color="auto"/>
              <w:left w:val="single" w:sz="8" w:space="0" w:color="auto"/>
              <w:bottom w:val="single" w:sz="8" w:space="0" w:color="auto"/>
              <w:right w:val="single" w:sz="8" w:space="0" w:color="auto"/>
            </w:tcBorders>
            <w:vAlign w:val="center"/>
          </w:tcPr>
          <w:p w14:paraId="28018686" w14:textId="08449A63" w:rsidR="00A07F72" w:rsidRPr="00FD02F8" w:rsidRDefault="00057F5F"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6" w:type="pct"/>
            <w:tcBorders>
              <w:top w:val="single" w:sz="8" w:space="0" w:color="auto"/>
              <w:left w:val="single" w:sz="8" w:space="0" w:color="auto"/>
              <w:bottom w:val="single" w:sz="8" w:space="0" w:color="auto"/>
              <w:right w:val="single" w:sz="8" w:space="0" w:color="auto"/>
            </w:tcBorders>
            <w:vAlign w:val="center"/>
          </w:tcPr>
          <w:p w14:paraId="5D9290E7" w14:textId="77777777" w:rsidR="00A07F72" w:rsidRPr="00FD02F8" w:rsidRDefault="00A07F72"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21" w:type="pct"/>
            <w:tcBorders>
              <w:top w:val="single" w:sz="8" w:space="0" w:color="auto"/>
              <w:left w:val="single" w:sz="8" w:space="0" w:color="auto"/>
              <w:bottom w:val="single" w:sz="8" w:space="0" w:color="auto"/>
              <w:right w:val="single" w:sz="8" w:space="0" w:color="auto"/>
            </w:tcBorders>
            <w:vAlign w:val="center"/>
          </w:tcPr>
          <w:p w14:paraId="5ACDE008" w14:textId="16CD4F29" w:rsidR="009F0849" w:rsidRPr="00FD02F8" w:rsidRDefault="00982E97" w:rsidP="00C96F36">
            <w:pPr>
              <w:jc w:val="center"/>
              <w:textAlignment w:val="baseline"/>
              <w:rPr>
                <w:highlight w:val="yellow"/>
              </w:rPr>
            </w:pPr>
            <w:r w:rsidRPr="00FD02F8">
              <w:rPr>
                <w:noProof/>
                <w:highlight w:val="yellow"/>
              </w:rPr>
              <w:drawing>
                <wp:anchor distT="0" distB="0" distL="114300" distR="114300" simplePos="0" relativeHeight="251658240" behindDoc="0" locked="0" layoutInCell="1" allowOverlap="1" wp14:anchorId="5D6293C3" wp14:editId="20AF0EC9">
                  <wp:simplePos x="0" y="0"/>
                  <wp:positionH relativeFrom="column">
                    <wp:posOffset>62865</wp:posOffset>
                  </wp:positionH>
                  <wp:positionV relativeFrom="paragraph">
                    <wp:posOffset>-184785</wp:posOffset>
                  </wp:positionV>
                  <wp:extent cx="444500" cy="444500"/>
                  <wp:effectExtent l="0" t="0" r="0" b="0"/>
                  <wp:wrapNone/>
                  <wp:docPr id="499017514"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62" w:type="pct"/>
            <w:tcBorders>
              <w:top w:val="single" w:sz="8" w:space="0" w:color="auto"/>
              <w:left w:val="single" w:sz="8" w:space="0" w:color="auto"/>
              <w:bottom w:val="single" w:sz="8" w:space="0" w:color="auto"/>
              <w:right w:val="single" w:sz="8" w:space="0" w:color="auto"/>
            </w:tcBorders>
          </w:tcPr>
          <w:p w14:paraId="26199304" w14:textId="77777777" w:rsidR="00057F5F" w:rsidRDefault="00057F5F" w:rsidP="006020E0">
            <w:pPr>
              <w:spacing w:after="160"/>
              <w:rPr>
                <w:rFonts w:ascii="Arial" w:eastAsia="Times New Roman" w:hAnsi="Arial" w:cs="Arial"/>
                <w:lang w:eastAsia="en-GB"/>
              </w:rPr>
            </w:pPr>
            <w:r>
              <w:rPr>
                <w:rFonts w:ascii="Arial" w:eastAsia="Times New Roman" w:hAnsi="Arial" w:cs="Arial"/>
                <w:lang w:eastAsia="en-GB"/>
              </w:rPr>
              <w:t>*</w:t>
            </w:r>
            <w:r w:rsidR="006020E0" w:rsidRPr="00FD02F8">
              <w:rPr>
                <w:rFonts w:ascii="Arial" w:eastAsia="Times New Roman" w:hAnsi="Arial" w:cs="Arial"/>
                <w:lang w:eastAsia="en-GB"/>
              </w:rPr>
              <w:t xml:space="preserve">Reporting for this Key Result is one quarter in arrears. </w:t>
            </w:r>
          </w:p>
          <w:p w14:paraId="70D24453" w14:textId="126E21F6" w:rsidR="006020E0" w:rsidRPr="00FD02F8" w:rsidRDefault="006020E0" w:rsidP="006020E0">
            <w:pPr>
              <w:spacing w:after="160"/>
              <w:rPr>
                <w:rFonts w:ascii="Arial" w:eastAsia="Times New Roman" w:hAnsi="Arial" w:cs="Arial"/>
                <w:lang w:eastAsia="en-GB"/>
              </w:rPr>
            </w:pPr>
            <w:r w:rsidRPr="00FD02F8">
              <w:rPr>
                <w:rFonts w:ascii="Arial" w:eastAsia="Times New Roman" w:hAnsi="Arial" w:cs="Arial"/>
                <w:lang w:eastAsia="en-GB"/>
              </w:rPr>
              <w:t>Q2 data shows a slight decrease compared with Q2 2024/25</w:t>
            </w:r>
            <w:r w:rsidR="003D2E53" w:rsidRPr="00FD02F8">
              <w:rPr>
                <w:rFonts w:ascii="Arial" w:eastAsia="Times New Roman" w:hAnsi="Arial" w:cs="Arial"/>
                <w:lang w:eastAsia="en-GB"/>
              </w:rPr>
              <w:t>.</w:t>
            </w:r>
            <w:r w:rsidRPr="00FD02F8">
              <w:rPr>
                <w:rFonts w:ascii="Arial" w:eastAsia="Times New Roman" w:hAnsi="Arial" w:cs="Arial"/>
                <w:lang w:eastAsia="en-GB"/>
              </w:rPr>
              <w:t xml:space="preserve"> </w:t>
            </w:r>
            <w:r w:rsidR="000F3053" w:rsidRPr="00FD02F8">
              <w:rPr>
                <w:rFonts w:ascii="Arial" w:eastAsia="Times New Roman" w:hAnsi="Arial" w:cs="Arial"/>
                <w:lang w:eastAsia="en-GB"/>
              </w:rPr>
              <w:t>C</w:t>
            </w:r>
            <w:r w:rsidRPr="00FD02F8">
              <w:rPr>
                <w:rFonts w:ascii="Arial" w:eastAsia="Times New Roman" w:hAnsi="Arial" w:cs="Arial"/>
                <w:lang w:eastAsia="en-GB"/>
              </w:rPr>
              <w:t xml:space="preserve">umulative Q1–Q2 performance for 2025/26 shows an </w:t>
            </w:r>
            <w:r w:rsidR="00923C8A" w:rsidRPr="00FD02F8">
              <w:rPr>
                <w:rFonts w:ascii="Arial" w:eastAsia="Times New Roman" w:hAnsi="Arial" w:cs="Arial"/>
                <w:lang w:eastAsia="en-GB"/>
              </w:rPr>
              <w:t xml:space="preserve">8.7% </w:t>
            </w:r>
            <w:r w:rsidRPr="00FD02F8">
              <w:rPr>
                <w:rFonts w:ascii="Arial" w:eastAsia="Times New Roman" w:hAnsi="Arial" w:cs="Arial"/>
                <w:lang w:eastAsia="en-GB"/>
              </w:rPr>
              <w:t>increase against the same period in 2024/25</w:t>
            </w:r>
            <w:r w:rsidR="00923C8A" w:rsidRPr="00FD02F8">
              <w:rPr>
                <w:rFonts w:ascii="Arial" w:eastAsia="Times New Roman" w:hAnsi="Arial" w:cs="Arial"/>
                <w:lang w:eastAsia="en-GB"/>
              </w:rPr>
              <w:t>.</w:t>
            </w:r>
          </w:p>
          <w:p w14:paraId="27188540" w14:textId="77DBEC9A" w:rsidR="00BA3C46" w:rsidRPr="00FD02F8" w:rsidRDefault="006020E0" w:rsidP="006020E0">
            <w:pPr>
              <w:rPr>
                <w:rFonts w:ascii="Arial" w:eastAsia="Times New Roman" w:hAnsi="Arial" w:cs="Arial"/>
                <w:lang w:eastAsia="en-GB"/>
              </w:rPr>
            </w:pPr>
            <w:r w:rsidRPr="00FD02F8">
              <w:rPr>
                <w:rFonts w:ascii="Arial" w:eastAsia="Times New Roman" w:hAnsi="Arial" w:cs="Arial"/>
                <w:lang w:eastAsia="en-GB"/>
              </w:rPr>
              <w:t>A cross</w:t>
            </w:r>
            <w:r w:rsidRPr="00FD02F8">
              <w:rPr>
                <w:rFonts w:ascii="Arial" w:eastAsia="Times New Roman" w:hAnsi="Arial" w:cs="Arial"/>
                <w:lang w:eastAsia="en-GB"/>
              </w:rPr>
              <w:noBreakHyphen/>
              <w:t>organisation action plan is being implemented, with delivery dependent on several key factors, including portfolio restructures. Confidence in achieving the 10% annual reduction against the 2024/25 baseline is currently low, which is reflected in the annual forecast.</w:t>
            </w:r>
          </w:p>
        </w:tc>
        <w:tc>
          <w:tcPr>
            <w:tcW w:w="453" w:type="pct"/>
            <w:tcBorders>
              <w:top w:val="single" w:sz="8" w:space="0" w:color="auto"/>
              <w:left w:val="single" w:sz="8" w:space="0" w:color="auto"/>
              <w:bottom w:val="single" w:sz="8" w:space="0" w:color="auto"/>
              <w:right w:val="single" w:sz="8" w:space="0" w:color="auto"/>
            </w:tcBorders>
            <w:vAlign w:val="center"/>
          </w:tcPr>
          <w:p w14:paraId="72BCA2C4" w14:textId="33B8B0EE" w:rsidR="00A07F72" w:rsidRPr="00FD02F8" w:rsidRDefault="00A60A16" w:rsidP="00C96F36">
            <w:pPr>
              <w:jc w:val="cente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 xml:space="preserve">Not </w:t>
            </w:r>
            <w:r w:rsidR="00843538" w:rsidRPr="00FD02F8">
              <w:rPr>
                <w:rFonts w:ascii="Arial" w:eastAsia="Times New Roman" w:hAnsi="Arial" w:cs="Arial"/>
                <w:szCs w:val="28"/>
                <w:lang w:eastAsia="en-GB"/>
              </w:rPr>
              <w:t>Delivered</w:t>
            </w:r>
          </w:p>
        </w:tc>
      </w:tr>
      <w:tr w:rsidR="004826F0" w:rsidRPr="00FD02F8" w14:paraId="00260FAA" w14:textId="77777777" w:rsidTr="00934B63">
        <w:tblPrEx>
          <w:tblCellMar>
            <w:left w:w="108" w:type="dxa"/>
            <w:right w:w="108" w:type="dxa"/>
          </w:tblCellMar>
        </w:tblPrEx>
        <w:trPr>
          <w:cantSplit/>
          <w:trHeight w:val="16"/>
        </w:trPr>
        <w:tc>
          <w:tcPr>
            <w:tcW w:w="1289" w:type="pct"/>
            <w:tcBorders>
              <w:top w:val="single" w:sz="8" w:space="0" w:color="auto"/>
              <w:left w:val="single" w:sz="8" w:space="0" w:color="auto"/>
              <w:bottom w:val="single" w:sz="8" w:space="0" w:color="auto"/>
              <w:right w:val="single" w:sz="8" w:space="0" w:color="auto"/>
            </w:tcBorders>
            <w:vAlign w:val="center"/>
          </w:tcPr>
          <w:p w14:paraId="00A763E5" w14:textId="4AB65E98" w:rsidR="00A07F72" w:rsidRPr="00FD02F8" w:rsidRDefault="00A07F72" w:rsidP="00C96F36">
            <w:pPr>
              <w:textAlignment w:val="baseline"/>
              <w:rPr>
                <w:rFonts w:ascii="Arial" w:hAnsi="Arial" w:cs="Arial"/>
                <w:b/>
                <w:bCs/>
              </w:rPr>
            </w:pPr>
            <w:r w:rsidRPr="00FD02F8">
              <w:rPr>
                <w:rFonts w:ascii="Arial" w:hAnsi="Arial" w:cs="Arial"/>
                <w:b/>
                <w:bCs/>
                <w:color w:val="000000"/>
              </w:rPr>
              <w:lastRenderedPageBreak/>
              <w:t>KR 2.4:</w:t>
            </w:r>
            <w:r w:rsidRPr="00FD02F8">
              <w:rPr>
                <w:rFonts w:ascii="Arial" w:hAnsi="Arial" w:cs="Arial"/>
                <w:color w:val="000000"/>
              </w:rPr>
              <w:t xml:space="preserve"> 5% reduction of greenhouse gas emissions from SEPA workspaces by realising savings through workspaces transformation.</w:t>
            </w:r>
          </w:p>
        </w:tc>
        <w:tc>
          <w:tcPr>
            <w:tcW w:w="252" w:type="pct"/>
            <w:tcBorders>
              <w:top w:val="single" w:sz="8" w:space="0" w:color="auto"/>
              <w:left w:val="single" w:sz="8" w:space="0" w:color="auto"/>
              <w:bottom w:val="single" w:sz="8" w:space="0" w:color="auto"/>
              <w:right w:val="single" w:sz="8" w:space="0" w:color="auto"/>
            </w:tcBorders>
            <w:vAlign w:val="center"/>
          </w:tcPr>
          <w:p w14:paraId="30B0045C" w14:textId="309AE146" w:rsidR="00A07F72" w:rsidRPr="00FD02F8" w:rsidRDefault="00A07F72" w:rsidP="00C96F36">
            <w:pPr>
              <w:jc w:val="center"/>
              <w:textAlignment w:val="baseline"/>
              <w:rPr>
                <w:rFonts w:asciiTheme="majorHAnsi" w:hAnsiTheme="majorHAnsi" w:cstheme="majorHAnsi"/>
                <w:color w:val="000000"/>
              </w:rPr>
            </w:pPr>
            <w:r w:rsidRPr="00FD02F8">
              <w:rPr>
                <w:rFonts w:asciiTheme="majorHAnsi" w:hAnsiTheme="majorHAnsi" w:cstheme="majorHAnsi"/>
                <w:color w:val="000000"/>
              </w:rPr>
              <w:t>Q4</w:t>
            </w:r>
          </w:p>
        </w:tc>
        <w:tc>
          <w:tcPr>
            <w:tcW w:w="306" w:type="pct"/>
            <w:tcBorders>
              <w:top w:val="single" w:sz="8" w:space="0" w:color="auto"/>
              <w:left w:val="single" w:sz="8" w:space="0" w:color="auto"/>
              <w:bottom w:val="single" w:sz="8" w:space="0" w:color="auto"/>
              <w:right w:val="single" w:sz="8" w:space="0" w:color="auto"/>
            </w:tcBorders>
            <w:vAlign w:val="center"/>
          </w:tcPr>
          <w:p w14:paraId="6BA411CA" w14:textId="74B5C00D" w:rsidR="00A07F72" w:rsidRPr="00FD02F8" w:rsidRDefault="00F91F67"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1</w:t>
            </w:r>
          </w:p>
        </w:tc>
        <w:tc>
          <w:tcPr>
            <w:tcW w:w="306" w:type="pct"/>
            <w:tcBorders>
              <w:top w:val="single" w:sz="8" w:space="0" w:color="auto"/>
              <w:left w:val="single" w:sz="8" w:space="0" w:color="auto"/>
              <w:bottom w:val="single" w:sz="8" w:space="0" w:color="auto"/>
              <w:right w:val="single" w:sz="8" w:space="0" w:color="auto"/>
            </w:tcBorders>
            <w:vAlign w:val="center"/>
          </w:tcPr>
          <w:p w14:paraId="104B6BF5" w14:textId="39B8D75D" w:rsidR="00A07F72" w:rsidRPr="00FD02F8" w:rsidRDefault="00F91F67"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1</w:t>
            </w:r>
          </w:p>
        </w:tc>
        <w:tc>
          <w:tcPr>
            <w:tcW w:w="306" w:type="pct"/>
            <w:tcBorders>
              <w:top w:val="single" w:sz="8" w:space="0" w:color="auto"/>
              <w:left w:val="single" w:sz="8" w:space="0" w:color="auto"/>
              <w:bottom w:val="single" w:sz="8" w:space="0" w:color="auto"/>
              <w:right w:val="single" w:sz="8" w:space="0" w:color="auto"/>
            </w:tcBorders>
            <w:vAlign w:val="center"/>
          </w:tcPr>
          <w:p w14:paraId="387951B9" w14:textId="4FF78B57" w:rsidR="00A07F72" w:rsidRPr="00FD02F8" w:rsidRDefault="00B62810"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6" w:type="pct"/>
            <w:tcBorders>
              <w:top w:val="single" w:sz="8" w:space="0" w:color="auto"/>
              <w:left w:val="single" w:sz="8" w:space="0" w:color="auto"/>
              <w:bottom w:val="single" w:sz="8" w:space="0" w:color="auto"/>
              <w:right w:val="single" w:sz="8" w:space="0" w:color="auto"/>
            </w:tcBorders>
            <w:vAlign w:val="center"/>
          </w:tcPr>
          <w:p w14:paraId="2140F722" w14:textId="07BA6BC1" w:rsidR="00A07F72" w:rsidRPr="00FD02F8" w:rsidRDefault="00A07F72"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21" w:type="pct"/>
            <w:tcBorders>
              <w:top w:val="single" w:sz="8" w:space="0" w:color="auto"/>
              <w:left w:val="single" w:sz="8" w:space="0" w:color="auto"/>
              <w:bottom w:val="single" w:sz="8" w:space="0" w:color="auto"/>
              <w:right w:val="single" w:sz="8" w:space="0" w:color="auto"/>
            </w:tcBorders>
            <w:vAlign w:val="center"/>
          </w:tcPr>
          <w:p w14:paraId="54558D6C" w14:textId="61EBE48A" w:rsidR="00A07F72" w:rsidRPr="00FD02F8" w:rsidRDefault="00475156" w:rsidP="00C96F36">
            <w:pPr>
              <w:jc w:val="center"/>
              <w:textAlignment w:val="baseline"/>
              <w:rPr>
                <w:highlight w:val="yellow"/>
              </w:rPr>
            </w:pPr>
            <w:r w:rsidRPr="00FD02F8">
              <w:rPr>
                <w:noProof/>
              </w:rPr>
              <w:drawing>
                <wp:inline distT="0" distB="0" distL="0" distR="0" wp14:anchorId="31AB644A" wp14:editId="173342C7">
                  <wp:extent cx="463550" cy="463550"/>
                  <wp:effectExtent l="0" t="0" r="0" b="0"/>
                  <wp:docPr id="808970935"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462" w:type="pct"/>
            <w:tcBorders>
              <w:top w:val="single" w:sz="8" w:space="0" w:color="auto"/>
              <w:left w:val="single" w:sz="8" w:space="0" w:color="auto"/>
              <w:bottom w:val="single" w:sz="8" w:space="0" w:color="auto"/>
              <w:right w:val="single" w:sz="8" w:space="0" w:color="auto"/>
            </w:tcBorders>
            <w:vAlign w:val="center"/>
          </w:tcPr>
          <w:p w14:paraId="3F8CD3E0" w14:textId="6809FF83" w:rsidR="00B62810" w:rsidRDefault="00B62810" w:rsidP="00B62810">
            <w:pPr>
              <w:textAlignment w:val="baseline"/>
              <w:rPr>
                <w:rFonts w:ascii="Arial" w:eastAsia="Times New Roman" w:hAnsi="Arial" w:cs="Arial"/>
                <w:lang w:eastAsia="en-GB"/>
              </w:rPr>
            </w:pPr>
            <w:r>
              <w:rPr>
                <w:rFonts w:ascii="Arial" w:eastAsia="Times New Roman" w:hAnsi="Arial" w:cs="Arial"/>
                <w:lang w:eastAsia="en-GB"/>
              </w:rPr>
              <w:t>*</w:t>
            </w:r>
            <w:r w:rsidR="002C174A" w:rsidRPr="00FD02F8">
              <w:rPr>
                <w:rFonts w:ascii="Arial" w:eastAsia="Times New Roman" w:hAnsi="Arial" w:cs="Arial"/>
                <w:lang w:eastAsia="en-GB"/>
              </w:rPr>
              <w:t>Reporting for this Key Result is one quarter in arrears.</w:t>
            </w:r>
          </w:p>
          <w:p w14:paraId="62D26E79" w14:textId="37343E78" w:rsidR="00191728" w:rsidRPr="00F47C90" w:rsidRDefault="002372A7" w:rsidP="00B62810">
            <w:pPr>
              <w:spacing w:after="120"/>
              <w:textAlignment w:val="baseline"/>
              <w:rPr>
                <w:rFonts w:ascii="Arial" w:eastAsia="Times New Roman" w:hAnsi="Arial" w:cs="Arial"/>
                <w:lang w:eastAsia="en-GB"/>
              </w:rPr>
            </w:pPr>
            <w:r w:rsidRPr="00F47C90">
              <w:rPr>
                <w:rFonts w:ascii="Arial" w:eastAsia="Times New Roman" w:hAnsi="Arial" w:cs="Arial"/>
                <w:lang w:eastAsia="en-GB"/>
              </w:rPr>
              <w:t>Q2</w:t>
            </w:r>
            <w:r w:rsidR="00B544DD">
              <w:rPr>
                <w:rFonts w:ascii="Arial" w:eastAsia="Times New Roman" w:hAnsi="Arial" w:cs="Arial"/>
                <w:lang w:eastAsia="en-GB"/>
              </w:rPr>
              <w:t xml:space="preserve">: </w:t>
            </w:r>
            <w:r w:rsidR="00B544DD" w:rsidRPr="00F47C90">
              <w:rPr>
                <w:rFonts w:ascii="Arial" w:eastAsia="Times New Roman" w:hAnsi="Arial" w:cs="Arial"/>
                <w:lang w:eastAsia="en-GB"/>
              </w:rPr>
              <w:t xml:space="preserve">7.36% </w:t>
            </w:r>
            <w:r w:rsidR="00B544DD">
              <w:rPr>
                <w:rFonts w:ascii="Arial" w:eastAsia="Times New Roman" w:hAnsi="Arial" w:cs="Arial"/>
                <w:lang w:eastAsia="en-GB"/>
              </w:rPr>
              <w:t>reduction against Q2 20</w:t>
            </w:r>
            <w:r w:rsidRPr="00F47C90">
              <w:rPr>
                <w:rFonts w:ascii="Arial" w:eastAsia="Times New Roman" w:hAnsi="Arial" w:cs="Arial"/>
                <w:lang w:eastAsia="en-GB"/>
              </w:rPr>
              <w:t xml:space="preserve">24/25 </w:t>
            </w:r>
            <w:r w:rsidR="00B544DD">
              <w:rPr>
                <w:rFonts w:ascii="Arial" w:eastAsia="Times New Roman" w:hAnsi="Arial" w:cs="Arial"/>
                <w:lang w:eastAsia="en-GB"/>
              </w:rPr>
              <w:t>figures.</w:t>
            </w:r>
          </w:p>
          <w:p w14:paraId="166CEAA2" w14:textId="26E69111" w:rsidR="00191728" w:rsidRDefault="00191728" w:rsidP="00B62810">
            <w:pPr>
              <w:spacing w:after="120"/>
              <w:textAlignment w:val="baseline"/>
              <w:rPr>
                <w:rFonts w:ascii="Arial" w:eastAsia="Times New Roman" w:hAnsi="Arial" w:cs="Arial"/>
                <w:lang w:eastAsia="en-GB"/>
              </w:rPr>
            </w:pPr>
            <w:r w:rsidRPr="00FD02F8">
              <w:rPr>
                <w:rFonts w:ascii="Arial" w:eastAsia="Times New Roman" w:hAnsi="Arial" w:cs="Arial"/>
                <w:lang w:eastAsia="en-GB"/>
              </w:rPr>
              <w:t>Progress on track. Glasgow sale and exit complete. Stirling exit should complete early 2026.</w:t>
            </w:r>
            <w:r w:rsidR="001D3635">
              <w:rPr>
                <w:rFonts w:ascii="Arial" w:eastAsia="Times New Roman" w:hAnsi="Arial" w:cs="Arial"/>
                <w:lang w:eastAsia="en-GB"/>
              </w:rPr>
              <w:t xml:space="preserve"> </w:t>
            </w:r>
          </w:p>
          <w:p w14:paraId="285EF82D" w14:textId="56A14B5A" w:rsidR="00191728" w:rsidRDefault="00191728" w:rsidP="003527D8">
            <w:pPr>
              <w:textAlignment w:val="baseline"/>
              <w:rPr>
                <w:rFonts w:ascii="Arial" w:eastAsia="Times New Roman" w:hAnsi="Arial" w:cs="Arial"/>
                <w:lang w:eastAsia="en-GB"/>
              </w:rPr>
            </w:pPr>
            <w:r w:rsidRPr="00F47C90">
              <w:rPr>
                <w:rFonts w:ascii="Arial" w:eastAsia="Times New Roman" w:hAnsi="Arial" w:cs="Arial"/>
                <w:lang w:eastAsia="en-GB"/>
              </w:rPr>
              <w:t>Q</w:t>
            </w:r>
            <w:r>
              <w:rPr>
                <w:rFonts w:ascii="Arial" w:eastAsia="Times New Roman" w:hAnsi="Arial" w:cs="Arial"/>
                <w:lang w:eastAsia="en-GB"/>
              </w:rPr>
              <w:t xml:space="preserve">1: </w:t>
            </w:r>
            <w:r w:rsidRPr="00F47C90">
              <w:rPr>
                <w:rFonts w:ascii="Arial" w:eastAsia="Times New Roman" w:hAnsi="Arial" w:cs="Arial"/>
                <w:lang w:eastAsia="en-GB"/>
              </w:rPr>
              <w:t xml:space="preserve">7.29% </w:t>
            </w:r>
            <w:r>
              <w:rPr>
                <w:rFonts w:ascii="Arial" w:eastAsia="Times New Roman" w:hAnsi="Arial" w:cs="Arial"/>
                <w:lang w:eastAsia="en-GB"/>
              </w:rPr>
              <w:t>reduction against Q1 20</w:t>
            </w:r>
            <w:r w:rsidRPr="00F47C90">
              <w:rPr>
                <w:rFonts w:ascii="Arial" w:eastAsia="Times New Roman" w:hAnsi="Arial" w:cs="Arial"/>
                <w:lang w:eastAsia="en-GB"/>
              </w:rPr>
              <w:t xml:space="preserve">24/25 </w:t>
            </w:r>
            <w:r>
              <w:rPr>
                <w:rFonts w:ascii="Arial" w:eastAsia="Times New Roman" w:hAnsi="Arial" w:cs="Arial"/>
                <w:lang w:eastAsia="en-GB"/>
              </w:rPr>
              <w:t>figures.</w:t>
            </w:r>
          </w:p>
          <w:p w14:paraId="378486FF" w14:textId="27174558" w:rsidR="00C67501" w:rsidRPr="00B62810" w:rsidRDefault="002372A7" w:rsidP="003527D8">
            <w:pPr>
              <w:textAlignment w:val="baseline"/>
              <w:rPr>
                <w:rFonts w:ascii="Arial" w:eastAsia="Times New Roman" w:hAnsi="Arial" w:cs="Arial"/>
                <w:lang w:eastAsia="en-GB"/>
              </w:rPr>
            </w:pPr>
            <w:r w:rsidRPr="00F47C90">
              <w:rPr>
                <w:rFonts w:ascii="Arial" w:eastAsia="Times New Roman" w:hAnsi="Arial" w:cs="Arial"/>
                <w:lang w:eastAsia="en-GB"/>
              </w:rPr>
              <w:t>Cumulative Q1</w:t>
            </w:r>
            <w:r w:rsidR="00F91F67">
              <w:rPr>
                <w:rFonts w:ascii="Arial" w:eastAsia="Times New Roman" w:hAnsi="Arial" w:cs="Arial"/>
                <w:lang w:eastAsia="en-GB"/>
              </w:rPr>
              <w:t xml:space="preserve"> and </w:t>
            </w:r>
            <w:r w:rsidRPr="00F47C90">
              <w:rPr>
                <w:rFonts w:ascii="Arial" w:eastAsia="Times New Roman" w:hAnsi="Arial" w:cs="Arial"/>
                <w:lang w:eastAsia="en-GB"/>
              </w:rPr>
              <w:t>Q2</w:t>
            </w:r>
            <w:r w:rsidR="00F91F67">
              <w:rPr>
                <w:rFonts w:ascii="Arial" w:eastAsia="Times New Roman" w:hAnsi="Arial" w:cs="Arial"/>
                <w:lang w:eastAsia="en-GB"/>
              </w:rPr>
              <w:t>:</w:t>
            </w:r>
            <w:r w:rsidR="00F91F67" w:rsidRPr="00F47C90">
              <w:rPr>
                <w:rFonts w:ascii="Arial" w:eastAsia="Times New Roman" w:hAnsi="Arial" w:cs="Arial"/>
                <w:lang w:eastAsia="en-GB"/>
              </w:rPr>
              <w:t xml:space="preserve"> 7.</w:t>
            </w:r>
            <w:r w:rsidR="00F91F67">
              <w:rPr>
                <w:rFonts w:ascii="Arial" w:eastAsia="Times New Roman" w:hAnsi="Arial" w:cs="Arial"/>
                <w:lang w:eastAsia="en-GB"/>
              </w:rPr>
              <w:t>32</w:t>
            </w:r>
            <w:r w:rsidR="00F91F67" w:rsidRPr="00F47C90">
              <w:rPr>
                <w:rFonts w:ascii="Arial" w:eastAsia="Times New Roman" w:hAnsi="Arial" w:cs="Arial"/>
                <w:lang w:eastAsia="en-GB"/>
              </w:rPr>
              <w:t xml:space="preserve">% </w:t>
            </w:r>
            <w:r w:rsidR="00F91F67">
              <w:rPr>
                <w:rFonts w:ascii="Arial" w:eastAsia="Times New Roman" w:hAnsi="Arial" w:cs="Arial"/>
                <w:lang w:eastAsia="en-GB"/>
              </w:rPr>
              <w:t>reduction against Q1 and Q2 20</w:t>
            </w:r>
            <w:r w:rsidR="00F91F67" w:rsidRPr="00F47C90">
              <w:rPr>
                <w:rFonts w:ascii="Arial" w:eastAsia="Times New Roman" w:hAnsi="Arial" w:cs="Arial"/>
                <w:lang w:eastAsia="en-GB"/>
              </w:rPr>
              <w:t xml:space="preserve">24/25 </w:t>
            </w:r>
            <w:r w:rsidR="00F91F67">
              <w:rPr>
                <w:rFonts w:ascii="Arial" w:eastAsia="Times New Roman" w:hAnsi="Arial" w:cs="Arial"/>
                <w:lang w:eastAsia="en-GB"/>
              </w:rPr>
              <w:t>figures.</w:t>
            </w:r>
          </w:p>
          <w:p w14:paraId="66C0581B" w14:textId="54783970" w:rsidR="00914BA3" w:rsidRPr="00FD02F8" w:rsidRDefault="00914BA3" w:rsidP="00B62810">
            <w:pPr>
              <w:rPr>
                <w:rFonts w:eastAsia="Times New Roman" w:cstheme="minorHAnsi"/>
                <w:lang w:eastAsia="en-GB"/>
              </w:rPr>
            </w:pPr>
            <w:r>
              <w:rPr>
                <w:rFonts w:eastAsia="Times New Roman" w:cstheme="minorHAnsi"/>
                <w:lang w:eastAsia="en-GB"/>
              </w:rPr>
              <w:t>Wo</w:t>
            </w:r>
            <w:r w:rsidR="00D21E0F">
              <w:rPr>
                <w:rFonts w:eastAsia="Times New Roman" w:cstheme="minorHAnsi"/>
                <w:lang w:eastAsia="en-GB"/>
              </w:rPr>
              <w:t>rkspace emissions are subject to multiple variables and as such w</w:t>
            </w:r>
            <w:r w:rsidRPr="00FD02F8">
              <w:rPr>
                <w:rFonts w:eastAsia="Times New Roman" w:cstheme="minorHAnsi"/>
                <w:lang w:eastAsia="en-GB"/>
              </w:rPr>
              <w:t xml:space="preserve">e cannot yet state that the key result has been completed. </w:t>
            </w:r>
          </w:p>
          <w:p w14:paraId="711F394E" w14:textId="65615BC6" w:rsidR="006C27D9" w:rsidRPr="00FD02F8" w:rsidRDefault="006C27D9" w:rsidP="00B62810">
            <w:pPr>
              <w:textAlignment w:val="baseline"/>
              <w:rPr>
                <w:rFonts w:ascii="Arial" w:eastAsia="Times New Roman" w:hAnsi="Arial" w:cs="Arial"/>
                <w:b/>
                <w:bCs/>
                <w:highlight w:val="yellow"/>
                <w:lang w:eastAsia="en-GB"/>
              </w:rPr>
            </w:pPr>
            <w:r w:rsidRPr="00FD02F8">
              <w:rPr>
                <w:rFonts w:ascii="Arial" w:eastAsia="Times New Roman" w:hAnsi="Arial" w:cs="Arial"/>
                <w:b/>
                <w:bCs/>
                <w:lang w:eastAsia="en-GB"/>
              </w:rPr>
              <w:t>Confidence in forecast: High</w:t>
            </w:r>
          </w:p>
        </w:tc>
        <w:tc>
          <w:tcPr>
            <w:tcW w:w="453" w:type="pct"/>
            <w:tcBorders>
              <w:top w:val="single" w:sz="8" w:space="0" w:color="auto"/>
              <w:left w:val="single" w:sz="8" w:space="0" w:color="auto"/>
              <w:bottom w:val="single" w:sz="8" w:space="0" w:color="auto"/>
              <w:right w:val="single" w:sz="8" w:space="0" w:color="auto"/>
            </w:tcBorders>
            <w:vAlign w:val="center"/>
          </w:tcPr>
          <w:p w14:paraId="55E653B4" w14:textId="7157ACE0" w:rsidR="00A07F72" w:rsidRPr="00FD02F8" w:rsidRDefault="00437530" w:rsidP="00A41A1F">
            <w:pPr>
              <w:jc w:val="cente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Delivered</w:t>
            </w:r>
          </w:p>
        </w:tc>
      </w:tr>
    </w:tbl>
    <w:p w14:paraId="15A8D7DA" w14:textId="0FE8A0CA" w:rsidR="00FE72CB" w:rsidRPr="00FD02F8" w:rsidRDefault="00FE72CB" w:rsidP="00FE72CB">
      <w:pPr>
        <w:spacing w:before="240" w:after="120"/>
        <w:rPr>
          <w:sz w:val="28"/>
          <w:szCs w:val="28"/>
        </w:rPr>
      </w:pPr>
      <w:r w:rsidRPr="00FD02F8">
        <w:rPr>
          <w:b/>
          <w:sz w:val="28"/>
          <w:szCs w:val="28"/>
        </w:rPr>
        <w:t>Overall objective score</w:t>
      </w:r>
      <w:r w:rsidRPr="00FD02F8">
        <w:rPr>
          <w:sz w:val="28"/>
          <w:szCs w:val="28"/>
        </w:rPr>
        <w:t xml:space="preserve"> =</w:t>
      </w:r>
      <w:r w:rsidRPr="00FD02F8">
        <w:rPr>
          <w:color w:val="016574"/>
          <w:sz w:val="28"/>
          <w:szCs w:val="28"/>
        </w:rPr>
        <w:t xml:space="preserve"> </w:t>
      </w:r>
      <w:r w:rsidR="00C563FE">
        <w:rPr>
          <w:sz w:val="28"/>
          <w:szCs w:val="28"/>
        </w:rPr>
        <w:t>0.5</w:t>
      </w:r>
    </w:p>
    <w:p w14:paraId="5FEA6C21" w14:textId="77777777" w:rsidR="00202277" w:rsidRPr="00FD02F8" w:rsidRDefault="00202277" w:rsidP="000E7600">
      <w:pPr>
        <w:spacing w:line="240" w:lineRule="auto"/>
        <w:sectPr w:rsidR="00202277" w:rsidRPr="00FD02F8" w:rsidSect="00074411">
          <w:pgSz w:w="16838" w:h="11906" w:orient="landscape" w:code="9"/>
          <w:pgMar w:top="1083" w:right="1134" w:bottom="1083" w:left="567" w:header="567" w:footer="567" w:gutter="0"/>
          <w:cols w:space="708"/>
          <w:titlePg/>
          <w:docGrid w:linePitch="360"/>
        </w:sectPr>
      </w:pPr>
    </w:p>
    <w:p w14:paraId="540987C0" w14:textId="25EBECD0" w:rsidR="00202277" w:rsidRPr="00FD02F8" w:rsidRDefault="00202277" w:rsidP="7D52A5B7">
      <w:pPr>
        <w:pStyle w:val="Heading2"/>
        <w:shd w:val="clear" w:color="auto" w:fill="016574" w:themeFill="accent2"/>
        <w:spacing w:before="0" w:after="240"/>
        <w:ind w:left="720" w:hanging="720"/>
        <w:rPr>
          <w:color w:val="FFFFFF" w:themeColor="background1"/>
          <w:sz w:val="48"/>
          <w:szCs w:val="48"/>
        </w:rPr>
      </w:pPr>
      <w:bookmarkStart w:id="22" w:name="_Toc1036290901"/>
      <w:r w:rsidRPr="00FD02F8">
        <w:rPr>
          <w:color w:val="FFFFFF" w:themeColor="background1"/>
          <w:sz w:val="48"/>
          <w:szCs w:val="48"/>
        </w:rPr>
        <w:lastRenderedPageBreak/>
        <w:t>Climate Resilience</w:t>
      </w:r>
      <w:bookmarkEnd w:id="22"/>
    </w:p>
    <w:p w14:paraId="0CA9BE60" w14:textId="1AC4ECE4" w:rsidR="00202277" w:rsidRPr="00FD02F8" w:rsidRDefault="009819B4" w:rsidP="00202277">
      <w:pPr>
        <w:pStyle w:val="BodyText1"/>
        <w:shd w:val="clear" w:color="auto" w:fill="018395"/>
        <w:spacing w:before="240" w:after="120"/>
        <w:rPr>
          <w:color w:val="FFFFFF" w:themeColor="background1"/>
          <w:sz w:val="36"/>
          <w:szCs w:val="36"/>
        </w:rPr>
      </w:pPr>
      <w:r w:rsidRPr="00FD02F8">
        <w:rPr>
          <w:color w:val="FFFFFF" w:themeColor="background1"/>
          <w:sz w:val="36"/>
          <w:szCs w:val="36"/>
        </w:rPr>
        <w:t xml:space="preserve">Our ambition is that the damaging impacts of floods and droughts is reduced, and that operators are prepared for and resilient to the impacts of a changing climate. </w:t>
      </w:r>
    </w:p>
    <w:p w14:paraId="66F91262" w14:textId="77777777" w:rsidR="00202277" w:rsidRPr="00FD02F8" w:rsidRDefault="00202277" w:rsidP="00202277"/>
    <w:p w14:paraId="48F05DDE" w14:textId="777465FB" w:rsidR="0067407E" w:rsidRPr="00FD02F8" w:rsidRDefault="00CB594E" w:rsidP="00E53135">
      <w:pPr>
        <w:pStyle w:val="Heading3"/>
        <w:spacing w:before="120" w:after="120"/>
        <w:rPr>
          <w:color w:val="016574"/>
          <w:sz w:val="32"/>
          <w:szCs w:val="28"/>
        </w:rPr>
      </w:pPr>
      <w:r w:rsidRPr="00FD02F8">
        <w:rPr>
          <w:color w:val="016574"/>
          <w:sz w:val="32"/>
          <w:szCs w:val="28"/>
        </w:rPr>
        <w:t>CR</w:t>
      </w:r>
      <w:r w:rsidR="0067407E" w:rsidRPr="00FD02F8">
        <w:rPr>
          <w:color w:val="016574"/>
          <w:sz w:val="32"/>
          <w:szCs w:val="28"/>
        </w:rPr>
        <w:t xml:space="preserve"> OKR3: </w:t>
      </w:r>
      <w:r w:rsidRPr="00FD02F8">
        <w:rPr>
          <w:color w:val="016574"/>
          <w:sz w:val="32"/>
          <w:szCs w:val="28"/>
        </w:rPr>
        <w:t>Improve awareness and understanding of flood and drought risk, including implications of climate change, to support effective decision making</w:t>
      </w:r>
      <w:r w:rsidR="0067407E" w:rsidRPr="00FD02F8">
        <w:rPr>
          <w:color w:val="016574"/>
          <w:sz w:val="32"/>
          <w:szCs w:val="28"/>
        </w:rPr>
        <w:t>.</w:t>
      </w:r>
    </w:p>
    <w:p w14:paraId="7C432B90" w14:textId="11723CB1" w:rsidR="00202277" w:rsidRPr="00FD02F8" w:rsidRDefault="00730798" w:rsidP="006F69A3">
      <w:pPr>
        <w:pStyle w:val="BodyText1"/>
      </w:pPr>
      <w:r w:rsidRPr="00FD02F8">
        <w:rPr>
          <w:noProof/>
        </w:rPr>
        <w:drawing>
          <wp:inline distT="0" distB="0" distL="0" distR="0" wp14:anchorId="668F0CBE" wp14:editId="61862708">
            <wp:extent cx="9614780" cy="3096285"/>
            <wp:effectExtent l="0" t="0" r="5715" b="8890"/>
            <wp:docPr id="1051943545" name="Chart 1" descr="This is a bar graph which shows the score of each key result for OKR03 over each quarter. &#10;There is a line on the score scale of 0.7 to represent whether the KR is being delivered. There is another line on the score scale of 0.3 to represent whether measurable progress has been made in the quarter.&#10;For Q1, KR3.1 scored 0.8.&#10;For Q1, KR3.2, KR3.3 and KR3.4 had no scores as these will be progressed later in the year.&#10;&#10;For Q2, KR3.1 scored 0.9.&#10;KR3.2, KR3.3 and KR3.4 has no scores as these will be progressed later in the year.&#10;&#10;For Q3, &#10;KR3.1 scored 1.&#10;KR3.2 scored 1.&#10;KR3.3 and KR3.4 has no scores as these will be progressed later in the year.">
              <a:extLst xmlns:a="http://schemas.openxmlformats.org/drawingml/2006/main">
                <a:ext uri="{FF2B5EF4-FFF2-40B4-BE49-F238E27FC236}">
                  <a16:creationId xmlns:a16="http://schemas.microsoft.com/office/drawing/2014/main" id="{D42E82C3-3DC2-4F1F-938B-91340EC2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5B209CB" w14:textId="77777777" w:rsidR="00765AD8" w:rsidRPr="00FD02F8" w:rsidRDefault="00765AD8" w:rsidP="006F69A3">
      <w:pPr>
        <w:pStyle w:val="BodyText1"/>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3 key result summary"/>
        <w:tblDescription w:val="Quarterly summary for each of the four key results under OKR3. This includes the date due, Q3 score, Q3 status, Q3 commentary and annual forecast for each key result."/>
      </w:tblPr>
      <w:tblGrid>
        <w:gridCol w:w="3869"/>
        <w:gridCol w:w="767"/>
        <w:gridCol w:w="924"/>
        <w:gridCol w:w="924"/>
        <w:gridCol w:w="924"/>
        <w:gridCol w:w="924"/>
        <w:gridCol w:w="1020"/>
        <w:gridCol w:w="3841"/>
        <w:gridCol w:w="1765"/>
      </w:tblGrid>
      <w:tr w:rsidR="001A2A6F" w:rsidRPr="00FD02F8" w14:paraId="4C60D79A" w14:textId="77777777" w:rsidTr="00FD77E8">
        <w:trPr>
          <w:cantSplit/>
          <w:trHeight w:val="545"/>
          <w:tblHeader/>
        </w:trPr>
        <w:tc>
          <w:tcPr>
            <w:tcW w:w="1293" w:type="pct"/>
            <w:tcBorders>
              <w:bottom w:val="single" w:sz="8" w:space="0" w:color="auto"/>
            </w:tcBorders>
            <w:shd w:val="clear" w:color="auto" w:fill="016574" w:themeFill="accent2"/>
          </w:tcPr>
          <w:p w14:paraId="47A1FB63" w14:textId="77777777" w:rsidR="00C1757C" w:rsidRPr="00FD02F8" w:rsidRDefault="00C1757C">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t>Key Results</w:t>
            </w:r>
          </w:p>
        </w:tc>
        <w:tc>
          <w:tcPr>
            <w:tcW w:w="256" w:type="pct"/>
            <w:tcBorders>
              <w:bottom w:val="single" w:sz="8" w:space="0" w:color="auto"/>
            </w:tcBorders>
            <w:shd w:val="clear" w:color="auto" w:fill="016574" w:themeFill="accent2"/>
          </w:tcPr>
          <w:p w14:paraId="2C35DAAD" w14:textId="77777777" w:rsidR="00C1757C" w:rsidRPr="00FD02F8" w:rsidRDefault="00C1757C">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09" w:type="pct"/>
            <w:tcBorders>
              <w:bottom w:val="single" w:sz="8" w:space="0" w:color="auto"/>
            </w:tcBorders>
            <w:shd w:val="clear" w:color="auto" w:fill="016574" w:themeFill="accent2"/>
          </w:tcPr>
          <w:p w14:paraId="2912E19C" w14:textId="77777777" w:rsidR="00C1757C" w:rsidRPr="00FD02F8" w:rsidRDefault="00C1757C">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9" w:type="pct"/>
            <w:tcBorders>
              <w:bottom w:val="single" w:sz="8" w:space="0" w:color="auto"/>
            </w:tcBorders>
            <w:shd w:val="clear" w:color="auto" w:fill="016574" w:themeFill="accent2"/>
          </w:tcPr>
          <w:p w14:paraId="5465F171" w14:textId="77777777" w:rsidR="00C1757C" w:rsidRPr="00FD02F8" w:rsidRDefault="00C1757C">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9" w:type="pct"/>
            <w:tcBorders>
              <w:bottom w:val="single" w:sz="8" w:space="0" w:color="auto"/>
            </w:tcBorders>
            <w:shd w:val="clear" w:color="auto" w:fill="016574" w:themeFill="accent2"/>
          </w:tcPr>
          <w:p w14:paraId="65EC58BC" w14:textId="77777777" w:rsidR="00C1757C" w:rsidRPr="00FD02F8" w:rsidRDefault="00C1757C">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9" w:type="pct"/>
            <w:tcBorders>
              <w:bottom w:val="single" w:sz="8" w:space="0" w:color="auto"/>
            </w:tcBorders>
            <w:shd w:val="clear" w:color="auto" w:fill="016574" w:themeFill="accent2"/>
          </w:tcPr>
          <w:p w14:paraId="37151896" w14:textId="77777777" w:rsidR="00C1757C" w:rsidRPr="00FD02F8" w:rsidRDefault="00C1757C">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41" w:type="pct"/>
            <w:tcBorders>
              <w:bottom w:val="single" w:sz="8" w:space="0" w:color="auto"/>
            </w:tcBorders>
            <w:shd w:val="clear" w:color="auto" w:fill="016574" w:themeFill="accent2"/>
          </w:tcPr>
          <w:p w14:paraId="3F5D08BC" w14:textId="7C3DC210" w:rsidR="00C1757C" w:rsidRPr="00FD02F8" w:rsidRDefault="00C1757C">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E56EBD" w:rsidRPr="00FD02F8">
              <w:rPr>
                <w:rFonts w:ascii="Arial" w:eastAsia="MS PGothic" w:hAnsi="Arial" w:cs="Arial"/>
                <w:b/>
                <w:bCs/>
                <w:color w:val="FFFFFF"/>
              </w:rPr>
              <w:t>3</w:t>
            </w:r>
            <w:r w:rsidRPr="00FD02F8">
              <w:rPr>
                <w:rFonts w:ascii="Arial" w:eastAsia="MS PGothic" w:hAnsi="Arial" w:cs="Arial"/>
                <w:b/>
                <w:bCs/>
                <w:color w:val="FFFFFF"/>
              </w:rPr>
              <w:t xml:space="preserve"> Status</w:t>
            </w:r>
          </w:p>
        </w:tc>
        <w:tc>
          <w:tcPr>
            <w:tcW w:w="1284" w:type="pct"/>
            <w:tcBorders>
              <w:bottom w:val="single" w:sz="8" w:space="0" w:color="auto"/>
            </w:tcBorders>
            <w:shd w:val="clear" w:color="auto" w:fill="016574" w:themeFill="accent2"/>
          </w:tcPr>
          <w:p w14:paraId="6F24F0C1" w14:textId="0807820D" w:rsidR="00C1757C" w:rsidRPr="00FD02F8" w:rsidRDefault="00C1757C">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E56EBD" w:rsidRPr="00FD02F8">
              <w:rPr>
                <w:rFonts w:ascii="Arial" w:eastAsia="MS PGothic" w:hAnsi="Arial" w:cs="Arial"/>
                <w:b/>
                <w:bCs/>
                <w:color w:val="FFFFFF"/>
                <w:sz w:val="28"/>
                <w:szCs w:val="28"/>
              </w:rPr>
              <w:t xml:space="preserve">3 </w:t>
            </w:r>
            <w:r w:rsidRPr="00FD02F8">
              <w:rPr>
                <w:rFonts w:ascii="Arial" w:eastAsia="MS PGothic" w:hAnsi="Arial" w:cs="Arial"/>
                <w:b/>
                <w:bCs/>
                <w:color w:val="FFFFFF"/>
                <w:sz w:val="28"/>
                <w:szCs w:val="28"/>
              </w:rPr>
              <w:t>commentary</w:t>
            </w:r>
          </w:p>
        </w:tc>
        <w:tc>
          <w:tcPr>
            <w:tcW w:w="590" w:type="pct"/>
            <w:tcBorders>
              <w:bottom w:val="single" w:sz="8" w:space="0" w:color="auto"/>
            </w:tcBorders>
            <w:shd w:val="clear" w:color="auto" w:fill="016574" w:themeFill="accent2"/>
          </w:tcPr>
          <w:p w14:paraId="773521DB" w14:textId="77777777" w:rsidR="00C1757C" w:rsidRPr="00FD02F8" w:rsidRDefault="00C1757C">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1A2A6F" w:rsidRPr="00FD02F8" w14:paraId="783AB914" w14:textId="77777777" w:rsidTr="00FD77E8">
        <w:tblPrEx>
          <w:tblCellMar>
            <w:left w:w="108" w:type="dxa"/>
            <w:right w:w="108" w:type="dxa"/>
          </w:tblCellMar>
        </w:tblPrEx>
        <w:trPr>
          <w:cantSplit/>
          <w:trHeight w:val="16"/>
        </w:trPr>
        <w:tc>
          <w:tcPr>
            <w:tcW w:w="1293" w:type="pct"/>
            <w:tcBorders>
              <w:top w:val="single" w:sz="8" w:space="0" w:color="auto"/>
              <w:left w:val="single" w:sz="8" w:space="0" w:color="auto"/>
              <w:bottom w:val="single" w:sz="8" w:space="0" w:color="auto"/>
              <w:right w:val="single" w:sz="8" w:space="0" w:color="auto"/>
            </w:tcBorders>
          </w:tcPr>
          <w:p w14:paraId="3A3C1154" w14:textId="17EFD2D3" w:rsidR="00C1757C" w:rsidRPr="00FD02F8" w:rsidRDefault="008A3BDF" w:rsidP="00C96F36">
            <w:pPr>
              <w:rPr>
                <w:rFonts w:asciiTheme="majorHAnsi" w:eastAsia="Times New Roman" w:hAnsiTheme="majorHAnsi" w:cstheme="majorHAnsi"/>
                <w:color w:val="000000"/>
              </w:rPr>
            </w:pPr>
            <w:r w:rsidRPr="00FD02F8">
              <w:rPr>
                <w:rFonts w:asciiTheme="majorHAnsi" w:hAnsiTheme="majorHAnsi" w:cstheme="majorHAnsi"/>
                <w:b/>
                <w:color w:val="000000"/>
              </w:rPr>
              <w:t>KR 3.1</w:t>
            </w:r>
            <w:r w:rsidRPr="00FD02F8">
              <w:rPr>
                <w:rFonts w:asciiTheme="majorHAnsi" w:hAnsiTheme="majorHAnsi" w:cstheme="majorHAnsi"/>
                <w:color w:val="000000"/>
              </w:rPr>
              <w:t xml:space="preserve">: Complete risk assessment database build to produce statistical output for flood risk assessment service reporting. </w:t>
            </w:r>
          </w:p>
        </w:tc>
        <w:tc>
          <w:tcPr>
            <w:tcW w:w="256" w:type="pct"/>
            <w:tcBorders>
              <w:top w:val="single" w:sz="8" w:space="0" w:color="auto"/>
              <w:left w:val="single" w:sz="8" w:space="0" w:color="auto"/>
              <w:bottom w:val="single" w:sz="8" w:space="0" w:color="auto"/>
              <w:right w:val="single" w:sz="8" w:space="0" w:color="auto"/>
            </w:tcBorders>
            <w:vAlign w:val="center"/>
          </w:tcPr>
          <w:p w14:paraId="2D7189F3" w14:textId="42572E78" w:rsidR="00C1757C" w:rsidRPr="00FD02F8" w:rsidRDefault="00451691"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w:t>
            </w:r>
            <w:r w:rsidR="006556A5" w:rsidRPr="00FD02F8">
              <w:rPr>
                <w:rFonts w:asciiTheme="majorHAnsi" w:hAnsiTheme="majorHAnsi" w:cstheme="majorHAnsi"/>
                <w:color w:val="000000"/>
              </w:rPr>
              <w:t>2</w:t>
            </w:r>
          </w:p>
        </w:tc>
        <w:tc>
          <w:tcPr>
            <w:tcW w:w="309" w:type="pct"/>
            <w:tcBorders>
              <w:top w:val="single" w:sz="8" w:space="0" w:color="auto"/>
              <w:left w:val="single" w:sz="8" w:space="0" w:color="auto"/>
              <w:bottom w:val="single" w:sz="8" w:space="0" w:color="auto"/>
              <w:right w:val="single" w:sz="8" w:space="0" w:color="auto"/>
            </w:tcBorders>
            <w:vAlign w:val="center"/>
          </w:tcPr>
          <w:p w14:paraId="77C5FF39" w14:textId="1129FC7A" w:rsidR="00C1757C" w:rsidRPr="00FD02F8" w:rsidRDefault="006556A5"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lang w:eastAsia="en-GB"/>
              </w:rPr>
              <w:t>0.8</w:t>
            </w:r>
            <w:r w:rsidR="00E607EC" w:rsidRPr="00FD02F8">
              <w:rPr>
                <w:rFonts w:asciiTheme="majorHAnsi"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01DD26A5" w14:textId="01AA489D" w:rsidR="00C1757C" w:rsidRPr="00FD02F8" w:rsidRDefault="009E2B05"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0.9</w:t>
            </w:r>
            <w:r w:rsidR="00A30D03" w:rsidRPr="00FD02F8">
              <w:rPr>
                <w:rFonts w:ascii="Arial" w:eastAsia="Times New Roman" w:hAnsi="Arial" w:cs="Arial"/>
                <w:szCs w:val="28"/>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1C204203" w14:textId="0089CCBF" w:rsidR="00C1757C" w:rsidRPr="00FD02F8" w:rsidRDefault="006D2550"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309" w:type="pct"/>
            <w:tcBorders>
              <w:top w:val="single" w:sz="8" w:space="0" w:color="auto"/>
              <w:left w:val="single" w:sz="8" w:space="0" w:color="auto"/>
              <w:bottom w:val="single" w:sz="8" w:space="0" w:color="auto"/>
              <w:right w:val="single" w:sz="8" w:space="0" w:color="auto"/>
            </w:tcBorders>
            <w:vAlign w:val="center"/>
          </w:tcPr>
          <w:p w14:paraId="1C913E2B" w14:textId="77777777" w:rsidR="00C1757C" w:rsidRPr="00FD02F8" w:rsidRDefault="00C1757C"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0B0AB045" w14:textId="72D5339A" w:rsidR="00C1757C" w:rsidRPr="00FD02F8" w:rsidRDefault="00837857" w:rsidP="00C96F36">
            <w:pPr>
              <w:jc w:val="center"/>
              <w:textAlignment w:val="baseline"/>
              <w:rPr>
                <w:rFonts w:ascii="Arial" w:eastAsia="Times New Roman" w:hAnsi="Arial" w:cs="Arial"/>
                <w:szCs w:val="28"/>
                <w:highlight w:val="yellow"/>
                <w:lang w:eastAsia="en-GB"/>
              </w:rPr>
            </w:pPr>
            <w:r w:rsidRPr="00FD02F8">
              <w:rPr>
                <w:noProof/>
              </w:rPr>
              <w:drawing>
                <wp:inline distT="0" distB="0" distL="0" distR="0" wp14:anchorId="78298710" wp14:editId="6C2F7535">
                  <wp:extent cx="463550" cy="463550"/>
                  <wp:effectExtent l="0" t="0" r="0" b="0"/>
                  <wp:docPr id="897795452"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341906D5" w14:textId="31ABEA8C" w:rsidR="00C27F0A" w:rsidRPr="00FD02F8" w:rsidRDefault="002A4CAD" w:rsidP="00C96F36">
            <w:pPr>
              <w:textAlignment w:val="baseline"/>
              <w:rPr>
                <w:rFonts w:ascii="Arial" w:eastAsia="Times New Roman" w:hAnsi="Arial" w:cs="Arial"/>
                <w:highlight w:val="yellow"/>
                <w:lang w:eastAsia="en-GB"/>
              </w:rPr>
            </w:pPr>
            <w:r w:rsidRPr="00FD02F8">
              <w:rPr>
                <w:rFonts w:ascii="Arial" w:eastAsia="Times New Roman" w:hAnsi="Arial" w:cs="Arial"/>
                <w:b/>
                <w:lang w:eastAsia="en-GB"/>
              </w:rPr>
              <w:t>Key result d</w:t>
            </w:r>
            <w:r w:rsidR="009D512A" w:rsidRPr="00FD02F8">
              <w:rPr>
                <w:rFonts w:ascii="Arial" w:eastAsia="Times New Roman" w:hAnsi="Arial" w:cs="Arial"/>
                <w:b/>
                <w:lang w:eastAsia="en-GB"/>
              </w:rPr>
              <w:t>elivered</w:t>
            </w:r>
            <w:r w:rsidR="009D512A" w:rsidRPr="00FD02F8">
              <w:rPr>
                <w:rFonts w:ascii="Arial" w:eastAsia="Times New Roman" w:hAnsi="Arial" w:cs="Arial"/>
                <w:lang w:eastAsia="en-GB"/>
              </w:rPr>
              <w:t xml:space="preserve">. </w:t>
            </w:r>
            <w:r w:rsidR="00FF25FC" w:rsidRPr="00FD02F8">
              <w:rPr>
                <w:rFonts w:ascii="Arial" w:eastAsia="Times New Roman" w:hAnsi="Arial" w:cs="Arial"/>
                <w:lang w:eastAsia="en-GB"/>
              </w:rPr>
              <w:t>Completed in November 2025 and the results used in OKR3.2 National Flood Risk Assessment publication.</w:t>
            </w:r>
          </w:p>
        </w:tc>
        <w:tc>
          <w:tcPr>
            <w:tcW w:w="590" w:type="pct"/>
            <w:tcBorders>
              <w:top w:val="single" w:sz="8" w:space="0" w:color="auto"/>
              <w:left w:val="single" w:sz="8" w:space="0" w:color="auto"/>
              <w:bottom w:val="single" w:sz="8" w:space="0" w:color="auto"/>
              <w:right w:val="single" w:sz="8" w:space="0" w:color="auto"/>
            </w:tcBorders>
            <w:vAlign w:val="center"/>
          </w:tcPr>
          <w:p w14:paraId="3F27E2F5" w14:textId="3701B186" w:rsidR="00C1757C" w:rsidRPr="00FD02F8" w:rsidRDefault="005119A7" w:rsidP="00C96F36">
            <w:pPr>
              <w:jc w:val="center"/>
              <w:textAlignment w:val="baseline"/>
              <w:rPr>
                <w:rFonts w:ascii="Arial" w:eastAsia="Times New Roman" w:hAnsi="Arial" w:cs="Arial"/>
                <w:lang w:eastAsia="en-GB"/>
              </w:rPr>
            </w:pPr>
            <w:r w:rsidRPr="00FD02F8">
              <w:rPr>
                <w:rFonts w:ascii="Arial" w:eastAsia="Times New Roman" w:hAnsi="Arial" w:cs="Arial"/>
                <w:lang w:eastAsia="en-GB"/>
              </w:rPr>
              <w:t>Delivered</w:t>
            </w:r>
          </w:p>
        </w:tc>
      </w:tr>
      <w:tr w:rsidR="001A2A6F" w:rsidRPr="00FD02F8" w14:paraId="184A2199" w14:textId="77777777" w:rsidTr="00FD77E8">
        <w:trPr>
          <w:cantSplit/>
          <w:trHeight w:val="881"/>
        </w:trPr>
        <w:tc>
          <w:tcPr>
            <w:tcW w:w="1293" w:type="pct"/>
            <w:tcBorders>
              <w:top w:val="single" w:sz="8" w:space="0" w:color="auto"/>
              <w:left w:val="single" w:sz="8" w:space="0" w:color="auto"/>
              <w:bottom w:val="single" w:sz="8" w:space="0" w:color="auto"/>
              <w:right w:val="single" w:sz="8" w:space="0" w:color="auto"/>
            </w:tcBorders>
          </w:tcPr>
          <w:p w14:paraId="7FDB1991" w14:textId="60DDE925" w:rsidR="00C1757C" w:rsidRPr="00FD02F8" w:rsidRDefault="006431D8" w:rsidP="00C96F36">
            <w:pPr>
              <w:rPr>
                <w:rFonts w:asciiTheme="majorHAnsi" w:eastAsia="Times New Roman" w:hAnsiTheme="majorHAnsi" w:cstheme="majorHAnsi"/>
                <w:color w:val="000000"/>
              </w:rPr>
            </w:pPr>
            <w:r w:rsidRPr="00FD02F8">
              <w:rPr>
                <w:rFonts w:asciiTheme="majorHAnsi" w:hAnsiTheme="majorHAnsi" w:cstheme="majorHAnsi"/>
                <w:b/>
                <w:color w:val="000000"/>
              </w:rPr>
              <w:t>KR 3.2:</w:t>
            </w:r>
            <w:r w:rsidRPr="00FD02F8">
              <w:rPr>
                <w:rFonts w:asciiTheme="majorHAnsi" w:hAnsiTheme="majorHAnsi" w:cstheme="majorHAnsi"/>
                <w:color w:val="000000"/>
              </w:rPr>
              <w:t xml:space="preserve"> Publish a revised </w:t>
            </w:r>
            <w:r w:rsidR="00072239" w:rsidRPr="00FD02F8">
              <w:rPr>
                <w:rFonts w:asciiTheme="majorHAnsi" w:hAnsiTheme="majorHAnsi" w:cstheme="majorHAnsi"/>
                <w:color w:val="000000"/>
              </w:rPr>
              <w:t>N</w:t>
            </w:r>
            <w:r w:rsidRPr="00FD02F8">
              <w:rPr>
                <w:rFonts w:asciiTheme="majorHAnsi" w:hAnsiTheme="majorHAnsi" w:cstheme="majorHAnsi"/>
                <w:color w:val="000000"/>
              </w:rPr>
              <w:t xml:space="preserve">ational </w:t>
            </w:r>
            <w:r w:rsidR="00072239" w:rsidRPr="00FD02F8">
              <w:rPr>
                <w:rFonts w:asciiTheme="majorHAnsi" w:hAnsiTheme="majorHAnsi" w:cstheme="majorHAnsi"/>
                <w:color w:val="000000"/>
              </w:rPr>
              <w:t>F</w:t>
            </w:r>
            <w:r w:rsidRPr="00FD02F8">
              <w:rPr>
                <w:rFonts w:asciiTheme="majorHAnsi" w:hAnsiTheme="majorHAnsi" w:cstheme="majorHAnsi"/>
                <w:color w:val="000000"/>
              </w:rPr>
              <w:t xml:space="preserve">lood </w:t>
            </w:r>
            <w:r w:rsidR="00072239" w:rsidRPr="00FD02F8">
              <w:rPr>
                <w:rFonts w:asciiTheme="majorHAnsi" w:hAnsiTheme="majorHAnsi" w:cstheme="majorHAnsi"/>
                <w:color w:val="000000"/>
              </w:rPr>
              <w:t>R</w:t>
            </w:r>
            <w:r w:rsidRPr="00FD02F8">
              <w:rPr>
                <w:rFonts w:asciiTheme="majorHAnsi" w:hAnsiTheme="majorHAnsi" w:cstheme="majorHAnsi"/>
                <w:color w:val="000000"/>
              </w:rPr>
              <w:t xml:space="preserve">isk </w:t>
            </w:r>
            <w:r w:rsidR="00072239" w:rsidRPr="00FD02F8">
              <w:rPr>
                <w:rFonts w:asciiTheme="majorHAnsi" w:hAnsiTheme="majorHAnsi" w:cstheme="majorHAnsi"/>
                <w:color w:val="000000"/>
              </w:rPr>
              <w:t>A</w:t>
            </w:r>
            <w:r w:rsidRPr="00FD02F8">
              <w:rPr>
                <w:rFonts w:asciiTheme="majorHAnsi" w:hAnsiTheme="majorHAnsi" w:cstheme="majorHAnsi"/>
                <w:color w:val="000000"/>
              </w:rPr>
              <w:t xml:space="preserve">ssessment for Scotland by 31 December 2025. </w:t>
            </w:r>
          </w:p>
        </w:tc>
        <w:tc>
          <w:tcPr>
            <w:tcW w:w="256" w:type="pct"/>
            <w:tcBorders>
              <w:top w:val="single" w:sz="8" w:space="0" w:color="auto"/>
              <w:left w:val="single" w:sz="8" w:space="0" w:color="auto"/>
              <w:bottom w:val="single" w:sz="8" w:space="0" w:color="auto"/>
              <w:right w:val="single" w:sz="8" w:space="0" w:color="auto"/>
            </w:tcBorders>
            <w:vAlign w:val="center"/>
          </w:tcPr>
          <w:p w14:paraId="1370BFB2" w14:textId="14B59DA0" w:rsidR="00C1757C"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Q3</w:t>
            </w:r>
          </w:p>
        </w:tc>
        <w:tc>
          <w:tcPr>
            <w:tcW w:w="309" w:type="pct"/>
            <w:tcBorders>
              <w:top w:val="single" w:sz="8" w:space="0" w:color="auto"/>
              <w:left w:val="single" w:sz="8" w:space="0" w:color="auto"/>
              <w:bottom w:val="single" w:sz="8" w:space="0" w:color="auto"/>
              <w:right w:val="single" w:sz="8" w:space="0" w:color="auto"/>
            </w:tcBorders>
            <w:vAlign w:val="center"/>
          </w:tcPr>
          <w:p w14:paraId="6776D86B" w14:textId="4654383E" w:rsidR="00C1757C"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55596905" w14:textId="27C39863" w:rsidR="00C1757C" w:rsidRPr="00FD02F8" w:rsidRDefault="009E2B05" w:rsidP="00C96F36">
            <w:pPr>
              <w:jc w:val="center"/>
              <w:textAlignment w:val="baseline"/>
              <w:rPr>
                <w:rFonts w:ascii="Arial" w:eastAsia="Times New Roman" w:hAnsi="Arial" w:cs="Arial"/>
                <w:szCs w:val="28"/>
                <w:lang w:eastAsia="en-GB"/>
              </w:rPr>
            </w:pPr>
            <w:r w:rsidRPr="00FD02F8">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21ED116" w14:textId="7BCAA0F9" w:rsidR="00C1757C" w:rsidRPr="00FD02F8" w:rsidRDefault="008D4AB3"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309" w:type="pct"/>
            <w:tcBorders>
              <w:top w:val="single" w:sz="8" w:space="0" w:color="auto"/>
              <w:left w:val="single" w:sz="8" w:space="0" w:color="auto"/>
              <w:bottom w:val="single" w:sz="8" w:space="0" w:color="auto"/>
              <w:right w:val="single" w:sz="8" w:space="0" w:color="auto"/>
            </w:tcBorders>
            <w:vAlign w:val="center"/>
          </w:tcPr>
          <w:p w14:paraId="534824E3" w14:textId="77777777" w:rsidR="00C1757C" w:rsidRPr="00FD02F8" w:rsidRDefault="00C1757C"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11BC07E3" w14:textId="379977BB" w:rsidR="00C1757C" w:rsidRPr="00FD02F8" w:rsidRDefault="00837857" w:rsidP="00C96F36">
            <w:pPr>
              <w:jc w:val="center"/>
              <w:textAlignment w:val="baseline"/>
              <w:rPr>
                <w:b/>
                <w:bCs/>
              </w:rPr>
            </w:pPr>
            <w:r w:rsidRPr="00FD02F8">
              <w:rPr>
                <w:noProof/>
              </w:rPr>
              <w:drawing>
                <wp:inline distT="0" distB="0" distL="0" distR="0" wp14:anchorId="15931994" wp14:editId="4748F1AC">
                  <wp:extent cx="463550" cy="463550"/>
                  <wp:effectExtent l="0" t="0" r="0" b="0"/>
                  <wp:docPr id="960029171"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758746C2" w14:textId="57A26A17" w:rsidR="00D17CFE" w:rsidRPr="00FD02F8" w:rsidRDefault="008D4AB3" w:rsidP="008D4AB3">
            <w:pPr>
              <w:textAlignment w:val="baseline"/>
              <w:rPr>
                <w:rFonts w:ascii="Arial" w:eastAsia="Times New Roman" w:hAnsi="Arial" w:cs="Arial"/>
                <w:b/>
                <w:bCs/>
                <w:highlight w:val="yellow"/>
                <w:lang w:eastAsia="en-GB"/>
              </w:rPr>
            </w:pPr>
            <w:r w:rsidRPr="00FD02F8">
              <w:rPr>
                <w:rFonts w:ascii="Arial" w:eastAsia="Times New Roman" w:hAnsi="Arial" w:cs="Arial"/>
                <w:b/>
                <w:lang w:eastAsia="en-GB"/>
              </w:rPr>
              <w:t>Key result delivered</w:t>
            </w:r>
            <w:r w:rsidRPr="00FD02F8">
              <w:rPr>
                <w:rFonts w:ascii="Arial" w:eastAsia="Times New Roman" w:hAnsi="Arial" w:cs="Arial"/>
                <w:lang w:eastAsia="en-GB"/>
              </w:rPr>
              <w:t xml:space="preserve">. </w:t>
            </w:r>
            <w:r w:rsidR="00516CAC" w:rsidRPr="00FD02F8">
              <w:rPr>
                <w:rFonts w:asciiTheme="majorHAnsi" w:hAnsiTheme="majorHAnsi" w:cstheme="majorHAnsi"/>
                <w:color w:val="000000"/>
              </w:rPr>
              <w:t>National Flood Risk Assessment for Scotland</w:t>
            </w:r>
            <w:r w:rsidR="00516CAC" w:rsidRPr="00FD02F8">
              <w:rPr>
                <w:rFonts w:ascii="Arial" w:eastAsia="Times New Roman" w:hAnsi="Arial" w:cs="Arial"/>
                <w:lang w:eastAsia="en-GB"/>
              </w:rPr>
              <w:t xml:space="preserve"> p</w:t>
            </w:r>
            <w:r w:rsidRPr="00FD02F8">
              <w:rPr>
                <w:rFonts w:ascii="Arial" w:eastAsia="Times New Roman" w:hAnsi="Arial" w:cs="Arial"/>
                <w:lang w:eastAsia="en-GB"/>
              </w:rPr>
              <w:t>ublished in December 2025</w:t>
            </w:r>
          </w:p>
        </w:tc>
        <w:tc>
          <w:tcPr>
            <w:tcW w:w="590" w:type="pct"/>
            <w:tcBorders>
              <w:top w:val="single" w:sz="8" w:space="0" w:color="auto"/>
              <w:left w:val="single" w:sz="8" w:space="0" w:color="auto"/>
              <w:bottom w:val="single" w:sz="8" w:space="0" w:color="auto"/>
              <w:right w:val="single" w:sz="8" w:space="0" w:color="auto"/>
            </w:tcBorders>
            <w:vAlign w:val="center"/>
          </w:tcPr>
          <w:p w14:paraId="61B282A0" w14:textId="20E2A4AE" w:rsidR="00C1757C" w:rsidRPr="00FD02F8" w:rsidRDefault="0043736E" w:rsidP="00C96F36">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r w:rsidR="001A2A6F" w:rsidRPr="00FD02F8" w14:paraId="6D76663F" w14:textId="77777777" w:rsidTr="00FD77E8">
        <w:trPr>
          <w:cantSplit/>
          <w:trHeight w:val="1474"/>
        </w:trPr>
        <w:tc>
          <w:tcPr>
            <w:tcW w:w="1293" w:type="pct"/>
            <w:tcBorders>
              <w:top w:val="single" w:sz="8" w:space="0" w:color="auto"/>
              <w:left w:val="single" w:sz="8" w:space="0" w:color="auto"/>
              <w:bottom w:val="single" w:sz="8" w:space="0" w:color="auto"/>
              <w:right w:val="single" w:sz="8" w:space="0" w:color="auto"/>
            </w:tcBorders>
            <w:vAlign w:val="center"/>
          </w:tcPr>
          <w:p w14:paraId="6EF7AC84" w14:textId="77C16DCD" w:rsidR="00C1757C" w:rsidRPr="00FD02F8" w:rsidRDefault="006431D8" w:rsidP="00C96F36">
            <w:pPr>
              <w:jc w:val="both"/>
              <w:rPr>
                <w:rFonts w:asciiTheme="majorHAnsi" w:eastAsia="Times New Roman" w:hAnsiTheme="majorHAnsi" w:cstheme="majorHAnsi"/>
                <w:color w:val="000000"/>
              </w:rPr>
            </w:pPr>
            <w:r w:rsidRPr="00FD02F8">
              <w:rPr>
                <w:rFonts w:asciiTheme="majorHAnsi" w:hAnsiTheme="majorHAnsi" w:cstheme="majorHAnsi"/>
                <w:b/>
                <w:color w:val="000000"/>
              </w:rPr>
              <w:t>KR 3.3:</w:t>
            </w:r>
            <w:r w:rsidRPr="00FD02F8">
              <w:rPr>
                <w:rFonts w:asciiTheme="majorHAnsi" w:hAnsiTheme="majorHAnsi" w:cstheme="majorHAnsi"/>
                <w:color w:val="000000"/>
              </w:rPr>
              <w:t xml:space="preserve"> Engage five national utility infrastructure owners to increase awareness of the potential wider impacts of flooding.</w:t>
            </w:r>
          </w:p>
        </w:tc>
        <w:tc>
          <w:tcPr>
            <w:tcW w:w="256" w:type="pct"/>
            <w:tcBorders>
              <w:top w:val="single" w:sz="8" w:space="0" w:color="auto"/>
              <w:left w:val="single" w:sz="8" w:space="0" w:color="auto"/>
              <w:bottom w:val="single" w:sz="8" w:space="0" w:color="auto"/>
              <w:right w:val="single" w:sz="8" w:space="0" w:color="auto"/>
            </w:tcBorders>
            <w:vAlign w:val="center"/>
          </w:tcPr>
          <w:p w14:paraId="2EA23E2A" w14:textId="3E48FDA6" w:rsidR="00C1757C"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21378EA0" w14:textId="0E21A838" w:rsidR="00C1757C"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B6760E5" w14:textId="13F989CF" w:rsidR="00C1757C" w:rsidRPr="00FD02F8" w:rsidRDefault="009E2B05" w:rsidP="00C96F36">
            <w:pPr>
              <w:jc w:val="center"/>
              <w:textAlignment w:val="baseline"/>
              <w:rPr>
                <w:rFonts w:ascii="Arial" w:eastAsia="Times New Roman" w:hAnsi="Arial" w:cs="Arial"/>
                <w:szCs w:val="28"/>
                <w:lang w:eastAsia="en-GB"/>
              </w:rPr>
            </w:pPr>
            <w:r w:rsidRPr="00FD02F8">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77FD2A0C" w14:textId="1C38EDA0" w:rsidR="00C1757C" w:rsidRPr="00FD02F8" w:rsidRDefault="00876DC0"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tcBorders>
              <w:top w:val="single" w:sz="8" w:space="0" w:color="auto"/>
              <w:left w:val="single" w:sz="8" w:space="0" w:color="auto"/>
              <w:bottom w:val="single" w:sz="8" w:space="0" w:color="auto"/>
              <w:right w:val="single" w:sz="8" w:space="0" w:color="auto"/>
            </w:tcBorders>
            <w:vAlign w:val="center"/>
          </w:tcPr>
          <w:p w14:paraId="46430E1D" w14:textId="77777777" w:rsidR="00C1757C" w:rsidRPr="00FD02F8" w:rsidRDefault="00C1757C"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15813CD7" w14:textId="60B2B66B" w:rsidR="00C1757C" w:rsidRPr="00FD02F8" w:rsidRDefault="00FA38BE" w:rsidP="00C96F36">
            <w:pPr>
              <w:jc w:val="center"/>
              <w:textAlignment w:val="baseline"/>
              <w:rPr>
                <w:b/>
                <w:bCs/>
                <w:highlight w:val="yellow"/>
              </w:rPr>
            </w:pPr>
            <w:r w:rsidRPr="00FD02F8">
              <w:rPr>
                <w:noProof/>
                <w:highlight w:val="yellow"/>
              </w:rPr>
              <w:drawing>
                <wp:anchor distT="0" distB="0" distL="114300" distR="114300" simplePos="0" relativeHeight="251659264" behindDoc="0" locked="0" layoutInCell="1" allowOverlap="1" wp14:anchorId="430D23A0" wp14:editId="30E2C512">
                  <wp:simplePos x="0" y="0"/>
                  <wp:positionH relativeFrom="column">
                    <wp:posOffset>22225</wp:posOffset>
                  </wp:positionH>
                  <wp:positionV relativeFrom="paragraph">
                    <wp:posOffset>-74930</wp:posOffset>
                  </wp:positionV>
                  <wp:extent cx="473075" cy="481330"/>
                  <wp:effectExtent l="0" t="0" r="0" b="0"/>
                  <wp:wrapNone/>
                  <wp:docPr id="1592552378"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84" w:type="pct"/>
            <w:tcBorders>
              <w:top w:val="single" w:sz="8" w:space="0" w:color="auto"/>
              <w:left w:val="single" w:sz="8" w:space="0" w:color="auto"/>
              <w:bottom w:val="single" w:sz="8" w:space="0" w:color="auto"/>
              <w:right w:val="single" w:sz="8" w:space="0" w:color="auto"/>
            </w:tcBorders>
            <w:vAlign w:val="center"/>
          </w:tcPr>
          <w:p w14:paraId="75CD3251" w14:textId="6F7196E7" w:rsidR="00DC2357" w:rsidRPr="00FD02F8" w:rsidRDefault="00EE7D6D" w:rsidP="00C96F36">
            <w:pPr>
              <w:textAlignment w:val="baseline"/>
              <w:rPr>
                <w:rFonts w:ascii="Arial" w:eastAsia="Times New Roman" w:hAnsi="Arial" w:cs="Arial"/>
                <w:lang w:eastAsia="en-GB"/>
              </w:rPr>
            </w:pPr>
            <w:r w:rsidRPr="00FD02F8">
              <w:rPr>
                <w:rFonts w:ascii="Arial" w:eastAsia="Times New Roman" w:hAnsi="Arial" w:cs="Arial"/>
                <w:lang w:eastAsia="en-GB"/>
              </w:rPr>
              <w:t xml:space="preserve">Key result </w:t>
            </w:r>
            <w:r w:rsidR="005A790E" w:rsidRPr="00FD02F8">
              <w:rPr>
                <w:rFonts w:ascii="Arial" w:eastAsia="Times New Roman" w:hAnsi="Arial" w:cs="Arial"/>
                <w:lang w:eastAsia="en-GB"/>
              </w:rPr>
              <w:t xml:space="preserve">was </w:t>
            </w:r>
            <w:r w:rsidRPr="00FD02F8">
              <w:rPr>
                <w:rFonts w:ascii="Arial" w:eastAsia="Times New Roman" w:hAnsi="Arial" w:cs="Arial"/>
                <w:lang w:eastAsia="en-GB"/>
              </w:rPr>
              <w:t>dependent on delivery of KR3.2</w:t>
            </w:r>
            <w:r w:rsidR="00072239" w:rsidRPr="00FD02F8">
              <w:rPr>
                <w:rFonts w:ascii="Arial" w:eastAsia="Times New Roman" w:hAnsi="Arial" w:cs="Arial"/>
                <w:lang w:eastAsia="en-GB"/>
              </w:rPr>
              <w:t>,</w:t>
            </w:r>
            <w:r w:rsidRPr="00FD02F8">
              <w:rPr>
                <w:rFonts w:ascii="Arial" w:eastAsia="Times New Roman" w:hAnsi="Arial" w:cs="Arial"/>
                <w:lang w:eastAsia="en-GB"/>
              </w:rPr>
              <w:t xml:space="preserve"> so will be progressed </w:t>
            </w:r>
            <w:r w:rsidR="005A790E" w:rsidRPr="00FD02F8">
              <w:rPr>
                <w:rFonts w:ascii="Arial" w:eastAsia="Times New Roman" w:hAnsi="Arial" w:cs="Arial"/>
                <w:lang w:eastAsia="en-GB"/>
              </w:rPr>
              <w:t>during</w:t>
            </w:r>
            <w:r w:rsidRPr="00FD02F8">
              <w:rPr>
                <w:rFonts w:ascii="Arial" w:eastAsia="Times New Roman" w:hAnsi="Arial" w:cs="Arial"/>
                <w:lang w:eastAsia="en-GB"/>
              </w:rPr>
              <w:t xml:space="preserve"> Q</w:t>
            </w:r>
            <w:r w:rsidR="002D1B4A" w:rsidRPr="00FD02F8">
              <w:rPr>
                <w:rFonts w:ascii="Arial" w:eastAsia="Times New Roman" w:hAnsi="Arial" w:cs="Arial"/>
                <w:lang w:eastAsia="en-GB"/>
              </w:rPr>
              <w:t>4</w:t>
            </w:r>
            <w:r w:rsidR="009E1161" w:rsidRPr="00FD02F8">
              <w:rPr>
                <w:rFonts w:ascii="Arial" w:eastAsia="Times New Roman" w:hAnsi="Arial" w:cs="Arial"/>
                <w:lang w:eastAsia="en-GB"/>
              </w:rPr>
              <w:t xml:space="preserve">, </w:t>
            </w:r>
            <w:r w:rsidR="00FF4D50" w:rsidRPr="00FD02F8">
              <w:rPr>
                <w:rFonts w:ascii="Arial" w:eastAsia="Times New Roman" w:hAnsi="Arial" w:cs="Arial"/>
                <w:lang w:eastAsia="en-GB"/>
              </w:rPr>
              <w:t>subject to availability of stakeholders.</w:t>
            </w:r>
          </w:p>
          <w:p w14:paraId="1A07B077" w14:textId="4E72F522" w:rsidR="003E5A24" w:rsidRPr="00FD02F8" w:rsidRDefault="003E5A24" w:rsidP="00C96F36">
            <w:pPr>
              <w:textAlignment w:val="baseline"/>
              <w:rPr>
                <w:rFonts w:ascii="Arial" w:eastAsia="Times New Roman" w:hAnsi="Arial" w:cs="Arial"/>
                <w:b/>
                <w:bCs/>
                <w:highlight w:val="yellow"/>
                <w:lang w:eastAsia="en-GB"/>
              </w:rPr>
            </w:pPr>
            <w:r w:rsidRPr="00FD02F8">
              <w:rPr>
                <w:rFonts w:ascii="Arial" w:eastAsia="Times New Roman" w:hAnsi="Arial" w:cs="Arial"/>
                <w:b/>
                <w:bCs/>
                <w:lang w:eastAsia="en-GB"/>
              </w:rPr>
              <w:t>Confidence in forecast: Moderate</w:t>
            </w:r>
            <w:r w:rsidR="007B6C59" w:rsidRPr="00FD02F8">
              <w:rPr>
                <w:rFonts w:ascii="Arial" w:eastAsia="Times New Roman" w:hAnsi="Arial" w:cs="Arial"/>
                <w:b/>
                <w:bCs/>
                <w:lang w:eastAsia="en-GB"/>
              </w:rPr>
              <w:t xml:space="preserve"> to high</w:t>
            </w:r>
            <w:r w:rsidRPr="00FD02F8">
              <w:rPr>
                <w:rFonts w:ascii="Arial" w:eastAsia="Times New Roman" w:hAnsi="Arial" w:cs="Arial"/>
                <w:b/>
                <w:bCs/>
                <w:lang w:eastAsia="en-GB"/>
              </w:rPr>
              <w:t xml:space="preserve"> </w:t>
            </w:r>
          </w:p>
        </w:tc>
        <w:tc>
          <w:tcPr>
            <w:tcW w:w="590" w:type="pct"/>
            <w:tcBorders>
              <w:top w:val="single" w:sz="8" w:space="0" w:color="auto"/>
              <w:left w:val="single" w:sz="8" w:space="0" w:color="auto"/>
              <w:bottom w:val="single" w:sz="8" w:space="0" w:color="auto"/>
              <w:right w:val="single" w:sz="8" w:space="0" w:color="auto"/>
            </w:tcBorders>
            <w:vAlign w:val="center"/>
          </w:tcPr>
          <w:p w14:paraId="34098D16" w14:textId="31D467E0" w:rsidR="00C1757C" w:rsidRPr="00FD02F8" w:rsidRDefault="0043736E" w:rsidP="00C96F36">
            <w:pPr>
              <w:jc w:val="center"/>
              <w:textAlignment w:val="baseline"/>
              <w:rPr>
                <w:rFonts w:ascii="Arial" w:eastAsia="Times New Roman" w:hAnsi="Arial" w:cs="Arial"/>
                <w:szCs w:val="28"/>
                <w:highlight w:val="yellow"/>
                <w:lang w:eastAsia="en-GB"/>
              </w:rPr>
            </w:pPr>
            <w:r w:rsidRPr="00FD02F8">
              <w:rPr>
                <w:rFonts w:ascii="Arial" w:eastAsia="Times New Roman" w:hAnsi="Arial" w:cs="Arial"/>
                <w:lang w:eastAsia="en-GB"/>
              </w:rPr>
              <w:t>Delivered</w:t>
            </w:r>
          </w:p>
        </w:tc>
      </w:tr>
      <w:tr w:rsidR="001A2A6F" w:rsidRPr="00FD02F8" w14:paraId="04DD565C" w14:textId="77777777" w:rsidTr="00FD77E8">
        <w:trPr>
          <w:cantSplit/>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0B2D79FA" w14:textId="035CE28B" w:rsidR="006431D8" w:rsidRPr="00FD02F8" w:rsidRDefault="00B32B51" w:rsidP="00C96F36">
            <w:pPr>
              <w:rPr>
                <w:rFonts w:asciiTheme="majorHAnsi" w:eastAsia="Times New Roman" w:hAnsiTheme="majorHAnsi" w:cstheme="majorHAnsi"/>
                <w:color w:val="000000"/>
              </w:rPr>
            </w:pPr>
            <w:r w:rsidRPr="00FD02F8">
              <w:rPr>
                <w:rFonts w:asciiTheme="majorHAnsi" w:hAnsiTheme="majorHAnsi" w:cstheme="majorHAnsi"/>
                <w:b/>
                <w:color w:val="000000"/>
              </w:rPr>
              <w:lastRenderedPageBreak/>
              <w:t>KR 3.4:</w:t>
            </w:r>
            <w:r w:rsidRPr="00FD02F8">
              <w:rPr>
                <w:rFonts w:asciiTheme="majorHAnsi" w:hAnsiTheme="majorHAnsi" w:cstheme="majorHAnsi"/>
                <w:color w:val="000000"/>
              </w:rPr>
              <w:t xml:space="preserve"> All irrigation licences varied to include a time limited water scarcity condition. </w:t>
            </w:r>
          </w:p>
        </w:tc>
        <w:tc>
          <w:tcPr>
            <w:tcW w:w="256" w:type="pct"/>
            <w:tcBorders>
              <w:top w:val="single" w:sz="8" w:space="0" w:color="auto"/>
              <w:left w:val="single" w:sz="8" w:space="0" w:color="auto"/>
              <w:bottom w:val="single" w:sz="8" w:space="0" w:color="auto"/>
              <w:right w:val="single" w:sz="8" w:space="0" w:color="auto"/>
            </w:tcBorders>
            <w:vAlign w:val="center"/>
          </w:tcPr>
          <w:p w14:paraId="6AAD13C1" w14:textId="1137A22C" w:rsidR="006431D8"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0CDBCC33" w14:textId="15D4F909" w:rsidR="006431D8"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7358862" w14:textId="19F98A09" w:rsidR="006431D8" w:rsidRPr="00FD02F8" w:rsidRDefault="009E2B05" w:rsidP="00C96F36">
            <w:pPr>
              <w:jc w:val="center"/>
              <w:textAlignment w:val="baseline"/>
              <w:rPr>
                <w:rFonts w:ascii="Arial" w:eastAsia="Times New Roman" w:hAnsi="Arial" w:cs="Arial"/>
                <w:szCs w:val="28"/>
                <w:lang w:eastAsia="en-GB"/>
              </w:rPr>
            </w:pPr>
            <w:r w:rsidRPr="00FD02F8">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0BBDF8DD" w14:textId="2B9F382C" w:rsidR="006431D8" w:rsidRPr="00FD02F8" w:rsidRDefault="00876DC0"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tcBorders>
              <w:top w:val="single" w:sz="8" w:space="0" w:color="auto"/>
              <w:left w:val="single" w:sz="8" w:space="0" w:color="auto"/>
              <w:bottom w:val="single" w:sz="8" w:space="0" w:color="auto"/>
              <w:right w:val="single" w:sz="8" w:space="0" w:color="auto"/>
            </w:tcBorders>
            <w:vAlign w:val="center"/>
          </w:tcPr>
          <w:p w14:paraId="1200E0EC" w14:textId="03A355E7" w:rsidR="006431D8" w:rsidRPr="00FD02F8" w:rsidRDefault="0043736E"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46C17EC6" w14:textId="142A7CC0" w:rsidR="006431D8" w:rsidRPr="00FD02F8" w:rsidRDefault="00FA38BE" w:rsidP="00C96F36">
            <w:pPr>
              <w:jc w:val="center"/>
              <w:textAlignment w:val="baseline"/>
              <w:rPr>
                <w:b/>
                <w:bCs/>
              </w:rPr>
            </w:pPr>
            <w:r w:rsidRPr="00FD02F8">
              <w:rPr>
                <w:noProof/>
              </w:rPr>
              <w:drawing>
                <wp:anchor distT="0" distB="0" distL="114300" distR="114300" simplePos="0" relativeHeight="251660288" behindDoc="0" locked="0" layoutInCell="1" allowOverlap="1" wp14:anchorId="3D008B72" wp14:editId="40C7154C">
                  <wp:simplePos x="0" y="0"/>
                  <wp:positionH relativeFrom="column">
                    <wp:posOffset>39370</wp:posOffset>
                  </wp:positionH>
                  <wp:positionV relativeFrom="paragraph">
                    <wp:posOffset>4445</wp:posOffset>
                  </wp:positionV>
                  <wp:extent cx="473075" cy="481330"/>
                  <wp:effectExtent l="0" t="0" r="0" b="0"/>
                  <wp:wrapNone/>
                  <wp:docPr id="741643887"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84" w:type="pct"/>
            <w:tcBorders>
              <w:top w:val="single" w:sz="8" w:space="0" w:color="auto"/>
              <w:left w:val="single" w:sz="8" w:space="0" w:color="auto"/>
              <w:bottom w:val="single" w:sz="8" w:space="0" w:color="auto"/>
              <w:right w:val="single" w:sz="8" w:space="0" w:color="auto"/>
            </w:tcBorders>
            <w:vAlign w:val="center"/>
          </w:tcPr>
          <w:p w14:paraId="48B25C85" w14:textId="0B70E0E2" w:rsidR="00621453" w:rsidRPr="00FD02F8" w:rsidRDefault="00D824FB" w:rsidP="00C96F36">
            <w:pPr>
              <w:textAlignment w:val="baseline"/>
              <w:rPr>
                <w:rFonts w:ascii="Arial" w:eastAsia="Times New Roman" w:hAnsi="Arial" w:cs="Arial"/>
                <w:lang w:eastAsia="en-GB"/>
              </w:rPr>
            </w:pPr>
            <w:r w:rsidRPr="00FD02F8">
              <w:rPr>
                <w:rFonts w:ascii="Arial" w:eastAsia="Times New Roman" w:hAnsi="Arial" w:cs="Arial"/>
                <w:lang w:eastAsia="en-GB"/>
              </w:rPr>
              <w:t>On track</w:t>
            </w:r>
            <w:r w:rsidR="00C70FA3" w:rsidRPr="00FD02F8">
              <w:rPr>
                <w:rFonts w:ascii="Arial" w:eastAsia="Times New Roman" w:hAnsi="Arial" w:cs="Arial"/>
                <w:lang w:eastAsia="en-GB"/>
              </w:rPr>
              <w:t xml:space="preserve"> for delivery in Q4</w:t>
            </w:r>
            <w:r w:rsidRPr="00FD02F8">
              <w:rPr>
                <w:rFonts w:ascii="Arial" w:eastAsia="Times New Roman" w:hAnsi="Arial" w:cs="Arial"/>
                <w:lang w:eastAsia="en-GB"/>
              </w:rPr>
              <w:t xml:space="preserve">. </w:t>
            </w:r>
            <w:r w:rsidR="00C70FA3" w:rsidRPr="00FD02F8">
              <w:rPr>
                <w:rFonts w:ascii="Arial" w:eastAsia="Times New Roman" w:hAnsi="Arial" w:cs="Arial"/>
                <w:lang w:eastAsia="en-GB"/>
              </w:rPr>
              <w:t>All licence holders contacted and data set up for variation documents.</w:t>
            </w:r>
          </w:p>
          <w:p w14:paraId="08293EE3" w14:textId="7D9438F3" w:rsidR="006431D8" w:rsidRPr="00FD02F8" w:rsidRDefault="00621453" w:rsidP="00C96F36">
            <w:pPr>
              <w:textAlignment w:val="baseline"/>
              <w:rPr>
                <w:rFonts w:ascii="Arial" w:eastAsia="Times New Roman" w:hAnsi="Arial" w:cs="Arial"/>
                <w:b/>
                <w:bCs/>
                <w:lang w:eastAsia="en-GB"/>
              </w:rPr>
            </w:pPr>
            <w:r w:rsidRPr="00FD02F8">
              <w:rPr>
                <w:rFonts w:ascii="Arial" w:eastAsia="Times New Roman" w:hAnsi="Arial" w:cs="Arial"/>
                <w:b/>
                <w:bCs/>
                <w:lang w:eastAsia="en-GB"/>
              </w:rPr>
              <w:t>Confidence in forecast: High</w:t>
            </w:r>
            <w:r w:rsidR="00D824FB" w:rsidRPr="00FD02F8">
              <w:rPr>
                <w:rFonts w:ascii="Arial" w:eastAsia="Times New Roman" w:hAnsi="Arial" w:cs="Arial"/>
                <w:b/>
                <w:bCs/>
                <w:lang w:eastAsia="en-GB"/>
              </w:rPr>
              <w:t xml:space="preserve"> </w:t>
            </w:r>
          </w:p>
        </w:tc>
        <w:tc>
          <w:tcPr>
            <w:tcW w:w="590" w:type="pct"/>
            <w:tcBorders>
              <w:top w:val="single" w:sz="8" w:space="0" w:color="auto"/>
              <w:left w:val="single" w:sz="8" w:space="0" w:color="auto"/>
              <w:bottom w:val="single" w:sz="8" w:space="0" w:color="auto"/>
              <w:right w:val="single" w:sz="8" w:space="0" w:color="auto"/>
            </w:tcBorders>
            <w:vAlign w:val="center"/>
          </w:tcPr>
          <w:p w14:paraId="315E2C7C" w14:textId="3CA1CCD9" w:rsidR="006431D8" w:rsidRPr="00FD02F8" w:rsidRDefault="0043736E" w:rsidP="00C96F36">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bl>
    <w:p w14:paraId="2E7E07A3" w14:textId="504BD6A1" w:rsidR="004C0023" w:rsidRPr="00FD02F8" w:rsidRDefault="004C0023" w:rsidP="00C96F36">
      <w:pPr>
        <w:spacing w:before="240"/>
        <w:rPr>
          <w:sz w:val="28"/>
          <w:szCs w:val="28"/>
        </w:rPr>
      </w:pPr>
      <w:r w:rsidRPr="00FD02F8">
        <w:rPr>
          <w:b/>
          <w:sz w:val="28"/>
          <w:szCs w:val="28"/>
        </w:rPr>
        <w:t>Overall objective score</w:t>
      </w:r>
      <w:r w:rsidRPr="00FD02F8">
        <w:rPr>
          <w:sz w:val="28"/>
          <w:szCs w:val="28"/>
        </w:rPr>
        <w:t xml:space="preserve"> =</w:t>
      </w:r>
      <w:r w:rsidRPr="00FD02F8">
        <w:rPr>
          <w:color w:val="016574"/>
          <w:sz w:val="28"/>
          <w:szCs w:val="28"/>
        </w:rPr>
        <w:t xml:space="preserve"> </w:t>
      </w:r>
      <w:r w:rsidR="00711F5B" w:rsidRPr="00FD02F8">
        <w:rPr>
          <w:sz w:val="28"/>
          <w:szCs w:val="28"/>
        </w:rPr>
        <w:t>1</w:t>
      </w:r>
    </w:p>
    <w:p w14:paraId="4AAA970F" w14:textId="612DDD7F" w:rsidR="00A7284A" w:rsidRPr="00FD02F8" w:rsidRDefault="004C0023" w:rsidP="008756F7">
      <w:pPr>
        <w:pStyle w:val="Heading3"/>
        <w:spacing w:before="120" w:after="120"/>
        <w:rPr>
          <w:color w:val="016574"/>
          <w:sz w:val="32"/>
          <w:szCs w:val="28"/>
        </w:rPr>
      </w:pPr>
      <w:r w:rsidRPr="00FD02F8">
        <w:rPr>
          <w:color w:val="016574"/>
          <w:sz w:val="32"/>
          <w:szCs w:val="28"/>
        </w:rPr>
        <w:lastRenderedPageBreak/>
        <w:t xml:space="preserve">CR OKR4: </w:t>
      </w:r>
      <w:r w:rsidR="00A7284A" w:rsidRPr="00FD02F8">
        <w:rPr>
          <w:color w:val="016574"/>
          <w:sz w:val="32"/>
          <w:szCs w:val="28"/>
        </w:rPr>
        <w:t>Ensure effective and resilient flood services which are designed to meet future requirements.</w:t>
      </w:r>
    </w:p>
    <w:p w14:paraId="65A3DF75" w14:textId="6182171B" w:rsidR="00D31C3F" w:rsidRPr="00FD02F8" w:rsidRDefault="00285853" w:rsidP="004C0023">
      <w:pPr>
        <w:spacing w:before="240" w:after="120"/>
      </w:pPr>
      <w:r w:rsidRPr="00FD02F8">
        <w:rPr>
          <w:noProof/>
        </w:rPr>
        <w:drawing>
          <wp:inline distT="0" distB="0" distL="0" distR="0" wp14:anchorId="56BD5C38" wp14:editId="7DA3EDE9">
            <wp:extent cx="9497085" cy="3277355"/>
            <wp:effectExtent l="0" t="0" r="8890" b="18415"/>
            <wp:docPr id="1964930070" name="Chart 1" descr="This is a bar graph which shows the score of each key result for OKR04 over each quarter. &#10;There is a line on the score scale of 0.7 to represent whether the KR is being delivered. There is another line on the score scale of 0.3 to represent whether measurable progress has been made in the quarter.&#10;For Q1, KR4.1 scored 0.70.&#10;KR4.2 no score as this will be progressed later in the year..&#10;KR4.3 scored 0.29.&#10;&#10;For Q2, KR4.1 scored 0.70.&#10;KR4.2 no score as this will be progressed later in the year.&#10;KR4.3 scored 0.29.&#10;&#10;For Q3, KR4.1 scored 0.70.&#10;KR4.2 no score as this will be progressed later in the year.&#10;KR4.3 scored 0.43.">
              <a:extLst xmlns:a="http://schemas.openxmlformats.org/drawingml/2006/main">
                <a:ext uri="{FF2B5EF4-FFF2-40B4-BE49-F238E27FC236}">
                  <a16:creationId xmlns:a16="http://schemas.microsoft.com/office/drawing/2014/main" id="{BF124DFB-052E-47EF-B7D2-F85DF15D7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OKR4 key result summary"/>
        <w:tblDescription w:val="Quarterly summary for each of the three key results under OKR4. This includes the date due, Q3 score, Q3 status, Q3 commentary and annual forecast for each key result."/>
      </w:tblPr>
      <w:tblGrid>
        <w:gridCol w:w="3830"/>
        <w:gridCol w:w="728"/>
        <w:gridCol w:w="975"/>
        <w:gridCol w:w="975"/>
        <w:gridCol w:w="975"/>
        <w:gridCol w:w="975"/>
        <w:gridCol w:w="975"/>
        <w:gridCol w:w="3802"/>
        <w:gridCol w:w="1723"/>
      </w:tblGrid>
      <w:tr w:rsidR="00F349EA" w:rsidRPr="00FD02F8" w14:paraId="374ED242" w14:textId="77777777" w:rsidTr="00CD7363">
        <w:trPr>
          <w:cantSplit/>
          <w:trHeight w:val="545"/>
          <w:tblHeader/>
        </w:trPr>
        <w:tc>
          <w:tcPr>
            <w:tcW w:w="1280" w:type="pct"/>
            <w:tcBorders>
              <w:bottom w:val="single" w:sz="8" w:space="0" w:color="auto"/>
            </w:tcBorders>
            <w:shd w:val="clear" w:color="auto" w:fill="016574" w:themeFill="accent2"/>
          </w:tcPr>
          <w:p w14:paraId="171733E7" w14:textId="77777777" w:rsidR="00A7284A" w:rsidRPr="00FD02F8" w:rsidRDefault="00A7284A">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43" w:type="pct"/>
            <w:tcBorders>
              <w:bottom w:val="single" w:sz="8" w:space="0" w:color="auto"/>
            </w:tcBorders>
            <w:shd w:val="clear" w:color="auto" w:fill="016574" w:themeFill="accent2"/>
          </w:tcPr>
          <w:p w14:paraId="702EE8BA" w14:textId="77777777" w:rsidR="00A7284A" w:rsidRPr="00FD02F8" w:rsidRDefault="00A7284A">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26" w:type="pct"/>
            <w:tcBorders>
              <w:bottom w:val="single" w:sz="8" w:space="0" w:color="auto"/>
            </w:tcBorders>
            <w:shd w:val="clear" w:color="auto" w:fill="016574" w:themeFill="accent2"/>
          </w:tcPr>
          <w:p w14:paraId="52A3102B" w14:textId="77777777" w:rsidR="00A7284A" w:rsidRPr="00FD02F8" w:rsidRDefault="00A7284A">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26" w:type="pct"/>
            <w:tcBorders>
              <w:bottom w:val="single" w:sz="8" w:space="0" w:color="auto"/>
            </w:tcBorders>
            <w:shd w:val="clear" w:color="auto" w:fill="016574" w:themeFill="accent2"/>
          </w:tcPr>
          <w:p w14:paraId="54B03157" w14:textId="77777777" w:rsidR="00A7284A" w:rsidRPr="00FD02F8" w:rsidRDefault="00A7284A">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26" w:type="pct"/>
            <w:tcBorders>
              <w:bottom w:val="single" w:sz="8" w:space="0" w:color="auto"/>
            </w:tcBorders>
            <w:shd w:val="clear" w:color="auto" w:fill="016574" w:themeFill="accent2"/>
          </w:tcPr>
          <w:p w14:paraId="0661A9C8" w14:textId="77777777" w:rsidR="00A7284A" w:rsidRPr="00FD02F8" w:rsidRDefault="00A7284A">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26" w:type="pct"/>
            <w:tcBorders>
              <w:bottom w:val="single" w:sz="8" w:space="0" w:color="auto"/>
            </w:tcBorders>
            <w:shd w:val="clear" w:color="auto" w:fill="016574" w:themeFill="accent2"/>
          </w:tcPr>
          <w:p w14:paraId="6BBB0298" w14:textId="77777777" w:rsidR="00A7284A" w:rsidRPr="00FD02F8" w:rsidRDefault="00A7284A">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26" w:type="pct"/>
            <w:tcBorders>
              <w:bottom w:val="single" w:sz="8" w:space="0" w:color="auto"/>
            </w:tcBorders>
            <w:shd w:val="clear" w:color="auto" w:fill="016574" w:themeFill="accent2"/>
          </w:tcPr>
          <w:p w14:paraId="005F701E" w14:textId="56020CFC" w:rsidR="00A7284A" w:rsidRPr="00FD02F8" w:rsidRDefault="00A7284A">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64071D" w:rsidRPr="00FD02F8">
              <w:rPr>
                <w:rFonts w:ascii="Arial" w:eastAsia="MS PGothic" w:hAnsi="Arial" w:cs="Arial"/>
                <w:b/>
                <w:bCs/>
                <w:color w:val="FFFFFF"/>
              </w:rPr>
              <w:t>3</w:t>
            </w:r>
            <w:r w:rsidRPr="00FD02F8">
              <w:rPr>
                <w:rFonts w:ascii="Arial" w:eastAsia="MS PGothic" w:hAnsi="Arial" w:cs="Arial"/>
                <w:b/>
                <w:bCs/>
                <w:color w:val="FFFFFF"/>
              </w:rPr>
              <w:t xml:space="preserve"> Status</w:t>
            </w:r>
          </w:p>
        </w:tc>
        <w:tc>
          <w:tcPr>
            <w:tcW w:w="1271" w:type="pct"/>
            <w:tcBorders>
              <w:bottom w:val="single" w:sz="8" w:space="0" w:color="auto"/>
            </w:tcBorders>
            <w:shd w:val="clear" w:color="auto" w:fill="016574" w:themeFill="accent2"/>
          </w:tcPr>
          <w:p w14:paraId="685CDBC7" w14:textId="7F15F331" w:rsidR="00A7284A" w:rsidRPr="00FD02F8" w:rsidRDefault="00A7284A">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64071D" w:rsidRPr="00FD02F8">
              <w:rPr>
                <w:rFonts w:ascii="Arial" w:eastAsia="MS PGothic" w:hAnsi="Arial" w:cs="Arial"/>
                <w:b/>
                <w:bCs/>
                <w:color w:val="FFFFFF"/>
                <w:sz w:val="28"/>
                <w:szCs w:val="28"/>
              </w:rPr>
              <w:t>3</w:t>
            </w:r>
            <w:r w:rsidR="007B42BA" w:rsidRPr="00FD02F8">
              <w:rPr>
                <w:rFonts w:ascii="Arial" w:eastAsia="MS PGothic" w:hAnsi="Arial" w:cs="Arial"/>
                <w:b/>
                <w:bCs/>
                <w:color w:val="FFFFFF"/>
                <w:sz w:val="28"/>
                <w:szCs w:val="28"/>
              </w:rPr>
              <w:t xml:space="preserve"> </w:t>
            </w:r>
            <w:r w:rsidRPr="00FD02F8">
              <w:rPr>
                <w:rFonts w:ascii="Arial" w:eastAsia="MS PGothic" w:hAnsi="Arial" w:cs="Arial"/>
                <w:b/>
                <w:bCs/>
                <w:color w:val="FFFFFF"/>
                <w:sz w:val="28"/>
                <w:szCs w:val="28"/>
              </w:rPr>
              <w:t>commentary</w:t>
            </w:r>
          </w:p>
        </w:tc>
        <w:tc>
          <w:tcPr>
            <w:tcW w:w="577" w:type="pct"/>
            <w:tcBorders>
              <w:bottom w:val="single" w:sz="8" w:space="0" w:color="auto"/>
            </w:tcBorders>
            <w:shd w:val="clear" w:color="auto" w:fill="016574" w:themeFill="accent2"/>
          </w:tcPr>
          <w:p w14:paraId="4D6859EE" w14:textId="77777777" w:rsidR="00A7284A" w:rsidRPr="00FD02F8" w:rsidRDefault="00A7284A">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213BD9" w:rsidRPr="00FD02F8" w14:paraId="169AC6A9" w14:textId="77777777" w:rsidTr="004C3AE2">
        <w:tblPrEx>
          <w:tblCellMar>
            <w:left w:w="108" w:type="dxa"/>
            <w:right w:w="108" w:type="dxa"/>
          </w:tblCellMar>
        </w:tblPrEx>
        <w:trPr>
          <w:cantSplit/>
          <w:trHeight w:val="16"/>
        </w:trPr>
        <w:tc>
          <w:tcPr>
            <w:tcW w:w="1280" w:type="pct"/>
            <w:tcBorders>
              <w:top w:val="single" w:sz="8" w:space="0" w:color="auto"/>
              <w:left w:val="single" w:sz="8" w:space="0" w:color="auto"/>
              <w:bottom w:val="single" w:sz="8" w:space="0" w:color="auto"/>
              <w:right w:val="single" w:sz="8" w:space="0" w:color="auto"/>
            </w:tcBorders>
            <w:vAlign w:val="center"/>
          </w:tcPr>
          <w:p w14:paraId="1CC3219C" w14:textId="45CFFC2E" w:rsidR="00A7284A" w:rsidRPr="00FD02F8" w:rsidRDefault="00A7284A" w:rsidP="004C3AE2">
            <w:pPr>
              <w:rPr>
                <w:rFonts w:asciiTheme="majorHAnsi" w:eastAsia="Times New Roman" w:hAnsiTheme="majorHAnsi" w:cstheme="majorHAnsi"/>
                <w:color w:val="000000"/>
              </w:rPr>
            </w:pPr>
            <w:r w:rsidRPr="00FD02F8">
              <w:rPr>
                <w:rFonts w:asciiTheme="majorHAnsi" w:hAnsiTheme="majorHAnsi" w:cstheme="majorHAnsi"/>
                <w:b/>
                <w:color w:val="000000"/>
              </w:rPr>
              <w:t>KR4.1</w:t>
            </w:r>
            <w:r w:rsidRPr="00FD02F8">
              <w:rPr>
                <w:rFonts w:asciiTheme="majorHAnsi" w:hAnsiTheme="majorHAnsi" w:cstheme="majorHAnsi"/>
                <w:color w:val="000000"/>
              </w:rPr>
              <w:t xml:space="preserve">: Review all 10 flood services to identify improvements and future design requirements </w:t>
            </w:r>
          </w:p>
        </w:tc>
        <w:tc>
          <w:tcPr>
            <w:tcW w:w="243" w:type="pct"/>
            <w:tcBorders>
              <w:top w:val="single" w:sz="8" w:space="0" w:color="auto"/>
              <w:left w:val="single" w:sz="8" w:space="0" w:color="auto"/>
              <w:bottom w:val="single" w:sz="8" w:space="0" w:color="auto"/>
              <w:right w:val="single" w:sz="8" w:space="0" w:color="auto"/>
            </w:tcBorders>
            <w:vAlign w:val="center"/>
          </w:tcPr>
          <w:p w14:paraId="04ED2F0C" w14:textId="00E24AE9" w:rsidR="00A7284A" w:rsidRPr="00FD02F8" w:rsidRDefault="0053732A" w:rsidP="00C96F36">
            <w:pPr>
              <w:jc w:val="center"/>
              <w:textAlignment w:val="baseline"/>
              <w:rPr>
                <w:rFonts w:eastAsia="Times New Roman" w:cstheme="minorHAnsi"/>
                <w:lang w:eastAsia="en-GB"/>
              </w:rPr>
            </w:pPr>
            <w:r w:rsidRPr="00FD02F8">
              <w:rPr>
                <w:rFonts w:cstheme="minorHAnsi"/>
                <w:color w:val="000000"/>
              </w:rPr>
              <w:t>Q2</w:t>
            </w:r>
          </w:p>
        </w:tc>
        <w:tc>
          <w:tcPr>
            <w:tcW w:w="326" w:type="pct"/>
            <w:tcBorders>
              <w:top w:val="single" w:sz="8" w:space="0" w:color="auto"/>
              <w:left w:val="single" w:sz="8" w:space="0" w:color="auto"/>
              <w:bottom w:val="single" w:sz="8" w:space="0" w:color="auto"/>
              <w:right w:val="single" w:sz="8" w:space="0" w:color="auto"/>
            </w:tcBorders>
            <w:vAlign w:val="center"/>
          </w:tcPr>
          <w:p w14:paraId="1A329CE1" w14:textId="52BA5EBD" w:rsidR="00A7284A" w:rsidRPr="00FD02F8" w:rsidRDefault="0053732A" w:rsidP="00C96F36">
            <w:pPr>
              <w:jc w:val="center"/>
              <w:textAlignment w:val="baseline"/>
              <w:rPr>
                <w:rFonts w:eastAsia="Times New Roman" w:cstheme="minorHAnsi"/>
                <w:lang w:eastAsia="en-GB"/>
              </w:rPr>
            </w:pPr>
            <w:r w:rsidRPr="00FD02F8">
              <w:rPr>
                <w:rFonts w:cstheme="minorHAnsi"/>
                <w:color w:val="000000"/>
              </w:rPr>
              <w:t>0.7</w:t>
            </w:r>
            <w:r w:rsidR="00E607EC" w:rsidRPr="00FD02F8">
              <w:rPr>
                <w:rFonts w:cstheme="minorHAnsi"/>
                <w:color w:val="000000"/>
              </w:rPr>
              <w:t>0</w:t>
            </w:r>
          </w:p>
        </w:tc>
        <w:tc>
          <w:tcPr>
            <w:tcW w:w="326" w:type="pct"/>
            <w:tcBorders>
              <w:top w:val="single" w:sz="8" w:space="0" w:color="auto"/>
              <w:left w:val="single" w:sz="8" w:space="0" w:color="auto"/>
              <w:bottom w:val="single" w:sz="8" w:space="0" w:color="auto"/>
              <w:right w:val="single" w:sz="8" w:space="0" w:color="auto"/>
            </w:tcBorders>
            <w:vAlign w:val="center"/>
          </w:tcPr>
          <w:p w14:paraId="22B91C16" w14:textId="7544FAC9" w:rsidR="00A7284A" w:rsidRPr="00FD02F8" w:rsidRDefault="00621453"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0.7</w:t>
            </w:r>
            <w:r w:rsidR="00101E59" w:rsidRPr="00FD02F8">
              <w:rPr>
                <w:rFonts w:ascii="Arial" w:eastAsia="Times New Roman" w:hAnsi="Arial" w:cs="Arial"/>
                <w:szCs w:val="28"/>
                <w:lang w:eastAsia="en-GB"/>
              </w:rPr>
              <w:t>0</w:t>
            </w:r>
          </w:p>
        </w:tc>
        <w:tc>
          <w:tcPr>
            <w:tcW w:w="326" w:type="pct"/>
            <w:tcBorders>
              <w:top w:val="single" w:sz="8" w:space="0" w:color="auto"/>
              <w:left w:val="single" w:sz="8" w:space="0" w:color="auto"/>
              <w:bottom w:val="single" w:sz="8" w:space="0" w:color="auto"/>
              <w:right w:val="single" w:sz="8" w:space="0" w:color="auto"/>
            </w:tcBorders>
            <w:vAlign w:val="center"/>
          </w:tcPr>
          <w:p w14:paraId="3277423F" w14:textId="74B33100" w:rsidR="00A7284A" w:rsidRPr="00FD02F8" w:rsidRDefault="004F5714"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0.70</w:t>
            </w:r>
          </w:p>
        </w:tc>
        <w:tc>
          <w:tcPr>
            <w:tcW w:w="326" w:type="pct"/>
            <w:tcBorders>
              <w:top w:val="single" w:sz="8" w:space="0" w:color="auto"/>
              <w:left w:val="single" w:sz="8" w:space="0" w:color="auto"/>
              <w:bottom w:val="single" w:sz="8" w:space="0" w:color="auto"/>
              <w:right w:val="single" w:sz="8" w:space="0" w:color="auto"/>
            </w:tcBorders>
            <w:vAlign w:val="center"/>
          </w:tcPr>
          <w:p w14:paraId="243544F4" w14:textId="77777777" w:rsidR="00A7284A" w:rsidRPr="00FD02F8" w:rsidRDefault="00A7284A"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2AA304DB" w14:textId="4DA3D0D1" w:rsidR="00A7284A" w:rsidRPr="00FD02F8" w:rsidRDefault="0054411F" w:rsidP="00C96F36">
            <w:pPr>
              <w:jc w:val="center"/>
              <w:textAlignment w:val="baseline"/>
              <w:rPr>
                <w:rFonts w:ascii="Arial" w:eastAsia="Times New Roman" w:hAnsi="Arial" w:cs="Arial"/>
                <w:szCs w:val="28"/>
                <w:lang w:eastAsia="en-GB"/>
              </w:rPr>
            </w:pPr>
            <w:r w:rsidRPr="00FD02F8">
              <w:rPr>
                <w:noProof/>
              </w:rPr>
              <w:drawing>
                <wp:inline distT="0" distB="0" distL="0" distR="0" wp14:anchorId="208EB5FF" wp14:editId="1DE8C9D6">
                  <wp:extent cx="463550" cy="463550"/>
                  <wp:effectExtent l="0" t="0" r="0" b="0"/>
                  <wp:docPr id="61729612"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71" w:type="pct"/>
            <w:tcBorders>
              <w:top w:val="single" w:sz="8" w:space="0" w:color="auto"/>
              <w:left w:val="single" w:sz="8" w:space="0" w:color="auto"/>
              <w:bottom w:val="single" w:sz="8" w:space="0" w:color="auto"/>
              <w:right w:val="single" w:sz="8" w:space="0" w:color="auto"/>
            </w:tcBorders>
            <w:vAlign w:val="center"/>
          </w:tcPr>
          <w:p w14:paraId="4AFE1296" w14:textId="31A45D0A" w:rsidR="006F620D" w:rsidRPr="00FD02F8" w:rsidRDefault="002E0E27" w:rsidP="00C96F36">
            <w:pPr>
              <w:textAlignment w:val="baseline"/>
              <w:rPr>
                <w:rFonts w:ascii="Arial" w:eastAsia="Times New Roman" w:hAnsi="Arial" w:cs="Arial"/>
                <w:b/>
                <w:bCs/>
                <w:highlight w:val="yellow"/>
                <w:lang w:eastAsia="en-GB"/>
              </w:rPr>
            </w:pPr>
            <w:r w:rsidRPr="00FD02F8">
              <w:rPr>
                <w:rFonts w:ascii="Arial" w:eastAsia="Times New Roman" w:hAnsi="Arial" w:cs="Arial"/>
                <w:lang w:eastAsia="en-GB"/>
              </w:rPr>
              <w:t xml:space="preserve">We have made progress in refining flood service improvements and future design requirements. </w:t>
            </w:r>
            <w:r w:rsidR="000004B3" w:rsidRPr="00FD02F8">
              <w:rPr>
                <w:rFonts w:ascii="Arial" w:eastAsia="Times New Roman" w:hAnsi="Arial" w:cs="Arial"/>
                <w:lang w:eastAsia="en-GB"/>
              </w:rPr>
              <w:t xml:space="preserve">Dependency </w:t>
            </w:r>
            <w:r w:rsidR="004133BA" w:rsidRPr="00FD02F8">
              <w:rPr>
                <w:rFonts w:ascii="Arial" w:eastAsia="Times New Roman" w:hAnsi="Arial" w:cs="Arial"/>
                <w:lang w:eastAsia="en-GB"/>
              </w:rPr>
              <w:t xml:space="preserve">on access to digital design partners to progress future design requirements for key prioritised flooding business needs. </w:t>
            </w:r>
            <w:r w:rsidR="006F620D" w:rsidRPr="00FD02F8">
              <w:rPr>
                <w:rFonts w:ascii="Arial" w:eastAsia="Times New Roman" w:hAnsi="Arial" w:cs="Arial"/>
                <w:b/>
                <w:bCs/>
                <w:lang w:eastAsia="en-GB"/>
              </w:rPr>
              <w:t xml:space="preserve">Confidence in forecast: </w:t>
            </w:r>
            <w:r w:rsidR="00905C19" w:rsidRPr="00FD02F8">
              <w:rPr>
                <w:rFonts w:ascii="Arial" w:eastAsia="Times New Roman" w:hAnsi="Arial" w:cs="Arial"/>
                <w:b/>
                <w:bCs/>
                <w:lang w:eastAsia="en-GB"/>
              </w:rPr>
              <w:t>Moderate</w:t>
            </w:r>
          </w:p>
        </w:tc>
        <w:tc>
          <w:tcPr>
            <w:tcW w:w="577" w:type="pct"/>
            <w:tcBorders>
              <w:top w:val="single" w:sz="8" w:space="0" w:color="auto"/>
              <w:left w:val="single" w:sz="8" w:space="0" w:color="auto"/>
              <w:bottom w:val="single" w:sz="8" w:space="0" w:color="auto"/>
              <w:right w:val="single" w:sz="8" w:space="0" w:color="auto"/>
            </w:tcBorders>
            <w:vAlign w:val="center"/>
          </w:tcPr>
          <w:p w14:paraId="101BD3D8" w14:textId="3051534F" w:rsidR="00A7284A" w:rsidRPr="00FD02F8" w:rsidRDefault="00B61DBE" w:rsidP="00C96F36">
            <w:pPr>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Delivered</w:t>
            </w:r>
          </w:p>
        </w:tc>
      </w:tr>
      <w:tr w:rsidR="00213BD9" w:rsidRPr="00FD02F8" w14:paraId="62BE8EA8" w14:textId="77777777" w:rsidTr="004C3AE2">
        <w:trPr>
          <w:cantSplit/>
          <w:trHeight w:val="16"/>
        </w:trPr>
        <w:tc>
          <w:tcPr>
            <w:tcW w:w="1280" w:type="pct"/>
            <w:tcBorders>
              <w:top w:val="single" w:sz="8" w:space="0" w:color="auto"/>
              <w:left w:val="single" w:sz="8" w:space="0" w:color="auto"/>
              <w:bottom w:val="single" w:sz="8" w:space="0" w:color="auto"/>
              <w:right w:val="single" w:sz="8" w:space="0" w:color="auto"/>
            </w:tcBorders>
            <w:vAlign w:val="center"/>
          </w:tcPr>
          <w:p w14:paraId="5ABE1EDF" w14:textId="755B1CCC" w:rsidR="00A7284A" w:rsidRPr="00FD02F8" w:rsidRDefault="00A7284A" w:rsidP="004C3AE2">
            <w:pPr>
              <w:rPr>
                <w:rFonts w:asciiTheme="majorHAnsi" w:eastAsia="Times New Roman" w:hAnsiTheme="majorHAnsi" w:cstheme="majorHAnsi"/>
                <w:color w:val="000000"/>
              </w:rPr>
            </w:pPr>
            <w:r w:rsidRPr="00FD02F8">
              <w:rPr>
                <w:rFonts w:asciiTheme="majorHAnsi" w:hAnsiTheme="majorHAnsi" w:cstheme="majorHAnsi"/>
                <w:b/>
                <w:color w:val="000000"/>
              </w:rPr>
              <w:lastRenderedPageBreak/>
              <w:t>KR 4.2:</w:t>
            </w:r>
            <w:r w:rsidRPr="00FD02F8">
              <w:rPr>
                <w:rFonts w:asciiTheme="majorHAnsi" w:hAnsiTheme="majorHAnsi" w:cstheme="majorHAnsi"/>
                <w:color w:val="000000"/>
              </w:rPr>
              <w:t xml:space="preserve"> Increase the number of stations that deliver hydrometry data in near real time (within 30 minutes) from 70% to 95%.</w:t>
            </w:r>
          </w:p>
        </w:tc>
        <w:tc>
          <w:tcPr>
            <w:tcW w:w="243" w:type="pct"/>
            <w:tcBorders>
              <w:top w:val="single" w:sz="8" w:space="0" w:color="auto"/>
              <w:left w:val="single" w:sz="8" w:space="0" w:color="auto"/>
              <w:bottom w:val="single" w:sz="8" w:space="0" w:color="auto"/>
              <w:right w:val="single" w:sz="8" w:space="0" w:color="auto"/>
            </w:tcBorders>
            <w:vAlign w:val="center"/>
          </w:tcPr>
          <w:p w14:paraId="4AB33D6F" w14:textId="189293B0" w:rsidR="00A7284A" w:rsidRPr="00FD02F8" w:rsidRDefault="0053732A" w:rsidP="00C96F36">
            <w:pPr>
              <w:jc w:val="center"/>
              <w:textAlignment w:val="baseline"/>
              <w:rPr>
                <w:rFonts w:eastAsia="Times New Roman" w:cstheme="minorHAnsi"/>
                <w:lang w:eastAsia="en-GB"/>
              </w:rPr>
            </w:pPr>
            <w:r w:rsidRPr="00FD02F8">
              <w:rPr>
                <w:rFonts w:cstheme="minorHAnsi"/>
                <w:color w:val="000000"/>
              </w:rPr>
              <w:t xml:space="preserve">Q4 </w:t>
            </w:r>
          </w:p>
        </w:tc>
        <w:tc>
          <w:tcPr>
            <w:tcW w:w="326" w:type="pct"/>
            <w:tcBorders>
              <w:top w:val="single" w:sz="8" w:space="0" w:color="auto"/>
              <w:left w:val="single" w:sz="8" w:space="0" w:color="auto"/>
              <w:bottom w:val="single" w:sz="8" w:space="0" w:color="auto"/>
              <w:right w:val="single" w:sz="8" w:space="0" w:color="auto"/>
            </w:tcBorders>
            <w:vAlign w:val="center"/>
          </w:tcPr>
          <w:p w14:paraId="59489ECB" w14:textId="4F2DC839" w:rsidR="00A7284A" w:rsidRPr="00FD02F8" w:rsidRDefault="004E36FA" w:rsidP="00C96F36">
            <w:pPr>
              <w:jc w:val="center"/>
              <w:textAlignment w:val="baseline"/>
              <w:rPr>
                <w:rFonts w:eastAsia="Times New Roman" w:cstheme="minorHAnsi"/>
                <w:lang w:eastAsia="en-GB"/>
              </w:rPr>
            </w:pPr>
            <w:r w:rsidRPr="00FD02F8">
              <w:rPr>
                <w:rFonts w:cstheme="minorHAnsi"/>
                <w:color w:val="000000"/>
              </w:rPr>
              <w:t>N/A</w:t>
            </w:r>
          </w:p>
        </w:tc>
        <w:tc>
          <w:tcPr>
            <w:tcW w:w="326" w:type="pct"/>
            <w:tcBorders>
              <w:top w:val="single" w:sz="8" w:space="0" w:color="auto"/>
              <w:left w:val="single" w:sz="8" w:space="0" w:color="auto"/>
              <w:bottom w:val="single" w:sz="8" w:space="0" w:color="auto"/>
              <w:right w:val="single" w:sz="8" w:space="0" w:color="auto"/>
            </w:tcBorders>
            <w:vAlign w:val="center"/>
          </w:tcPr>
          <w:p w14:paraId="5200B8EC" w14:textId="4A5C6DE9" w:rsidR="00A7284A" w:rsidRPr="00FD02F8" w:rsidRDefault="0054411F" w:rsidP="00C96F36">
            <w:pPr>
              <w:jc w:val="center"/>
              <w:textAlignment w:val="baseline"/>
              <w:rPr>
                <w:rFonts w:ascii="Arial" w:eastAsia="Times New Roman" w:hAnsi="Arial" w:cs="Arial"/>
                <w:szCs w:val="28"/>
                <w:lang w:eastAsia="en-GB"/>
              </w:rPr>
            </w:pPr>
            <w:r w:rsidRPr="00FD02F8">
              <w:rPr>
                <w:rFonts w:cstheme="minorHAnsi"/>
                <w:color w:val="000000"/>
              </w:rPr>
              <w:t>N/A</w:t>
            </w:r>
          </w:p>
        </w:tc>
        <w:tc>
          <w:tcPr>
            <w:tcW w:w="326" w:type="pct"/>
            <w:tcBorders>
              <w:top w:val="single" w:sz="8" w:space="0" w:color="auto"/>
              <w:left w:val="single" w:sz="8" w:space="0" w:color="auto"/>
              <w:bottom w:val="single" w:sz="8" w:space="0" w:color="auto"/>
              <w:right w:val="single" w:sz="8" w:space="0" w:color="auto"/>
            </w:tcBorders>
            <w:vAlign w:val="center"/>
          </w:tcPr>
          <w:p w14:paraId="00C31426" w14:textId="42E2A01C" w:rsidR="00A7284A" w:rsidRPr="00FD02F8" w:rsidRDefault="00995E35"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26" w:type="pct"/>
            <w:tcBorders>
              <w:top w:val="single" w:sz="8" w:space="0" w:color="auto"/>
              <w:left w:val="single" w:sz="8" w:space="0" w:color="auto"/>
              <w:bottom w:val="single" w:sz="8" w:space="0" w:color="auto"/>
              <w:right w:val="single" w:sz="8" w:space="0" w:color="auto"/>
            </w:tcBorders>
            <w:vAlign w:val="center"/>
          </w:tcPr>
          <w:p w14:paraId="56E8A42F" w14:textId="77777777" w:rsidR="00A7284A" w:rsidRPr="00FD02F8" w:rsidRDefault="00A7284A"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35EF89A0" w14:textId="3088DB01" w:rsidR="00A7284A" w:rsidRPr="00FD02F8" w:rsidRDefault="00FA38BE" w:rsidP="00C96F36">
            <w:pPr>
              <w:jc w:val="center"/>
              <w:textAlignment w:val="baseline"/>
              <w:rPr>
                <w:b/>
                <w:bCs/>
              </w:rPr>
            </w:pPr>
            <w:r w:rsidRPr="00FD02F8">
              <w:rPr>
                <w:noProof/>
              </w:rPr>
              <w:drawing>
                <wp:anchor distT="0" distB="0" distL="114300" distR="114300" simplePos="0" relativeHeight="251661312" behindDoc="0" locked="0" layoutInCell="1" allowOverlap="1" wp14:anchorId="0D467967" wp14:editId="102AEB22">
                  <wp:simplePos x="0" y="0"/>
                  <wp:positionH relativeFrom="column">
                    <wp:posOffset>0</wp:posOffset>
                  </wp:positionH>
                  <wp:positionV relativeFrom="paragraph">
                    <wp:posOffset>-22860</wp:posOffset>
                  </wp:positionV>
                  <wp:extent cx="473075" cy="481330"/>
                  <wp:effectExtent l="0" t="0" r="0" b="0"/>
                  <wp:wrapNone/>
                  <wp:docPr id="817221041"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71" w:type="pct"/>
            <w:tcBorders>
              <w:top w:val="single" w:sz="8" w:space="0" w:color="auto"/>
              <w:left w:val="single" w:sz="8" w:space="0" w:color="auto"/>
              <w:bottom w:val="single" w:sz="8" w:space="0" w:color="auto"/>
              <w:right w:val="single" w:sz="8" w:space="0" w:color="auto"/>
            </w:tcBorders>
            <w:vAlign w:val="center"/>
          </w:tcPr>
          <w:p w14:paraId="24E35F21" w14:textId="382C5EDB" w:rsidR="009D18E1" w:rsidRPr="00FD02F8" w:rsidRDefault="00F2148C" w:rsidP="00C96F36">
            <w:pPr>
              <w:textAlignment w:val="baseline"/>
              <w:rPr>
                <w:rFonts w:ascii="Arial" w:eastAsia="Times New Roman" w:hAnsi="Arial" w:cs="Arial"/>
                <w:lang w:eastAsia="en-GB"/>
              </w:rPr>
            </w:pPr>
            <w:r w:rsidRPr="00FD02F8">
              <w:rPr>
                <w:rFonts w:ascii="Arial" w:eastAsia="Times New Roman" w:hAnsi="Arial" w:cs="Arial"/>
                <w:lang w:eastAsia="en-GB"/>
              </w:rPr>
              <w:t xml:space="preserve">Work due to commence in Q4 onwards.  </w:t>
            </w:r>
            <w:r w:rsidR="006636E9" w:rsidRPr="00FD02F8">
              <w:rPr>
                <w:rFonts w:ascii="Arial" w:eastAsia="Times New Roman" w:hAnsi="Arial" w:cs="Arial"/>
                <w:lang w:eastAsia="en-GB"/>
              </w:rPr>
              <w:t>Key dependencies on critical</w:t>
            </w:r>
            <w:r w:rsidR="006636E9" w:rsidRPr="00FD02F8">
              <w:rPr>
                <w:rFonts w:ascii="Cambria Math" w:eastAsia="Times New Roman" w:hAnsi="Cambria Math" w:cs="Cambria Math"/>
                <w:lang w:eastAsia="en-GB"/>
              </w:rPr>
              <w:t>‑</w:t>
            </w:r>
            <w:r w:rsidR="006636E9" w:rsidRPr="00FD02F8">
              <w:rPr>
                <w:rFonts w:ascii="Arial" w:eastAsia="Times New Roman" w:hAnsi="Arial" w:cs="Arial"/>
                <w:lang w:eastAsia="en-GB"/>
              </w:rPr>
              <w:t>path delayed. Additional testing from system alarms, and asbestos</w:t>
            </w:r>
            <w:r w:rsidR="006636E9" w:rsidRPr="00FD02F8">
              <w:rPr>
                <w:rFonts w:ascii="Cambria Math" w:eastAsia="Times New Roman" w:hAnsi="Cambria Math" w:cs="Cambria Math"/>
                <w:lang w:eastAsia="en-GB"/>
              </w:rPr>
              <w:t>‑</w:t>
            </w:r>
            <w:r w:rsidR="006636E9" w:rsidRPr="00FD02F8">
              <w:rPr>
                <w:rFonts w:ascii="Arial" w:eastAsia="Times New Roman" w:hAnsi="Arial" w:cs="Arial"/>
                <w:lang w:eastAsia="en-GB"/>
              </w:rPr>
              <w:t xml:space="preserve">related site constraints are impacting </w:t>
            </w:r>
            <w:r w:rsidR="008743E1" w:rsidRPr="00FD02F8">
              <w:rPr>
                <w:rFonts w:ascii="Arial" w:eastAsia="Times New Roman" w:hAnsi="Arial" w:cs="Arial"/>
                <w:lang w:eastAsia="en-GB"/>
              </w:rPr>
              <w:t xml:space="preserve">expected </w:t>
            </w:r>
            <w:r w:rsidR="006636E9" w:rsidRPr="00FD02F8">
              <w:rPr>
                <w:rFonts w:ascii="Arial" w:eastAsia="Times New Roman" w:hAnsi="Arial" w:cs="Arial"/>
                <w:lang w:eastAsia="en-GB"/>
              </w:rPr>
              <w:t>delivery. Forecast outcome is an increase from 70% to 85–90%. An increase</w:t>
            </w:r>
            <w:r w:rsidR="00555D7B" w:rsidRPr="00FD02F8">
              <w:rPr>
                <w:rFonts w:ascii="Arial" w:eastAsia="Times New Roman" w:hAnsi="Arial" w:cs="Arial"/>
                <w:lang w:eastAsia="en-GB"/>
              </w:rPr>
              <w:t xml:space="preserve"> </w:t>
            </w:r>
            <w:r w:rsidR="006636E9" w:rsidRPr="00FD02F8">
              <w:rPr>
                <w:rFonts w:ascii="Arial" w:eastAsia="Times New Roman" w:hAnsi="Arial" w:cs="Arial"/>
                <w:lang w:eastAsia="en-GB"/>
              </w:rPr>
              <w:t>to 95% remains possible but critical path now very tight.</w:t>
            </w:r>
            <w:r w:rsidR="00626F22" w:rsidRPr="00FD02F8">
              <w:rPr>
                <w:rFonts w:ascii="Arial" w:eastAsia="Times New Roman" w:hAnsi="Arial" w:cs="Arial"/>
                <w:lang w:eastAsia="en-GB"/>
              </w:rPr>
              <w:t xml:space="preserve"> </w:t>
            </w:r>
          </w:p>
          <w:p w14:paraId="417F894E" w14:textId="20ACEBEB" w:rsidR="00B040A3" w:rsidRPr="00FD02F8" w:rsidRDefault="004057C0" w:rsidP="00C96F36">
            <w:pPr>
              <w:textAlignment w:val="baseline"/>
              <w:rPr>
                <w:rFonts w:ascii="Arial" w:eastAsia="Times New Roman" w:hAnsi="Arial" w:cs="Arial"/>
                <w:b/>
                <w:lang w:eastAsia="en-GB"/>
              </w:rPr>
            </w:pPr>
            <w:r w:rsidRPr="00FD02F8">
              <w:rPr>
                <w:rFonts w:ascii="Arial" w:eastAsia="Times New Roman" w:hAnsi="Arial" w:cs="Arial"/>
                <w:b/>
                <w:lang w:eastAsia="en-GB"/>
              </w:rPr>
              <w:t>Forecasting partial delivery</w:t>
            </w:r>
            <w:r w:rsidR="003E2976" w:rsidRPr="00FD02F8">
              <w:rPr>
                <w:rFonts w:ascii="Arial" w:eastAsia="Times New Roman" w:hAnsi="Arial" w:cs="Arial"/>
                <w:b/>
                <w:lang w:eastAsia="en-GB"/>
              </w:rPr>
              <w:t>.</w:t>
            </w:r>
          </w:p>
        </w:tc>
        <w:tc>
          <w:tcPr>
            <w:tcW w:w="577" w:type="pct"/>
            <w:tcBorders>
              <w:top w:val="single" w:sz="8" w:space="0" w:color="auto"/>
              <w:left w:val="single" w:sz="8" w:space="0" w:color="auto"/>
              <w:bottom w:val="single" w:sz="8" w:space="0" w:color="auto"/>
              <w:right w:val="single" w:sz="8" w:space="0" w:color="auto"/>
            </w:tcBorders>
            <w:vAlign w:val="center"/>
          </w:tcPr>
          <w:p w14:paraId="54C3486E" w14:textId="537AB59B" w:rsidR="00A7284A" w:rsidRPr="00FD02F8" w:rsidRDefault="00F160C2" w:rsidP="00A41A1F">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 xml:space="preserve">Partial </w:t>
            </w:r>
            <w:r w:rsidR="00CE77B9" w:rsidRPr="00FD02F8">
              <w:rPr>
                <w:rFonts w:ascii="Arial" w:eastAsia="Times New Roman" w:hAnsi="Arial" w:cs="Arial"/>
                <w:szCs w:val="28"/>
                <w:lang w:eastAsia="en-GB"/>
              </w:rPr>
              <w:t>Deliver</w:t>
            </w:r>
            <w:r w:rsidRPr="00FD02F8">
              <w:rPr>
                <w:rFonts w:ascii="Arial" w:eastAsia="Times New Roman" w:hAnsi="Arial" w:cs="Arial"/>
                <w:szCs w:val="28"/>
                <w:lang w:eastAsia="en-GB"/>
              </w:rPr>
              <w:t>y</w:t>
            </w:r>
          </w:p>
        </w:tc>
      </w:tr>
      <w:tr w:rsidR="00135600" w:rsidRPr="00FD02F8" w14:paraId="3755DB76" w14:textId="77777777" w:rsidTr="004C3AE2">
        <w:trPr>
          <w:cantSplit/>
          <w:trHeight w:val="16"/>
        </w:trPr>
        <w:tc>
          <w:tcPr>
            <w:tcW w:w="1280" w:type="pct"/>
            <w:tcBorders>
              <w:top w:val="single" w:sz="8" w:space="0" w:color="auto"/>
              <w:left w:val="single" w:sz="8" w:space="0" w:color="auto"/>
              <w:bottom w:val="single" w:sz="8" w:space="0" w:color="auto"/>
              <w:right w:val="single" w:sz="8" w:space="0" w:color="auto"/>
            </w:tcBorders>
            <w:vAlign w:val="center"/>
          </w:tcPr>
          <w:p w14:paraId="491BBD3B" w14:textId="0022186F" w:rsidR="00A7284A" w:rsidRPr="00FD02F8" w:rsidRDefault="00A7284A" w:rsidP="004C3AE2">
            <w:pPr>
              <w:rPr>
                <w:rFonts w:asciiTheme="majorHAnsi" w:eastAsia="Times New Roman" w:hAnsiTheme="majorHAnsi" w:cstheme="majorHAnsi"/>
                <w:color w:val="000000"/>
              </w:rPr>
            </w:pPr>
            <w:r w:rsidRPr="00FD02F8">
              <w:rPr>
                <w:rFonts w:asciiTheme="majorHAnsi" w:hAnsiTheme="majorHAnsi" w:cstheme="majorHAnsi"/>
                <w:b/>
                <w:color w:val="000000"/>
              </w:rPr>
              <w:lastRenderedPageBreak/>
              <w:t>KR 4.3:</w:t>
            </w:r>
            <w:r w:rsidRPr="00FD02F8">
              <w:rPr>
                <w:rFonts w:asciiTheme="majorHAnsi" w:hAnsiTheme="majorHAnsi" w:cstheme="majorHAnsi"/>
                <w:color w:val="000000"/>
              </w:rPr>
              <w:t xml:space="preserve"> Deliver upgraded flood warning models in 2 highest priority areas. </w:t>
            </w:r>
          </w:p>
        </w:tc>
        <w:tc>
          <w:tcPr>
            <w:tcW w:w="243" w:type="pct"/>
            <w:tcBorders>
              <w:top w:val="single" w:sz="8" w:space="0" w:color="auto"/>
              <w:left w:val="single" w:sz="8" w:space="0" w:color="auto"/>
              <w:bottom w:val="single" w:sz="8" w:space="0" w:color="auto"/>
              <w:right w:val="single" w:sz="8" w:space="0" w:color="auto"/>
            </w:tcBorders>
            <w:vAlign w:val="center"/>
          </w:tcPr>
          <w:p w14:paraId="4837563A" w14:textId="737A0332" w:rsidR="00A7284A" w:rsidRPr="00FD02F8" w:rsidRDefault="0053732A" w:rsidP="00C96F36">
            <w:pPr>
              <w:textAlignment w:val="baseline"/>
              <w:rPr>
                <w:rFonts w:eastAsia="Times New Roman" w:cstheme="minorHAnsi"/>
                <w:lang w:eastAsia="en-GB"/>
              </w:rPr>
            </w:pPr>
            <w:r w:rsidRPr="00FD02F8">
              <w:rPr>
                <w:rFonts w:cstheme="minorHAnsi"/>
                <w:color w:val="000000"/>
              </w:rPr>
              <w:t xml:space="preserve">Q4 </w:t>
            </w:r>
          </w:p>
        </w:tc>
        <w:tc>
          <w:tcPr>
            <w:tcW w:w="326" w:type="pct"/>
            <w:tcBorders>
              <w:top w:val="single" w:sz="8" w:space="0" w:color="auto"/>
              <w:left w:val="single" w:sz="8" w:space="0" w:color="auto"/>
              <w:bottom w:val="single" w:sz="8" w:space="0" w:color="auto"/>
              <w:right w:val="single" w:sz="8" w:space="0" w:color="auto"/>
            </w:tcBorders>
            <w:vAlign w:val="center"/>
          </w:tcPr>
          <w:p w14:paraId="0DF3C817" w14:textId="2AD99585" w:rsidR="00A7284A" w:rsidRPr="00FD02F8" w:rsidRDefault="0053732A" w:rsidP="00C96F36">
            <w:pPr>
              <w:jc w:val="center"/>
              <w:textAlignment w:val="baseline"/>
              <w:rPr>
                <w:rFonts w:eastAsia="Times New Roman" w:cstheme="minorHAnsi"/>
                <w:lang w:eastAsia="en-GB"/>
              </w:rPr>
            </w:pPr>
            <w:r w:rsidRPr="00FD02F8">
              <w:rPr>
                <w:rFonts w:cstheme="minorHAnsi"/>
                <w:color w:val="000000"/>
              </w:rPr>
              <w:t>0.29</w:t>
            </w:r>
          </w:p>
        </w:tc>
        <w:tc>
          <w:tcPr>
            <w:tcW w:w="326" w:type="pct"/>
            <w:tcBorders>
              <w:top w:val="single" w:sz="8" w:space="0" w:color="auto"/>
              <w:left w:val="single" w:sz="8" w:space="0" w:color="auto"/>
              <w:bottom w:val="single" w:sz="8" w:space="0" w:color="auto"/>
              <w:right w:val="single" w:sz="8" w:space="0" w:color="auto"/>
            </w:tcBorders>
            <w:vAlign w:val="center"/>
          </w:tcPr>
          <w:p w14:paraId="5C4FC5BD" w14:textId="43A36CC5" w:rsidR="00A7284A" w:rsidRPr="00FD02F8" w:rsidRDefault="00F16BCB" w:rsidP="00C96F36">
            <w:pPr>
              <w:jc w:val="center"/>
              <w:textAlignment w:val="baseline"/>
              <w:rPr>
                <w:rFonts w:ascii="Arial" w:eastAsia="Times New Roman" w:hAnsi="Arial" w:cs="Arial"/>
                <w:szCs w:val="28"/>
                <w:lang w:eastAsia="en-GB"/>
              </w:rPr>
            </w:pPr>
            <w:r w:rsidRPr="00FD02F8">
              <w:rPr>
                <w:rFonts w:cstheme="minorHAnsi"/>
                <w:color w:val="000000"/>
              </w:rPr>
              <w:t>0.29</w:t>
            </w:r>
          </w:p>
        </w:tc>
        <w:tc>
          <w:tcPr>
            <w:tcW w:w="326" w:type="pct"/>
            <w:tcBorders>
              <w:top w:val="single" w:sz="8" w:space="0" w:color="auto"/>
              <w:left w:val="single" w:sz="8" w:space="0" w:color="auto"/>
              <w:bottom w:val="single" w:sz="8" w:space="0" w:color="auto"/>
              <w:right w:val="single" w:sz="8" w:space="0" w:color="auto"/>
            </w:tcBorders>
            <w:vAlign w:val="center"/>
          </w:tcPr>
          <w:p w14:paraId="7B61C404" w14:textId="0ADEB745" w:rsidR="00A7284A" w:rsidRPr="00FD02F8" w:rsidRDefault="00C52B48"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0.43</w:t>
            </w:r>
          </w:p>
        </w:tc>
        <w:tc>
          <w:tcPr>
            <w:tcW w:w="326" w:type="pct"/>
            <w:tcBorders>
              <w:top w:val="single" w:sz="8" w:space="0" w:color="auto"/>
              <w:left w:val="single" w:sz="8" w:space="0" w:color="auto"/>
              <w:bottom w:val="single" w:sz="8" w:space="0" w:color="auto"/>
              <w:right w:val="single" w:sz="8" w:space="0" w:color="auto"/>
            </w:tcBorders>
            <w:vAlign w:val="center"/>
          </w:tcPr>
          <w:p w14:paraId="70A9BDEB" w14:textId="77777777" w:rsidR="00A7284A" w:rsidRPr="00FD02F8" w:rsidRDefault="00A7284A"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3AE7D2F0" w14:textId="18F080FF" w:rsidR="00A7284A" w:rsidRPr="00FD02F8" w:rsidRDefault="00277123" w:rsidP="00C96F36">
            <w:pPr>
              <w:jc w:val="center"/>
              <w:textAlignment w:val="baseline"/>
              <w:rPr>
                <w:b/>
                <w:bCs/>
              </w:rPr>
            </w:pPr>
            <w:r w:rsidRPr="00FD02F8">
              <w:rPr>
                <w:noProof/>
              </w:rPr>
              <w:drawing>
                <wp:inline distT="0" distB="0" distL="0" distR="0" wp14:anchorId="5D916E02" wp14:editId="2F36257C">
                  <wp:extent cx="463550" cy="463550"/>
                  <wp:effectExtent l="0" t="0" r="0" b="0"/>
                  <wp:docPr id="223631008"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1271" w:type="pct"/>
            <w:tcBorders>
              <w:top w:val="single" w:sz="8" w:space="0" w:color="auto"/>
              <w:left w:val="single" w:sz="8" w:space="0" w:color="auto"/>
              <w:bottom w:val="single" w:sz="8" w:space="0" w:color="auto"/>
              <w:right w:val="single" w:sz="8" w:space="0" w:color="auto"/>
            </w:tcBorders>
            <w:vAlign w:val="center"/>
          </w:tcPr>
          <w:p w14:paraId="72889661" w14:textId="77777777" w:rsidR="006869A4" w:rsidRPr="00FD02F8" w:rsidRDefault="001A1A73" w:rsidP="00C96F36">
            <w:pPr>
              <w:rPr>
                <w:rFonts w:ascii="Arial" w:eastAsia="Times New Roman" w:hAnsi="Arial" w:cs="Arial"/>
                <w:lang w:eastAsia="en-GB"/>
              </w:rPr>
            </w:pPr>
            <w:r w:rsidRPr="00FD02F8">
              <w:rPr>
                <w:rFonts w:ascii="Arial" w:eastAsia="Times New Roman" w:hAnsi="Arial" w:cs="Arial"/>
                <w:lang w:eastAsia="en-GB"/>
              </w:rPr>
              <w:t xml:space="preserve">One new stage complete during Q3 for Firth of Forth and Tay </w:t>
            </w:r>
            <w:r w:rsidR="007A7EA2" w:rsidRPr="00FD02F8">
              <w:rPr>
                <w:rFonts w:ascii="Arial" w:eastAsia="Times New Roman" w:hAnsi="Arial" w:cs="Arial"/>
                <w:lang w:eastAsia="en-GB"/>
              </w:rPr>
              <w:t>projects</w:t>
            </w:r>
            <w:r w:rsidRPr="00FD02F8">
              <w:rPr>
                <w:rFonts w:ascii="Arial" w:eastAsia="Times New Roman" w:hAnsi="Arial" w:cs="Arial"/>
                <w:lang w:eastAsia="en-GB"/>
              </w:rPr>
              <w:t xml:space="preserve">. </w:t>
            </w:r>
            <w:r w:rsidR="00237306" w:rsidRPr="00FD02F8">
              <w:rPr>
                <w:rFonts w:ascii="Arial" w:eastAsia="Times New Roman" w:hAnsi="Arial" w:cs="Arial"/>
                <w:lang w:eastAsia="en-GB"/>
              </w:rPr>
              <w:t>However,</w:t>
            </w:r>
            <w:r w:rsidRPr="00FD02F8">
              <w:rPr>
                <w:rFonts w:ascii="Arial" w:eastAsia="Times New Roman" w:hAnsi="Arial" w:cs="Arial"/>
                <w:lang w:eastAsia="en-GB"/>
              </w:rPr>
              <w:t xml:space="preserve"> </w:t>
            </w:r>
            <w:r w:rsidR="00237306" w:rsidRPr="00FD02F8">
              <w:rPr>
                <w:rFonts w:ascii="Arial" w:eastAsia="Times New Roman" w:hAnsi="Arial" w:cs="Arial"/>
                <w:lang w:eastAsia="en-GB"/>
              </w:rPr>
              <w:t xml:space="preserve">the </w:t>
            </w:r>
            <w:r w:rsidRPr="00FD02F8">
              <w:rPr>
                <w:rFonts w:ascii="Arial" w:eastAsia="Times New Roman" w:hAnsi="Arial" w:cs="Arial"/>
                <w:lang w:eastAsia="en-GB"/>
              </w:rPr>
              <w:t xml:space="preserve">last stage </w:t>
            </w:r>
            <w:r w:rsidR="0080793D" w:rsidRPr="00FD02F8">
              <w:rPr>
                <w:rFonts w:ascii="Arial" w:eastAsia="Times New Roman" w:hAnsi="Arial" w:cs="Arial"/>
                <w:lang w:eastAsia="en-GB"/>
              </w:rPr>
              <w:t xml:space="preserve">is </w:t>
            </w:r>
            <w:r w:rsidRPr="00FD02F8">
              <w:rPr>
                <w:rFonts w:ascii="Arial" w:eastAsia="Times New Roman" w:hAnsi="Arial" w:cs="Arial"/>
                <w:lang w:eastAsia="en-GB"/>
              </w:rPr>
              <w:t xml:space="preserve">not expected to be completed in Q4. </w:t>
            </w:r>
            <w:r w:rsidR="00B26733" w:rsidRPr="00FD02F8">
              <w:rPr>
                <w:rFonts w:ascii="Arial" w:eastAsia="Times New Roman" w:hAnsi="Arial" w:cs="Arial"/>
                <w:lang w:eastAsia="en-GB"/>
              </w:rPr>
              <w:t>There are d</w:t>
            </w:r>
            <w:r w:rsidRPr="00FD02F8">
              <w:rPr>
                <w:rFonts w:ascii="Arial" w:eastAsia="Times New Roman" w:hAnsi="Arial" w:cs="Arial"/>
                <w:lang w:eastAsia="en-GB"/>
              </w:rPr>
              <w:t xml:space="preserve">elays for </w:t>
            </w:r>
            <w:r w:rsidR="007A7EA2" w:rsidRPr="00FD02F8">
              <w:rPr>
                <w:rFonts w:ascii="Arial" w:eastAsia="Times New Roman" w:hAnsi="Arial" w:cs="Arial"/>
                <w:lang w:eastAsia="en-GB"/>
              </w:rPr>
              <w:t xml:space="preserve">the </w:t>
            </w:r>
            <w:r w:rsidRPr="00FD02F8">
              <w:rPr>
                <w:rFonts w:ascii="Arial" w:eastAsia="Times New Roman" w:hAnsi="Arial" w:cs="Arial"/>
                <w:lang w:eastAsia="en-GB"/>
              </w:rPr>
              <w:t>Borders</w:t>
            </w:r>
            <w:r w:rsidR="00514399" w:rsidRPr="00FD02F8">
              <w:rPr>
                <w:rFonts w:ascii="Arial" w:eastAsia="Times New Roman" w:hAnsi="Arial" w:cs="Arial"/>
                <w:lang w:eastAsia="en-GB"/>
              </w:rPr>
              <w:t xml:space="preserve"> scheme </w:t>
            </w:r>
            <w:r w:rsidRPr="00FD02F8">
              <w:rPr>
                <w:rFonts w:ascii="Arial" w:eastAsia="Times New Roman" w:hAnsi="Arial" w:cs="Arial"/>
                <w:lang w:eastAsia="en-GB"/>
              </w:rPr>
              <w:t>with completion expected but stretching in Q4. Risk around key staff dependency being actively managed.</w:t>
            </w:r>
          </w:p>
          <w:p w14:paraId="6A9410AF" w14:textId="6045D851" w:rsidR="00A0759C" w:rsidRPr="00FD02F8" w:rsidRDefault="004057C0" w:rsidP="00C96F36">
            <w:pPr>
              <w:rPr>
                <w:rFonts w:ascii="Arial" w:eastAsia="Times New Roman" w:hAnsi="Arial" w:cs="Arial"/>
                <w:lang w:eastAsia="en-GB"/>
              </w:rPr>
            </w:pPr>
            <w:r w:rsidRPr="00FD02F8">
              <w:rPr>
                <w:rFonts w:ascii="Arial" w:eastAsia="Times New Roman" w:hAnsi="Arial" w:cs="Arial"/>
                <w:b/>
                <w:lang w:eastAsia="en-GB"/>
              </w:rPr>
              <w:t>Forecasting</w:t>
            </w:r>
            <w:r w:rsidR="00F57206" w:rsidRPr="00FD02F8">
              <w:rPr>
                <w:rFonts w:ascii="Arial" w:eastAsia="Times New Roman" w:hAnsi="Arial" w:cs="Arial"/>
                <w:b/>
                <w:lang w:eastAsia="en-GB"/>
              </w:rPr>
              <w:t xml:space="preserve"> partial delivery</w:t>
            </w:r>
            <w:r w:rsidR="00BC3B6B" w:rsidRPr="00FD02F8">
              <w:rPr>
                <w:rFonts w:ascii="Arial" w:eastAsia="Times New Roman" w:hAnsi="Arial" w:cs="Arial"/>
                <w:b/>
                <w:lang w:eastAsia="en-GB"/>
              </w:rPr>
              <w:t>.</w:t>
            </w:r>
          </w:p>
        </w:tc>
        <w:tc>
          <w:tcPr>
            <w:tcW w:w="577" w:type="pct"/>
            <w:tcBorders>
              <w:top w:val="single" w:sz="8" w:space="0" w:color="auto"/>
              <w:left w:val="single" w:sz="8" w:space="0" w:color="auto"/>
              <w:bottom w:val="single" w:sz="8" w:space="0" w:color="auto"/>
              <w:right w:val="single" w:sz="8" w:space="0" w:color="auto"/>
            </w:tcBorders>
            <w:vAlign w:val="center"/>
          </w:tcPr>
          <w:p w14:paraId="25AC068B" w14:textId="77777777" w:rsidR="00C034C8" w:rsidRPr="00FD02F8" w:rsidRDefault="00C034C8"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Partial</w:t>
            </w:r>
          </w:p>
          <w:p w14:paraId="4D50FF10" w14:textId="26FE2FA6" w:rsidR="00A7284A" w:rsidRPr="00FD02F8" w:rsidRDefault="00CE77B9"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w:t>
            </w:r>
            <w:r w:rsidR="00C034C8" w:rsidRPr="00FD02F8">
              <w:rPr>
                <w:rFonts w:ascii="Arial" w:eastAsia="Times New Roman" w:hAnsi="Arial" w:cs="Arial"/>
                <w:szCs w:val="28"/>
                <w:lang w:eastAsia="en-GB"/>
              </w:rPr>
              <w:t>y</w:t>
            </w:r>
          </w:p>
        </w:tc>
      </w:tr>
    </w:tbl>
    <w:p w14:paraId="0A34A145" w14:textId="71073AA0" w:rsidR="00B61DBE" w:rsidRPr="00FD02F8" w:rsidRDefault="00B61DBE" w:rsidP="00B61DBE">
      <w:pPr>
        <w:spacing w:before="240"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r w:rsidRPr="00FD02F8">
        <w:rPr>
          <w:sz w:val="28"/>
          <w:szCs w:val="28"/>
        </w:rPr>
        <w:t>0.5</w:t>
      </w:r>
      <w:r w:rsidR="00205874" w:rsidRPr="00FD02F8">
        <w:rPr>
          <w:sz w:val="28"/>
          <w:szCs w:val="28"/>
        </w:rPr>
        <w:t>7</w:t>
      </w:r>
    </w:p>
    <w:p w14:paraId="46B6F91A" w14:textId="77777777" w:rsidR="00202277" w:rsidRPr="00FD02F8" w:rsidRDefault="00202277" w:rsidP="00202277">
      <w:pPr>
        <w:spacing w:line="240" w:lineRule="auto"/>
        <w:sectPr w:rsidR="00202277" w:rsidRPr="00FD02F8" w:rsidSect="004E3FAA">
          <w:pgSz w:w="16838" w:h="11906" w:orient="landscape" w:code="9"/>
          <w:pgMar w:top="1083" w:right="1134" w:bottom="1083" w:left="567" w:header="567" w:footer="567" w:gutter="0"/>
          <w:cols w:space="708"/>
          <w:titlePg/>
          <w:docGrid w:linePitch="360"/>
        </w:sectPr>
      </w:pPr>
    </w:p>
    <w:p w14:paraId="0C282148" w14:textId="0A3087BE" w:rsidR="00202277" w:rsidRPr="00FD02F8" w:rsidRDefault="00202277" w:rsidP="7D52A5B7">
      <w:pPr>
        <w:pStyle w:val="Heading2"/>
        <w:shd w:val="clear" w:color="auto" w:fill="016574" w:themeFill="accent2"/>
        <w:spacing w:before="0" w:after="240"/>
        <w:ind w:left="720" w:hanging="720"/>
        <w:rPr>
          <w:color w:val="FFFFFF" w:themeColor="background1"/>
          <w:sz w:val="48"/>
          <w:szCs w:val="48"/>
        </w:rPr>
      </w:pPr>
      <w:bookmarkStart w:id="23" w:name="_Toc306910089"/>
      <w:r w:rsidRPr="00FD02F8">
        <w:rPr>
          <w:color w:val="FFFFFF" w:themeColor="background1"/>
          <w:sz w:val="48"/>
          <w:szCs w:val="48"/>
        </w:rPr>
        <w:lastRenderedPageBreak/>
        <w:t>Water Environment</w:t>
      </w:r>
      <w:bookmarkEnd w:id="23"/>
    </w:p>
    <w:p w14:paraId="3911F66C" w14:textId="5B61B1FF" w:rsidR="00202277" w:rsidRPr="00FD02F8" w:rsidRDefault="009819B4" w:rsidP="00200EE2">
      <w:pPr>
        <w:pStyle w:val="BodyText1"/>
        <w:shd w:val="clear" w:color="auto" w:fill="018395"/>
        <w:spacing w:before="240" w:after="120"/>
        <w:rPr>
          <w:color w:val="FFFFFF" w:themeColor="background1"/>
          <w:sz w:val="36"/>
          <w:szCs w:val="36"/>
        </w:rPr>
      </w:pPr>
      <w:r w:rsidRPr="00FD02F8">
        <w:rPr>
          <w:color w:val="FFFFFF" w:themeColor="background1"/>
          <w:sz w:val="36"/>
          <w:szCs w:val="36"/>
        </w:rPr>
        <w:t xml:space="preserve">Our ambition is for the water environment to be protected with no deterioration of condition and that more of our water environment is improved to a good or better condition. </w:t>
      </w:r>
    </w:p>
    <w:p w14:paraId="5EF21DD9" w14:textId="1A215D97" w:rsidR="00202277" w:rsidRPr="00FD02F8" w:rsidRDefault="006E5DCB" w:rsidP="00E53135">
      <w:pPr>
        <w:pStyle w:val="Heading3"/>
        <w:spacing w:before="120" w:after="120"/>
        <w:rPr>
          <w:color w:val="016574"/>
          <w:sz w:val="32"/>
          <w:szCs w:val="32"/>
        </w:rPr>
      </w:pPr>
      <w:r w:rsidRPr="00FD02F8">
        <w:rPr>
          <w:color w:val="016574" w:themeColor="accent2"/>
          <w:sz w:val="32"/>
          <w:szCs w:val="32"/>
        </w:rPr>
        <w:t xml:space="preserve">WE </w:t>
      </w:r>
      <w:r w:rsidR="000048E5" w:rsidRPr="00FD02F8">
        <w:rPr>
          <w:color w:val="016574" w:themeColor="accent2"/>
          <w:sz w:val="32"/>
          <w:szCs w:val="32"/>
        </w:rPr>
        <w:t>OKR</w:t>
      </w:r>
      <w:r w:rsidRPr="00FD02F8">
        <w:rPr>
          <w:color w:val="016574" w:themeColor="accent2"/>
          <w:sz w:val="32"/>
          <w:szCs w:val="32"/>
        </w:rPr>
        <w:t xml:space="preserve">5 </w:t>
      </w:r>
      <w:r w:rsidR="000048E5" w:rsidRPr="00FD02F8">
        <w:rPr>
          <w:color w:val="016574" w:themeColor="accent2"/>
          <w:sz w:val="32"/>
          <w:szCs w:val="32"/>
        </w:rPr>
        <w:t>Deliver river basin management plan programme of actions to improve the water environment</w:t>
      </w:r>
    </w:p>
    <w:p w14:paraId="26CD810D" w14:textId="7156AC17" w:rsidR="000B5202" w:rsidRPr="00FD02F8" w:rsidRDefault="007857AE" w:rsidP="00202277">
      <w:pPr>
        <w:spacing w:line="240" w:lineRule="auto"/>
        <w:rPr>
          <w:b/>
          <w:bCs/>
          <w:color w:val="3C4741" w:themeColor="text1"/>
          <w:sz w:val="28"/>
          <w:szCs w:val="28"/>
        </w:rPr>
      </w:pPr>
      <w:r w:rsidRPr="00FD02F8">
        <w:rPr>
          <w:noProof/>
        </w:rPr>
        <w:drawing>
          <wp:inline distT="0" distB="0" distL="0" distR="0" wp14:anchorId="2514D77B" wp14:editId="24B82DD8">
            <wp:extent cx="9623425" cy="3159659"/>
            <wp:effectExtent l="0" t="0" r="15875" b="3175"/>
            <wp:docPr id="44295500" name="Chart 1" descr="This is a bar graph which shows the score of each key result for OKR05 over each quarter. &#10;There is a line on the score scale of 0.7 to represent whether the KR is being delivered. There is another line on the score scale of 0.3 to represent whether measurable progress has been made in the quarter.&#10;For Q1, KR5.1 had no score as this will be progressed later in the year.&#10;KR5.2 scored 0.15.&#10;KR2.3 scored 0.40&#10;KR2.4 scored 0.50.&#10;&#10;For Q2, KR5.1 had no score as this will be progressed later in the year.&#10;KR5.2 scored 0.38.&#10;KR2.3 scored 0.54.&#10;KR2.4 scored 0.50.&#10;&#10;For Q3, &#10;KR5.1 scored 1.&#10;KR5.2 scored 0.62.&#10;KR2.3 scored 0.75.&#10;KR2.4 scored 1.">
              <a:extLst xmlns:a="http://schemas.openxmlformats.org/drawingml/2006/main">
                <a:ext uri="{FF2B5EF4-FFF2-40B4-BE49-F238E27FC236}">
                  <a16:creationId xmlns:a16="http://schemas.microsoft.com/office/drawing/2014/main" id="{FCFD82C8-DF07-4413-A484-D6B0BFA2A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744C9E9" w14:textId="77777777" w:rsidR="00382EF1" w:rsidRPr="00FD02F8" w:rsidRDefault="00382EF1" w:rsidP="00202277">
      <w:pPr>
        <w:spacing w:line="240" w:lineRule="auto"/>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5 key result summary"/>
        <w:tblDescription w:val="Quarterly summary for each of the four key results under OKR5. This includes the date due, Q3 score, Q3 status, Q3 commentary and annual forecast for each key result."/>
      </w:tblPr>
      <w:tblGrid>
        <w:gridCol w:w="3851"/>
        <w:gridCol w:w="748"/>
        <w:gridCol w:w="1077"/>
        <w:gridCol w:w="906"/>
        <w:gridCol w:w="906"/>
        <w:gridCol w:w="906"/>
        <w:gridCol w:w="1002"/>
        <w:gridCol w:w="4066"/>
        <w:gridCol w:w="1496"/>
      </w:tblGrid>
      <w:tr w:rsidR="00910B32" w:rsidRPr="00FD02F8" w14:paraId="19431F70" w14:textId="77777777" w:rsidTr="003731AA">
        <w:trPr>
          <w:cantSplit/>
          <w:trHeight w:val="545"/>
          <w:tblHeader/>
        </w:trPr>
        <w:tc>
          <w:tcPr>
            <w:tcW w:w="1287" w:type="pct"/>
            <w:tcBorders>
              <w:bottom w:val="single" w:sz="8" w:space="0" w:color="auto"/>
            </w:tcBorders>
            <w:shd w:val="clear" w:color="auto" w:fill="016574" w:themeFill="accent2"/>
          </w:tcPr>
          <w:p w14:paraId="35D56C5F" w14:textId="77777777" w:rsidR="00382EF1" w:rsidRPr="00FD02F8" w:rsidRDefault="00382EF1">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50" w:type="pct"/>
            <w:tcBorders>
              <w:bottom w:val="single" w:sz="8" w:space="0" w:color="auto"/>
            </w:tcBorders>
            <w:shd w:val="clear" w:color="auto" w:fill="016574" w:themeFill="accent2"/>
          </w:tcPr>
          <w:p w14:paraId="57AB551F" w14:textId="77777777" w:rsidR="00382EF1" w:rsidRPr="00FD02F8" w:rsidRDefault="00382EF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60" w:type="pct"/>
            <w:tcBorders>
              <w:bottom w:val="single" w:sz="8" w:space="0" w:color="auto"/>
            </w:tcBorders>
            <w:shd w:val="clear" w:color="auto" w:fill="016574" w:themeFill="accent2"/>
          </w:tcPr>
          <w:p w14:paraId="62ED7395" w14:textId="77777777" w:rsidR="00382EF1" w:rsidRPr="00FD02F8" w:rsidRDefault="00382EF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3" w:type="pct"/>
            <w:tcBorders>
              <w:bottom w:val="single" w:sz="8" w:space="0" w:color="auto"/>
            </w:tcBorders>
            <w:shd w:val="clear" w:color="auto" w:fill="016574" w:themeFill="accent2"/>
          </w:tcPr>
          <w:p w14:paraId="4A77F57E" w14:textId="77777777" w:rsidR="00382EF1" w:rsidRPr="00FD02F8" w:rsidRDefault="00382EF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3" w:type="pct"/>
            <w:tcBorders>
              <w:bottom w:val="single" w:sz="8" w:space="0" w:color="auto"/>
            </w:tcBorders>
            <w:shd w:val="clear" w:color="auto" w:fill="016574" w:themeFill="accent2"/>
          </w:tcPr>
          <w:p w14:paraId="7711BEDB" w14:textId="77777777" w:rsidR="00382EF1" w:rsidRPr="00FD02F8" w:rsidRDefault="00382EF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3" w:type="pct"/>
            <w:tcBorders>
              <w:bottom w:val="single" w:sz="8" w:space="0" w:color="auto"/>
            </w:tcBorders>
            <w:shd w:val="clear" w:color="auto" w:fill="016574" w:themeFill="accent2"/>
          </w:tcPr>
          <w:p w14:paraId="7ED3E0D3" w14:textId="77777777" w:rsidR="00382EF1" w:rsidRPr="00FD02F8" w:rsidRDefault="00382EF1">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35" w:type="pct"/>
            <w:tcBorders>
              <w:bottom w:val="single" w:sz="8" w:space="0" w:color="auto"/>
            </w:tcBorders>
            <w:shd w:val="clear" w:color="auto" w:fill="016574" w:themeFill="accent2"/>
          </w:tcPr>
          <w:p w14:paraId="2164F5DE" w14:textId="7C580D58" w:rsidR="00382EF1" w:rsidRPr="00FD02F8" w:rsidRDefault="00382EF1">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8268F" w:rsidRPr="00FD02F8">
              <w:rPr>
                <w:rFonts w:ascii="Arial" w:eastAsia="MS PGothic" w:hAnsi="Arial" w:cs="Arial"/>
                <w:b/>
                <w:bCs/>
                <w:color w:val="FFFFFF"/>
              </w:rPr>
              <w:t>3</w:t>
            </w:r>
            <w:r w:rsidR="007B42BA" w:rsidRPr="00FD02F8">
              <w:rPr>
                <w:rFonts w:ascii="Arial" w:eastAsia="MS PGothic" w:hAnsi="Arial" w:cs="Arial"/>
                <w:b/>
                <w:bCs/>
                <w:color w:val="FFFFFF"/>
              </w:rPr>
              <w:t xml:space="preserve"> </w:t>
            </w:r>
            <w:r w:rsidRPr="00FD02F8">
              <w:rPr>
                <w:rFonts w:ascii="Arial" w:eastAsia="MS PGothic" w:hAnsi="Arial" w:cs="Arial"/>
                <w:b/>
                <w:bCs/>
                <w:color w:val="FFFFFF"/>
              </w:rPr>
              <w:t>Status</w:t>
            </w:r>
          </w:p>
        </w:tc>
        <w:tc>
          <w:tcPr>
            <w:tcW w:w="1359" w:type="pct"/>
            <w:tcBorders>
              <w:bottom w:val="single" w:sz="8" w:space="0" w:color="auto"/>
            </w:tcBorders>
            <w:shd w:val="clear" w:color="auto" w:fill="016574" w:themeFill="accent2"/>
          </w:tcPr>
          <w:p w14:paraId="3938F8D3" w14:textId="2A8F2476" w:rsidR="00382EF1" w:rsidRPr="00FD02F8" w:rsidRDefault="00382EF1">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8268F" w:rsidRPr="00FD02F8">
              <w:rPr>
                <w:rFonts w:ascii="Arial" w:eastAsia="MS PGothic" w:hAnsi="Arial" w:cs="Arial"/>
                <w:b/>
                <w:bCs/>
                <w:color w:val="FFFFFF"/>
                <w:sz w:val="28"/>
                <w:szCs w:val="28"/>
              </w:rPr>
              <w:t>3</w:t>
            </w:r>
            <w:r w:rsidR="007B42BA" w:rsidRPr="00FD02F8">
              <w:rPr>
                <w:rFonts w:ascii="Arial" w:eastAsia="MS PGothic" w:hAnsi="Arial" w:cs="Arial"/>
                <w:b/>
                <w:bCs/>
                <w:color w:val="FFFFFF"/>
                <w:sz w:val="28"/>
                <w:szCs w:val="28"/>
              </w:rPr>
              <w:t xml:space="preserve"> </w:t>
            </w:r>
            <w:r w:rsidRPr="00FD02F8">
              <w:rPr>
                <w:rFonts w:ascii="Arial" w:eastAsia="MS PGothic" w:hAnsi="Arial" w:cs="Arial"/>
                <w:b/>
                <w:bCs/>
                <w:color w:val="FFFFFF"/>
                <w:sz w:val="28"/>
                <w:szCs w:val="28"/>
              </w:rPr>
              <w:t>commentary</w:t>
            </w:r>
          </w:p>
        </w:tc>
        <w:tc>
          <w:tcPr>
            <w:tcW w:w="500" w:type="pct"/>
            <w:tcBorders>
              <w:bottom w:val="single" w:sz="8" w:space="0" w:color="auto"/>
            </w:tcBorders>
            <w:shd w:val="clear" w:color="auto" w:fill="016574" w:themeFill="accent2"/>
          </w:tcPr>
          <w:p w14:paraId="59AE92D0" w14:textId="77777777" w:rsidR="00382EF1" w:rsidRPr="00FD02F8" w:rsidRDefault="00382EF1">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910B32" w:rsidRPr="00FD02F8" w14:paraId="43A42D74" w14:textId="77777777" w:rsidTr="004C18EC">
        <w:tblPrEx>
          <w:tblCellMar>
            <w:left w:w="108" w:type="dxa"/>
            <w:right w:w="108" w:type="dxa"/>
          </w:tblCellMar>
        </w:tblPrEx>
        <w:trPr>
          <w:cantSplit/>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3F19D86A" w14:textId="293C9F33" w:rsidR="00137927" w:rsidRPr="00FD02F8" w:rsidRDefault="00137927" w:rsidP="004C18EC">
            <w:pPr>
              <w:rPr>
                <w:rFonts w:eastAsia="Times New Roman" w:cstheme="minorHAnsi"/>
                <w:color w:val="000000"/>
              </w:rPr>
            </w:pPr>
            <w:r w:rsidRPr="00FD02F8">
              <w:rPr>
                <w:rFonts w:cstheme="minorHAnsi"/>
                <w:b/>
                <w:bCs/>
                <w:color w:val="000000"/>
              </w:rPr>
              <w:t>KR5.1</w:t>
            </w:r>
            <w:r w:rsidRPr="00FD02F8">
              <w:rPr>
                <w:rFonts w:cstheme="minorHAnsi"/>
                <w:color w:val="000000"/>
              </w:rPr>
              <w:t xml:space="preserve">: Review and update our monitoring strategy for the water environment. </w:t>
            </w:r>
          </w:p>
        </w:tc>
        <w:tc>
          <w:tcPr>
            <w:tcW w:w="250" w:type="pct"/>
            <w:tcBorders>
              <w:top w:val="single" w:sz="8" w:space="0" w:color="auto"/>
              <w:left w:val="single" w:sz="8" w:space="0" w:color="auto"/>
              <w:bottom w:val="single" w:sz="8" w:space="0" w:color="auto"/>
              <w:right w:val="single" w:sz="8" w:space="0" w:color="auto"/>
            </w:tcBorders>
            <w:vAlign w:val="center"/>
          </w:tcPr>
          <w:p w14:paraId="5D903458" w14:textId="7476C8F5" w:rsidR="00137927" w:rsidRPr="00FD02F8" w:rsidRDefault="00137927" w:rsidP="00C96F36">
            <w:pPr>
              <w:jc w:val="center"/>
              <w:textAlignment w:val="baseline"/>
              <w:rPr>
                <w:rFonts w:eastAsia="Times New Roman" w:cstheme="minorHAnsi"/>
                <w:lang w:eastAsia="en-GB"/>
              </w:rPr>
            </w:pPr>
            <w:r w:rsidRPr="00FD02F8">
              <w:rPr>
                <w:rFonts w:cstheme="minorHAnsi"/>
                <w:color w:val="000000"/>
              </w:rPr>
              <w:t>Q3</w:t>
            </w:r>
          </w:p>
        </w:tc>
        <w:tc>
          <w:tcPr>
            <w:tcW w:w="360" w:type="pct"/>
            <w:tcBorders>
              <w:top w:val="single" w:sz="8" w:space="0" w:color="auto"/>
              <w:left w:val="single" w:sz="8" w:space="0" w:color="auto"/>
              <w:bottom w:val="single" w:sz="8" w:space="0" w:color="auto"/>
              <w:right w:val="single" w:sz="8" w:space="0" w:color="auto"/>
            </w:tcBorders>
            <w:vAlign w:val="center"/>
          </w:tcPr>
          <w:p w14:paraId="00350C02" w14:textId="0C0857CB" w:rsidR="00137927" w:rsidRPr="00FD02F8" w:rsidRDefault="00137927" w:rsidP="00C96F36">
            <w:pPr>
              <w:jc w:val="center"/>
              <w:textAlignment w:val="baseline"/>
              <w:rPr>
                <w:rFonts w:eastAsia="Times New Roman" w:cstheme="minorHAnsi"/>
                <w:lang w:eastAsia="en-GB"/>
              </w:rPr>
            </w:pPr>
            <w:r w:rsidRPr="00FD02F8">
              <w:rPr>
                <w:rFonts w:cstheme="minorHAnsi"/>
                <w:color w:val="000000"/>
              </w:rPr>
              <w:t>N/A</w:t>
            </w:r>
          </w:p>
        </w:tc>
        <w:tc>
          <w:tcPr>
            <w:tcW w:w="303" w:type="pct"/>
            <w:tcBorders>
              <w:top w:val="single" w:sz="8" w:space="0" w:color="auto"/>
              <w:left w:val="single" w:sz="8" w:space="0" w:color="auto"/>
              <w:bottom w:val="single" w:sz="8" w:space="0" w:color="auto"/>
              <w:right w:val="single" w:sz="8" w:space="0" w:color="auto"/>
            </w:tcBorders>
            <w:vAlign w:val="center"/>
          </w:tcPr>
          <w:p w14:paraId="0E1A5BC2" w14:textId="1394C35C" w:rsidR="00137927" w:rsidRPr="00FD02F8" w:rsidRDefault="00F90F16" w:rsidP="00C96F36">
            <w:pPr>
              <w:jc w:val="center"/>
              <w:textAlignment w:val="baseline"/>
              <w:rPr>
                <w:rFonts w:ascii="Arial" w:eastAsia="Times New Roman" w:hAnsi="Arial" w:cs="Arial"/>
                <w:szCs w:val="28"/>
                <w:lang w:eastAsia="en-GB"/>
              </w:rPr>
            </w:pPr>
            <w:r w:rsidRPr="00FD02F8">
              <w:rPr>
                <w:rFonts w:cstheme="minorHAnsi"/>
                <w:color w:val="000000"/>
              </w:rPr>
              <w:t>N/A</w:t>
            </w:r>
          </w:p>
        </w:tc>
        <w:tc>
          <w:tcPr>
            <w:tcW w:w="303" w:type="pct"/>
            <w:tcBorders>
              <w:top w:val="single" w:sz="8" w:space="0" w:color="auto"/>
              <w:left w:val="single" w:sz="8" w:space="0" w:color="auto"/>
              <w:bottom w:val="single" w:sz="8" w:space="0" w:color="auto"/>
              <w:right w:val="single" w:sz="8" w:space="0" w:color="auto"/>
            </w:tcBorders>
            <w:vAlign w:val="center"/>
          </w:tcPr>
          <w:p w14:paraId="243EC958" w14:textId="208967C9" w:rsidR="00137927" w:rsidRPr="00FD02F8" w:rsidRDefault="00043810"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303" w:type="pct"/>
            <w:tcBorders>
              <w:top w:val="single" w:sz="8" w:space="0" w:color="auto"/>
              <w:left w:val="single" w:sz="8" w:space="0" w:color="auto"/>
              <w:bottom w:val="single" w:sz="8" w:space="0" w:color="auto"/>
              <w:right w:val="single" w:sz="8" w:space="0" w:color="auto"/>
            </w:tcBorders>
            <w:vAlign w:val="center"/>
          </w:tcPr>
          <w:p w14:paraId="17BEE8BA" w14:textId="77777777" w:rsidR="00137927" w:rsidRPr="00FD02F8" w:rsidRDefault="00137927"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11F2F69F" w14:textId="3A2F3F37" w:rsidR="00137927" w:rsidRPr="00FD02F8" w:rsidRDefault="00E40580" w:rsidP="00C96F36">
            <w:pPr>
              <w:jc w:val="center"/>
              <w:textAlignment w:val="baseline"/>
              <w:rPr>
                <w:rFonts w:ascii="Arial" w:eastAsia="Times New Roman" w:hAnsi="Arial" w:cs="Arial"/>
                <w:szCs w:val="28"/>
                <w:lang w:eastAsia="en-GB"/>
              </w:rPr>
            </w:pPr>
            <w:r w:rsidRPr="00FD02F8">
              <w:rPr>
                <w:noProof/>
              </w:rPr>
              <w:drawing>
                <wp:inline distT="0" distB="0" distL="0" distR="0" wp14:anchorId="4198E9E3" wp14:editId="22517931">
                  <wp:extent cx="463550" cy="463550"/>
                  <wp:effectExtent l="0" t="0" r="0" b="0"/>
                  <wp:docPr id="612072773"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30EBFD71" w14:textId="36DFE6AB" w:rsidR="004713AF" w:rsidRPr="00FD02F8" w:rsidRDefault="00254782" w:rsidP="00C96F36">
            <w:pPr>
              <w:textAlignment w:val="baseline"/>
              <w:rPr>
                <w:rFonts w:ascii="Arial" w:eastAsia="Times New Roman" w:hAnsi="Arial" w:cs="Arial"/>
                <w:b/>
                <w:bCs/>
                <w:highlight w:val="yellow"/>
                <w:lang w:eastAsia="en-GB"/>
              </w:rPr>
            </w:pPr>
            <w:r w:rsidRPr="00FD02F8">
              <w:rPr>
                <w:rFonts w:ascii="Arial" w:eastAsia="Times New Roman" w:hAnsi="Arial" w:cs="Arial"/>
                <w:b/>
                <w:lang w:eastAsia="en-GB"/>
              </w:rPr>
              <w:t>Key result delivered</w:t>
            </w:r>
            <w:r w:rsidRPr="00FD02F8">
              <w:rPr>
                <w:rFonts w:ascii="Arial" w:eastAsia="Times New Roman" w:hAnsi="Arial" w:cs="Arial"/>
                <w:lang w:eastAsia="en-GB"/>
              </w:rPr>
              <w:t xml:space="preserve">. </w:t>
            </w:r>
            <w:r w:rsidR="00DE2309" w:rsidRPr="00FD02F8">
              <w:rPr>
                <w:rFonts w:ascii="Arial" w:eastAsia="Times New Roman" w:hAnsi="Arial" w:cs="Arial"/>
                <w:lang w:eastAsia="en-GB"/>
              </w:rPr>
              <w:t>Overall evidence strategy and vision delivered.</w:t>
            </w:r>
          </w:p>
        </w:tc>
        <w:tc>
          <w:tcPr>
            <w:tcW w:w="500" w:type="pct"/>
            <w:tcBorders>
              <w:top w:val="single" w:sz="8" w:space="0" w:color="auto"/>
              <w:left w:val="single" w:sz="8" w:space="0" w:color="auto"/>
              <w:bottom w:val="single" w:sz="8" w:space="0" w:color="auto"/>
              <w:right w:val="single" w:sz="8" w:space="0" w:color="auto"/>
            </w:tcBorders>
            <w:vAlign w:val="center"/>
          </w:tcPr>
          <w:p w14:paraId="68669D0F" w14:textId="1E0E4071" w:rsidR="00137927" w:rsidRPr="00FD02F8" w:rsidRDefault="00137927" w:rsidP="00C96F36">
            <w:pPr>
              <w:jc w:val="center"/>
              <w:textAlignment w:val="baseline"/>
              <w:rPr>
                <w:rFonts w:ascii="Arial" w:eastAsia="Times New Roman" w:hAnsi="Arial" w:cs="Arial"/>
                <w:highlight w:val="yellow"/>
                <w:lang w:eastAsia="en-GB"/>
              </w:rPr>
            </w:pPr>
            <w:r w:rsidRPr="00FD02F8">
              <w:rPr>
                <w:rFonts w:ascii="Arial" w:eastAsia="Times New Roman" w:hAnsi="Arial" w:cs="Arial"/>
                <w:lang w:eastAsia="en-GB"/>
              </w:rPr>
              <w:t>Delivered</w:t>
            </w:r>
          </w:p>
        </w:tc>
      </w:tr>
      <w:tr w:rsidR="00910B32" w:rsidRPr="00FD02F8" w14:paraId="7A54671A" w14:textId="77777777" w:rsidTr="004C18EC">
        <w:trPr>
          <w:cantSplit/>
          <w:trHeight w:val="881"/>
        </w:trPr>
        <w:tc>
          <w:tcPr>
            <w:tcW w:w="1287" w:type="pct"/>
            <w:tcBorders>
              <w:top w:val="single" w:sz="8" w:space="0" w:color="auto"/>
              <w:left w:val="single" w:sz="8" w:space="0" w:color="auto"/>
              <w:bottom w:val="single" w:sz="8" w:space="0" w:color="auto"/>
              <w:right w:val="single" w:sz="8" w:space="0" w:color="auto"/>
            </w:tcBorders>
            <w:vAlign w:val="center"/>
          </w:tcPr>
          <w:p w14:paraId="0C708F4A" w14:textId="15B4299E" w:rsidR="00ED2748" w:rsidRPr="00FD02F8" w:rsidRDefault="00ED2748" w:rsidP="004C18EC">
            <w:pPr>
              <w:rPr>
                <w:rFonts w:eastAsia="Times New Roman" w:cstheme="minorHAnsi"/>
                <w:color w:val="000000"/>
              </w:rPr>
            </w:pPr>
            <w:r w:rsidRPr="00FD02F8">
              <w:rPr>
                <w:rFonts w:cstheme="minorHAnsi"/>
                <w:b/>
                <w:bCs/>
                <w:color w:val="000000"/>
              </w:rPr>
              <w:t>KR 5.2:</w:t>
            </w:r>
            <w:r w:rsidRPr="00FD02F8">
              <w:rPr>
                <w:rFonts w:cstheme="minorHAnsi"/>
                <w:color w:val="000000"/>
              </w:rPr>
              <w:t xml:space="preserve"> Complete 2025 monitoring plan for water environment. </w:t>
            </w:r>
          </w:p>
        </w:tc>
        <w:tc>
          <w:tcPr>
            <w:tcW w:w="250" w:type="pct"/>
            <w:tcBorders>
              <w:top w:val="single" w:sz="8" w:space="0" w:color="auto"/>
              <w:left w:val="single" w:sz="8" w:space="0" w:color="auto"/>
              <w:bottom w:val="single" w:sz="8" w:space="0" w:color="auto"/>
              <w:right w:val="single" w:sz="8" w:space="0" w:color="auto"/>
            </w:tcBorders>
            <w:vAlign w:val="center"/>
          </w:tcPr>
          <w:p w14:paraId="5535BCAF" w14:textId="371CB2BB" w:rsidR="00ED2748" w:rsidRPr="00FD02F8" w:rsidRDefault="00ED2748" w:rsidP="00C96F36">
            <w:pPr>
              <w:jc w:val="center"/>
              <w:textAlignment w:val="baseline"/>
              <w:rPr>
                <w:rFonts w:eastAsia="Times New Roman" w:cstheme="minorHAnsi"/>
                <w:lang w:eastAsia="en-GB"/>
              </w:rPr>
            </w:pPr>
            <w:r w:rsidRPr="00FD02F8">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09946543" w14:textId="63017B4F" w:rsidR="00ED2748" w:rsidRPr="00FD02F8" w:rsidRDefault="00ED2748" w:rsidP="00C96F36">
            <w:pPr>
              <w:jc w:val="center"/>
              <w:textAlignment w:val="baseline"/>
              <w:rPr>
                <w:rFonts w:eastAsia="Times New Roman" w:cstheme="minorHAnsi"/>
                <w:lang w:eastAsia="en-GB"/>
              </w:rPr>
            </w:pPr>
            <w:r w:rsidRPr="00FD02F8">
              <w:rPr>
                <w:rFonts w:cstheme="minorHAnsi"/>
                <w:color w:val="000000"/>
              </w:rPr>
              <w:t>0.15</w:t>
            </w:r>
          </w:p>
        </w:tc>
        <w:tc>
          <w:tcPr>
            <w:tcW w:w="303" w:type="pct"/>
            <w:tcBorders>
              <w:top w:val="single" w:sz="8" w:space="0" w:color="auto"/>
              <w:left w:val="single" w:sz="8" w:space="0" w:color="auto"/>
              <w:bottom w:val="single" w:sz="8" w:space="0" w:color="auto"/>
              <w:right w:val="single" w:sz="8" w:space="0" w:color="auto"/>
            </w:tcBorders>
            <w:vAlign w:val="center"/>
          </w:tcPr>
          <w:p w14:paraId="1CFD6D18" w14:textId="20899946" w:rsidR="00ED2748" w:rsidRPr="00FD02F8" w:rsidRDefault="00F90F16"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0.38</w:t>
            </w:r>
          </w:p>
        </w:tc>
        <w:tc>
          <w:tcPr>
            <w:tcW w:w="303" w:type="pct"/>
            <w:tcBorders>
              <w:top w:val="single" w:sz="8" w:space="0" w:color="auto"/>
              <w:left w:val="single" w:sz="8" w:space="0" w:color="auto"/>
              <w:bottom w:val="single" w:sz="8" w:space="0" w:color="auto"/>
              <w:right w:val="single" w:sz="8" w:space="0" w:color="auto"/>
            </w:tcBorders>
            <w:vAlign w:val="center"/>
          </w:tcPr>
          <w:p w14:paraId="414EFC93" w14:textId="03E7C862" w:rsidR="00ED2748" w:rsidRPr="00FD02F8" w:rsidRDefault="00281BD9"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0.62</w:t>
            </w:r>
          </w:p>
        </w:tc>
        <w:tc>
          <w:tcPr>
            <w:tcW w:w="303" w:type="pct"/>
            <w:tcBorders>
              <w:top w:val="single" w:sz="8" w:space="0" w:color="auto"/>
              <w:left w:val="single" w:sz="8" w:space="0" w:color="auto"/>
              <w:bottom w:val="single" w:sz="8" w:space="0" w:color="auto"/>
              <w:right w:val="single" w:sz="8" w:space="0" w:color="auto"/>
            </w:tcBorders>
            <w:vAlign w:val="center"/>
          </w:tcPr>
          <w:p w14:paraId="0E3C587D" w14:textId="77777777" w:rsidR="00ED2748" w:rsidRPr="00FD02F8" w:rsidRDefault="00ED2748"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3C1B7905" w14:textId="7B48DACD" w:rsidR="00ED2748" w:rsidRPr="00FD02F8" w:rsidRDefault="00FF535E" w:rsidP="00C96F36">
            <w:pPr>
              <w:jc w:val="center"/>
              <w:textAlignment w:val="baseline"/>
              <w:rPr>
                <w:b/>
                <w:bCs/>
              </w:rPr>
            </w:pPr>
            <w:r w:rsidRPr="00FD02F8">
              <w:rPr>
                <w:noProof/>
              </w:rPr>
              <w:drawing>
                <wp:inline distT="0" distB="0" distL="0" distR="0" wp14:anchorId="34FEF1F2" wp14:editId="339493FA">
                  <wp:extent cx="463550" cy="463550"/>
                  <wp:effectExtent l="0" t="0" r="0" b="0"/>
                  <wp:docPr id="1500076833"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78D95863" w14:textId="172D8D39" w:rsidR="00ED2748" w:rsidRPr="00FD02F8" w:rsidRDefault="00A52E2F" w:rsidP="00C96F36">
            <w:pPr>
              <w:textAlignment w:val="baseline"/>
              <w:rPr>
                <w:rFonts w:ascii="Arial" w:eastAsia="Times New Roman" w:hAnsi="Arial" w:cs="Arial"/>
                <w:lang w:eastAsia="en-GB"/>
              </w:rPr>
            </w:pPr>
            <w:r w:rsidRPr="00FD02F8">
              <w:rPr>
                <w:rFonts w:ascii="Arial" w:eastAsia="Times New Roman" w:hAnsi="Arial" w:cs="Arial"/>
                <w:lang w:eastAsia="en-GB"/>
              </w:rPr>
              <w:t>Chemistry have delivered 7</w:t>
            </w:r>
            <w:r w:rsidR="00B54CA0" w:rsidRPr="00FD02F8">
              <w:rPr>
                <w:rFonts w:ascii="Arial" w:eastAsia="Times New Roman" w:hAnsi="Arial" w:cs="Arial"/>
                <w:lang w:eastAsia="en-GB"/>
              </w:rPr>
              <w:t>9</w:t>
            </w:r>
            <w:r w:rsidRPr="00FD02F8">
              <w:rPr>
                <w:rFonts w:ascii="Arial" w:eastAsia="Times New Roman" w:hAnsi="Arial" w:cs="Arial"/>
                <w:lang w:eastAsia="en-GB"/>
              </w:rPr>
              <w:t xml:space="preserve">% </w:t>
            </w:r>
            <w:r w:rsidR="008C6454" w:rsidRPr="00FD02F8">
              <w:rPr>
                <w:rFonts w:ascii="Arial" w:eastAsia="Times New Roman" w:hAnsi="Arial" w:cs="Arial"/>
                <w:lang w:eastAsia="en-GB"/>
              </w:rPr>
              <w:t xml:space="preserve">and </w:t>
            </w:r>
            <w:r w:rsidRPr="00FD02F8">
              <w:rPr>
                <w:rFonts w:ascii="Arial" w:eastAsia="Times New Roman" w:hAnsi="Arial" w:cs="Arial"/>
                <w:lang w:eastAsia="en-GB"/>
              </w:rPr>
              <w:t xml:space="preserve">Ecology </w:t>
            </w:r>
            <w:r w:rsidR="004B0843" w:rsidRPr="00FD02F8">
              <w:rPr>
                <w:rFonts w:ascii="Arial" w:eastAsia="Times New Roman" w:hAnsi="Arial" w:cs="Arial"/>
                <w:lang w:eastAsia="en-GB"/>
              </w:rPr>
              <w:t xml:space="preserve">have delivered </w:t>
            </w:r>
            <w:r w:rsidR="00B54CA0" w:rsidRPr="00FD02F8">
              <w:rPr>
                <w:rFonts w:ascii="Arial" w:eastAsia="Times New Roman" w:hAnsi="Arial" w:cs="Arial"/>
                <w:lang w:eastAsia="en-GB"/>
              </w:rPr>
              <w:t>86</w:t>
            </w:r>
            <w:r w:rsidRPr="00FD02F8">
              <w:rPr>
                <w:rFonts w:ascii="Arial" w:eastAsia="Times New Roman" w:hAnsi="Arial" w:cs="Arial"/>
                <w:lang w:eastAsia="en-GB"/>
              </w:rPr>
              <w:t>%</w:t>
            </w:r>
            <w:r w:rsidR="008C6454" w:rsidRPr="00FD02F8">
              <w:rPr>
                <w:rFonts w:ascii="Arial" w:eastAsia="Times New Roman" w:hAnsi="Arial" w:cs="Arial"/>
                <w:lang w:eastAsia="en-GB"/>
              </w:rPr>
              <w:t xml:space="preserve"> </w:t>
            </w:r>
            <w:r w:rsidR="00D251C2" w:rsidRPr="00FD02F8">
              <w:rPr>
                <w:rFonts w:ascii="Arial" w:eastAsia="Times New Roman" w:hAnsi="Arial" w:cs="Arial"/>
                <w:lang w:eastAsia="en-GB"/>
              </w:rPr>
              <w:t>of planned work</w:t>
            </w:r>
            <w:r w:rsidR="00B81C88" w:rsidRPr="00FD02F8">
              <w:rPr>
                <w:rFonts w:ascii="Arial" w:eastAsia="Times New Roman" w:hAnsi="Arial" w:cs="Arial"/>
                <w:lang w:eastAsia="en-GB"/>
              </w:rPr>
              <w:t>, giving a combined delivery of 82.5% of Q3 targets.</w:t>
            </w:r>
            <w:r w:rsidRPr="00FD02F8">
              <w:rPr>
                <w:rFonts w:ascii="Arial" w:eastAsia="Times New Roman" w:hAnsi="Arial" w:cs="Arial"/>
                <w:lang w:eastAsia="en-GB"/>
              </w:rPr>
              <w:t xml:space="preserve"> Where there are shortfalls, the priority is on classification and regulatory monitoring.</w:t>
            </w:r>
            <w:r w:rsidR="00401F00" w:rsidRPr="00FD02F8">
              <w:t xml:space="preserve"> </w:t>
            </w:r>
            <w:r w:rsidR="00EC0B8B" w:rsidRPr="00FD02F8">
              <w:t>We are c</w:t>
            </w:r>
            <w:r w:rsidR="00401F00" w:rsidRPr="00FD02F8">
              <w:rPr>
                <w:rFonts w:ascii="Arial" w:eastAsia="Times New Roman" w:hAnsi="Arial" w:cs="Arial"/>
                <w:lang w:eastAsia="en-GB"/>
              </w:rPr>
              <w:t>onfident in delivery of the majority of the plan overall (&gt;80%), with some shortfalls in isolated areas.</w:t>
            </w:r>
          </w:p>
          <w:p w14:paraId="04FE84D8" w14:textId="54918DF3" w:rsidR="00363ED4" w:rsidRPr="00FD02F8" w:rsidRDefault="00363ED4" w:rsidP="00C96F36">
            <w:pPr>
              <w:textAlignment w:val="baseline"/>
              <w:rPr>
                <w:rFonts w:ascii="Arial" w:eastAsia="Times New Roman" w:hAnsi="Arial" w:cs="Arial"/>
                <w:b/>
                <w:bCs/>
                <w:highlight w:val="yellow"/>
                <w:lang w:eastAsia="en-GB"/>
              </w:rPr>
            </w:pPr>
            <w:r w:rsidRPr="00FD02F8">
              <w:rPr>
                <w:rFonts w:ascii="Arial" w:eastAsia="Times New Roman" w:hAnsi="Arial" w:cs="Arial"/>
                <w:b/>
                <w:bCs/>
                <w:lang w:eastAsia="en-GB"/>
              </w:rPr>
              <w:t xml:space="preserve">Confidence in forecast: </w:t>
            </w:r>
            <w:r w:rsidR="00E877F1" w:rsidRPr="00FD02F8">
              <w:rPr>
                <w:rFonts w:ascii="Arial" w:eastAsia="Times New Roman" w:hAnsi="Arial" w:cs="Arial"/>
                <w:b/>
                <w:bCs/>
                <w:lang w:eastAsia="en-GB"/>
              </w:rPr>
              <w:t>High</w:t>
            </w:r>
          </w:p>
        </w:tc>
        <w:tc>
          <w:tcPr>
            <w:tcW w:w="500" w:type="pct"/>
            <w:tcBorders>
              <w:top w:val="single" w:sz="8" w:space="0" w:color="auto"/>
              <w:left w:val="single" w:sz="8" w:space="0" w:color="auto"/>
              <w:bottom w:val="single" w:sz="8" w:space="0" w:color="auto"/>
              <w:right w:val="single" w:sz="8" w:space="0" w:color="auto"/>
            </w:tcBorders>
            <w:vAlign w:val="center"/>
          </w:tcPr>
          <w:p w14:paraId="333B05A5" w14:textId="18716D41" w:rsidR="00ED2748" w:rsidRPr="00FD02F8" w:rsidRDefault="00C67E3F" w:rsidP="00C96F36">
            <w:pPr>
              <w:jc w:val="center"/>
              <w:textAlignment w:val="baseline"/>
              <w:rPr>
                <w:rFonts w:ascii="Arial" w:eastAsia="Times New Roman" w:hAnsi="Arial" w:cs="Arial"/>
                <w:szCs w:val="28"/>
                <w:highlight w:val="yellow"/>
                <w:lang w:eastAsia="en-GB"/>
              </w:rPr>
            </w:pPr>
            <w:r w:rsidRPr="00FD02F8">
              <w:rPr>
                <w:rFonts w:ascii="Arial" w:eastAsia="Times New Roman" w:hAnsi="Arial" w:cs="Arial"/>
                <w:lang w:eastAsia="en-GB"/>
              </w:rPr>
              <w:t>Delivered</w:t>
            </w:r>
          </w:p>
        </w:tc>
      </w:tr>
      <w:tr w:rsidR="00910B32" w:rsidRPr="00FD02F8" w14:paraId="1A464022" w14:textId="77777777" w:rsidTr="004C18EC">
        <w:trPr>
          <w:cantSplit/>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13043A52" w14:textId="3BAD4DD1" w:rsidR="00ED2748" w:rsidRPr="00FD02F8" w:rsidRDefault="00ED2748" w:rsidP="004C18EC">
            <w:pPr>
              <w:rPr>
                <w:rFonts w:eastAsia="Times New Roman" w:cstheme="minorHAnsi"/>
                <w:color w:val="000000"/>
              </w:rPr>
            </w:pPr>
            <w:r w:rsidRPr="00FD02F8">
              <w:rPr>
                <w:rFonts w:cstheme="minorHAnsi"/>
                <w:b/>
                <w:bCs/>
                <w:color w:val="000000"/>
              </w:rPr>
              <w:lastRenderedPageBreak/>
              <w:t>KR 5.3:</w:t>
            </w:r>
            <w:r w:rsidRPr="00FD02F8">
              <w:rPr>
                <w:rFonts w:cstheme="minorHAnsi"/>
                <w:color w:val="000000"/>
              </w:rPr>
              <w:t xml:space="preserve"> 90% of our programme of actions for the water environment are delivered.</w:t>
            </w:r>
          </w:p>
        </w:tc>
        <w:tc>
          <w:tcPr>
            <w:tcW w:w="250" w:type="pct"/>
            <w:tcBorders>
              <w:top w:val="single" w:sz="8" w:space="0" w:color="auto"/>
              <w:left w:val="single" w:sz="8" w:space="0" w:color="auto"/>
              <w:bottom w:val="single" w:sz="8" w:space="0" w:color="auto"/>
              <w:right w:val="single" w:sz="8" w:space="0" w:color="auto"/>
            </w:tcBorders>
            <w:vAlign w:val="center"/>
          </w:tcPr>
          <w:p w14:paraId="243E2898" w14:textId="64A6A052" w:rsidR="00ED2748" w:rsidRPr="00FD02F8" w:rsidRDefault="00ED2748" w:rsidP="004C18EC">
            <w:pPr>
              <w:textAlignment w:val="baseline"/>
              <w:rPr>
                <w:rFonts w:eastAsia="Times New Roman" w:cstheme="minorHAnsi"/>
                <w:lang w:eastAsia="en-GB"/>
              </w:rPr>
            </w:pPr>
            <w:r w:rsidRPr="00FD02F8">
              <w:rPr>
                <w:rFonts w:cstheme="minorHAnsi"/>
                <w:color w:val="000000"/>
              </w:rPr>
              <w:t>Q4</w:t>
            </w:r>
          </w:p>
        </w:tc>
        <w:tc>
          <w:tcPr>
            <w:tcW w:w="360" w:type="pct"/>
            <w:tcBorders>
              <w:top w:val="single" w:sz="8" w:space="0" w:color="auto"/>
              <w:left w:val="single" w:sz="8" w:space="0" w:color="auto"/>
              <w:bottom w:val="single" w:sz="8" w:space="0" w:color="auto"/>
              <w:right w:val="single" w:sz="8" w:space="0" w:color="auto"/>
            </w:tcBorders>
            <w:vAlign w:val="center"/>
          </w:tcPr>
          <w:p w14:paraId="7FA809A9" w14:textId="68192F47" w:rsidR="00ED2748" w:rsidRPr="00FD02F8" w:rsidRDefault="00ED2748" w:rsidP="004C18EC">
            <w:pPr>
              <w:textAlignment w:val="baseline"/>
              <w:rPr>
                <w:rFonts w:eastAsia="Times New Roman" w:cstheme="minorHAnsi"/>
                <w:lang w:eastAsia="en-GB"/>
              </w:rPr>
            </w:pPr>
            <w:r w:rsidRPr="00FD02F8">
              <w:rPr>
                <w:rFonts w:cstheme="minorHAnsi"/>
                <w:color w:val="000000"/>
              </w:rPr>
              <w:t>0.</w:t>
            </w:r>
            <w:r w:rsidR="00A469E8" w:rsidRPr="00FD02F8">
              <w:rPr>
                <w:rFonts w:cstheme="minorHAnsi"/>
                <w:color w:val="000000"/>
              </w:rPr>
              <w:t>4</w:t>
            </w:r>
            <w:r w:rsidR="00555DFE" w:rsidRPr="00FD02F8">
              <w:rPr>
                <w:rFonts w:cstheme="minorHAnsi"/>
                <w:color w:val="000000"/>
              </w:rPr>
              <w:t>0</w:t>
            </w:r>
          </w:p>
        </w:tc>
        <w:tc>
          <w:tcPr>
            <w:tcW w:w="303" w:type="pct"/>
            <w:tcBorders>
              <w:top w:val="single" w:sz="8" w:space="0" w:color="auto"/>
              <w:left w:val="single" w:sz="8" w:space="0" w:color="auto"/>
              <w:bottom w:val="single" w:sz="8" w:space="0" w:color="auto"/>
              <w:right w:val="single" w:sz="8" w:space="0" w:color="auto"/>
            </w:tcBorders>
            <w:vAlign w:val="center"/>
          </w:tcPr>
          <w:p w14:paraId="6C878C4E" w14:textId="6D6C9B0F" w:rsidR="00ED2748" w:rsidRPr="00FD02F8" w:rsidRDefault="00F90F16" w:rsidP="004C18EC">
            <w:pPr>
              <w:textAlignment w:val="baseline"/>
              <w:rPr>
                <w:rFonts w:ascii="Arial" w:eastAsia="Times New Roman" w:hAnsi="Arial" w:cs="Arial"/>
                <w:szCs w:val="28"/>
                <w:lang w:eastAsia="en-GB"/>
              </w:rPr>
            </w:pPr>
            <w:r w:rsidRPr="00FD02F8">
              <w:rPr>
                <w:rFonts w:ascii="Arial" w:eastAsia="Times New Roman" w:hAnsi="Arial" w:cs="Arial"/>
                <w:szCs w:val="28"/>
                <w:lang w:eastAsia="en-GB"/>
              </w:rPr>
              <w:t>0.54</w:t>
            </w:r>
          </w:p>
        </w:tc>
        <w:tc>
          <w:tcPr>
            <w:tcW w:w="303" w:type="pct"/>
            <w:tcBorders>
              <w:top w:val="single" w:sz="8" w:space="0" w:color="auto"/>
              <w:left w:val="single" w:sz="8" w:space="0" w:color="auto"/>
              <w:bottom w:val="single" w:sz="8" w:space="0" w:color="auto"/>
              <w:right w:val="single" w:sz="8" w:space="0" w:color="auto"/>
            </w:tcBorders>
            <w:vAlign w:val="center"/>
          </w:tcPr>
          <w:p w14:paraId="271E8C8A" w14:textId="0A805C73" w:rsidR="00ED2748" w:rsidRPr="00FD02F8" w:rsidRDefault="005D0405" w:rsidP="004C18EC">
            <w:pP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0.75</w:t>
            </w:r>
          </w:p>
        </w:tc>
        <w:tc>
          <w:tcPr>
            <w:tcW w:w="303" w:type="pct"/>
            <w:tcBorders>
              <w:top w:val="single" w:sz="8" w:space="0" w:color="auto"/>
              <w:left w:val="single" w:sz="8" w:space="0" w:color="auto"/>
              <w:bottom w:val="single" w:sz="8" w:space="0" w:color="auto"/>
              <w:right w:val="single" w:sz="8" w:space="0" w:color="auto"/>
            </w:tcBorders>
            <w:vAlign w:val="center"/>
          </w:tcPr>
          <w:p w14:paraId="5A025BE1" w14:textId="77777777" w:rsidR="00ED2748" w:rsidRPr="00FD02F8" w:rsidRDefault="00ED2748" w:rsidP="004C18EC">
            <w:pP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278BA719" w14:textId="2AF66ADE" w:rsidR="00ED2748" w:rsidRPr="00FD02F8" w:rsidRDefault="005D0405" w:rsidP="004C18EC">
            <w:pPr>
              <w:textAlignment w:val="baseline"/>
              <w:rPr>
                <w:b/>
                <w:bCs/>
              </w:rPr>
            </w:pPr>
            <w:r w:rsidRPr="00FD02F8">
              <w:rPr>
                <w:noProof/>
              </w:rPr>
              <w:drawing>
                <wp:inline distT="0" distB="0" distL="0" distR="0" wp14:anchorId="4A6E952C" wp14:editId="0F5DA09D">
                  <wp:extent cx="463550" cy="463550"/>
                  <wp:effectExtent l="0" t="0" r="0" b="0"/>
                  <wp:docPr id="193453251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287EA101" w14:textId="1A5610CF" w:rsidR="00061175" w:rsidRPr="00FD02F8" w:rsidRDefault="00061175" w:rsidP="00061175">
            <w:pPr>
              <w:textAlignment w:val="baseline"/>
              <w:rPr>
                <w:rFonts w:ascii="Arial" w:eastAsia="Times New Roman" w:hAnsi="Arial" w:cs="Arial"/>
                <w:lang w:eastAsia="en-GB"/>
              </w:rPr>
            </w:pPr>
            <w:r w:rsidRPr="00FD02F8">
              <w:rPr>
                <w:rFonts w:ascii="Arial" w:eastAsia="Times New Roman" w:hAnsi="Arial" w:cs="Arial"/>
                <w:lang w:eastAsia="en-GB"/>
              </w:rPr>
              <w:t xml:space="preserve">Delivery against this key result is </w:t>
            </w:r>
            <w:r w:rsidR="00F57A00" w:rsidRPr="00FD02F8">
              <w:rPr>
                <w:rFonts w:ascii="Arial" w:eastAsia="Times New Roman" w:hAnsi="Arial" w:cs="Arial"/>
                <w:lang w:eastAsia="en-GB"/>
              </w:rPr>
              <w:t xml:space="preserve">now </w:t>
            </w:r>
            <w:r w:rsidRPr="00FD02F8">
              <w:rPr>
                <w:rFonts w:ascii="Arial" w:eastAsia="Times New Roman" w:hAnsi="Arial" w:cs="Arial"/>
                <w:lang w:eastAsia="en-GB"/>
              </w:rPr>
              <w:t>on track, with progress across the scoping, in progress and complete stages. By the end of Q3, 98 of the 144 key actions have been completed.</w:t>
            </w:r>
          </w:p>
          <w:p w14:paraId="3D82AE12" w14:textId="77777777" w:rsidR="00272789" w:rsidRPr="00FD02F8" w:rsidRDefault="00272789" w:rsidP="00061175">
            <w:pPr>
              <w:textAlignment w:val="baseline"/>
              <w:rPr>
                <w:rFonts w:ascii="Arial" w:eastAsia="Times New Roman" w:hAnsi="Arial" w:cs="Arial"/>
                <w:lang w:eastAsia="en-GB"/>
              </w:rPr>
            </w:pPr>
          </w:p>
          <w:p w14:paraId="1CF36E85" w14:textId="77777777" w:rsidR="00061175" w:rsidRPr="00FD02F8" w:rsidRDefault="00061175" w:rsidP="00061175">
            <w:pPr>
              <w:textAlignment w:val="baseline"/>
              <w:rPr>
                <w:rFonts w:ascii="Arial" w:eastAsia="Times New Roman" w:hAnsi="Arial" w:cs="Arial"/>
                <w:lang w:eastAsia="en-GB"/>
              </w:rPr>
            </w:pPr>
            <w:r w:rsidRPr="00FD02F8">
              <w:rPr>
                <w:rFonts w:ascii="Arial" w:eastAsia="Times New Roman" w:hAnsi="Arial" w:cs="Arial"/>
                <w:lang w:eastAsia="en-GB"/>
              </w:rPr>
              <w:t>Progress has been strongest in the scoping stage, where delivery has exceeded expectations, with 27 additional actions completed beyond the original key result scope. These additional actions are not included in the performance calculations for this key result.</w:t>
            </w:r>
          </w:p>
          <w:p w14:paraId="36DF2DA4" w14:textId="77777777" w:rsidR="008E21F8" w:rsidRPr="00FD02F8" w:rsidRDefault="008E21F8" w:rsidP="00061175">
            <w:pPr>
              <w:textAlignment w:val="baseline"/>
              <w:rPr>
                <w:rFonts w:ascii="Arial" w:eastAsia="Times New Roman" w:hAnsi="Arial" w:cs="Arial"/>
                <w:lang w:eastAsia="en-GB"/>
              </w:rPr>
            </w:pPr>
          </w:p>
          <w:p w14:paraId="3C2DE5E0" w14:textId="17AFF2E7" w:rsidR="00061175" w:rsidRPr="00FD02F8" w:rsidRDefault="00061175" w:rsidP="00061175">
            <w:pPr>
              <w:textAlignment w:val="baseline"/>
              <w:rPr>
                <w:rFonts w:ascii="Arial" w:eastAsia="Times New Roman" w:hAnsi="Arial" w:cs="Arial"/>
                <w:lang w:eastAsia="en-GB"/>
              </w:rPr>
            </w:pPr>
            <w:r w:rsidRPr="00FD02F8">
              <w:rPr>
                <w:rFonts w:ascii="Arial" w:eastAsia="Times New Roman" w:hAnsi="Arial" w:cs="Arial"/>
                <w:lang w:eastAsia="en-GB"/>
              </w:rPr>
              <w:t xml:space="preserve">Delivery against actions in the ‘In Progress’ stage is below target and is unlikely to be fully achieved within this financial year. Mitigations discussed with the Corporate </w:t>
            </w:r>
            <w:r w:rsidRPr="00FD02F8">
              <w:rPr>
                <w:rFonts w:ascii="Arial" w:eastAsia="Times New Roman" w:hAnsi="Arial" w:cs="Arial"/>
                <w:lang w:eastAsia="en-GB"/>
              </w:rPr>
              <w:lastRenderedPageBreak/>
              <w:t>Leadership Team including additional resource and improvements to business processes are expected to improve delivery in the next financial year.</w:t>
            </w:r>
          </w:p>
          <w:p w14:paraId="33963430" w14:textId="746920BE" w:rsidR="00970404" w:rsidRPr="00FD02F8" w:rsidRDefault="00F57A00" w:rsidP="00061175">
            <w:pPr>
              <w:textAlignment w:val="baseline"/>
              <w:rPr>
                <w:rFonts w:ascii="Arial" w:eastAsia="Times New Roman" w:hAnsi="Arial" w:cs="Arial"/>
                <w:b/>
                <w:bCs/>
                <w:highlight w:val="yellow"/>
                <w:lang w:eastAsia="en-GB"/>
              </w:rPr>
            </w:pPr>
            <w:r w:rsidRPr="00FD02F8">
              <w:rPr>
                <w:rFonts w:ascii="Arial" w:eastAsia="Times New Roman" w:hAnsi="Arial" w:cs="Arial"/>
                <w:b/>
                <w:bCs/>
                <w:lang w:eastAsia="en-GB"/>
              </w:rPr>
              <w:t>Confidence in forecast: High</w:t>
            </w:r>
          </w:p>
        </w:tc>
        <w:tc>
          <w:tcPr>
            <w:tcW w:w="500" w:type="pct"/>
            <w:tcBorders>
              <w:top w:val="single" w:sz="8" w:space="0" w:color="auto"/>
              <w:left w:val="single" w:sz="8" w:space="0" w:color="auto"/>
              <w:bottom w:val="single" w:sz="8" w:space="0" w:color="auto"/>
              <w:right w:val="single" w:sz="8" w:space="0" w:color="auto"/>
            </w:tcBorders>
            <w:vAlign w:val="center"/>
          </w:tcPr>
          <w:p w14:paraId="245CE191" w14:textId="3F84247F" w:rsidR="00ED2748" w:rsidRPr="00FD02F8" w:rsidRDefault="00F57A00" w:rsidP="00C96F36">
            <w:pPr>
              <w:jc w:val="center"/>
              <w:textAlignment w:val="baseline"/>
              <w:rPr>
                <w:rFonts w:ascii="Arial" w:eastAsia="Times New Roman" w:hAnsi="Arial" w:cs="Arial"/>
                <w:szCs w:val="28"/>
                <w:highlight w:val="yellow"/>
                <w:lang w:eastAsia="en-GB"/>
              </w:rPr>
            </w:pPr>
            <w:r w:rsidRPr="00FD02F8">
              <w:rPr>
                <w:rFonts w:ascii="Arial" w:eastAsia="Times New Roman" w:hAnsi="Arial" w:cs="Arial"/>
                <w:lang w:eastAsia="en-GB"/>
              </w:rPr>
              <w:lastRenderedPageBreak/>
              <w:t>Delivered</w:t>
            </w:r>
          </w:p>
        </w:tc>
      </w:tr>
      <w:tr w:rsidR="00910B32" w:rsidRPr="00FD02F8" w14:paraId="1EB25C8E" w14:textId="77777777" w:rsidTr="003731AA">
        <w:trPr>
          <w:cantSplit/>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141724A2" w14:textId="028F2658" w:rsidR="00ED2748" w:rsidRPr="00FD02F8" w:rsidRDefault="00ED2748" w:rsidP="00C96F36">
            <w:pPr>
              <w:rPr>
                <w:rFonts w:eastAsia="Times New Roman" w:cstheme="minorHAnsi"/>
                <w:color w:val="000000"/>
              </w:rPr>
            </w:pPr>
            <w:r w:rsidRPr="00FD02F8">
              <w:rPr>
                <w:rFonts w:cstheme="minorHAnsi"/>
                <w:b/>
                <w:bCs/>
                <w:color w:val="000000"/>
              </w:rPr>
              <w:t>KR 5.4:</w:t>
            </w:r>
            <w:r w:rsidRPr="00FD02F8">
              <w:rPr>
                <w:rFonts w:cstheme="minorHAnsi"/>
                <w:color w:val="000000"/>
              </w:rPr>
              <w:t xml:space="preserve"> Three projects for the water environment are delivered by 31 March 2026  </w:t>
            </w:r>
          </w:p>
        </w:tc>
        <w:tc>
          <w:tcPr>
            <w:tcW w:w="250" w:type="pct"/>
            <w:tcBorders>
              <w:top w:val="single" w:sz="8" w:space="0" w:color="auto"/>
              <w:left w:val="single" w:sz="8" w:space="0" w:color="auto"/>
              <w:bottom w:val="single" w:sz="8" w:space="0" w:color="auto"/>
              <w:right w:val="single" w:sz="8" w:space="0" w:color="auto"/>
            </w:tcBorders>
            <w:vAlign w:val="center"/>
          </w:tcPr>
          <w:p w14:paraId="56E50AE1" w14:textId="52812555" w:rsidR="00ED2748" w:rsidRPr="00FD02F8" w:rsidRDefault="00ED2748" w:rsidP="00C96F36">
            <w:pPr>
              <w:jc w:val="center"/>
              <w:textAlignment w:val="baseline"/>
              <w:rPr>
                <w:rFonts w:eastAsia="Times New Roman" w:cstheme="minorHAnsi"/>
                <w:lang w:eastAsia="en-GB"/>
              </w:rPr>
            </w:pPr>
            <w:r w:rsidRPr="00FD02F8">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2BDF4423" w14:textId="5ECB8F43" w:rsidR="00ED2748" w:rsidRPr="00FD02F8" w:rsidRDefault="00ED2748" w:rsidP="00C96F36">
            <w:pPr>
              <w:jc w:val="center"/>
              <w:textAlignment w:val="baseline"/>
              <w:rPr>
                <w:rFonts w:eastAsia="Times New Roman" w:cstheme="minorHAnsi"/>
                <w:lang w:eastAsia="en-GB"/>
              </w:rPr>
            </w:pPr>
            <w:r w:rsidRPr="00FD02F8">
              <w:rPr>
                <w:rFonts w:cstheme="minorHAnsi"/>
                <w:color w:val="000000"/>
              </w:rPr>
              <w:t>0.</w:t>
            </w:r>
            <w:r w:rsidR="00A873F0" w:rsidRPr="00FD02F8">
              <w:rPr>
                <w:rFonts w:cstheme="minorHAnsi"/>
                <w:color w:val="000000"/>
              </w:rPr>
              <w:t>50</w:t>
            </w:r>
          </w:p>
        </w:tc>
        <w:tc>
          <w:tcPr>
            <w:tcW w:w="303" w:type="pct"/>
            <w:tcBorders>
              <w:top w:val="single" w:sz="8" w:space="0" w:color="auto"/>
              <w:left w:val="single" w:sz="8" w:space="0" w:color="auto"/>
              <w:bottom w:val="single" w:sz="8" w:space="0" w:color="auto"/>
              <w:right w:val="single" w:sz="8" w:space="0" w:color="auto"/>
            </w:tcBorders>
            <w:vAlign w:val="center"/>
          </w:tcPr>
          <w:p w14:paraId="2F45C9DC" w14:textId="595BDF70" w:rsidR="00ED2748" w:rsidRPr="00FD02F8" w:rsidRDefault="00FF535E" w:rsidP="00C96F36">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0.50</w:t>
            </w:r>
          </w:p>
        </w:tc>
        <w:tc>
          <w:tcPr>
            <w:tcW w:w="303" w:type="pct"/>
            <w:tcBorders>
              <w:top w:val="single" w:sz="8" w:space="0" w:color="auto"/>
              <w:left w:val="single" w:sz="8" w:space="0" w:color="auto"/>
              <w:bottom w:val="single" w:sz="8" w:space="0" w:color="auto"/>
              <w:right w:val="single" w:sz="8" w:space="0" w:color="auto"/>
            </w:tcBorders>
            <w:vAlign w:val="center"/>
          </w:tcPr>
          <w:p w14:paraId="235DB9EA" w14:textId="27C0651D" w:rsidR="00ED2748" w:rsidRPr="00FD02F8" w:rsidRDefault="00C54DAD"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303" w:type="pct"/>
            <w:tcBorders>
              <w:top w:val="single" w:sz="8" w:space="0" w:color="auto"/>
              <w:left w:val="single" w:sz="8" w:space="0" w:color="auto"/>
              <w:bottom w:val="single" w:sz="8" w:space="0" w:color="auto"/>
              <w:right w:val="single" w:sz="8" w:space="0" w:color="auto"/>
            </w:tcBorders>
            <w:vAlign w:val="center"/>
          </w:tcPr>
          <w:p w14:paraId="5DB21A4D" w14:textId="77777777" w:rsidR="00ED2748" w:rsidRPr="00FD02F8" w:rsidRDefault="00ED2748" w:rsidP="00C96F36">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14A7E314" w14:textId="6666F234" w:rsidR="00ED2748" w:rsidRPr="00FD02F8" w:rsidRDefault="00C54DAD" w:rsidP="00C96F36">
            <w:pPr>
              <w:jc w:val="center"/>
              <w:textAlignment w:val="baseline"/>
              <w:rPr>
                <w:b/>
                <w:bCs/>
              </w:rPr>
            </w:pPr>
            <w:r w:rsidRPr="00FD02F8">
              <w:rPr>
                <w:noProof/>
              </w:rPr>
              <w:drawing>
                <wp:inline distT="0" distB="0" distL="0" distR="0" wp14:anchorId="166694F4" wp14:editId="786D02DE">
                  <wp:extent cx="463550" cy="463550"/>
                  <wp:effectExtent l="0" t="0" r="0" b="0"/>
                  <wp:docPr id="448521265"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55309A12" w14:textId="5B95104C" w:rsidR="00851A42" w:rsidRPr="00FD02F8" w:rsidRDefault="00C54DAD" w:rsidP="00851A42">
            <w:pPr>
              <w:textAlignment w:val="baseline"/>
              <w:rPr>
                <w:rFonts w:ascii="Arial" w:eastAsia="Times New Roman" w:hAnsi="Arial" w:cs="Arial"/>
                <w:lang w:eastAsia="en-GB"/>
              </w:rPr>
            </w:pPr>
            <w:r w:rsidRPr="00FD02F8">
              <w:rPr>
                <w:rFonts w:ascii="Arial" w:eastAsia="Times New Roman" w:hAnsi="Arial" w:cs="Arial"/>
                <w:b/>
                <w:lang w:eastAsia="en-GB"/>
              </w:rPr>
              <w:t>Key result delivered</w:t>
            </w:r>
            <w:r w:rsidRPr="00FD02F8">
              <w:rPr>
                <w:rFonts w:ascii="Arial" w:eastAsia="Times New Roman" w:hAnsi="Arial" w:cs="Arial"/>
                <w:lang w:eastAsia="en-GB"/>
              </w:rPr>
              <w:t xml:space="preserve">. </w:t>
            </w:r>
            <w:r w:rsidR="00851A42" w:rsidRPr="00FD02F8">
              <w:rPr>
                <w:rFonts w:ascii="Arial" w:eastAsia="Times New Roman" w:hAnsi="Arial" w:cs="Arial"/>
                <w:lang w:eastAsia="en-GB"/>
              </w:rPr>
              <w:t>Three restoration projects complete.</w:t>
            </w:r>
          </w:p>
          <w:p w14:paraId="01C62AA9" w14:textId="77777777" w:rsidR="00851A42" w:rsidRPr="00FD02F8" w:rsidRDefault="00851A42" w:rsidP="003E2603">
            <w:pPr>
              <w:pStyle w:val="ListParagraph"/>
              <w:numPr>
                <w:ilvl w:val="0"/>
                <w:numId w:val="9"/>
              </w:numPr>
              <w:spacing w:line="360" w:lineRule="auto"/>
              <w:textAlignment w:val="baseline"/>
              <w:rPr>
                <w:rFonts w:ascii="Arial" w:eastAsia="Times New Roman" w:hAnsi="Arial" w:cs="Arial"/>
                <w:sz w:val="24"/>
                <w:lang w:val="en-GB" w:eastAsia="en-GB"/>
              </w:rPr>
            </w:pPr>
            <w:r w:rsidRPr="00FD02F8">
              <w:rPr>
                <w:rFonts w:ascii="Arial" w:eastAsia="Times New Roman" w:hAnsi="Arial" w:cs="Arial"/>
                <w:sz w:val="24"/>
                <w:lang w:val="en-GB" w:eastAsia="en-GB"/>
              </w:rPr>
              <w:t>Back Burn (river restoration)</w:t>
            </w:r>
          </w:p>
          <w:p w14:paraId="1E325DE8" w14:textId="4B1D2600" w:rsidR="00851A42" w:rsidRPr="00FD02F8" w:rsidRDefault="00E82C0A" w:rsidP="003E2603">
            <w:pPr>
              <w:pStyle w:val="ListParagraph"/>
              <w:numPr>
                <w:ilvl w:val="0"/>
                <w:numId w:val="9"/>
              </w:numPr>
              <w:spacing w:line="360" w:lineRule="auto"/>
              <w:textAlignment w:val="baseline"/>
              <w:rPr>
                <w:rFonts w:ascii="Arial" w:eastAsia="Times New Roman" w:hAnsi="Arial" w:cs="Arial"/>
                <w:sz w:val="24"/>
                <w:lang w:val="en-GB" w:eastAsia="en-GB"/>
              </w:rPr>
            </w:pPr>
            <w:r>
              <w:rPr>
                <w:rFonts w:ascii="Arial" w:eastAsia="Times New Roman" w:hAnsi="Arial" w:cs="Arial"/>
                <w:sz w:val="24"/>
                <w:lang w:val="en-GB" w:eastAsia="en-GB"/>
              </w:rPr>
              <w:t xml:space="preserve">River </w:t>
            </w:r>
            <w:r w:rsidR="00851A42" w:rsidRPr="00FD02F8">
              <w:rPr>
                <w:rFonts w:ascii="Arial" w:eastAsia="Times New Roman" w:hAnsi="Arial" w:cs="Arial"/>
                <w:sz w:val="24"/>
                <w:lang w:val="en-GB" w:eastAsia="en-GB"/>
              </w:rPr>
              <w:t xml:space="preserve">Nith </w:t>
            </w:r>
            <w:r>
              <w:rPr>
                <w:rFonts w:ascii="Arial" w:eastAsia="Times New Roman" w:hAnsi="Arial" w:cs="Arial"/>
                <w:sz w:val="24"/>
                <w:lang w:val="en-GB" w:eastAsia="en-GB"/>
              </w:rPr>
              <w:t xml:space="preserve">- </w:t>
            </w:r>
            <w:r w:rsidRPr="00E82C0A">
              <w:rPr>
                <w:rFonts w:ascii="Arial" w:eastAsia="Times New Roman" w:hAnsi="Arial" w:cs="Arial"/>
                <w:sz w:val="24"/>
                <w:lang w:val="en-GB" w:eastAsia="en-GB"/>
              </w:rPr>
              <w:t>Former Polquhirter Treatment Works</w:t>
            </w:r>
            <w:r w:rsidR="00851A42" w:rsidRPr="00FD02F8">
              <w:rPr>
                <w:rFonts w:ascii="Arial" w:eastAsia="Times New Roman" w:hAnsi="Arial" w:cs="Arial"/>
                <w:sz w:val="24"/>
                <w:lang w:val="en-GB" w:eastAsia="en-GB"/>
              </w:rPr>
              <w:t xml:space="preserve"> (river restoration)</w:t>
            </w:r>
          </w:p>
          <w:p w14:paraId="07BF2759" w14:textId="16B44E73" w:rsidR="00851A42" w:rsidRPr="00FD02F8" w:rsidRDefault="00851A42" w:rsidP="003E2603">
            <w:pPr>
              <w:pStyle w:val="ListParagraph"/>
              <w:numPr>
                <w:ilvl w:val="0"/>
                <w:numId w:val="9"/>
              </w:numPr>
              <w:spacing w:line="360" w:lineRule="auto"/>
              <w:textAlignment w:val="baseline"/>
              <w:rPr>
                <w:rFonts w:ascii="Arial" w:eastAsia="Times New Roman" w:hAnsi="Arial" w:cs="Arial"/>
                <w:lang w:val="en-GB" w:eastAsia="en-GB"/>
              </w:rPr>
            </w:pPr>
            <w:r w:rsidRPr="00FD02F8">
              <w:rPr>
                <w:rFonts w:ascii="Arial" w:eastAsia="Times New Roman" w:hAnsi="Arial" w:cs="Arial"/>
                <w:sz w:val="24"/>
                <w:lang w:val="en-GB" w:eastAsia="en-GB"/>
              </w:rPr>
              <w:t>Halter Burn (weir removal)</w:t>
            </w:r>
          </w:p>
        </w:tc>
        <w:tc>
          <w:tcPr>
            <w:tcW w:w="500" w:type="pct"/>
            <w:tcBorders>
              <w:top w:val="single" w:sz="8" w:space="0" w:color="auto"/>
              <w:left w:val="single" w:sz="8" w:space="0" w:color="auto"/>
              <w:bottom w:val="single" w:sz="8" w:space="0" w:color="auto"/>
              <w:right w:val="single" w:sz="8" w:space="0" w:color="auto"/>
            </w:tcBorders>
            <w:vAlign w:val="center"/>
          </w:tcPr>
          <w:p w14:paraId="4B5533D5" w14:textId="119AD9FB" w:rsidR="00ED2748" w:rsidRPr="00FD02F8" w:rsidRDefault="00ED2748" w:rsidP="00C96F36">
            <w:pPr>
              <w:jc w:val="center"/>
              <w:textAlignment w:val="baseline"/>
              <w:rPr>
                <w:rFonts w:ascii="Arial" w:eastAsia="Times New Roman" w:hAnsi="Arial" w:cs="Arial"/>
                <w:szCs w:val="28"/>
                <w:highlight w:val="yellow"/>
                <w:lang w:eastAsia="en-GB"/>
              </w:rPr>
            </w:pPr>
            <w:r w:rsidRPr="00FD02F8">
              <w:rPr>
                <w:rFonts w:ascii="Arial" w:eastAsia="Times New Roman" w:hAnsi="Arial" w:cs="Arial"/>
                <w:lang w:eastAsia="en-GB"/>
              </w:rPr>
              <w:t>Delivered</w:t>
            </w:r>
          </w:p>
        </w:tc>
      </w:tr>
    </w:tbl>
    <w:p w14:paraId="37E70C73" w14:textId="77777777" w:rsidR="00382EF1" w:rsidRPr="00FD02F8" w:rsidRDefault="00382EF1" w:rsidP="00202277">
      <w:pPr>
        <w:spacing w:line="240" w:lineRule="auto"/>
      </w:pPr>
    </w:p>
    <w:p w14:paraId="5AFC73B3" w14:textId="4D13F82F" w:rsidR="00EB0F9B" w:rsidRPr="00FD02F8" w:rsidRDefault="00EB0F9B" w:rsidP="00EB0F9B">
      <w:pPr>
        <w:spacing w:before="240"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r w:rsidR="005254BA" w:rsidRPr="00FD02F8">
        <w:rPr>
          <w:sz w:val="28"/>
          <w:szCs w:val="28"/>
        </w:rPr>
        <w:t>0.84</w:t>
      </w:r>
    </w:p>
    <w:p w14:paraId="1EE53A5B" w14:textId="77777777" w:rsidR="00EB0F9B" w:rsidRPr="00FD02F8" w:rsidRDefault="00EB0F9B" w:rsidP="00202277">
      <w:pPr>
        <w:spacing w:line="240" w:lineRule="auto"/>
      </w:pPr>
    </w:p>
    <w:p w14:paraId="7E0D28ED" w14:textId="09AE1F96" w:rsidR="006E5DCB" w:rsidRPr="00FD02F8" w:rsidRDefault="006E5DCB" w:rsidP="00E53135">
      <w:pPr>
        <w:pStyle w:val="Heading3"/>
        <w:spacing w:before="120" w:after="120"/>
        <w:rPr>
          <w:color w:val="016574"/>
          <w:sz w:val="32"/>
          <w:szCs w:val="28"/>
        </w:rPr>
      </w:pPr>
      <w:r w:rsidRPr="00FD02F8">
        <w:rPr>
          <w:color w:val="016574"/>
          <w:sz w:val="32"/>
          <w:szCs w:val="28"/>
        </w:rPr>
        <w:lastRenderedPageBreak/>
        <w:t xml:space="preserve">WE OKR6 </w:t>
      </w:r>
      <w:r w:rsidR="00663455" w:rsidRPr="00FD02F8">
        <w:rPr>
          <w:color w:val="016574"/>
          <w:sz w:val="32"/>
          <w:szCs w:val="28"/>
        </w:rPr>
        <w:t>Prepare for future cycles of river basin management planning.</w:t>
      </w:r>
    </w:p>
    <w:p w14:paraId="2ED8AAAA" w14:textId="385A5634" w:rsidR="002D3AEF" w:rsidRPr="00FD02F8" w:rsidRDefault="007F39ED" w:rsidP="00F274EA">
      <w:pPr>
        <w:spacing w:before="120" w:after="120" w:line="240" w:lineRule="auto"/>
        <w:rPr>
          <w:b/>
          <w:bCs/>
          <w:color w:val="3C4741" w:themeColor="text1"/>
          <w:sz w:val="28"/>
          <w:szCs w:val="28"/>
        </w:rPr>
      </w:pPr>
      <w:r w:rsidRPr="00FD02F8">
        <w:rPr>
          <w:noProof/>
        </w:rPr>
        <w:drawing>
          <wp:inline distT="0" distB="0" distL="0" distR="0" wp14:anchorId="7CA9E4D3" wp14:editId="601C0878">
            <wp:extent cx="9460871" cy="2996698"/>
            <wp:effectExtent l="0" t="0" r="6985" b="13335"/>
            <wp:docPr id="1772230102" name="Chart 1" descr="This is a bar graph which shows the score of each key result for OKR06 over each quarter. &#10;There is a line on the score scale of 0.7 to represent whether the KR is being delivered. There is another line on the score scale of 0.3 to represent whether measurable progress has been made in the quarter.&#10;For Q1 and Q2, KR6.1, KR6.2 and KR6.3 have no score as they will be progressed later in the year.&#10;&#10;For Q3 KR6.1 and KR6.2 have a score of 1. KR6.3 has no score, as not due until Q4.">
              <a:extLst xmlns:a="http://schemas.openxmlformats.org/drawingml/2006/main">
                <a:ext uri="{FF2B5EF4-FFF2-40B4-BE49-F238E27FC236}">
                  <a16:creationId xmlns:a16="http://schemas.microsoft.com/office/drawing/2014/main" id="{6658DC50-DF77-484D-91B5-C3674209C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6 key result summary"/>
        <w:tblDescription w:val="Quarterly summary for each of the three key results under OKR6. This includes the date due, Q3 score, Q3 status, Q3 commentary and annual forecast for each key result."/>
      </w:tblPr>
      <w:tblGrid>
        <w:gridCol w:w="3833"/>
        <w:gridCol w:w="731"/>
        <w:gridCol w:w="1209"/>
        <w:gridCol w:w="889"/>
        <w:gridCol w:w="889"/>
        <w:gridCol w:w="889"/>
        <w:gridCol w:w="987"/>
        <w:gridCol w:w="3808"/>
        <w:gridCol w:w="1723"/>
      </w:tblGrid>
      <w:tr w:rsidR="004F793D" w:rsidRPr="00FD02F8" w14:paraId="22FD9EE1" w14:textId="77777777" w:rsidTr="1E440904">
        <w:trPr>
          <w:cantSplit/>
          <w:trHeight w:val="545"/>
          <w:tblHeader/>
        </w:trPr>
        <w:tc>
          <w:tcPr>
            <w:tcW w:w="1281" w:type="pct"/>
            <w:tcBorders>
              <w:bottom w:val="single" w:sz="8" w:space="0" w:color="auto"/>
            </w:tcBorders>
            <w:shd w:val="clear" w:color="auto" w:fill="016574" w:themeFill="accent2"/>
          </w:tcPr>
          <w:p w14:paraId="37B3A622" w14:textId="77777777" w:rsidR="006E5DCB" w:rsidRPr="00FD02F8" w:rsidRDefault="006E5DCB">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44" w:type="pct"/>
            <w:tcBorders>
              <w:bottom w:val="single" w:sz="8" w:space="0" w:color="auto"/>
            </w:tcBorders>
            <w:shd w:val="clear" w:color="auto" w:fill="016574" w:themeFill="accent2"/>
          </w:tcPr>
          <w:p w14:paraId="01F92F56" w14:textId="77777777" w:rsidR="006E5DCB" w:rsidRPr="00FD02F8" w:rsidRDefault="006E5DC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404" w:type="pct"/>
            <w:tcBorders>
              <w:bottom w:val="single" w:sz="8" w:space="0" w:color="auto"/>
            </w:tcBorders>
            <w:shd w:val="clear" w:color="auto" w:fill="016574" w:themeFill="accent2"/>
          </w:tcPr>
          <w:p w14:paraId="4F99A692" w14:textId="77777777" w:rsidR="006E5DCB" w:rsidRPr="00FD02F8" w:rsidRDefault="006E5DC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297" w:type="pct"/>
            <w:tcBorders>
              <w:bottom w:val="single" w:sz="8" w:space="0" w:color="auto"/>
            </w:tcBorders>
            <w:shd w:val="clear" w:color="auto" w:fill="016574" w:themeFill="accent2"/>
          </w:tcPr>
          <w:p w14:paraId="54980EF3" w14:textId="77777777" w:rsidR="006E5DCB" w:rsidRPr="00FD02F8" w:rsidRDefault="006E5DC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297" w:type="pct"/>
            <w:tcBorders>
              <w:bottom w:val="single" w:sz="8" w:space="0" w:color="auto"/>
            </w:tcBorders>
            <w:shd w:val="clear" w:color="auto" w:fill="016574" w:themeFill="accent2"/>
          </w:tcPr>
          <w:p w14:paraId="68825DF0" w14:textId="77777777" w:rsidR="006E5DCB" w:rsidRPr="00FD02F8" w:rsidRDefault="006E5DC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297" w:type="pct"/>
            <w:tcBorders>
              <w:bottom w:val="single" w:sz="8" w:space="0" w:color="auto"/>
            </w:tcBorders>
            <w:shd w:val="clear" w:color="auto" w:fill="016574" w:themeFill="accent2"/>
          </w:tcPr>
          <w:p w14:paraId="6C5A9BF9" w14:textId="77777777" w:rsidR="006E5DCB" w:rsidRPr="00FD02F8" w:rsidRDefault="006E5DC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30" w:type="pct"/>
            <w:tcBorders>
              <w:bottom w:val="single" w:sz="8" w:space="0" w:color="auto"/>
            </w:tcBorders>
            <w:shd w:val="clear" w:color="auto" w:fill="016574" w:themeFill="accent2"/>
          </w:tcPr>
          <w:p w14:paraId="6B1E8CDA" w14:textId="6CE5F148" w:rsidR="006E5DCB" w:rsidRPr="00FD02F8" w:rsidRDefault="006E5DCB">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8268F" w:rsidRPr="00FD02F8">
              <w:rPr>
                <w:rFonts w:ascii="Arial" w:eastAsia="MS PGothic" w:hAnsi="Arial" w:cs="Arial"/>
                <w:b/>
                <w:bCs/>
                <w:color w:val="FFFFFF"/>
              </w:rPr>
              <w:t>3</w:t>
            </w:r>
            <w:r w:rsidRPr="00FD02F8">
              <w:rPr>
                <w:rFonts w:ascii="Arial" w:eastAsia="MS PGothic" w:hAnsi="Arial" w:cs="Arial"/>
                <w:b/>
                <w:bCs/>
                <w:color w:val="FFFFFF"/>
              </w:rPr>
              <w:t xml:space="preserve"> Status</w:t>
            </w:r>
          </w:p>
        </w:tc>
        <w:tc>
          <w:tcPr>
            <w:tcW w:w="1273" w:type="pct"/>
            <w:tcBorders>
              <w:bottom w:val="single" w:sz="8" w:space="0" w:color="auto"/>
            </w:tcBorders>
            <w:shd w:val="clear" w:color="auto" w:fill="016574" w:themeFill="accent2"/>
          </w:tcPr>
          <w:p w14:paraId="0E0E6888" w14:textId="0D9111D4" w:rsidR="006E5DCB" w:rsidRPr="00FD02F8" w:rsidRDefault="006E5DCB">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8268F"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commentary</w:t>
            </w:r>
          </w:p>
        </w:tc>
        <w:tc>
          <w:tcPr>
            <w:tcW w:w="576" w:type="pct"/>
            <w:tcBorders>
              <w:bottom w:val="single" w:sz="8" w:space="0" w:color="auto"/>
            </w:tcBorders>
            <w:shd w:val="clear" w:color="auto" w:fill="016574" w:themeFill="accent2"/>
          </w:tcPr>
          <w:p w14:paraId="59CCDB15" w14:textId="77777777" w:rsidR="006E5DCB" w:rsidRPr="00FD02F8" w:rsidRDefault="006E5DC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4F793D" w:rsidRPr="00FD02F8" w14:paraId="7ECD3359" w14:textId="77777777" w:rsidTr="1E440904">
        <w:tblPrEx>
          <w:tblCellMar>
            <w:left w:w="108" w:type="dxa"/>
            <w:right w:w="108" w:type="dxa"/>
          </w:tblCellMar>
        </w:tblPrEx>
        <w:trPr>
          <w:cantSplit/>
          <w:trHeight w:val="16"/>
          <w:tblHeader/>
        </w:trPr>
        <w:tc>
          <w:tcPr>
            <w:tcW w:w="1281" w:type="pct"/>
            <w:tcBorders>
              <w:top w:val="single" w:sz="8" w:space="0" w:color="auto"/>
              <w:left w:val="single" w:sz="8" w:space="0" w:color="auto"/>
              <w:bottom w:val="single" w:sz="8" w:space="0" w:color="auto"/>
              <w:right w:val="single" w:sz="8" w:space="0" w:color="auto"/>
            </w:tcBorders>
            <w:vAlign w:val="center"/>
          </w:tcPr>
          <w:p w14:paraId="76C4E6F1" w14:textId="6231178F" w:rsidR="00863B9C" w:rsidRPr="00FD02F8" w:rsidRDefault="00863B9C" w:rsidP="00ED15C4">
            <w:pPr>
              <w:rPr>
                <w:rFonts w:asciiTheme="majorHAnsi" w:eastAsia="Times New Roman" w:hAnsiTheme="majorHAnsi" w:cstheme="majorHAnsi"/>
                <w:color w:val="000000"/>
              </w:rPr>
            </w:pPr>
            <w:r w:rsidRPr="00FD02F8">
              <w:rPr>
                <w:rFonts w:asciiTheme="majorHAnsi" w:hAnsiTheme="majorHAnsi" w:cstheme="majorHAnsi"/>
                <w:b/>
                <w:bCs/>
                <w:color w:val="000000"/>
              </w:rPr>
              <w:t xml:space="preserve">KR 6.1: </w:t>
            </w:r>
            <w:r w:rsidRPr="00FD02F8">
              <w:rPr>
                <w:rFonts w:asciiTheme="majorHAnsi" w:hAnsiTheme="majorHAnsi" w:cstheme="majorHAnsi"/>
                <w:color w:val="000000"/>
              </w:rPr>
              <w:t xml:space="preserve">Publish significant water management issues (SWMI) report by 22 Dec 2025. </w:t>
            </w:r>
          </w:p>
        </w:tc>
        <w:tc>
          <w:tcPr>
            <w:tcW w:w="244" w:type="pct"/>
            <w:tcBorders>
              <w:top w:val="single" w:sz="8" w:space="0" w:color="auto"/>
              <w:left w:val="single" w:sz="8" w:space="0" w:color="auto"/>
              <w:bottom w:val="single" w:sz="8" w:space="0" w:color="auto"/>
              <w:right w:val="single" w:sz="8" w:space="0" w:color="auto"/>
            </w:tcBorders>
            <w:vAlign w:val="center"/>
          </w:tcPr>
          <w:p w14:paraId="7ADC9725" w14:textId="77777777" w:rsidR="00863B9C" w:rsidRPr="00FD02F8" w:rsidRDefault="00863B9C" w:rsidP="00ED15C4">
            <w:pPr>
              <w:jc w:val="center"/>
              <w:textAlignment w:val="baseline"/>
              <w:rPr>
                <w:rFonts w:eastAsia="Times New Roman" w:cstheme="minorHAnsi"/>
                <w:lang w:eastAsia="en-GB"/>
              </w:rPr>
            </w:pPr>
            <w:r w:rsidRPr="00FD02F8">
              <w:rPr>
                <w:rFonts w:cstheme="minorHAnsi"/>
                <w:color w:val="000000"/>
              </w:rPr>
              <w:t>Q3</w:t>
            </w:r>
          </w:p>
        </w:tc>
        <w:tc>
          <w:tcPr>
            <w:tcW w:w="404" w:type="pct"/>
            <w:tcBorders>
              <w:top w:val="single" w:sz="8" w:space="0" w:color="auto"/>
              <w:left w:val="single" w:sz="8" w:space="0" w:color="auto"/>
              <w:bottom w:val="single" w:sz="8" w:space="0" w:color="auto"/>
              <w:right w:val="single" w:sz="8" w:space="0" w:color="auto"/>
            </w:tcBorders>
            <w:vAlign w:val="center"/>
          </w:tcPr>
          <w:p w14:paraId="7B9F6059" w14:textId="314E6AEA" w:rsidR="00863B9C" w:rsidRPr="00FD02F8" w:rsidRDefault="00417B8B" w:rsidP="00ED15C4">
            <w:pPr>
              <w:jc w:val="center"/>
              <w:textAlignment w:val="baseline"/>
              <w:rPr>
                <w:rFonts w:eastAsia="Times New Roman" w:cstheme="minorHAnsi"/>
                <w:lang w:eastAsia="en-GB"/>
              </w:rPr>
            </w:pPr>
            <w:r w:rsidRPr="00FD02F8">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2C40248E" w14:textId="06B66A9B" w:rsidR="00863B9C" w:rsidRPr="00FD02F8" w:rsidRDefault="00C6768A" w:rsidP="00ED15C4">
            <w:pPr>
              <w:jc w:val="center"/>
              <w:textAlignment w:val="baseline"/>
              <w:rPr>
                <w:rFonts w:ascii="Arial" w:eastAsia="Times New Roman" w:hAnsi="Arial" w:cs="Arial"/>
                <w:szCs w:val="28"/>
                <w:lang w:eastAsia="en-GB"/>
              </w:rPr>
            </w:pPr>
            <w:r w:rsidRPr="00FD02F8">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33C7168E" w14:textId="3CF33AEE" w:rsidR="00863B9C" w:rsidRPr="00FD02F8" w:rsidRDefault="0012666D"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297" w:type="pct"/>
            <w:tcBorders>
              <w:top w:val="single" w:sz="8" w:space="0" w:color="auto"/>
              <w:left w:val="single" w:sz="8" w:space="0" w:color="auto"/>
              <w:bottom w:val="single" w:sz="8" w:space="0" w:color="auto"/>
              <w:right w:val="single" w:sz="8" w:space="0" w:color="auto"/>
            </w:tcBorders>
            <w:vAlign w:val="center"/>
          </w:tcPr>
          <w:p w14:paraId="77B91D8C" w14:textId="77777777" w:rsidR="00863B9C" w:rsidRPr="00FD02F8" w:rsidRDefault="00863B9C"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13AF8D81" w14:textId="1F69D1EF" w:rsidR="00863B9C" w:rsidRPr="00FD02F8" w:rsidRDefault="0012666D" w:rsidP="00ED15C4">
            <w:pPr>
              <w:jc w:val="center"/>
              <w:textAlignment w:val="baseline"/>
              <w:rPr>
                <w:rFonts w:ascii="Arial" w:eastAsia="Times New Roman" w:hAnsi="Arial" w:cs="Arial"/>
                <w:szCs w:val="28"/>
                <w:lang w:eastAsia="en-GB"/>
              </w:rPr>
            </w:pPr>
            <w:r w:rsidRPr="00FD02F8">
              <w:rPr>
                <w:noProof/>
              </w:rPr>
              <w:drawing>
                <wp:inline distT="0" distB="0" distL="0" distR="0" wp14:anchorId="39A792B8" wp14:editId="6CB46EF6">
                  <wp:extent cx="463550" cy="463550"/>
                  <wp:effectExtent l="0" t="0" r="0" b="0"/>
                  <wp:docPr id="126429209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50D45B43" w14:textId="52F3DBFF" w:rsidR="00516603" w:rsidRPr="00FD02F8" w:rsidRDefault="0012666D" w:rsidP="00ED15C4">
            <w:pPr>
              <w:textAlignment w:val="baseline"/>
              <w:rPr>
                <w:rFonts w:ascii="Arial" w:eastAsia="Times New Roman" w:hAnsi="Arial" w:cs="Arial"/>
                <w:b/>
                <w:bCs/>
                <w:highlight w:val="yellow"/>
                <w:lang w:eastAsia="en-GB"/>
              </w:rPr>
            </w:pPr>
            <w:r w:rsidRPr="00FD02F8">
              <w:rPr>
                <w:rFonts w:ascii="Arial" w:eastAsia="Times New Roman" w:hAnsi="Arial" w:cs="Arial"/>
                <w:b/>
                <w:lang w:eastAsia="en-GB"/>
              </w:rPr>
              <w:t>Key result delivered</w:t>
            </w:r>
            <w:r w:rsidRPr="00FD02F8">
              <w:rPr>
                <w:rFonts w:ascii="Arial" w:eastAsia="Times New Roman" w:hAnsi="Arial" w:cs="Arial"/>
                <w:lang w:eastAsia="en-GB"/>
              </w:rPr>
              <w:t>. SWMI report published</w:t>
            </w:r>
            <w:r w:rsidR="00B0531B" w:rsidRPr="00FD02F8">
              <w:rPr>
                <w:rFonts w:ascii="Arial" w:eastAsia="Times New Roman" w:hAnsi="Arial" w:cs="Arial"/>
                <w:lang w:eastAsia="en-GB"/>
              </w:rPr>
              <w:t xml:space="preserve"> on time.</w:t>
            </w:r>
          </w:p>
        </w:tc>
        <w:tc>
          <w:tcPr>
            <w:tcW w:w="576" w:type="pct"/>
            <w:tcBorders>
              <w:top w:val="single" w:sz="8" w:space="0" w:color="auto"/>
              <w:left w:val="single" w:sz="8" w:space="0" w:color="auto"/>
              <w:bottom w:val="single" w:sz="8" w:space="0" w:color="auto"/>
              <w:right w:val="single" w:sz="8" w:space="0" w:color="auto"/>
            </w:tcBorders>
            <w:vAlign w:val="center"/>
          </w:tcPr>
          <w:p w14:paraId="7DBE0B87" w14:textId="189A7B2E" w:rsidR="00863B9C" w:rsidRPr="00FD02F8" w:rsidRDefault="0047114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Delivered</w:t>
            </w:r>
          </w:p>
        </w:tc>
      </w:tr>
      <w:tr w:rsidR="004F793D" w:rsidRPr="00FD02F8" w14:paraId="677031B1" w14:textId="77777777" w:rsidTr="1E440904">
        <w:trPr>
          <w:cantSplit/>
          <w:trHeight w:val="881"/>
          <w:tblHeader/>
        </w:trPr>
        <w:tc>
          <w:tcPr>
            <w:tcW w:w="1281" w:type="pct"/>
            <w:tcBorders>
              <w:top w:val="single" w:sz="8" w:space="0" w:color="auto"/>
              <w:left w:val="single" w:sz="8" w:space="0" w:color="auto"/>
              <w:bottom w:val="single" w:sz="8" w:space="0" w:color="auto"/>
              <w:right w:val="single" w:sz="8" w:space="0" w:color="auto"/>
            </w:tcBorders>
            <w:vAlign w:val="center"/>
          </w:tcPr>
          <w:p w14:paraId="2137E089" w14:textId="3C0A51F6" w:rsidR="00863B9C" w:rsidRPr="00FD02F8" w:rsidRDefault="00863B9C" w:rsidP="00ED15C4">
            <w:pPr>
              <w:rPr>
                <w:rFonts w:asciiTheme="majorHAnsi" w:eastAsia="Times New Roman" w:hAnsiTheme="majorHAnsi" w:cstheme="majorHAnsi"/>
                <w:color w:val="000000"/>
              </w:rPr>
            </w:pPr>
            <w:r w:rsidRPr="00FD02F8">
              <w:rPr>
                <w:rFonts w:asciiTheme="majorHAnsi" w:hAnsiTheme="majorHAnsi" w:cstheme="majorHAnsi"/>
                <w:b/>
                <w:bCs/>
                <w:color w:val="000000"/>
              </w:rPr>
              <w:t xml:space="preserve">KR 6.2: </w:t>
            </w:r>
            <w:r w:rsidRPr="00FD02F8">
              <w:rPr>
                <w:rFonts w:asciiTheme="majorHAnsi" w:hAnsiTheme="majorHAnsi" w:cstheme="majorHAnsi"/>
                <w:color w:val="000000"/>
              </w:rPr>
              <w:t>100% completion of review of monitoring network for classification to understand the pressures and impacts, to prepare for the 2026 monitoring plan</w:t>
            </w:r>
            <w:r w:rsidR="00555BCC" w:rsidRPr="00FD02F8">
              <w:rPr>
                <w:rFonts w:asciiTheme="majorHAnsi" w:hAnsiTheme="majorHAnsi" w:cstheme="majorHAnsi"/>
                <w:color w:val="000000"/>
              </w:rPr>
              <w:t>.</w:t>
            </w:r>
            <w:r w:rsidRPr="00FD02F8">
              <w:rPr>
                <w:rFonts w:asciiTheme="majorHAnsi" w:hAnsiTheme="majorHAnsi" w:cstheme="majorHAnsi"/>
                <w:color w:val="000000"/>
              </w:rPr>
              <w:t xml:space="preserve"> </w:t>
            </w:r>
          </w:p>
        </w:tc>
        <w:tc>
          <w:tcPr>
            <w:tcW w:w="244" w:type="pct"/>
            <w:tcBorders>
              <w:top w:val="single" w:sz="8" w:space="0" w:color="auto"/>
              <w:left w:val="single" w:sz="8" w:space="0" w:color="auto"/>
              <w:bottom w:val="single" w:sz="8" w:space="0" w:color="auto"/>
              <w:right w:val="single" w:sz="8" w:space="0" w:color="auto"/>
            </w:tcBorders>
            <w:vAlign w:val="center"/>
          </w:tcPr>
          <w:p w14:paraId="77AD9D57" w14:textId="44D1A4B1" w:rsidR="00863B9C" w:rsidRPr="00FD02F8" w:rsidRDefault="00863B9C" w:rsidP="00ED15C4">
            <w:pPr>
              <w:jc w:val="center"/>
              <w:textAlignment w:val="baseline"/>
              <w:rPr>
                <w:rFonts w:eastAsia="Times New Roman" w:cstheme="minorHAnsi"/>
                <w:lang w:eastAsia="en-GB"/>
              </w:rPr>
            </w:pPr>
            <w:r w:rsidRPr="00FD02F8">
              <w:rPr>
                <w:rFonts w:cstheme="minorHAnsi"/>
                <w:color w:val="000000"/>
              </w:rPr>
              <w:t xml:space="preserve">Q3 </w:t>
            </w:r>
          </w:p>
        </w:tc>
        <w:tc>
          <w:tcPr>
            <w:tcW w:w="404" w:type="pct"/>
            <w:tcBorders>
              <w:top w:val="single" w:sz="8" w:space="0" w:color="auto"/>
              <w:left w:val="single" w:sz="8" w:space="0" w:color="auto"/>
              <w:bottom w:val="single" w:sz="8" w:space="0" w:color="auto"/>
              <w:right w:val="single" w:sz="8" w:space="0" w:color="auto"/>
            </w:tcBorders>
            <w:vAlign w:val="center"/>
          </w:tcPr>
          <w:p w14:paraId="5A7A0DF0" w14:textId="360AC706" w:rsidR="00863B9C" w:rsidRPr="00FD02F8" w:rsidRDefault="0034006A" w:rsidP="00ED15C4">
            <w:pPr>
              <w:jc w:val="center"/>
              <w:textAlignment w:val="baseline"/>
              <w:rPr>
                <w:rFonts w:eastAsia="Times New Roman" w:cstheme="minorHAnsi"/>
                <w:lang w:eastAsia="en-GB"/>
              </w:rPr>
            </w:pPr>
            <w:r w:rsidRPr="00FD02F8">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1775896E" w14:textId="542EE033" w:rsidR="00863B9C" w:rsidRPr="00FD02F8" w:rsidRDefault="00C6768A" w:rsidP="00ED15C4">
            <w:pPr>
              <w:jc w:val="center"/>
              <w:textAlignment w:val="baseline"/>
              <w:rPr>
                <w:rFonts w:ascii="Arial" w:eastAsia="Times New Roman" w:hAnsi="Arial" w:cs="Arial"/>
                <w:szCs w:val="28"/>
                <w:lang w:eastAsia="en-GB"/>
              </w:rPr>
            </w:pPr>
            <w:r w:rsidRPr="00FD02F8">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13260141" w14:textId="62EF9013" w:rsidR="00863B9C" w:rsidRPr="00FD02F8" w:rsidRDefault="0012666D"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297" w:type="pct"/>
            <w:tcBorders>
              <w:top w:val="single" w:sz="8" w:space="0" w:color="auto"/>
              <w:left w:val="single" w:sz="8" w:space="0" w:color="auto"/>
              <w:bottom w:val="single" w:sz="8" w:space="0" w:color="auto"/>
              <w:right w:val="single" w:sz="8" w:space="0" w:color="auto"/>
            </w:tcBorders>
            <w:vAlign w:val="center"/>
          </w:tcPr>
          <w:p w14:paraId="340AC83F" w14:textId="77777777" w:rsidR="00863B9C" w:rsidRPr="00FD02F8" w:rsidRDefault="00863B9C"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1CB0E41E" w14:textId="3BCC44CE" w:rsidR="00863B9C" w:rsidRPr="00FD02F8" w:rsidRDefault="0012666D" w:rsidP="00ED15C4">
            <w:pPr>
              <w:jc w:val="center"/>
              <w:textAlignment w:val="baseline"/>
              <w:rPr>
                <w:b/>
                <w:bCs/>
              </w:rPr>
            </w:pPr>
            <w:r w:rsidRPr="00FD02F8">
              <w:rPr>
                <w:noProof/>
              </w:rPr>
              <w:drawing>
                <wp:inline distT="0" distB="0" distL="0" distR="0" wp14:anchorId="26785CCB" wp14:editId="728C95EF">
                  <wp:extent cx="463550" cy="463550"/>
                  <wp:effectExtent l="0" t="0" r="0" b="0"/>
                  <wp:docPr id="211664771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492C1476" w14:textId="2B8290DE" w:rsidR="00471143" w:rsidRPr="00FD02F8" w:rsidRDefault="0012666D" w:rsidP="00ED15C4">
            <w:pPr>
              <w:textAlignment w:val="baseline"/>
              <w:rPr>
                <w:rFonts w:ascii="Arial" w:eastAsia="Times New Roman" w:hAnsi="Arial" w:cs="Arial"/>
                <w:b/>
                <w:bCs/>
                <w:highlight w:val="yellow"/>
                <w:lang w:eastAsia="en-GB"/>
              </w:rPr>
            </w:pPr>
            <w:r w:rsidRPr="00FD02F8">
              <w:rPr>
                <w:rFonts w:ascii="Arial" w:eastAsia="Times New Roman" w:hAnsi="Arial" w:cs="Arial"/>
                <w:b/>
                <w:lang w:eastAsia="en-GB"/>
              </w:rPr>
              <w:t>Key result delivered</w:t>
            </w:r>
            <w:r w:rsidRPr="00FD02F8">
              <w:rPr>
                <w:rFonts w:ascii="Arial" w:eastAsia="Times New Roman" w:hAnsi="Arial" w:cs="Arial"/>
                <w:lang w:eastAsia="en-GB"/>
              </w:rPr>
              <w:t>.</w:t>
            </w:r>
            <w:r w:rsidR="00F27011" w:rsidRPr="00FD02F8">
              <w:rPr>
                <w:rFonts w:ascii="Arial" w:eastAsia="Times New Roman" w:hAnsi="Arial" w:cs="Arial"/>
                <w:lang w:eastAsia="en-GB"/>
              </w:rPr>
              <w:t xml:space="preserve"> Monitoring network </w:t>
            </w:r>
            <w:r w:rsidR="00315311" w:rsidRPr="00FD02F8">
              <w:rPr>
                <w:rFonts w:ascii="Arial" w:eastAsia="Times New Roman" w:hAnsi="Arial" w:cs="Arial"/>
                <w:lang w:eastAsia="en-GB"/>
              </w:rPr>
              <w:t xml:space="preserve">fully </w:t>
            </w:r>
            <w:r w:rsidR="00F27011" w:rsidRPr="00FD02F8">
              <w:rPr>
                <w:rFonts w:ascii="Arial" w:eastAsia="Times New Roman" w:hAnsi="Arial" w:cs="Arial"/>
                <w:lang w:eastAsia="en-GB"/>
              </w:rPr>
              <w:t>reviewed to prepare for</w:t>
            </w:r>
            <w:r w:rsidR="00555BCC" w:rsidRPr="00FD02F8">
              <w:rPr>
                <w:rFonts w:asciiTheme="majorHAnsi" w:hAnsiTheme="majorHAnsi" w:cstheme="majorHAnsi"/>
                <w:color w:val="000000"/>
              </w:rPr>
              <w:t xml:space="preserve"> the 2026 monitoring plan.</w:t>
            </w:r>
          </w:p>
        </w:tc>
        <w:tc>
          <w:tcPr>
            <w:tcW w:w="576" w:type="pct"/>
            <w:tcBorders>
              <w:top w:val="single" w:sz="8" w:space="0" w:color="auto"/>
              <w:left w:val="single" w:sz="8" w:space="0" w:color="auto"/>
              <w:bottom w:val="single" w:sz="8" w:space="0" w:color="auto"/>
              <w:right w:val="single" w:sz="8" w:space="0" w:color="auto"/>
            </w:tcBorders>
            <w:vAlign w:val="center"/>
          </w:tcPr>
          <w:p w14:paraId="3B19CA3C" w14:textId="79744FE1" w:rsidR="00863B9C" w:rsidRPr="00FD02F8" w:rsidRDefault="00471143" w:rsidP="00ED15C4">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r w:rsidR="004F793D" w:rsidRPr="00FD02F8" w14:paraId="490F4D5A" w14:textId="77777777" w:rsidTr="1E440904">
        <w:trPr>
          <w:cantSplit/>
          <w:trHeight w:val="16"/>
          <w:tblHeader/>
        </w:trPr>
        <w:tc>
          <w:tcPr>
            <w:tcW w:w="1281" w:type="pct"/>
            <w:tcBorders>
              <w:top w:val="single" w:sz="8" w:space="0" w:color="auto"/>
              <w:left w:val="single" w:sz="8" w:space="0" w:color="auto"/>
              <w:bottom w:val="single" w:sz="8" w:space="0" w:color="auto"/>
              <w:right w:val="single" w:sz="8" w:space="0" w:color="auto"/>
            </w:tcBorders>
            <w:vAlign w:val="center"/>
          </w:tcPr>
          <w:p w14:paraId="562F4198" w14:textId="11075F02" w:rsidR="00863B9C" w:rsidRPr="00FD02F8" w:rsidRDefault="00863B9C" w:rsidP="00ED15C4">
            <w:pPr>
              <w:rPr>
                <w:rFonts w:asciiTheme="majorHAnsi" w:eastAsia="Times New Roman" w:hAnsiTheme="majorHAnsi" w:cstheme="majorHAnsi"/>
                <w:color w:val="000000"/>
              </w:rPr>
            </w:pPr>
            <w:r w:rsidRPr="00FD02F8">
              <w:rPr>
                <w:rFonts w:asciiTheme="majorHAnsi" w:hAnsiTheme="majorHAnsi" w:cstheme="majorHAnsi"/>
                <w:b/>
                <w:bCs/>
                <w:color w:val="000000"/>
              </w:rPr>
              <w:t xml:space="preserve">KR 6.3: </w:t>
            </w:r>
            <w:r w:rsidRPr="00FD02F8">
              <w:rPr>
                <w:rFonts w:asciiTheme="majorHAnsi" w:hAnsiTheme="majorHAnsi" w:cstheme="majorHAnsi"/>
                <w:color w:val="000000"/>
              </w:rPr>
              <w:t xml:space="preserve">Target engagement with 100% of identified key stakeholders for significant water management issues consultation by 31 March 2026 </w:t>
            </w:r>
          </w:p>
        </w:tc>
        <w:tc>
          <w:tcPr>
            <w:tcW w:w="244" w:type="pct"/>
            <w:tcBorders>
              <w:top w:val="single" w:sz="8" w:space="0" w:color="auto"/>
              <w:left w:val="single" w:sz="8" w:space="0" w:color="auto"/>
              <w:bottom w:val="single" w:sz="8" w:space="0" w:color="auto"/>
              <w:right w:val="single" w:sz="8" w:space="0" w:color="auto"/>
            </w:tcBorders>
            <w:vAlign w:val="center"/>
          </w:tcPr>
          <w:p w14:paraId="6DF44C71" w14:textId="77777777" w:rsidR="00863B9C" w:rsidRPr="00FD02F8" w:rsidRDefault="00863B9C" w:rsidP="00ED15C4">
            <w:pPr>
              <w:jc w:val="center"/>
              <w:textAlignment w:val="baseline"/>
              <w:rPr>
                <w:rFonts w:eastAsia="Times New Roman" w:cstheme="minorHAnsi"/>
                <w:lang w:eastAsia="en-GB"/>
              </w:rPr>
            </w:pPr>
            <w:r w:rsidRPr="00FD02F8">
              <w:rPr>
                <w:rFonts w:cstheme="minorHAnsi"/>
                <w:color w:val="000000"/>
              </w:rPr>
              <w:t xml:space="preserve">Q4 </w:t>
            </w:r>
          </w:p>
        </w:tc>
        <w:tc>
          <w:tcPr>
            <w:tcW w:w="404" w:type="pct"/>
            <w:tcBorders>
              <w:top w:val="single" w:sz="8" w:space="0" w:color="auto"/>
              <w:left w:val="single" w:sz="8" w:space="0" w:color="auto"/>
              <w:bottom w:val="single" w:sz="8" w:space="0" w:color="auto"/>
              <w:right w:val="single" w:sz="8" w:space="0" w:color="auto"/>
            </w:tcBorders>
            <w:vAlign w:val="center"/>
          </w:tcPr>
          <w:p w14:paraId="50257E4A" w14:textId="554F47FD" w:rsidR="00863B9C" w:rsidRPr="00FD02F8" w:rsidRDefault="00A47AAB" w:rsidP="00ED15C4">
            <w:pPr>
              <w:jc w:val="center"/>
              <w:textAlignment w:val="baseline"/>
              <w:rPr>
                <w:rFonts w:eastAsia="Times New Roman" w:cstheme="minorHAnsi"/>
                <w:lang w:eastAsia="en-GB"/>
              </w:rPr>
            </w:pPr>
            <w:r w:rsidRPr="00FD02F8">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496AC4CF" w14:textId="402ECE85" w:rsidR="00863B9C" w:rsidRPr="00FD02F8" w:rsidRDefault="0050367C" w:rsidP="00ED15C4">
            <w:pPr>
              <w:jc w:val="center"/>
              <w:textAlignment w:val="baseline"/>
              <w:rPr>
                <w:rFonts w:ascii="Arial" w:eastAsia="Times New Roman" w:hAnsi="Arial" w:cs="Arial"/>
                <w:szCs w:val="28"/>
                <w:lang w:eastAsia="en-GB"/>
              </w:rPr>
            </w:pPr>
            <w:r w:rsidRPr="00FD02F8">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200D1091" w14:textId="536FFAFC" w:rsidR="00863B9C" w:rsidRPr="00FD02F8" w:rsidRDefault="00696498"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30415C93" w14:textId="77777777" w:rsidR="00863B9C" w:rsidRPr="00FD02F8" w:rsidRDefault="00863B9C"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56893B55" w14:textId="4B27B370" w:rsidR="00863B9C" w:rsidRPr="00FD02F8" w:rsidRDefault="00A47AAB" w:rsidP="00ED15C4">
            <w:pPr>
              <w:jc w:val="center"/>
              <w:textAlignment w:val="baseline"/>
              <w:rPr>
                <w:b/>
                <w:bCs/>
              </w:rPr>
            </w:pPr>
            <w:r w:rsidRPr="00FD02F8">
              <w:rPr>
                <w:b/>
                <w:bCs/>
                <w:noProof/>
              </w:rPr>
              <w:drawing>
                <wp:inline distT="0" distB="0" distL="0" distR="0" wp14:anchorId="4D1BA614" wp14:editId="572C19AF">
                  <wp:extent cx="421419" cy="421419"/>
                  <wp:effectExtent l="0" t="0" r="0" b="0"/>
                  <wp:docPr id="219542718"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23311" cy="423311"/>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166F0141" w14:textId="771BB0C5" w:rsidR="009E68DD" w:rsidRPr="00FD02F8" w:rsidRDefault="009E68DD" w:rsidP="00ED15C4">
            <w:pPr>
              <w:textAlignment w:val="baseline"/>
              <w:rPr>
                <w:rFonts w:ascii="Arial" w:eastAsia="Times New Roman" w:hAnsi="Arial" w:cs="Arial"/>
                <w:lang w:eastAsia="en-GB"/>
              </w:rPr>
            </w:pPr>
            <w:r w:rsidRPr="00FD02F8">
              <w:rPr>
                <w:rFonts w:ascii="Arial" w:eastAsia="Times New Roman" w:hAnsi="Arial" w:cs="Arial"/>
                <w:lang w:eastAsia="en-GB"/>
              </w:rPr>
              <w:t>On track. Following the publication of</w:t>
            </w:r>
            <w:r w:rsidR="004A43A4" w:rsidRPr="00FD02F8">
              <w:rPr>
                <w:rFonts w:ascii="Arial" w:eastAsia="Times New Roman" w:hAnsi="Arial" w:cs="Arial"/>
                <w:lang w:eastAsia="en-GB"/>
              </w:rPr>
              <w:t xml:space="preserve"> </w:t>
            </w:r>
            <w:r w:rsidRPr="00FD02F8">
              <w:rPr>
                <w:rFonts w:ascii="Arial" w:eastAsia="Times New Roman" w:hAnsi="Arial" w:cs="Arial"/>
                <w:lang w:eastAsia="en-GB"/>
              </w:rPr>
              <w:t xml:space="preserve">SWMI report </w:t>
            </w:r>
            <w:r w:rsidR="004A43A4" w:rsidRPr="00FD02F8">
              <w:rPr>
                <w:rFonts w:ascii="Arial" w:eastAsia="Times New Roman" w:hAnsi="Arial" w:cs="Arial"/>
                <w:lang w:eastAsia="en-GB"/>
              </w:rPr>
              <w:t>(K</w:t>
            </w:r>
            <w:r w:rsidRPr="00FD02F8">
              <w:rPr>
                <w:rFonts w:ascii="Arial" w:eastAsia="Times New Roman" w:hAnsi="Arial" w:cs="Arial"/>
                <w:lang w:eastAsia="en-GB"/>
              </w:rPr>
              <w:t xml:space="preserve">ey </w:t>
            </w:r>
            <w:r w:rsidR="004A43A4" w:rsidRPr="00FD02F8">
              <w:rPr>
                <w:rFonts w:ascii="Arial" w:eastAsia="Times New Roman" w:hAnsi="Arial" w:cs="Arial"/>
                <w:lang w:eastAsia="en-GB"/>
              </w:rPr>
              <w:t>R</w:t>
            </w:r>
            <w:r w:rsidRPr="00FD02F8">
              <w:rPr>
                <w:rFonts w:ascii="Arial" w:eastAsia="Times New Roman" w:hAnsi="Arial" w:cs="Arial"/>
                <w:lang w:eastAsia="en-GB"/>
              </w:rPr>
              <w:t>esult 6.1</w:t>
            </w:r>
            <w:r w:rsidR="004A43A4" w:rsidRPr="00FD02F8">
              <w:rPr>
                <w:rFonts w:ascii="Arial" w:eastAsia="Times New Roman" w:hAnsi="Arial" w:cs="Arial"/>
                <w:lang w:eastAsia="en-GB"/>
              </w:rPr>
              <w:t>) in Q3</w:t>
            </w:r>
            <w:r w:rsidRPr="00FD02F8">
              <w:rPr>
                <w:rFonts w:ascii="Arial" w:eastAsia="Times New Roman" w:hAnsi="Arial" w:cs="Arial"/>
                <w:lang w:eastAsia="en-GB"/>
              </w:rPr>
              <w:t>, we aim to engage with 100% of key stakeholders for a significant water management issues consultation by 31 March 2026.</w:t>
            </w:r>
          </w:p>
          <w:p w14:paraId="69B6141A" w14:textId="1B152D13" w:rsidR="004F3988" w:rsidRPr="00FD02F8" w:rsidRDefault="004F3988" w:rsidP="00ED15C4">
            <w:pPr>
              <w:textAlignment w:val="baseline"/>
              <w:rPr>
                <w:rFonts w:ascii="Arial" w:eastAsia="Times New Roman" w:hAnsi="Arial" w:cs="Arial"/>
                <w:b/>
                <w:bCs/>
                <w:lang w:eastAsia="en-GB"/>
              </w:rPr>
            </w:pPr>
            <w:r w:rsidRPr="00FD02F8">
              <w:rPr>
                <w:rFonts w:ascii="Arial" w:eastAsia="Times New Roman" w:hAnsi="Arial" w:cs="Arial"/>
                <w:b/>
                <w:bCs/>
                <w:lang w:eastAsia="en-GB"/>
              </w:rPr>
              <w:t>Confidence in forecast: High </w:t>
            </w:r>
          </w:p>
        </w:tc>
        <w:tc>
          <w:tcPr>
            <w:tcW w:w="576" w:type="pct"/>
            <w:tcBorders>
              <w:top w:val="single" w:sz="8" w:space="0" w:color="auto"/>
              <w:left w:val="single" w:sz="8" w:space="0" w:color="auto"/>
              <w:bottom w:val="single" w:sz="8" w:space="0" w:color="auto"/>
              <w:right w:val="single" w:sz="8" w:space="0" w:color="auto"/>
            </w:tcBorders>
            <w:vAlign w:val="center"/>
          </w:tcPr>
          <w:p w14:paraId="092E1CB0" w14:textId="7E29561B" w:rsidR="00863B9C" w:rsidRPr="00FD02F8" w:rsidRDefault="00471143" w:rsidP="00ED15C4">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bl>
    <w:p w14:paraId="795A0ECE" w14:textId="0241A7AD" w:rsidR="00202277" w:rsidRPr="00FD02F8" w:rsidRDefault="006E5DCB" w:rsidP="00573404">
      <w:pPr>
        <w:spacing w:before="240" w:after="120"/>
        <w:rPr>
          <w:sz w:val="28"/>
          <w:szCs w:val="28"/>
        </w:rPr>
      </w:pPr>
      <w:r w:rsidRPr="00FD02F8">
        <w:rPr>
          <w:b/>
          <w:bCs/>
          <w:sz w:val="28"/>
          <w:szCs w:val="28"/>
        </w:rPr>
        <w:lastRenderedPageBreak/>
        <w:t>Overall objective score</w:t>
      </w:r>
      <w:r w:rsidRPr="00FD02F8">
        <w:rPr>
          <w:sz w:val="28"/>
          <w:szCs w:val="28"/>
        </w:rPr>
        <w:t xml:space="preserve"> =</w:t>
      </w:r>
      <w:r w:rsidRPr="00FD02F8">
        <w:rPr>
          <w:color w:val="016574"/>
          <w:sz w:val="28"/>
          <w:szCs w:val="28"/>
        </w:rPr>
        <w:t xml:space="preserve"> </w:t>
      </w:r>
      <w:r w:rsidR="000A32DF" w:rsidRPr="00FD02F8">
        <w:rPr>
          <w:sz w:val="28"/>
          <w:szCs w:val="28"/>
        </w:rPr>
        <w:t>1</w:t>
      </w:r>
      <w:r w:rsidR="00A9062E" w:rsidRPr="00FD02F8">
        <w:rPr>
          <w:sz w:val="28"/>
          <w:szCs w:val="28"/>
        </w:rPr>
        <w:t xml:space="preserve"> </w:t>
      </w:r>
    </w:p>
    <w:p w14:paraId="0EF6E4DB" w14:textId="77777777" w:rsidR="00202277" w:rsidRPr="00FD02F8" w:rsidRDefault="00202277" w:rsidP="00202277">
      <w:pPr>
        <w:spacing w:line="240" w:lineRule="auto"/>
      </w:pPr>
    </w:p>
    <w:p w14:paraId="1FD86206" w14:textId="61D6A121" w:rsidR="00202277" w:rsidRPr="00FD02F8" w:rsidRDefault="00202277" w:rsidP="7D52A5B7">
      <w:pPr>
        <w:pStyle w:val="Heading2"/>
        <w:shd w:val="clear" w:color="auto" w:fill="016574" w:themeFill="accent2"/>
        <w:spacing w:before="0" w:after="240"/>
        <w:ind w:left="720" w:hanging="720"/>
        <w:rPr>
          <w:color w:val="FFFFFF" w:themeColor="background1"/>
          <w:sz w:val="48"/>
          <w:szCs w:val="48"/>
        </w:rPr>
      </w:pPr>
      <w:bookmarkStart w:id="24" w:name="_Toc283097001"/>
      <w:r w:rsidRPr="00FD02F8">
        <w:rPr>
          <w:color w:val="FFFFFF" w:themeColor="background1"/>
          <w:sz w:val="48"/>
          <w:szCs w:val="48"/>
        </w:rPr>
        <w:t>Resource Efficiency</w:t>
      </w:r>
      <w:bookmarkEnd w:id="24"/>
    </w:p>
    <w:p w14:paraId="57E26DF6" w14:textId="563A68F9" w:rsidR="00202277" w:rsidRPr="00FD02F8" w:rsidRDefault="009819B4" w:rsidP="001945DC">
      <w:pPr>
        <w:pStyle w:val="BodyText1"/>
        <w:shd w:val="clear" w:color="auto" w:fill="018395"/>
        <w:spacing w:before="240" w:after="120"/>
        <w:rPr>
          <w:color w:val="FFFFFF" w:themeColor="background1"/>
          <w:sz w:val="36"/>
          <w:szCs w:val="36"/>
        </w:rPr>
      </w:pPr>
      <w:r w:rsidRPr="00FD02F8">
        <w:rPr>
          <w:color w:val="FFFFFF" w:themeColor="background1"/>
          <w:sz w:val="36"/>
          <w:szCs w:val="36"/>
        </w:rPr>
        <w:t>Our ambition is to fully play our part in helping Scotland to transition to a circular economy, and that the management of waste does not cause harm to the environment or communities.</w:t>
      </w:r>
    </w:p>
    <w:p w14:paraId="6E28B732" w14:textId="4B3BBC47" w:rsidR="001945DC" w:rsidRPr="00FD02F8" w:rsidRDefault="006C54F3" w:rsidP="00766651">
      <w:pPr>
        <w:pStyle w:val="Heading3"/>
        <w:spacing w:before="240" w:after="120"/>
        <w:rPr>
          <w:color w:val="016574"/>
          <w:sz w:val="32"/>
          <w:szCs w:val="32"/>
        </w:rPr>
      </w:pPr>
      <w:r w:rsidRPr="00FD02F8">
        <w:rPr>
          <w:color w:val="016574" w:themeColor="accent2"/>
          <w:sz w:val="32"/>
          <w:szCs w:val="32"/>
        </w:rPr>
        <w:t xml:space="preserve">RE </w:t>
      </w:r>
      <w:r w:rsidR="001945DC" w:rsidRPr="00FD02F8">
        <w:rPr>
          <w:color w:val="016574" w:themeColor="accent2"/>
          <w:sz w:val="32"/>
          <w:szCs w:val="32"/>
        </w:rPr>
        <w:t>OKR</w:t>
      </w:r>
      <w:r w:rsidRPr="00FD02F8">
        <w:rPr>
          <w:color w:val="016574" w:themeColor="accent2"/>
          <w:sz w:val="32"/>
          <w:szCs w:val="32"/>
        </w:rPr>
        <w:t>7</w:t>
      </w:r>
      <w:r w:rsidR="001945DC" w:rsidRPr="00FD02F8">
        <w:rPr>
          <w:color w:val="016574" w:themeColor="accent2"/>
          <w:sz w:val="32"/>
          <w:szCs w:val="32"/>
        </w:rPr>
        <w:t>:</w:t>
      </w:r>
      <w:r w:rsidRPr="00FD02F8">
        <w:rPr>
          <w:color w:val="016574" w:themeColor="accent2"/>
          <w:sz w:val="32"/>
          <w:szCs w:val="32"/>
        </w:rPr>
        <w:t xml:space="preserve"> Prepare to support the 2026-2027 phase of the UK digital waste tracking service implementation by DEFRA and Scottish Government. </w:t>
      </w:r>
    </w:p>
    <w:p w14:paraId="398A215B" w14:textId="01B1259F" w:rsidR="005C5712" w:rsidRPr="00FD02F8" w:rsidRDefault="00FC2A30" w:rsidP="001945DC">
      <w:pPr>
        <w:rPr>
          <w:b/>
          <w:bCs/>
          <w:color w:val="3C4741" w:themeColor="text1"/>
          <w:sz w:val="28"/>
          <w:szCs w:val="28"/>
        </w:rPr>
      </w:pPr>
      <w:r w:rsidRPr="00FD02F8">
        <w:rPr>
          <w:noProof/>
        </w:rPr>
        <w:drawing>
          <wp:inline distT="0" distB="0" distL="0" distR="0" wp14:anchorId="03FCF133" wp14:editId="78EF7523">
            <wp:extent cx="9560459" cy="2788467"/>
            <wp:effectExtent l="0" t="0" r="3175" b="12065"/>
            <wp:docPr id="647496475" name="Chart 1" descr="This is a bar graph which shows the score of each key result for OKR07 over each quarter. &#10;There is a line on the score scale of 0.7 to represent whether the KR is being delivered. There is another line on the score scale of 0.3 to represent whether measurable progress has been made in the quarter.&#10;For Q1, KR7.1 and KR7.3 had no score as this will be progressed later in the year.&#10;For Q1, KR7.2 scored 0.&#10;&#10;For Q2, KR7.1 scored 1. KR7.2 scored 0. KR7.3 has no score as this will be progressed later in the year. &#10;&#10;For Q3, KR7.1 scored 1. KR7.2 scored 0. KR7.3 has no score as this will be progressed later in the year.">
              <a:extLst xmlns:a="http://schemas.openxmlformats.org/drawingml/2006/main">
                <a:ext uri="{FF2B5EF4-FFF2-40B4-BE49-F238E27FC236}">
                  <a16:creationId xmlns:a16="http://schemas.microsoft.com/office/drawing/2014/main" id="{6CCEE18D-5BB9-406D-91E2-6EFA93783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B84A086" w14:textId="77777777" w:rsidR="00766651" w:rsidRPr="00FD02F8" w:rsidRDefault="00766651" w:rsidP="001945DC">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7 key result summary"/>
        <w:tblDescription w:val="Quarterly summary for each of the three key results under OKR7. This includes the date due, Q3 score, Q3 status, Q3 commentary and annual forecast for each key result.&#10;&#10;"/>
      </w:tblPr>
      <w:tblGrid>
        <w:gridCol w:w="3869"/>
        <w:gridCol w:w="767"/>
        <w:gridCol w:w="924"/>
        <w:gridCol w:w="924"/>
        <w:gridCol w:w="924"/>
        <w:gridCol w:w="924"/>
        <w:gridCol w:w="1020"/>
        <w:gridCol w:w="3967"/>
        <w:gridCol w:w="1639"/>
      </w:tblGrid>
      <w:tr w:rsidR="004F793D" w:rsidRPr="00FD02F8" w14:paraId="52744459" w14:textId="77777777" w:rsidTr="00E16EAC">
        <w:trPr>
          <w:cantSplit/>
          <w:trHeight w:val="545"/>
          <w:tblHeader/>
        </w:trPr>
        <w:tc>
          <w:tcPr>
            <w:tcW w:w="1293" w:type="pct"/>
            <w:shd w:val="clear" w:color="auto" w:fill="016574"/>
          </w:tcPr>
          <w:p w14:paraId="0C42084F" w14:textId="77777777" w:rsidR="00314672" w:rsidRPr="00FD02F8" w:rsidRDefault="00314672">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t>Key Results</w:t>
            </w:r>
          </w:p>
        </w:tc>
        <w:tc>
          <w:tcPr>
            <w:tcW w:w="256" w:type="pct"/>
            <w:shd w:val="clear" w:color="auto" w:fill="016574"/>
          </w:tcPr>
          <w:p w14:paraId="5C4569C8" w14:textId="77777777" w:rsidR="00314672" w:rsidRPr="00FD02F8" w:rsidRDefault="00314672">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09" w:type="pct"/>
            <w:shd w:val="clear" w:color="auto" w:fill="016574"/>
          </w:tcPr>
          <w:p w14:paraId="6DF80880" w14:textId="77777777" w:rsidR="00314672" w:rsidRPr="00FD02F8" w:rsidRDefault="00314672">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9" w:type="pct"/>
            <w:shd w:val="clear" w:color="auto" w:fill="016574"/>
          </w:tcPr>
          <w:p w14:paraId="5F6B1773" w14:textId="77777777" w:rsidR="00314672" w:rsidRPr="00FD02F8" w:rsidRDefault="00314672">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9" w:type="pct"/>
            <w:shd w:val="clear" w:color="auto" w:fill="016574"/>
          </w:tcPr>
          <w:p w14:paraId="2A6F87D9" w14:textId="77777777" w:rsidR="00314672" w:rsidRPr="00FD02F8" w:rsidRDefault="00314672">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9" w:type="pct"/>
            <w:shd w:val="clear" w:color="auto" w:fill="016574"/>
          </w:tcPr>
          <w:p w14:paraId="13BB46FB" w14:textId="77777777" w:rsidR="00314672" w:rsidRPr="00FD02F8" w:rsidRDefault="00314672">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41" w:type="pct"/>
            <w:shd w:val="clear" w:color="auto" w:fill="016574"/>
          </w:tcPr>
          <w:p w14:paraId="129ED90A" w14:textId="198A6262" w:rsidR="00314672" w:rsidRPr="00FD02F8" w:rsidRDefault="00314672" w:rsidP="00D8268F">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w:t>
            </w:r>
            <w:r w:rsidR="00D8268F" w:rsidRPr="00FD02F8">
              <w:rPr>
                <w:rFonts w:ascii="Arial" w:eastAsia="MS PGothic" w:hAnsi="Arial" w:cs="Arial"/>
                <w:b/>
                <w:bCs/>
                <w:color w:val="FFFFFF"/>
              </w:rPr>
              <w:t xml:space="preserve">3 </w:t>
            </w:r>
            <w:r w:rsidRPr="00FD02F8">
              <w:rPr>
                <w:rFonts w:ascii="Arial" w:eastAsia="MS PGothic" w:hAnsi="Arial" w:cs="Arial"/>
                <w:b/>
                <w:bCs/>
                <w:color w:val="FFFFFF"/>
              </w:rPr>
              <w:t>Status</w:t>
            </w:r>
          </w:p>
        </w:tc>
        <w:tc>
          <w:tcPr>
            <w:tcW w:w="1326" w:type="pct"/>
            <w:shd w:val="clear" w:color="auto" w:fill="016574"/>
          </w:tcPr>
          <w:p w14:paraId="72F8FD8A" w14:textId="06172718" w:rsidR="00314672" w:rsidRPr="00FD02F8" w:rsidRDefault="00314672">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8268F"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 xml:space="preserve"> commentary</w:t>
            </w:r>
          </w:p>
        </w:tc>
        <w:tc>
          <w:tcPr>
            <w:tcW w:w="548" w:type="pct"/>
            <w:shd w:val="clear" w:color="auto" w:fill="016574"/>
          </w:tcPr>
          <w:p w14:paraId="55239E14" w14:textId="77777777" w:rsidR="00314672" w:rsidRPr="00FD02F8" w:rsidRDefault="00314672">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4F793D" w:rsidRPr="00FD02F8" w14:paraId="52513E9E" w14:textId="77777777" w:rsidTr="00C727C8">
        <w:tblPrEx>
          <w:tblCellMar>
            <w:left w:w="108" w:type="dxa"/>
            <w:right w:w="108" w:type="dxa"/>
          </w:tblCellMar>
        </w:tblPrEx>
        <w:trPr>
          <w:cantSplit/>
          <w:trHeight w:val="865"/>
        </w:trPr>
        <w:tc>
          <w:tcPr>
            <w:tcW w:w="1293" w:type="pct"/>
          </w:tcPr>
          <w:p w14:paraId="516EF76D" w14:textId="17ED8F70" w:rsidR="00314672" w:rsidRPr="00FD02F8" w:rsidRDefault="00314672" w:rsidP="00ED15C4">
            <w:pPr>
              <w:textAlignment w:val="baseline"/>
              <w:rPr>
                <w:rFonts w:ascii="Arial" w:eastAsia="Times New Roman" w:hAnsi="Arial" w:cs="Arial"/>
                <w:lang w:eastAsia="en-GB"/>
              </w:rPr>
            </w:pPr>
            <w:r w:rsidRPr="00FD02F8">
              <w:rPr>
                <w:rFonts w:ascii="Arial" w:hAnsi="Arial" w:cs="Arial"/>
                <w:b/>
                <w:bCs/>
              </w:rPr>
              <w:t>KR</w:t>
            </w:r>
            <w:r w:rsidR="00510221" w:rsidRPr="00FD02F8">
              <w:rPr>
                <w:rFonts w:ascii="Arial" w:hAnsi="Arial" w:cs="Arial"/>
                <w:b/>
                <w:bCs/>
              </w:rPr>
              <w:t>7</w:t>
            </w:r>
            <w:r w:rsidRPr="00FD02F8">
              <w:rPr>
                <w:rFonts w:ascii="Arial" w:hAnsi="Arial" w:cs="Arial"/>
                <w:b/>
                <w:bCs/>
              </w:rPr>
              <w:t xml:space="preserve">.1: </w:t>
            </w:r>
            <w:r w:rsidR="00510221" w:rsidRPr="00FD02F8">
              <w:rPr>
                <w:rFonts w:ascii="Arial" w:hAnsi="Arial" w:cs="Arial"/>
              </w:rPr>
              <w:t>Launch baseline survey of Scotland’s businesses to assess awareness of the UK digital waste tracking service.</w:t>
            </w:r>
          </w:p>
        </w:tc>
        <w:tc>
          <w:tcPr>
            <w:tcW w:w="256" w:type="pct"/>
            <w:vAlign w:val="center"/>
          </w:tcPr>
          <w:p w14:paraId="2916FC6C" w14:textId="77777777"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Q2</w:t>
            </w:r>
          </w:p>
        </w:tc>
        <w:tc>
          <w:tcPr>
            <w:tcW w:w="309" w:type="pct"/>
            <w:vAlign w:val="center"/>
          </w:tcPr>
          <w:p w14:paraId="71DE7D52" w14:textId="1A73C728" w:rsidR="00314672" w:rsidRPr="00FD02F8" w:rsidRDefault="00F64D6E"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vAlign w:val="center"/>
          </w:tcPr>
          <w:p w14:paraId="7F7A9491" w14:textId="206E1E16" w:rsidR="00314672" w:rsidRPr="00FD02F8" w:rsidRDefault="00B11762" w:rsidP="00ED15C4">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1</w:t>
            </w:r>
          </w:p>
        </w:tc>
        <w:tc>
          <w:tcPr>
            <w:tcW w:w="309" w:type="pct"/>
            <w:vAlign w:val="center"/>
          </w:tcPr>
          <w:p w14:paraId="1CA28087" w14:textId="1A138A4F" w:rsidR="00314672" w:rsidRPr="00FD02F8" w:rsidRDefault="00E15E3C"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1</w:t>
            </w:r>
          </w:p>
        </w:tc>
        <w:tc>
          <w:tcPr>
            <w:tcW w:w="309" w:type="pct"/>
            <w:vAlign w:val="center"/>
          </w:tcPr>
          <w:p w14:paraId="21298CA4" w14:textId="77777777"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vAlign w:val="center"/>
          </w:tcPr>
          <w:p w14:paraId="52054200" w14:textId="48A139C7" w:rsidR="00314672" w:rsidRPr="00FD02F8" w:rsidRDefault="001E7C89" w:rsidP="00ED15C4">
            <w:pPr>
              <w:jc w:val="center"/>
              <w:textAlignment w:val="baseline"/>
              <w:rPr>
                <w:rFonts w:ascii="Arial" w:eastAsia="Times New Roman" w:hAnsi="Arial" w:cs="Arial"/>
                <w:szCs w:val="28"/>
                <w:lang w:eastAsia="en-GB"/>
              </w:rPr>
            </w:pPr>
            <w:r w:rsidRPr="00FD02F8">
              <w:rPr>
                <w:noProof/>
              </w:rPr>
              <w:drawing>
                <wp:inline distT="0" distB="0" distL="0" distR="0" wp14:anchorId="6C325E48" wp14:editId="6357EBF0">
                  <wp:extent cx="432000" cy="432000"/>
                  <wp:effectExtent l="0" t="0" r="0" b="0"/>
                  <wp:docPr id="1177912543"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26" w:type="pct"/>
            <w:vAlign w:val="center"/>
          </w:tcPr>
          <w:p w14:paraId="2EC1CC59" w14:textId="7AADB863" w:rsidR="00314672" w:rsidRPr="00FD02F8" w:rsidRDefault="00A85231" w:rsidP="009650ED">
            <w:pPr>
              <w:textAlignment w:val="baseline"/>
              <w:rPr>
                <w:rFonts w:ascii="Arial" w:eastAsia="Times New Roman" w:hAnsi="Arial" w:cs="Arial"/>
                <w:lang w:eastAsia="en-GB"/>
              </w:rPr>
            </w:pPr>
            <w:r w:rsidRPr="00FD02F8">
              <w:rPr>
                <w:rFonts w:ascii="Arial" w:eastAsia="Times New Roman" w:hAnsi="Arial" w:cs="Arial"/>
                <w:b/>
                <w:bCs/>
                <w:lang w:eastAsia="en-GB"/>
              </w:rPr>
              <w:t>Key result complete in Q2.</w:t>
            </w:r>
            <w:r w:rsidRPr="00FD02F8">
              <w:rPr>
                <w:rFonts w:ascii="Arial" w:eastAsia="Times New Roman" w:hAnsi="Arial" w:cs="Arial"/>
                <w:lang w:eastAsia="en-GB"/>
              </w:rPr>
              <w:t xml:space="preserve"> </w:t>
            </w:r>
          </w:p>
        </w:tc>
        <w:tc>
          <w:tcPr>
            <w:tcW w:w="548" w:type="pct"/>
            <w:vAlign w:val="center"/>
          </w:tcPr>
          <w:p w14:paraId="5BC93DB5" w14:textId="51CA22A5" w:rsidR="00314672" w:rsidRPr="00FD02F8" w:rsidRDefault="00F64D6E" w:rsidP="00ED15C4">
            <w:pPr>
              <w:textAlignment w:val="baseline"/>
              <w:rPr>
                <w:rFonts w:ascii="Arial" w:eastAsia="Times New Roman" w:hAnsi="Arial" w:cs="Arial"/>
                <w:lang w:eastAsia="en-GB"/>
              </w:rPr>
            </w:pPr>
            <w:r w:rsidRPr="00FD02F8">
              <w:rPr>
                <w:rFonts w:ascii="Arial" w:eastAsia="Times New Roman" w:hAnsi="Arial" w:cs="Arial"/>
                <w:szCs w:val="28"/>
                <w:lang w:eastAsia="en-GB"/>
              </w:rPr>
              <w:t>Delivered</w:t>
            </w:r>
          </w:p>
        </w:tc>
      </w:tr>
      <w:tr w:rsidR="004F793D" w:rsidRPr="00FD02F8" w14:paraId="1B07AB5A" w14:textId="77777777" w:rsidTr="00C727C8">
        <w:trPr>
          <w:cantSplit/>
          <w:trHeight w:val="16"/>
        </w:trPr>
        <w:tc>
          <w:tcPr>
            <w:tcW w:w="1293" w:type="pct"/>
            <w:vAlign w:val="center"/>
          </w:tcPr>
          <w:p w14:paraId="11DC0287" w14:textId="25E3E8B7" w:rsidR="00314672" w:rsidRPr="00FD02F8" w:rsidRDefault="00314672" w:rsidP="00ED15C4">
            <w:pPr>
              <w:textAlignment w:val="baseline"/>
              <w:rPr>
                <w:rFonts w:ascii="Arial" w:eastAsia="Times New Roman" w:hAnsi="Arial" w:cs="Arial"/>
                <w:lang w:eastAsia="en-GB"/>
              </w:rPr>
            </w:pPr>
            <w:r w:rsidRPr="00FD02F8">
              <w:rPr>
                <w:rFonts w:ascii="Arial" w:hAnsi="Arial" w:cs="Arial"/>
                <w:b/>
                <w:bCs/>
              </w:rPr>
              <w:t>KR</w:t>
            </w:r>
            <w:r w:rsidR="00510221" w:rsidRPr="00FD02F8">
              <w:rPr>
                <w:rFonts w:ascii="Arial" w:hAnsi="Arial" w:cs="Arial"/>
                <w:b/>
                <w:bCs/>
              </w:rPr>
              <w:t>7</w:t>
            </w:r>
            <w:r w:rsidRPr="00FD02F8">
              <w:rPr>
                <w:rFonts w:ascii="Arial" w:hAnsi="Arial" w:cs="Arial"/>
                <w:b/>
                <w:bCs/>
              </w:rPr>
              <w:t xml:space="preserve">.2: </w:t>
            </w:r>
            <w:r w:rsidR="00510221" w:rsidRPr="00FD02F8">
              <w:rPr>
                <w:rFonts w:ascii="Arial" w:hAnsi="Arial" w:cs="Arial"/>
              </w:rPr>
              <w:t>50% of SEPA’s requirements are incorporated into the UK digital waste tracking service by the DEFRA digital build tea</w:t>
            </w:r>
            <w:r w:rsidR="00964DDD" w:rsidRPr="00FD02F8">
              <w:rPr>
                <w:rFonts w:ascii="Arial" w:hAnsi="Arial" w:cs="Arial"/>
              </w:rPr>
              <w:t>m</w:t>
            </w:r>
            <w:r w:rsidR="00510221" w:rsidRPr="00FD02F8">
              <w:rPr>
                <w:rFonts w:ascii="Arial" w:hAnsi="Arial" w:cs="Arial"/>
              </w:rPr>
              <w:t xml:space="preserve"> and is ready for testing by SEPA users.</w:t>
            </w:r>
          </w:p>
        </w:tc>
        <w:tc>
          <w:tcPr>
            <w:tcW w:w="256" w:type="pct"/>
            <w:vAlign w:val="center"/>
          </w:tcPr>
          <w:p w14:paraId="4059A153" w14:textId="3A64FFB9"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w:t>
            </w:r>
            <w:r w:rsidR="00510221" w:rsidRPr="00FD02F8">
              <w:rPr>
                <w:rFonts w:asciiTheme="majorHAnsi" w:hAnsiTheme="majorHAnsi" w:cstheme="majorHAnsi"/>
                <w:color w:val="000000"/>
              </w:rPr>
              <w:t>4</w:t>
            </w:r>
          </w:p>
        </w:tc>
        <w:tc>
          <w:tcPr>
            <w:tcW w:w="309" w:type="pct"/>
            <w:vAlign w:val="center"/>
          </w:tcPr>
          <w:p w14:paraId="498ED467" w14:textId="6B074153" w:rsidR="00314672" w:rsidRPr="00FD02F8" w:rsidRDefault="00F64D6E"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w:t>
            </w:r>
          </w:p>
        </w:tc>
        <w:tc>
          <w:tcPr>
            <w:tcW w:w="309" w:type="pct"/>
            <w:vAlign w:val="center"/>
          </w:tcPr>
          <w:p w14:paraId="077758CD" w14:textId="74839CD7" w:rsidR="00314672" w:rsidRPr="00FD02F8" w:rsidRDefault="00B11762" w:rsidP="00ED15C4">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309" w:type="pct"/>
            <w:vAlign w:val="center"/>
          </w:tcPr>
          <w:p w14:paraId="08965ABC" w14:textId="3F312B71" w:rsidR="00314672" w:rsidRPr="00FD02F8" w:rsidRDefault="00E47057"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0</w:t>
            </w:r>
          </w:p>
        </w:tc>
        <w:tc>
          <w:tcPr>
            <w:tcW w:w="309" w:type="pct"/>
            <w:vAlign w:val="center"/>
          </w:tcPr>
          <w:p w14:paraId="0B23A2DC" w14:textId="77777777"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vAlign w:val="center"/>
          </w:tcPr>
          <w:p w14:paraId="712B8D1D" w14:textId="1572416C" w:rsidR="00314672" w:rsidRPr="00FD02F8" w:rsidRDefault="00AB74BA" w:rsidP="00ED15C4">
            <w:pPr>
              <w:jc w:val="center"/>
              <w:textAlignment w:val="baseline"/>
              <w:rPr>
                <w:b/>
                <w:bCs/>
              </w:rPr>
            </w:pPr>
            <w:r w:rsidRPr="00FD02F8">
              <w:rPr>
                <w:noProof/>
              </w:rPr>
              <w:drawing>
                <wp:anchor distT="0" distB="0" distL="114300" distR="114300" simplePos="0" relativeHeight="251648000" behindDoc="0" locked="0" layoutInCell="1" allowOverlap="1" wp14:anchorId="5B447DC3" wp14:editId="55B13C55">
                  <wp:simplePos x="0" y="0"/>
                  <wp:positionH relativeFrom="column">
                    <wp:posOffset>25400</wp:posOffset>
                  </wp:positionH>
                  <wp:positionV relativeFrom="paragraph">
                    <wp:posOffset>-5715</wp:posOffset>
                  </wp:positionV>
                  <wp:extent cx="444500" cy="444500"/>
                  <wp:effectExtent l="0" t="0" r="0" b="0"/>
                  <wp:wrapNone/>
                  <wp:docPr id="1139939732"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26" w:type="pct"/>
            <w:vAlign w:val="center"/>
          </w:tcPr>
          <w:p w14:paraId="6E510799" w14:textId="6AB368C4" w:rsidR="00980BC0" w:rsidRPr="00FD02F8" w:rsidRDefault="00996ADB" w:rsidP="00ED15C4">
            <w:pPr>
              <w:textAlignment w:val="baseline"/>
              <w:rPr>
                <w:rFonts w:ascii="Arial" w:eastAsia="Times New Roman" w:hAnsi="Arial" w:cs="Arial"/>
                <w:lang w:eastAsia="en-GB"/>
              </w:rPr>
            </w:pPr>
            <w:r w:rsidRPr="00FD02F8">
              <w:rPr>
                <w:rFonts w:ascii="Arial" w:eastAsia="Times New Roman" w:hAnsi="Arial" w:cs="Arial"/>
                <w:lang w:eastAsia="en-GB"/>
              </w:rPr>
              <w:t>Progress is being impacted by delays to the DEFRA led digital build</w:t>
            </w:r>
            <w:r w:rsidR="00A43121">
              <w:rPr>
                <w:rFonts w:ascii="Arial" w:eastAsia="Times New Roman" w:hAnsi="Arial" w:cs="Arial"/>
                <w:lang w:eastAsia="en-GB"/>
              </w:rPr>
              <w:t>.</w:t>
            </w:r>
            <w:r w:rsidRPr="00FD02F8">
              <w:rPr>
                <w:rFonts w:ascii="Arial" w:eastAsia="Times New Roman" w:hAnsi="Arial" w:cs="Arial"/>
                <w:lang w:eastAsia="en-GB"/>
              </w:rPr>
              <w:t xml:space="preserve"> We continue to work closely with DEFRA; however, it remains unclear to what extent SEPA’s requirements will be delivered by the end of Q4.</w:t>
            </w:r>
          </w:p>
          <w:p w14:paraId="2ED17E68" w14:textId="433F6875" w:rsidR="00314672" w:rsidRPr="00FD02F8" w:rsidRDefault="0070549A" w:rsidP="00ED15C4">
            <w:pPr>
              <w:textAlignment w:val="baseline"/>
              <w:rPr>
                <w:rFonts w:ascii="Arial" w:eastAsia="Times New Roman" w:hAnsi="Arial" w:cs="Arial"/>
                <w:highlight w:val="yellow"/>
                <w:lang w:eastAsia="en-GB"/>
              </w:rPr>
            </w:pPr>
            <w:r w:rsidRPr="00FD02F8">
              <w:rPr>
                <w:rFonts w:ascii="Arial" w:eastAsia="Times New Roman" w:hAnsi="Arial" w:cs="Arial"/>
                <w:b/>
                <w:bCs/>
                <w:lang w:eastAsia="en-GB"/>
              </w:rPr>
              <w:t>Confidence</w:t>
            </w:r>
            <w:r w:rsidRPr="00FD02F8">
              <w:rPr>
                <w:rFonts w:ascii="Arial" w:eastAsia="Times New Roman" w:hAnsi="Arial" w:cs="Arial"/>
                <w:lang w:eastAsia="en-GB"/>
              </w:rPr>
              <w:t xml:space="preserve">: </w:t>
            </w:r>
            <w:r w:rsidR="001A54A8" w:rsidRPr="00FD02F8">
              <w:rPr>
                <w:rFonts w:ascii="Arial" w:eastAsia="Times New Roman" w:hAnsi="Arial" w:cs="Arial"/>
                <w:lang w:eastAsia="en-GB"/>
              </w:rPr>
              <w:t>This objective is not entirely within SEPA's control. Low confidence in delivering this key result is reflected in partial delivery being forecast.</w:t>
            </w:r>
          </w:p>
        </w:tc>
        <w:tc>
          <w:tcPr>
            <w:tcW w:w="548" w:type="pct"/>
            <w:vAlign w:val="center"/>
          </w:tcPr>
          <w:p w14:paraId="35EB32C6" w14:textId="4AA495CA" w:rsidR="00314672" w:rsidRPr="00FD02F8" w:rsidRDefault="00A74ED9" w:rsidP="00ED15C4">
            <w:pP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Partial delivery</w:t>
            </w:r>
          </w:p>
        </w:tc>
      </w:tr>
      <w:tr w:rsidR="004F793D" w:rsidRPr="00FD02F8" w14:paraId="540B482A" w14:textId="77777777" w:rsidTr="004C3AE2">
        <w:trPr>
          <w:cantSplit/>
          <w:trHeight w:val="16"/>
        </w:trPr>
        <w:tc>
          <w:tcPr>
            <w:tcW w:w="1293" w:type="pct"/>
            <w:vAlign w:val="center"/>
          </w:tcPr>
          <w:p w14:paraId="104551DF" w14:textId="2BA15F1C" w:rsidR="00314672" w:rsidRPr="00FD02F8" w:rsidRDefault="00314672" w:rsidP="004C3AE2">
            <w:pPr>
              <w:textAlignment w:val="baseline"/>
              <w:rPr>
                <w:rFonts w:ascii="Arial" w:eastAsia="Times New Roman" w:hAnsi="Arial" w:cs="Arial"/>
                <w:lang w:eastAsia="en-GB"/>
              </w:rPr>
            </w:pPr>
            <w:r w:rsidRPr="00FD02F8">
              <w:rPr>
                <w:rFonts w:ascii="Arial" w:hAnsi="Arial" w:cs="Arial"/>
                <w:b/>
                <w:bCs/>
              </w:rPr>
              <w:lastRenderedPageBreak/>
              <w:t>KR</w:t>
            </w:r>
            <w:r w:rsidR="00510221" w:rsidRPr="00FD02F8">
              <w:rPr>
                <w:rFonts w:ascii="Arial" w:hAnsi="Arial" w:cs="Arial"/>
                <w:b/>
                <w:bCs/>
              </w:rPr>
              <w:t>7</w:t>
            </w:r>
            <w:r w:rsidRPr="00FD02F8">
              <w:rPr>
                <w:rFonts w:ascii="Arial" w:hAnsi="Arial" w:cs="Arial"/>
                <w:b/>
                <w:bCs/>
              </w:rPr>
              <w:t xml:space="preserve">.3: </w:t>
            </w:r>
            <w:r w:rsidR="00510221" w:rsidRPr="00FD02F8">
              <w:rPr>
                <w:rFonts w:ascii="Arial" w:hAnsi="Arial" w:cs="Arial"/>
              </w:rPr>
              <w:t>SEPA is ready to support the introduction of the UK Digital Service by DEFRA for Scotland’s users in 2026.</w:t>
            </w:r>
          </w:p>
        </w:tc>
        <w:tc>
          <w:tcPr>
            <w:tcW w:w="256" w:type="pct"/>
            <w:vAlign w:val="center"/>
          </w:tcPr>
          <w:p w14:paraId="4E629800" w14:textId="77777777"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hAnsiTheme="majorHAnsi" w:cstheme="majorHAnsi"/>
                <w:color w:val="000000"/>
              </w:rPr>
              <w:t>Q4</w:t>
            </w:r>
          </w:p>
        </w:tc>
        <w:tc>
          <w:tcPr>
            <w:tcW w:w="309" w:type="pct"/>
            <w:vAlign w:val="center"/>
          </w:tcPr>
          <w:p w14:paraId="376E167C" w14:textId="77777777"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vAlign w:val="center"/>
          </w:tcPr>
          <w:p w14:paraId="15616EC3" w14:textId="1BE044F1" w:rsidR="00314672" w:rsidRPr="00FD02F8" w:rsidRDefault="00B11762" w:rsidP="00ED15C4">
            <w:pPr>
              <w:jc w:val="center"/>
              <w:textAlignment w:val="baseline"/>
              <w:rPr>
                <w:rFonts w:ascii="Arial" w:eastAsia="Times New Roman" w:hAnsi="Arial" w:cs="Arial"/>
                <w:szCs w:val="28"/>
                <w:lang w:eastAsia="en-GB"/>
              </w:rPr>
            </w:pPr>
            <w:r w:rsidRPr="00FD02F8">
              <w:rPr>
                <w:rFonts w:asciiTheme="majorHAnsi" w:eastAsia="Times New Roman" w:hAnsiTheme="majorHAnsi" w:cstheme="majorHAnsi"/>
                <w:lang w:eastAsia="en-GB"/>
              </w:rPr>
              <w:t>N/A</w:t>
            </w:r>
          </w:p>
        </w:tc>
        <w:tc>
          <w:tcPr>
            <w:tcW w:w="309" w:type="pct"/>
            <w:vAlign w:val="center"/>
          </w:tcPr>
          <w:p w14:paraId="55E2EEE7" w14:textId="56EF7BA0" w:rsidR="00314672" w:rsidRPr="00FD02F8" w:rsidRDefault="00263047"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N/A</w:t>
            </w:r>
          </w:p>
        </w:tc>
        <w:tc>
          <w:tcPr>
            <w:tcW w:w="309" w:type="pct"/>
            <w:vAlign w:val="center"/>
          </w:tcPr>
          <w:p w14:paraId="7DF3F95E" w14:textId="77777777" w:rsidR="00314672" w:rsidRPr="00FD02F8" w:rsidRDefault="00314672" w:rsidP="00ED15C4">
            <w:pPr>
              <w:jc w:val="center"/>
              <w:textAlignment w:val="baseline"/>
              <w:rPr>
                <w:rFonts w:asciiTheme="majorHAnsi" w:eastAsia="Times New Roman" w:hAnsiTheme="majorHAnsi" w:cstheme="majorHAnsi"/>
                <w:lang w:eastAsia="en-GB"/>
              </w:rPr>
            </w:pPr>
            <w:r w:rsidRPr="00FD02F8">
              <w:rPr>
                <w:rFonts w:asciiTheme="majorHAnsi" w:eastAsia="Times New Roman" w:hAnsiTheme="majorHAnsi" w:cstheme="majorHAnsi"/>
                <w:lang w:eastAsia="en-GB"/>
              </w:rPr>
              <w:t>-</w:t>
            </w:r>
          </w:p>
        </w:tc>
        <w:tc>
          <w:tcPr>
            <w:tcW w:w="341" w:type="pct"/>
            <w:vAlign w:val="center"/>
          </w:tcPr>
          <w:p w14:paraId="13B2891B" w14:textId="33E201BD" w:rsidR="00314672" w:rsidRPr="00FD02F8" w:rsidRDefault="00AB74BA" w:rsidP="00ED15C4">
            <w:pPr>
              <w:jc w:val="center"/>
              <w:textAlignment w:val="baseline"/>
              <w:rPr>
                <w:b/>
                <w:bCs/>
              </w:rPr>
            </w:pPr>
            <w:r w:rsidRPr="00FD02F8">
              <w:rPr>
                <w:b/>
                <w:bCs/>
                <w:noProof/>
              </w:rPr>
              <w:drawing>
                <wp:inline distT="0" distB="0" distL="0" distR="0" wp14:anchorId="00697892" wp14:editId="398DFCFB">
                  <wp:extent cx="470590" cy="470590"/>
                  <wp:effectExtent l="0" t="0" r="0" b="5715"/>
                  <wp:docPr id="1224920175"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326" w:type="pct"/>
            <w:vAlign w:val="center"/>
          </w:tcPr>
          <w:p w14:paraId="3D2F73D4" w14:textId="5F94863E" w:rsidR="00D72F0B" w:rsidRPr="00FD02F8" w:rsidRDefault="00003D94" w:rsidP="00ED15C4">
            <w:pPr>
              <w:textAlignment w:val="baseline"/>
              <w:rPr>
                <w:color w:val="000000"/>
                <w:sz w:val="27"/>
                <w:szCs w:val="27"/>
              </w:rPr>
            </w:pPr>
            <w:r w:rsidRPr="00FD02F8">
              <w:rPr>
                <w:rFonts w:ascii="Arial" w:eastAsia="Times New Roman" w:hAnsi="Arial" w:cs="Arial"/>
                <w:lang w:eastAsia="en-GB"/>
              </w:rPr>
              <w:t>Work progressing</w:t>
            </w:r>
            <w:r w:rsidR="006A2C15" w:rsidRPr="00FD02F8">
              <w:rPr>
                <w:color w:val="000000"/>
                <w:sz w:val="27"/>
                <w:szCs w:val="27"/>
              </w:rPr>
              <w:t xml:space="preserve"> </w:t>
            </w:r>
            <w:r w:rsidR="00500082" w:rsidRPr="00FD02F8">
              <w:rPr>
                <w:rFonts w:ascii="Arial" w:eastAsia="Times New Roman" w:hAnsi="Arial" w:cs="Arial"/>
                <w:lang w:eastAsia="en-GB"/>
              </w:rPr>
              <w:t>on</w:t>
            </w:r>
            <w:r w:rsidR="006A2C15" w:rsidRPr="00FD02F8">
              <w:rPr>
                <w:rFonts w:ascii="Arial" w:eastAsia="Times New Roman" w:hAnsi="Arial" w:cs="Arial"/>
                <w:lang w:eastAsia="en-GB"/>
              </w:rPr>
              <w:t xml:space="preserve"> </w:t>
            </w:r>
            <w:r w:rsidR="00500082" w:rsidRPr="00FD02F8">
              <w:rPr>
                <w:rFonts w:ascii="Arial" w:eastAsia="Times New Roman" w:hAnsi="Arial" w:cs="Arial"/>
                <w:lang w:eastAsia="en-GB"/>
              </w:rPr>
              <w:t xml:space="preserve">the </w:t>
            </w:r>
            <w:r w:rsidR="006A2C15" w:rsidRPr="00FD02F8">
              <w:rPr>
                <w:rFonts w:ascii="Arial" w:eastAsia="Times New Roman" w:hAnsi="Arial" w:cs="Arial"/>
                <w:lang w:eastAsia="en-GB"/>
              </w:rPr>
              <w:t>plan to support the introduction of the UK Digital Service</w:t>
            </w:r>
            <w:r w:rsidR="00401074">
              <w:rPr>
                <w:rFonts w:ascii="Arial" w:eastAsia="Times New Roman" w:hAnsi="Arial" w:cs="Arial"/>
                <w:lang w:eastAsia="en-GB"/>
              </w:rPr>
              <w:t xml:space="preserve"> </w:t>
            </w:r>
            <w:r w:rsidR="00401074" w:rsidRPr="00401074">
              <w:rPr>
                <w:rFonts w:ascii="Arial" w:eastAsia="Times New Roman" w:hAnsi="Arial" w:cs="Arial"/>
                <w:lang w:eastAsia="en-GB"/>
              </w:rPr>
              <w:t>focussed on waste receiving sites</w:t>
            </w:r>
            <w:r w:rsidR="007D625F" w:rsidRPr="00FD02F8">
              <w:rPr>
                <w:rFonts w:ascii="Arial" w:eastAsia="Times New Roman" w:hAnsi="Arial" w:cs="Arial"/>
                <w:lang w:eastAsia="en-GB"/>
              </w:rPr>
              <w:t>.</w:t>
            </w:r>
            <w:r w:rsidR="00D0495A" w:rsidRPr="00FD02F8">
              <w:rPr>
                <w:color w:val="000000"/>
                <w:sz w:val="27"/>
                <w:szCs w:val="27"/>
              </w:rPr>
              <w:t xml:space="preserve"> </w:t>
            </w:r>
          </w:p>
          <w:p w14:paraId="43429152" w14:textId="2F6CEB94" w:rsidR="008F25A2" w:rsidRPr="00FD02F8" w:rsidRDefault="00D72F0B" w:rsidP="00ED15C4">
            <w:pPr>
              <w:textAlignment w:val="baseline"/>
              <w:rPr>
                <w:rFonts w:ascii="Arial" w:eastAsia="Times New Roman" w:hAnsi="Arial" w:cs="Arial"/>
                <w:lang w:eastAsia="en-GB"/>
              </w:rPr>
            </w:pPr>
            <w:r w:rsidRPr="00FD02F8">
              <w:rPr>
                <w:rFonts w:ascii="Arial" w:eastAsia="Times New Roman" w:hAnsi="Arial" w:cs="Arial"/>
                <w:b/>
                <w:bCs/>
                <w:lang w:eastAsia="en-GB"/>
              </w:rPr>
              <w:t>Confidence</w:t>
            </w:r>
            <w:r w:rsidRPr="00FD02F8">
              <w:rPr>
                <w:rFonts w:ascii="Arial" w:eastAsia="Times New Roman" w:hAnsi="Arial" w:cs="Arial"/>
                <w:lang w:eastAsia="en-GB"/>
              </w:rPr>
              <w:t xml:space="preserve">: </w:t>
            </w:r>
            <w:r w:rsidR="00D0495A" w:rsidRPr="00FD02F8">
              <w:rPr>
                <w:rFonts w:ascii="Arial" w:eastAsia="Times New Roman" w:hAnsi="Arial" w:cs="Arial"/>
                <w:lang w:eastAsia="en-GB"/>
              </w:rPr>
              <w:t>The required extent of our readiness depends on the DEFRA digital build in 2025/26, what parts of the service (if not the full the service) are ready for use, and what Scottish Government</w:t>
            </w:r>
            <w:r w:rsidR="005E04E3">
              <w:rPr>
                <w:rFonts w:ascii="Arial" w:eastAsia="Times New Roman" w:hAnsi="Arial" w:cs="Arial"/>
                <w:lang w:eastAsia="en-GB"/>
              </w:rPr>
              <w:t>’s</w:t>
            </w:r>
            <w:r w:rsidR="00D0495A" w:rsidRPr="00FD02F8">
              <w:rPr>
                <w:rFonts w:ascii="Arial" w:eastAsia="Times New Roman" w:hAnsi="Arial" w:cs="Arial"/>
                <w:lang w:eastAsia="en-GB"/>
              </w:rPr>
              <w:t xml:space="preserve"> regulations will require of users and </w:t>
            </w:r>
            <w:r w:rsidR="002E68E1" w:rsidRPr="00FD02F8">
              <w:rPr>
                <w:rFonts w:ascii="Arial" w:eastAsia="Times New Roman" w:hAnsi="Arial" w:cs="Arial"/>
                <w:lang w:eastAsia="en-GB"/>
              </w:rPr>
              <w:t>SEPA</w:t>
            </w:r>
            <w:r w:rsidR="00D0495A" w:rsidRPr="00FD02F8">
              <w:rPr>
                <w:rFonts w:ascii="Arial" w:eastAsia="Times New Roman" w:hAnsi="Arial" w:cs="Arial"/>
                <w:lang w:eastAsia="en-GB"/>
              </w:rPr>
              <w:t xml:space="preserve"> in 2026/27.</w:t>
            </w:r>
            <w:r w:rsidR="00973EDF" w:rsidRPr="00973EDF">
              <w:t xml:space="preserve"> </w:t>
            </w:r>
            <w:r w:rsidR="00973EDF" w:rsidRPr="00973EDF">
              <w:rPr>
                <w:rFonts w:ascii="Arial" w:eastAsia="Times New Roman" w:hAnsi="Arial" w:cs="Arial"/>
                <w:lang w:eastAsia="en-GB"/>
              </w:rPr>
              <w:t>We are therefore forecasting partial delivery.</w:t>
            </w:r>
          </w:p>
        </w:tc>
        <w:tc>
          <w:tcPr>
            <w:tcW w:w="548" w:type="pct"/>
            <w:vAlign w:val="center"/>
          </w:tcPr>
          <w:p w14:paraId="6BCDDFB0" w14:textId="27E6B9D8" w:rsidR="00314672" w:rsidRPr="00FD02F8" w:rsidRDefault="00690FC2" w:rsidP="00ED15C4">
            <w:pP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Partial delivery</w:t>
            </w:r>
          </w:p>
        </w:tc>
      </w:tr>
    </w:tbl>
    <w:p w14:paraId="47242FA8" w14:textId="6BC28333" w:rsidR="000111F4" w:rsidRPr="00FD02F8" w:rsidRDefault="000111F4" w:rsidP="000111F4">
      <w:pPr>
        <w:spacing w:before="240"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r w:rsidRPr="00FD02F8">
        <w:rPr>
          <w:sz w:val="28"/>
          <w:szCs w:val="28"/>
        </w:rPr>
        <w:t>0</w:t>
      </w:r>
      <w:r w:rsidR="00230633" w:rsidRPr="00FD02F8">
        <w:rPr>
          <w:sz w:val="28"/>
          <w:szCs w:val="28"/>
        </w:rPr>
        <w:t>.5</w:t>
      </w:r>
    </w:p>
    <w:p w14:paraId="24A4F2BC" w14:textId="77777777" w:rsidR="0022442F" w:rsidRPr="00FD02F8" w:rsidRDefault="0022442F" w:rsidP="000111F4">
      <w:pPr>
        <w:spacing w:before="240" w:after="120"/>
        <w:rPr>
          <w:sz w:val="28"/>
          <w:szCs w:val="28"/>
        </w:rPr>
      </w:pPr>
    </w:p>
    <w:p w14:paraId="5DB38B6E" w14:textId="77777777" w:rsidR="0022442F" w:rsidRPr="00FD02F8" w:rsidRDefault="0022442F" w:rsidP="000111F4">
      <w:pPr>
        <w:spacing w:before="240" w:after="120"/>
        <w:rPr>
          <w:sz w:val="28"/>
          <w:szCs w:val="28"/>
        </w:rPr>
      </w:pPr>
    </w:p>
    <w:p w14:paraId="3CF4844D" w14:textId="4B43EBB2" w:rsidR="00202277" w:rsidRPr="00FD02F8" w:rsidRDefault="00202277" w:rsidP="7D52A5B7">
      <w:pPr>
        <w:pStyle w:val="Heading2"/>
        <w:shd w:val="clear" w:color="auto" w:fill="016574" w:themeFill="accent2"/>
        <w:spacing w:before="0" w:after="240"/>
        <w:ind w:left="720" w:hanging="720"/>
        <w:rPr>
          <w:color w:val="FFFFFF" w:themeColor="background1"/>
          <w:sz w:val="44"/>
          <w:szCs w:val="44"/>
        </w:rPr>
      </w:pPr>
      <w:bookmarkStart w:id="25" w:name="_Toc2094063106"/>
      <w:r w:rsidRPr="00FD02F8">
        <w:rPr>
          <w:color w:val="FFFFFF" w:themeColor="background1"/>
          <w:sz w:val="44"/>
          <w:szCs w:val="44"/>
        </w:rPr>
        <w:lastRenderedPageBreak/>
        <w:t>Business Environmental Performance</w:t>
      </w:r>
      <w:bookmarkEnd w:id="25"/>
      <w:r w:rsidRPr="00FD02F8">
        <w:rPr>
          <w:color w:val="FFFFFF" w:themeColor="background1"/>
          <w:sz w:val="44"/>
          <w:szCs w:val="44"/>
        </w:rPr>
        <w:t xml:space="preserve"> </w:t>
      </w:r>
    </w:p>
    <w:p w14:paraId="6FC7B11E" w14:textId="7C974AE9" w:rsidR="00202277" w:rsidRPr="00FD02F8" w:rsidRDefault="7367B549" w:rsidP="00E70031">
      <w:pPr>
        <w:pStyle w:val="BodyText1"/>
        <w:shd w:val="clear" w:color="auto" w:fill="018395"/>
        <w:spacing w:before="240" w:after="120"/>
        <w:rPr>
          <w:color w:val="FFFFFF" w:themeColor="background1"/>
          <w:sz w:val="36"/>
          <w:szCs w:val="36"/>
        </w:rPr>
      </w:pPr>
      <w:r w:rsidRPr="00FD02F8">
        <w:rPr>
          <w:color w:val="FFFFFF" w:themeColor="background1"/>
          <w:sz w:val="36"/>
          <w:szCs w:val="36"/>
        </w:rPr>
        <w:t>Our ambition is to protect the environment and communities from harm; for Scotland to be an inhospitable place for environmental crime</w:t>
      </w:r>
      <w:r w:rsidR="4627133B" w:rsidRPr="00FD02F8">
        <w:rPr>
          <w:color w:val="FFFFFF" w:themeColor="background1"/>
          <w:sz w:val="36"/>
          <w:szCs w:val="36"/>
        </w:rPr>
        <w:t>,</w:t>
      </w:r>
      <w:r w:rsidRPr="00FD02F8">
        <w:rPr>
          <w:color w:val="FFFFFF" w:themeColor="background1"/>
          <w:sz w:val="36"/>
          <w:szCs w:val="36"/>
        </w:rPr>
        <w:t xml:space="preserve"> and </w:t>
      </w:r>
      <w:r w:rsidR="4E8D2EF9" w:rsidRPr="00FD02F8">
        <w:rPr>
          <w:color w:val="FFFFFF" w:themeColor="background1"/>
          <w:sz w:val="36"/>
          <w:szCs w:val="36"/>
        </w:rPr>
        <w:t xml:space="preserve">that </w:t>
      </w:r>
      <w:r w:rsidRPr="00FD02F8">
        <w:rPr>
          <w:color w:val="FFFFFF" w:themeColor="background1"/>
          <w:sz w:val="36"/>
          <w:szCs w:val="36"/>
        </w:rPr>
        <w:t>regulation enables businesses to reduce their environmental impact.</w:t>
      </w:r>
    </w:p>
    <w:p w14:paraId="448D7481" w14:textId="5BD8D8B8" w:rsidR="00860FE4" w:rsidRPr="00FD02F8" w:rsidRDefault="00766651" w:rsidP="00766651">
      <w:pPr>
        <w:pStyle w:val="Heading3"/>
        <w:spacing w:before="240" w:after="120"/>
        <w:rPr>
          <w:color w:val="016574"/>
          <w:sz w:val="32"/>
          <w:szCs w:val="28"/>
        </w:rPr>
      </w:pPr>
      <w:r w:rsidRPr="00FD02F8">
        <w:rPr>
          <w:color w:val="016574"/>
          <w:sz w:val="32"/>
          <w:szCs w:val="28"/>
        </w:rPr>
        <w:t>BEP</w:t>
      </w:r>
      <w:r w:rsidR="00860FE4" w:rsidRPr="00FD02F8">
        <w:rPr>
          <w:color w:val="016574"/>
          <w:sz w:val="32"/>
          <w:szCs w:val="28"/>
        </w:rPr>
        <w:t xml:space="preserve"> OKR8: </w:t>
      </w:r>
      <w:r w:rsidR="00E26304" w:rsidRPr="00FD02F8">
        <w:rPr>
          <w:color w:val="016574"/>
          <w:sz w:val="32"/>
          <w:szCs w:val="28"/>
        </w:rPr>
        <w:t>Ensure key stakeholders are engaged and informed on the necessary preparations required for compliance with the Biodegradable Municipal Waste (BMW) Landfill ban.</w:t>
      </w:r>
    </w:p>
    <w:p w14:paraId="10586412" w14:textId="392C756E" w:rsidR="00DD3FB5" w:rsidRPr="00FD02F8" w:rsidRDefault="004D45B7" w:rsidP="00860FE4">
      <w:pPr>
        <w:rPr>
          <w:b/>
          <w:bCs/>
          <w:color w:val="3C4741" w:themeColor="text1"/>
          <w:sz w:val="28"/>
          <w:szCs w:val="28"/>
        </w:rPr>
      </w:pPr>
      <w:r w:rsidRPr="00FD02F8">
        <w:rPr>
          <w:noProof/>
        </w:rPr>
        <w:drawing>
          <wp:inline distT="0" distB="0" distL="0" distR="0" wp14:anchorId="79A1C783" wp14:editId="1A67B4BD">
            <wp:extent cx="9614780" cy="2824681"/>
            <wp:effectExtent l="0" t="0" r="5715" b="13970"/>
            <wp:docPr id="619260900" name="Chart 1" descr="This is a bar graph which shows the score of each key result for OKR08 over each quarter. &#10;There is a line on the score scale of 0.7 to represent whether the KR is being delivered. There is another line on the score scale of 0.3 to represent whether measurable progress has been made in the quarter.&#10;For Q1, Q2 and Q3 KR8.1 scored 1. &#10;KR8.2, KR8.3, KR8.4 and KR 8.5 scored 0.&#10;">
              <a:extLst xmlns:a="http://schemas.openxmlformats.org/drawingml/2006/main">
                <a:ext uri="{FF2B5EF4-FFF2-40B4-BE49-F238E27FC236}">
                  <a16:creationId xmlns:a16="http://schemas.microsoft.com/office/drawing/2014/main" id="{793922BA-1F83-40FF-BA07-5FD7EB66F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OKR8 key result summary"/>
        <w:tblDescription w:val="Quarterly summary for each of the five key results under OKR8. This includes the date due, Q3 score, Q3 status, Q3 commentary and annual forecast for each key result."/>
      </w:tblPr>
      <w:tblGrid>
        <w:gridCol w:w="3965"/>
        <w:gridCol w:w="850"/>
        <w:gridCol w:w="880"/>
        <w:gridCol w:w="880"/>
        <w:gridCol w:w="880"/>
        <w:gridCol w:w="880"/>
        <w:gridCol w:w="1020"/>
        <w:gridCol w:w="4107"/>
        <w:gridCol w:w="1496"/>
      </w:tblGrid>
      <w:tr w:rsidR="00ED15C4" w:rsidRPr="00FD02F8" w14:paraId="18D44D54" w14:textId="77777777" w:rsidTr="00221747">
        <w:trPr>
          <w:cantSplit/>
          <w:trHeight w:val="545"/>
          <w:tblHeader/>
        </w:trPr>
        <w:tc>
          <w:tcPr>
            <w:tcW w:w="1325" w:type="pct"/>
            <w:shd w:val="clear" w:color="auto" w:fill="016574"/>
          </w:tcPr>
          <w:p w14:paraId="01BB50AF" w14:textId="77777777" w:rsidR="00860FE4" w:rsidRPr="00FD02F8" w:rsidRDefault="00860FE4">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84" w:type="pct"/>
            <w:shd w:val="clear" w:color="auto" w:fill="016574"/>
          </w:tcPr>
          <w:p w14:paraId="0A12F88F" w14:textId="77777777" w:rsidR="00860FE4" w:rsidRPr="00FD02F8" w:rsidRDefault="00860FE4">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294" w:type="pct"/>
            <w:shd w:val="clear" w:color="auto" w:fill="016574"/>
          </w:tcPr>
          <w:p w14:paraId="14D63529" w14:textId="77777777" w:rsidR="00860FE4" w:rsidRPr="00FD02F8" w:rsidRDefault="00860FE4">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294" w:type="pct"/>
            <w:shd w:val="clear" w:color="auto" w:fill="016574"/>
          </w:tcPr>
          <w:p w14:paraId="78C21AA2" w14:textId="77777777" w:rsidR="00860FE4" w:rsidRPr="00FD02F8" w:rsidRDefault="00860FE4">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294" w:type="pct"/>
            <w:shd w:val="clear" w:color="auto" w:fill="016574"/>
          </w:tcPr>
          <w:p w14:paraId="4984A503" w14:textId="77777777" w:rsidR="00860FE4" w:rsidRPr="00FD02F8" w:rsidRDefault="00860FE4">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294" w:type="pct"/>
            <w:shd w:val="clear" w:color="auto" w:fill="016574"/>
          </w:tcPr>
          <w:p w14:paraId="00BB3265" w14:textId="77777777" w:rsidR="00860FE4" w:rsidRPr="00FD02F8" w:rsidRDefault="00860FE4">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41" w:type="pct"/>
            <w:shd w:val="clear" w:color="auto" w:fill="016574"/>
          </w:tcPr>
          <w:p w14:paraId="2888F90D" w14:textId="5C3BE467" w:rsidR="00860FE4" w:rsidRPr="00FD02F8" w:rsidRDefault="00860FE4">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3659E5" w:rsidRPr="00FD02F8">
              <w:rPr>
                <w:rFonts w:ascii="Arial" w:eastAsia="MS PGothic" w:hAnsi="Arial" w:cs="Arial"/>
                <w:b/>
                <w:bCs/>
                <w:color w:val="FFFFFF"/>
              </w:rPr>
              <w:t>3</w:t>
            </w:r>
            <w:r w:rsidRPr="00FD02F8">
              <w:rPr>
                <w:rFonts w:ascii="Arial" w:eastAsia="MS PGothic" w:hAnsi="Arial" w:cs="Arial"/>
                <w:b/>
                <w:bCs/>
                <w:color w:val="FFFFFF"/>
              </w:rPr>
              <w:t xml:space="preserve"> Status</w:t>
            </w:r>
          </w:p>
        </w:tc>
        <w:tc>
          <w:tcPr>
            <w:tcW w:w="1373" w:type="pct"/>
            <w:shd w:val="clear" w:color="auto" w:fill="016574"/>
          </w:tcPr>
          <w:p w14:paraId="29C72F95" w14:textId="68C359A9" w:rsidR="00860FE4" w:rsidRPr="00FD02F8" w:rsidRDefault="00860FE4">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3659E5" w:rsidRPr="00FD02F8">
              <w:rPr>
                <w:rFonts w:ascii="Arial" w:eastAsia="MS PGothic" w:hAnsi="Arial" w:cs="Arial"/>
                <w:b/>
                <w:bCs/>
                <w:color w:val="FFFFFF"/>
                <w:sz w:val="28"/>
                <w:szCs w:val="28"/>
              </w:rPr>
              <w:t>3</w:t>
            </w:r>
            <w:r w:rsidRPr="00FD02F8">
              <w:rPr>
                <w:rFonts w:ascii="Arial" w:eastAsia="MS PGothic" w:hAnsi="Arial" w:cs="Arial"/>
                <w:b/>
                <w:bCs/>
                <w:color w:val="FFFFFF"/>
                <w:sz w:val="28"/>
                <w:szCs w:val="28"/>
              </w:rPr>
              <w:t xml:space="preserve"> commentary</w:t>
            </w:r>
          </w:p>
        </w:tc>
        <w:tc>
          <w:tcPr>
            <w:tcW w:w="500" w:type="pct"/>
            <w:shd w:val="clear" w:color="auto" w:fill="016574"/>
            <w:vAlign w:val="center"/>
          </w:tcPr>
          <w:p w14:paraId="59792D86" w14:textId="77777777" w:rsidR="00860FE4" w:rsidRPr="00FD02F8" w:rsidRDefault="00860FE4" w:rsidP="00221747">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ED15C4" w:rsidRPr="00FD02F8" w14:paraId="4589379A" w14:textId="77777777" w:rsidTr="004C18EC">
        <w:trPr>
          <w:cantSplit/>
          <w:trHeight w:val="865"/>
        </w:trPr>
        <w:tc>
          <w:tcPr>
            <w:tcW w:w="1325" w:type="pct"/>
            <w:vAlign w:val="center"/>
          </w:tcPr>
          <w:p w14:paraId="23A75101" w14:textId="6B2AE0FE" w:rsidR="00860FE4" w:rsidRPr="00FD02F8" w:rsidRDefault="00494A55" w:rsidP="004C18EC">
            <w:pPr>
              <w:rPr>
                <w:rFonts w:ascii="Arial" w:eastAsia="Times New Roman" w:hAnsi="Arial" w:cs="Arial"/>
                <w:b/>
                <w:color w:val="000000"/>
              </w:rPr>
            </w:pPr>
            <w:r w:rsidRPr="00FD02F8">
              <w:rPr>
                <w:rFonts w:ascii="Arial" w:hAnsi="Arial" w:cs="Arial"/>
                <w:b/>
                <w:color w:val="000000"/>
              </w:rPr>
              <w:t xml:space="preserve">KR 8.1: </w:t>
            </w:r>
            <w:r w:rsidRPr="00FD02F8">
              <w:rPr>
                <w:rFonts w:ascii="Arial" w:hAnsi="Arial" w:cs="Arial"/>
                <w:color w:val="000000"/>
              </w:rPr>
              <w:t xml:space="preserve">100% of landfill operators engaged through seminar and one to one engagement by 30 June 2025, to help prepare for compliance with </w:t>
            </w:r>
            <w:r w:rsidR="006F6D22" w:rsidRPr="00FD02F8">
              <w:rPr>
                <w:rFonts w:ascii="Arial" w:hAnsi="Arial" w:cs="Arial"/>
                <w:color w:val="000000"/>
              </w:rPr>
              <w:t>BMW</w:t>
            </w:r>
            <w:r w:rsidRPr="00FD02F8">
              <w:rPr>
                <w:rFonts w:ascii="Arial" w:hAnsi="Arial" w:cs="Arial"/>
                <w:color w:val="000000"/>
              </w:rPr>
              <w:t xml:space="preserve"> Landfill ban</w:t>
            </w:r>
          </w:p>
        </w:tc>
        <w:tc>
          <w:tcPr>
            <w:tcW w:w="284" w:type="pct"/>
            <w:vAlign w:val="center"/>
          </w:tcPr>
          <w:p w14:paraId="64DB63C2" w14:textId="4433B4DF" w:rsidR="00860FE4" w:rsidRPr="00FD02F8" w:rsidRDefault="00A674BC"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Q1</w:t>
            </w:r>
          </w:p>
        </w:tc>
        <w:tc>
          <w:tcPr>
            <w:tcW w:w="294" w:type="pct"/>
            <w:vAlign w:val="center"/>
          </w:tcPr>
          <w:p w14:paraId="4F8F05DB" w14:textId="70E19E74" w:rsidR="00860FE4" w:rsidRPr="00FD02F8" w:rsidRDefault="0091726E"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1</w:t>
            </w:r>
          </w:p>
        </w:tc>
        <w:tc>
          <w:tcPr>
            <w:tcW w:w="294" w:type="pct"/>
            <w:vAlign w:val="center"/>
          </w:tcPr>
          <w:p w14:paraId="3CE0907B" w14:textId="2D230C5C" w:rsidR="00860FE4" w:rsidRPr="00FD02F8" w:rsidRDefault="00730280" w:rsidP="00ED15C4">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1</w:t>
            </w:r>
          </w:p>
        </w:tc>
        <w:tc>
          <w:tcPr>
            <w:tcW w:w="294" w:type="pct"/>
            <w:vAlign w:val="center"/>
          </w:tcPr>
          <w:p w14:paraId="0E138412" w14:textId="4FDF1A01" w:rsidR="00860FE4" w:rsidRPr="00FD02F8" w:rsidRDefault="00263047"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1</w:t>
            </w:r>
          </w:p>
        </w:tc>
        <w:tc>
          <w:tcPr>
            <w:tcW w:w="294" w:type="pct"/>
            <w:vAlign w:val="center"/>
          </w:tcPr>
          <w:p w14:paraId="1DBE61A9" w14:textId="77777777" w:rsidR="00860FE4" w:rsidRPr="00FD02F8" w:rsidRDefault="00860FE4"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vAlign w:val="center"/>
          </w:tcPr>
          <w:p w14:paraId="2BB54FEF" w14:textId="778DCB27" w:rsidR="00860FE4" w:rsidRPr="00FD02F8" w:rsidRDefault="00281548" w:rsidP="00ED15C4">
            <w:pPr>
              <w:jc w:val="center"/>
              <w:textAlignment w:val="baseline"/>
              <w:rPr>
                <w:rFonts w:ascii="Arial" w:eastAsia="Times New Roman" w:hAnsi="Arial" w:cs="Arial"/>
                <w:szCs w:val="28"/>
                <w:lang w:eastAsia="en-GB"/>
              </w:rPr>
            </w:pPr>
            <w:r w:rsidRPr="00FD02F8">
              <w:rPr>
                <w:noProof/>
              </w:rPr>
              <w:drawing>
                <wp:inline distT="0" distB="0" distL="0" distR="0" wp14:anchorId="15B780D2" wp14:editId="3BD5B043">
                  <wp:extent cx="432000" cy="432000"/>
                  <wp:effectExtent l="0" t="0" r="0" b="0"/>
                  <wp:docPr id="1674609234"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73" w:type="pct"/>
            <w:vAlign w:val="center"/>
          </w:tcPr>
          <w:p w14:paraId="65C85EDC" w14:textId="730E4A96" w:rsidR="00860FE4" w:rsidRPr="00FD02F8" w:rsidRDefault="00263047" w:rsidP="003E4A62">
            <w:pPr>
              <w:textAlignment w:val="baseline"/>
              <w:rPr>
                <w:rFonts w:ascii="Arial" w:eastAsia="Times New Roman" w:hAnsi="Arial" w:cs="Arial"/>
                <w:b/>
                <w:bCs/>
                <w:lang w:eastAsia="en-GB"/>
              </w:rPr>
            </w:pPr>
            <w:r w:rsidRPr="00FD02F8">
              <w:rPr>
                <w:rFonts w:ascii="Arial" w:eastAsia="Times New Roman" w:hAnsi="Arial" w:cs="Arial"/>
                <w:b/>
                <w:bCs/>
                <w:lang w:eastAsia="en-GB"/>
              </w:rPr>
              <w:t>Key result d</w:t>
            </w:r>
            <w:r w:rsidR="00281548" w:rsidRPr="00FD02F8">
              <w:rPr>
                <w:rFonts w:ascii="Arial" w:eastAsia="Times New Roman" w:hAnsi="Arial" w:cs="Arial"/>
                <w:b/>
                <w:bCs/>
                <w:lang w:eastAsia="en-GB"/>
              </w:rPr>
              <w:t>elivered in Q1</w:t>
            </w:r>
            <w:r w:rsidR="003E4A62" w:rsidRPr="00FD02F8">
              <w:rPr>
                <w:rFonts w:ascii="Arial" w:eastAsia="Times New Roman" w:hAnsi="Arial" w:cs="Arial"/>
                <w:b/>
                <w:bCs/>
                <w:lang w:eastAsia="en-GB"/>
              </w:rPr>
              <w:t>.</w:t>
            </w:r>
          </w:p>
        </w:tc>
        <w:tc>
          <w:tcPr>
            <w:tcW w:w="500" w:type="pct"/>
            <w:vAlign w:val="center"/>
          </w:tcPr>
          <w:p w14:paraId="52EC125C" w14:textId="77777777" w:rsidR="00860FE4" w:rsidRPr="00FD02F8" w:rsidRDefault="00860FE4" w:rsidP="00ED15C4">
            <w:pPr>
              <w:jc w:val="center"/>
              <w:textAlignment w:val="baseline"/>
              <w:rPr>
                <w:rFonts w:ascii="Arial" w:eastAsia="Times New Roman" w:hAnsi="Arial" w:cs="Arial"/>
                <w:lang w:eastAsia="en-GB"/>
              </w:rPr>
            </w:pPr>
            <w:r w:rsidRPr="00FD02F8">
              <w:rPr>
                <w:rFonts w:ascii="Arial" w:eastAsia="Times New Roman" w:hAnsi="Arial" w:cs="Arial"/>
                <w:szCs w:val="28"/>
                <w:lang w:eastAsia="en-GB"/>
              </w:rPr>
              <w:t>Delivered</w:t>
            </w:r>
          </w:p>
        </w:tc>
      </w:tr>
      <w:tr w:rsidR="00ED15C4" w:rsidRPr="00FD02F8" w14:paraId="62AD40C1" w14:textId="77777777" w:rsidTr="004C18EC">
        <w:trPr>
          <w:cantSplit/>
          <w:trHeight w:val="16"/>
        </w:trPr>
        <w:tc>
          <w:tcPr>
            <w:tcW w:w="1325" w:type="pct"/>
            <w:vAlign w:val="center"/>
          </w:tcPr>
          <w:p w14:paraId="3C26E32A" w14:textId="4BE593A3" w:rsidR="00860FE4" w:rsidRPr="00FD02F8" w:rsidRDefault="00494A55" w:rsidP="004C18EC">
            <w:pPr>
              <w:rPr>
                <w:rFonts w:ascii="Arial" w:eastAsia="Times New Roman" w:hAnsi="Arial" w:cs="Arial"/>
                <w:b/>
                <w:color w:val="000000"/>
              </w:rPr>
            </w:pPr>
            <w:r w:rsidRPr="00FD02F8">
              <w:rPr>
                <w:rFonts w:ascii="Arial" w:hAnsi="Arial" w:cs="Arial"/>
                <w:b/>
                <w:color w:val="000000"/>
              </w:rPr>
              <w:lastRenderedPageBreak/>
              <w:t xml:space="preserve">KR 8.2: </w:t>
            </w:r>
            <w:r w:rsidRPr="00FD02F8">
              <w:rPr>
                <w:rFonts w:ascii="Arial" w:hAnsi="Arial" w:cs="Arial"/>
                <w:color w:val="000000"/>
              </w:rPr>
              <w:t>75% of landfill operators surveyed are satisfied with SEPA guidance and support by Aug</w:t>
            </w:r>
            <w:r w:rsidR="00ED15C4" w:rsidRPr="00FD02F8">
              <w:rPr>
                <w:rFonts w:ascii="Arial" w:hAnsi="Arial" w:cs="Arial"/>
                <w:color w:val="000000"/>
              </w:rPr>
              <w:t>ust</w:t>
            </w:r>
            <w:r w:rsidRPr="00FD02F8">
              <w:rPr>
                <w:rFonts w:ascii="Arial" w:hAnsi="Arial" w:cs="Arial"/>
                <w:color w:val="000000"/>
              </w:rPr>
              <w:t xml:space="preserve"> 2025 </w:t>
            </w:r>
          </w:p>
        </w:tc>
        <w:tc>
          <w:tcPr>
            <w:tcW w:w="284" w:type="pct"/>
            <w:vAlign w:val="center"/>
          </w:tcPr>
          <w:p w14:paraId="3AE5A264" w14:textId="5D6E066B" w:rsidR="00860FE4" w:rsidRPr="00FD02F8" w:rsidRDefault="00A674BC"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Q2</w:t>
            </w:r>
          </w:p>
        </w:tc>
        <w:tc>
          <w:tcPr>
            <w:tcW w:w="294" w:type="pct"/>
            <w:vAlign w:val="center"/>
          </w:tcPr>
          <w:p w14:paraId="1693B1E5" w14:textId="5C95836D" w:rsidR="00860FE4" w:rsidRPr="00FD02F8" w:rsidRDefault="0091726E"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vAlign w:val="center"/>
          </w:tcPr>
          <w:p w14:paraId="3B1C5052" w14:textId="2B56AA86" w:rsidR="00860FE4" w:rsidRPr="00FD02F8" w:rsidRDefault="00730280" w:rsidP="00ED15C4">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294" w:type="pct"/>
            <w:vAlign w:val="center"/>
          </w:tcPr>
          <w:p w14:paraId="4842211F" w14:textId="1E90368F" w:rsidR="00860FE4" w:rsidRPr="00FD02F8" w:rsidRDefault="0087639E"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vAlign w:val="center"/>
          </w:tcPr>
          <w:p w14:paraId="2BFD791B" w14:textId="77777777" w:rsidR="00860FE4" w:rsidRPr="00FD02F8" w:rsidRDefault="00860FE4"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vAlign w:val="center"/>
          </w:tcPr>
          <w:p w14:paraId="361BC84B" w14:textId="720E32DA" w:rsidR="00860FE4" w:rsidRPr="00FD02F8" w:rsidRDefault="00015D6A" w:rsidP="00ED15C4">
            <w:pPr>
              <w:jc w:val="center"/>
              <w:textAlignment w:val="baseline"/>
              <w:rPr>
                <w:rFonts w:ascii="Arial" w:hAnsi="Arial" w:cs="Arial"/>
                <w:b/>
              </w:rPr>
            </w:pPr>
            <w:r w:rsidRPr="00FD02F8">
              <w:rPr>
                <w:noProof/>
              </w:rPr>
              <w:drawing>
                <wp:anchor distT="0" distB="0" distL="114300" distR="114300" simplePos="0" relativeHeight="251662336" behindDoc="0" locked="0" layoutInCell="1" allowOverlap="1" wp14:anchorId="25C1D163" wp14:editId="00FEA24C">
                  <wp:simplePos x="0" y="0"/>
                  <wp:positionH relativeFrom="column">
                    <wp:posOffset>0</wp:posOffset>
                  </wp:positionH>
                  <wp:positionV relativeFrom="paragraph">
                    <wp:posOffset>-39370</wp:posOffset>
                  </wp:positionV>
                  <wp:extent cx="444500" cy="444500"/>
                  <wp:effectExtent l="0" t="0" r="0" b="0"/>
                  <wp:wrapNone/>
                  <wp:docPr id="1658997937"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3" w:type="pct"/>
            <w:vAlign w:val="center"/>
          </w:tcPr>
          <w:p w14:paraId="504225FB" w14:textId="287A564F" w:rsidR="00860FE4" w:rsidRPr="00FD02F8" w:rsidRDefault="009D78D6" w:rsidP="00ED15C4">
            <w:pPr>
              <w:rPr>
                <w:rFonts w:ascii="Arial" w:eastAsia="Times New Roman" w:hAnsi="Arial" w:cs="Arial"/>
                <w:color w:val="000000"/>
              </w:rPr>
            </w:pPr>
            <w:r w:rsidRPr="00FD02F8">
              <w:rPr>
                <w:rFonts w:ascii="Arial" w:eastAsia="Times New Roman" w:hAnsi="Arial" w:cs="Arial"/>
                <w:color w:val="000000"/>
              </w:rPr>
              <w:t xml:space="preserve">Proactive </w:t>
            </w:r>
            <w:r w:rsidR="00F37789" w:rsidRPr="00FD02F8">
              <w:rPr>
                <w:rFonts w:ascii="Arial" w:eastAsia="Times New Roman" w:hAnsi="Arial" w:cs="Arial"/>
                <w:color w:val="000000"/>
              </w:rPr>
              <w:t>engagement has continued; however, formal surveys have yet to be undertaken. During Q3</w:t>
            </w:r>
            <w:r w:rsidR="00581FF6" w:rsidRPr="00FD02F8">
              <w:rPr>
                <w:rFonts w:ascii="Arial" w:eastAsia="Times New Roman" w:hAnsi="Arial" w:cs="Arial"/>
                <w:color w:val="000000"/>
              </w:rPr>
              <w:t>,</w:t>
            </w:r>
            <w:r w:rsidR="00F37789" w:rsidRPr="00FD02F8">
              <w:rPr>
                <w:rFonts w:ascii="Arial" w:eastAsia="Times New Roman" w:hAnsi="Arial" w:cs="Arial"/>
                <w:color w:val="000000"/>
              </w:rPr>
              <w:t xml:space="preserve"> SEPA systems were put in place to support the temporary Regulatory Position Statement (tRPS) and enable operator compliance. As a result, of the late policy change the decision has been taken not to engage with operators </w:t>
            </w:r>
            <w:r w:rsidR="00F60E35" w:rsidRPr="00FD02F8">
              <w:rPr>
                <w:rFonts w:ascii="Arial" w:eastAsia="Times New Roman" w:hAnsi="Arial" w:cs="Arial"/>
                <w:color w:val="000000"/>
              </w:rPr>
              <w:t>/ active waste management sites</w:t>
            </w:r>
            <w:r w:rsidR="00F37789" w:rsidRPr="00FD02F8">
              <w:rPr>
                <w:rFonts w:ascii="Arial" w:eastAsia="Times New Roman" w:hAnsi="Arial" w:cs="Arial"/>
                <w:color w:val="000000"/>
              </w:rPr>
              <w:t xml:space="preserve"> until Q4 to assess satisfaction and awareness with both preparatory guidance prior to the tRPS being published and the revised process and accompanying guidance and support following the publication of the tRPS. We anticipate delivery by end of Q4</w:t>
            </w:r>
            <w:r w:rsidR="00F60E35" w:rsidRPr="00FD02F8">
              <w:rPr>
                <w:rFonts w:ascii="Arial" w:eastAsia="Times New Roman" w:hAnsi="Arial" w:cs="Arial"/>
                <w:color w:val="000000"/>
              </w:rPr>
              <w:t>.</w:t>
            </w:r>
          </w:p>
          <w:p w14:paraId="62DFA3A9" w14:textId="0D3CBC40" w:rsidR="000D4174" w:rsidRPr="00FD02F8" w:rsidRDefault="000D4174" w:rsidP="00ED15C4">
            <w:pPr>
              <w:rPr>
                <w:rFonts w:ascii="Arial" w:eastAsia="Times New Roman" w:hAnsi="Arial" w:cs="Arial"/>
                <w:b/>
                <w:bCs/>
                <w:color w:val="000000"/>
                <w:highlight w:val="yellow"/>
              </w:rPr>
            </w:pPr>
            <w:r w:rsidRPr="00FD02F8">
              <w:rPr>
                <w:rFonts w:ascii="Arial" w:eastAsia="Times New Roman" w:hAnsi="Arial" w:cs="Arial"/>
                <w:b/>
                <w:bCs/>
                <w:lang w:eastAsia="en-GB"/>
              </w:rPr>
              <w:t>Confidence in forecast</w:t>
            </w:r>
            <w:r w:rsidR="0078610B" w:rsidRPr="00FD02F8">
              <w:rPr>
                <w:rFonts w:ascii="Arial" w:eastAsia="Times New Roman" w:hAnsi="Arial" w:cs="Arial"/>
                <w:b/>
                <w:bCs/>
                <w:lang w:eastAsia="en-GB"/>
              </w:rPr>
              <w:t>: High</w:t>
            </w:r>
          </w:p>
        </w:tc>
        <w:tc>
          <w:tcPr>
            <w:tcW w:w="500" w:type="pct"/>
            <w:vAlign w:val="center"/>
          </w:tcPr>
          <w:p w14:paraId="61DC7CD1" w14:textId="44721D10" w:rsidR="00860FE4" w:rsidRPr="00FD02F8" w:rsidRDefault="00FA0F35" w:rsidP="00ED15C4">
            <w:pPr>
              <w:jc w:val="cente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D</w:t>
            </w:r>
            <w:r w:rsidR="00860FE4" w:rsidRPr="00FD02F8">
              <w:rPr>
                <w:rFonts w:ascii="Arial" w:eastAsia="Times New Roman" w:hAnsi="Arial" w:cs="Arial"/>
                <w:szCs w:val="28"/>
                <w:lang w:eastAsia="en-GB"/>
              </w:rPr>
              <w:t>elivered</w:t>
            </w:r>
          </w:p>
        </w:tc>
      </w:tr>
      <w:tr w:rsidR="00ED15C4" w:rsidRPr="00FD02F8" w14:paraId="5A0FEEF7" w14:textId="77777777" w:rsidTr="004C18EC">
        <w:trPr>
          <w:cantSplit/>
          <w:trHeight w:val="16"/>
        </w:trPr>
        <w:tc>
          <w:tcPr>
            <w:tcW w:w="1325" w:type="pct"/>
            <w:vAlign w:val="center"/>
          </w:tcPr>
          <w:p w14:paraId="2B9A1C5C" w14:textId="2507F2CD" w:rsidR="00860FE4" w:rsidRPr="00FD02F8" w:rsidRDefault="00494A55" w:rsidP="004C18EC">
            <w:pPr>
              <w:rPr>
                <w:rFonts w:ascii="Arial" w:eastAsia="Times New Roman" w:hAnsi="Arial" w:cs="Arial"/>
                <w:b/>
                <w:color w:val="000000"/>
              </w:rPr>
            </w:pPr>
            <w:r w:rsidRPr="00FD02F8">
              <w:rPr>
                <w:rFonts w:ascii="Arial" w:hAnsi="Arial" w:cs="Arial"/>
                <w:b/>
                <w:color w:val="000000"/>
              </w:rPr>
              <w:lastRenderedPageBreak/>
              <w:t xml:space="preserve">KR 8.3: </w:t>
            </w:r>
            <w:r w:rsidRPr="00FD02F8">
              <w:rPr>
                <w:rFonts w:ascii="Arial" w:hAnsi="Arial" w:cs="Arial"/>
                <w:color w:val="000000"/>
              </w:rPr>
              <w:t xml:space="preserve">Engage 100% of identified active waste management sites to raise awareness and help them prepare for compliance with </w:t>
            </w:r>
            <w:r w:rsidR="002C03C0" w:rsidRPr="00FD02F8">
              <w:rPr>
                <w:rFonts w:ascii="Arial" w:hAnsi="Arial" w:cs="Arial"/>
                <w:color w:val="000000"/>
              </w:rPr>
              <w:t>Biodegradable Municipal Waste (</w:t>
            </w:r>
            <w:r w:rsidR="00D57DBF" w:rsidRPr="00FD02F8">
              <w:rPr>
                <w:rFonts w:ascii="Arial" w:hAnsi="Arial" w:cs="Arial"/>
                <w:color w:val="000000"/>
              </w:rPr>
              <w:t>BMW</w:t>
            </w:r>
            <w:r w:rsidR="002C03C0" w:rsidRPr="00FD02F8">
              <w:rPr>
                <w:rFonts w:ascii="Arial" w:hAnsi="Arial" w:cs="Arial"/>
                <w:color w:val="000000"/>
              </w:rPr>
              <w:t>)</w:t>
            </w:r>
            <w:r w:rsidRPr="00FD02F8">
              <w:rPr>
                <w:rFonts w:ascii="Arial" w:hAnsi="Arial" w:cs="Arial"/>
                <w:color w:val="000000"/>
              </w:rPr>
              <w:t xml:space="preserve"> Landfill ban by 30 Sep 2025 </w:t>
            </w:r>
          </w:p>
        </w:tc>
        <w:tc>
          <w:tcPr>
            <w:tcW w:w="284" w:type="pct"/>
            <w:vAlign w:val="center"/>
          </w:tcPr>
          <w:p w14:paraId="523EACA5" w14:textId="4F9B156D" w:rsidR="00860FE4" w:rsidRPr="00FD02F8" w:rsidRDefault="00A674BC" w:rsidP="001231D4">
            <w:pPr>
              <w:jc w:val="center"/>
              <w:textAlignment w:val="baseline"/>
              <w:rPr>
                <w:rFonts w:ascii="Arial" w:eastAsia="Times New Roman" w:hAnsi="Arial" w:cs="Arial"/>
                <w:lang w:eastAsia="en-GB"/>
              </w:rPr>
            </w:pPr>
            <w:r w:rsidRPr="00FD02F8">
              <w:rPr>
                <w:rFonts w:ascii="Arial" w:eastAsia="Times New Roman" w:hAnsi="Arial" w:cs="Arial"/>
                <w:lang w:eastAsia="en-GB"/>
              </w:rPr>
              <w:t>Q2</w:t>
            </w:r>
          </w:p>
        </w:tc>
        <w:tc>
          <w:tcPr>
            <w:tcW w:w="294" w:type="pct"/>
            <w:vAlign w:val="center"/>
          </w:tcPr>
          <w:p w14:paraId="49720AC3" w14:textId="56A81DD9" w:rsidR="00860FE4" w:rsidRPr="00FD02F8" w:rsidRDefault="008E1F35" w:rsidP="00883AD1">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vAlign w:val="center"/>
          </w:tcPr>
          <w:p w14:paraId="3713A5FE" w14:textId="2F60ADDD" w:rsidR="00860FE4" w:rsidRPr="00FD02F8" w:rsidRDefault="00730280" w:rsidP="00ED15C4">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294" w:type="pct"/>
            <w:vAlign w:val="center"/>
          </w:tcPr>
          <w:p w14:paraId="07D3E23C" w14:textId="3C3E60C3" w:rsidR="00860FE4" w:rsidRPr="00FD02F8" w:rsidRDefault="00D36679"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vAlign w:val="center"/>
          </w:tcPr>
          <w:p w14:paraId="669ACCEB" w14:textId="77777777" w:rsidR="00860FE4" w:rsidRPr="00FD02F8" w:rsidRDefault="00860FE4"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vAlign w:val="center"/>
          </w:tcPr>
          <w:p w14:paraId="5BB44B41" w14:textId="7C7AA007" w:rsidR="00860FE4" w:rsidRPr="00FD02F8" w:rsidRDefault="00015D6A" w:rsidP="00ED15C4">
            <w:pPr>
              <w:jc w:val="center"/>
              <w:textAlignment w:val="baseline"/>
              <w:rPr>
                <w:rFonts w:ascii="Arial" w:hAnsi="Arial" w:cs="Arial"/>
                <w:b/>
              </w:rPr>
            </w:pPr>
            <w:r w:rsidRPr="00FD02F8">
              <w:rPr>
                <w:noProof/>
              </w:rPr>
              <w:drawing>
                <wp:anchor distT="0" distB="0" distL="114300" distR="114300" simplePos="0" relativeHeight="251663360" behindDoc="0" locked="0" layoutInCell="1" allowOverlap="1" wp14:anchorId="075A3956" wp14:editId="338190BB">
                  <wp:simplePos x="0" y="0"/>
                  <wp:positionH relativeFrom="column">
                    <wp:posOffset>0</wp:posOffset>
                  </wp:positionH>
                  <wp:positionV relativeFrom="paragraph">
                    <wp:posOffset>-99695</wp:posOffset>
                  </wp:positionV>
                  <wp:extent cx="444500" cy="444500"/>
                  <wp:effectExtent l="0" t="0" r="0" b="0"/>
                  <wp:wrapNone/>
                  <wp:docPr id="80910511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3" w:type="pct"/>
            <w:vAlign w:val="center"/>
          </w:tcPr>
          <w:p w14:paraId="694C713F" w14:textId="77777777" w:rsidR="00E15AE2" w:rsidRPr="00FD02F8" w:rsidRDefault="00AC0A4D" w:rsidP="005579D2">
            <w:pPr>
              <w:rPr>
                <w:rFonts w:ascii="Arial" w:eastAsia="Times New Roman" w:hAnsi="Arial" w:cs="Arial"/>
                <w:color w:val="000000"/>
              </w:rPr>
            </w:pPr>
            <w:r w:rsidRPr="00FD02F8">
              <w:rPr>
                <w:rFonts w:ascii="Arial" w:eastAsia="Times New Roman" w:hAnsi="Arial" w:cs="Arial"/>
                <w:color w:val="000000"/>
              </w:rPr>
              <w:t xml:space="preserve">Please refer to </w:t>
            </w:r>
            <w:r w:rsidR="00416ACC" w:rsidRPr="00FD02F8">
              <w:rPr>
                <w:rFonts w:ascii="Arial" w:eastAsia="Times New Roman" w:hAnsi="Arial" w:cs="Arial"/>
                <w:color w:val="000000"/>
              </w:rPr>
              <w:t>the update for KR 8.2 above.</w:t>
            </w:r>
          </w:p>
          <w:p w14:paraId="2EB7EE6E" w14:textId="34A177CC" w:rsidR="00A55D14" w:rsidRPr="00FD02F8" w:rsidRDefault="00A55D14" w:rsidP="005579D2">
            <w:pPr>
              <w:rPr>
                <w:rFonts w:ascii="Arial" w:eastAsia="Times New Roman" w:hAnsi="Arial" w:cs="Arial"/>
                <w:color w:val="000000"/>
              </w:rPr>
            </w:pPr>
            <w:r w:rsidRPr="00FD02F8">
              <w:rPr>
                <w:rFonts w:ascii="Arial" w:eastAsia="Times New Roman" w:hAnsi="Arial" w:cs="Arial"/>
                <w:b/>
                <w:bCs/>
                <w:lang w:eastAsia="en-GB"/>
              </w:rPr>
              <w:t>Confidence in forecast: High</w:t>
            </w:r>
          </w:p>
        </w:tc>
        <w:tc>
          <w:tcPr>
            <w:tcW w:w="500" w:type="pct"/>
            <w:vAlign w:val="center"/>
          </w:tcPr>
          <w:p w14:paraId="6142C86D" w14:textId="77777777" w:rsidR="00860FE4" w:rsidRPr="00FD02F8" w:rsidRDefault="00860FE4" w:rsidP="00ED15C4">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Delivered</w:t>
            </w:r>
          </w:p>
        </w:tc>
      </w:tr>
      <w:tr w:rsidR="00ED15C4" w:rsidRPr="00FD02F8" w14:paraId="410BDC03" w14:textId="77777777" w:rsidTr="004C18EC">
        <w:trPr>
          <w:cantSplit/>
          <w:trHeight w:val="16"/>
        </w:trPr>
        <w:tc>
          <w:tcPr>
            <w:tcW w:w="1325" w:type="pct"/>
            <w:vAlign w:val="center"/>
          </w:tcPr>
          <w:p w14:paraId="1804432A" w14:textId="22ED9FFA" w:rsidR="00A86383" w:rsidRPr="00FD02F8" w:rsidRDefault="00A86383" w:rsidP="004C18EC">
            <w:pPr>
              <w:rPr>
                <w:rFonts w:ascii="Arial" w:eastAsia="Times New Roman" w:hAnsi="Arial" w:cs="Arial"/>
                <w:b/>
                <w:color w:val="000000"/>
              </w:rPr>
            </w:pPr>
            <w:r w:rsidRPr="00FD02F8">
              <w:rPr>
                <w:rFonts w:ascii="Arial" w:hAnsi="Arial" w:cs="Arial"/>
                <w:b/>
                <w:color w:val="000000"/>
              </w:rPr>
              <w:t xml:space="preserve">KR 8.4: </w:t>
            </w:r>
            <w:r w:rsidRPr="00FD02F8">
              <w:rPr>
                <w:rFonts w:ascii="Arial" w:hAnsi="Arial" w:cs="Arial"/>
                <w:color w:val="000000"/>
              </w:rPr>
              <w:t xml:space="preserve">75% of active waste management sites surveyed are satisfied with SEPA guidance and support by Aug 2025 </w:t>
            </w:r>
          </w:p>
        </w:tc>
        <w:tc>
          <w:tcPr>
            <w:tcW w:w="284" w:type="pct"/>
            <w:vAlign w:val="center"/>
          </w:tcPr>
          <w:p w14:paraId="7691543B" w14:textId="46A33249" w:rsidR="00A86383" w:rsidRPr="00FD02F8" w:rsidRDefault="00A8638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Q3</w:t>
            </w:r>
          </w:p>
        </w:tc>
        <w:tc>
          <w:tcPr>
            <w:tcW w:w="294" w:type="pct"/>
            <w:vAlign w:val="center"/>
          </w:tcPr>
          <w:p w14:paraId="4059618E" w14:textId="18625747" w:rsidR="00A86383" w:rsidRPr="00FD02F8" w:rsidRDefault="00A8638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N/A</w:t>
            </w:r>
          </w:p>
        </w:tc>
        <w:tc>
          <w:tcPr>
            <w:tcW w:w="294" w:type="pct"/>
            <w:vAlign w:val="center"/>
          </w:tcPr>
          <w:p w14:paraId="400063D2" w14:textId="30B8ACBF" w:rsidR="00A86383" w:rsidRPr="00FD02F8" w:rsidRDefault="00730280" w:rsidP="00ED15C4">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N/A</w:t>
            </w:r>
          </w:p>
        </w:tc>
        <w:tc>
          <w:tcPr>
            <w:tcW w:w="294" w:type="pct"/>
            <w:vAlign w:val="center"/>
          </w:tcPr>
          <w:p w14:paraId="6A0243F5" w14:textId="43472FB2" w:rsidR="00A86383" w:rsidRPr="00FD02F8" w:rsidRDefault="001231D4"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vAlign w:val="center"/>
          </w:tcPr>
          <w:p w14:paraId="73F5F195" w14:textId="7ED14B34" w:rsidR="00A86383" w:rsidRPr="00FD02F8" w:rsidRDefault="00A8638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vAlign w:val="center"/>
          </w:tcPr>
          <w:p w14:paraId="3D41CA54" w14:textId="55AA6B61" w:rsidR="00A86383" w:rsidRPr="00FD02F8" w:rsidRDefault="001231D4" w:rsidP="00ED15C4">
            <w:pPr>
              <w:jc w:val="center"/>
              <w:textAlignment w:val="baseline"/>
              <w:rPr>
                <w:rFonts w:ascii="Arial" w:hAnsi="Arial" w:cs="Arial"/>
                <w:b/>
              </w:rPr>
            </w:pPr>
            <w:r w:rsidRPr="00FD02F8">
              <w:rPr>
                <w:noProof/>
              </w:rPr>
              <w:drawing>
                <wp:anchor distT="0" distB="0" distL="114300" distR="114300" simplePos="0" relativeHeight="251664384" behindDoc="0" locked="0" layoutInCell="1" allowOverlap="1" wp14:anchorId="05E63AF7" wp14:editId="15C18437">
                  <wp:simplePos x="0" y="0"/>
                  <wp:positionH relativeFrom="column">
                    <wp:posOffset>0</wp:posOffset>
                  </wp:positionH>
                  <wp:positionV relativeFrom="paragraph">
                    <wp:posOffset>-62230</wp:posOffset>
                  </wp:positionV>
                  <wp:extent cx="444500" cy="444500"/>
                  <wp:effectExtent l="0" t="0" r="0" b="0"/>
                  <wp:wrapNone/>
                  <wp:docPr id="1582456252"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3" w:type="pct"/>
            <w:vAlign w:val="center"/>
          </w:tcPr>
          <w:p w14:paraId="5B80D57A" w14:textId="77777777" w:rsidR="00A55D14" w:rsidRPr="00FD02F8" w:rsidRDefault="00A55D14" w:rsidP="00A55D14">
            <w:pPr>
              <w:rPr>
                <w:rFonts w:ascii="Arial" w:eastAsia="Times New Roman" w:hAnsi="Arial" w:cs="Arial"/>
                <w:color w:val="000000"/>
              </w:rPr>
            </w:pPr>
            <w:r w:rsidRPr="00FD02F8">
              <w:rPr>
                <w:rFonts w:ascii="Arial" w:eastAsia="Times New Roman" w:hAnsi="Arial" w:cs="Arial"/>
                <w:color w:val="000000"/>
              </w:rPr>
              <w:t>Please refer to the update for KR 8.2 above.</w:t>
            </w:r>
          </w:p>
          <w:p w14:paraId="1FFBD342" w14:textId="788AA03A" w:rsidR="00F26E8C" w:rsidRPr="00FD02F8" w:rsidRDefault="00A55D14" w:rsidP="00A55D14">
            <w:pPr>
              <w:rPr>
                <w:rFonts w:ascii="Arial" w:eastAsia="Times New Roman" w:hAnsi="Arial" w:cs="Arial"/>
                <w:b/>
                <w:bCs/>
                <w:highlight w:val="yellow"/>
                <w:lang w:eastAsia="en-GB"/>
              </w:rPr>
            </w:pPr>
            <w:r w:rsidRPr="00FD02F8">
              <w:rPr>
                <w:rFonts w:ascii="Arial" w:eastAsia="Times New Roman" w:hAnsi="Arial" w:cs="Arial"/>
                <w:b/>
                <w:bCs/>
                <w:lang w:eastAsia="en-GB"/>
              </w:rPr>
              <w:t>Confidence in forecast: High</w:t>
            </w:r>
          </w:p>
        </w:tc>
        <w:tc>
          <w:tcPr>
            <w:tcW w:w="500" w:type="pct"/>
            <w:vAlign w:val="center"/>
          </w:tcPr>
          <w:p w14:paraId="1AE43D2E" w14:textId="576B084D" w:rsidR="00A86383" w:rsidRPr="00FD02F8" w:rsidRDefault="007954F8" w:rsidP="00ED15C4">
            <w:pPr>
              <w:jc w:val="cente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Delivered</w:t>
            </w:r>
          </w:p>
        </w:tc>
      </w:tr>
      <w:tr w:rsidR="00ED15C4" w:rsidRPr="00FD02F8" w14:paraId="48C0A687" w14:textId="77777777" w:rsidTr="004C18EC">
        <w:trPr>
          <w:cantSplit/>
          <w:trHeight w:val="16"/>
        </w:trPr>
        <w:tc>
          <w:tcPr>
            <w:tcW w:w="1325" w:type="pct"/>
            <w:vAlign w:val="center"/>
          </w:tcPr>
          <w:p w14:paraId="5AD51403" w14:textId="15B8D43F" w:rsidR="00A86383" w:rsidRPr="00FD02F8" w:rsidRDefault="00A86383" w:rsidP="004C18EC">
            <w:pPr>
              <w:rPr>
                <w:rFonts w:ascii="Arial" w:eastAsia="Times New Roman" w:hAnsi="Arial" w:cs="Arial"/>
                <w:b/>
                <w:color w:val="000000"/>
              </w:rPr>
            </w:pPr>
            <w:r w:rsidRPr="00FD02F8">
              <w:rPr>
                <w:rFonts w:ascii="Arial" w:hAnsi="Arial" w:cs="Arial"/>
                <w:b/>
                <w:color w:val="000000"/>
              </w:rPr>
              <w:t xml:space="preserve">KR 8.5: </w:t>
            </w:r>
            <w:r w:rsidRPr="00FD02F8">
              <w:rPr>
                <w:rFonts w:ascii="Arial" w:hAnsi="Arial" w:cs="Arial"/>
                <w:color w:val="000000"/>
              </w:rPr>
              <w:t xml:space="preserve">100% of surveyed SEPA waste regulation colleagues are aware of the ban and compliance requirements by Dec 2025 </w:t>
            </w:r>
          </w:p>
        </w:tc>
        <w:tc>
          <w:tcPr>
            <w:tcW w:w="284" w:type="pct"/>
            <w:vAlign w:val="center"/>
          </w:tcPr>
          <w:p w14:paraId="3B6DAFA6" w14:textId="62989DE0" w:rsidR="00A86383" w:rsidRPr="00FD02F8" w:rsidRDefault="00A8638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Q3</w:t>
            </w:r>
          </w:p>
        </w:tc>
        <w:tc>
          <w:tcPr>
            <w:tcW w:w="294" w:type="pct"/>
            <w:vAlign w:val="center"/>
          </w:tcPr>
          <w:p w14:paraId="79F8571B" w14:textId="35807294" w:rsidR="00A86383" w:rsidRPr="00FD02F8" w:rsidRDefault="00A8638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N/A</w:t>
            </w:r>
          </w:p>
        </w:tc>
        <w:tc>
          <w:tcPr>
            <w:tcW w:w="294" w:type="pct"/>
            <w:vAlign w:val="center"/>
          </w:tcPr>
          <w:p w14:paraId="4732A4EA" w14:textId="0C8AAA15" w:rsidR="00A86383" w:rsidRPr="00FD02F8" w:rsidRDefault="00730280" w:rsidP="00ED15C4">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N/A</w:t>
            </w:r>
          </w:p>
        </w:tc>
        <w:tc>
          <w:tcPr>
            <w:tcW w:w="294" w:type="pct"/>
            <w:vAlign w:val="center"/>
          </w:tcPr>
          <w:p w14:paraId="7CED7374" w14:textId="55FE9C4C" w:rsidR="00A86383" w:rsidRPr="00FD02F8" w:rsidRDefault="001231D4"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vAlign w:val="center"/>
          </w:tcPr>
          <w:p w14:paraId="3C733029" w14:textId="4808507C" w:rsidR="00A86383" w:rsidRPr="00FD02F8" w:rsidRDefault="00A86383" w:rsidP="00ED15C4">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vAlign w:val="center"/>
          </w:tcPr>
          <w:p w14:paraId="2A0B7B06" w14:textId="475FEBFD" w:rsidR="00A86383" w:rsidRPr="00FD02F8" w:rsidRDefault="001231D4" w:rsidP="00ED15C4">
            <w:pPr>
              <w:jc w:val="center"/>
              <w:textAlignment w:val="baseline"/>
              <w:rPr>
                <w:rFonts w:ascii="Arial" w:hAnsi="Arial" w:cs="Arial"/>
                <w:b/>
              </w:rPr>
            </w:pPr>
            <w:r w:rsidRPr="00FD02F8">
              <w:rPr>
                <w:noProof/>
              </w:rPr>
              <w:drawing>
                <wp:anchor distT="0" distB="0" distL="114300" distR="114300" simplePos="0" relativeHeight="251665408" behindDoc="0" locked="0" layoutInCell="1" allowOverlap="1" wp14:anchorId="45ED3601" wp14:editId="22D1A638">
                  <wp:simplePos x="0" y="0"/>
                  <wp:positionH relativeFrom="column">
                    <wp:posOffset>3810</wp:posOffset>
                  </wp:positionH>
                  <wp:positionV relativeFrom="paragraph">
                    <wp:posOffset>-186055</wp:posOffset>
                  </wp:positionV>
                  <wp:extent cx="444500" cy="444500"/>
                  <wp:effectExtent l="0" t="0" r="0" b="0"/>
                  <wp:wrapNone/>
                  <wp:docPr id="1319661937"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3" w:type="pct"/>
            <w:vAlign w:val="center"/>
          </w:tcPr>
          <w:p w14:paraId="7931DB63" w14:textId="77777777" w:rsidR="00A55D14" w:rsidRPr="00FD02F8" w:rsidRDefault="00A55D14" w:rsidP="00A55D14">
            <w:pPr>
              <w:rPr>
                <w:rFonts w:ascii="Arial" w:eastAsia="Times New Roman" w:hAnsi="Arial" w:cs="Arial"/>
                <w:color w:val="000000"/>
              </w:rPr>
            </w:pPr>
            <w:r w:rsidRPr="00FD02F8">
              <w:rPr>
                <w:rFonts w:ascii="Arial" w:eastAsia="Times New Roman" w:hAnsi="Arial" w:cs="Arial"/>
                <w:color w:val="000000"/>
              </w:rPr>
              <w:t>Please refer to the update for KR 8.2 above.</w:t>
            </w:r>
          </w:p>
          <w:p w14:paraId="157B5EC3" w14:textId="08BA4ACC" w:rsidR="00E91CA3" w:rsidRPr="00FD02F8" w:rsidRDefault="00A55D14" w:rsidP="00A55D14">
            <w:pPr>
              <w:rPr>
                <w:rFonts w:ascii="Arial" w:eastAsia="Times New Roman" w:hAnsi="Arial" w:cs="Arial"/>
                <w:b/>
                <w:bCs/>
                <w:highlight w:val="yellow"/>
                <w:lang w:eastAsia="en-GB"/>
              </w:rPr>
            </w:pPr>
            <w:r w:rsidRPr="00FD02F8">
              <w:rPr>
                <w:rFonts w:ascii="Arial" w:eastAsia="Times New Roman" w:hAnsi="Arial" w:cs="Arial"/>
                <w:b/>
                <w:bCs/>
                <w:lang w:eastAsia="en-GB"/>
              </w:rPr>
              <w:t>Confidence in forecast: High</w:t>
            </w:r>
          </w:p>
        </w:tc>
        <w:tc>
          <w:tcPr>
            <w:tcW w:w="500" w:type="pct"/>
            <w:vAlign w:val="center"/>
          </w:tcPr>
          <w:p w14:paraId="38EF208D" w14:textId="0FAF526A" w:rsidR="00A86383" w:rsidRPr="00FD02F8" w:rsidRDefault="007954F8" w:rsidP="00ED15C4">
            <w:pPr>
              <w:jc w:val="center"/>
              <w:textAlignment w:val="baseline"/>
              <w:rPr>
                <w:rFonts w:ascii="Arial" w:eastAsia="Times New Roman" w:hAnsi="Arial" w:cs="Arial"/>
                <w:szCs w:val="28"/>
                <w:highlight w:val="yellow"/>
                <w:lang w:eastAsia="en-GB"/>
              </w:rPr>
            </w:pPr>
            <w:r w:rsidRPr="00FD02F8">
              <w:rPr>
                <w:rFonts w:ascii="Arial" w:eastAsia="Times New Roman" w:hAnsi="Arial" w:cs="Arial"/>
                <w:szCs w:val="28"/>
                <w:lang w:eastAsia="en-GB"/>
              </w:rPr>
              <w:t>Delivered</w:t>
            </w:r>
          </w:p>
        </w:tc>
      </w:tr>
    </w:tbl>
    <w:p w14:paraId="268587FA" w14:textId="3256F06E" w:rsidR="000111F4" w:rsidRPr="00FD02F8" w:rsidRDefault="000111F4" w:rsidP="000111F4">
      <w:pPr>
        <w:spacing w:before="240"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r w:rsidR="008948B4" w:rsidRPr="00FD02F8">
        <w:rPr>
          <w:sz w:val="28"/>
          <w:szCs w:val="28"/>
        </w:rPr>
        <w:t>0.2</w:t>
      </w:r>
    </w:p>
    <w:p w14:paraId="6EBA62E8" w14:textId="487DF020" w:rsidR="00FD4635" w:rsidRPr="00FD02F8" w:rsidRDefault="00680386" w:rsidP="00680386">
      <w:pPr>
        <w:pStyle w:val="Heading3"/>
        <w:spacing w:before="240" w:after="120"/>
        <w:rPr>
          <w:color w:val="016574"/>
          <w:sz w:val="32"/>
          <w:szCs w:val="28"/>
        </w:rPr>
      </w:pPr>
      <w:r w:rsidRPr="00FD02F8">
        <w:rPr>
          <w:color w:val="016574"/>
          <w:sz w:val="32"/>
          <w:szCs w:val="28"/>
        </w:rPr>
        <w:lastRenderedPageBreak/>
        <w:t>BEP</w:t>
      </w:r>
      <w:r w:rsidR="00FD4635" w:rsidRPr="00FD02F8">
        <w:rPr>
          <w:color w:val="016574"/>
          <w:sz w:val="32"/>
          <w:szCs w:val="28"/>
        </w:rPr>
        <w:t xml:space="preserve"> OKR</w:t>
      </w:r>
      <w:r w:rsidR="00A4381A" w:rsidRPr="00FD02F8">
        <w:rPr>
          <w:color w:val="016574"/>
          <w:sz w:val="32"/>
          <w:szCs w:val="28"/>
        </w:rPr>
        <w:t>9</w:t>
      </w:r>
      <w:r w:rsidR="00FD4635" w:rsidRPr="00FD02F8">
        <w:rPr>
          <w:color w:val="016574"/>
          <w:sz w:val="32"/>
          <w:szCs w:val="28"/>
        </w:rPr>
        <w:t xml:space="preserve">: </w:t>
      </w:r>
      <w:r w:rsidR="00A4381A" w:rsidRPr="00FD02F8">
        <w:rPr>
          <w:color w:val="016574"/>
          <w:sz w:val="32"/>
          <w:szCs w:val="28"/>
        </w:rPr>
        <w:t>Tackle environmental crime using interventions approach.</w:t>
      </w:r>
    </w:p>
    <w:p w14:paraId="18AF363A" w14:textId="17AAB2F4" w:rsidR="0060780B" w:rsidRPr="00FD02F8" w:rsidRDefault="006B60A6" w:rsidP="00FD4635">
      <w:pPr>
        <w:rPr>
          <w:b/>
          <w:bCs/>
          <w:color w:val="3C4741" w:themeColor="text1"/>
          <w:sz w:val="28"/>
          <w:szCs w:val="28"/>
        </w:rPr>
      </w:pPr>
      <w:r w:rsidRPr="00FD02F8">
        <w:rPr>
          <w:noProof/>
        </w:rPr>
        <w:drawing>
          <wp:inline distT="0" distB="0" distL="0" distR="0" wp14:anchorId="605FD2BE" wp14:editId="7F4DDC6F">
            <wp:extent cx="9433711" cy="2788285"/>
            <wp:effectExtent l="0" t="0" r="15240" b="12065"/>
            <wp:docPr id="579524484" name="Chart 1" descr="This is a bar graph which shows the score of each key result for OKR09 over each quarter. &#10;There is a line on the score scale of 0.7 to represent whether the KR is being delivered. There is another line on the score scale of 0.3 to represent whether measurable progress has been made in the quarter.&#10;For Q1, KR9.1 and KR9.4 had no score as these will be progressed later in the year.&#10;KR9.2 scored 0.06. &#10;KR9.3 scored 0.2.&#10;&#10;For Q2, KR9.1, KR9.2 and KR9.3 scored 1. KR9.4 has no score as this will be progressed later in the year.&#10;&#10;For Q3, Targets for 9.2 and 9.3 were increased.&#10;KR9.1 and KR9.3 scored 1. KR9.2 scored 0.74 and KR9.4 has no score as this will be progressed later in the year.">
              <a:extLst xmlns:a="http://schemas.openxmlformats.org/drawingml/2006/main">
                <a:ext uri="{FF2B5EF4-FFF2-40B4-BE49-F238E27FC236}">
                  <a16:creationId xmlns:a16="http://schemas.microsoft.com/office/drawing/2014/main" id="{17634D45-BBFD-46F0-9B59-D4ECED44F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9 key result summary"/>
        <w:tblDescription w:val="Quarterly summary for each of the four key results under OKR9. This includes the date due, Q3 score, Q3 status, Q3 commentary and annual forecast for each key result."/>
      </w:tblPr>
      <w:tblGrid>
        <w:gridCol w:w="3869"/>
        <w:gridCol w:w="767"/>
        <w:gridCol w:w="924"/>
        <w:gridCol w:w="924"/>
        <w:gridCol w:w="924"/>
        <w:gridCol w:w="924"/>
        <w:gridCol w:w="1020"/>
        <w:gridCol w:w="3967"/>
        <w:gridCol w:w="1639"/>
      </w:tblGrid>
      <w:tr w:rsidR="00B57DD6" w:rsidRPr="00FD02F8" w14:paraId="5BDB6AA9" w14:textId="77777777" w:rsidTr="001E5DA3">
        <w:trPr>
          <w:cantSplit/>
          <w:trHeight w:val="509"/>
          <w:tblHeader/>
        </w:trPr>
        <w:tc>
          <w:tcPr>
            <w:tcW w:w="1293" w:type="pct"/>
            <w:shd w:val="clear" w:color="auto" w:fill="016574" w:themeFill="accent2"/>
          </w:tcPr>
          <w:p w14:paraId="7F714A19" w14:textId="77777777" w:rsidR="00FD4635" w:rsidRPr="00FD02F8" w:rsidRDefault="00FD4635">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t>Key Results</w:t>
            </w:r>
          </w:p>
        </w:tc>
        <w:tc>
          <w:tcPr>
            <w:tcW w:w="256" w:type="pct"/>
            <w:shd w:val="clear" w:color="auto" w:fill="016574" w:themeFill="accent2"/>
          </w:tcPr>
          <w:p w14:paraId="3834AFF9" w14:textId="77777777" w:rsidR="00FD4635" w:rsidRPr="00FD02F8" w:rsidRDefault="00FD4635">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09" w:type="pct"/>
            <w:shd w:val="clear" w:color="auto" w:fill="016574" w:themeFill="accent2"/>
          </w:tcPr>
          <w:p w14:paraId="584FA5EB" w14:textId="77777777" w:rsidR="00FD4635" w:rsidRPr="00FD02F8" w:rsidRDefault="00FD4635">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9" w:type="pct"/>
            <w:shd w:val="clear" w:color="auto" w:fill="016574" w:themeFill="accent2"/>
          </w:tcPr>
          <w:p w14:paraId="029D06A3" w14:textId="77777777" w:rsidR="00FD4635" w:rsidRPr="00FD02F8" w:rsidRDefault="00FD4635">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9" w:type="pct"/>
            <w:shd w:val="clear" w:color="auto" w:fill="016574" w:themeFill="accent2"/>
          </w:tcPr>
          <w:p w14:paraId="5D143BA8" w14:textId="77777777" w:rsidR="00FD4635" w:rsidRPr="00FD02F8" w:rsidRDefault="00FD4635">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9" w:type="pct"/>
            <w:shd w:val="clear" w:color="auto" w:fill="016574" w:themeFill="accent2"/>
          </w:tcPr>
          <w:p w14:paraId="6C418ED2" w14:textId="77777777" w:rsidR="00FD4635" w:rsidRPr="00FD02F8" w:rsidRDefault="00FD4635">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41" w:type="pct"/>
            <w:shd w:val="clear" w:color="auto" w:fill="016574" w:themeFill="accent2"/>
          </w:tcPr>
          <w:p w14:paraId="2A11099F" w14:textId="0322E4C8" w:rsidR="00FD4635" w:rsidRPr="00FD02F8" w:rsidRDefault="00FD4635">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654E2" w:rsidRPr="00FD02F8">
              <w:rPr>
                <w:rFonts w:ascii="Arial" w:eastAsia="MS PGothic" w:hAnsi="Arial" w:cs="Arial"/>
                <w:b/>
                <w:bCs/>
                <w:color w:val="FFFFFF"/>
              </w:rPr>
              <w:t>2</w:t>
            </w:r>
            <w:r w:rsidRPr="00FD02F8">
              <w:rPr>
                <w:rFonts w:ascii="Arial" w:eastAsia="MS PGothic" w:hAnsi="Arial" w:cs="Arial"/>
                <w:b/>
                <w:bCs/>
                <w:color w:val="FFFFFF"/>
              </w:rPr>
              <w:t xml:space="preserve"> Status</w:t>
            </w:r>
          </w:p>
        </w:tc>
        <w:tc>
          <w:tcPr>
            <w:tcW w:w="1326" w:type="pct"/>
            <w:shd w:val="clear" w:color="auto" w:fill="016574" w:themeFill="accent2"/>
          </w:tcPr>
          <w:p w14:paraId="6AAAF200" w14:textId="2349703C" w:rsidR="00FD4635" w:rsidRPr="00FD02F8" w:rsidRDefault="00FD4635">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654E2" w:rsidRPr="00FD02F8">
              <w:rPr>
                <w:rFonts w:ascii="Arial" w:eastAsia="MS PGothic" w:hAnsi="Arial" w:cs="Arial"/>
                <w:b/>
                <w:bCs/>
                <w:color w:val="FFFFFF"/>
                <w:sz w:val="28"/>
                <w:szCs w:val="28"/>
              </w:rPr>
              <w:t>2</w:t>
            </w:r>
            <w:r w:rsidRPr="00FD02F8">
              <w:rPr>
                <w:rFonts w:ascii="Arial" w:eastAsia="MS PGothic" w:hAnsi="Arial" w:cs="Arial"/>
                <w:b/>
                <w:bCs/>
                <w:color w:val="FFFFFF"/>
                <w:sz w:val="28"/>
                <w:szCs w:val="28"/>
              </w:rPr>
              <w:t xml:space="preserve"> commentary</w:t>
            </w:r>
          </w:p>
        </w:tc>
        <w:tc>
          <w:tcPr>
            <w:tcW w:w="548" w:type="pct"/>
            <w:shd w:val="clear" w:color="auto" w:fill="016574" w:themeFill="accent2"/>
          </w:tcPr>
          <w:p w14:paraId="3B12D0A7" w14:textId="77777777" w:rsidR="00FD4635" w:rsidRPr="00FD02F8" w:rsidRDefault="00FD4635">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B57DD6" w:rsidRPr="00FD02F8" w14:paraId="108D71C6" w14:textId="77777777" w:rsidTr="001E5DA3">
        <w:tblPrEx>
          <w:tblCellMar>
            <w:left w:w="108" w:type="dxa"/>
            <w:right w:w="108" w:type="dxa"/>
          </w:tblCellMar>
        </w:tblPrEx>
        <w:trPr>
          <w:cantSplit/>
          <w:trHeight w:val="865"/>
        </w:trPr>
        <w:tc>
          <w:tcPr>
            <w:tcW w:w="1293" w:type="pct"/>
          </w:tcPr>
          <w:p w14:paraId="0B97C6FD" w14:textId="7F6E0EA9" w:rsidR="00FD4635" w:rsidRPr="00FD02F8" w:rsidRDefault="003D2594" w:rsidP="00221747">
            <w:pPr>
              <w:rPr>
                <w:rFonts w:eastAsia="Times New Roman" w:cstheme="minorHAnsi"/>
                <w:b/>
                <w:color w:val="000000"/>
              </w:rPr>
            </w:pPr>
            <w:r w:rsidRPr="00FD02F8">
              <w:rPr>
                <w:rFonts w:cstheme="minorHAnsi"/>
                <w:b/>
                <w:color w:val="000000"/>
              </w:rPr>
              <w:t xml:space="preserve">KR 9.1: </w:t>
            </w:r>
            <w:r w:rsidRPr="00FD02F8">
              <w:rPr>
                <w:rFonts w:cstheme="minorHAnsi"/>
                <w:color w:val="000000"/>
              </w:rPr>
              <w:t xml:space="preserve">Complete an interventions framework to enhance our current SEPA toolkit and improve partnership working. </w:t>
            </w:r>
          </w:p>
        </w:tc>
        <w:tc>
          <w:tcPr>
            <w:tcW w:w="256" w:type="pct"/>
            <w:vAlign w:val="center"/>
          </w:tcPr>
          <w:p w14:paraId="58B99979" w14:textId="176B8148" w:rsidR="00FD4635" w:rsidRPr="00FD02F8" w:rsidRDefault="003525C4" w:rsidP="00221747">
            <w:pPr>
              <w:jc w:val="center"/>
              <w:rPr>
                <w:rFonts w:eastAsia="Times New Roman" w:cstheme="minorHAnsi"/>
                <w:b/>
                <w:color w:val="000000"/>
              </w:rPr>
            </w:pPr>
            <w:r w:rsidRPr="00FD02F8">
              <w:rPr>
                <w:rFonts w:cstheme="minorHAnsi"/>
                <w:b/>
                <w:color w:val="000000"/>
              </w:rPr>
              <w:t>Q</w:t>
            </w:r>
            <w:r w:rsidR="006555FF" w:rsidRPr="00FD02F8">
              <w:rPr>
                <w:rFonts w:cstheme="minorHAnsi"/>
                <w:b/>
                <w:color w:val="000000"/>
              </w:rPr>
              <w:t>2</w:t>
            </w:r>
          </w:p>
        </w:tc>
        <w:tc>
          <w:tcPr>
            <w:tcW w:w="309" w:type="pct"/>
            <w:vAlign w:val="center"/>
          </w:tcPr>
          <w:p w14:paraId="63418E52" w14:textId="7A751DF6" w:rsidR="00FD4635" w:rsidRPr="00FD02F8" w:rsidRDefault="00656212" w:rsidP="00221747">
            <w:pPr>
              <w:jc w:val="center"/>
              <w:textAlignment w:val="baseline"/>
              <w:rPr>
                <w:rFonts w:eastAsia="Times New Roman" w:cstheme="minorHAnsi"/>
                <w:lang w:eastAsia="en-GB"/>
              </w:rPr>
            </w:pPr>
            <w:r w:rsidRPr="00FD02F8">
              <w:rPr>
                <w:rFonts w:eastAsia="Times New Roman" w:cstheme="minorHAnsi"/>
                <w:lang w:eastAsia="en-GB"/>
              </w:rPr>
              <w:t>N/A</w:t>
            </w:r>
          </w:p>
        </w:tc>
        <w:tc>
          <w:tcPr>
            <w:tcW w:w="309" w:type="pct"/>
            <w:vAlign w:val="center"/>
          </w:tcPr>
          <w:p w14:paraId="64FDD80C" w14:textId="3E2052B6" w:rsidR="00FD4635" w:rsidRPr="00FD02F8" w:rsidRDefault="00904B5D" w:rsidP="00221747">
            <w:pPr>
              <w:jc w:val="center"/>
              <w:textAlignment w:val="baseline"/>
              <w:rPr>
                <w:rFonts w:eastAsia="Times New Roman" w:cstheme="minorHAnsi"/>
                <w:lang w:eastAsia="en-GB"/>
              </w:rPr>
            </w:pPr>
            <w:r w:rsidRPr="00FD02F8">
              <w:rPr>
                <w:rFonts w:eastAsia="Times New Roman" w:cstheme="minorHAnsi"/>
                <w:lang w:eastAsia="en-GB"/>
              </w:rPr>
              <w:t>1</w:t>
            </w:r>
          </w:p>
        </w:tc>
        <w:tc>
          <w:tcPr>
            <w:tcW w:w="309" w:type="pct"/>
            <w:vAlign w:val="center"/>
          </w:tcPr>
          <w:p w14:paraId="795632A7" w14:textId="0A51FE2B" w:rsidR="00FD4635" w:rsidRPr="00FD02F8" w:rsidRDefault="00687F39" w:rsidP="00221747">
            <w:pPr>
              <w:jc w:val="center"/>
              <w:textAlignment w:val="baseline"/>
              <w:rPr>
                <w:rFonts w:eastAsia="Times New Roman" w:cstheme="minorHAnsi"/>
                <w:lang w:eastAsia="en-GB"/>
              </w:rPr>
            </w:pPr>
            <w:r w:rsidRPr="00FD02F8">
              <w:rPr>
                <w:rFonts w:eastAsia="Times New Roman" w:cstheme="minorHAnsi"/>
                <w:lang w:eastAsia="en-GB"/>
              </w:rPr>
              <w:t>1</w:t>
            </w:r>
          </w:p>
        </w:tc>
        <w:tc>
          <w:tcPr>
            <w:tcW w:w="309" w:type="pct"/>
            <w:vAlign w:val="center"/>
          </w:tcPr>
          <w:p w14:paraId="7AE218E4" w14:textId="77777777" w:rsidR="00FD4635" w:rsidRPr="00FD02F8" w:rsidRDefault="00FD4635" w:rsidP="00221747">
            <w:pPr>
              <w:jc w:val="center"/>
              <w:textAlignment w:val="baseline"/>
              <w:rPr>
                <w:rFonts w:eastAsia="Times New Roman" w:cstheme="minorHAnsi"/>
                <w:lang w:eastAsia="en-GB"/>
              </w:rPr>
            </w:pPr>
            <w:r w:rsidRPr="00FD02F8">
              <w:rPr>
                <w:rFonts w:eastAsia="Times New Roman" w:cstheme="minorHAnsi"/>
                <w:lang w:eastAsia="en-GB"/>
              </w:rPr>
              <w:t>-</w:t>
            </w:r>
          </w:p>
        </w:tc>
        <w:tc>
          <w:tcPr>
            <w:tcW w:w="341" w:type="pct"/>
            <w:vAlign w:val="center"/>
          </w:tcPr>
          <w:p w14:paraId="4EE1D624" w14:textId="6C837A19" w:rsidR="00FD4635" w:rsidRPr="00FD02F8" w:rsidRDefault="00687F39" w:rsidP="00D654E2">
            <w:pPr>
              <w:textAlignment w:val="baseline"/>
              <w:rPr>
                <w:rFonts w:eastAsia="Times New Roman" w:cstheme="minorHAnsi"/>
                <w:lang w:eastAsia="en-GB"/>
              </w:rPr>
            </w:pPr>
            <w:r w:rsidRPr="00FD02F8">
              <w:rPr>
                <w:noProof/>
              </w:rPr>
              <w:drawing>
                <wp:inline distT="0" distB="0" distL="0" distR="0" wp14:anchorId="0AF00141" wp14:editId="346CCAF1">
                  <wp:extent cx="432000" cy="432000"/>
                  <wp:effectExtent l="0" t="0" r="0" b="0"/>
                  <wp:docPr id="1964676989"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26" w:type="pct"/>
            <w:vAlign w:val="center"/>
          </w:tcPr>
          <w:p w14:paraId="48E111E6" w14:textId="7DF38B62" w:rsidR="00FD4635" w:rsidRPr="00FD02F8" w:rsidRDefault="00162CCC" w:rsidP="00162CCC">
            <w:pPr>
              <w:textAlignment w:val="baseline"/>
              <w:rPr>
                <w:rFonts w:ascii="Arial" w:eastAsia="Times New Roman" w:hAnsi="Arial" w:cs="Arial"/>
                <w:lang w:eastAsia="en-GB"/>
              </w:rPr>
            </w:pPr>
            <w:r w:rsidRPr="00FD02F8">
              <w:rPr>
                <w:rFonts w:ascii="Arial" w:eastAsia="Times New Roman" w:hAnsi="Arial" w:cs="Arial"/>
                <w:b/>
                <w:bCs/>
                <w:lang w:eastAsia="en-GB"/>
              </w:rPr>
              <w:t>Key result complete in Q2</w:t>
            </w:r>
            <w:r w:rsidR="00946C8F" w:rsidRPr="00FD02F8">
              <w:rPr>
                <w:rFonts w:ascii="Arial" w:eastAsia="Times New Roman" w:hAnsi="Arial" w:cs="Arial"/>
                <w:b/>
                <w:bCs/>
                <w:lang w:eastAsia="en-GB"/>
              </w:rPr>
              <w:t>.</w:t>
            </w:r>
          </w:p>
        </w:tc>
        <w:tc>
          <w:tcPr>
            <w:tcW w:w="548" w:type="pct"/>
            <w:vAlign w:val="center"/>
          </w:tcPr>
          <w:p w14:paraId="7D7870D4" w14:textId="4F09A8B9" w:rsidR="00FD4635" w:rsidRPr="00FD02F8" w:rsidRDefault="00FD780D" w:rsidP="00221747">
            <w:pPr>
              <w:textAlignment w:val="baseline"/>
              <w:rPr>
                <w:rFonts w:eastAsia="Times New Roman" w:cstheme="minorHAnsi"/>
                <w:lang w:eastAsia="en-GB"/>
              </w:rPr>
            </w:pPr>
            <w:r w:rsidRPr="00FD02F8">
              <w:rPr>
                <w:rFonts w:eastAsia="Times New Roman" w:cstheme="minorHAnsi"/>
                <w:lang w:eastAsia="en-GB"/>
              </w:rPr>
              <w:t>Delivered</w:t>
            </w:r>
          </w:p>
        </w:tc>
      </w:tr>
      <w:tr w:rsidR="00B57DD6" w:rsidRPr="00FD02F8" w14:paraId="37832E54" w14:textId="77777777" w:rsidTr="001E5DA3">
        <w:tblPrEx>
          <w:tblCellMar>
            <w:left w:w="108" w:type="dxa"/>
            <w:right w:w="108" w:type="dxa"/>
          </w:tblCellMar>
        </w:tblPrEx>
        <w:trPr>
          <w:cantSplit/>
          <w:trHeight w:val="2347"/>
        </w:trPr>
        <w:tc>
          <w:tcPr>
            <w:tcW w:w="1293" w:type="pct"/>
            <w:vAlign w:val="center"/>
          </w:tcPr>
          <w:p w14:paraId="13B3E649" w14:textId="77777777" w:rsidR="00FD4635" w:rsidRPr="00FD02F8" w:rsidRDefault="003D2594" w:rsidP="004C18EC">
            <w:pPr>
              <w:rPr>
                <w:rFonts w:cstheme="minorHAnsi"/>
                <w:color w:val="000000"/>
              </w:rPr>
            </w:pPr>
            <w:r w:rsidRPr="00FD02F8">
              <w:rPr>
                <w:rFonts w:cstheme="minorHAnsi"/>
                <w:b/>
                <w:color w:val="000000"/>
              </w:rPr>
              <w:lastRenderedPageBreak/>
              <w:t xml:space="preserve">KR 9.2: </w:t>
            </w:r>
            <w:r w:rsidRPr="00FD02F8">
              <w:rPr>
                <w:rFonts w:cstheme="minorHAnsi"/>
                <w:color w:val="000000"/>
              </w:rPr>
              <w:t>Reduce the overall environmental risk score of identified illegal activities by 10%, from 2024-25 baseline (33.0 to 29.7), through targeted interventions</w:t>
            </w:r>
            <w:r w:rsidR="00650AB2" w:rsidRPr="00FD02F8">
              <w:rPr>
                <w:rFonts w:cstheme="minorHAnsi"/>
                <w:color w:val="000000"/>
              </w:rPr>
              <w:t>.</w:t>
            </w:r>
          </w:p>
          <w:p w14:paraId="5722DFA7" w14:textId="77777777" w:rsidR="00650AB2" w:rsidRPr="00FD02F8" w:rsidRDefault="00650AB2" w:rsidP="004C18EC">
            <w:pPr>
              <w:rPr>
                <w:rFonts w:cstheme="minorHAnsi"/>
                <w:b/>
                <w:color w:val="000000"/>
              </w:rPr>
            </w:pPr>
          </w:p>
          <w:p w14:paraId="1D527D0B" w14:textId="5545D31A" w:rsidR="00650AB2" w:rsidRPr="00FD02F8" w:rsidRDefault="00650AB2" w:rsidP="004C18EC">
            <w:pPr>
              <w:rPr>
                <w:rFonts w:eastAsia="Times New Roman" w:cstheme="minorHAnsi"/>
                <w:b/>
                <w:color w:val="000000"/>
              </w:rPr>
            </w:pPr>
            <w:r w:rsidRPr="00FD02F8">
              <w:rPr>
                <w:rFonts w:cstheme="minorHAnsi"/>
                <w:color w:val="000000"/>
              </w:rPr>
              <w:t>Target increased to 20% from Q3.</w:t>
            </w:r>
          </w:p>
        </w:tc>
        <w:tc>
          <w:tcPr>
            <w:tcW w:w="256" w:type="pct"/>
            <w:vAlign w:val="center"/>
          </w:tcPr>
          <w:p w14:paraId="0093C6BF" w14:textId="640978B8" w:rsidR="00FD4635" w:rsidRPr="00FD02F8" w:rsidRDefault="00DB2CFD" w:rsidP="004C18EC">
            <w:pPr>
              <w:rPr>
                <w:rFonts w:eastAsia="Times New Roman" w:cstheme="minorHAnsi"/>
                <w:b/>
                <w:color w:val="000000"/>
              </w:rPr>
            </w:pPr>
            <w:r w:rsidRPr="00FD02F8">
              <w:rPr>
                <w:rFonts w:cstheme="minorHAnsi"/>
                <w:b/>
                <w:color w:val="000000"/>
              </w:rPr>
              <w:t xml:space="preserve">Q4 </w:t>
            </w:r>
          </w:p>
        </w:tc>
        <w:tc>
          <w:tcPr>
            <w:tcW w:w="309" w:type="pct"/>
            <w:vAlign w:val="center"/>
          </w:tcPr>
          <w:p w14:paraId="403C4642" w14:textId="57F624B4" w:rsidR="00FD4635" w:rsidRPr="00FD02F8" w:rsidRDefault="004D7A40" w:rsidP="00221747">
            <w:pPr>
              <w:jc w:val="center"/>
              <w:textAlignment w:val="baseline"/>
              <w:rPr>
                <w:rFonts w:eastAsia="Times New Roman" w:cstheme="minorHAnsi"/>
                <w:lang w:eastAsia="en-GB"/>
              </w:rPr>
            </w:pPr>
            <w:r w:rsidRPr="00FD02F8">
              <w:rPr>
                <w:rFonts w:eastAsia="Times New Roman" w:cstheme="minorHAnsi"/>
                <w:lang w:eastAsia="en-GB"/>
              </w:rPr>
              <w:t>0.</w:t>
            </w:r>
            <w:r w:rsidR="00170836" w:rsidRPr="00FD02F8">
              <w:rPr>
                <w:rFonts w:eastAsia="Times New Roman" w:cstheme="minorHAnsi"/>
                <w:lang w:eastAsia="en-GB"/>
              </w:rPr>
              <w:t>06</w:t>
            </w:r>
          </w:p>
        </w:tc>
        <w:tc>
          <w:tcPr>
            <w:tcW w:w="309" w:type="pct"/>
            <w:vAlign w:val="center"/>
          </w:tcPr>
          <w:p w14:paraId="636026A5" w14:textId="41573602" w:rsidR="00FD4635" w:rsidRPr="00FD02F8" w:rsidRDefault="00904B5D" w:rsidP="00221747">
            <w:pPr>
              <w:jc w:val="center"/>
              <w:textAlignment w:val="baseline"/>
              <w:rPr>
                <w:rFonts w:eastAsia="Times New Roman" w:cstheme="minorHAnsi"/>
                <w:lang w:eastAsia="en-GB"/>
              </w:rPr>
            </w:pPr>
            <w:r w:rsidRPr="00FD02F8">
              <w:rPr>
                <w:rFonts w:eastAsia="Times New Roman" w:cstheme="minorHAnsi"/>
                <w:lang w:eastAsia="en-GB"/>
              </w:rPr>
              <w:t>1</w:t>
            </w:r>
          </w:p>
        </w:tc>
        <w:tc>
          <w:tcPr>
            <w:tcW w:w="309" w:type="pct"/>
            <w:vAlign w:val="center"/>
          </w:tcPr>
          <w:p w14:paraId="7AB776FB" w14:textId="41B435B9" w:rsidR="00FD4635" w:rsidRPr="00FD02F8" w:rsidRDefault="00E54DE7" w:rsidP="00221747">
            <w:pPr>
              <w:jc w:val="center"/>
              <w:textAlignment w:val="baseline"/>
              <w:rPr>
                <w:rFonts w:eastAsia="Times New Roman" w:cstheme="minorHAnsi"/>
                <w:lang w:eastAsia="en-GB"/>
              </w:rPr>
            </w:pPr>
            <w:r w:rsidRPr="00FD02F8">
              <w:rPr>
                <w:rFonts w:eastAsia="Times New Roman" w:cstheme="minorHAnsi"/>
                <w:lang w:eastAsia="en-GB"/>
              </w:rPr>
              <w:t>0.74</w:t>
            </w:r>
          </w:p>
        </w:tc>
        <w:tc>
          <w:tcPr>
            <w:tcW w:w="309" w:type="pct"/>
            <w:vAlign w:val="center"/>
          </w:tcPr>
          <w:p w14:paraId="6B5C82BA" w14:textId="77777777" w:rsidR="00FD4635" w:rsidRPr="00FD02F8" w:rsidRDefault="00FD4635" w:rsidP="00221747">
            <w:pPr>
              <w:jc w:val="center"/>
              <w:textAlignment w:val="baseline"/>
              <w:rPr>
                <w:rFonts w:eastAsia="Times New Roman" w:cstheme="minorHAnsi"/>
                <w:lang w:eastAsia="en-GB"/>
              </w:rPr>
            </w:pPr>
            <w:r w:rsidRPr="00FD02F8">
              <w:rPr>
                <w:rFonts w:eastAsia="Times New Roman" w:cstheme="minorHAnsi"/>
                <w:lang w:eastAsia="en-GB"/>
              </w:rPr>
              <w:t>-</w:t>
            </w:r>
          </w:p>
        </w:tc>
        <w:tc>
          <w:tcPr>
            <w:tcW w:w="341" w:type="pct"/>
            <w:vAlign w:val="center"/>
          </w:tcPr>
          <w:p w14:paraId="57100A09" w14:textId="6C3037E5" w:rsidR="00FD4635" w:rsidRPr="00FD02F8" w:rsidRDefault="00E80326" w:rsidP="00221747">
            <w:pPr>
              <w:jc w:val="center"/>
              <w:textAlignment w:val="baseline"/>
              <w:rPr>
                <w:b/>
                <w:bCs/>
              </w:rPr>
            </w:pPr>
            <w:r w:rsidRPr="00FD02F8">
              <w:rPr>
                <w:noProof/>
              </w:rPr>
              <w:drawing>
                <wp:inline distT="0" distB="0" distL="0" distR="0" wp14:anchorId="10DD2A88" wp14:editId="0FB54AE6">
                  <wp:extent cx="463550" cy="463550"/>
                  <wp:effectExtent l="0" t="0" r="0" b="0"/>
                  <wp:docPr id="864945668"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26" w:type="pct"/>
            <w:vAlign w:val="center"/>
          </w:tcPr>
          <w:p w14:paraId="781015C8" w14:textId="77777777" w:rsidR="003E188C" w:rsidRPr="00FD02F8" w:rsidRDefault="003E188C" w:rsidP="00D654E2">
            <w:pPr>
              <w:rPr>
                <w:rFonts w:eastAsia="Times New Roman" w:cstheme="minorHAnsi"/>
                <w:lang w:eastAsia="en-GB"/>
              </w:rPr>
            </w:pPr>
            <w:r w:rsidRPr="00FD02F8">
              <w:rPr>
                <w:rFonts w:eastAsia="Times New Roman" w:cstheme="minorHAnsi"/>
                <w:lang w:eastAsia="en-GB"/>
              </w:rPr>
              <w:t xml:space="preserve">The original target of a 10% reduction has been fully delivered. From Q3 we extended the target to reduce the overall environmental risk score of identified illegal activities by 20%. We are currently on track and delivering against this key result. </w:t>
            </w:r>
          </w:p>
          <w:p w14:paraId="1D5DEDD6" w14:textId="20C23793" w:rsidR="00C826D6" w:rsidRPr="00FD02F8" w:rsidRDefault="003E188C" w:rsidP="00D654E2">
            <w:pPr>
              <w:rPr>
                <w:rFonts w:cstheme="minorHAnsi"/>
                <w:color w:val="000000"/>
                <w:highlight w:val="yellow"/>
              </w:rPr>
            </w:pPr>
            <w:r w:rsidRPr="00FD02F8">
              <w:rPr>
                <w:rFonts w:eastAsia="Times New Roman" w:cstheme="minorHAnsi"/>
                <w:b/>
                <w:bCs/>
                <w:lang w:eastAsia="en-GB"/>
              </w:rPr>
              <w:t xml:space="preserve">Confidence </w:t>
            </w:r>
            <w:r w:rsidRPr="00FD02F8">
              <w:rPr>
                <w:rFonts w:ascii="Arial" w:eastAsia="Times New Roman" w:hAnsi="Arial" w:cs="Arial"/>
                <w:b/>
                <w:bCs/>
                <w:lang w:eastAsia="en-GB"/>
              </w:rPr>
              <w:t>in forecast:</w:t>
            </w:r>
            <w:r w:rsidRPr="00FD02F8">
              <w:rPr>
                <w:rFonts w:eastAsia="Times New Roman" w:cstheme="minorHAnsi"/>
                <w:b/>
                <w:bCs/>
                <w:lang w:eastAsia="en-GB"/>
              </w:rPr>
              <w:t xml:space="preserve"> High</w:t>
            </w:r>
          </w:p>
        </w:tc>
        <w:tc>
          <w:tcPr>
            <w:tcW w:w="548" w:type="pct"/>
            <w:vAlign w:val="center"/>
          </w:tcPr>
          <w:p w14:paraId="6DF3A80F" w14:textId="7C56175A" w:rsidR="00FD4635" w:rsidRPr="00FD02F8" w:rsidRDefault="00FD780D" w:rsidP="00221747">
            <w:pPr>
              <w:textAlignment w:val="baseline"/>
              <w:rPr>
                <w:rFonts w:eastAsia="Times New Roman" w:cstheme="minorHAnsi"/>
                <w:highlight w:val="yellow"/>
                <w:lang w:eastAsia="en-GB"/>
              </w:rPr>
            </w:pPr>
            <w:r w:rsidRPr="00FD02F8">
              <w:rPr>
                <w:rFonts w:eastAsia="Times New Roman" w:cstheme="minorHAnsi"/>
                <w:lang w:eastAsia="en-GB"/>
              </w:rPr>
              <w:t>Delivered</w:t>
            </w:r>
          </w:p>
        </w:tc>
      </w:tr>
      <w:tr w:rsidR="00B57DD6" w:rsidRPr="00FD02F8" w14:paraId="56D35629" w14:textId="77777777" w:rsidTr="001E5DA3">
        <w:tblPrEx>
          <w:tblCellMar>
            <w:left w:w="108" w:type="dxa"/>
            <w:right w:w="108" w:type="dxa"/>
          </w:tblCellMar>
        </w:tblPrEx>
        <w:trPr>
          <w:cantSplit/>
          <w:trHeight w:val="16"/>
        </w:trPr>
        <w:tc>
          <w:tcPr>
            <w:tcW w:w="1293" w:type="pct"/>
            <w:vAlign w:val="center"/>
          </w:tcPr>
          <w:p w14:paraId="65ACFEFC" w14:textId="77777777" w:rsidR="00FD4635" w:rsidRPr="00FD02F8" w:rsidRDefault="003D2594" w:rsidP="004C18EC">
            <w:pPr>
              <w:rPr>
                <w:rFonts w:cstheme="minorHAnsi"/>
                <w:color w:val="000000"/>
              </w:rPr>
            </w:pPr>
            <w:r w:rsidRPr="00FD02F8">
              <w:rPr>
                <w:rFonts w:cstheme="minorHAnsi"/>
                <w:b/>
                <w:color w:val="000000"/>
              </w:rPr>
              <w:lastRenderedPageBreak/>
              <w:t xml:space="preserve">KR 9.3: </w:t>
            </w:r>
            <w:r w:rsidRPr="00FD02F8">
              <w:rPr>
                <w:rFonts w:cstheme="minorHAnsi"/>
                <w:color w:val="000000"/>
              </w:rPr>
              <w:t>Lower the overall environmental risk score of high-risk sites by 10%, from 2024-25 baseline (88.6 to 79.7)</w:t>
            </w:r>
            <w:r w:rsidR="00EC0F8A" w:rsidRPr="00FD02F8">
              <w:rPr>
                <w:rFonts w:cstheme="minorHAnsi"/>
                <w:color w:val="000000"/>
              </w:rPr>
              <w:t>.</w:t>
            </w:r>
          </w:p>
          <w:p w14:paraId="42E13BFD" w14:textId="77777777" w:rsidR="00EC0F8A" w:rsidRPr="00FD02F8" w:rsidRDefault="00EC0F8A" w:rsidP="004C18EC">
            <w:pPr>
              <w:rPr>
                <w:rFonts w:cstheme="minorHAnsi"/>
                <w:color w:val="000000"/>
              </w:rPr>
            </w:pPr>
          </w:p>
          <w:p w14:paraId="3E950F21" w14:textId="1754F136" w:rsidR="00EC0F8A" w:rsidRPr="00FD02F8" w:rsidRDefault="00EC0F8A" w:rsidP="004C18EC">
            <w:pPr>
              <w:rPr>
                <w:rFonts w:eastAsia="Times New Roman" w:cstheme="minorHAnsi"/>
                <w:b/>
                <w:color w:val="000000"/>
              </w:rPr>
            </w:pPr>
            <w:r w:rsidRPr="00FD02F8">
              <w:rPr>
                <w:rFonts w:cstheme="minorHAnsi"/>
                <w:color w:val="000000"/>
              </w:rPr>
              <w:t>Target increase</w:t>
            </w:r>
            <w:r w:rsidR="00650AB2" w:rsidRPr="00FD02F8">
              <w:rPr>
                <w:rFonts w:cstheme="minorHAnsi"/>
                <w:color w:val="000000"/>
              </w:rPr>
              <w:t>d</w:t>
            </w:r>
            <w:r w:rsidRPr="00FD02F8">
              <w:rPr>
                <w:rFonts w:cstheme="minorHAnsi"/>
                <w:color w:val="000000"/>
              </w:rPr>
              <w:t xml:space="preserve"> to 20% from Q3</w:t>
            </w:r>
            <w:r w:rsidR="00650AB2" w:rsidRPr="00FD02F8">
              <w:rPr>
                <w:rFonts w:cstheme="minorHAnsi"/>
                <w:color w:val="000000"/>
              </w:rPr>
              <w:t>.</w:t>
            </w:r>
            <w:r w:rsidRPr="00FD02F8">
              <w:rPr>
                <w:rFonts w:cstheme="minorHAnsi"/>
                <w:color w:val="000000"/>
              </w:rPr>
              <w:t xml:space="preserve"> </w:t>
            </w:r>
          </w:p>
        </w:tc>
        <w:tc>
          <w:tcPr>
            <w:tcW w:w="256" w:type="pct"/>
            <w:vAlign w:val="center"/>
          </w:tcPr>
          <w:p w14:paraId="77722AD2" w14:textId="1BF83092" w:rsidR="00FD4635" w:rsidRPr="00FD02F8" w:rsidRDefault="006A4850" w:rsidP="004C18EC">
            <w:pPr>
              <w:rPr>
                <w:rFonts w:eastAsia="Times New Roman" w:cstheme="minorHAnsi"/>
                <w:b/>
                <w:color w:val="000000"/>
              </w:rPr>
            </w:pPr>
            <w:r w:rsidRPr="00FD02F8">
              <w:rPr>
                <w:rFonts w:cstheme="minorHAnsi"/>
                <w:b/>
                <w:color w:val="000000"/>
              </w:rPr>
              <w:t xml:space="preserve">Q4 </w:t>
            </w:r>
          </w:p>
        </w:tc>
        <w:tc>
          <w:tcPr>
            <w:tcW w:w="309" w:type="pct"/>
            <w:vAlign w:val="center"/>
          </w:tcPr>
          <w:p w14:paraId="71E19F37" w14:textId="2D89E2B4" w:rsidR="00FD4635" w:rsidRPr="00FD02F8" w:rsidRDefault="004D7A40" w:rsidP="00221747">
            <w:pPr>
              <w:jc w:val="center"/>
              <w:textAlignment w:val="baseline"/>
              <w:rPr>
                <w:rFonts w:eastAsia="Times New Roman" w:cstheme="minorHAnsi"/>
                <w:lang w:eastAsia="en-GB"/>
              </w:rPr>
            </w:pPr>
            <w:r w:rsidRPr="00FD02F8">
              <w:rPr>
                <w:rFonts w:eastAsia="Times New Roman" w:cstheme="minorHAnsi"/>
                <w:lang w:eastAsia="en-GB"/>
              </w:rPr>
              <w:t>0.</w:t>
            </w:r>
            <w:r w:rsidR="00170836" w:rsidRPr="00FD02F8">
              <w:rPr>
                <w:rFonts w:eastAsia="Times New Roman" w:cstheme="minorHAnsi"/>
                <w:lang w:eastAsia="en-GB"/>
              </w:rPr>
              <w:t>2</w:t>
            </w:r>
            <w:r w:rsidR="004E05A1" w:rsidRPr="00FD02F8">
              <w:rPr>
                <w:rFonts w:eastAsia="Times New Roman" w:cstheme="minorHAnsi"/>
                <w:lang w:eastAsia="en-GB"/>
              </w:rPr>
              <w:t>0</w:t>
            </w:r>
          </w:p>
        </w:tc>
        <w:tc>
          <w:tcPr>
            <w:tcW w:w="309" w:type="pct"/>
            <w:vAlign w:val="center"/>
          </w:tcPr>
          <w:p w14:paraId="77A5F497" w14:textId="5ECD6A5C" w:rsidR="00FD4635" w:rsidRPr="00FD02F8" w:rsidRDefault="00904B5D" w:rsidP="00221747">
            <w:pPr>
              <w:jc w:val="center"/>
              <w:textAlignment w:val="baseline"/>
              <w:rPr>
                <w:rFonts w:eastAsia="Times New Roman" w:cstheme="minorHAnsi"/>
                <w:lang w:eastAsia="en-GB"/>
              </w:rPr>
            </w:pPr>
            <w:r w:rsidRPr="00FD02F8">
              <w:rPr>
                <w:rFonts w:eastAsia="Times New Roman" w:cstheme="minorHAnsi"/>
                <w:lang w:eastAsia="en-GB"/>
              </w:rPr>
              <w:t>1</w:t>
            </w:r>
          </w:p>
        </w:tc>
        <w:tc>
          <w:tcPr>
            <w:tcW w:w="309" w:type="pct"/>
            <w:vAlign w:val="center"/>
          </w:tcPr>
          <w:p w14:paraId="34A54F8C" w14:textId="2E551661" w:rsidR="00FD4635" w:rsidRPr="00FD02F8" w:rsidRDefault="00311C6F" w:rsidP="00221747">
            <w:pPr>
              <w:jc w:val="center"/>
              <w:textAlignment w:val="baseline"/>
              <w:rPr>
                <w:rFonts w:eastAsia="Times New Roman" w:cstheme="minorHAnsi"/>
                <w:lang w:eastAsia="en-GB"/>
              </w:rPr>
            </w:pPr>
            <w:r w:rsidRPr="00FD02F8">
              <w:rPr>
                <w:rFonts w:eastAsia="Times New Roman" w:cstheme="minorHAnsi"/>
                <w:lang w:eastAsia="en-GB"/>
              </w:rPr>
              <w:t>1</w:t>
            </w:r>
          </w:p>
        </w:tc>
        <w:tc>
          <w:tcPr>
            <w:tcW w:w="309" w:type="pct"/>
            <w:vAlign w:val="center"/>
          </w:tcPr>
          <w:p w14:paraId="44E99017" w14:textId="77777777" w:rsidR="00FD4635" w:rsidRPr="00FD02F8" w:rsidRDefault="00FD4635" w:rsidP="00221747">
            <w:pPr>
              <w:jc w:val="center"/>
              <w:textAlignment w:val="baseline"/>
              <w:rPr>
                <w:rFonts w:eastAsia="Times New Roman" w:cstheme="minorHAnsi"/>
                <w:lang w:eastAsia="en-GB"/>
              </w:rPr>
            </w:pPr>
            <w:r w:rsidRPr="00FD02F8">
              <w:rPr>
                <w:rFonts w:eastAsia="Times New Roman" w:cstheme="minorHAnsi"/>
                <w:lang w:eastAsia="en-GB"/>
              </w:rPr>
              <w:t>-</w:t>
            </w:r>
          </w:p>
        </w:tc>
        <w:tc>
          <w:tcPr>
            <w:tcW w:w="341" w:type="pct"/>
            <w:vAlign w:val="center"/>
          </w:tcPr>
          <w:p w14:paraId="4F49A137" w14:textId="015FBDAD" w:rsidR="00FD4635" w:rsidRPr="00FD02F8" w:rsidRDefault="00E80326" w:rsidP="00221747">
            <w:pPr>
              <w:jc w:val="center"/>
              <w:textAlignment w:val="baseline"/>
              <w:rPr>
                <w:b/>
                <w:bCs/>
              </w:rPr>
            </w:pPr>
            <w:r w:rsidRPr="00FD02F8">
              <w:rPr>
                <w:noProof/>
              </w:rPr>
              <w:drawing>
                <wp:inline distT="0" distB="0" distL="0" distR="0" wp14:anchorId="50FC4CC5" wp14:editId="7A1A00E0">
                  <wp:extent cx="463550" cy="463550"/>
                  <wp:effectExtent l="0" t="0" r="0" b="0"/>
                  <wp:docPr id="1350110481"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26" w:type="pct"/>
            <w:vAlign w:val="center"/>
          </w:tcPr>
          <w:p w14:paraId="413ACA01" w14:textId="77777777" w:rsidR="00311C6F" w:rsidRPr="00FD02F8" w:rsidRDefault="00BA149A" w:rsidP="001B53DD">
            <w:pPr>
              <w:rPr>
                <w:rFonts w:ascii="Arial" w:eastAsia="Times New Roman" w:hAnsi="Arial" w:cs="Arial"/>
                <w:lang w:eastAsia="en-GB"/>
              </w:rPr>
            </w:pPr>
            <w:r w:rsidRPr="00FD02F8">
              <w:rPr>
                <w:rFonts w:ascii="Arial" w:eastAsia="Times New Roman" w:hAnsi="Arial" w:cs="Arial"/>
                <w:b/>
                <w:lang w:eastAsia="en-GB"/>
              </w:rPr>
              <w:t>Key result delivered</w:t>
            </w:r>
            <w:r w:rsidR="000F56C5" w:rsidRPr="00FD02F8">
              <w:rPr>
                <w:rFonts w:ascii="Arial" w:eastAsia="Times New Roman" w:hAnsi="Arial" w:cs="Arial"/>
                <w:lang w:eastAsia="en-GB"/>
              </w:rPr>
              <w:t>.</w:t>
            </w:r>
            <w:r w:rsidR="002A4CAD" w:rsidRPr="00FD02F8">
              <w:rPr>
                <w:rFonts w:ascii="Arial" w:eastAsia="Times New Roman" w:hAnsi="Arial" w:cs="Arial"/>
                <w:lang w:eastAsia="en-GB"/>
              </w:rPr>
              <w:t xml:space="preserve"> </w:t>
            </w:r>
          </w:p>
          <w:p w14:paraId="70A5BD49" w14:textId="77777777" w:rsidR="00583E25" w:rsidRPr="00FD02F8" w:rsidRDefault="00311C6F" w:rsidP="001B53DD">
            <w:pPr>
              <w:rPr>
                <w:rFonts w:eastAsia="Times New Roman" w:cstheme="minorHAnsi"/>
                <w:lang w:eastAsia="en-GB"/>
              </w:rPr>
            </w:pPr>
            <w:r w:rsidRPr="00FD02F8">
              <w:rPr>
                <w:rFonts w:eastAsia="Times New Roman" w:cstheme="minorHAnsi"/>
                <w:lang w:eastAsia="en-GB"/>
              </w:rPr>
              <w:t xml:space="preserve">From Q3 we extended the target to reduce the overall environmental risk score of high risk sites by 20%. We are currently exceeding our target with a 22% reduction, but as activity can increase in risk as well as decrease, we cannot yet state that the key result has been completed. </w:t>
            </w:r>
          </w:p>
          <w:p w14:paraId="56BA932C" w14:textId="271F239B" w:rsidR="00FD4635" w:rsidRPr="00FD02F8" w:rsidRDefault="00583E25" w:rsidP="001B53DD">
            <w:pPr>
              <w:rPr>
                <w:rFonts w:cstheme="minorHAnsi"/>
                <w:color w:val="000000"/>
                <w:highlight w:val="yellow"/>
              </w:rPr>
            </w:pPr>
            <w:r w:rsidRPr="00FD02F8">
              <w:rPr>
                <w:rFonts w:eastAsia="Times New Roman" w:cstheme="minorHAnsi"/>
                <w:b/>
                <w:bCs/>
                <w:lang w:eastAsia="en-GB"/>
              </w:rPr>
              <w:t xml:space="preserve">Confidence </w:t>
            </w:r>
            <w:r w:rsidRPr="00FD02F8">
              <w:rPr>
                <w:rFonts w:ascii="Arial" w:eastAsia="Times New Roman" w:hAnsi="Arial" w:cs="Arial"/>
                <w:b/>
                <w:bCs/>
                <w:lang w:eastAsia="en-GB"/>
              </w:rPr>
              <w:t>in forecast:</w:t>
            </w:r>
            <w:r w:rsidRPr="00FD02F8">
              <w:rPr>
                <w:rFonts w:eastAsia="Times New Roman" w:cstheme="minorHAnsi"/>
                <w:b/>
                <w:bCs/>
                <w:lang w:eastAsia="en-GB"/>
              </w:rPr>
              <w:t xml:space="preserve"> High</w:t>
            </w:r>
          </w:p>
        </w:tc>
        <w:tc>
          <w:tcPr>
            <w:tcW w:w="548" w:type="pct"/>
            <w:vAlign w:val="center"/>
          </w:tcPr>
          <w:p w14:paraId="4EACD0CE" w14:textId="1FC243B9" w:rsidR="00FD4635" w:rsidRPr="00FD02F8" w:rsidRDefault="00FD780D" w:rsidP="00221747">
            <w:pPr>
              <w:textAlignment w:val="baseline"/>
              <w:rPr>
                <w:rFonts w:eastAsia="Times New Roman" w:cstheme="minorHAnsi"/>
                <w:highlight w:val="yellow"/>
                <w:lang w:eastAsia="en-GB"/>
              </w:rPr>
            </w:pPr>
            <w:r w:rsidRPr="00FD02F8">
              <w:rPr>
                <w:rFonts w:eastAsia="Times New Roman" w:cstheme="minorHAnsi"/>
                <w:lang w:eastAsia="en-GB"/>
              </w:rPr>
              <w:t>Delivered</w:t>
            </w:r>
          </w:p>
        </w:tc>
      </w:tr>
      <w:tr w:rsidR="00B57DD6" w:rsidRPr="00FD02F8" w14:paraId="1FCA7292" w14:textId="77777777" w:rsidTr="001E5DA3">
        <w:trPr>
          <w:cantSplit/>
          <w:trHeight w:val="16"/>
        </w:trPr>
        <w:tc>
          <w:tcPr>
            <w:tcW w:w="1293" w:type="pct"/>
            <w:vAlign w:val="center"/>
          </w:tcPr>
          <w:p w14:paraId="049D4F3F" w14:textId="2B8CB928" w:rsidR="00A86383" w:rsidRPr="00FD02F8" w:rsidRDefault="00A86383" w:rsidP="004C18EC">
            <w:pPr>
              <w:rPr>
                <w:rFonts w:eastAsia="Times New Roman" w:cstheme="minorHAnsi"/>
                <w:b/>
                <w:color w:val="000000"/>
              </w:rPr>
            </w:pPr>
            <w:r w:rsidRPr="00FD02F8">
              <w:rPr>
                <w:rFonts w:cstheme="minorHAnsi"/>
                <w:b/>
                <w:color w:val="000000"/>
              </w:rPr>
              <w:lastRenderedPageBreak/>
              <w:t xml:space="preserve">KR 9.4: </w:t>
            </w:r>
            <w:r w:rsidRPr="00FD02F8">
              <w:rPr>
                <w:rFonts w:cstheme="minorHAnsi"/>
                <w:color w:val="000000"/>
              </w:rPr>
              <w:t>Implement and establish the interventions framework to increase our success in disrupting high risk environmental crime.</w:t>
            </w:r>
          </w:p>
        </w:tc>
        <w:tc>
          <w:tcPr>
            <w:tcW w:w="256" w:type="pct"/>
            <w:vAlign w:val="center"/>
          </w:tcPr>
          <w:p w14:paraId="21F5CA07" w14:textId="2690ED40" w:rsidR="00A86383" w:rsidRPr="00FD02F8" w:rsidRDefault="00A86383" w:rsidP="004C18EC">
            <w:pPr>
              <w:rPr>
                <w:rFonts w:eastAsia="Times New Roman" w:cstheme="minorHAnsi"/>
                <w:b/>
                <w:color w:val="000000"/>
              </w:rPr>
            </w:pPr>
            <w:r w:rsidRPr="00FD02F8">
              <w:rPr>
                <w:rFonts w:cstheme="minorHAnsi"/>
                <w:b/>
                <w:color w:val="000000"/>
              </w:rPr>
              <w:t xml:space="preserve">Q4 </w:t>
            </w:r>
          </w:p>
        </w:tc>
        <w:tc>
          <w:tcPr>
            <w:tcW w:w="309" w:type="pct"/>
            <w:vAlign w:val="center"/>
          </w:tcPr>
          <w:p w14:paraId="6D543379" w14:textId="45AE2BEF" w:rsidR="00A86383" w:rsidRPr="00FD02F8" w:rsidRDefault="00A86383" w:rsidP="00221747">
            <w:pPr>
              <w:jc w:val="center"/>
              <w:textAlignment w:val="baseline"/>
              <w:rPr>
                <w:rFonts w:eastAsia="Times New Roman" w:cstheme="minorHAnsi"/>
                <w:lang w:eastAsia="en-GB"/>
              </w:rPr>
            </w:pPr>
            <w:r w:rsidRPr="00FD02F8">
              <w:rPr>
                <w:rFonts w:eastAsia="Times New Roman" w:cstheme="minorHAnsi"/>
                <w:lang w:eastAsia="en-GB"/>
              </w:rPr>
              <w:t>N/A</w:t>
            </w:r>
          </w:p>
        </w:tc>
        <w:tc>
          <w:tcPr>
            <w:tcW w:w="309" w:type="pct"/>
            <w:vAlign w:val="center"/>
          </w:tcPr>
          <w:p w14:paraId="5247AD5B" w14:textId="77B5D956" w:rsidR="00A86383" w:rsidRPr="00FD02F8" w:rsidRDefault="00904B5D" w:rsidP="00221747">
            <w:pPr>
              <w:jc w:val="center"/>
              <w:textAlignment w:val="baseline"/>
              <w:rPr>
                <w:rFonts w:eastAsia="Times New Roman" w:cstheme="minorHAnsi"/>
                <w:lang w:eastAsia="en-GB"/>
              </w:rPr>
            </w:pPr>
            <w:r w:rsidRPr="00FD02F8">
              <w:rPr>
                <w:rFonts w:ascii="Arial" w:eastAsia="Times New Roman" w:hAnsi="Arial" w:cs="Arial"/>
                <w:szCs w:val="28"/>
                <w:lang w:eastAsia="en-GB"/>
              </w:rPr>
              <w:t>N/A</w:t>
            </w:r>
          </w:p>
        </w:tc>
        <w:tc>
          <w:tcPr>
            <w:tcW w:w="309" w:type="pct"/>
            <w:vAlign w:val="center"/>
          </w:tcPr>
          <w:p w14:paraId="22D25467" w14:textId="65AC34C7" w:rsidR="00A86383" w:rsidRPr="00FD02F8" w:rsidRDefault="00225091" w:rsidP="00221747">
            <w:pPr>
              <w:jc w:val="center"/>
              <w:textAlignment w:val="baseline"/>
              <w:rPr>
                <w:rFonts w:eastAsia="Times New Roman" w:cstheme="minorHAnsi"/>
                <w:lang w:eastAsia="en-GB"/>
              </w:rPr>
            </w:pPr>
            <w:r w:rsidRPr="00FD02F8">
              <w:rPr>
                <w:rFonts w:ascii="Arial" w:eastAsia="Times New Roman" w:hAnsi="Arial" w:cs="Arial"/>
                <w:lang w:eastAsia="en-GB"/>
              </w:rPr>
              <w:t>N/A</w:t>
            </w:r>
          </w:p>
        </w:tc>
        <w:tc>
          <w:tcPr>
            <w:tcW w:w="309" w:type="pct"/>
            <w:vAlign w:val="center"/>
          </w:tcPr>
          <w:p w14:paraId="79FCACCF" w14:textId="18C736C3" w:rsidR="00A86383" w:rsidRPr="00FD02F8" w:rsidRDefault="00A86383" w:rsidP="00221747">
            <w:pPr>
              <w:jc w:val="center"/>
              <w:textAlignment w:val="baseline"/>
              <w:rPr>
                <w:rFonts w:eastAsia="Times New Roman" w:cstheme="minorHAnsi"/>
                <w:lang w:eastAsia="en-GB"/>
              </w:rPr>
            </w:pPr>
            <w:r w:rsidRPr="00FD02F8">
              <w:rPr>
                <w:rFonts w:ascii="Arial" w:eastAsia="Times New Roman" w:hAnsi="Arial" w:cs="Arial"/>
                <w:lang w:eastAsia="en-GB"/>
              </w:rPr>
              <w:t>-</w:t>
            </w:r>
          </w:p>
        </w:tc>
        <w:tc>
          <w:tcPr>
            <w:tcW w:w="341" w:type="pct"/>
            <w:vAlign w:val="center"/>
          </w:tcPr>
          <w:p w14:paraId="6D7E86A5" w14:textId="09A12C1E" w:rsidR="00A86383" w:rsidRPr="00FD02F8" w:rsidRDefault="00E80326" w:rsidP="00221747">
            <w:pPr>
              <w:jc w:val="center"/>
              <w:textAlignment w:val="baseline"/>
              <w:rPr>
                <w:b/>
                <w:bCs/>
              </w:rPr>
            </w:pPr>
            <w:r w:rsidRPr="00FD02F8">
              <w:rPr>
                <w:b/>
                <w:bCs/>
                <w:noProof/>
              </w:rPr>
              <w:drawing>
                <wp:inline distT="0" distB="0" distL="0" distR="0" wp14:anchorId="07262C48" wp14:editId="5E7D79AB">
                  <wp:extent cx="470590" cy="470590"/>
                  <wp:effectExtent l="0" t="0" r="0" b="5715"/>
                  <wp:docPr id="1531913302"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326" w:type="pct"/>
            <w:vAlign w:val="center"/>
          </w:tcPr>
          <w:p w14:paraId="321AB7A2" w14:textId="77777777" w:rsidR="00B33F80" w:rsidRPr="00FD02F8" w:rsidRDefault="00B33F80" w:rsidP="00221747">
            <w:pPr>
              <w:rPr>
                <w:rFonts w:ascii="Arial" w:eastAsia="Times New Roman" w:hAnsi="Arial" w:cs="Arial"/>
                <w:bCs/>
                <w:lang w:eastAsia="en-GB"/>
              </w:rPr>
            </w:pPr>
            <w:r w:rsidRPr="00FD02F8">
              <w:rPr>
                <w:rFonts w:ascii="Arial" w:eastAsia="Times New Roman" w:hAnsi="Arial" w:cs="Arial"/>
                <w:bCs/>
                <w:lang w:eastAsia="en-GB"/>
              </w:rPr>
              <w:t>On track. Key procedures in place. Staff familiarisation is to commence in Q4; however, recruitment delays mean some staff training and rollout may not be completed by March 2026. As a result, confidence in fully delivering this key result is moderate.</w:t>
            </w:r>
          </w:p>
          <w:p w14:paraId="2A00551D" w14:textId="230280FA" w:rsidR="00F02E0B" w:rsidRPr="00FD02F8" w:rsidRDefault="00261729" w:rsidP="00221747">
            <w:pPr>
              <w:rPr>
                <w:rFonts w:ascii="Arial" w:eastAsia="Times New Roman" w:hAnsi="Arial" w:cs="Arial"/>
                <w:b/>
                <w:shd w:val="clear" w:color="auto" w:fill="FFFF00"/>
                <w:lang w:eastAsia="en-GB"/>
              </w:rPr>
            </w:pPr>
            <w:r w:rsidRPr="00FD02F8">
              <w:rPr>
                <w:rFonts w:ascii="Arial" w:eastAsia="Times New Roman" w:hAnsi="Arial" w:cs="Arial"/>
                <w:b/>
                <w:lang w:eastAsia="en-GB"/>
              </w:rPr>
              <w:t xml:space="preserve">Confidence in forecast: </w:t>
            </w:r>
            <w:r w:rsidR="00F02E0B" w:rsidRPr="00FD02F8">
              <w:rPr>
                <w:rFonts w:ascii="Arial" w:eastAsia="Times New Roman" w:hAnsi="Arial" w:cs="Arial"/>
                <w:b/>
                <w:lang w:eastAsia="en-GB"/>
              </w:rPr>
              <w:t>Moderate</w:t>
            </w:r>
          </w:p>
        </w:tc>
        <w:tc>
          <w:tcPr>
            <w:tcW w:w="548" w:type="pct"/>
            <w:vAlign w:val="center"/>
          </w:tcPr>
          <w:p w14:paraId="69CE0609" w14:textId="1BE1D193" w:rsidR="00A86383" w:rsidRPr="00FD02F8" w:rsidRDefault="00A86383" w:rsidP="00221747">
            <w:pPr>
              <w:textAlignment w:val="baseline"/>
              <w:rPr>
                <w:rFonts w:eastAsia="Times New Roman" w:cstheme="minorHAnsi"/>
                <w:lang w:eastAsia="en-GB"/>
              </w:rPr>
            </w:pPr>
            <w:r w:rsidRPr="00FD02F8">
              <w:rPr>
                <w:rFonts w:eastAsia="Times New Roman" w:cstheme="minorHAnsi"/>
                <w:lang w:eastAsia="en-GB"/>
              </w:rPr>
              <w:t>Delivered</w:t>
            </w:r>
          </w:p>
        </w:tc>
      </w:tr>
    </w:tbl>
    <w:p w14:paraId="22D67628" w14:textId="68AEF815" w:rsidR="000111F4" w:rsidRPr="00FD02F8" w:rsidRDefault="000111F4" w:rsidP="000111F4">
      <w:pPr>
        <w:spacing w:before="240"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r w:rsidR="00AF6710" w:rsidRPr="00FD02F8">
        <w:rPr>
          <w:sz w:val="28"/>
          <w:szCs w:val="28"/>
        </w:rPr>
        <w:t>0.91</w:t>
      </w:r>
    </w:p>
    <w:p w14:paraId="297E5FB5" w14:textId="77777777" w:rsidR="00D87EB5" w:rsidRPr="00FD02F8" w:rsidRDefault="00D87EB5" w:rsidP="00202277">
      <w:pPr>
        <w:spacing w:line="240" w:lineRule="auto"/>
        <w:rPr>
          <w:color w:val="FFFFFF" w:themeColor="background1"/>
          <w:sz w:val="36"/>
          <w:szCs w:val="36"/>
        </w:rPr>
      </w:pPr>
    </w:p>
    <w:p w14:paraId="77085A54" w14:textId="3A53619C" w:rsidR="00B05E0A" w:rsidRPr="00FD02F8" w:rsidRDefault="00B05E0A" w:rsidP="7D52A5B7">
      <w:pPr>
        <w:pStyle w:val="Heading2"/>
        <w:shd w:val="clear" w:color="auto" w:fill="016574" w:themeFill="accent2"/>
        <w:spacing w:before="0" w:after="240"/>
        <w:ind w:left="720" w:hanging="720"/>
        <w:rPr>
          <w:color w:val="FFFFFF" w:themeColor="background1"/>
          <w:sz w:val="44"/>
          <w:szCs w:val="44"/>
        </w:rPr>
      </w:pPr>
      <w:bookmarkStart w:id="26" w:name="_Toc245403216"/>
      <w:r w:rsidRPr="00FD02F8">
        <w:rPr>
          <w:color w:val="FFFFFF" w:themeColor="background1"/>
          <w:sz w:val="44"/>
          <w:szCs w:val="44"/>
        </w:rPr>
        <w:lastRenderedPageBreak/>
        <w:t>Our Organisation</w:t>
      </w:r>
      <w:bookmarkEnd w:id="26"/>
    </w:p>
    <w:p w14:paraId="167E3145" w14:textId="3BD94E07" w:rsidR="00B05E0A" w:rsidRPr="00FD02F8" w:rsidRDefault="00913AB0" w:rsidP="00B05E0A">
      <w:pPr>
        <w:pStyle w:val="BodyText1"/>
        <w:shd w:val="clear" w:color="auto" w:fill="018395"/>
        <w:spacing w:before="240" w:after="120"/>
        <w:rPr>
          <w:color w:val="FFFFFF" w:themeColor="background1"/>
          <w:sz w:val="36"/>
          <w:szCs w:val="36"/>
        </w:rPr>
      </w:pPr>
      <w:r w:rsidRPr="00FD02F8">
        <w:rPr>
          <w:color w:val="FFFFFF" w:themeColor="background1"/>
          <w:sz w:val="36"/>
          <w:szCs w:val="36"/>
        </w:rPr>
        <w:t>We are committed to public service reform, ensuring that we are a well-run organisation which achieves best value for the resources invested in us. We support our highly talented people to do great work for Scotland’s environment, creating a positive place to work.</w:t>
      </w:r>
    </w:p>
    <w:p w14:paraId="5FAF817D" w14:textId="07D3FCC1" w:rsidR="00F35E5B" w:rsidRPr="00FD02F8" w:rsidRDefault="0079345E" w:rsidP="00680386">
      <w:pPr>
        <w:pStyle w:val="Heading3"/>
        <w:spacing w:before="240" w:after="120"/>
        <w:rPr>
          <w:color w:val="016574"/>
          <w:sz w:val="32"/>
          <w:szCs w:val="28"/>
        </w:rPr>
      </w:pPr>
      <w:r w:rsidRPr="00FD02F8">
        <w:rPr>
          <w:color w:val="016574"/>
          <w:sz w:val="32"/>
          <w:szCs w:val="28"/>
        </w:rPr>
        <w:t>OO</w:t>
      </w:r>
      <w:r w:rsidR="00F35E5B" w:rsidRPr="00FD02F8">
        <w:rPr>
          <w:color w:val="016574"/>
          <w:sz w:val="32"/>
          <w:szCs w:val="28"/>
        </w:rPr>
        <w:t xml:space="preserve"> OKR10: </w:t>
      </w:r>
      <w:r w:rsidR="000774B4" w:rsidRPr="00FD02F8">
        <w:rPr>
          <w:color w:val="016574"/>
          <w:sz w:val="32"/>
          <w:szCs w:val="28"/>
        </w:rPr>
        <w:t>Introduce effective digital public contact services for customers</w:t>
      </w:r>
    </w:p>
    <w:p w14:paraId="5C933C67" w14:textId="019E74C7" w:rsidR="004405DF" w:rsidRPr="00FD02F8" w:rsidRDefault="00CC72EE" w:rsidP="00F35E5B">
      <w:pPr>
        <w:rPr>
          <w:b/>
          <w:bCs/>
          <w:color w:val="3C4741" w:themeColor="text1"/>
          <w:sz w:val="28"/>
          <w:szCs w:val="28"/>
        </w:rPr>
      </w:pPr>
      <w:r w:rsidRPr="00FD02F8">
        <w:rPr>
          <w:noProof/>
        </w:rPr>
        <w:drawing>
          <wp:inline distT="0" distB="0" distL="0" distR="0" wp14:anchorId="3B88847D" wp14:editId="2B84B368">
            <wp:extent cx="9494874" cy="2891790"/>
            <wp:effectExtent l="0" t="0" r="11430" b="3810"/>
            <wp:docPr id="242979662" name="Chart 1" descr="This is a bar graph which shows the score of each key result for OKR10 over each quarter. &#10;There is a line on the score scale of 0.7 to represent whether the KR is being delivered. There is another line on the score scale of 0.3 to represent whether measurable progress has been made in the quarter.&#10;For Q1, KR10.1, KR10.2 and KR10.3 had no score as these will be progressed later in the year.&#10;&#10;For Q2, KR10.1, KR10.2 and KR10.3 all score 0. &#10;For Q3, KR10.1, KR10.2 and KR10.3 all score 0. ">
              <a:extLst xmlns:a="http://schemas.openxmlformats.org/drawingml/2006/main">
                <a:ext uri="{FF2B5EF4-FFF2-40B4-BE49-F238E27FC236}">
                  <a16:creationId xmlns:a16="http://schemas.microsoft.com/office/drawing/2014/main" id="{A800E95E-E237-423F-BDEA-94C0A529C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0 key result summary"/>
        <w:tblDescription w:val="Quarterly summary for each of the three key results under OKR10. This includes the date due, Q3 score, Q3 status, Q3 commentary and annual forecast for each key result."/>
      </w:tblPr>
      <w:tblGrid>
        <w:gridCol w:w="3824"/>
        <w:gridCol w:w="724"/>
        <w:gridCol w:w="880"/>
        <w:gridCol w:w="880"/>
        <w:gridCol w:w="880"/>
        <w:gridCol w:w="880"/>
        <w:gridCol w:w="978"/>
        <w:gridCol w:w="4416"/>
        <w:gridCol w:w="1496"/>
      </w:tblGrid>
      <w:tr w:rsidR="00B57DD6" w:rsidRPr="00FD02F8" w14:paraId="5A5FD83B" w14:textId="77777777" w:rsidTr="00920D74">
        <w:trPr>
          <w:trHeight w:val="545"/>
          <w:tblHeader/>
        </w:trPr>
        <w:tc>
          <w:tcPr>
            <w:tcW w:w="1278" w:type="pct"/>
            <w:shd w:val="clear" w:color="auto" w:fill="016574" w:themeFill="accent2"/>
          </w:tcPr>
          <w:p w14:paraId="6B07879A" w14:textId="77777777" w:rsidR="00F35E5B" w:rsidRPr="00FD02F8" w:rsidRDefault="00F35E5B">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Key Results</w:t>
            </w:r>
          </w:p>
        </w:tc>
        <w:tc>
          <w:tcPr>
            <w:tcW w:w="242" w:type="pct"/>
            <w:shd w:val="clear" w:color="auto" w:fill="016574" w:themeFill="accent2"/>
          </w:tcPr>
          <w:p w14:paraId="1AEA0E11"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294" w:type="pct"/>
            <w:shd w:val="clear" w:color="auto" w:fill="016574" w:themeFill="accent2"/>
          </w:tcPr>
          <w:p w14:paraId="202A640A"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294" w:type="pct"/>
            <w:shd w:val="clear" w:color="auto" w:fill="016574" w:themeFill="accent2"/>
          </w:tcPr>
          <w:p w14:paraId="154CA083"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294" w:type="pct"/>
            <w:shd w:val="clear" w:color="auto" w:fill="016574" w:themeFill="accent2"/>
          </w:tcPr>
          <w:p w14:paraId="37B68301"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294" w:type="pct"/>
            <w:shd w:val="clear" w:color="auto" w:fill="016574" w:themeFill="accent2"/>
          </w:tcPr>
          <w:p w14:paraId="6FCC86CA"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27" w:type="pct"/>
            <w:shd w:val="clear" w:color="auto" w:fill="016574" w:themeFill="accent2"/>
          </w:tcPr>
          <w:p w14:paraId="145BF3E3" w14:textId="09E80309" w:rsidR="00F35E5B" w:rsidRPr="00FD02F8" w:rsidRDefault="00F35E5B">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654E2" w:rsidRPr="00FD02F8">
              <w:rPr>
                <w:rFonts w:ascii="Arial" w:eastAsia="MS PGothic" w:hAnsi="Arial" w:cs="Arial"/>
                <w:b/>
                <w:bCs/>
                <w:color w:val="FFFFFF"/>
              </w:rPr>
              <w:t>2</w:t>
            </w:r>
            <w:r w:rsidRPr="00FD02F8">
              <w:rPr>
                <w:rFonts w:ascii="Arial" w:eastAsia="MS PGothic" w:hAnsi="Arial" w:cs="Arial"/>
                <w:b/>
                <w:bCs/>
                <w:color w:val="FFFFFF"/>
              </w:rPr>
              <w:t xml:space="preserve"> Status</w:t>
            </w:r>
          </w:p>
        </w:tc>
        <w:tc>
          <w:tcPr>
            <w:tcW w:w="1476" w:type="pct"/>
            <w:shd w:val="clear" w:color="auto" w:fill="016574" w:themeFill="accent2"/>
          </w:tcPr>
          <w:p w14:paraId="26A812B9" w14:textId="1A1712ED" w:rsidR="00F35E5B" w:rsidRPr="00FD02F8" w:rsidRDefault="00F35E5B">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654E2" w:rsidRPr="00FD02F8">
              <w:rPr>
                <w:rFonts w:ascii="Arial" w:eastAsia="MS PGothic" w:hAnsi="Arial" w:cs="Arial"/>
                <w:b/>
                <w:bCs/>
                <w:color w:val="FFFFFF"/>
                <w:sz w:val="28"/>
                <w:szCs w:val="28"/>
              </w:rPr>
              <w:t xml:space="preserve">2 </w:t>
            </w:r>
            <w:r w:rsidRPr="00FD02F8">
              <w:rPr>
                <w:rFonts w:ascii="Arial" w:eastAsia="MS PGothic" w:hAnsi="Arial" w:cs="Arial"/>
                <w:b/>
                <w:bCs/>
                <w:color w:val="FFFFFF"/>
                <w:sz w:val="28"/>
                <w:szCs w:val="28"/>
              </w:rPr>
              <w:t>commentary</w:t>
            </w:r>
          </w:p>
        </w:tc>
        <w:tc>
          <w:tcPr>
            <w:tcW w:w="500" w:type="pct"/>
            <w:shd w:val="clear" w:color="auto" w:fill="016574" w:themeFill="accent2"/>
          </w:tcPr>
          <w:p w14:paraId="18E31315" w14:textId="77777777" w:rsidR="00F35E5B" w:rsidRPr="00FD02F8" w:rsidRDefault="00F35E5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B57DD6" w:rsidRPr="00FD02F8" w14:paraId="6B15746B" w14:textId="77777777" w:rsidTr="00920D74">
        <w:tblPrEx>
          <w:tblCellMar>
            <w:left w:w="108" w:type="dxa"/>
            <w:right w:w="108" w:type="dxa"/>
          </w:tblCellMar>
        </w:tblPrEx>
        <w:trPr>
          <w:trHeight w:val="865"/>
        </w:trPr>
        <w:tc>
          <w:tcPr>
            <w:tcW w:w="1278" w:type="pct"/>
            <w:tcBorders>
              <w:bottom w:val="single" w:sz="4" w:space="0" w:color="auto"/>
            </w:tcBorders>
            <w:vAlign w:val="center"/>
          </w:tcPr>
          <w:p w14:paraId="0B8C81DF" w14:textId="4415F2DB" w:rsidR="00744EB1" w:rsidRPr="00FD02F8" w:rsidRDefault="00744EB1" w:rsidP="004C3AE2">
            <w:pPr>
              <w:rPr>
                <w:rFonts w:ascii="Arial" w:eastAsia="Times New Roman" w:hAnsi="Arial" w:cs="Arial"/>
                <w:b/>
                <w:color w:val="000000"/>
              </w:rPr>
            </w:pPr>
            <w:r w:rsidRPr="00FD02F8">
              <w:rPr>
                <w:rFonts w:ascii="Arial" w:hAnsi="Arial" w:cs="Arial"/>
                <w:b/>
                <w:color w:val="000000"/>
              </w:rPr>
              <w:t xml:space="preserve">KR 10.1: </w:t>
            </w:r>
            <w:r w:rsidRPr="00FD02F8">
              <w:rPr>
                <w:rFonts w:ascii="Arial" w:hAnsi="Arial" w:cs="Arial"/>
                <w:color w:val="000000"/>
              </w:rPr>
              <w:t xml:space="preserve">Launch new digital contact methods for the public and our customers to contact SEPA </w:t>
            </w:r>
          </w:p>
        </w:tc>
        <w:tc>
          <w:tcPr>
            <w:tcW w:w="242" w:type="pct"/>
            <w:tcBorders>
              <w:top w:val="single" w:sz="8" w:space="0" w:color="auto"/>
              <w:left w:val="single" w:sz="4" w:space="0" w:color="auto"/>
              <w:bottom w:val="single" w:sz="4" w:space="0" w:color="auto"/>
              <w:right w:val="nil"/>
            </w:tcBorders>
            <w:vAlign w:val="center"/>
          </w:tcPr>
          <w:p w14:paraId="5DF9E68E" w14:textId="3B33C4CB" w:rsidR="00744EB1" w:rsidRPr="00FD02F8" w:rsidRDefault="00744EB1" w:rsidP="00221747">
            <w:pPr>
              <w:jc w:val="center"/>
              <w:textAlignment w:val="baseline"/>
              <w:rPr>
                <w:rFonts w:ascii="Arial" w:eastAsia="Times New Roman" w:hAnsi="Arial" w:cs="Arial"/>
                <w:lang w:eastAsia="en-GB"/>
              </w:rPr>
            </w:pPr>
            <w:r w:rsidRPr="00FD02F8">
              <w:rPr>
                <w:rFonts w:ascii="Arial" w:hAnsi="Arial" w:cs="Arial"/>
                <w:b/>
                <w:color w:val="000000"/>
              </w:rPr>
              <w:t>Q2</w:t>
            </w:r>
          </w:p>
        </w:tc>
        <w:tc>
          <w:tcPr>
            <w:tcW w:w="294" w:type="pct"/>
            <w:tcBorders>
              <w:bottom w:val="single" w:sz="4" w:space="0" w:color="auto"/>
            </w:tcBorders>
            <w:vAlign w:val="center"/>
          </w:tcPr>
          <w:p w14:paraId="570EC9E0" w14:textId="77C3EEE6" w:rsidR="00744EB1" w:rsidRPr="00FD02F8" w:rsidRDefault="00744EB1"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N/A</w:t>
            </w:r>
          </w:p>
        </w:tc>
        <w:tc>
          <w:tcPr>
            <w:tcW w:w="294" w:type="pct"/>
            <w:tcBorders>
              <w:bottom w:val="single" w:sz="4" w:space="0" w:color="auto"/>
            </w:tcBorders>
            <w:vAlign w:val="center"/>
          </w:tcPr>
          <w:p w14:paraId="6D636C9D" w14:textId="1B5967E8" w:rsidR="00744EB1" w:rsidRPr="00FD02F8" w:rsidRDefault="00341EF9"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294" w:type="pct"/>
            <w:tcBorders>
              <w:bottom w:val="single" w:sz="4" w:space="0" w:color="auto"/>
            </w:tcBorders>
            <w:vAlign w:val="center"/>
          </w:tcPr>
          <w:p w14:paraId="1A4AC5DD" w14:textId="16E05E68" w:rsidR="00744EB1" w:rsidRPr="00FD02F8" w:rsidRDefault="00225091"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tcBorders>
              <w:bottom w:val="single" w:sz="4" w:space="0" w:color="auto"/>
            </w:tcBorders>
            <w:vAlign w:val="center"/>
          </w:tcPr>
          <w:p w14:paraId="41956875" w14:textId="77777777" w:rsidR="00744EB1" w:rsidRPr="00FD02F8" w:rsidRDefault="00744EB1"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27" w:type="pct"/>
            <w:vAlign w:val="center"/>
          </w:tcPr>
          <w:p w14:paraId="1BD51AAF" w14:textId="6142EAEF" w:rsidR="00744EB1" w:rsidRPr="00FD02F8" w:rsidRDefault="00341EF9" w:rsidP="00221747">
            <w:pPr>
              <w:jc w:val="center"/>
              <w:textAlignment w:val="baseline"/>
              <w:rPr>
                <w:rFonts w:ascii="Arial" w:eastAsia="Times New Roman" w:hAnsi="Arial" w:cs="Arial"/>
                <w:szCs w:val="28"/>
                <w:lang w:eastAsia="en-GB"/>
              </w:rPr>
            </w:pPr>
            <w:r w:rsidRPr="00FD02F8">
              <w:rPr>
                <w:noProof/>
              </w:rPr>
              <w:drawing>
                <wp:anchor distT="0" distB="0" distL="114300" distR="114300" simplePos="0" relativeHeight="251666432" behindDoc="0" locked="0" layoutInCell="1" allowOverlap="1" wp14:anchorId="5F3BAB03" wp14:editId="0F46FBEC">
                  <wp:simplePos x="0" y="0"/>
                  <wp:positionH relativeFrom="column">
                    <wp:posOffset>19050</wp:posOffset>
                  </wp:positionH>
                  <wp:positionV relativeFrom="paragraph">
                    <wp:posOffset>6985</wp:posOffset>
                  </wp:positionV>
                  <wp:extent cx="444500" cy="444500"/>
                  <wp:effectExtent l="0" t="0" r="0" b="0"/>
                  <wp:wrapNone/>
                  <wp:docPr id="115072337"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76" w:type="pct"/>
          </w:tcPr>
          <w:p w14:paraId="58A150D1" w14:textId="755AA624" w:rsidR="00103861" w:rsidRPr="00FD02F8" w:rsidRDefault="000D2CE0" w:rsidP="00221747">
            <w:pPr>
              <w:textAlignment w:val="baseline"/>
              <w:rPr>
                <w:rFonts w:ascii="Arial" w:eastAsia="Times New Roman" w:hAnsi="Arial" w:cs="Arial"/>
                <w:lang w:eastAsia="en-GB"/>
              </w:rPr>
            </w:pPr>
            <w:r w:rsidRPr="00FD02F8">
              <w:rPr>
                <w:rFonts w:ascii="Arial" w:eastAsia="Times New Roman" w:hAnsi="Arial" w:cs="Arial"/>
                <w:lang w:eastAsia="en-GB"/>
              </w:rPr>
              <w:t xml:space="preserve">This will be informed by </w:t>
            </w:r>
            <w:r w:rsidR="0058547F" w:rsidRPr="00FD02F8">
              <w:rPr>
                <w:rFonts w:ascii="Arial" w:eastAsia="Times New Roman" w:hAnsi="Arial" w:cs="Arial"/>
                <w:lang w:eastAsia="en-GB"/>
              </w:rPr>
              <w:t xml:space="preserve">the </w:t>
            </w:r>
            <w:r w:rsidRPr="00FD02F8">
              <w:rPr>
                <w:rFonts w:ascii="Arial" w:eastAsia="Times New Roman" w:hAnsi="Arial" w:cs="Arial"/>
                <w:lang w:eastAsia="en-GB"/>
              </w:rPr>
              <w:t>externally commissioned customer research, which is expected to outline findings by the end of this financial year. This is reflected in the forecast as not delivered.</w:t>
            </w:r>
          </w:p>
        </w:tc>
        <w:tc>
          <w:tcPr>
            <w:tcW w:w="500" w:type="pct"/>
            <w:vAlign w:val="center"/>
          </w:tcPr>
          <w:p w14:paraId="3FA654F1" w14:textId="4BF97480" w:rsidR="00744EB1" w:rsidRPr="00FD02F8" w:rsidRDefault="0013353D" w:rsidP="00221747">
            <w:pPr>
              <w:textAlignment w:val="baseline"/>
              <w:rPr>
                <w:rFonts w:ascii="Arial" w:eastAsia="Times New Roman" w:hAnsi="Arial" w:cs="Arial"/>
                <w:lang w:eastAsia="en-GB"/>
              </w:rPr>
            </w:pPr>
            <w:r w:rsidRPr="00FD02F8">
              <w:rPr>
                <w:rFonts w:ascii="Arial" w:eastAsia="Times New Roman" w:hAnsi="Arial" w:cs="Arial"/>
                <w:lang w:eastAsia="en-GB"/>
              </w:rPr>
              <w:t xml:space="preserve">Not </w:t>
            </w:r>
            <w:r w:rsidR="007157E1" w:rsidRPr="00FD02F8">
              <w:rPr>
                <w:rFonts w:ascii="Arial" w:eastAsia="Times New Roman" w:hAnsi="Arial" w:cs="Arial"/>
                <w:lang w:eastAsia="en-GB"/>
              </w:rPr>
              <w:t>Delivered</w:t>
            </w:r>
          </w:p>
        </w:tc>
      </w:tr>
      <w:tr w:rsidR="00B57DD6" w:rsidRPr="00FD02F8" w14:paraId="2F7188B6" w14:textId="77777777" w:rsidTr="00920D74">
        <w:tblPrEx>
          <w:tblCellMar>
            <w:left w:w="108" w:type="dxa"/>
            <w:right w:w="108" w:type="dxa"/>
          </w:tblCellMar>
        </w:tblPrEx>
        <w:trPr>
          <w:trHeight w:val="16"/>
        </w:trPr>
        <w:tc>
          <w:tcPr>
            <w:tcW w:w="1278" w:type="pct"/>
            <w:tcBorders>
              <w:top w:val="single" w:sz="4" w:space="0" w:color="auto"/>
              <w:left w:val="single" w:sz="4" w:space="0" w:color="auto"/>
              <w:bottom w:val="single" w:sz="4" w:space="0" w:color="auto"/>
              <w:right w:val="single" w:sz="4" w:space="0" w:color="auto"/>
            </w:tcBorders>
            <w:vAlign w:val="center"/>
          </w:tcPr>
          <w:p w14:paraId="39D2CAA2" w14:textId="558E8F10" w:rsidR="00744EB1" w:rsidRPr="00FD02F8" w:rsidRDefault="00744EB1" w:rsidP="00221747">
            <w:pPr>
              <w:rPr>
                <w:rFonts w:ascii="Arial" w:eastAsia="Times New Roman" w:hAnsi="Arial" w:cs="Arial"/>
                <w:b/>
                <w:color w:val="000000"/>
              </w:rPr>
            </w:pPr>
            <w:r w:rsidRPr="00FD02F8">
              <w:rPr>
                <w:rFonts w:ascii="Arial" w:hAnsi="Arial" w:cs="Arial"/>
                <w:b/>
                <w:color w:val="000000"/>
              </w:rPr>
              <w:t xml:space="preserve">KR 10.2: </w:t>
            </w:r>
            <w:r w:rsidRPr="00FD02F8">
              <w:rPr>
                <w:rFonts w:ascii="Arial" w:hAnsi="Arial" w:cs="Arial"/>
                <w:color w:val="000000"/>
              </w:rPr>
              <w:t xml:space="preserve">Customer service standards implemented </w:t>
            </w:r>
          </w:p>
        </w:tc>
        <w:tc>
          <w:tcPr>
            <w:tcW w:w="242" w:type="pct"/>
            <w:tcBorders>
              <w:top w:val="single" w:sz="4" w:space="0" w:color="auto"/>
              <w:left w:val="single" w:sz="4" w:space="0" w:color="auto"/>
              <w:bottom w:val="single" w:sz="4" w:space="0" w:color="auto"/>
              <w:right w:val="single" w:sz="4" w:space="0" w:color="auto"/>
            </w:tcBorders>
            <w:vAlign w:val="center"/>
          </w:tcPr>
          <w:p w14:paraId="35DB73EA" w14:textId="213F4CF6" w:rsidR="00744EB1" w:rsidRPr="00FD02F8" w:rsidRDefault="00744EB1" w:rsidP="00221747">
            <w:pPr>
              <w:jc w:val="center"/>
              <w:textAlignment w:val="baseline"/>
              <w:rPr>
                <w:rFonts w:ascii="Arial" w:eastAsia="Times New Roman" w:hAnsi="Arial" w:cs="Arial"/>
                <w:lang w:eastAsia="en-GB"/>
              </w:rPr>
            </w:pPr>
            <w:r w:rsidRPr="00FD02F8">
              <w:rPr>
                <w:rFonts w:ascii="Arial" w:hAnsi="Arial" w:cs="Arial"/>
                <w:b/>
                <w:color w:val="000000"/>
              </w:rPr>
              <w:t>Q2</w:t>
            </w:r>
          </w:p>
        </w:tc>
        <w:tc>
          <w:tcPr>
            <w:tcW w:w="294" w:type="pct"/>
            <w:tcBorders>
              <w:top w:val="single" w:sz="4" w:space="0" w:color="auto"/>
              <w:left w:val="single" w:sz="4" w:space="0" w:color="auto"/>
              <w:bottom w:val="single" w:sz="4" w:space="0" w:color="auto"/>
              <w:right w:val="single" w:sz="4" w:space="0" w:color="auto"/>
            </w:tcBorders>
            <w:vAlign w:val="center"/>
          </w:tcPr>
          <w:p w14:paraId="3EFAA27D" w14:textId="493C2D1D" w:rsidR="00744EB1" w:rsidRPr="00FD02F8" w:rsidRDefault="00744EB1"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N/A</w:t>
            </w:r>
          </w:p>
        </w:tc>
        <w:tc>
          <w:tcPr>
            <w:tcW w:w="294" w:type="pct"/>
            <w:tcBorders>
              <w:top w:val="single" w:sz="4" w:space="0" w:color="auto"/>
              <w:left w:val="single" w:sz="4" w:space="0" w:color="auto"/>
              <w:bottom w:val="single" w:sz="4" w:space="0" w:color="auto"/>
              <w:right w:val="single" w:sz="4" w:space="0" w:color="auto"/>
            </w:tcBorders>
            <w:vAlign w:val="center"/>
          </w:tcPr>
          <w:p w14:paraId="30385E04" w14:textId="5A3DBEEC" w:rsidR="00744EB1" w:rsidRPr="00FD02F8" w:rsidRDefault="00341EF9"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294" w:type="pct"/>
            <w:tcBorders>
              <w:top w:val="single" w:sz="4" w:space="0" w:color="auto"/>
              <w:left w:val="single" w:sz="4" w:space="0" w:color="auto"/>
              <w:bottom w:val="single" w:sz="4" w:space="0" w:color="auto"/>
              <w:right w:val="single" w:sz="4" w:space="0" w:color="auto"/>
            </w:tcBorders>
            <w:vAlign w:val="center"/>
          </w:tcPr>
          <w:p w14:paraId="7D7B99AA" w14:textId="7A78DA8F" w:rsidR="00744EB1" w:rsidRPr="00FD02F8" w:rsidRDefault="00B065C2"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tcBorders>
              <w:top w:val="single" w:sz="4" w:space="0" w:color="auto"/>
              <w:left w:val="single" w:sz="4" w:space="0" w:color="auto"/>
              <w:bottom w:val="single" w:sz="4" w:space="0" w:color="auto"/>
              <w:right w:val="single" w:sz="4" w:space="0" w:color="auto"/>
            </w:tcBorders>
            <w:vAlign w:val="center"/>
          </w:tcPr>
          <w:p w14:paraId="09C30346" w14:textId="77777777" w:rsidR="00744EB1" w:rsidRPr="00FD02F8" w:rsidRDefault="00744EB1"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27" w:type="pct"/>
            <w:tcBorders>
              <w:left w:val="single" w:sz="4" w:space="0" w:color="auto"/>
            </w:tcBorders>
            <w:vAlign w:val="center"/>
          </w:tcPr>
          <w:p w14:paraId="1961594B" w14:textId="4DE576E3" w:rsidR="00744EB1" w:rsidRPr="00FD02F8" w:rsidRDefault="00A857A9" w:rsidP="00221747">
            <w:pPr>
              <w:jc w:val="center"/>
              <w:textAlignment w:val="baseline"/>
              <w:rPr>
                <w:rFonts w:ascii="Arial" w:hAnsi="Arial" w:cs="Arial"/>
                <w:b/>
              </w:rPr>
            </w:pPr>
            <w:r w:rsidRPr="00FD02F8">
              <w:rPr>
                <w:noProof/>
              </w:rPr>
              <w:drawing>
                <wp:anchor distT="0" distB="0" distL="114300" distR="114300" simplePos="0" relativeHeight="251667456" behindDoc="0" locked="0" layoutInCell="1" allowOverlap="1" wp14:anchorId="770ECC09" wp14:editId="6EA3F5EF">
                  <wp:simplePos x="0" y="0"/>
                  <wp:positionH relativeFrom="column">
                    <wp:posOffset>7620</wp:posOffset>
                  </wp:positionH>
                  <wp:positionV relativeFrom="paragraph">
                    <wp:posOffset>-130175</wp:posOffset>
                  </wp:positionV>
                  <wp:extent cx="444500" cy="444500"/>
                  <wp:effectExtent l="0" t="0" r="0" b="0"/>
                  <wp:wrapNone/>
                  <wp:docPr id="1912414162"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76" w:type="pct"/>
          </w:tcPr>
          <w:p w14:paraId="72910E5C" w14:textId="17B9DC07" w:rsidR="00D10373" w:rsidRPr="00FD02F8" w:rsidRDefault="002E1D21" w:rsidP="00221747">
            <w:pPr>
              <w:textAlignment w:val="baseline"/>
              <w:rPr>
                <w:rFonts w:ascii="Arial" w:eastAsia="Times New Roman" w:hAnsi="Arial" w:cs="Arial"/>
                <w:lang w:eastAsia="en-GB"/>
              </w:rPr>
            </w:pPr>
            <w:r w:rsidRPr="00FD02F8">
              <w:rPr>
                <w:rFonts w:ascii="Arial" w:eastAsia="Times New Roman" w:hAnsi="Arial" w:cs="Arial"/>
                <w:lang w:eastAsia="en-GB"/>
              </w:rPr>
              <w:t>Work progressing through ongoing internal and external research to inform the development of our agency wide customer service standards. While this measure is linked to key result 10.1</w:t>
            </w:r>
            <w:r w:rsidR="00DC069C" w:rsidRPr="00FD02F8">
              <w:rPr>
                <w:rFonts w:ascii="Arial" w:eastAsia="Times New Roman" w:hAnsi="Arial" w:cs="Arial"/>
                <w:lang w:eastAsia="en-GB"/>
              </w:rPr>
              <w:t>-</w:t>
            </w:r>
            <w:r w:rsidRPr="00FD02F8">
              <w:rPr>
                <w:rFonts w:ascii="Arial" w:eastAsia="Times New Roman" w:hAnsi="Arial" w:cs="Arial"/>
                <w:lang w:eastAsia="en-GB"/>
              </w:rPr>
              <w:t xml:space="preserve"> </w:t>
            </w:r>
            <w:r w:rsidRPr="00FD02F8">
              <w:rPr>
                <w:rFonts w:ascii="Arial" w:eastAsia="Times New Roman" w:hAnsi="Arial" w:cs="Arial"/>
                <w:i/>
                <w:iCs/>
                <w:lang w:eastAsia="en-GB"/>
              </w:rPr>
              <w:t>launch of new digital public contact methods</w:t>
            </w:r>
            <w:r w:rsidRPr="00FD02F8">
              <w:rPr>
                <w:rFonts w:ascii="Arial" w:eastAsia="Times New Roman" w:hAnsi="Arial" w:cs="Arial"/>
                <w:lang w:eastAsia="en-GB"/>
              </w:rPr>
              <w:t xml:space="preserve">, it forms part of our wider customer experience strategy and how we design, assess and manage customer experience across the Agency. The strategy will include a roadmap with the delivery of data and </w:t>
            </w:r>
            <w:r w:rsidRPr="00FD02F8">
              <w:rPr>
                <w:rFonts w:ascii="Arial" w:eastAsia="Times New Roman" w:hAnsi="Arial" w:cs="Arial"/>
                <w:lang w:eastAsia="en-GB"/>
              </w:rPr>
              <w:lastRenderedPageBreak/>
              <w:t>digital to support public contact that meets user needs and accessibility. Our customer service standards are expected to be developed through a test and learn approach and implemented by the end of Q4, to inform our understanding. There is a tender to continue with current platform provider as we undergo transformation and scoping requirements for our longer-term platform that will include digital contact functionality.</w:t>
            </w:r>
          </w:p>
          <w:p w14:paraId="333440AA" w14:textId="21D86AC3" w:rsidR="000A78D6" w:rsidRPr="00FD02F8" w:rsidRDefault="000A78D6" w:rsidP="00221747">
            <w:pPr>
              <w:textAlignment w:val="baseline"/>
              <w:rPr>
                <w:rFonts w:ascii="Arial" w:eastAsia="Times New Roman" w:hAnsi="Arial" w:cs="Arial"/>
                <w:lang w:eastAsia="en-GB"/>
              </w:rPr>
            </w:pPr>
            <w:r w:rsidRPr="00FD02F8">
              <w:rPr>
                <w:rFonts w:ascii="Arial" w:eastAsia="Times New Roman" w:hAnsi="Arial" w:cs="Arial"/>
                <w:b/>
                <w:bCs/>
                <w:lang w:eastAsia="en-GB"/>
              </w:rPr>
              <w:t>Confidence</w:t>
            </w:r>
            <w:r w:rsidR="005021DD" w:rsidRPr="00FD02F8">
              <w:rPr>
                <w:rFonts w:ascii="Arial" w:eastAsia="Times New Roman" w:hAnsi="Arial" w:cs="Arial"/>
                <w:b/>
                <w:bCs/>
                <w:lang w:eastAsia="en-GB"/>
              </w:rPr>
              <w:t xml:space="preserve"> in forecast</w:t>
            </w:r>
            <w:r w:rsidRPr="00FD02F8">
              <w:rPr>
                <w:rFonts w:ascii="Arial" w:eastAsia="Times New Roman" w:hAnsi="Arial" w:cs="Arial"/>
                <w:b/>
                <w:bCs/>
                <w:lang w:eastAsia="en-GB"/>
              </w:rPr>
              <w:t>: High</w:t>
            </w:r>
          </w:p>
        </w:tc>
        <w:tc>
          <w:tcPr>
            <w:tcW w:w="500" w:type="pct"/>
            <w:vAlign w:val="center"/>
          </w:tcPr>
          <w:p w14:paraId="76A1922C" w14:textId="78237223" w:rsidR="00744EB1" w:rsidRPr="00FD02F8" w:rsidRDefault="00990D29" w:rsidP="00221747">
            <w:pPr>
              <w:textAlignment w:val="baseline"/>
              <w:rPr>
                <w:rFonts w:ascii="Arial" w:eastAsia="Times New Roman" w:hAnsi="Arial" w:cs="Arial"/>
                <w:szCs w:val="28"/>
                <w:lang w:eastAsia="en-GB"/>
              </w:rPr>
            </w:pPr>
            <w:r w:rsidRPr="00FD02F8">
              <w:rPr>
                <w:rFonts w:ascii="Arial" w:eastAsia="Times New Roman" w:hAnsi="Arial" w:cs="Arial"/>
                <w:lang w:eastAsia="en-GB"/>
              </w:rPr>
              <w:lastRenderedPageBreak/>
              <w:t>Delivered</w:t>
            </w:r>
          </w:p>
        </w:tc>
      </w:tr>
      <w:tr w:rsidR="00B57DD6" w:rsidRPr="00FD02F8" w14:paraId="75E95CBE" w14:textId="77777777" w:rsidTr="00920D74">
        <w:tblPrEx>
          <w:tblCellMar>
            <w:left w:w="108" w:type="dxa"/>
            <w:right w:w="108" w:type="dxa"/>
          </w:tblCellMar>
        </w:tblPrEx>
        <w:trPr>
          <w:trHeight w:val="16"/>
        </w:trPr>
        <w:tc>
          <w:tcPr>
            <w:tcW w:w="1278" w:type="pct"/>
            <w:tcBorders>
              <w:top w:val="single" w:sz="4" w:space="0" w:color="auto"/>
            </w:tcBorders>
            <w:vAlign w:val="center"/>
          </w:tcPr>
          <w:p w14:paraId="7718919A" w14:textId="4789016C" w:rsidR="00752D6A" w:rsidRPr="00FD02F8" w:rsidRDefault="00752D6A" w:rsidP="004C3AE2">
            <w:pPr>
              <w:rPr>
                <w:rFonts w:ascii="Arial" w:eastAsia="Times New Roman" w:hAnsi="Arial" w:cs="Arial"/>
                <w:b/>
                <w:iCs/>
                <w:color w:val="000000"/>
              </w:rPr>
            </w:pPr>
            <w:r w:rsidRPr="00FD02F8">
              <w:rPr>
                <w:rFonts w:ascii="Arial" w:hAnsi="Arial" w:cs="Arial"/>
                <w:b/>
                <w:iCs/>
                <w:color w:val="000000"/>
              </w:rPr>
              <w:t>KR 10.3:</w:t>
            </w:r>
            <w:r w:rsidRPr="00FD02F8">
              <w:rPr>
                <w:rFonts w:ascii="Arial" w:hAnsi="Arial" w:cs="Arial"/>
                <w:iCs/>
                <w:color w:val="000000"/>
              </w:rPr>
              <w:t xml:space="preserve"> Target of customer digital interactions are resolved within service level agreement </w:t>
            </w:r>
            <w:bookmarkStart w:id="27" w:name="_Int_cMGUZusY"/>
            <w:r w:rsidRPr="00FD02F8">
              <w:rPr>
                <w:rFonts w:ascii="Arial" w:hAnsi="Arial" w:cs="Arial"/>
                <w:iCs/>
                <w:color w:val="000000"/>
              </w:rPr>
              <w:t>timeframes</w:t>
            </w:r>
            <w:bookmarkEnd w:id="27"/>
            <w:r w:rsidRPr="00FD02F8">
              <w:rPr>
                <w:rFonts w:ascii="Arial" w:hAnsi="Arial" w:cs="Arial"/>
                <w:iCs/>
                <w:color w:val="000000"/>
              </w:rPr>
              <w:t xml:space="preserve"> </w:t>
            </w:r>
          </w:p>
        </w:tc>
        <w:tc>
          <w:tcPr>
            <w:tcW w:w="242" w:type="pct"/>
            <w:tcBorders>
              <w:top w:val="single" w:sz="4" w:space="0" w:color="auto"/>
              <w:left w:val="single" w:sz="4" w:space="0" w:color="auto"/>
              <w:bottom w:val="single" w:sz="4" w:space="0" w:color="auto"/>
              <w:right w:val="nil"/>
            </w:tcBorders>
            <w:vAlign w:val="center"/>
          </w:tcPr>
          <w:p w14:paraId="28094EB5" w14:textId="1478420D" w:rsidR="00752D6A" w:rsidRPr="00FD02F8" w:rsidRDefault="00752D6A" w:rsidP="00221747">
            <w:pPr>
              <w:jc w:val="center"/>
              <w:textAlignment w:val="baseline"/>
              <w:rPr>
                <w:rFonts w:ascii="Arial" w:eastAsia="Times New Roman" w:hAnsi="Arial" w:cs="Arial"/>
                <w:lang w:eastAsia="en-GB"/>
              </w:rPr>
            </w:pPr>
            <w:r w:rsidRPr="00FD02F8">
              <w:rPr>
                <w:rFonts w:ascii="Arial" w:hAnsi="Arial" w:cs="Arial"/>
                <w:b/>
                <w:color w:val="000000"/>
              </w:rPr>
              <w:t xml:space="preserve">Q4 </w:t>
            </w:r>
          </w:p>
        </w:tc>
        <w:tc>
          <w:tcPr>
            <w:tcW w:w="294" w:type="pct"/>
            <w:tcBorders>
              <w:top w:val="single" w:sz="4" w:space="0" w:color="auto"/>
            </w:tcBorders>
            <w:vAlign w:val="center"/>
          </w:tcPr>
          <w:p w14:paraId="081D367F" w14:textId="1891F67A" w:rsidR="00752D6A" w:rsidRPr="00FD02F8" w:rsidRDefault="00752D6A"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N/A</w:t>
            </w:r>
          </w:p>
        </w:tc>
        <w:tc>
          <w:tcPr>
            <w:tcW w:w="294" w:type="pct"/>
            <w:tcBorders>
              <w:top w:val="single" w:sz="4" w:space="0" w:color="auto"/>
            </w:tcBorders>
            <w:vAlign w:val="center"/>
          </w:tcPr>
          <w:p w14:paraId="63C05737" w14:textId="5934582C" w:rsidR="00752D6A" w:rsidRPr="00FD02F8" w:rsidRDefault="00341EF9"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294" w:type="pct"/>
            <w:tcBorders>
              <w:top w:val="single" w:sz="4" w:space="0" w:color="auto"/>
            </w:tcBorders>
            <w:vAlign w:val="center"/>
          </w:tcPr>
          <w:p w14:paraId="64DEB1D8" w14:textId="1A678DCC" w:rsidR="00752D6A" w:rsidRPr="00FD02F8" w:rsidRDefault="00B065C2"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0</w:t>
            </w:r>
          </w:p>
        </w:tc>
        <w:tc>
          <w:tcPr>
            <w:tcW w:w="294" w:type="pct"/>
            <w:tcBorders>
              <w:top w:val="single" w:sz="4" w:space="0" w:color="auto"/>
            </w:tcBorders>
            <w:vAlign w:val="center"/>
          </w:tcPr>
          <w:p w14:paraId="4E5995A4" w14:textId="77777777" w:rsidR="00752D6A" w:rsidRPr="00FD02F8" w:rsidRDefault="00752D6A"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27" w:type="pct"/>
            <w:vAlign w:val="center"/>
          </w:tcPr>
          <w:p w14:paraId="5DCE9D2D" w14:textId="6BBA6C27" w:rsidR="00752D6A" w:rsidRPr="00FD02F8" w:rsidRDefault="00341EF9" w:rsidP="00221747">
            <w:pPr>
              <w:jc w:val="center"/>
              <w:textAlignment w:val="baseline"/>
              <w:rPr>
                <w:rFonts w:ascii="Arial" w:hAnsi="Arial" w:cs="Arial"/>
                <w:b/>
              </w:rPr>
            </w:pPr>
            <w:r w:rsidRPr="00FD02F8">
              <w:rPr>
                <w:noProof/>
              </w:rPr>
              <w:drawing>
                <wp:anchor distT="0" distB="0" distL="114300" distR="114300" simplePos="0" relativeHeight="251668480" behindDoc="0" locked="0" layoutInCell="1" allowOverlap="1" wp14:anchorId="69D4114C" wp14:editId="3ED4C7DA">
                  <wp:simplePos x="0" y="0"/>
                  <wp:positionH relativeFrom="column">
                    <wp:posOffset>33020</wp:posOffset>
                  </wp:positionH>
                  <wp:positionV relativeFrom="paragraph">
                    <wp:posOffset>-102870</wp:posOffset>
                  </wp:positionV>
                  <wp:extent cx="444500" cy="444500"/>
                  <wp:effectExtent l="0" t="0" r="0" b="0"/>
                  <wp:wrapNone/>
                  <wp:docPr id="1251097296"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76" w:type="pct"/>
            <w:vAlign w:val="center"/>
          </w:tcPr>
          <w:p w14:paraId="68EE976A" w14:textId="68409100" w:rsidR="00645E6D" w:rsidRPr="00FD02F8" w:rsidRDefault="00DD1B4F" w:rsidP="73172DDB">
            <w:pPr>
              <w:textAlignment w:val="baseline"/>
              <w:rPr>
                <w:rFonts w:ascii="Arial" w:eastAsia="Times New Roman" w:hAnsi="Arial" w:cs="Arial"/>
                <w:lang w:eastAsia="en-GB"/>
              </w:rPr>
            </w:pPr>
            <w:r w:rsidRPr="00FD02F8">
              <w:rPr>
                <w:rFonts w:ascii="Arial" w:eastAsia="Times New Roman" w:hAnsi="Arial" w:cs="Arial"/>
                <w:lang w:eastAsia="en-GB"/>
              </w:rPr>
              <w:t xml:space="preserve">This key result is dependent on the delivery of </w:t>
            </w:r>
            <w:r w:rsidR="004F4436" w:rsidRPr="00FD02F8">
              <w:rPr>
                <w:rFonts w:ascii="Arial" w:eastAsia="Times New Roman" w:hAnsi="Arial" w:cs="Arial"/>
                <w:lang w:eastAsia="en-GB"/>
              </w:rPr>
              <w:t>KR</w:t>
            </w:r>
            <w:r w:rsidRPr="00FD02F8">
              <w:rPr>
                <w:rFonts w:ascii="Arial" w:eastAsia="Times New Roman" w:hAnsi="Arial" w:cs="Arial"/>
                <w:lang w:eastAsia="en-GB"/>
              </w:rPr>
              <w:t xml:space="preserve">10.1 - </w:t>
            </w:r>
            <w:r w:rsidRPr="00FD02F8">
              <w:rPr>
                <w:rFonts w:ascii="Arial" w:eastAsia="Times New Roman" w:hAnsi="Arial" w:cs="Arial"/>
                <w:i/>
                <w:iCs/>
                <w:lang w:eastAsia="en-GB"/>
              </w:rPr>
              <w:t>Launch New Digital Contact Methods</w:t>
            </w:r>
            <w:r w:rsidRPr="00FD02F8">
              <w:rPr>
                <w:rFonts w:ascii="Arial" w:eastAsia="Times New Roman" w:hAnsi="Arial" w:cs="Arial"/>
                <w:lang w:eastAsia="en-GB"/>
              </w:rPr>
              <w:t xml:space="preserve">, which has been </w:t>
            </w:r>
            <w:r w:rsidR="005E7FEA" w:rsidRPr="00FD02F8">
              <w:rPr>
                <w:rFonts w:ascii="Arial" w:eastAsia="Times New Roman" w:hAnsi="Arial" w:cs="Arial"/>
                <w:lang w:eastAsia="en-GB"/>
              </w:rPr>
              <w:t>paused</w:t>
            </w:r>
            <w:r w:rsidRPr="00FD02F8">
              <w:rPr>
                <w:rFonts w:ascii="Arial" w:eastAsia="Times New Roman" w:hAnsi="Arial" w:cs="Arial"/>
                <w:lang w:eastAsia="en-GB"/>
              </w:rPr>
              <w:t xml:space="preserve">, and Key Result 10.2, now scheduled for completion in Q4. </w:t>
            </w:r>
          </w:p>
          <w:p w14:paraId="312BDA59" w14:textId="00B38572" w:rsidR="00645E6D" w:rsidRPr="00FD02F8" w:rsidRDefault="004F4436" w:rsidP="00221747">
            <w:pPr>
              <w:textAlignment w:val="baseline"/>
              <w:rPr>
                <w:rFonts w:ascii="Arial" w:eastAsia="Times New Roman" w:hAnsi="Arial" w:cs="Arial"/>
                <w:lang w:eastAsia="en-GB"/>
              </w:rPr>
            </w:pPr>
            <w:r w:rsidRPr="00FD02F8">
              <w:rPr>
                <w:rFonts w:ascii="Arial" w:eastAsia="Times New Roman" w:hAnsi="Arial" w:cs="Arial"/>
                <w:lang w:eastAsia="en-GB"/>
              </w:rPr>
              <w:lastRenderedPageBreak/>
              <w:t>As a result, t</w:t>
            </w:r>
            <w:r w:rsidR="00645E6D" w:rsidRPr="00FD02F8">
              <w:rPr>
                <w:rFonts w:ascii="Arial" w:eastAsia="Times New Roman" w:hAnsi="Arial" w:cs="Arial"/>
                <w:lang w:eastAsia="en-GB"/>
              </w:rPr>
              <w:t xml:space="preserve">his will not be delivered </w:t>
            </w:r>
            <w:r w:rsidR="000540AE" w:rsidRPr="00FD02F8">
              <w:rPr>
                <w:rFonts w:ascii="Arial" w:eastAsia="Times New Roman" w:hAnsi="Arial" w:cs="Arial"/>
                <w:lang w:eastAsia="en-GB"/>
              </w:rPr>
              <w:t>in 2025/26.</w:t>
            </w:r>
            <w:r w:rsidR="00F4387B" w:rsidRPr="00FD02F8">
              <w:rPr>
                <w:rFonts w:ascii="Arial" w:eastAsia="Times New Roman" w:hAnsi="Arial" w:cs="Arial"/>
                <w:lang w:eastAsia="en-GB"/>
              </w:rPr>
              <w:t xml:space="preserve"> This is reflected in the forecast as not delivered.</w:t>
            </w:r>
          </w:p>
        </w:tc>
        <w:tc>
          <w:tcPr>
            <w:tcW w:w="500" w:type="pct"/>
            <w:vAlign w:val="center"/>
          </w:tcPr>
          <w:p w14:paraId="7A6453A2" w14:textId="2998E92F" w:rsidR="00752D6A" w:rsidRPr="00FD02F8" w:rsidRDefault="0015032B" w:rsidP="00221747">
            <w:pPr>
              <w:textAlignment w:val="baseline"/>
              <w:rPr>
                <w:rFonts w:ascii="Arial" w:eastAsia="Times New Roman" w:hAnsi="Arial" w:cs="Arial"/>
                <w:szCs w:val="28"/>
                <w:lang w:eastAsia="en-GB"/>
              </w:rPr>
            </w:pPr>
            <w:r w:rsidRPr="00FD02F8">
              <w:rPr>
                <w:rFonts w:ascii="Arial" w:eastAsia="Times New Roman" w:hAnsi="Arial" w:cs="Arial"/>
                <w:lang w:eastAsia="en-GB"/>
              </w:rPr>
              <w:lastRenderedPageBreak/>
              <w:t>Not Delivered</w:t>
            </w:r>
          </w:p>
        </w:tc>
      </w:tr>
    </w:tbl>
    <w:p w14:paraId="6992FE12" w14:textId="77777777" w:rsidR="009819B4" w:rsidRPr="00FD02F8" w:rsidRDefault="009819B4" w:rsidP="009819B4">
      <w:pPr>
        <w:spacing w:line="240" w:lineRule="auto"/>
      </w:pPr>
    </w:p>
    <w:p w14:paraId="0C2A9BD1" w14:textId="767E2921" w:rsidR="00C20D8D" w:rsidRPr="00FD02F8" w:rsidRDefault="00C20D8D" w:rsidP="00221747">
      <w:pPr>
        <w:spacing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r w:rsidR="00A12C2A" w:rsidRPr="00FD02F8">
        <w:rPr>
          <w:sz w:val="28"/>
          <w:szCs w:val="28"/>
        </w:rPr>
        <w:t>0</w:t>
      </w:r>
    </w:p>
    <w:p w14:paraId="07FC69A2" w14:textId="2D5F0BD9" w:rsidR="00F35E5B" w:rsidRPr="00FD02F8" w:rsidRDefault="0079345E" w:rsidP="00680386">
      <w:pPr>
        <w:pStyle w:val="Heading3"/>
        <w:spacing w:before="240" w:after="120"/>
        <w:rPr>
          <w:color w:val="016574"/>
          <w:sz w:val="32"/>
          <w:szCs w:val="28"/>
        </w:rPr>
      </w:pPr>
      <w:bookmarkStart w:id="28" w:name="_Toc199766089"/>
      <w:r w:rsidRPr="00FD02F8">
        <w:rPr>
          <w:color w:val="016574"/>
          <w:sz w:val="32"/>
          <w:szCs w:val="28"/>
        </w:rPr>
        <w:lastRenderedPageBreak/>
        <w:t>OO</w:t>
      </w:r>
      <w:r w:rsidR="00F35E5B" w:rsidRPr="00FD02F8">
        <w:rPr>
          <w:color w:val="016574"/>
          <w:sz w:val="32"/>
          <w:szCs w:val="28"/>
        </w:rPr>
        <w:t xml:space="preserve"> OKR11: </w:t>
      </w:r>
      <w:r w:rsidR="0039377A" w:rsidRPr="00FD02F8">
        <w:rPr>
          <w:color w:val="016574"/>
          <w:sz w:val="32"/>
          <w:szCs w:val="28"/>
        </w:rPr>
        <w:t>Deliver our People Strategy to build a safe, welcoming and high performing environment which empowers our people to be purposeful, professional and passionate</w:t>
      </w:r>
    </w:p>
    <w:p w14:paraId="0C8BFF07" w14:textId="10663EBD" w:rsidR="004C4F7C" w:rsidRPr="00FD02F8" w:rsidRDefault="005103B4" w:rsidP="00F35E5B">
      <w:pPr>
        <w:rPr>
          <w:b/>
          <w:bCs/>
          <w:color w:val="3C4741" w:themeColor="text1"/>
          <w:sz w:val="28"/>
          <w:szCs w:val="28"/>
        </w:rPr>
      </w:pPr>
      <w:r w:rsidRPr="00FD02F8">
        <w:rPr>
          <w:noProof/>
        </w:rPr>
        <w:drawing>
          <wp:inline distT="0" distB="0" distL="0" distR="0" wp14:anchorId="3D8184DE" wp14:editId="2E68103D">
            <wp:extent cx="9488031" cy="3069124"/>
            <wp:effectExtent l="0" t="0" r="18415" b="17145"/>
            <wp:docPr id="1124922639" name="Chart 1" descr="This is a bar graph which shows the score of each key result for OKR11 over each quarter. &#10;There is a line on the score scale of 0.7 to represent whether the KR is being delivered. There is another line on the score scale of 0.3 to represent whether measurable progress has been made in the quarter.&#10;For Q1, KR11.1 scored 1.&#10;KR11.2 scored 0.&#10;KR11.3 had no score as this will be progressed later in the year.&#10;KR11.4 scored 0.74.&#10;&#10;For Q2, KR11.1 scored 1.&#10;KR11.2 scored 0.&#10;KR11.3 had no score as this will be progressed later in the year.&#10;KR11.4 scored 1.&#10;&#10;For Q3, KR11.1 scored 1.&#10;KR11.2 scored 1.&#10;KR11.3 scored 1.&#10;KR11.4 scored 1.">
              <a:extLst xmlns:a="http://schemas.openxmlformats.org/drawingml/2006/main">
                <a:ext uri="{FF2B5EF4-FFF2-40B4-BE49-F238E27FC236}">
                  <a16:creationId xmlns:a16="http://schemas.microsoft.com/office/drawing/2014/main" id="{DDB4AEF5-57CD-4269-9CB1-7F7F7709B7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1 key result summary"/>
        <w:tblDescription w:val="Quarterly summary for each of the four key results under OKR11. This includes the date due, Q3 score, Q3 status, Q3 commentary and annual forecast for each key result."/>
      </w:tblPr>
      <w:tblGrid>
        <w:gridCol w:w="3869"/>
        <w:gridCol w:w="767"/>
        <w:gridCol w:w="924"/>
        <w:gridCol w:w="924"/>
        <w:gridCol w:w="924"/>
        <w:gridCol w:w="924"/>
        <w:gridCol w:w="1020"/>
        <w:gridCol w:w="4110"/>
        <w:gridCol w:w="1496"/>
      </w:tblGrid>
      <w:tr w:rsidR="00B57DD6" w:rsidRPr="00FD02F8" w14:paraId="5B41E348" w14:textId="77777777" w:rsidTr="00853914">
        <w:trPr>
          <w:cantSplit/>
          <w:trHeight w:val="545"/>
          <w:tblHeader/>
        </w:trPr>
        <w:tc>
          <w:tcPr>
            <w:tcW w:w="1293" w:type="pct"/>
            <w:shd w:val="clear" w:color="auto" w:fill="016574" w:themeFill="accent2"/>
          </w:tcPr>
          <w:p w14:paraId="796D1462" w14:textId="0E3BFB94" w:rsidR="00F35E5B" w:rsidRPr="00FD02F8" w:rsidRDefault="004C4F7C">
            <w:pPr>
              <w:spacing w:before="40" w:after="40" w:line="240" w:lineRule="auto"/>
              <w:textAlignment w:val="baseline"/>
              <w:rPr>
                <w:rFonts w:ascii="Arial" w:eastAsia="Times New Roman" w:hAnsi="Arial" w:cs="Arial"/>
                <w:color w:val="000000"/>
                <w:sz w:val="28"/>
                <w:szCs w:val="28"/>
                <w:lang w:eastAsia="en-GB"/>
              </w:rPr>
            </w:pPr>
            <w:r w:rsidRPr="00FD02F8">
              <w:rPr>
                <w:rFonts w:ascii="Arial" w:eastAsia="MS PGothic" w:hAnsi="Arial" w:cs="Arial"/>
                <w:b/>
                <w:bCs/>
                <w:color w:val="FFFFFF" w:themeColor="background1"/>
              </w:rPr>
              <w:lastRenderedPageBreak/>
              <w:t>K</w:t>
            </w:r>
            <w:r w:rsidR="00F35E5B" w:rsidRPr="00FD02F8">
              <w:rPr>
                <w:rFonts w:ascii="Arial" w:eastAsia="MS PGothic" w:hAnsi="Arial" w:cs="Arial"/>
                <w:b/>
                <w:bCs/>
                <w:color w:val="FFFFFF" w:themeColor="background1"/>
              </w:rPr>
              <w:t>ey Results</w:t>
            </w:r>
          </w:p>
        </w:tc>
        <w:tc>
          <w:tcPr>
            <w:tcW w:w="256" w:type="pct"/>
            <w:shd w:val="clear" w:color="auto" w:fill="016574" w:themeFill="accent2"/>
          </w:tcPr>
          <w:p w14:paraId="68B3FE11"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Due date</w:t>
            </w:r>
          </w:p>
        </w:tc>
        <w:tc>
          <w:tcPr>
            <w:tcW w:w="309" w:type="pct"/>
            <w:shd w:val="clear" w:color="auto" w:fill="016574" w:themeFill="accent2"/>
          </w:tcPr>
          <w:p w14:paraId="5C26C5CA"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Q1 score</w:t>
            </w:r>
          </w:p>
        </w:tc>
        <w:tc>
          <w:tcPr>
            <w:tcW w:w="309" w:type="pct"/>
            <w:shd w:val="clear" w:color="auto" w:fill="016574" w:themeFill="accent2"/>
          </w:tcPr>
          <w:p w14:paraId="567EBAA3"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Q2 score</w:t>
            </w:r>
          </w:p>
        </w:tc>
        <w:tc>
          <w:tcPr>
            <w:tcW w:w="309" w:type="pct"/>
            <w:shd w:val="clear" w:color="auto" w:fill="016574" w:themeFill="accent2"/>
          </w:tcPr>
          <w:p w14:paraId="56CADA67"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Q3 score</w:t>
            </w:r>
          </w:p>
        </w:tc>
        <w:tc>
          <w:tcPr>
            <w:tcW w:w="309" w:type="pct"/>
            <w:shd w:val="clear" w:color="auto" w:fill="016574" w:themeFill="accent2"/>
          </w:tcPr>
          <w:p w14:paraId="3F297D6E" w14:textId="77777777" w:rsidR="00F35E5B" w:rsidRPr="00FD02F8" w:rsidRDefault="00F35E5B">
            <w:pPr>
              <w:spacing w:before="40" w:after="40" w:line="240" w:lineRule="auto"/>
              <w:jc w:val="center"/>
              <w:textAlignment w:val="baseline"/>
              <w:rPr>
                <w:rFonts w:ascii="Arial" w:eastAsia="MS PGothic" w:hAnsi="Arial" w:cs="Arial"/>
                <w:b/>
                <w:bCs/>
                <w:color w:val="FFFFFF"/>
              </w:rPr>
            </w:pPr>
            <w:r w:rsidRPr="00FD02F8">
              <w:rPr>
                <w:rFonts w:ascii="Arial" w:eastAsia="MS PGothic" w:hAnsi="Arial" w:cs="Arial"/>
                <w:b/>
                <w:bCs/>
                <w:color w:val="FFFFFF"/>
              </w:rPr>
              <w:t>Q4 score</w:t>
            </w:r>
          </w:p>
        </w:tc>
        <w:tc>
          <w:tcPr>
            <w:tcW w:w="341" w:type="pct"/>
            <w:shd w:val="clear" w:color="auto" w:fill="016574" w:themeFill="accent2"/>
          </w:tcPr>
          <w:p w14:paraId="35BDC0E6" w14:textId="51A7409D" w:rsidR="00F35E5B" w:rsidRPr="00FD02F8" w:rsidRDefault="00F35E5B">
            <w:pPr>
              <w:spacing w:before="40" w:after="40" w:line="240" w:lineRule="auto"/>
              <w:jc w:val="center"/>
              <w:textAlignment w:val="baseline"/>
              <w:rPr>
                <w:rFonts w:ascii="Arial" w:eastAsia="Times New Roman" w:hAnsi="Arial" w:cs="Arial"/>
                <w:color w:val="000000"/>
                <w:lang w:eastAsia="en-GB"/>
              </w:rPr>
            </w:pPr>
            <w:r w:rsidRPr="00FD02F8">
              <w:rPr>
                <w:rFonts w:ascii="Arial" w:eastAsia="MS PGothic" w:hAnsi="Arial" w:cs="Arial"/>
                <w:b/>
                <w:bCs/>
                <w:color w:val="FFFFFF"/>
              </w:rPr>
              <w:t>Q</w:t>
            </w:r>
            <w:r w:rsidR="00D654E2" w:rsidRPr="00FD02F8">
              <w:rPr>
                <w:rFonts w:ascii="Arial" w:eastAsia="MS PGothic" w:hAnsi="Arial" w:cs="Arial"/>
                <w:b/>
                <w:bCs/>
                <w:color w:val="FFFFFF"/>
              </w:rPr>
              <w:t xml:space="preserve">2 </w:t>
            </w:r>
            <w:r w:rsidRPr="00FD02F8">
              <w:rPr>
                <w:rFonts w:ascii="Arial" w:eastAsia="MS PGothic" w:hAnsi="Arial" w:cs="Arial"/>
                <w:b/>
                <w:bCs/>
                <w:color w:val="FFFFFF"/>
              </w:rPr>
              <w:t>Status</w:t>
            </w:r>
          </w:p>
        </w:tc>
        <w:tc>
          <w:tcPr>
            <w:tcW w:w="1374" w:type="pct"/>
            <w:shd w:val="clear" w:color="auto" w:fill="016574" w:themeFill="accent2"/>
          </w:tcPr>
          <w:p w14:paraId="4B9E0C86" w14:textId="36054E3A" w:rsidR="00F35E5B" w:rsidRPr="00FD02F8" w:rsidRDefault="00F35E5B">
            <w:pPr>
              <w:spacing w:before="40" w:after="40" w:line="240" w:lineRule="auto"/>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Q</w:t>
            </w:r>
            <w:r w:rsidR="00D654E2" w:rsidRPr="00FD02F8">
              <w:rPr>
                <w:rFonts w:ascii="Arial" w:eastAsia="MS PGothic" w:hAnsi="Arial" w:cs="Arial"/>
                <w:b/>
                <w:bCs/>
                <w:color w:val="FFFFFF"/>
                <w:sz w:val="28"/>
                <w:szCs w:val="28"/>
              </w:rPr>
              <w:t>2</w:t>
            </w:r>
            <w:r w:rsidRPr="00FD02F8">
              <w:rPr>
                <w:rFonts w:ascii="Arial" w:eastAsia="MS PGothic" w:hAnsi="Arial" w:cs="Arial"/>
                <w:b/>
                <w:bCs/>
                <w:color w:val="FFFFFF"/>
                <w:sz w:val="28"/>
                <w:szCs w:val="28"/>
              </w:rPr>
              <w:t xml:space="preserve"> commentary</w:t>
            </w:r>
          </w:p>
        </w:tc>
        <w:tc>
          <w:tcPr>
            <w:tcW w:w="500" w:type="pct"/>
            <w:shd w:val="clear" w:color="auto" w:fill="016574" w:themeFill="accent2"/>
          </w:tcPr>
          <w:p w14:paraId="095349C6" w14:textId="77777777" w:rsidR="00F35E5B" w:rsidRPr="00FD02F8" w:rsidRDefault="00F35E5B">
            <w:pPr>
              <w:spacing w:before="40" w:after="40" w:line="240" w:lineRule="auto"/>
              <w:jc w:val="center"/>
              <w:textAlignment w:val="baseline"/>
              <w:rPr>
                <w:rFonts w:ascii="Arial" w:eastAsia="MS PGothic" w:hAnsi="Arial" w:cs="Arial"/>
                <w:b/>
                <w:bCs/>
                <w:color w:val="FFFFFF"/>
                <w:sz w:val="28"/>
                <w:szCs w:val="28"/>
              </w:rPr>
            </w:pPr>
            <w:r w:rsidRPr="00FD02F8">
              <w:rPr>
                <w:rFonts w:ascii="Arial" w:eastAsia="MS PGothic" w:hAnsi="Arial" w:cs="Arial"/>
                <w:b/>
                <w:bCs/>
                <w:color w:val="FFFFFF"/>
                <w:sz w:val="28"/>
                <w:szCs w:val="28"/>
              </w:rPr>
              <w:t>Annual forecast</w:t>
            </w:r>
          </w:p>
        </w:tc>
      </w:tr>
      <w:tr w:rsidR="00B57DD6" w:rsidRPr="00FD02F8" w14:paraId="391A5C9E" w14:textId="77777777" w:rsidTr="00AE6C47">
        <w:tblPrEx>
          <w:tblCellMar>
            <w:left w:w="108" w:type="dxa"/>
            <w:right w:w="108" w:type="dxa"/>
          </w:tblCellMar>
        </w:tblPrEx>
        <w:trPr>
          <w:cantSplit/>
          <w:trHeight w:val="865"/>
        </w:trPr>
        <w:tc>
          <w:tcPr>
            <w:tcW w:w="1293" w:type="pct"/>
            <w:tcBorders>
              <w:bottom w:val="single" w:sz="4" w:space="0" w:color="auto"/>
            </w:tcBorders>
          </w:tcPr>
          <w:p w14:paraId="1DA9762C" w14:textId="674D0B7E" w:rsidR="00F35E5B" w:rsidRPr="00FD02F8" w:rsidRDefault="00EF03D1" w:rsidP="00221747">
            <w:pPr>
              <w:rPr>
                <w:rFonts w:ascii="Arial" w:eastAsia="Times New Roman" w:hAnsi="Arial" w:cs="Arial"/>
                <w:b/>
                <w:bCs/>
                <w:color w:val="000000"/>
              </w:rPr>
            </w:pPr>
            <w:r w:rsidRPr="00FD02F8">
              <w:rPr>
                <w:rFonts w:ascii="Arial" w:hAnsi="Arial" w:cs="Arial"/>
                <w:b/>
                <w:bCs/>
                <w:color w:val="000000"/>
              </w:rPr>
              <w:t xml:space="preserve">KR 11.1: </w:t>
            </w:r>
            <w:r w:rsidRPr="00FD02F8">
              <w:rPr>
                <w:rFonts w:ascii="Arial" w:hAnsi="Arial" w:cs="Arial"/>
                <w:color w:val="000000"/>
              </w:rPr>
              <w:t>Launch strategic approach to wellbeing and improved offer of mental health and wellbeing support to colleagues</w:t>
            </w:r>
            <w:r w:rsidR="001F14BB" w:rsidRPr="00FD02F8">
              <w:rPr>
                <w:rFonts w:ascii="Arial" w:hAnsi="Arial" w:cs="Arial"/>
                <w:color w:val="000000"/>
              </w:rPr>
              <w:t>.</w:t>
            </w:r>
            <w:r w:rsidRPr="00FD02F8">
              <w:rPr>
                <w:rFonts w:ascii="Arial" w:hAnsi="Arial" w:cs="Arial"/>
                <w:color w:val="000000"/>
              </w:rPr>
              <w:t xml:space="preserve"> </w:t>
            </w:r>
          </w:p>
        </w:tc>
        <w:tc>
          <w:tcPr>
            <w:tcW w:w="256" w:type="pct"/>
            <w:tcBorders>
              <w:top w:val="nil"/>
              <w:left w:val="single" w:sz="4" w:space="0" w:color="auto"/>
              <w:bottom w:val="single" w:sz="4" w:space="0" w:color="auto"/>
              <w:right w:val="nil"/>
            </w:tcBorders>
            <w:vAlign w:val="center"/>
          </w:tcPr>
          <w:p w14:paraId="41990112" w14:textId="57B06E06" w:rsidR="00F35E5B" w:rsidRPr="00FD02F8" w:rsidRDefault="00EF03D1" w:rsidP="00221747">
            <w:pPr>
              <w:jc w:val="center"/>
              <w:textAlignment w:val="baseline"/>
              <w:rPr>
                <w:rFonts w:ascii="Arial" w:eastAsia="Times New Roman" w:hAnsi="Arial" w:cs="Arial"/>
                <w:lang w:eastAsia="en-GB"/>
              </w:rPr>
            </w:pPr>
            <w:r w:rsidRPr="00FD02F8">
              <w:rPr>
                <w:rFonts w:ascii="Arial" w:hAnsi="Arial" w:cs="Arial"/>
                <w:b/>
                <w:bCs/>
                <w:color w:val="000000"/>
              </w:rPr>
              <w:t>Q1</w:t>
            </w:r>
          </w:p>
        </w:tc>
        <w:tc>
          <w:tcPr>
            <w:tcW w:w="309" w:type="pct"/>
            <w:tcBorders>
              <w:top w:val="nil"/>
              <w:left w:val="single" w:sz="4" w:space="0" w:color="auto"/>
              <w:bottom w:val="single" w:sz="4" w:space="0" w:color="auto"/>
              <w:right w:val="single" w:sz="4" w:space="0" w:color="auto"/>
            </w:tcBorders>
            <w:vAlign w:val="center"/>
          </w:tcPr>
          <w:p w14:paraId="25CADDB1" w14:textId="1D7522E5" w:rsidR="00F35E5B" w:rsidRPr="00FD02F8" w:rsidRDefault="00EF03D1" w:rsidP="00221747">
            <w:pPr>
              <w:jc w:val="center"/>
              <w:textAlignment w:val="baseline"/>
              <w:rPr>
                <w:rFonts w:ascii="Arial" w:eastAsia="Times New Roman" w:hAnsi="Arial" w:cs="Arial"/>
                <w:lang w:eastAsia="en-GB"/>
              </w:rPr>
            </w:pPr>
            <w:r w:rsidRPr="00FD02F8">
              <w:rPr>
                <w:rFonts w:ascii="Arial" w:hAnsi="Arial" w:cs="Arial"/>
                <w:color w:val="000000"/>
              </w:rPr>
              <w:t>1</w:t>
            </w:r>
          </w:p>
        </w:tc>
        <w:tc>
          <w:tcPr>
            <w:tcW w:w="309" w:type="pct"/>
            <w:tcBorders>
              <w:bottom w:val="single" w:sz="4" w:space="0" w:color="auto"/>
            </w:tcBorders>
            <w:vAlign w:val="center"/>
          </w:tcPr>
          <w:p w14:paraId="72A79415" w14:textId="303549CE" w:rsidR="00F35E5B" w:rsidRPr="00FD02F8" w:rsidRDefault="000540AE"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1</w:t>
            </w:r>
          </w:p>
        </w:tc>
        <w:tc>
          <w:tcPr>
            <w:tcW w:w="309" w:type="pct"/>
            <w:tcBorders>
              <w:bottom w:val="single" w:sz="4" w:space="0" w:color="auto"/>
            </w:tcBorders>
            <w:vAlign w:val="center"/>
          </w:tcPr>
          <w:p w14:paraId="21E8E018" w14:textId="49C1D82B" w:rsidR="00F35E5B" w:rsidRPr="00FD02F8" w:rsidRDefault="00B065C2"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1</w:t>
            </w:r>
          </w:p>
        </w:tc>
        <w:tc>
          <w:tcPr>
            <w:tcW w:w="309" w:type="pct"/>
            <w:tcBorders>
              <w:bottom w:val="single" w:sz="4" w:space="0" w:color="auto"/>
            </w:tcBorders>
            <w:vAlign w:val="center"/>
          </w:tcPr>
          <w:p w14:paraId="7DE9B2EF" w14:textId="77777777" w:rsidR="00F35E5B" w:rsidRPr="00FD02F8" w:rsidRDefault="00F35E5B"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tcBorders>
              <w:bottom w:val="single" w:sz="4" w:space="0" w:color="auto"/>
            </w:tcBorders>
            <w:vAlign w:val="center"/>
          </w:tcPr>
          <w:p w14:paraId="09828033" w14:textId="38EB1DC4" w:rsidR="00F35E5B" w:rsidRPr="00FD02F8" w:rsidRDefault="007848CA" w:rsidP="00221747">
            <w:pPr>
              <w:jc w:val="center"/>
              <w:textAlignment w:val="baseline"/>
              <w:rPr>
                <w:rFonts w:ascii="Arial" w:eastAsia="Times New Roman" w:hAnsi="Arial" w:cs="Arial"/>
                <w:szCs w:val="28"/>
                <w:lang w:eastAsia="en-GB"/>
              </w:rPr>
            </w:pPr>
            <w:r w:rsidRPr="00FD02F8">
              <w:rPr>
                <w:noProof/>
              </w:rPr>
              <w:drawing>
                <wp:inline distT="0" distB="0" distL="0" distR="0" wp14:anchorId="2EE1C57D" wp14:editId="26622BB9">
                  <wp:extent cx="432000" cy="432000"/>
                  <wp:effectExtent l="0" t="0" r="0" b="0"/>
                  <wp:docPr id="1435304980"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74" w:type="pct"/>
            <w:tcBorders>
              <w:bottom w:val="single" w:sz="4" w:space="0" w:color="auto"/>
            </w:tcBorders>
            <w:vAlign w:val="center"/>
          </w:tcPr>
          <w:p w14:paraId="484EDAD3" w14:textId="52217703" w:rsidR="00F35E5B" w:rsidRPr="00FD02F8" w:rsidRDefault="00492DFD" w:rsidP="00625A5F">
            <w:pPr>
              <w:textAlignment w:val="baseline"/>
              <w:rPr>
                <w:rFonts w:ascii="Arial" w:eastAsia="Times New Roman" w:hAnsi="Arial" w:cs="Arial"/>
                <w:b/>
                <w:bCs/>
                <w:lang w:eastAsia="en-GB"/>
              </w:rPr>
            </w:pPr>
            <w:r w:rsidRPr="00FD02F8">
              <w:rPr>
                <w:rFonts w:ascii="Arial" w:eastAsia="Times New Roman" w:hAnsi="Arial" w:cs="Arial"/>
                <w:b/>
                <w:bCs/>
                <w:lang w:eastAsia="en-GB"/>
              </w:rPr>
              <w:t>Key Result complete</w:t>
            </w:r>
            <w:r w:rsidR="00376FE0" w:rsidRPr="00FD02F8">
              <w:rPr>
                <w:rFonts w:ascii="Arial" w:eastAsia="Times New Roman" w:hAnsi="Arial" w:cs="Arial"/>
                <w:b/>
                <w:bCs/>
                <w:lang w:eastAsia="en-GB"/>
              </w:rPr>
              <w:t>d</w:t>
            </w:r>
            <w:r w:rsidR="007848CA" w:rsidRPr="00FD02F8">
              <w:rPr>
                <w:rFonts w:ascii="Arial" w:eastAsia="Times New Roman" w:hAnsi="Arial" w:cs="Arial"/>
                <w:b/>
                <w:bCs/>
                <w:lang w:eastAsia="en-GB"/>
              </w:rPr>
              <w:t xml:space="preserve"> Q1</w:t>
            </w:r>
          </w:p>
        </w:tc>
        <w:tc>
          <w:tcPr>
            <w:tcW w:w="500" w:type="pct"/>
            <w:tcBorders>
              <w:bottom w:val="single" w:sz="4" w:space="0" w:color="auto"/>
            </w:tcBorders>
            <w:vAlign w:val="center"/>
          </w:tcPr>
          <w:p w14:paraId="142DB8E1" w14:textId="5E3F279A" w:rsidR="00F35E5B" w:rsidRPr="00FD02F8" w:rsidRDefault="008E098C"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Delivered</w:t>
            </w:r>
          </w:p>
        </w:tc>
      </w:tr>
      <w:tr w:rsidR="00B57DD6" w:rsidRPr="00FD02F8" w14:paraId="317F687F" w14:textId="77777777" w:rsidTr="00AE6C47">
        <w:tblPrEx>
          <w:tblCellMar>
            <w:left w:w="108" w:type="dxa"/>
            <w:right w:w="108" w:type="dxa"/>
          </w:tblCellMar>
        </w:tblPrEx>
        <w:trPr>
          <w:cantSplit/>
          <w:trHeight w:val="16"/>
        </w:trPr>
        <w:tc>
          <w:tcPr>
            <w:tcW w:w="1293" w:type="pct"/>
            <w:tcBorders>
              <w:top w:val="single" w:sz="4" w:space="0" w:color="auto"/>
              <w:left w:val="single" w:sz="4" w:space="0" w:color="auto"/>
              <w:bottom w:val="single" w:sz="4" w:space="0" w:color="auto"/>
              <w:right w:val="single" w:sz="4" w:space="0" w:color="auto"/>
            </w:tcBorders>
            <w:vAlign w:val="center"/>
          </w:tcPr>
          <w:p w14:paraId="4F5A26FE" w14:textId="4493706E" w:rsidR="007C7C39" w:rsidRPr="00FD02F8" w:rsidRDefault="007C7C39" w:rsidP="00221747">
            <w:pPr>
              <w:rPr>
                <w:rFonts w:ascii="Arial" w:eastAsia="Times New Roman" w:hAnsi="Arial" w:cs="Arial"/>
                <w:b/>
                <w:bCs/>
                <w:color w:val="000000"/>
              </w:rPr>
            </w:pPr>
            <w:r w:rsidRPr="00FD02F8">
              <w:rPr>
                <w:rFonts w:ascii="Arial" w:hAnsi="Arial" w:cs="Arial"/>
                <w:b/>
                <w:bCs/>
                <w:color w:val="000000"/>
              </w:rPr>
              <w:t xml:space="preserve">KR 11.2: </w:t>
            </w:r>
            <w:r w:rsidRPr="00FD02F8">
              <w:rPr>
                <w:rFonts w:ascii="Arial" w:hAnsi="Arial" w:cs="Arial"/>
                <w:color w:val="000000"/>
              </w:rPr>
              <w:t>75% of recruiting managers reporting improved satisfaction with applicant tracking system</w:t>
            </w:r>
            <w:r w:rsidR="001F14BB" w:rsidRPr="00FD02F8">
              <w:rPr>
                <w:rFonts w:ascii="Arial" w:hAnsi="Arial" w:cs="Arial"/>
                <w:color w:val="000000"/>
              </w:rPr>
              <w:t>.</w:t>
            </w:r>
          </w:p>
        </w:tc>
        <w:tc>
          <w:tcPr>
            <w:tcW w:w="256" w:type="pct"/>
            <w:tcBorders>
              <w:top w:val="single" w:sz="4" w:space="0" w:color="auto"/>
              <w:left w:val="single" w:sz="4" w:space="0" w:color="auto"/>
              <w:bottom w:val="single" w:sz="4" w:space="0" w:color="auto"/>
              <w:right w:val="single" w:sz="4" w:space="0" w:color="auto"/>
            </w:tcBorders>
            <w:vAlign w:val="center"/>
          </w:tcPr>
          <w:p w14:paraId="412D81B1" w14:textId="2679C17C" w:rsidR="007C7C39" w:rsidRPr="00FD02F8" w:rsidRDefault="007C7C39" w:rsidP="00221747">
            <w:pPr>
              <w:jc w:val="center"/>
              <w:textAlignment w:val="baseline"/>
              <w:rPr>
                <w:rFonts w:ascii="Arial" w:eastAsia="Times New Roman" w:hAnsi="Arial" w:cs="Arial"/>
                <w:lang w:eastAsia="en-GB"/>
              </w:rPr>
            </w:pPr>
            <w:r w:rsidRPr="00FD02F8">
              <w:rPr>
                <w:rFonts w:ascii="Arial" w:hAnsi="Arial" w:cs="Arial"/>
                <w:b/>
                <w:bCs/>
                <w:color w:val="000000"/>
              </w:rPr>
              <w:t>Q3</w:t>
            </w:r>
          </w:p>
        </w:tc>
        <w:tc>
          <w:tcPr>
            <w:tcW w:w="309" w:type="pct"/>
            <w:tcBorders>
              <w:top w:val="single" w:sz="4" w:space="0" w:color="auto"/>
              <w:left w:val="single" w:sz="4" w:space="0" w:color="auto"/>
              <w:bottom w:val="single" w:sz="4" w:space="0" w:color="auto"/>
              <w:right w:val="single" w:sz="4" w:space="0" w:color="auto"/>
            </w:tcBorders>
            <w:vAlign w:val="center"/>
          </w:tcPr>
          <w:p w14:paraId="09D52C36" w14:textId="05803192" w:rsidR="007C7C39" w:rsidRPr="00FD02F8" w:rsidRDefault="006F6BA7" w:rsidP="00221747">
            <w:pPr>
              <w:jc w:val="center"/>
              <w:textAlignment w:val="baseline"/>
              <w:rPr>
                <w:rFonts w:ascii="Arial" w:eastAsia="Times New Roman" w:hAnsi="Arial" w:cs="Arial"/>
                <w:lang w:eastAsia="en-GB"/>
              </w:rPr>
            </w:pPr>
            <w:r w:rsidRPr="00FD02F8">
              <w:rPr>
                <w:rFonts w:ascii="Arial" w:hAnsi="Arial" w:cs="Arial"/>
                <w:color w:val="000000"/>
              </w:rPr>
              <w:t>0</w:t>
            </w:r>
            <w:r w:rsidR="007C7C39" w:rsidRPr="00FD02F8">
              <w:rPr>
                <w:rFonts w:ascii="Arial" w:hAnsi="Arial" w:cs="Arial"/>
                <w:color w:val="000000"/>
              </w:rPr>
              <w:t> </w:t>
            </w:r>
          </w:p>
        </w:tc>
        <w:tc>
          <w:tcPr>
            <w:tcW w:w="309" w:type="pct"/>
            <w:tcBorders>
              <w:top w:val="single" w:sz="4" w:space="0" w:color="auto"/>
              <w:left w:val="single" w:sz="4" w:space="0" w:color="auto"/>
              <w:bottom w:val="single" w:sz="4" w:space="0" w:color="auto"/>
              <w:right w:val="single" w:sz="4" w:space="0" w:color="auto"/>
            </w:tcBorders>
            <w:vAlign w:val="center"/>
          </w:tcPr>
          <w:p w14:paraId="520DBCFA" w14:textId="5F77484C" w:rsidR="007C7C39" w:rsidRPr="00FD02F8" w:rsidRDefault="001F7A6F"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0</w:t>
            </w:r>
          </w:p>
        </w:tc>
        <w:tc>
          <w:tcPr>
            <w:tcW w:w="309" w:type="pct"/>
            <w:tcBorders>
              <w:top w:val="single" w:sz="4" w:space="0" w:color="auto"/>
              <w:left w:val="single" w:sz="4" w:space="0" w:color="auto"/>
              <w:bottom w:val="single" w:sz="4" w:space="0" w:color="auto"/>
              <w:right w:val="single" w:sz="4" w:space="0" w:color="auto"/>
            </w:tcBorders>
            <w:vAlign w:val="center"/>
          </w:tcPr>
          <w:p w14:paraId="7417A6D9" w14:textId="3C0A5B68" w:rsidR="007C7C39" w:rsidRPr="00FD02F8" w:rsidRDefault="002D7ACD"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1</w:t>
            </w:r>
          </w:p>
        </w:tc>
        <w:tc>
          <w:tcPr>
            <w:tcW w:w="309" w:type="pct"/>
            <w:tcBorders>
              <w:top w:val="single" w:sz="4" w:space="0" w:color="auto"/>
              <w:left w:val="single" w:sz="4" w:space="0" w:color="auto"/>
              <w:bottom w:val="single" w:sz="4" w:space="0" w:color="auto"/>
              <w:right w:val="single" w:sz="4" w:space="0" w:color="auto"/>
            </w:tcBorders>
            <w:vAlign w:val="center"/>
          </w:tcPr>
          <w:p w14:paraId="4A68BF7A" w14:textId="77777777" w:rsidR="007C7C39" w:rsidRPr="00FD02F8" w:rsidRDefault="007C7C39"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2F8693D9" w14:textId="116E5AA6" w:rsidR="007C7C39" w:rsidRPr="00FD02F8" w:rsidRDefault="00051887" w:rsidP="00221747">
            <w:pPr>
              <w:jc w:val="center"/>
              <w:textAlignment w:val="baseline"/>
              <w:rPr>
                <w:rFonts w:ascii="Arial" w:hAnsi="Arial" w:cs="Arial"/>
                <w:b/>
              </w:rPr>
            </w:pPr>
            <w:r w:rsidRPr="00FD02F8">
              <w:rPr>
                <w:noProof/>
              </w:rPr>
              <w:drawing>
                <wp:inline distT="0" distB="0" distL="0" distR="0" wp14:anchorId="51984F85" wp14:editId="5B2F8A84">
                  <wp:extent cx="463550" cy="463550"/>
                  <wp:effectExtent l="0" t="0" r="0" b="0"/>
                  <wp:docPr id="370173091"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74" w:type="pct"/>
            <w:tcBorders>
              <w:top w:val="single" w:sz="4" w:space="0" w:color="auto"/>
              <w:left w:val="single" w:sz="4" w:space="0" w:color="auto"/>
              <w:bottom w:val="single" w:sz="4" w:space="0" w:color="auto"/>
              <w:right w:val="single" w:sz="4" w:space="0" w:color="auto"/>
            </w:tcBorders>
            <w:vAlign w:val="center"/>
          </w:tcPr>
          <w:p w14:paraId="63009A9A" w14:textId="77777777" w:rsidR="00786B8A" w:rsidRPr="00FD02F8" w:rsidRDefault="00786B8A" w:rsidP="00786B8A">
            <w:pPr>
              <w:rPr>
                <w:rFonts w:ascii="Arial" w:eastAsia="Times New Roman" w:hAnsi="Arial" w:cs="Arial"/>
                <w:lang w:eastAsia="en-GB"/>
              </w:rPr>
            </w:pPr>
            <w:r w:rsidRPr="00FD02F8">
              <w:rPr>
                <w:rFonts w:ascii="Arial" w:eastAsia="Times New Roman" w:hAnsi="Arial" w:cs="Arial"/>
                <w:b/>
                <w:lang w:eastAsia="en-GB"/>
              </w:rPr>
              <w:t>Key result delivered</w:t>
            </w:r>
            <w:r w:rsidRPr="00FD02F8">
              <w:rPr>
                <w:rFonts w:ascii="Arial" w:eastAsia="Times New Roman" w:hAnsi="Arial" w:cs="Arial"/>
                <w:lang w:eastAsia="en-GB"/>
              </w:rPr>
              <w:t xml:space="preserve">. </w:t>
            </w:r>
          </w:p>
          <w:p w14:paraId="0B4271A4" w14:textId="790B395E" w:rsidR="00625A5F" w:rsidRPr="00FD02F8" w:rsidRDefault="002833A0" w:rsidP="00221747">
            <w:pPr>
              <w:textAlignment w:val="baseline"/>
              <w:rPr>
                <w:rFonts w:ascii="Arial" w:eastAsia="Times New Roman" w:hAnsi="Arial" w:cs="Arial"/>
                <w:lang w:eastAsia="en-GB"/>
              </w:rPr>
            </w:pPr>
            <w:r w:rsidRPr="00FD02F8">
              <w:rPr>
                <w:rFonts w:ascii="Arial" w:eastAsia="Times New Roman" w:hAnsi="Arial" w:cs="Arial"/>
                <w:lang w:eastAsia="en-GB"/>
              </w:rPr>
              <w:t>Currently tracking at 7</w:t>
            </w:r>
            <w:r w:rsidR="00D70BE0" w:rsidRPr="00FD02F8">
              <w:rPr>
                <w:rFonts w:ascii="Arial" w:eastAsia="Times New Roman" w:hAnsi="Arial" w:cs="Arial"/>
                <w:lang w:eastAsia="en-GB"/>
              </w:rPr>
              <w:t>8.5</w:t>
            </w:r>
            <w:r w:rsidRPr="00FD02F8">
              <w:rPr>
                <w:rFonts w:ascii="Arial" w:eastAsia="Times New Roman" w:hAnsi="Arial" w:cs="Arial"/>
                <w:lang w:eastAsia="en-GB"/>
              </w:rPr>
              <w:t>% survey responde</w:t>
            </w:r>
            <w:r w:rsidR="003C0A03" w:rsidRPr="00FD02F8">
              <w:rPr>
                <w:rFonts w:ascii="Arial" w:eastAsia="Times New Roman" w:hAnsi="Arial" w:cs="Arial"/>
                <w:lang w:eastAsia="en-GB"/>
              </w:rPr>
              <w:t>nts</w:t>
            </w:r>
            <w:r w:rsidRPr="00FD02F8">
              <w:rPr>
                <w:rFonts w:ascii="Arial" w:eastAsia="Times New Roman" w:hAnsi="Arial" w:cs="Arial"/>
                <w:lang w:eastAsia="en-GB"/>
              </w:rPr>
              <w:t xml:space="preserve"> reported improved satisfaction with the new</w:t>
            </w:r>
            <w:r w:rsidR="00CD4190" w:rsidRPr="00FD02F8">
              <w:rPr>
                <w:rFonts w:ascii="Arial" w:hAnsi="Arial" w:cs="Arial"/>
                <w:color w:val="000000"/>
              </w:rPr>
              <w:t xml:space="preserve"> applicant tracking system</w:t>
            </w:r>
            <w:r w:rsidRPr="00FD02F8">
              <w:rPr>
                <w:rFonts w:ascii="Arial" w:eastAsia="Times New Roman" w:hAnsi="Arial" w:cs="Arial"/>
                <w:lang w:eastAsia="en-GB"/>
              </w:rPr>
              <w:t xml:space="preserve">. This will continue to be </w:t>
            </w:r>
            <w:r w:rsidR="002F47F7" w:rsidRPr="00FD02F8">
              <w:rPr>
                <w:rFonts w:ascii="Arial" w:eastAsia="Times New Roman" w:hAnsi="Arial" w:cs="Arial"/>
                <w:lang w:eastAsia="en-GB"/>
              </w:rPr>
              <w:t>monitored,</w:t>
            </w:r>
            <w:r w:rsidRPr="00FD02F8">
              <w:rPr>
                <w:rFonts w:ascii="Arial" w:eastAsia="Times New Roman" w:hAnsi="Arial" w:cs="Arial"/>
                <w:lang w:eastAsia="en-GB"/>
              </w:rPr>
              <w:t xml:space="preserve"> and</w:t>
            </w:r>
            <w:r w:rsidR="004B681C" w:rsidRPr="00FD02F8">
              <w:rPr>
                <w:rFonts w:ascii="Arial" w:eastAsia="Times New Roman" w:hAnsi="Arial" w:cs="Arial"/>
                <w:lang w:eastAsia="en-GB"/>
              </w:rPr>
              <w:t xml:space="preserve"> any</w:t>
            </w:r>
            <w:r w:rsidRPr="00FD02F8">
              <w:rPr>
                <w:rFonts w:ascii="Arial" w:eastAsia="Times New Roman" w:hAnsi="Arial" w:cs="Arial"/>
                <w:lang w:eastAsia="en-GB"/>
              </w:rPr>
              <w:t xml:space="preserve"> feedback received actioned where possible.</w:t>
            </w:r>
          </w:p>
        </w:tc>
        <w:tc>
          <w:tcPr>
            <w:tcW w:w="500" w:type="pct"/>
            <w:tcBorders>
              <w:top w:val="single" w:sz="4" w:space="0" w:color="auto"/>
              <w:left w:val="single" w:sz="4" w:space="0" w:color="auto"/>
              <w:bottom w:val="single" w:sz="4" w:space="0" w:color="auto"/>
              <w:right w:val="single" w:sz="4" w:space="0" w:color="auto"/>
            </w:tcBorders>
            <w:vAlign w:val="center"/>
          </w:tcPr>
          <w:p w14:paraId="0F0E4525" w14:textId="6837178A" w:rsidR="007C7C39" w:rsidRPr="00FD02F8" w:rsidRDefault="007C7C39" w:rsidP="00221747">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r w:rsidR="00B57DD6" w:rsidRPr="00FD02F8" w14:paraId="238E495C" w14:textId="77777777" w:rsidTr="004C3AE2">
        <w:tblPrEx>
          <w:tblCellMar>
            <w:left w:w="108" w:type="dxa"/>
            <w:right w:w="108" w:type="dxa"/>
          </w:tblCellMar>
        </w:tblPrEx>
        <w:trPr>
          <w:cantSplit/>
          <w:trHeight w:val="16"/>
        </w:trPr>
        <w:tc>
          <w:tcPr>
            <w:tcW w:w="1293" w:type="pct"/>
            <w:tcBorders>
              <w:top w:val="single" w:sz="4" w:space="0" w:color="auto"/>
              <w:left w:val="single" w:sz="4" w:space="0" w:color="auto"/>
              <w:bottom w:val="single" w:sz="4" w:space="0" w:color="auto"/>
              <w:right w:val="single" w:sz="4" w:space="0" w:color="auto"/>
            </w:tcBorders>
            <w:vAlign w:val="center"/>
          </w:tcPr>
          <w:p w14:paraId="32577786" w14:textId="11BED152" w:rsidR="007C7C39" w:rsidRPr="00FD02F8" w:rsidRDefault="007C7C39" w:rsidP="004C3AE2">
            <w:pPr>
              <w:rPr>
                <w:rFonts w:ascii="Arial" w:eastAsia="Times New Roman" w:hAnsi="Arial" w:cs="Arial"/>
                <w:b/>
                <w:bCs/>
                <w:color w:val="000000"/>
              </w:rPr>
            </w:pPr>
            <w:r w:rsidRPr="00FD02F8">
              <w:rPr>
                <w:rFonts w:ascii="Arial" w:hAnsi="Arial" w:cs="Arial"/>
                <w:b/>
                <w:bCs/>
                <w:color w:val="000000"/>
              </w:rPr>
              <w:lastRenderedPageBreak/>
              <w:t>KR 11.3:</w:t>
            </w:r>
            <w:r w:rsidRPr="00FD02F8">
              <w:rPr>
                <w:rFonts w:ascii="Arial" w:hAnsi="Arial" w:cs="Arial"/>
                <w:color w:val="000000"/>
              </w:rPr>
              <w:t xml:space="preserve"> Launch of colleague engagement plan</w:t>
            </w:r>
            <w:r w:rsidR="001F14BB" w:rsidRPr="00FD02F8">
              <w:rPr>
                <w:rFonts w:ascii="Arial" w:hAnsi="Arial" w:cs="Arial"/>
                <w:color w:val="000000"/>
              </w:rPr>
              <w:t>.</w:t>
            </w:r>
            <w:r w:rsidRPr="00FD02F8">
              <w:rPr>
                <w:rFonts w:ascii="Arial" w:hAnsi="Arial" w:cs="Arial"/>
                <w:color w:val="000000"/>
              </w:rPr>
              <w:t xml:space="preserve"> </w:t>
            </w:r>
          </w:p>
        </w:tc>
        <w:tc>
          <w:tcPr>
            <w:tcW w:w="256" w:type="pct"/>
            <w:tcBorders>
              <w:top w:val="single" w:sz="4" w:space="0" w:color="auto"/>
              <w:left w:val="single" w:sz="4" w:space="0" w:color="auto"/>
              <w:bottom w:val="single" w:sz="4" w:space="0" w:color="auto"/>
              <w:right w:val="single" w:sz="4" w:space="0" w:color="auto"/>
            </w:tcBorders>
            <w:vAlign w:val="center"/>
          </w:tcPr>
          <w:p w14:paraId="3B62EB75" w14:textId="28007BB4" w:rsidR="007C7C39" w:rsidRPr="00FD02F8" w:rsidRDefault="007C7C39" w:rsidP="00221747">
            <w:pPr>
              <w:jc w:val="center"/>
              <w:textAlignment w:val="baseline"/>
              <w:rPr>
                <w:rFonts w:ascii="Arial" w:eastAsia="Times New Roman" w:hAnsi="Arial" w:cs="Arial"/>
                <w:lang w:eastAsia="en-GB"/>
              </w:rPr>
            </w:pPr>
            <w:r w:rsidRPr="00FD02F8">
              <w:rPr>
                <w:rFonts w:ascii="Arial" w:hAnsi="Arial" w:cs="Arial"/>
                <w:b/>
                <w:bCs/>
                <w:color w:val="000000"/>
              </w:rPr>
              <w:t>Q3</w:t>
            </w:r>
          </w:p>
        </w:tc>
        <w:tc>
          <w:tcPr>
            <w:tcW w:w="309" w:type="pct"/>
            <w:tcBorders>
              <w:top w:val="single" w:sz="4" w:space="0" w:color="auto"/>
              <w:left w:val="single" w:sz="4" w:space="0" w:color="auto"/>
              <w:bottom w:val="single" w:sz="4" w:space="0" w:color="auto"/>
              <w:right w:val="single" w:sz="4" w:space="0" w:color="auto"/>
            </w:tcBorders>
            <w:vAlign w:val="center"/>
          </w:tcPr>
          <w:p w14:paraId="5CEFA8C4" w14:textId="71D2D609" w:rsidR="007C7C39" w:rsidRPr="00FD02F8" w:rsidRDefault="007C7C39" w:rsidP="00221747">
            <w:pPr>
              <w:jc w:val="center"/>
              <w:textAlignment w:val="baseline"/>
              <w:rPr>
                <w:rFonts w:ascii="Arial" w:eastAsia="Times New Roman" w:hAnsi="Arial" w:cs="Arial"/>
                <w:lang w:eastAsia="en-GB"/>
              </w:rPr>
            </w:pPr>
            <w:r w:rsidRPr="00FD02F8">
              <w:rPr>
                <w:rFonts w:ascii="Arial" w:hAnsi="Arial" w:cs="Arial"/>
                <w:color w:val="000000"/>
              </w:rPr>
              <w:t>N/A</w:t>
            </w:r>
          </w:p>
        </w:tc>
        <w:tc>
          <w:tcPr>
            <w:tcW w:w="309" w:type="pct"/>
            <w:tcBorders>
              <w:top w:val="single" w:sz="4" w:space="0" w:color="auto"/>
              <w:left w:val="single" w:sz="4" w:space="0" w:color="auto"/>
              <w:bottom w:val="single" w:sz="4" w:space="0" w:color="auto"/>
              <w:right w:val="single" w:sz="4" w:space="0" w:color="auto"/>
            </w:tcBorders>
            <w:vAlign w:val="center"/>
          </w:tcPr>
          <w:p w14:paraId="712A490F" w14:textId="21072557" w:rsidR="007C7C39" w:rsidRPr="00FD02F8" w:rsidRDefault="002C6A2A"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N/A</w:t>
            </w:r>
          </w:p>
        </w:tc>
        <w:tc>
          <w:tcPr>
            <w:tcW w:w="309" w:type="pct"/>
            <w:tcBorders>
              <w:top w:val="single" w:sz="4" w:space="0" w:color="auto"/>
              <w:left w:val="single" w:sz="4" w:space="0" w:color="auto"/>
              <w:bottom w:val="single" w:sz="4" w:space="0" w:color="auto"/>
              <w:right w:val="single" w:sz="4" w:space="0" w:color="auto"/>
            </w:tcBorders>
            <w:vAlign w:val="center"/>
          </w:tcPr>
          <w:p w14:paraId="7E41A6D4" w14:textId="088046B4" w:rsidR="007C7C39" w:rsidRPr="00FD02F8" w:rsidRDefault="00F77E83"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1</w:t>
            </w:r>
          </w:p>
        </w:tc>
        <w:tc>
          <w:tcPr>
            <w:tcW w:w="309" w:type="pct"/>
            <w:tcBorders>
              <w:top w:val="single" w:sz="4" w:space="0" w:color="auto"/>
              <w:left w:val="single" w:sz="4" w:space="0" w:color="auto"/>
              <w:bottom w:val="single" w:sz="4" w:space="0" w:color="auto"/>
              <w:right w:val="single" w:sz="4" w:space="0" w:color="auto"/>
            </w:tcBorders>
            <w:vAlign w:val="center"/>
          </w:tcPr>
          <w:p w14:paraId="37A9FFE3" w14:textId="77777777" w:rsidR="007C7C39" w:rsidRPr="00FD02F8" w:rsidRDefault="007C7C39"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0FCA7E76" w14:textId="17DA1A07" w:rsidR="007C7C39" w:rsidRPr="00FD02F8" w:rsidRDefault="00F77E83" w:rsidP="00221747">
            <w:pPr>
              <w:jc w:val="center"/>
              <w:textAlignment w:val="baseline"/>
              <w:rPr>
                <w:rFonts w:ascii="Arial" w:hAnsi="Arial" w:cs="Arial"/>
                <w:b/>
              </w:rPr>
            </w:pPr>
            <w:r w:rsidRPr="00FD02F8">
              <w:rPr>
                <w:noProof/>
              </w:rPr>
              <w:drawing>
                <wp:inline distT="0" distB="0" distL="0" distR="0" wp14:anchorId="25254760" wp14:editId="222FF6A2">
                  <wp:extent cx="463550" cy="463550"/>
                  <wp:effectExtent l="0" t="0" r="0" b="0"/>
                  <wp:docPr id="33965685"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74" w:type="pct"/>
            <w:tcBorders>
              <w:top w:val="single" w:sz="4" w:space="0" w:color="auto"/>
              <w:left w:val="single" w:sz="4" w:space="0" w:color="auto"/>
              <w:bottom w:val="single" w:sz="4" w:space="0" w:color="auto"/>
              <w:right w:val="single" w:sz="4" w:space="0" w:color="auto"/>
            </w:tcBorders>
            <w:vAlign w:val="center"/>
          </w:tcPr>
          <w:p w14:paraId="18ED4357" w14:textId="77777777" w:rsidR="00A66645" w:rsidRPr="00FD02F8" w:rsidRDefault="0014653F" w:rsidP="00221747">
            <w:pPr>
              <w:textAlignment w:val="baseline"/>
              <w:rPr>
                <w:rFonts w:ascii="Arial" w:eastAsia="Times New Roman" w:hAnsi="Arial" w:cs="Arial"/>
                <w:lang w:eastAsia="en-GB"/>
              </w:rPr>
            </w:pPr>
            <w:r w:rsidRPr="00FD02F8">
              <w:rPr>
                <w:rFonts w:ascii="Arial" w:eastAsia="Times New Roman" w:hAnsi="Arial" w:cs="Arial"/>
                <w:b/>
                <w:bCs/>
                <w:lang w:eastAsia="en-GB"/>
              </w:rPr>
              <w:t>Key result delivered.</w:t>
            </w:r>
            <w:r w:rsidRPr="00FD02F8">
              <w:rPr>
                <w:rFonts w:ascii="Arial" w:eastAsia="Times New Roman" w:hAnsi="Arial" w:cs="Arial"/>
                <w:lang w:eastAsia="en-GB"/>
              </w:rPr>
              <w:t xml:space="preserve"> </w:t>
            </w:r>
          </w:p>
          <w:p w14:paraId="5E08F145" w14:textId="3988FFE5" w:rsidR="002B5086" w:rsidRPr="00FD02F8" w:rsidRDefault="0014653F" w:rsidP="00221747">
            <w:pPr>
              <w:textAlignment w:val="baseline"/>
              <w:rPr>
                <w:rFonts w:ascii="Arial" w:eastAsia="Times New Roman" w:hAnsi="Arial" w:cs="Arial"/>
                <w:lang w:eastAsia="en-GB"/>
              </w:rPr>
            </w:pPr>
            <w:r w:rsidRPr="00FD02F8">
              <w:rPr>
                <w:rFonts w:ascii="Arial" w:eastAsia="Times New Roman" w:hAnsi="Arial" w:cs="Arial"/>
                <w:lang w:eastAsia="en-GB"/>
              </w:rPr>
              <w:t>By the end of Q3, we have held 33 engagement sessions out of a total of 35 planned for the 2025/26 year to date</w:t>
            </w:r>
            <w:r w:rsidR="009B4C34">
              <w:rPr>
                <w:rFonts w:ascii="Arial" w:eastAsia="Times New Roman" w:hAnsi="Arial" w:cs="Arial"/>
                <w:lang w:eastAsia="en-GB"/>
              </w:rPr>
              <w:t xml:space="preserve"> </w:t>
            </w:r>
            <w:r w:rsidR="009B4C34" w:rsidRPr="009B4C34">
              <w:rPr>
                <w:rFonts w:ascii="Arial" w:eastAsia="Times New Roman" w:hAnsi="Arial" w:cs="Arial"/>
                <w:lang w:eastAsia="en-GB"/>
              </w:rPr>
              <w:t>(94%). Our target for this key result was to have launched the colleague engagement plan and implemented 90% by Q3.</w:t>
            </w:r>
            <w:r w:rsidRPr="00FD02F8">
              <w:rPr>
                <w:rFonts w:ascii="Arial" w:eastAsia="Times New Roman" w:hAnsi="Arial" w:cs="Arial"/>
                <w:lang w:eastAsia="en-GB"/>
              </w:rPr>
              <w:t xml:space="preserve"> The plan has been deliberately iterative, evolving throughout the year to respond to colleague feedback and build sustained engagement rather than following a fixed, one</w:t>
            </w:r>
            <w:r w:rsidRPr="00FD02F8">
              <w:rPr>
                <w:rFonts w:ascii="Cambria Math" w:eastAsia="Times New Roman" w:hAnsi="Cambria Math" w:cs="Cambria Math"/>
                <w:lang w:eastAsia="en-GB"/>
              </w:rPr>
              <w:t>‑</w:t>
            </w:r>
            <w:r w:rsidRPr="00FD02F8">
              <w:rPr>
                <w:rFonts w:ascii="Arial" w:eastAsia="Times New Roman" w:hAnsi="Arial" w:cs="Arial"/>
                <w:lang w:eastAsia="en-GB"/>
              </w:rPr>
              <w:t>off rollout. This adaptive approach has enabled strong momentum going into Q4 and supports continued delivery across the remainder of the year.</w:t>
            </w:r>
          </w:p>
        </w:tc>
        <w:tc>
          <w:tcPr>
            <w:tcW w:w="500" w:type="pct"/>
            <w:tcBorders>
              <w:top w:val="single" w:sz="4" w:space="0" w:color="auto"/>
              <w:left w:val="single" w:sz="4" w:space="0" w:color="auto"/>
              <w:bottom w:val="single" w:sz="4" w:space="0" w:color="auto"/>
              <w:right w:val="single" w:sz="4" w:space="0" w:color="auto"/>
            </w:tcBorders>
            <w:vAlign w:val="center"/>
          </w:tcPr>
          <w:p w14:paraId="181CCA6C" w14:textId="248EF8DA" w:rsidR="007C7C39" w:rsidRPr="00FD02F8" w:rsidRDefault="007C7C39" w:rsidP="00221747">
            <w:pPr>
              <w:jc w:val="center"/>
              <w:textAlignment w:val="baseline"/>
              <w:rPr>
                <w:rFonts w:ascii="Arial" w:eastAsia="Times New Roman" w:hAnsi="Arial" w:cs="Arial"/>
                <w:szCs w:val="28"/>
                <w:highlight w:val="yellow"/>
                <w:lang w:eastAsia="en-GB"/>
              </w:rPr>
            </w:pPr>
            <w:r w:rsidRPr="00FD02F8">
              <w:rPr>
                <w:rFonts w:ascii="Arial" w:eastAsia="Times New Roman" w:hAnsi="Arial" w:cs="Arial"/>
                <w:lang w:eastAsia="en-GB"/>
              </w:rPr>
              <w:t>Delivered</w:t>
            </w:r>
          </w:p>
        </w:tc>
      </w:tr>
      <w:tr w:rsidR="00B57DD6" w:rsidRPr="00FD02F8" w14:paraId="0ED7C8E3" w14:textId="77777777" w:rsidTr="00AE6C47">
        <w:trPr>
          <w:cantSplit/>
          <w:trHeight w:val="16"/>
        </w:trPr>
        <w:tc>
          <w:tcPr>
            <w:tcW w:w="1293" w:type="pct"/>
            <w:tcBorders>
              <w:top w:val="single" w:sz="4" w:space="0" w:color="auto"/>
              <w:left w:val="single" w:sz="4" w:space="0" w:color="auto"/>
              <w:bottom w:val="single" w:sz="4" w:space="0" w:color="auto"/>
              <w:right w:val="single" w:sz="4" w:space="0" w:color="auto"/>
            </w:tcBorders>
            <w:vAlign w:val="center"/>
          </w:tcPr>
          <w:p w14:paraId="501A82FE" w14:textId="61682DCA" w:rsidR="007C7C39" w:rsidRPr="00FD02F8" w:rsidRDefault="007C7C39" w:rsidP="00AA6B79">
            <w:pPr>
              <w:rPr>
                <w:rFonts w:ascii="Arial" w:eastAsia="Times New Roman" w:hAnsi="Arial" w:cs="Arial"/>
                <w:b/>
                <w:bCs/>
                <w:color w:val="000000"/>
              </w:rPr>
            </w:pPr>
            <w:r w:rsidRPr="00FD02F8">
              <w:rPr>
                <w:rFonts w:ascii="Arial" w:hAnsi="Arial" w:cs="Arial"/>
                <w:b/>
                <w:bCs/>
                <w:color w:val="000000"/>
              </w:rPr>
              <w:lastRenderedPageBreak/>
              <w:t xml:space="preserve">KR 11.4: </w:t>
            </w:r>
            <w:r w:rsidRPr="00FD02F8">
              <w:rPr>
                <w:rFonts w:ascii="Arial" w:hAnsi="Arial" w:cs="Arial"/>
                <w:color w:val="000000"/>
              </w:rPr>
              <w:t>50% of colleagues accessing leadership or personal development opportunities through e-learning, workshops and facilitated programmes</w:t>
            </w:r>
            <w:r w:rsidR="001F14BB" w:rsidRPr="00FD02F8">
              <w:rPr>
                <w:rFonts w:ascii="Arial" w:hAnsi="Arial" w:cs="Arial"/>
                <w:color w:val="000000"/>
              </w:rPr>
              <w:t>.</w:t>
            </w:r>
          </w:p>
        </w:tc>
        <w:tc>
          <w:tcPr>
            <w:tcW w:w="256" w:type="pct"/>
            <w:tcBorders>
              <w:top w:val="single" w:sz="4" w:space="0" w:color="auto"/>
              <w:left w:val="single" w:sz="4" w:space="0" w:color="auto"/>
              <w:bottom w:val="single" w:sz="4" w:space="0" w:color="auto"/>
              <w:right w:val="single" w:sz="4" w:space="0" w:color="auto"/>
            </w:tcBorders>
            <w:vAlign w:val="center"/>
          </w:tcPr>
          <w:p w14:paraId="01D3CA2A" w14:textId="35967112" w:rsidR="007C7C39" w:rsidRPr="00FD02F8" w:rsidRDefault="007C7C39" w:rsidP="00221747">
            <w:pPr>
              <w:jc w:val="center"/>
              <w:textAlignment w:val="baseline"/>
              <w:rPr>
                <w:rFonts w:ascii="Arial" w:eastAsia="Times New Roman" w:hAnsi="Arial" w:cs="Arial"/>
                <w:lang w:eastAsia="en-GB"/>
              </w:rPr>
            </w:pPr>
            <w:r w:rsidRPr="00FD02F8">
              <w:rPr>
                <w:rFonts w:ascii="Arial" w:hAnsi="Arial" w:cs="Arial"/>
                <w:b/>
                <w:bCs/>
                <w:color w:val="000000"/>
              </w:rPr>
              <w:t xml:space="preserve">Q4 </w:t>
            </w:r>
          </w:p>
        </w:tc>
        <w:tc>
          <w:tcPr>
            <w:tcW w:w="309" w:type="pct"/>
            <w:tcBorders>
              <w:top w:val="single" w:sz="4" w:space="0" w:color="auto"/>
              <w:left w:val="single" w:sz="4" w:space="0" w:color="auto"/>
              <w:bottom w:val="single" w:sz="4" w:space="0" w:color="auto"/>
              <w:right w:val="single" w:sz="4" w:space="0" w:color="auto"/>
            </w:tcBorders>
            <w:vAlign w:val="center"/>
          </w:tcPr>
          <w:p w14:paraId="34FF6DB2" w14:textId="2B47C40E" w:rsidR="007C7C39" w:rsidRPr="00FD02F8" w:rsidRDefault="007C7C39" w:rsidP="00221747">
            <w:pPr>
              <w:jc w:val="center"/>
              <w:textAlignment w:val="baseline"/>
              <w:rPr>
                <w:rFonts w:ascii="Arial" w:eastAsia="Times New Roman" w:hAnsi="Arial" w:cs="Arial"/>
                <w:lang w:eastAsia="en-GB"/>
              </w:rPr>
            </w:pPr>
            <w:r w:rsidRPr="00FD02F8">
              <w:rPr>
                <w:rFonts w:ascii="Arial" w:hAnsi="Arial" w:cs="Arial"/>
                <w:color w:val="000000"/>
              </w:rPr>
              <w:t>0.</w:t>
            </w:r>
            <w:r w:rsidR="00A00AB7" w:rsidRPr="00FD02F8">
              <w:rPr>
                <w:rFonts w:ascii="Arial" w:hAnsi="Arial" w:cs="Arial"/>
                <w:color w:val="000000"/>
              </w:rPr>
              <w:t>74</w:t>
            </w:r>
          </w:p>
        </w:tc>
        <w:tc>
          <w:tcPr>
            <w:tcW w:w="309" w:type="pct"/>
            <w:tcBorders>
              <w:top w:val="single" w:sz="4" w:space="0" w:color="auto"/>
              <w:left w:val="single" w:sz="4" w:space="0" w:color="auto"/>
              <w:bottom w:val="single" w:sz="4" w:space="0" w:color="auto"/>
              <w:right w:val="single" w:sz="4" w:space="0" w:color="auto"/>
            </w:tcBorders>
            <w:vAlign w:val="center"/>
          </w:tcPr>
          <w:p w14:paraId="46202799" w14:textId="17ABCCB6" w:rsidR="007C7C39" w:rsidRPr="00FD02F8" w:rsidRDefault="001F7A6F" w:rsidP="00221747">
            <w:pPr>
              <w:jc w:val="center"/>
              <w:textAlignment w:val="baseline"/>
              <w:rPr>
                <w:rFonts w:ascii="Arial" w:eastAsia="Times New Roman" w:hAnsi="Arial" w:cs="Arial"/>
                <w:szCs w:val="28"/>
                <w:lang w:eastAsia="en-GB"/>
              </w:rPr>
            </w:pPr>
            <w:r w:rsidRPr="00FD02F8">
              <w:rPr>
                <w:rFonts w:ascii="Arial" w:eastAsia="Times New Roman" w:hAnsi="Arial" w:cs="Arial"/>
                <w:szCs w:val="28"/>
                <w:lang w:eastAsia="en-GB"/>
              </w:rPr>
              <w:t>1</w:t>
            </w:r>
          </w:p>
        </w:tc>
        <w:tc>
          <w:tcPr>
            <w:tcW w:w="309" w:type="pct"/>
            <w:tcBorders>
              <w:top w:val="single" w:sz="4" w:space="0" w:color="auto"/>
              <w:left w:val="single" w:sz="4" w:space="0" w:color="auto"/>
              <w:bottom w:val="single" w:sz="4" w:space="0" w:color="auto"/>
              <w:right w:val="single" w:sz="4" w:space="0" w:color="auto"/>
            </w:tcBorders>
            <w:vAlign w:val="center"/>
          </w:tcPr>
          <w:p w14:paraId="5A9BF292" w14:textId="72671A16" w:rsidR="007C7C39" w:rsidRPr="00FD02F8" w:rsidRDefault="008E5E6C"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1</w:t>
            </w:r>
          </w:p>
        </w:tc>
        <w:tc>
          <w:tcPr>
            <w:tcW w:w="309" w:type="pct"/>
            <w:tcBorders>
              <w:top w:val="single" w:sz="4" w:space="0" w:color="auto"/>
              <w:left w:val="single" w:sz="4" w:space="0" w:color="auto"/>
              <w:bottom w:val="single" w:sz="4" w:space="0" w:color="auto"/>
              <w:right w:val="single" w:sz="4" w:space="0" w:color="auto"/>
            </w:tcBorders>
            <w:vAlign w:val="center"/>
          </w:tcPr>
          <w:p w14:paraId="2BB5AAA6" w14:textId="542C0867" w:rsidR="007C7C39" w:rsidRPr="00FD02F8" w:rsidRDefault="00AA6B79" w:rsidP="00221747">
            <w:pPr>
              <w:jc w:val="center"/>
              <w:textAlignment w:val="baseline"/>
              <w:rPr>
                <w:rFonts w:ascii="Arial" w:eastAsia="Times New Roman" w:hAnsi="Arial" w:cs="Arial"/>
                <w:lang w:eastAsia="en-GB"/>
              </w:rPr>
            </w:pPr>
            <w:r w:rsidRPr="00FD02F8">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73607373" w14:textId="12B2F389" w:rsidR="007C7C39" w:rsidRPr="00FD02F8" w:rsidRDefault="008E5E6C" w:rsidP="00221747">
            <w:pPr>
              <w:jc w:val="center"/>
              <w:textAlignment w:val="baseline"/>
              <w:rPr>
                <w:rFonts w:ascii="Arial" w:hAnsi="Arial" w:cs="Arial"/>
                <w:b/>
              </w:rPr>
            </w:pPr>
            <w:r w:rsidRPr="00FD02F8">
              <w:rPr>
                <w:noProof/>
              </w:rPr>
              <w:drawing>
                <wp:inline distT="0" distB="0" distL="0" distR="0" wp14:anchorId="76359007" wp14:editId="7FE364C2">
                  <wp:extent cx="432000" cy="432000"/>
                  <wp:effectExtent l="0" t="0" r="0" b="0"/>
                  <wp:docPr id="75537536"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74" w:type="pct"/>
            <w:tcBorders>
              <w:top w:val="single" w:sz="4" w:space="0" w:color="auto"/>
              <w:left w:val="single" w:sz="4" w:space="0" w:color="auto"/>
              <w:bottom w:val="single" w:sz="4" w:space="0" w:color="auto"/>
              <w:right w:val="single" w:sz="4" w:space="0" w:color="auto"/>
            </w:tcBorders>
            <w:vAlign w:val="center"/>
          </w:tcPr>
          <w:p w14:paraId="08F05BC3" w14:textId="115EC634" w:rsidR="002B5086" w:rsidRPr="00FD02F8" w:rsidRDefault="00EA06C7" w:rsidP="00221747">
            <w:pPr>
              <w:textAlignment w:val="baseline"/>
              <w:rPr>
                <w:rFonts w:ascii="Arial" w:eastAsia="Times New Roman" w:hAnsi="Arial" w:cs="Arial"/>
                <w:lang w:eastAsia="en-GB"/>
              </w:rPr>
            </w:pPr>
            <w:r w:rsidRPr="00FD02F8">
              <w:rPr>
                <w:rFonts w:ascii="Arial" w:eastAsia="Times New Roman" w:hAnsi="Arial" w:cs="Arial"/>
                <w:b/>
                <w:bCs/>
                <w:lang w:eastAsia="en-GB"/>
              </w:rPr>
              <w:t>Key result complete in Q2</w:t>
            </w:r>
            <w:r w:rsidRPr="00FD02F8">
              <w:rPr>
                <w:rFonts w:ascii="Arial" w:eastAsia="Times New Roman" w:hAnsi="Arial" w:cs="Arial"/>
                <w:lang w:eastAsia="en-GB"/>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07FCF88C" w14:textId="1BED965E" w:rsidR="007C7C39" w:rsidRPr="00FD02F8" w:rsidRDefault="007C7C39" w:rsidP="00221747">
            <w:pPr>
              <w:jc w:val="center"/>
              <w:textAlignment w:val="baseline"/>
              <w:rPr>
                <w:rFonts w:ascii="Arial" w:eastAsia="Times New Roman" w:hAnsi="Arial" w:cs="Arial"/>
                <w:szCs w:val="28"/>
                <w:lang w:eastAsia="en-GB"/>
              </w:rPr>
            </w:pPr>
            <w:r w:rsidRPr="00FD02F8">
              <w:rPr>
                <w:rFonts w:ascii="Arial" w:eastAsia="Times New Roman" w:hAnsi="Arial" w:cs="Arial"/>
                <w:lang w:eastAsia="en-GB"/>
              </w:rPr>
              <w:t>Delivered</w:t>
            </w:r>
          </w:p>
        </w:tc>
      </w:tr>
    </w:tbl>
    <w:p w14:paraId="756A00A4" w14:textId="318BF137" w:rsidR="00202277" w:rsidRPr="00573404" w:rsidRDefault="000111F4" w:rsidP="00221747">
      <w:pPr>
        <w:spacing w:before="80" w:after="120"/>
        <w:rPr>
          <w:sz w:val="28"/>
          <w:szCs w:val="28"/>
        </w:rPr>
      </w:pPr>
      <w:r w:rsidRPr="00FD02F8">
        <w:rPr>
          <w:b/>
          <w:bCs/>
          <w:sz w:val="28"/>
          <w:szCs w:val="28"/>
        </w:rPr>
        <w:t>Overall objective score</w:t>
      </w:r>
      <w:r w:rsidRPr="00FD02F8">
        <w:rPr>
          <w:sz w:val="28"/>
          <w:szCs w:val="28"/>
        </w:rPr>
        <w:t xml:space="preserve"> =</w:t>
      </w:r>
      <w:r w:rsidRPr="00FD02F8">
        <w:rPr>
          <w:color w:val="016574"/>
          <w:sz w:val="28"/>
          <w:szCs w:val="28"/>
        </w:rPr>
        <w:t xml:space="preserve"> </w:t>
      </w:r>
      <w:bookmarkEnd w:id="28"/>
      <w:r w:rsidR="00951566" w:rsidRPr="00FD02F8">
        <w:rPr>
          <w:sz w:val="28"/>
          <w:szCs w:val="28"/>
        </w:rPr>
        <w:t>1</w:t>
      </w:r>
    </w:p>
    <w:sectPr w:rsidR="00202277" w:rsidRPr="00573404" w:rsidSect="002B6A66">
      <w:pgSz w:w="16838" w:h="11906" w:orient="landscape" w:code="9"/>
      <w:pgMar w:top="1083" w:right="1134" w:bottom="1083"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C9AD" w14:textId="77777777" w:rsidR="003F5919" w:rsidRPr="00FD02F8" w:rsidRDefault="003F5919" w:rsidP="00660C79">
      <w:pPr>
        <w:spacing w:line="240" w:lineRule="auto"/>
      </w:pPr>
      <w:r w:rsidRPr="00FD02F8">
        <w:separator/>
      </w:r>
    </w:p>
  </w:endnote>
  <w:endnote w:type="continuationSeparator" w:id="0">
    <w:p w14:paraId="3A885F6D" w14:textId="77777777" w:rsidR="003F5919" w:rsidRPr="00FD02F8" w:rsidRDefault="003F5919" w:rsidP="00660C79">
      <w:pPr>
        <w:spacing w:line="240" w:lineRule="auto"/>
      </w:pPr>
      <w:r w:rsidRPr="00FD02F8">
        <w:continuationSeparator/>
      </w:r>
    </w:p>
  </w:endnote>
  <w:endnote w:type="continuationNotice" w:id="1">
    <w:p w14:paraId="4D2F4CA3" w14:textId="77777777" w:rsidR="003F5919" w:rsidRPr="00FD02F8" w:rsidRDefault="003F59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AAFE" w14:textId="6929B4A0" w:rsidR="00472315" w:rsidRPr="00FD02F8" w:rsidRDefault="00453CB1">
    <w:pPr>
      <w:pStyle w:val="Footer"/>
    </w:pPr>
    <w:r>
      <w:rPr>
        <w:noProof/>
      </w:rPr>
      <mc:AlternateContent>
        <mc:Choice Requires="wps">
          <w:drawing>
            <wp:anchor distT="0" distB="0" distL="0" distR="0" simplePos="0" relativeHeight="251658246" behindDoc="0" locked="0" layoutInCell="1" allowOverlap="1" wp14:anchorId="00035E7B" wp14:editId="50C07A98">
              <wp:simplePos x="635" y="635"/>
              <wp:positionH relativeFrom="page">
                <wp:align>center</wp:align>
              </wp:positionH>
              <wp:positionV relativeFrom="page">
                <wp:align>bottom</wp:align>
              </wp:positionV>
              <wp:extent cx="518795" cy="422910"/>
              <wp:effectExtent l="0" t="0" r="14605" b="0"/>
              <wp:wrapNone/>
              <wp:docPr id="477227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656749C" w14:textId="2DC46179"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35E7B" id="_x0000_t202" coordsize="21600,21600" o:spt="202" path="m,l,21600r21600,l21600,xe">
              <v:stroke joinstyle="miter"/>
              <v:path gradientshapeok="t" o:connecttype="rect"/>
            </v:shapetype>
            <v:shape id="Text Box 15" o:spid="_x0000_s1030" type="#_x0000_t202" alt="OFFICIAL" style="position:absolute;margin-left:0;margin-top:0;width:40.85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textbox style="mso-fit-shape-to-text:t" inset="0,0,0,15pt">
                <w:txbxContent>
                  <w:p w14:paraId="3656749C" w14:textId="2DC46179"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6242" w14:textId="46B10849" w:rsidR="00480059" w:rsidRPr="00FD02F8" w:rsidRDefault="00453CB1">
    <w:pPr>
      <w:pStyle w:val="Footer"/>
      <w:jc w:val="right"/>
    </w:pPr>
    <w:r>
      <w:rPr>
        <w:noProof/>
      </w:rPr>
      <mc:AlternateContent>
        <mc:Choice Requires="wps">
          <w:drawing>
            <wp:anchor distT="0" distB="0" distL="0" distR="0" simplePos="0" relativeHeight="251658247" behindDoc="0" locked="0" layoutInCell="1" allowOverlap="1" wp14:anchorId="1097C253" wp14:editId="58F49829">
              <wp:simplePos x="635" y="635"/>
              <wp:positionH relativeFrom="page">
                <wp:align>center</wp:align>
              </wp:positionH>
              <wp:positionV relativeFrom="page">
                <wp:align>bottom</wp:align>
              </wp:positionV>
              <wp:extent cx="518795" cy="422910"/>
              <wp:effectExtent l="0" t="0" r="14605" b="0"/>
              <wp:wrapNone/>
              <wp:docPr id="76471097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E4A161D" w14:textId="7B3F4F04"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7C253" id="_x0000_t202" coordsize="21600,21600" o:spt="202" path="m,l,21600r21600,l21600,xe">
              <v:stroke joinstyle="miter"/>
              <v:path gradientshapeok="t" o:connecttype="rect"/>
            </v:shapetype>
            <v:shape id="Text Box 16" o:spid="_x0000_s1031" type="#_x0000_t202" alt="OFFICIAL" style="position:absolute;left:0;text-align:left;margin-left:0;margin-top:0;width:40.85pt;height:3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textbox style="mso-fit-shape-to-text:t" inset="0,0,0,15pt">
                <w:txbxContent>
                  <w:p w14:paraId="7E4A161D" w14:textId="7B3F4F04"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v:textbox>
              <w10:wrap anchorx="page" anchory="page"/>
            </v:shape>
          </w:pict>
        </mc:Fallback>
      </mc:AlternateContent>
    </w:r>
    <w:sdt>
      <w:sdtPr>
        <w:id w:val="-1532182619"/>
        <w:docPartObj>
          <w:docPartGallery w:val="Page Numbers (Bottom of Page)"/>
          <w:docPartUnique/>
        </w:docPartObj>
      </w:sdtPr>
      <w:sdtContent>
        <w:r w:rsidR="00480059" w:rsidRPr="00FD02F8">
          <w:fldChar w:fldCharType="begin"/>
        </w:r>
        <w:r w:rsidR="00480059" w:rsidRPr="00FD02F8">
          <w:instrText xml:space="preserve"> PAGE   \* MERGEFORMAT </w:instrText>
        </w:r>
        <w:r w:rsidR="00480059" w:rsidRPr="00FD02F8">
          <w:fldChar w:fldCharType="separate"/>
        </w:r>
        <w:r w:rsidR="00480059" w:rsidRPr="00FD02F8">
          <w:t>2</w:t>
        </w:r>
        <w:r w:rsidR="00480059" w:rsidRPr="00FD02F8">
          <w:fldChar w:fldCharType="end"/>
        </w:r>
      </w:sdtContent>
    </w:sdt>
  </w:p>
  <w:p w14:paraId="1446342F" w14:textId="534C39A5" w:rsidR="0000289D" w:rsidRPr="00FD02F8" w:rsidRDefault="00002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3BE" w14:textId="13BCE8DE" w:rsidR="007A1B67" w:rsidRPr="00FD02F8" w:rsidRDefault="00453CB1">
    <w:pPr>
      <w:pStyle w:val="Footer"/>
      <w:jc w:val="right"/>
    </w:pPr>
    <w:r>
      <w:rPr>
        <w:noProof/>
      </w:rPr>
      <mc:AlternateContent>
        <mc:Choice Requires="wps">
          <w:drawing>
            <wp:anchor distT="0" distB="0" distL="0" distR="0" simplePos="0" relativeHeight="251658245" behindDoc="0" locked="0" layoutInCell="1" allowOverlap="1" wp14:anchorId="513E467E" wp14:editId="298D77BC">
              <wp:simplePos x="635" y="635"/>
              <wp:positionH relativeFrom="page">
                <wp:align>center</wp:align>
              </wp:positionH>
              <wp:positionV relativeFrom="page">
                <wp:align>bottom</wp:align>
              </wp:positionV>
              <wp:extent cx="518795" cy="422910"/>
              <wp:effectExtent l="0" t="0" r="14605" b="0"/>
              <wp:wrapNone/>
              <wp:docPr id="135103679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A4DAEB5" w14:textId="01341D77"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E467E" id="_x0000_t202" coordsize="21600,21600" o:spt="202" path="m,l,21600r21600,l21600,xe">
              <v:stroke joinstyle="miter"/>
              <v:path gradientshapeok="t" o:connecttype="rect"/>
            </v:shapetype>
            <v:shape id="Text Box 14" o:spid="_x0000_s1033" type="#_x0000_t202" alt="OFFICIAL" style="position:absolute;left:0;text-align:left;margin-left:0;margin-top:0;width:40.85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textbox style="mso-fit-shape-to-text:t" inset="0,0,0,15pt">
                <w:txbxContent>
                  <w:p w14:paraId="2A4DAEB5" w14:textId="01341D77"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v:textbox>
              <w10:wrap anchorx="page" anchory="page"/>
            </v:shape>
          </w:pict>
        </mc:Fallback>
      </mc:AlternateContent>
    </w:r>
    <w:sdt>
      <w:sdtPr>
        <w:id w:val="1661574920"/>
        <w:docPartObj>
          <w:docPartGallery w:val="Page Numbers (Bottom of Page)"/>
          <w:docPartUnique/>
        </w:docPartObj>
      </w:sdtPr>
      <w:sdtContent>
        <w:r w:rsidR="007A1B67" w:rsidRPr="00FD02F8">
          <w:fldChar w:fldCharType="begin"/>
        </w:r>
        <w:r w:rsidR="007A1B67" w:rsidRPr="00FD02F8">
          <w:instrText xml:space="preserve"> PAGE   \* MERGEFORMAT </w:instrText>
        </w:r>
        <w:r w:rsidR="007A1B67" w:rsidRPr="00FD02F8">
          <w:fldChar w:fldCharType="separate"/>
        </w:r>
        <w:r w:rsidR="007A1B67" w:rsidRPr="00FD02F8">
          <w:t>2</w:t>
        </w:r>
        <w:r w:rsidR="007A1B67" w:rsidRPr="00FD02F8">
          <w:fldChar w:fldCharType="end"/>
        </w:r>
      </w:sdtContent>
    </w:sdt>
  </w:p>
  <w:p w14:paraId="07FF3BA0" w14:textId="75FD72E3" w:rsidR="00472315" w:rsidRPr="00FD02F8" w:rsidRDefault="0047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7CF4" w14:textId="77777777" w:rsidR="003F5919" w:rsidRPr="00FD02F8" w:rsidRDefault="003F5919" w:rsidP="00660C79">
      <w:pPr>
        <w:spacing w:line="240" w:lineRule="auto"/>
      </w:pPr>
      <w:r w:rsidRPr="00FD02F8">
        <w:separator/>
      </w:r>
    </w:p>
  </w:footnote>
  <w:footnote w:type="continuationSeparator" w:id="0">
    <w:p w14:paraId="243DFE49" w14:textId="77777777" w:rsidR="003F5919" w:rsidRPr="00FD02F8" w:rsidRDefault="003F5919" w:rsidP="00660C79">
      <w:pPr>
        <w:spacing w:line="240" w:lineRule="auto"/>
      </w:pPr>
      <w:r w:rsidRPr="00FD02F8">
        <w:continuationSeparator/>
      </w:r>
    </w:p>
  </w:footnote>
  <w:footnote w:type="continuationNotice" w:id="1">
    <w:p w14:paraId="322D564A" w14:textId="77777777" w:rsidR="003F5919" w:rsidRPr="00FD02F8" w:rsidRDefault="003F5919">
      <w:pPr>
        <w:spacing w:line="240" w:lineRule="auto"/>
      </w:pPr>
    </w:p>
  </w:footnote>
  <w:footnote w:id="2">
    <w:p w14:paraId="5FB2DC98" w14:textId="77777777" w:rsidR="00F36988" w:rsidRPr="00FD02F8" w:rsidRDefault="00F36988" w:rsidP="00886299">
      <w:pPr>
        <w:spacing w:line="240" w:lineRule="auto"/>
        <w:rPr>
          <w:rFonts w:eastAsiaTheme="minorHAnsi"/>
        </w:rPr>
      </w:pPr>
      <w:r w:rsidRPr="00FD02F8">
        <w:rPr>
          <w:rStyle w:val="FootnoteReference"/>
        </w:rPr>
        <w:footnoteRef/>
      </w:r>
      <w:r w:rsidRPr="00FD02F8">
        <w:t xml:space="preserve"> These are national outcomes for Scotland and SEPA plays a contributing role. </w:t>
      </w:r>
    </w:p>
  </w:footnote>
  <w:footnote w:id="3">
    <w:p w14:paraId="0D7AD565" w14:textId="77777777" w:rsidR="000E4397" w:rsidRPr="00FD02F8" w:rsidRDefault="000E4397" w:rsidP="00320559">
      <w:pPr>
        <w:pStyle w:val="FootnoteText"/>
      </w:pPr>
      <w:r w:rsidRPr="00FD02F8">
        <w:rPr>
          <w:rStyle w:val="FootnoteReference"/>
          <w:sz w:val="24"/>
          <w:szCs w:val="24"/>
        </w:rPr>
        <w:footnoteRef/>
      </w:r>
      <w:r w:rsidRPr="00FD02F8">
        <w:rPr>
          <w:sz w:val="24"/>
          <w:szCs w:val="24"/>
        </w:rPr>
        <w:t xml:space="preserve"> These are national outcomes for Scotland and SEPA plays a contributing role.</w:t>
      </w:r>
    </w:p>
  </w:footnote>
  <w:footnote w:id="4">
    <w:p w14:paraId="197F9A16" w14:textId="77777777" w:rsidR="00312056" w:rsidRPr="00FD02F8" w:rsidRDefault="00312056" w:rsidP="006B7358">
      <w:pPr>
        <w:spacing w:line="240" w:lineRule="auto"/>
      </w:pPr>
      <w:r w:rsidRPr="00FD02F8">
        <w:rPr>
          <w:rStyle w:val="FootnoteReference"/>
        </w:rPr>
        <w:footnoteRef/>
      </w:r>
      <w:r w:rsidRPr="00FD02F8">
        <w:t xml:space="preserve"> These are national outcomes for Scotland and SEPA plays a contributing role. </w:t>
      </w:r>
    </w:p>
    <w:p w14:paraId="4F46EB79" w14:textId="77777777" w:rsidR="00312056" w:rsidRPr="00FD02F8" w:rsidRDefault="00312056" w:rsidP="006B7358">
      <w:pPr>
        <w:rPr>
          <w:rFonts w:eastAsiaTheme="minorHAnsi"/>
        </w:rPr>
      </w:pPr>
    </w:p>
    <w:p w14:paraId="6EC4649C" w14:textId="77777777" w:rsidR="00312056" w:rsidRPr="00F349EA" w:rsidRDefault="00312056" w:rsidP="006B73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C67C" w14:textId="61E34C35" w:rsidR="00472315" w:rsidRPr="00FD02F8" w:rsidRDefault="00453CB1">
    <w:pPr>
      <w:pStyle w:val="Header"/>
    </w:pPr>
    <w:r>
      <w:rPr>
        <w:noProof/>
      </w:rPr>
      <mc:AlternateContent>
        <mc:Choice Requires="wps">
          <w:drawing>
            <wp:anchor distT="0" distB="0" distL="0" distR="0" simplePos="0" relativeHeight="251658243" behindDoc="0" locked="0" layoutInCell="1" allowOverlap="1" wp14:anchorId="67EF87E9" wp14:editId="006683C8">
              <wp:simplePos x="635" y="635"/>
              <wp:positionH relativeFrom="page">
                <wp:align>center</wp:align>
              </wp:positionH>
              <wp:positionV relativeFrom="page">
                <wp:align>top</wp:align>
              </wp:positionV>
              <wp:extent cx="518795" cy="422910"/>
              <wp:effectExtent l="0" t="0" r="14605" b="15240"/>
              <wp:wrapNone/>
              <wp:docPr id="75960947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F4A62D4" w14:textId="23BE37F5"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F87E9" id="_x0000_t202" coordsize="21600,21600" o:spt="202" path="m,l,21600r21600,l21600,xe">
              <v:stroke joinstyle="miter"/>
              <v:path gradientshapeok="t" o:connecttype="rect"/>
            </v:shapetype>
            <v:shape id="Text Box 12" o:spid="_x0000_s1028" type="#_x0000_t202" alt="OFFICIAL" style="position:absolute;margin-left:0;margin-top:0;width:40.85pt;height:3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textbox style="mso-fit-shape-to-text:t" inset="0,15pt,0,0">
                <w:txbxContent>
                  <w:p w14:paraId="3F4A62D4" w14:textId="23BE37F5"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0932" w14:textId="0D6D9415" w:rsidR="00472315" w:rsidRPr="00FD02F8" w:rsidRDefault="00453CB1" w:rsidP="00BF23E6">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FD6B1EF" wp14:editId="0DBB1B76">
              <wp:simplePos x="635" y="635"/>
              <wp:positionH relativeFrom="page">
                <wp:align>center</wp:align>
              </wp:positionH>
              <wp:positionV relativeFrom="page">
                <wp:align>top</wp:align>
              </wp:positionV>
              <wp:extent cx="518795" cy="422910"/>
              <wp:effectExtent l="0" t="0" r="14605" b="15240"/>
              <wp:wrapNone/>
              <wp:docPr id="174323173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5EED3AD" w14:textId="163B7D80"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6B1EF" id="_x0000_t202" coordsize="21600,21600" o:spt="202" path="m,l,21600r21600,l21600,xe">
              <v:stroke joinstyle="miter"/>
              <v:path gradientshapeok="t" o:connecttype="rect"/>
            </v:shapetype>
            <v:shape id="Text Box 13" o:spid="_x0000_s1029" type="#_x0000_t202" alt="OFFICIAL" style="position:absolute;left:0;text-align:left;margin-left:0;margin-top:0;width:40.85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textbox style="mso-fit-shape-to-text:t" inset="0,15pt,0,0">
                <w:txbxContent>
                  <w:p w14:paraId="65EED3AD" w14:textId="163B7D80"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v:textbox>
              <w10:wrap anchorx="page" anchory="page"/>
            </v:shape>
          </w:pict>
        </mc:Fallback>
      </mc:AlternateContent>
    </w:r>
    <w:r w:rsidR="00BF23E6" w:rsidRPr="00FD02F8">
      <w:rPr>
        <w:color w:val="6E7571" w:themeColor="text2"/>
      </w:rPr>
      <w:t xml:space="preserve">SEPA </w:t>
    </w:r>
    <w:r w:rsidR="00CA7DC8" w:rsidRPr="00FD02F8">
      <w:rPr>
        <w:color w:val="6E7571" w:themeColor="text2"/>
      </w:rPr>
      <w:t>2025-2026</w:t>
    </w:r>
    <w:r w:rsidR="00BF23E6" w:rsidRPr="00FD02F8">
      <w:rPr>
        <w:color w:val="6E7571" w:themeColor="text2"/>
      </w:rPr>
      <w:t xml:space="preserve"> </w:t>
    </w:r>
    <w:r w:rsidR="00964696" w:rsidRPr="00FD02F8">
      <w:br/>
    </w:r>
    <w:r w:rsidR="00BF23E6" w:rsidRPr="00FD02F8">
      <w:rPr>
        <w:noProof/>
      </w:rPr>
      <mc:AlternateContent>
        <mc:Choice Requires="wps">
          <w:drawing>
            <wp:anchor distT="0" distB="0" distL="114300" distR="114300" simplePos="0" relativeHeight="251658241" behindDoc="1" locked="0" layoutInCell="1" allowOverlap="1" wp14:anchorId="30A08781" wp14:editId="197B3F53">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3BC6F" id="Straight Connector 8" o:spid="_x0000_s1026" alt="&quot;&quot;" style="position:absolute;flip:x 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003547BD" w:rsidRPr="00FD02F8">
      <w:rPr>
        <w:color w:val="6E7571" w:themeColor="text2"/>
      </w:rPr>
      <w:t xml:space="preserve">Quarter </w:t>
    </w:r>
    <w:r w:rsidR="00421BB7">
      <w:rPr>
        <w:color w:val="6E7571" w:themeColor="text2"/>
      </w:rPr>
      <w:t>3</w:t>
    </w:r>
    <w:r w:rsidR="003547BD" w:rsidRPr="00FD02F8">
      <w:rPr>
        <w:color w:val="6E7571" w:themeColor="text2"/>
      </w:rPr>
      <w:t xml:space="preserve"> </w:t>
    </w:r>
    <w:r w:rsidR="00BF23E6" w:rsidRPr="00FD02F8">
      <w:rPr>
        <w:color w:val="6E7571" w:themeColor="text2"/>
      </w:rPr>
      <w:t>Corporate Performance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E487" w14:textId="15B1A271" w:rsidR="00CA7DC8" w:rsidRPr="00FD02F8" w:rsidRDefault="00453CB1" w:rsidP="00BF23E6">
    <w:pPr>
      <w:pStyle w:val="BodyText1"/>
      <w:spacing w:line="240" w:lineRule="auto"/>
      <w:jc w:val="right"/>
      <w:rPr>
        <w:color w:val="6E7571" w:themeColor="text2"/>
      </w:rPr>
    </w:pPr>
    <w:r>
      <w:rPr>
        <w:noProof/>
      </w:rPr>
      <mc:AlternateContent>
        <mc:Choice Requires="wps">
          <w:drawing>
            <wp:anchor distT="0" distB="0" distL="0" distR="0" simplePos="0" relativeHeight="251658242" behindDoc="0" locked="0" layoutInCell="1" allowOverlap="1" wp14:anchorId="5AB18A03" wp14:editId="4B977A0F">
              <wp:simplePos x="635" y="635"/>
              <wp:positionH relativeFrom="page">
                <wp:align>center</wp:align>
              </wp:positionH>
              <wp:positionV relativeFrom="page">
                <wp:align>top</wp:align>
              </wp:positionV>
              <wp:extent cx="518795" cy="422910"/>
              <wp:effectExtent l="0" t="0" r="14605" b="15240"/>
              <wp:wrapNone/>
              <wp:docPr id="142471618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95A7231" w14:textId="0DDB86BD"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18A03" id="_x0000_t202" coordsize="21600,21600" o:spt="202" path="m,l,21600r21600,l21600,xe">
              <v:stroke joinstyle="miter"/>
              <v:path gradientshapeok="t" o:connecttype="rect"/>
            </v:shapetype>
            <v:shape id="Text Box 11" o:spid="_x0000_s1032" type="#_x0000_t202" alt="OFFICIAL" style="position:absolute;left:0;text-align:left;margin-left:0;margin-top:0;width:40.85pt;height:3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textbox style="mso-fit-shape-to-text:t" inset="0,15pt,0,0">
                <w:txbxContent>
                  <w:p w14:paraId="295A7231" w14:textId="0DDB86BD" w:rsidR="00453CB1" w:rsidRPr="00453CB1" w:rsidRDefault="00453CB1" w:rsidP="00453CB1">
                    <w:pPr>
                      <w:rPr>
                        <w:rFonts w:ascii="Aptos" w:eastAsia="Aptos" w:hAnsi="Aptos" w:cs="Aptos"/>
                        <w:noProof/>
                        <w:color w:val="0000FF"/>
                        <w:sz w:val="20"/>
                        <w:szCs w:val="20"/>
                      </w:rPr>
                    </w:pPr>
                    <w:r w:rsidRPr="00453CB1">
                      <w:rPr>
                        <w:rFonts w:ascii="Aptos" w:eastAsia="Aptos" w:hAnsi="Aptos" w:cs="Aptos"/>
                        <w:noProof/>
                        <w:color w:val="0000FF"/>
                        <w:sz w:val="20"/>
                        <w:szCs w:val="20"/>
                      </w:rPr>
                      <w:t>OFFICIAL</w:t>
                    </w:r>
                  </w:p>
                </w:txbxContent>
              </v:textbox>
              <w10:wrap anchorx="page" anchory="page"/>
            </v:shape>
          </w:pict>
        </mc:Fallback>
      </mc:AlternateContent>
    </w:r>
    <w:r w:rsidR="00BF23E6" w:rsidRPr="00FD02F8">
      <w:rPr>
        <w:noProof/>
      </w:rPr>
      <mc:AlternateContent>
        <mc:Choice Requires="wps">
          <w:drawing>
            <wp:anchor distT="0" distB="0" distL="114300" distR="114300" simplePos="0" relativeHeight="251658240" behindDoc="1" locked="0" layoutInCell="1" allowOverlap="1" wp14:anchorId="7E56229B" wp14:editId="6BD3C031">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EF22B" id="Straight Connector 5" o:spid="_x0000_s1026" alt="&quot;&quot;"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00CA7DC8" w:rsidRPr="00FD02F8">
      <w:rPr>
        <w:color w:val="6E7571" w:themeColor="text2"/>
      </w:rPr>
      <w:t>SEPA 2025-2026</w:t>
    </w:r>
  </w:p>
  <w:p w14:paraId="703F0412" w14:textId="6D52F4EC" w:rsidR="00BF23E6" w:rsidRPr="00FD02F8" w:rsidRDefault="00ED736B" w:rsidP="00BF23E6">
    <w:pPr>
      <w:pStyle w:val="BodyText1"/>
      <w:spacing w:line="240" w:lineRule="auto"/>
      <w:jc w:val="right"/>
      <w:rPr>
        <w:color w:val="6E7571" w:themeColor="text2"/>
      </w:rPr>
    </w:pPr>
    <w:r w:rsidRPr="00FD02F8">
      <w:rPr>
        <w:color w:val="6E7571" w:themeColor="text2"/>
      </w:rPr>
      <w:t xml:space="preserve">Quarter </w:t>
    </w:r>
    <w:r w:rsidR="00255984" w:rsidRPr="00FD02F8">
      <w:rPr>
        <w:color w:val="6E7571" w:themeColor="text2"/>
      </w:rPr>
      <w:t>2</w:t>
    </w:r>
    <w:r w:rsidRPr="00FD02F8">
      <w:rPr>
        <w:color w:val="6E7571" w:themeColor="text2"/>
      </w:rPr>
      <w:t xml:space="preserve"> </w:t>
    </w:r>
    <w:r w:rsidR="00BF23E6" w:rsidRPr="00FD02F8">
      <w:rPr>
        <w:color w:val="6E7571" w:themeColor="text2"/>
      </w:rPr>
      <w:t xml:space="preserve">Corporate Performance </w:t>
    </w:r>
    <w:r w:rsidR="00CD51D0" w:rsidRPr="00FD02F8">
      <w:rPr>
        <w:color w:val="6E7571" w:themeColor="text2"/>
      </w:rPr>
      <w:t xml:space="preserve">Summary </w:t>
    </w:r>
    <w:r w:rsidR="00BF23E6" w:rsidRPr="00FD02F8">
      <w:rPr>
        <w:color w:val="6E7571" w:themeColor="text2"/>
      </w:rPr>
      <w:t>Report</w:t>
    </w:r>
    <w:r w:rsidR="00930F12" w:rsidRPr="00FD02F8">
      <w:rPr>
        <w:color w:val="6E7571" w:themeColor="text2"/>
      </w:rPr>
      <w:t xml:space="preserve"> </w:t>
    </w:r>
  </w:p>
  <w:p w14:paraId="17636174" w14:textId="2B19E55B" w:rsidR="00472315" w:rsidRPr="00FD02F8" w:rsidRDefault="00472315">
    <w:pPr>
      <w:pStyle w:val="Header"/>
    </w:pPr>
  </w:p>
</w:hdr>
</file>

<file path=word/intelligence2.xml><?xml version="1.0" encoding="utf-8"?>
<int2:intelligence xmlns:int2="http://schemas.microsoft.com/office/intelligence/2020/intelligence" xmlns:oel="http://schemas.microsoft.com/office/2019/extlst">
  <int2:observations>
    <int2:textHash int2:hashCode="87nVp0WdoxBK73" int2:id="81IT0t8h">
      <int2:state int2:value="Rejected" int2:type="spell"/>
    </int2:textHash>
    <int2:textHash int2:hashCode="wKYzTAp/BMiFTW" int2:id="9dWgxU5T">
      <int2:state int2:value="Rejected" int2:type="spell"/>
    </int2:textHash>
    <int2:textHash int2:hashCode="8AxQT4evrNVgHd" int2:id="Cd1s3XNy">
      <int2:state int2:value="Rejected" int2:type="spell"/>
    </int2:textHash>
    <int2:textHash int2:hashCode="p7gnUYjwy7FwwM" int2:id="i68C6is2">
      <int2:state int2:value="Rejected" int2:type="spell"/>
    </int2:textHash>
    <int2:textHash int2:hashCode="+qUNn+zn2ZIPmN" int2:id="rbMoOgDb">
      <int2:state int2:value="Rejected" int2:type="spell"/>
    </int2:textHash>
    <int2:bookmark int2:bookmarkName="_Int_HfNDMHHb" int2:invalidationBookmarkName="" int2:hashCode="pwqWBh93OjNzDE" int2:id="69dAhkq5">
      <int2:state int2:value="Rejected" int2:type="style"/>
    </int2:bookmark>
    <int2:bookmark int2:bookmarkName="_Int_62tex9so" int2:invalidationBookmarkName="" int2:hashCode="VRd/LyDcPFdCnc" int2:id="QsXuCCkW">
      <int2:state int2:value="Rejected" int2:type="style"/>
    </int2:bookmark>
    <int2:bookmark int2:bookmarkName="_Int_cMGUZusY" int2:invalidationBookmarkName="" int2:hashCode="9NfCN4ZVBEF2Na" int2:id="bzfCZWTP">
      <int2:state int2:value="Rejected" int2:type="style"/>
    </int2:bookmark>
    <int2:bookmark int2:bookmarkName="_Int_xsagSwaB" int2:invalidationBookmarkName="" int2:hashCode="jx26drVhaEkwol" int2:id="jMsbLDy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294"/>
    <w:multiLevelType w:val="hybridMultilevel"/>
    <w:tmpl w:val="9A16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3701E"/>
    <w:multiLevelType w:val="hybridMultilevel"/>
    <w:tmpl w:val="9EA2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5CFF"/>
    <w:multiLevelType w:val="hybridMultilevel"/>
    <w:tmpl w:val="D85C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87B54"/>
    <w:multiLevelType w:val="hybridMultilevel"/>
    <w:tmpl w:val="1166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B4DEF"/>
    <w:multiLevelType w:val="hybridMultilevel"/>
    <w:tmpl w:val="1FA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C26AC"/>
    <w:multiLevelType w:val="hybridMultilevel"/>
    <w:tmpl w:val="40186934"/>
    <w:lvl w:ilvl="0" w:tplc="E09098E6">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003D7"/>
    <w:multiLevelType w:val="hybridMultilevel"/>
    <w:tmpl w:val="B5B2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63DF6"/>
    <w:multiLevelType w:val="hybridMultilevel"/>
    <w:tmpl w:val="0F2C6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4C0D74"/>
    <w:multiLevelType w:val="hybridMultilevel"/>
    <w:tmpl w:val="79CE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B15C4"/>
    <w:multiLevelType w:val="hybridMultilevel"/>
    <w:tmpl w:val="5C94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6736E"/>
    <w:multiLevelType w:val="hybridMultilevel"/>
    <w:tmpl w:val="49E2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93E6B"/>
    <w:multiLevelType w:val="hybridMultilevel"/>
    <w:tmpl w:val="B8E8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537B7"/>
    <w:multiLevelType w:val="hybridMultilevel"/>
    <w:tmpl w:val="4062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151007">
    <w:abstractNumId w:val="4"/>
  </w:num>
  <w:num w:numId="2" w16cid:durableId="1391929275">
    <w:abstractNumId w:val="5"/>
  </w:num>
  <w:num w:numId="3" w16cid:durableId="190922011">
    <w:abstractNumId w:val="12"/>
  </w:num>
  <w:num w:numId="4" w16cid:durableId="501315814">
    <w:abstractNumId w:val="10"/>
  </w:num>
  <w:num w:numId="5" w16cid:durableId="801579757">
    <w:abstractNumId w:val="2"/>
  </w:num>
  <w:num w:numId="6" w16cid:durableId="1482843223">
    <w:abstractNumId w:val="6"/>
  </w:num>
  <w:num w:numId="7" w16cid:durableId="1727947937">
    <w:abstractNumId w:val="7"/>
  </w:num>
  <w:num w:numId="8" w16cid:durableId="1950966408">
    <w:abstractNumId w:val="8"/>
  </w:num>
  <w:num w:numId="9" w16cid:durableId="886530427">
    <w:abstractNumId w:val="0"/>
  </w:num>
  <w:num w:numId="10" w16cid:durableId="989822389">
    <w:abstractNumId w:val="11"/>
  </w:num>
  <w:num w:numId="11" w16cid:durableId="244456145">
    <w:abstractNumId w:val="1"/>
  </w:num>
  <w:num w:numId="12" w16cid:durableId="819082810">
    <w:abstractNumId w:val="3"/>
  </w:num>
  <w:num w:numId="13" w16cid:durableId="2402138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203"/>
    <w:rsid w:val="00000324"/>
    <w:rsid w:val="00000418"/>
    <w:rsid w:val="000004B3"/>
    <w:rsid w:val="00000519"/>
    <w:rsid w:val="00000620"/>
    <w:rsid w:val="00000693"/>
    <w:rsid w:val="00000921"/>
    <w:rsid w:val="00000C0C"/>
    <w:rsid w:val="00000C3D"/>
    <w:rsid w:val="00000C8E"/>
    <w:rsid w:val="00000CE9"/>
    <w:rsid w:val="00000EAB"/>
    <w:rsid w:val="000011FA"/>
    <w:rsid w:val="000013F2"/>
    <w:rsid w:val="0000166E"/>
    <w:rsid w:val="00001B25"/>
    <w:rsid w:val="00001B76"/>
    <w:rsid w:val="00001C2E"/>
    <w:rsid w:val="00001C68"/>
    <w:rsid w:val="000022F1"/>
    <w:rsid w:val="00002480"/>
    <w:rsid w:val="0000263C"/>
    <w:rsid w:val="000026B7"/>
    <w:rsid w:val="0000280F"/>
    <w:rsid w:val="0000289D"/>
    <w:rsid w:val="000028BE"/>
    <w:rsid w:val="000029A8"/>
    <w:rsid w:val="00002BCB"/>
    <w:rsid w:val="00002DCD"/>
    <w:rsid w:val="00002DFC"/>
    <w:rsid w:val="00002E18"/>
    <w:rsid w:val="000033AE"/>
    <w:rsid w:val="000038E3"/>
    <w:rsid w:val="00003A75"/>
    <w:rsid w:val="00003D59"/>
    <w:rsid w:val="00003D94"/>
    <w:rsid w:val="00003E61"/>
    <w:rsid w:val="000042A0"/>
    <w:rsid w:val="000045F9"/>
    <w:rsid w:val="000047BA"/>
    <w:rsid w:val="00004877"/>
    <w:rsid w:val="000048E5"/>
    <w:rsid w:val="000049B9"/>
    <w:rsid w:val="00004A26"/>
    <w:rsid w:val="00004CCA"/>
    <w:rsid w:val="000050F1"/>
    <w:rsid w:val="000052BA"/>
    <w:rsid w:val="000056B2"/>
    <w:rsid w:val="0000578E"/>
    <w:rsid w:val="00005B75"/>
    <w:rsid w:val="00005C0B"/>
    <w:rsid w:val="00005CC3"/>
    <w:rsid w:val="00005F7D"/>
    <w:rsid w:val="0000609C"/>
    <w:rsid w:val="0000664F"/>
    <w:rsid w:val="00006873"/>
    <w:rsid w:val="00006A5F"/>
    <w:rsid w:val="00007310"/>
    <w:rsid w:val="00007BA2"/>
    <w:rsid w:val="00007D0C"/>
    <w:rsid w:val="00007EA9"/>
    <w:rsid w:val="00010542"/>
    <w:rsid w:val="000107CA"/>
    <w:rsid w:val="00010D49"/>
    <w:rsid w:val="00010FA9"/>
    <w:rsid w:val="0001113C"/>
    <w:rsid w:val="000111F4"/>
    <w:rsid w:val="0001176A"/>
    <w:rsid w:val="0001184A"/>
    <w:rsid w:val="00011E8A"/>
    <w:rsid w:val="000122EE"/>
    <w:rsid w:val="00012315"/>
    <w:rsid w:val="00012476"/>
    <w:rsid w:val="000124EA"/>
    <w:rsid w:val="00012C61"/>
    <w:rsid w:val="00012F01"/>
    <w:rsid w:val="00013000"/>
    <w:rsid w:val="0001387C"/>
    <w:rsid w:val="00013B9C"/>
    <w:rsid w:val="00013C22"/>
    <w:rsid w:val="00013C82"/>
    <w:rsid w:val="00013CD3"/>
    <w:rsid w:val="0001400F"/>
    <w:rsid w:val="00014153"/>
    <w:rsid w:val="00014410"/>
    <w:rsid w:val="00014827"/>
    <w:rsid w:val="00014ACD"/>
    <w:rsid w:val="00014CA6"/>
    <w:rsid w:val="00014F2D"/>
    <w:rsid w:val="00015452"/>
    <w:rsid w:val="00015820"/>
    <w:rsid w:val="00015D6A"/>
    <w:rsid w:val="00015DCB"/>
    <w:rsid w:val="00016196"/>
    <w:rsid w:val="0001625B"/>
    <w:rsid w:val="00016487"/>
    <w:rsid w:val="0001651D"/>
    <w:rsid w:val="00016C4F"/>
    <w:rsid w:val="000179A1"/>
    <w:rsid w:val="00020097"/>
    <w:rsid w:val="00020539"/>
    <w:rsid w:val="0002106C"/>
    <w:rsid w:val="0002193A"/>
    <w:rsid w:val="00021D89"/>
    <w:rsid w:val="00022011"/>
    <w:rsid w:val="00022582"/>
    <w:rsid w:val="00023353"/>
    <w:rsid w:val="00023585"/>
    <w:rsid w:val="000236EE"/>
    <w:rsid w:val="0002395E"/>
    <w:rsid w:val="000239BC"/>
    <w:rsid w:val="00023B7F"/>
    <w:rsid w:val="00023FD7"/>
    <w:rsid w:val="0002403A"/>
    <w:rsid w:val="0002411E"/>
    <w:rsid w:val="000242E6"/>
    <w:rsid w:val="000245F0"/>
    <w:rsid w:val="00024702"/>
    <w:rsid w:val="00024790"/>
    <w:rsid w:val="000247B9"/>
    <w:rsid w:val="000247C9"/>
    <w:rsid w:val="000247E6"/>
    <w:rsid w:val="000249C6"/>
    <w:rsid w:val="00025279"/>
    <w:rsid w:val="0002586A"/>
    <w:rsid w:val="00025D0B"/>
    <w:rsid w:val="00025D1E"/>
    <w:rsid w:val="000260E1"/>
    <w:rsid w:val="000267BF"/>
    <w:rsid w:val="000267FD"/>
    <w:rsid w:val="0002686E"/>
    <w:rsid w:val="000268EA"/>
    <w:rsid w:val="0002693A"/>
    <w:rsid w:val="00026A8B"/>
    <w:rsid w:val="00026B95"/>
    <w:rsid w:val="00026EAD"/>
    <w:rsid w:val="00026FD1"/>
    <w:rsid w:val="00027649"/>
    <w:rsid w:val="00027816"/>
    <w:rsid w:val="000278B0"/>
    <w:rsid w:val="00027D88"/>
    <w:rsid w:val="00027DD0"/>
    <w:rsid w:val="00027E39"/>
    <w:rsid w:val="00027E6D"/>
    <w:rsid w:val="000303BB"/>
    <w:rsid w:val="000308BC"/>
    <w:rsid w:val="000308D8"/>
    <w:rsid w:val="00031031"/>
    <w:rsid w:val="00031529"/>
    <w:rsid w:val="000317CB"/>
    <w:rsid w:val="000317F6"/>
    <w:rsid w:val="000318E0"/>
    <w:rsid w:val="00031944"/>
    <w:rsid w:val="00031DEE"/>
    <w:rsid w:val="0003217B"/>
    <w:rsid w:val="00032227"/>
    <w:rsid w:val="000323C2"/>
    <w:rsid w:val="00032829"/>
    <w:rsid w:val="00032DCC"/>
    <w:rsid w:val="00032F48"/>
    <w:rsid w:val="00033244"/>
    <w:rsid w:val="000333E4"/>
    <w:rsid w:val="00033E18"/>
    <w:rsid w:val="000340B0"/>
    <w:rsid w:val="00034A42"/>
    <w:rsid w:val="00034A71"/>
    <w:rsid w:val="00034AC4"/>
    <w:rsid w:val="00034CBB"/>
    <w:rsid w:val="00034DA4"/>
    <w:rsid w:val="00034E87"/>
    <w:rsid w:val="00035021"/>
    <w:rsid w:val="00035386"/>
    <w:rsid w:val="00035642"/>
    <w:rsid w:val="00035838"/>
    <w:rsid w:val="000358C8"/>
    <w:rsid w:val="00035A74"/>
    <w:rsid w:val="00035B81"/>
    <w:rsid w:val="00035BDC"/>
    <w:rsid w:val="000360A2"/>
    <w:rsid w:val="000363F7"/>
    <w:rsid w:val="000370A7"/>
    <w:rsid w:val="0003724E"/>
    <w:rsid w:val="000377AE"/>
    <w:rsid w:val="00037F09"/>
    <w:rsid w:val="00037F17"/>
    <w:rsid w:val="00040257"/>
    <w:rsid w:val="00040312"/>
    <w:rsid w:val="00040424"/>
    <w:rsid w:val="00040561"/>
    <w:rsid w:val="000406C3"/>
    <w:rsid w:val="000407C5"/>
    <w:rsid w:val="00040828"/>
    <w:rsid w:val="000411EB"/>
    <w:rsid w:val="0004120C"/>
    <w:rsid w:val="00041B2A"/>
    <w:rsid w:val="00041BB8"/>
    <w:rsid w:val="00041DB0"/>
    <w:rsid w:val="00041FD5"/>
    <w:rsid w:val="00042123"/>
    <w:rsid w:val="0004255B"/>
    <w:rsid w:val="000428B0"/>
    <w:rsid w:val="000428E4"/>
    <w:rsid w:val="00042956"/>
    <w:rsid w:val="000429D0"/>
    <w:rsid w:val="00042DE1"/>
    <w:rsid w:val="00042E7F"/>
    <w:rsid w:val="0004304D"/>
    <w:rsid w:val="00043186"/>
    <w:rsid w:val="00043589"/>
    <w:rsid w:val="00043810"/>
    <w:rsid w:val="00043ACA"/>
    <w:rsid w:val="00043B7F"/>
    <w:rsid w:val="00043C19"/>
    <w:rsid w:val="00043DC5"/>
    <w:rsid w:val="00043FC0"/>
    <w:rsid w:val="00044592"/>
    <w:rsid w:val="000447CE"/>
    <w:rsid w:val="000447DB"/>
    <w:rsid w:val="00044929"/>
    <w:rsid w:val="00044B27"/>
    <w:rsid w:val="00045012"/>
    <w:rsid w:val="00045071"/>
    <w:rsid w:val="00045252"/>
    <w:rsid w:val="000453CD"/>
    <w:rsid w:val="0004541F"/>
    <w:rsid w:val="000454F4"/>
    <w:rsid w:val="000455B4"/>
    <w:rsid w:val="000456DE"/>
    <w:rsid w:val="0004596D"/>
    <w:rsid w:val="00045A1D"/>
    <w:rsid w:val="00045BA6"/>
    <w:rsid w:val="000461DC"/>
    <w:rsid w:val="00046973"/>
    <w:rsid w:val="000470D3"/>
    <w:rsid w:val="0004733C"/>
    <w:rsid w:val="00047511"/>
    <w:rsid w:val="0004758B"/>
    <w:rsid w:val="0004786A"/>
    <w:rsid w:val="000479F2"/>
    <w:rsid w:val="00047EE2"/>
    <w:rsid w:val="0005020C"/>
    <w:rsid w:val="000504D6"/>
    <w:rsid w:val="000507F1"/>
    <w:rsid w:val="00050842"/>
    <w:rsid w:val="0005086F"/>
    <w:rsid w:val="00050A7A"/>
    <w:rsid w:val="00050AD0"/>
    <w:rsid w:val="00050B2F"/>
    <w:rsid w:val="00050CC7"/>
    <w:rsid w:val="00050F1B"/>
    <w:rsid w:val="0005102B"/>
    <w:rsid w:val="0005132B"/>
    <w:rsid w:val="00051677"/>
    <w:rsid w:val="00051887"/>
    <w:rsid w:val="000519DD"/>
    <w:rsid w:val="00051A44"/>
    <w:rsid w:val="00051AC7"/>
    <w:rsid w:val="00051AFB"/>
    <w:rsid w:val="00051C4C"/>
    <w:rsid w:val="00051FBB"/>
    <w:rsid w:val="00052249"/>
    <w:rsid w:val="00052395"/>
    <w:rsid w:val="00052419"/>
    <w:rsid w:val="0005287E"/>
    <w:rsid w:val="00052A06"/>
    <w:rsid w:val="00052CA7"/>
    <w:rsid w:val="000531FA"/>
    <w:rsid w:val="00053224"/>
    <w:rsid w:val="000532AF"/>
    <w:rsid w:val="00053669"/>
    <w:rsid w:val="00053E15"/>
    <w:rsid w:val="00053EAB"/>
    <w:rsid w:val="000540AE"/>
    <w:rsid w:val="000540E3"/>
    <w:rsid w:val="00054188"/>
    <w:rsid w:val="0005463D"/>
    <w:rsid w:val="000547B4"/>
    <w:rsid w:val="000548F1"/>
    <w:rsid w:val="00055245"/>
    <w:rsid w:val="00055328"/>
    <w:rsid w:val="000555B3"/>
    <w:rsid w:val="00055B59"/>
    <w:rsid w:val="00055CE5"/>
    <w:rsid w:val="00055D7D"/>
    <w:rsid w:val="00055DB4"/>
    <w:rsid w:val="00055E34"/>
    <w:rsid w:val="000560C2"/>
    <w:rsid w:val="000561B2"/>
    <w:rsid w:val="0005663D"/>
    <w:rsid w:val="0005672F"/>
    <w:rsid w:val="000567B6"/>
    <w:rsid w:val="000567F5"/>
    <w:rsid w:val="000568F3"/>
    <w:rsid w:val="00056903"/>
    <w:rsid w:val="00056D65"/>
    <w:rsid w:val="00056E9A"/>
    <w:rsid w:val="00056EC6"/>
    <w:rsid w:val="0005712F"/>
    <w:rsid w:val="000572C2"/>
    <w:rsid w:val="0005782B"/>
    <w:rsid w:val="00057CFF"/>
    <w:rsid w:val="00057ED7"/>
    <w:rsid w:val="00057F5F"/>
    <w:rsid w:val="00057F8D"/>
    <w:rsid w:val="00057FFB"/>
    <w:rsid w:val="00060195"/>
    <w:rsid w:val="000605A6"/>
    <w:rsid w:val="00060766"/>
    <w:rsid w:val="000607E9"/>
    <w:rsid w:val="00060A50"/>
    <w:rsid w:val="00060A96"/>
    <w:rsid w:val="00060EF3"/>
    <w:rsid w:val="00060F43"/>
    <w:rsid w:val="00061168"/>
    <w:rsid w:val="00061175"/>
    <w:rsid w:val="00061331"/>
    <w:rsid w:val="00061AD5"/>
    <w:rsid w:val="0006216A"/>
    <w:rsid w:val="00062171"/>
    <w:rsid w:val="000625F0"/>
    <w:rsid w:val="00062672"/>
    <w:rsid w:val="00062695"/>
    <w:rsid w:val="00062789"/>
    <w:rsid w:val="00062971"/>
    <w:rsid w:val="00062E17"/>
    <w:rsid w:val="00062E21"/>
    <w:rsid w:val="00062E5F"/>
    <w:rsid w:val="000630A5"/>
    <w:rsid w:val="0006332D"/>
    <w:rsid w:val="00063A10"/>
    <w:rsid w:val="00063D1A"/>
    <w:rsid w:val="00063F07"/>
    <w:rsid w:val="000640DA"/>
    <w:rsid w:val="0006432F"/>
    <w:rsid w:val="0006459B"/>
    <w:rsid w:val="000645B5"/>
    <w:rsid w:val="000648D9"/>
    <w:rsid w:val="000649D3"/>
    <w:rsid w:val="000654A8"/>
    <w:rsid w:val="00065513"/>
    <w:rsid w:val="000658EA"/>
    <w:rsid w:val="00065CE4"/>
    <w:rsid w:val="00065E39"/>
    <w:rsid w:val="00065EF5"/>
    <w:rsid w:val="00065FA0"/>
    <w:rsid w:val="00065FE5"/>
    <w:rsid w:val="000662C7"/>
    <w:rsid w:val="000665CC"/>
    <w:rsid w:val="0006663D"/>
    <w:rsid w:val="000667C6"/>
    <w:rsid w:val="00066B85"/>
    <w:rsid w:val="00066D69"/>
    <w:rsid w:val="00067038"/>
    <w:rsid w:val="00067194"/>
    <w:rsid w:val="00067C99"/>
    <w:rsid w:val="00067D6A"/>
    <w:rsid w:val="000701BD"/>
    <w:rsid w:val="000701F5"/>
    <w:rsid w:val="0007023E"/>
    <w:rsid w:val="00070425"/>
    <w:rsid w:val="0007047D"/>
    <w:rsid w:val="00070636"/>
    <w:rsid w:val="000706A1"/>
    <w:rsid w:val="00070937"/>
    <w:rsid w:val="00070CBD"/>
    <w:rsid w:val="00070F9A"/>
    <w:rsid w:val="00071002"/>
    <w:rsid w:val="00071012"/>
    <w:rsid w:val="000710E9"/>
    <w:rsid w:val="00071165"/>
    <w:rsid w:val="00071226"/>
    <w:rsid w:val="00071707"/>
    <w:rsid w:val="00071BE1"/>
    <w:rsid w:val="00071D74"/>
    <w:rsid w:val="00071E1F"/>
    <w:rsid w:val="0007204D"/>
    <w:rsid w:val="000721B5"/>
    <w:rsid w:val="00072239"/>
    <w:rsid w:val="00072FF0"/>
    <w:rsid w:val="00073236"/>
    <w:rsid w:val="00073351"/>
    <w:rsid w:val="00073574"/>
    <w:rsid w:val="00073854"/>
    <w:rsid w:val="00073EC0"/>
    <w:rsid w:val="00073EFA"/>
    <w:rsid w:val="00074219"/>
    <w:rsid w:val="00074295"/>
    <w:rsid w:val="00074411"/>
    <w:rsid w:val="000746BC"/>
    <w:rsid w:val="00074BF2"/>
    <w:rsid w:val="00074C14"/>
    <w:rsid w:val="000752EF"/>
    <w:rsid w:val="000753C3"/>
    <w:rsid w:val="00075622"/>
    <w:rsid w:val="00075BC4"/>
    <w:rsid w:val="00075E60"/>
    <w:rsid w:val="0007614F"/>
    <w:rsid w:val="00076342"/>
    <w:rsid w:val="0007639D"/>
    <w:rsid w:val="00076454"/>
    <w:rsid w:val="000769C4"/>
    <w:rsid w:val="00076B8F"/>
    <w:rsid w:val="00076D4F"/>
    <w:rsid w:val="00077038"/>
    <w:rsid w:val="000771FB"/>
    <w:rsid w:val="00077329"/>
    <w:rsid w:val="000774B4"/>
    <w:rsid w:val="000777E2"/>
    <w:rsid w:val="00077B61"/>
    <w:rsid w:val="00077DDF"/>
    <w:rsid w:val="00077E1A"/>
    <w:rsid w:val="0007E7C5"/>
    <w:rsid w:val="0008012C"/>
    <w:rsid w:val="0008023D"/>
    <w:rsid w:val="00080701"/>
    <w:rsid w:val="00080955"/>
    <w:rsid w:val="00080DF9"/>
    <w:rsid w:val="00080FEE"/>
    <w:rsid w:val="000812DE"/>
    <w:rsid w:val="00081585"/>
    <w:rsid w:val="00081758"/>
    <w:rsid w:val="00081D22"/>
    <w:rsid w:val="00081E6E"/>
    <w:rsid w:val="00081FD2"/>
    <w:rsid w:val="00081FD5"/>
    <w:rsid w:val="00082077"/>
    <w:rsid w:val="000821AC"/>
    <w:rsid w:val="0008256D"/>
    <w:rsid w:val="000825D8"/>
    <w:rsid w:val="000829AE"/>
    <w:rsid w:val="00082ED1"/>
    <w:rsid w:val="00082FE3"/>
    <w:rsid w:val="00083042"/>
    <w:rsid w:val="000834BB"/>
    <w:rsid w:val="000836B9"/>
    <w:rsid w:val="0008374F"/>
    <w:rsid w:val="00083905"/>
    <w:rsid w:val="00083AA9"/>
    <w:rsid w:val="00083E10"/>
    <w:rsid w:val="00084088"/>
    <w:rsid w:val="000840ED"/>
    <w:rsid w:val="0008442B"/>
    <w:rsid w:val="00084548"/>
    <w:rsid w:val="000845DB"/>
    <w:rsid w:val="0008478D"/>
    <w:rsid w:val="000847D1"/>
    <w:rsid w:val="000849D7"/>
    <w:rsid w:val="00084A90"/>
    <w:rsid w:val="00085055"/>
    <w:rsid w:val="0008561B"/>
    <w:rsid w:val="000857F5"/>
    <w:rsid w:val="0008584A"/>
    <w:rsid w:val="00085983"/>
    <w:rsid w:val="00085DB8"/>
    <w:rsid w:val="000867A9"/>
    <w:rsid w:val="00086831"/>
    <w:rsid w:val="00086DD3"/>
    <w:rsid w:val="00086E05"/>
    <w:rsid w:val="00086EAA"/>
    <w:rsid w:val="00087401"/>
    <w:rsid w:val="00087603"/>
    <w:rsid w:val="00087870"/>
    <w:rsid w:val="00087B87"/>
    <w:rsid w:val="00087EAE"/>
    <w:rsid w:val="000900C9"/>
    <w:rsid w:val="000901DD"/>
    <w:rsid w:val="00090352"/>
    <w:rsid w:val="000903C5"/>
    <w:rsid w:val="000904F5"/>
    <w:rsid w:val="0009092A"/>
    <w:rsid w:val="00090A30"/>
    <w:rsid w:val="00090C67"/>
    <w:rsid w:val="00090C69"/>
    <w:rsid w:val="00090CF0"/>
    <w:rsid w:val="00090D3D"/>
    <w:rsid w:val="0009114B"/>
    <w:rsid w:val="00091153"/>
    <w:rsid w:val="000912F3"/>
    <w:rsid w:val="0009180F"/>
    <w:rsid w:val="0009185D"/>
    <w:rsid w:val="000920F8"/>
    <w:rsid w:val="00092192"/>
    <w:rsid w:val="0009220C"/>
    <w:rsid w:val="00092421"/>
    <w:rsid w:val="0009243E"/>
    <w:rsid w:val="000925DF"/>
    <w:rsid w:val="00092801"/>
    <w:rsid w:val="000928A1"/>
    <w:rsid w:val="000928AF"/>
    <w:rsid w:val="00092A8A"/>
    <w:rsid w:val="00092FD5"/>
    <w:rsid w:val="00093346"/>
    <w:rsid w:val="00093684"/>
    <w:rsid w:val="000937DE"/>
    <w:rsid w:val="00094065"/>
    <w:rsid w:val="00094354"/>
    <w:rsid w:val="00094857"/>
    <w:rsid w:val="00094A7F"/>
    <w:rsid w:val="00094C0A"/>
    <w:rsid w:val="00094C11"/>
    <w:rsid w:val="00094C1B"/>
    <w:rsid w:val="00094D98"/>
    <w:rsid w:val="00095604"/>
    <w:rsid w:val="0009583E"/>
    <w:rsid w:val="00095873"/>
    <w:rsid w:val="00095E83"/>
    <w:rsid w:val="00096131"/>
    <w:rsid w:val="00096232"/>
    <w:rsid w:val="000962B1"/>
    <w:rsid w:val="000962D6"/>
    <w:rsid w:val="0009671E"/>
    <w:rsid w:val="00096773"/>
    <w:rsid w:val="00096862"/>
    <w:rsid w:val="00097280"/>
    <w:rsid w:val="000972D7"/>
    <w:rsid w:val="000973B4"/>
    <w:rsid w:val="00097A34"/>
    <w:rsid w:val="000A01DD"/>
    <w:rsid w:val="000A03F9"/>
    <w:rsid w:val="000A04C7"/>
    <w:rsid w:val="000A05A2"/>
    <w:rsid w:val="000A0690"/>
    <w:rsid w:val="000A0960"/>
    <w:rsid w:val="000A0A49"/>
    <w:rsid w:val="000A0C6E"/>
    <w:rsid w:val="000A0D2F"/>
    <w:rsid w:val="000A1386"/>
    <w:rsid w:val="000A146E"/>
    <w:rsid w:val="000A147F"/>
    <w:rsid w:val="000A1A34"/>
    <w:rsid w:val="000A1B48"/>
    <w:rsid w:val="000A1EE0"/>
    <w:rsid w:val="000A20B9"/>
    <w:rsid w:val="000A2757"/>
    <w:rsid w:val="000A291F"/>
    <w:rsid w:val="000A29C9"/>
    <w:rsid w:val="000A3142"/>
    <w:rsid w:val="000A32DF"/>
    <w:rsid w:val="000A366A"/>
    <w:rsid w:val="000A36B6"/>
    <w:rsid w:val="000A36CE"/>
    <w:rsid w:val="000A3713"/>
    <w:rsid w:val="000A384C"/>
    <w:rsid w:val="000A469F"/>
    <w:rsid w:val="000A46ED"/>
    <w:rsid w:val="000A484E"/>
    <w:rsid w:val="000A4B62"/>
    <w:rsid w:val="000A4BB7"/>
    <w:rsid w:val="000A4C7B"/>
    <w:rsid w:val="000A4CD8"/>
    <w:rsid w:val="000A4CE3"/>
    <w:rsid w:val="000A4F94"/>
    <w:rsid w:val="000A51F9"/>
    <w:rsid w:val="000A5334"/>
    <w:rsid w:val="000A58EC"/>
    <w:rsid w:val="000A5B49"/>
    <w:rsid w:val="000A5B91"/>
    <w:rsid w:val="000A6101"/>
    <w:rsid w:val="000A65DA"/>
    <w:rsid w:val="000A6F22"/>
    <w:rsid w:val="000A6F33"/>
    <w:rsid w:val="000A7169"/>
    <w:rsid w:val="000A7376"/>
    <w:rsid w:val="000A7730"/>
    <w:rsid w:val="000A77DD"/>
    <w:rsid w:val="000A78D6"/>
    <w:rsid w:val="000A78FD"/>
    <w:rsid w:val="000A7C0B"/>
    <w:rsid w:val="000A7CB7"/>
    <w:rsid w:val="000A7F74"/>
    <w:rsid w:val="000B010E"/>
    <w:rsid w:val="000B0AFC"/>
    <w:rsid w:val="000B0B05"/>
    <w:rsid w:val="000B0B4B"/>
    <w:rsid w:val="000B1729"/>
    <w:rsid w:val="000B1D6E"/>
    <w:rsid w:val="000B2070"/>
    <w:rsid w:val="000B23B3"/>
    <w:rsid w:val="000B2614"/>
    <w:rsid w:val="000B28B8"/>
    <w:rsid w:val="000B2942"/>
    <w:rsid w:val="000B2A4A"/>
    <w:rsid w:val="000B2AAB"/>
    <w:rsid w:val="000B2AE5"/>
    <w:rsid w:val="000B317F"/>
    <w:rsid w:val="000B3995"/>
    <w:rsid w:val="000B3A6C"/>
    <w:rsid w:val="000B3BBA"/>
    <w:rsid w:val="000B4078"/>
    <w:rsid w:val="000B409F"/>
    <w:rsid w:val="000B418A"/>
    <w:rsid w:val="000B49E0"/>
    <w:rsid w:val="000B4D3F"/>
    <w:rsid w:val="000B5065"/>
    <w:rsid w:val="000B5202"/>
    <w:rsid w:val="000B5C71"/>
    <w:rsid w:val="000B5E47"/>
    <w:rsid w:val="000B6003"/>
    <w:rsid w:val="000B6029"/>
    <w:rsid w:val="000B66DC"/>
    <w:rsid w:val="000B6A81"/>
    <w:rsid w:val="000B6B4A"/>
    <w:rsid w:val="000B6D3B"/>
    <w:rsid w:val="000B7170"/>
    <w:rsid w:val="000B71CC"/>
    <w:rsid w:val="000B7270"/>
    <w:rsid w:val="000B7559"/>
    <w:rsid w:val="000B7A74"/>
    <w:rsid w:val="000B7EC8"/>
    <w:rsid w:val="000C00CF"/>
    <w:rsid w:val="000C015E"/>
    <w:rsid w:val="000C02A5"/>
    <w:rsid w:val="000C02E4"/>
    <w:rsid w:val="000C0646"/>
    <w:rsid w:val="000C0784"/>
    <w:rsid w:val="000C08DA"/>
    <w:rsid w:val="000C0C0F"/>
    <w:rsid w:val="000C0CAA"/>
    <w:rsid w:val="000C0D64"/>
    <w:rsid w:val="000C1079"/>
    <w:rsid w:val="000C115A"/>
    <w:rsid w:val="000C15E3"/>
    <w:rsid w:val="000C167E"/>
    <w:rsid w:val="000C1C33"/>
    <w:rsid w:val="000C1D58"/>
    <w:rsid w:val="000C1E4A"/>
    <w:rsid w:val="000C1E50"/>
    <w:rsid w:val="000C2447"/>
    <w:rsid w:val="000C259D"/>
    <w:rsid w:val="000C2ED0"/>
    <w:rsid w:val="000C32AE"/>
    <w:rsid w:val="000C3366"/>
    <w:rsid w:val="000C365F"/>
    <w:rsid w:val="000C42DB"/>
    <w:rsid w:val="000C451F"/>
    <w:rsid w:val="000C4AC3"/>
    <w:rsid w:val="000C4C55"/>
    <w:rsid w:val="000C5334"/>
    <w:rsid w:val="000C545A"/>
    <w:rsid w:val="000C594C"/>
    <w:rsid w:val="000C5959"/>
    <w:rsid w:val="000C5B9E"/>
    <w:rsid w:val="000C5C49"/>
    <w:rsid w:val="000C5EEA"/>
    <w:rsid w:val="000C6036"/>
    <w:rsid w:val="000C61F4"/>
    <w:rsid w:val="000C6339"/>
    <w:rsid w:val="000C63D1"/>
    <w:rsid w:val="000C69EB"/>
    <w:rsid w:val="000C6C81"/>
    <w:rsid w:val="000C6F26"/>
    <w:rsid w:val="000C720C"/>
    <w:rsid w:val="000C72A6"/>
    <w:rsid w:val="000C747C"/>
    <w:rsid w:val="000C748E"/>
    <w:rsid w:val="000C76D4"/>
    <w:rsid w:val="000C7BB8"/>
    <w:rsid w:val="000C7F7D"/>
    <w:rsid w:val="000D0068"/>
    <w:rsid w:val="000D01A4"/>
    <w:rsid w:val="000D068D"/>
    <w:rsid w:val="000D0C28"/>
    <w:rsid w:val="000D0E2F"/>
    <w:rsid w:val="000D0FC8"/>
    <w:rsid w:val="000D10CB"/>
    <w:rsid w:val="000D1149"/>
    <w:rsid w:val="000D18A4"/>
    <w:rsid w:val="000D1ABF"/>
    <w:rsid w:val="000D1DD6"/>
    <w:rsid w:val="000D1EA6"/>
    <w:rsid w:val="000D1FC3"/>
    <w:rsid w:val="000D20D0"/>
    <w:rsid w:val="000D27BC"/>
    <w:rsid w:val="000D2972"/>
    <w:rsid w:val="000D2AC6"/>
    <w:rsid w:val="000D2CE0"/>
    <w:rsid w:val="000D329B"/>
    <w:rsid w:val="000D33B2"/>
    <w:rsid w:val="000D34CA"/>
    <w:rsid w:val="000D3568"/>
    <w:rsid w:val="000D3612"/>
    <w:rsid w:val="000D3B8C"/>
    <w:rsid w:val="000D3C14"/>
    <w:rsid w:val="000D3C2D"/>
    <w:rsid w:val="000D4082"/>
    <w:rsid w:val="000D4174"/>
    <w:rsid w:val="000D4323"/>
    <w:rsid w:val="000D487C"/>
    <w:rsid w:val="000D4A79"/>
    <w:rsid w:val="000D4DEF"/>
    <w:rsid w:val="000D524B"/>
    <w:rsid w:val="000D5F0F"/>
    <w:rsid w:val="000D61C2"/>
    <w:rsid w:val="000D61F7"/>
    <w:rsid w:val="000D63E4"/>
    <w:rsid w:val="000D6506"/>
    <w:rsid w:val="000D659F"/>
    <w:rsid w:val="000D669D"/>
    <w:rsid w:val="000D670C"/>
    <w:rsid w:val="000D6817"/>
    <w:rsid w:val="000D68BC"/>
    <w:rsid w:val="000D6A80"/>
    <w:rsid w:val="000D6CBD"/>
    <w:rsid w:val="000D6DCF"/>
    <w:rsid w:val="000D6F91"/>
    <w:rsid w:val="000D71D3"/>
    <w:rsid w:val="000D72EB"/>
    <w:rsid w:val="000D7650"/>
    <w:rsid w:val="000D777C"/>
    <w:rsid w:val="000D7CDC"/>
    <w:rsid w:val="000D7DF7"/>
    <w:rsid w:val="000D7E5F"/>
    <w:rsid w:val="000D7E79"/>
    <w:rsid w:val="000D7FD3"/>
    <w:rsid w:val="000D7FF7"/>
    <w:rsid w:val="000E02FE"/>
    <w:rsid w:val="000E0B84"/>
    <w:rsid w:val="000E0D15"/>
    <w:rsid w:val="000E0D80"/>
    <w:rsid w:val="000E1B40"/>
    <w:rsid w:val="000E1E5E"/>
    <w:rsid w:val="000E20B3"/>
    <w:rsid w:val="000E2458"/>
    <w:rsid w:val="000E2506"/>
    <w:rsid w:val="000E25D6"/>
    <w:rsid w:val="000E25F6"/>
    <w:rsid w:val="000E269D"/>
    <w:rsid w:val="000E277A"/>
    <w:rsid w:val="000E2BF8"/>
    <w:rsid w:val="000E2CB7"/>
    <w:rsid w:val="000E30BA"/>
    <w:rsid w:val="000E3105"/>
    <w:rsid w:val="000E3298"/>
    <w:rsid w:val="000E3915"/>
    <w:rsid w:val="000E3B15"/>
    <w:rsid w:val="000E3C7B"/>
    <w:rsid w:val="000E4193"/>
    <w:rsid w:val="000E4397"/>
    <w:rsid w:val="000E43C5"/>
    <w:rsid w:val="000E4414"/>
    <w:rsid w:val="000E45DC"/>
    <w:rsid w:val="000E4862"/>
    <w:rsid w:val="000E4947"/>
    <w:rsid w:val="000E4CEB"/>
    <w:rsid w:val="000E4CF5"/>
    <w:rsid w:val="000E4F76"/>
    <w:rsid w:val="000E50DE"/>
    <w:rsid w:val="000E5287"/>
    <w:rsid w:val="000E56F9"/>
    <w:rsid w:val="000E5BCB"/>
    <w:rsid w:val="000E63A7"/>
    <w:rsid w:val="000E6544"/>
    <w:rsid w:val="000E671C"/>
    <w:rsid w:val="000E68A4"/>
    <w:rsid w:val="000E6A8E"/>
    <w:rsid w:val="000E6EB3"/>
    <w:rsid w:val="000E7186"/>
    <w:rsid w:val="000E71EF"/>
    <w:rsid w:val="000E735B"/>
    <w:rsid w:val="000E73FE"/>
    <w:rsid w:val="000E74F6"/>
    <w:rsid w:val="000E7600"/>
    <w:rsid w:val="000E7C0B"/>
    <w:rsid w:val="000E7E8D"/>
    <w:rsid w:val="000F0144"/>
    <w:rsid w:val="000F022E"/>
    <w:rsid w:val="000F02C3"/>
    <w:rsid w:val="000F034D"/>
    <w:rsid w:val="000F0451"/>
    <w:rsid w:val="000F06A8"/>
    <w:rsid w:val="000F0754"/>
    <w:rsid w:val="000F0D2B"/>
    <w:rsid w:val="000F107A"/>
    <w:rsid w:val="000F1147"/>
    <w:rsid w:val="000F1241"/>
    <w:rsid w:val="000F1265"/>
    <w:rsid w:val="000F1420"/>
    <w:rsid w:val="000F193E"/>
    <w:rsid w:val="000F1AC1"/>
    <w:rsid w:val="000F2035"/>
    <w:rsid w:val="000F216D"/>
    <w:rsid w:val="000F21D3"/>
    <w:rsid w:val="000F2252"/>
    <w:rsid w:val="000F2878"/>
    <w:rsid w:val="000F2C0C"/>
    <w:rsid w:val="000F2EE1"/>
    <w:rsid w:val="000F3053"/>
    <w:rsid w:val="000F30BE"/>
    <w:rsid w:val="000F3934"/>
    <w:rsid w:val="000F3A66"/>
    <w:rsid w:val="000F3B84"/>
    <w:rsid w:val="000F3DCE"/>
    <w:rsid w:val="000F4189"/>
    <w:rsid w:val="000F4601"/>
    <w:rsid w:val="000F4A48"/>
    <w:rsid w:val="000F4E84"/>
    <w:rsid w:val="000F4F31"/>
    <w:rsid w:val="000F514B"/>
    <w:rsid w:val="000F522B"/>
    <w:rsid w:val="000F565F"/>
    <w:rsid w:val="000F56C5"/>
    <w:rsid w:val="000F5871"/>
    <w:rsid w:val="000F5A88"/>
    <w:rsid w:val="000F5EEE"/>
    <w:rsid w:val="000F69DB"/>
    <w:rsid w:val="000F6AD3"/>
    <w:rsid w:val="000F6E30"/>
    <w:rsid w:val="000F7030"/>
    <w:rsid w:val="000F76DD"/>
    <w:rsid w:val="000F7A1B"/>
    <w:rsid w:val="000F7A5C"/>
    <w:rsid w:val="000F7A8E"/>
    <w:rsid w:val="0010018B"/>
    <w:rsid w:val="00100266"/>
    <w:rsid w:val="001005B7"/>
    <w:rsid w:val="001009CC"/>
    <w:rsid w:val="00100AB6"/>
    <w:rsid w:val="0010149B"/>
    <w:rsid w:val="00101E59"/>
    <w:rsid w:val="00101FBC"/>
    <w:rsid w:val="00102943"/>
    <w:rsid w:val="00102BDD"/>
    <w:rsid w:val="001030E0"/>
    <w:rsid w:val="001034BC"/>
    <w:rsid w:val="001034ED"/>
    <w:rsid w:val="001036B3"/>
    <w:rsid w:val="001037A7"/>
    <w:rsid w:val="00103861"/>
    <w:rsid w:val="00103B3C"/>
    <w:rsid w:val="00104087"/>
    <w:rsid w:val="00104756"/>
    <w:rsid w:val="00104B36"/>
    <w:rsid w:val="00105262"/>
    <w:rsid w:val="001056BA"/>
    <w:rsid w:val="001058E5"/>
    <w:rsid w:val="00105B20"/>
    <w:rsid w:val="00105D8F"/>
    <w:rsid w:val="00105E52"/>
    <w:rsid w:val="00105E91"/>
    <w:rsid w:val="00105F31"/>
    <w:rsid w:val="00105FB7"/>
    <w:rsid w:val="0010610A"/>
    <w:rsid w:val="001062D5"/>
    <w:rsid w:val="0010656E"/>
    <w:rsid w:val="00106C8E"/>
    <w:rsid w:val="00106F17"/>
    <w:rsid w:val="001070C8"/>
    <w:rsid w:val="001075BD"/>
    <w:rsid w:val="00107976"/>
    <w:rsid w:val="00107A4F"/>
    <w:rsid w:val="00107ACE"/>
    <w:rsid w:val="00107FD9"/>
    <w:rsid w:val="0011001D"/>
    <w:rsid w:val="001105FD"/>
    <w:rsid w:val="00110701"/>
    <w:rsid w:val="00110851"/>
    <w:rsid w:val="00110A23"/>
    <w:rsid w:val="00110AF1"/>
    <w:rsid w:val="00110C3E"/>
    <w:rsid w:val="00110C6B"/>
    <w:rsid w:val="00110F58"/>
    <w:rsid w:val="001112C9"/>
    <w:rsid w:val="00111443"/>
    <w:rsid w:val="00111761"/>
    <w:rsid w:val="001117C6"/>
    <w:rsid w:val="00111889"/>
    <w:rsid w:val="00111F1A"/>
    <w:rsid w:val="00112096"/>
    <w:rsid w:val="00112959"/>
    <w:rsid w:val="00112B7C"/>
    <w:rsid w:val="00112C15"/>
    <w:rsid w:val="00112E24"/>
    <w:rsid w:val="0011369F"/>
    <w:rsid w:val="00113A7D"/>
    <w:rsid w:val="00113E46"/>
    <w:rsid w:val="00113F3B"/>
    <w:rsid w:val="00114086"/>
    <w:rsid w:val="001140F6"/>
    <w:rsid w:val="00114181"/>
    <w:rsid w:val="001143BF"/>
    <w:rsid w:val="001145F6"/>
    <w:rsid w:val="0011480D"/>
    <w:rsid w:val="0011499C"/>
    <w:rsid w:val="00114B11"/>
    <w:rsid w:val="00114CF9"/>
    <w:rsid w:val="00114E64"/>
    <w:rsid w:val="001151AF"/>
    <w:rsid w:val="0011552C"/>
    <w:rsid w:val="0011562F"/>
    <w:rsid w:val="00115742"/>
    <w:rsid w:val="00115975"/>
    <w:rsid w:val="001159B1"/>
    <w:rsid w:val="00115A17"/>
    <w:rsid w:val="00115A37"/>
    <w:rsid w:val="00115A53"/>
    <w:rsid w:val="00115D9E"/>
    <w:rsid w:val="00116084"/>
    <w:rsid w:val="00116576"/>
    <w:rsid w:val="0011698D"/>
    <w:rsid w:val="001169AD"/>
    <w:rsid w:val="00116ACD"/>
    <w:rsid w:val="00116C45"/>
    <w:rsid w:val="00116F53"/>
    <w:rsid w:val="0011717A"/>
    <w:rsid w:val="001172E8"/>
    <w:rsid w:val="00117336"/>
    <w:rsid w:val="00117481"/>
    <w:rsid w:val="00117AF4"/>
    <w:rsid w:val="00117C72"/>
    <w:rsid w:val="00120023"/>
    <w:rsid w:val="001203FE"/>
    <w:rsid w:val="0012065C"/>
    <w:rsid w:val="001207F5"/>
    <w:rsid w:val="001208BB"/>
    <w:rsid w:val="00120A0E"/>
    <w:rsid w:val="00120A2F"/>
    <w:rsid w:val="00120ED4"/>
    <w:rsid w:val="001211CB"/>
    <w:rsid w:val="00121282"/>
    <w:rsid w:val="00121371"/>
    <w:rsid w:val="00121379"/>
    <w:rsid w:val="001214EF"/>
    <w:rsid w:val="00121653"/>
    <w:rsid w:val="0012191F"/>
    <w:rsid w:val="001219A2"/>
    <w:rsid w:val="00121A9A"/>
    <w:rsid w:val="00121E45"/>
    <w:rsid w:val="00122049"/>
    <w:rsid w:val="0012228F"/>
    <w:rsid w:val="0012275F"/>
    <w:rsid w:val="0012297D"/>
    <w:rsid w:val="00122DC8"/>
    <w:rsid w:val="00123182"/>
    <w:rsid w:val="001231CC"/>
    <w:rsid w:val="001231D4"/>
    <w:rsid w:val="0012326B"/>
    <w:rsid w:val="00123E88"/>
    <w:rsid w:val="0012405E"/>
    <w:rsid w:val="001243DA"/>
    <w:rsid w:val="00124947"/>
    <w:rsid w:val="00124F9B"/>
    <w:rsid w:val="001251C1"/>
    <w:rsid w:val="00125667"/>
    <w:rsid w:val="0012571D"/>
    <w:rsid w:val="00125AE7"/>
    <w:rsid w:val="00125BDF"/>
    <w:rsid w:val="0012659D"/>
    <w:rsid w:val="0012666D"/>
    <w:rsid w:val="00126899"/>
    <w:rsid w:val="00126955"/>
    <w:rsid w:val="00126C9B"/>
    <w:rsid w:val="00126D6E"/>
    <w:rsid w:val="00126F8D"/>
    <w:rsid w:val="00126F98"/>
    <w:rsid w:val="00127052"/>
    <w:rsid w:val="0012711D"/>
    <w:rsid w:val="00127328"/>
    <w:rsid w:val="001273FD"/>
    <w:rsid w:val="00127613"/>
    <w:rsid w:val="00127973"/>
    <w:rsid w:val="00127D61"/>
    <w:rsid w:val="00127E45"/>
    <w:rsid w:val="0013063C"/>
    <w:rsid w:val="00130EF0"/>
    <w:rsid w:val="00130F81"/>
    <w:rsid w:val="001310C6"/>
    <w:rsid w:val="0013110D"/>
    <w:rsid w:val="001312D0"/>
    <w:rsid w:val="001312E1"/>
    <w:rsid w:val="00131398"/>
    <w:rsid w:val="00131EBD"/>
    <w:rsid w:val="001322C3"/>
    <w:rsid w:val="001323AD"/>
    <w:rsid w:val="00132D4B"/>
    <w:rsid w:val="0013353D"/>
    <w:rsid w:val="00133CC9"/>
    <w:rsid w:val="00133E0E"/>
    <w:rsid w:val="00133ECB"/>
    <w:rsid w:val="0013422E"/>
    <w:rsid w:val="001342D6"/>
    <w:rsid w:val="001343A4"/>
    <w:rsid w:val="001345B5"/>
    <w:rsid w:val="00134813"/>
    <w:rsid w:val="00134A9D"/>
    <w:rsid w:val="00134AC3"/>
    <w:rsid w:val="00134AC7"/>
    <w:rsid w:val="00134E02"/>
    <w:rsid w:val="00134EF9"/>
    <w:rsid w:val="0013517E"/>
    <w:rsid w:val="00135339"/>
    <w:rsid w:val="0013538F"/>
    <w:rsid w:val="00135600"/>
    <w:rsid w:val="001357FF"/>
    <w:rsid w:val="00135C02"/>
    <w:rsid w:val="00135C63"/>
    <w:rsid w:val="00135E0B"/>
    <w:rsid w:val="00135E65"/>
    <w:rsid w:val="00135F43"/>
    <w:rsid w:val="00136294"/>
    <w:rsid w:val="001365F8"/>
    <w:rsid w:val="00136E24"/>
    <w:rsid w:val="0013766F"/>
    <w:rsid w:val="00137760"/>
    <w:rsid w:val="00137927"/>
    <w:rsid w:val="00137930"/>
    <w:rsid w:val="001379E1"/>
    <w:rsid w:val="00137AEE"/>
    <w:rsid w:val="00137BBB"/>
    <w:rsid w:val="00137D49"/>
    <w:rsid w:val="00137FF5"/>
    <w:rsid w:val="001401B9"/>
    <w:rsid w:val="001402EB"/>
    <w:rsid w:val="00140707"/>
    <w:rsid w:val="001407C5"/>
    <w:rsid w:val="0014097D"/>
    <w:rsid w:val="00141128"/>
    <w:rsid w:val="0014114D"/>
    <w:rsid w:val="00141570"/>
    <w:rsid w:val="0014180F"/>
    <w:rsid w:val="00141E78"/>
    <w:rsid w:val="0014215B"/>
    <w:rsid w:val="0014235D"/>
    <w:rsid w:val="001427A6"/>
    <w:rsid w:val="00142924"/>
    <w:rsid w:val="00142AE9"/>
    <w:rsid w:val="00142EDF"/>
    <w:rsid w:val="00142F8E"/>
    <w:rsid w:val="00142FD2"/>
    <w:rsid w:val="001434E2"/>
    <w:rsid w:val="00143588"/>
    <w:rsid w:val="00143C23"/>
    <w:rsid w:val="00143C54"/>
    <w:rsid w:val="00143FA7"/>
    <w:rsid w:val="00144172"/>
    <w:rsid w:val="001442A9"/>
    <w:rsid w:val="00144333"/>
    <w:rsid w:val="0014460C"/>
    <w:rsid w:val="00144611"/>
    <w:rsid w:val="001448F9"/>
    <w:rsid w:val="00144B11"/>
    <w:rsid w:val="00144F08"/>
    <w:rsid w:val="00145254"/>
    <w:rsid w:val="00145DAA"/>
    <w:rsid w:val="00145F05"/>
    <w:rsid w:val="00146286"/>
    <w:rsid w:val="0014653F"/>
    <w:rsid w:val="001467BB"/>
    <w:rsid w:val="00146936"/>
    <w:rsid w:val="00146DC0"/>
    <w:rsid w:val="00146EFA"/>
    <w:rsid w:val="0014769E"/>
    <w:rsid w:val="00147E81"/>
    <w:rsid w:val="00150076"/>
    <w:rsid w:val="001500C0"/>
    <w:rsid w:val="001500D6"/>
    <w:rsid w:val="00150235"/>
    <w:rsid w:val="00150276"/>
    <w:rsid w:val="0015032B"/>
    <w:rsid w:val="00150391"/>
    <w:rsid w:val="0015075D"/>
    <w:rsid w:val="001507A2"/>
    <w:rsid w:val="001508A0"/>
    <w:rsid w:val="00150937"/>
    <w:rsid w:val="00150AFF"/>
    <w:rsid w:val="00150CAA"/>
    <w:rsid w:val="0015117B"/>
    <w:rsid w:val="001512A3"/>
    <w:rsid w:val="00151618"/>
    <w:rsid w:val="00151868"/>
    <w:rsid w:val="00152208"/>
    <w:rsid w:val="00152230"/>
    <w:rsid w:val="001526F1"/>
    <w:rsid w:val="001527C8"/>
    <w:rsid w:val="001529B4"/>
    <w:rsid w:val="00152C2F"/>
    <w:rsid w:val="00152C6A"/>
    <w:rsid w:val="00152E86"/>
    <w:rsid w:val="00152FD0"/>
    <w:rsid w:val="0015302B"/>
    <w:rsid w:val="00153460"/>
    <w:rsid w:val="00153541"/>
    <w:rsid w:val="00153763"/>
    <w:rsid w:val="001538A3"/>
    <w:rsid w:val="00153A68"/>
    <w:rsid w:val="00153A97"/>
    <w:rsid w:val="00154209"/>
    <w:rsid w:val="00154476"/>
    <w:rsid w:val="0015451B"/>
    <w:rsid w:val="0015465D"/>
    <w:rsid w:val="00154959"/>
    <w:rsid w:val="00154984"/>
    <w:rsid w:val="00155013"/>
    <w:rsid w:val="00155045"/>
    <w:rsid w:val="00155209"/>
    <w:rsid w:val="00155212"/>
    <w:rsid w:val="00155264"/>
    <w:rsid w:val="00155710"/>
    <w:rsid w:val="0015582A"/>
    <w:rsid w:val="00155B2D"/>
    <w:rsid w:val="00155DCE"/>
    <w:rsid w:val="00155E21"/>
    <w:rsid w:val="00155EC2"/>
    <w:rsid w:val="00155F5A"/>
    <w:rsid w:val="001565BD"/>
    <w:rsid w:val="0015667E"/>
    <w:rsid w:val="00156A5A"/>
    <w:rsid w:val="00156D4E"/>
    <w:rsid w:val="001571AD"/>
    <w:rsid w:val="001571E7"/>
    <w:rsid w:val="001575BE"/>
    <w:rsid w:val="0015772F"/>
    <w:rsid w:val="00157781"/>
    <w:rsid w:val="00157E65"/>
    <w:rsid w:val="00157F5E"/>
    <w:rsid w:val="0016006B"/>
    <w:rsid w:val="00160223"/>
    <w:rsid w:val="0016037A"/>
    <w:rsid w:val="0016080D"/>
    <w:rsid w:val="00160926"/>
    <w:rsid w:val="00160C33"/>
    <w:rsid w:val="00160E75"/>
    <w:rsid w:val="00160FD3"/>
    <w:rsid w:val="001610EA"/>
    <w:rsid w:val="00161275"/>
    <w:rsid w:val="001616B8"/>
    <w:rsid w:val="00161A67"/>
    <w:rsid w:val="00161B7A"/>
    <w:rsid w:val="00161E54"/>
    <w:rsid w:val="00161EA1"/>
    <w:rsid w:val="001623E4"/>
    <w:rsid w:val="001625DC"/>
    <w:rsid w:val="001627AF"/>
    <w:rsid w:val="001629CC"/>
    <w:rsid w:val="001629DB"/>
    <w:rsid w:val="00162CCC"/>
    <w:rsid w:val="00162CF9"/>
    <w:rsid w:val="00163735"/>
    <w:rsid w:val="00163EC3"/>
    <w:rsid w:val="001640C5"/>
    <w:rsid w:val="0016420F"/>
    <w:rsid w:val="00164531"/>
    <w:rsid w:val="0016473D"/>
    <w:rsid w:val="0016475D"/>
    <w:rsid w:val="001649FE"/>
    <w:rsid w:val="00164B5A"/>
    <w:rsid w:val="00164E10"/>
    <w:rsid w:val="001651CD"/>
    <w:rsid w:val="001652FF"/>
    <w:rsid w:val="00165677"/>
    <w:rsid w:val="0016590F"/>
    <w:rsid w:val="00165BAD"/>
    <w:rsid w:val="00165F49"/>
    <w:rsid w:val="00165FAC"/>
    <w:rsid w:val="00165FBA"/>
    <w:rsid w:val="001662F6"/>
    <w:rsid w:val="001663E9"/>
    <w:rsid w:val="00166BFB"/>
    <w:rsid w:val="00166DB3"/>
    <w:rsid w:val="00166EB6"/>
    <w:rsid w:val="001673F0"/>
    <w:rsid w:val="001678A8"/>
    <w:rsid w:val="00167A4F"/>
    <w:rsid w:val="00167AFE"/>
    <w:rsid w:val="00167B10"/>
    <w:rsid w:val="00167C10"/>
    <w:rsid w:val="00167DFD"/>
    <w:rsid w:val="00167FC6"/>
    <w:rsid w:val="0017008B"/>
    <w:rsid w:val="001701A5"/>
    <w:rsid w:val="00170357"/>
    <w:rsid w:val="001703C5"/>
    <w:rsid w:val="00170836"/>
    <w:rsid w:val="0017097F"/>
    <w:rsid w:val="00170CC5"/>
    <w:rsid w:val="00170F2D"/>
    <w:rsid w:val="00171073"/>
    <w:rsid w:val="001712E2"/>
    <w:rsid w:val="0017139C"/>
    <w:rsid w:val="0017175C"/>
    <w:rsid w:val="00171852"/>
    <w:rsid w:val="00171B3C"/>
    <w:rsid w:val="00171CFD"/>
    <w:rsid w:val="00171DA3"/>
    <w:rsid w:val="00171F8E"/>
    <w:rsid w:val="00171FC4"/>
    <w:rsid w:val="001720DF"/>
    <w:rsid w:val="0017228E"/>
    <w:rsid w:val="00172A60"/>
    <w:rsid w:val="00172C1C"/>
    <w:rsid w:val="00172C4A"/>
    <w:rsid w:val="00173014"/>
    <w:rsid w:val="001736D7"/>
    <w:rsid w:val="00173E08"/>
    <w:rsid w:val="00173F39"/>
    <w:rsid w:val="00174CAA"/>
    <w:rsid w:val="00174CFC"/>
    <w:rsid w:val="00174F77"/>
    <w:rsid w:val="001751D3"/>
    <w:rsid w:val="001751E2"/>
    <w:rsid w:val="0017564B"/>
    <w:rsid w:val="0017588E"/>
    <w:rsid w:val="001758BD"/>
    <w:rsid w:val="00175998"/>
    <w:rsid w:val="00175AA8"/>
    <w:rsid w:val="00176007"/>
    <w:rsid w:val="00176B44"/>
    <w:rsid w:val="00176FDB"/>
    <w:rsid w:val="001771CA"/>
    <w:rsid w:val="0017739D"/>
    <w:rsid w:val="001773FA"/>
    <w:rsid w:val="00177451"/>
    <w:rsid w:val="00177E39"/>
    <w:rsid w:val="00177E3D"/>
    <w:rsid w:val="00180073"/>
    <w:rsid w:val="0018013C"/>
    <w:rsid w:val="00180275"/>
    <w:rsid w:val="00180554"/>
    <w:rsid w:val="00181620"/>
    <w:rsid w:val="001819BE"/>
    <w:rsid w:val="00181D19"/>
    <w:rsid w:val="00181EBA"/>
    <w:rsid w:val="001822BE"/>
    <w:rsid w:val="001826E0"/>
    <w:rsid w:val="00182A61"/>
    <w:rsid w:val="00182DD6"/>
    <w:rsid w:val="00183022"/>
    <w:rsid w:val="001834B6"/>
    <w:rsid w:val="001836D1"/>
    <w:rsid w:val="001836D5"/>
    <w:rsid w:val="0018370B"/>
    <w:rsid w:val="001838C7"/>
    <w:rsid w:val="00183D64"/>
    <w:rsid w:val="0018423C"/>
    <w:rsid w:val="00184369"/>
    <w:rsid w:val="001844A7"/>
    <w:rsid w:val="00184BBD"/>
    <w:rsid w:val="00184D03"/>
    <w:rsid w:val="0018538F"/>
    <w:rsid w:val="0018559A"/>
    <w:rsid w:val="00185693"/>
    <w:rsid w:val="00185A36"/>
    <w:rsid w:val="00185D13"/>
    <w:rsid w:val="00185DA1"/>
    <w:rsid w:val="00185EAB"/>
    <w:rsid w:val="00185FC4"/>
    <w:rsid w:val="00186599"/>
    <w:rsid w:val="001867D0"/>
    <w:rsid w:val="001868B4"/>
    <w:rsid w:val="001869B1"/>
    <w:rsid w:val="001869DB"/>
    <w:rsid w:val="00186C5C"/>
    <w:rsid w:val="00187633"/>
    <w:rsid w:val="001877D8"/>
    <w:rsid w:val="00187958"/>
    <w:rsid w:val="00187C9A"/>
    <w:rsid w:val="00187EC2"/>
    <w:rsid w:val="00187FF2"/>
    <w:rsid w:val="00190084"/>
    <w:rsid w:val="00190340"/>
    <w:rsid w:val="001904F2"/>
    <w:rsid w:val="001909FF"/>
    <w:rsid w:val="001914C8"/>
    <w:rsid w:val="001915F2"/>
    <w:rsid w:val="001916AD"/>
    <w:rsid w:val="00191728"/>
    <w:rsid w:val="0019182D"/>
    <w:rsid w:val="001918B7"/>
    <w:rsid w:val="00191AB6"/>
    <w:rsid w:val="00191B86"/>
    <w:rsid w:val="00191D9E"/>
    <w:rsid w:val="00192135"/>
    <w:rsid w:val="0019223E"/>
    <w:rsid w:val="001922AE"/>
    <w:rsid w:val="001924F6"/>
    <w:rsid w:val="001928A7"/>
    <w:rsid w:val="00192B83"/>
    <w:rsid w:val="00192D3F"/>
    <w:rsid w:val="00192E6C"/>
    <w:rsid w:val="00192FB2"/>
    <w:rsid w:val="00193BFB"/>
    <w:rsid w:val="00193D8E"/>
    <w:rsid w:val="00193EE0"/>
    <w:rsid w:val="00193F1D"/>
    <w:rsid w:val="00193FA6"/>
    <w:rsid w:val="001942BB"/>
    <w:rsid w:val="001943A2"/>
    <w:rsid w:val="00194421"/>
    <w:rsid w:val="001945DC"/>
    <w:rsid w:val="001948DB"/>
    <w:rsid w:val="00194B6F"/>
    <w:rsid w:val="00194C0B"/>
    <w:rsid w:val="00194C78"/>
    <w:rsid w:val="00195267"/>
    <w:rsid w:val="0019571A"/>
    <w:rsid w:val="00195811"/>
    <w:rsid w:val="00195912"/>
    <w:rsid w:val="00195D34"/>
    <w:rsid w:val="00196732"/>
    <w:rsid w:val="00196D01"/>
    <w:rsid w:val="00196D73"/>
    <w:rsid w:val="00196E5F"/>
    <w:rsid w:val="00196FC9"/>
    <w:rsid w:val="00197242"/>
    <w:rsid w:val="00197432"/>
    <w:rsid w:val="001976EB"/>
    <w:rsid w:val="00197BC4"/>
    <w:rsid w:val="00197D0F"/>
    <w:rsid w:val="001A0303"/>
    <w:rsid w:val="001A03DB"/>
    <w:rsid w:val="001A05B3"/>
    <w:rsid w:val="001A067C"/>
    <w:rsid w:val="001A06F5"/>
    <w:rsid w:val="001A07EA"/>
    <w:rsid w:val="001A0848"/>
    <w:rsid w:val="001A0855"/>
    <w:rsid w:val="001A0875"/>
    <w:rsid w:val="001A0947"/>
    <w:rsid w:val="001A0B77"/>
    <w:rsid w:val="001A0D1A"/>
    <w:rsid w:val="001A0DC7"/>
    <w:rsid w:val="001A1403"/>
    <w:rsid w:val="001A1430"/>
    <w:rsid w:val="001A15FB"/>
    <w:rsid w:val="001A1A73"/>
    <w:rsid w:val="001A2436"/>
    <w:rsid w:val="001A2583"/>
    <w:rsid w:val="001A25FD"/>
    <w:rsid w:val="001A2A6F"/>
    <w:rsid w:val="001A2B7E"/>
    <w:rsid w:val="001A33E3"/>
    <w:rsid w:val="001A38F1"/>
    <w:rsid w:val="001A3B91"/>
    <w:rsid w:val="001A45B8"/>
    <w:rsid w:val="001A4767"/>
    <w:rsid w:val="001A497C"/>
    <w:rsid w:val="001A4D75"/>
    <w:rsid w:val="001A4E75"/>
    <w:rsid w:val="001A525F"/>
    <w:rsid w:val="001A5269"/>
    <w:rsid w:val="001A5338"/>
    <w:rsid w:val="001A53C3"/>
    <w:rsid w:val="001A53D0"/>
    <w:rsid w:val="001A5486"/>
    <w:rsid w:val="001A54A8"/>
    <w:rsid w:val="001A5627"/>
    <w:rsid w:val="001A5709"/>
    <w:rsid w:val="001A5B3B"/>
    <w:rsid w:val="001A5B76"/>
    <w:rsid w:val="001A5C66"/>
    <w:rsid w:val="001A5D54"/>
    <w:rsid w:val="001A62F5"/>
    <w:rsid w:val="001A6345"/>
    <w:rsid w:val="001A64D5"/>
    <w:rsid w:val="001A6689"/>
    <w:rsid w:val="001A6715"/>
    <w:rsid w:val="001A67B9"/>
    <w:rsid w:val="001A6C89"/>
    <w:rsid w:val="001A6D2B"/>
    <w:rsid w:val="001A6EF7"/>
    <w:rsid w:val="001A73A6"/>
    <w:rsid w:val="001A74DB"/>
    <w:rsid w:val="001A7CD7"/>
    <w:rsid w:val="001A7E21"/>
    <w:rsid w:val="001A7EEC"/>
    <w:rsid w:val="001B0021"/>
    <w:rsid w:val="001B021B"/>
    <w:rsid w:val="001B031A"/>
    <w:rsid w:val="001B0694"/>
    <w:rsid w:val="001B06D9"/>
    <w:rsid w:val="001B0AFA"/>
    <w:rsid w:val="001B0F02"/>
    <w:rsid w:val="001B10D8"/>
    <w:rsid w:val="001B1DD6"/>
    <w:rsid w:val="001B27C6"/>
    <w:rsid w:val="001B2A53"/>
    <w:rsid w:val="001B2D9D"/>
    <w:rsid w:val="001B2F5E"/>
    <w:rsid w:val="001B31F3"/>
    <w:rsid w:val="001B35D1"/>
    <w:rsid w:val="001B399B"/>
    <w:rsid w:val="001B3BAB"/>
    <w:rsid w:val="001B3C7F"/>
    <w:rsid w:val="001B3D88"/>
    <w:rsid w:val="001B3D8B"/>
    <w:rsid w:val="001B3FC0"/>
    <w:rsid w:val="001B3FF5"/>
    <w:rsid w:val="001B4166"/>
    <w:rsid w:val="001B431A"/>
    <w:rsid w:val="001B44B3"/>
    <w:rsid w:val="001B4716"/>
    <w:rsid w:val="001B480C"/>
    <w:rsid w:val="001B4820"/>
    <w:rsid w:val="001B492A"/>
    <w:rsid w:val="001B49B1"/>
    <w:rsid w:val="001B4C76"/>
    <w:rsid w:val="001B4E44"/>
    <w:rsid w:val="001B5082"/>
    <w:rsid w:val="001B5089"/>
    <w:rsid w:val="001B51B8"/>
    <w:rsid w:val="001B51C5"/>
    <w:rsid w:val="001B532E"/>
    <w:rsid w:val="001B53DD"/>
    <w:rsid w:val="001B53E7"/>
    <w:rsid w:val="001B548D"/>
    <w:rsid w:val="001B56E5"/>
    <w:rsid w:val="001B5BDC"/>
    <w:rsid w:val="001B5E32"/>
    <w:rsid w:val="001B5E6A"/>
    <w:rsid w:val="001B6108"/>
    <w:rsid w:val="001B631B"/>
    <w:rsid w:val="001B6996"/>
    <w:rsid w:val="001B6E36"/>
    <w:rsid w:val="001B73B5"/>
    <w:rsid w:val="001B73CD"/>
    <w:rsid w:val="001B7699"/>
    <w:rsid w:val="001B78C2"/>
    <w:rsid w:val="001B7A7A"/>
    <w:rsid w:val="001B7A81"/>
    <w:rsid w:val="001B7ECE"/>
    <w:rsid w:val="001B7FD2"/>
    <w:rsid w:val="001C08D5"/>
    <w:rsid w:val="001C08FF"/>
    <w:rsid w:val="001C0990"/>
    <w:rsid w:val="001C0AD1"/>
    <w:rsid w:val="001C0D4F"/>
    <w:rsid w:val="001C1037"/>
    <w:rsid w:val="001C1521"/>
    <w:rsid w:val="001C1616"/>
    <w:rsid w:val="001C1635"/>
    <w:rsid w:val="001C1702"/>
    <w:rsid w:val="001C17D6"/>
    <w:rsid w:val="001C1803"/>
    <w:rsid w:val="001C18F3"/>
    <w:rsid w:val="001C1D51"/>
    <w:rsid w:val="001C1EDA"/>
    <w:rsid w:val="001C1FD9"/>
    <w:rsid w:val="001C20AE"/>
    <w:rsid w:val="001C23DC"/>
    <w:rsid w:val="001C2A90"/>
    <w:rsid w:val="001C2B45"/>
    <w:rsid w:val="001C2DE7"/>
    <w:rsid w:val="001C34B4"/>
    <w:rsid w:val="001C3710"/>
    <w:rsid w:val="001C3F7C"/>
    <w:rsid w:val="001C4158"/>
    <w:rsid w:val="001C436D"/>
    <w:rsid w:val="001C44E5"/>
    <w:rsid w:val="001C4573"/>
    <w:rsid w:val="001C45A1"/>
    <w:rsid w:val="001C4B1F"/>
    <w:rsid w:val="001C4DC0"/>
    <w:rsid w:val="001C4F27"/>
    <w:rsid w:val="001C514C"/>
    <w:rsid w:val="001C542E"/>
    <w:rsid w:val="001C563D"/>
    <w:rsid w:val="001C56D7"/>
    <w:rsid w:val="001C5D7B"/>
    <w:rsid w:val="001C5E20"/>
    <w:rsid w:val="001C5E6E"/>
    <w:rsid w:val="001C5F4A"/>
    <w:rsid w:val="001C6058"/>
    <w:rsid w:val="001C6AB4"/>
    <w:rsid w:val="001C6CCC"/>
    <w:rsid w:val="001C6D6B"/>
    <w:rsid w:val="001C6E7E"/>
    <w:rsid w:val="001C7085"/>
    <w:rsid w:val="001C7258"/>
    <w:rsid w:val="001C73A0"/>
    <w:rsid w:val="001C73FF"/>
    <w:rsid w:val="001C7448"/>
    <w:rsid w:val="001C7620"/>
    <w:rsid w:val="001C774D"/>
    <w:rsid w:val="001C7A71"/>
    <w:rsid w:val="001C7DAC"/>
    <w:rsid w:val="001D0332"/>
    <w:rsid w:val="001D0646"/>
    <w:rsid w:val="001D0A39"/>
    <w:rsid w:val="001D0EA8"/>
    <w:rsid w:val="001D109D"/>
    <w:rsid w:val="001D1212"/>
    <w:rsid w:val="001D12F7"/>
    <w:rsid w:val="001D1432"/>
    <w:rsid w:val="001D17F3"/>
    <w:rsid w:val="001D1E9F"/>
    <w:rsid w:val="001D1EDA"/>
    <w:rsid w:val="001D2396"/>
    <w:rsid w:val="001D23B4"/>
    <w:rsid w:val="001D262E"/>
    <w:rsid w:val="001D280E"/>
    <w:rsid w:val="001D2937"/>
    <w:rsid w:val="001D2A9D"/>
    <w:rsid w:val="001D2EBD"/>
    <w:rsid w:val="001D3082"/>
    <w:rsid w:val="001D3635"/>
    <w:rsid w:val="001D3685"/>
    <w:rsid w:val="001D3E07"/>
    <w:rsid w:val="001D418E"/>
    <w:rsid w:val="001D452A"/>
    <w:rsid w:val="001D4534"/>
    <w:rsid w:val="001D4BBE"/>
    <w:rsid w:val="001D4BBF"/>
    <w:rsid w:val="001D51B4"/>
    <w:rsid w:val="001D5450"/>
    <w:rsid w:val="001D56FB"/>
    <w:rsid w:val="001D5710"/>
    <w:rsid w:val="001D64FD"/>
    <w:rsid w:val="001D6587"/>
    <w:rsid w:val="001D6794"/>
    <w:rsid w:val="001D679D"/>
    <w:rsid w:val="001D6924"/>
    <w:rsid w:val="001D6B6C"/>
    <w:rsid w:val="001D6D59"/>
    <w:rsid w:val="001D7106"/>
    <w:rsid w:val="001D712A"/>
    <w:rsid w:val="001D712D"/>
    <w:rsid w:val="001D71AB"/>
    <w:rsid w:val="001D7740"/>
    <w:rsid w:val="001D7AA7"/>
    <w:rsid w:val="001D7CF2"/>
    <w:rsid w:val="001D7D48"/>
    <w:rsid w:val="001E0097"/>
    <w:rsid w:val="001E03D7"/>
    <w:rsid w:val="001E0BF4"/>
    <w:rsid w:val="001E0DD4"/>
    <w:rsid w:val="001E0E14"/>
    <w:rsid w:val="001E0FD1"/>
    <w:rsid w:val="001E1446"/>
    <w:rsid w:val="001E160E"/>
    <w:rsid w:val="001E2003"/>
    <w:rsid w:val="001E2612"/>
    <w:rsid w:val="001E27AB"/>
    <w:rsid w:val="001E2FFA"/>
    <w:rsid w:val="001E3880"/>
    <w:rsid w:val="001E3B1C"/>
    <w:rsid w:val="001E3CF0"/>
    <w:rsid w:val="001E3D93"/>
    <w:rsid w:val="001E3F47"/>
    <w:rsid w:val="001E402A"/>
    <w:rsid w:val="001E41D6"/>
    <w:rsid w:val="001E42B1"/>
    <w:rsid w:val="001E43B4"/>
    <w:rsid w:val="001E4434"/>
    <w:rsid w:val="001E4A01"/>
    <w:rsid w:val="001E4BAA"/>
    <w:rsid w:val="001E4D5F"/>
    <w:rsid w:val="001E5050"/>
    <w:rsid w:val="001E50CE"/>
    <w:rsid w:val="001E5579"/>
    <w:rsid w:val="001E567B"/>
    <w:rsid w:val="001E5BD8"/>
    <w:rsid w:val="001E5DA3"/>
    <w:rsid w:val="001E61E0"/>
    <w:rsid w:val="001E61E4"/>
    <w:rsid w:val="001E65DF"/>
    <w:rsid w:val="001E6A11"/>
    <w:rsid w:val="001E6F5B"/>
    <w:rsid w:val="001E7387"/>
    <w:rsid w:val="001E7A31"/>
    <w:rsid w:val="001E7C89"/>
    <w:rsid w:val="001F03BC"/>
    <w:rsid w:val="001F066A"/>
    <w:rsid w:val="001F0703"/>
    <w:rsid w:val="001F0982"/>
    <w:rsid w:val="001F0AAB"/>
    <w:rsid w:val="001F0B65"/>
    <w:rsid w:val="001F0D4E"/>
    <w:rsid w:val="001F0E92"/>
    <w:rsid w:val="001F1166"/>
    <w:rsid w:val="001F1210"/>
    <w:rsid w:val="001F145D"/>
    <w:rsid w:val="001F14BB"/>
    <w:rsid w:val="001F1830"/>
    <w:rsid w:val="001F1952"/>
    <w:rsid w:val="001F19E9"/>
    <w:rsid w:val="001F1F82"/>
    <w:rsid w:val="001F29B4"/>
    <w:rsid w:val="001F2A2F"/>
    <w:rsid w:val="001F2B54"/>
    <w:rsid w:val="001F2D8A"/>
    <w:rsid w:val="001F2DB5"/>
    <w:rsid w:val="001F30B7"/>
    <w:rsid w:val="001F30BE"/>
    <w:rsid w:val="001F3103"/>
    <w:rsid w:val="001F3132"/>
    <w:rsid w:val="001F3133"/>
    <w:rsid w:val="001F3519"/>
    <w:rsid w:val="001F3B62"/>
    <w:rsid w:val="001F3DE1"/>
    <w:rsid w:val="001F3F78"/>
    <w:rsid w:val="001F3FA2"/>
    <w:rsid w:val="001F40A3"/>
    <w:rsid w:val="001F40F2"/>
    <w:rsid w:val="001F427B"/>
    <w:rsid w:val="001F43F3"/>
    <w:rsid w:val="001F4441"/>
    <w:rsid w:val="001F45F3"/>
    <w:rsid w:val="001F4685"/>
    <w:rsid w:val="001F47D4"/>
    <w:rsid w:val="001F48A0"/>
    <w:rsid w:val="001F4B74"/>
    <w:rsid w:val="001F4F17"/>
    <w:rsid w:val="001F509E"/>
    <w:rsid w:val="001F5564"/>
    <w:rsid w:val="001F577E"/>
    <w:rsid w:val="001F5939"/>
    <w:rsid w:val="001F5D08"/>
    <w:rsid w:val="001F5D25"/>
    <w:rsid w:val="001F62C1"/>
    <w:rsid w:val="001F6418"/>
    <w:rsid w:val="001F6A5C"/>
    <w:rsid w:val="001F6B68"/>
    <w:rsid w:val="001F6DF4"/>
    <w:rsid w:val="001F6E12"/>
    <w:rsid w:val="001F704A"/>
    <w:rsid w:val="001F715C"/>
    <w:rsid w:val="001F76EE"/>
    <w:rsid w:val="001F77FE"/>
    <w:rsid w:val="001F7816"/>
    <w:rsid w:val="001F7921"/>
    <w:rsid w:val="001F7A6F"/>
    <w:rsid w:val="001F7DA0"/>
    <w:rsid w:val="001F7F3E"/>
    <w:rsid w:val="001F7FD8"/>
    <w:rsid w:val="001F7FE4"/>
    <w:rsid w:val="00200012"/>
    <w:rsid w:val="00200064"/>
    <w:rsid w:val="00200166"/>
    <w:rsid w:val="002001FB"/>
    <w:rsid w:val="00200537"/>
    <w:rsid w:val="002006D1"/>
    <w:rsid w:val="00200737"/>
    <w:rsid w:val="0020080C"/>
    <w:rsid w:val="00200BBA"/>
    <w:rsid w:val="00200D94"/>
    <w:rsid w:val="00200EE2"/>
    <w:rsid w:val="00200F40"/>
    <w:rsid w:val="002010B9"/>
    <w:rsid w:val="00201524"/>
    <w:rsid w:val="0020164A"/>
    <w:rsid w:val="00201771"/>
    <w:rsid w:val="002019FA"/>
    <w:rsid w:val="00201CEA"/>
    <w:rsid w:val="00202277"/>
    <w:rsid w:val="002023E2"/>
    <w:rsid w:val="00202739"/>
    <w:rsid w:val="00202D6B"/>
    <w:rsid w:val="00202E0F"/>
    <w:rsid w:val="0020301F"/>
    <w:rsid w:val="00203042"/>
    <w:rsid w:val="00203563"/>
    <w:rsid w:val="002035C7"/>
    <w:rsid w:val="00203829"/>
    <w:rsid w:val="00203B00"/>
    <w:rsid w:val="00203B12"/>
    <w:rsid w:val="00203C3E"/>
    <w:rsid w:val="00203CBB"/>
    <w:rsid w:val="0020406C"/>
    <w:rsid w:val="00204341"/>
    <w:rsid w:val="002046C8"/>
    <w:rsid w:val="002048C1"/>
    <w:rsid w:val="00204CA4"/>
    <w:rsid w:val="00204F7C"/>
    <w:rsid w:val="00204FCB"/>
    <w:rsid w:val="00205822"/>
    <w:rsid w:val="00205874"/>
    <w:rsid w:val="00205ED3"/>
    <w:rsid w:val="00205EFF"/>
    <w:rsid w:val="00206418"/>
    <w:rsid w:val="00206C3E"/>
    <w:rsid w:val="00206CFF"/>
    <w:rsid w:val="002073B7"/>
    <w:rsid w:val="0020753C"/>
    <w:rsid w:val="00207822"/>
    <w:rsid w:val="00207B14"/>
    <w:rsid w:val="00207BA5"/>
    <w:rsid w:val="00207E08"/>
    <w:rsid w:val="00207F39"/>
    <w:rsid w:val="002103AD"/>
    <w:rsid w:val="00210817"/>
    <w:rsid w:val="002108E9"/>
    <w:rsid w:val="00210AC1"/>
    <w:rsid w:val="00210CC1"/>
    <w:rsid w:val="002111E0"/>
    <w:rsid w:val="002114A2"/>
    <w:rsid w:val="00211B6E"/>
    <w:rsid w:val="00211DE9"/>
    <w:rsid w:val="00212108"/>
    <w:rsid w:val="00212A8C"/>
    <w:rsid w:val="00213643"/>
    <w:rsid w:val="00213889"/>
    <w:rsid w:val="00213999"/>
    <w:rsid w:val="00213B2D"/>
    <w:rsid w:val="00213BD9"/>
    <w:rsid w:val="00213D11"/>
    <w:rsid w:val="00213F83"/>
    <w:rsid w:val="002141D1"/>
    <w:rsid w:val="002143B0"/>
    <w:rsid w:val="002143B7"/>
    <w:rsid w:val="0021486E"/>
    <w:rsid w:val="002149CC"/>
    <w:rsid w:val="00214BC3"/>
    <w:rsid w:val="00214FB8"/>
    <w:rsid w:val="002154A1"/>
    <w:rsid w:val="00216002"/>
    <w:rsid w:val="00216266"/>
    <w:rsid w:val="002166EA"/>
    <w:rsid w:val="002167D6"/>
    <w:rsid w:val="00216A07"/>
    <w:rsid w:val="00216DD0"/>
    <w:rsid w:val="00217238"/>
    <w:rsid w:val="00217802"/>
    <w:rsid w:val="002179B2"/>
    <w:rsid w:val="00217B55"/>
    <w:rsid w:val="00217CAD"/>
    <w:rsid w:val="002205CD"/>
    <w:rsid w:val="00220F21"/>
    <w:rsid w:val="0022112F"/>
    <w:rsid w:val="00221359"/>
    <w:rsid w:val="00221747"/>
    <w:rsid w:val="00221B87"/>
    <w:rsid w:val="00221BF3"/>
    <w:rsid w:val="00221EAE"/>
    <w:rsid w:val="00222141"/>
    <w:rsid w:val="00222667"/>
    <w:rsid w:val="002227A2"/>
    <w:rsid w:val="00222872"/>
    <w:rsid w:val="00222943"/>
    <w:rsid w:val="00222BF8"/>
    <w:rsid w:val="00222E8A"/>
    <w:rsid w:val="002231A4"/>
    <w:rsid w:val="00223657"/>
    <w:rsid w:val="0022392C"/>
    <w:rsid w:val="00223BC6"/>
    <w:rsid w:val="00223C16"/>
    <w:rsid w:val="002240E8"/>
    <w:rsid w:val="002242EC"/>
    <w:rsid w:val="0022442F"/>
    <w:rsid w:val="0022450D"/>
    <w:rsid w:val="00224C1A"/>
    <w:rsid w:val="00225091"/>
    <w:rsid w:val="0022509F"/>
    <w:rsid w:val="002252C4"/>
    <w:rsid w:val="00225377"/>
    <w:rsid w:val="00225902"/>
    <w:rsid w:val="00225946"/>
    <w:rsid w:val="00225980"/>
    <w:rsid w:val="00226007"/>
    <w:rsid w:val="0022631D"/>
    <w:rsid w:val="002263E7"/>
    <w:rsid w:val="0022654F"/>
    <w:rsid w:val="00226A1C"/>
    <w:rsid w:val="00226C87"/>
    <w:rsid w:val="00227541"/>
    <w:rsid w:val="002276BC"/>
    <w:rsid w:val="00227846"/>
    <w:rsid w:val="002278D3"/>
    <w:rsid w:val="0022794F"/>
    <w:rsid w:val="00227CAF"/>
    <w:rsid w:val="00227D17"/>
    <w:rsid w:val="00227DE1"/>
    <w:rsid w:val="00227FE8"/>
    <w:rsid w:val="002301CC"/>
    <w:rsid w:val="0023050B"/>
    <w:rsid w:val="00230633"/>
    <w:rsid w:val="002308F0"/>
    <w:rsid w:val="00230BB7"/>
    <w:rsid w:val="00230C1C"/>
    <w:rsid w:val="00230D41"/>
    <w:rsid w:val="002310D8"/>
    <w:rsid w:val="00231765"/>
    <w:rsid w:val="00231F52"/>
    <w:rsid w:val="00232013"/>
    <w:rsid w:val="00232320"/>
    <w:rsid w:val="00232394"/>
    <w:rsid w:val="00232701"/>
    <w:rsid w:val="002328A0"/>
    <w:rsid w:val="002328B4"/>
    <w:rsid w:val="00232E39"/>
    <w:rsid w:val="00233555"/>
    <w:rsid w:val="00233759"/>
    <w:rsid w:val="002338EB"/>
    <w:rsid w:val="00233A7A"/>
    <w:rsid w:val="00233ABE"/>
    <w:rsid w:val="00233DBA"/>
    <w:rsid w:val="002344A8"/>
    <w:rsid w:val="002345F1"/>
    <w:rsid w:val="0023461D"/>
    <w:rsid w:val="002346B8"/>
    <w:rsid w:val="00234971"/>
    <w:rsid w:val="00234C40"/>
    <w:rsid w:val="00234D15"/>
    <w:rsid w:val="00234ED2"/>
    <w:rsid w:val="00235BB9"/>
    <w:rsid w:val="00235DDE"/>
    <w:rsid w:val="00235F8E"/>
    <w:rsid w:val="002360B6"/>
    <w:rsid w:val="00236285"/>
    <w:rsid w:val="002364A5"/>
    <w:rsid w:val="00236532"/>
    <w:rsid w:val="00236552"/>
    <w:rsid w:val="00236833"/>
    <w:rsid w:val="002368D9"/>
    <w:rsid w:val="00237207"/>
    <w:rsid w:val="002372A7"/>
    <w:rsid w:val="002372D6"/>
    <w:rsid w:val="00237306"/>
    <w:rsid w:val="00237947"/>
    <w:rsid w:val="00237A0A"/>
    <w:rsid w:val="00237A52"/>
    <w:rsid w:val="00237BCD"/>
    <w:rsid w:val="00237FEC"/>
    <w:rsid w:val="00240BD3"/>
    <w:rsid w:val="00240CFE"/>
    <w:rsid w:val="00240EC9"/>
    <w:rsid w:val="00240EDB"/>
    <w:rsid w:val="00241320"/>
    <w:rsid w:val="0024173C"/>
    <w:rsid w:val="00241A4B"/>
    <w:rsid w:val="00241AF6"/>
    <w:rsid w:val="00241BFB"/>
    <w:rsid w:val="00241CE1"/>
    <w:rsid w:val="00241E43"/>
    <w:rsid w:val="002425A6"/>
    <w:rsid w:val="00242A37"/>
    <w:rsid w:val="00242BA0"/>
    <w:rsid w:val="00242C20"/>
    <w:rsid w:val="00242D08"/>
    <w:rsid w:val="00242D65"/>
    <w:rsid w:val="0024342C"/>
    <w:rsid w:val="00243472"/>
    <w:rsid w:val="0024347F"/>
    <w:rsid w:val="002434A5"/>
    <w:rsid w:val="00243947"/>
    <w:rsid w:val="00243B04"/>
    <w:rsid w:val="00243D69"/>
    <w:rsid w:val="00243EE9"/>
    <w:rsid w:val="0024412C"/>
    <w:rsid w:val="00244945"/>
    <w:rsid w:val="002450FB"/>
    <w:rsid w:val="00245216"/>
    <w:rsid w:val="002452B6"/>
    <w:rsid w:val="0024542F"/>
    <w:rsid w:val="002455E2"/>
    <w:rsid w:val="00245998"/>
    <w:rsid w:val="00245C0B"/>
    <w:rsid w:val="002460F6"/>
    <w:rsid w:val="002464CC"/>
    <w:rsid w:val="00246706"/>
    <w:rsid w:val="002467EA"/>
    <w:rsid w:val="00246A26"/>
    <w:rsid w:val="00246BF4"/>
    <w:rsid w:val="00246D3F"/>
    <w:rsid w:val="00246E85"/>
    <w:rsid w:val="00246ED3"/>
    <w:rsid w:val="00247047"/>
    <w:rsid w:val="00247472"/>
    <w:rsid w:val="00247592"/>
    <w:rsid w:val="00247CD2"/>
    <w:rsid w:val="00247EA8"/>
    <w:rsid w:val="00250009"/>
    <w:rsid w:val="00250155"/>
    <w:rsid w:val="00250599"/>
    <w:rsid w:val="0025080E"/>
    <w:rsid w:val="0025099D"/>
    <w:rsid w:val="00251C43"/>
    <w:rsid w:val="00251E3E"/>
    <w:rsid w:val="00251FB7"/>
    <w:rsid w:val="00252005"/>
    <w:rsid w:val="002522EE"/>
    <w:rsid w:val="0025274E"/>
    <w:rsid w:val="002527D7"/>
    <w:rsid w:val="00252A66"/>
    <w:rsid w:val="00252BBF"/>
    <w:rsid w:val="00252EB2"/>
    <w:rsid w:val="00253157"/>
    <w:rsid w:val="0025359F"/>
    <w:rsid w:val="00253D1F"/>
    <w:rsid w:val="00253EE8"/>
    <w:rsid w:val="00253EF9"/>
    <w:rsid w:val="00253F58"/>
    <w:rsid w:val="002540E0"/>
    <w:rsid w:val="00254199"/>
    <w:rsid w:val="00254249"/>
    <w:rsid w:val="002542B2"/>
    <w:rsid w:val="00254491"/>
    <w:rsid w:val="00254538"/>
    <w:rsid w:val="002546A8"/>
    <w:rsid w:val="00254782"/>
    <w:rsid w:val="00254909"/>
    <w:rsid w:val="00254929"/>
    <w:rsid w:val="00254DA5"/>
    <w:rsid w:val="00254DAC"/>
    <w:rsid w:val="002552D6"/>
    <w:rsid w:val="0025592F"/>
    <w:rsid w:val="00255984"/>
    <w:rsid w:val="00255F14"/>
    <w:rsid w:val="00255F60"/>
    <w:rsid w:val="00255FF9"/>
    <w:rsid w:val="002564C4"/>
    <w:rsid w:val="00256891"/>
    <w:rsid w:val="00256C05"/>
    <w:rsid w:val="00256D7F"/>
    <w:rsid w:val="00256E86"/>
    <w:rsid w:val="0025703D"/>
    <w:rsid w:val="0025799E"/>
    <w:rsid w:val="002579B4"/>
    <w:rsid w:val="00257A96"/>
    <w:rsid w:val="00257EBF"/>
    <w:rsid w:val="0026008F"/>
    <w:rsid w:val="00260567"/>
    <w:rsid w:val="002608DE"/>
    <w:rsid w:val="00260976"/>
    <w:rsid w:val="00260A5B"/>
    <w:rsid w:val="00260A71"/>
    <w:rsid w:val="00260D66"/>
    <w:rsid w:val="00260E14"/>
    <w:rsid w:val="00260E26"/>
    <w:rsid w:val="00260E7A"/>
    <w:rsid w:val="0026109F"/>
    <w:rsid w:val="00261378"/>
    <w:rsid w:val="002614AA"/>
    <w:rsid w:val="00261569"/>
    <w:rsid w:val="00261729"/>
    <w:rsid w:val="00261AE1"/>
    <w:rsid w:val="00261B2D"/>
    <w:rsid w:val="00261DC6"/>
    <w:rsid w:val="00262471"/>
    <w:rsid w:val="00262539"/>
    <w:rsid w:val="0026255E"/>
    <w:rsid w:val="00262691"/>
    <w:rsid w:val="00262B79"/>
    <w:rsid w:val="00262C89"/>
    <w:rsid w:val="00262CA2"/>
    <w:rsid w:val="00262CE2"/>
    <w:rsid w:val="00262E18"/>
    <w:rsid w:val="00262E5A"/>
    <w:rsid w:val="00262FE0"/>
    <w:rsid w:val="00263047"/>
    <w:rsid w:val="0026324F"/>
    <w:rsid w:val="0026345D"/>
    <w:rsid w:val="002634D2"/>
    <w:rsid w:val="00263B98"/>
    <w:rsid w:val="00263C91"/>
    <w:rsid w:val="0026419D"/>
    <w:rsid w:val="00264339"/>
    <w:rsid w:val="002645D1"/>
    <w:rsid w:val="002649CC"/>
    <w:rsid w:val="00264BE7"/>
    <w:rsid w:val="00264CD0"/>
    <w:rsid w:val="00264EEE"/>
    <w:rsid w:val="00264F8A"/>
    <w:rsid w:val="00264F9D"/>
    <w:rsid w:val="00265034"/>
    <w:rsid w:val="002650E3"/>
    <w:rsid w:val="00265514"/>
    <w:rsid w:val="00265741"/>
    <w:rsid w:val="002659CB"/>
    <w:rsid w:val="00265E95"/>
    <w:rsid w:val="002661C3"/>
    <w:rsid w:val="00266AE3"/>
    <w:rsid w:val="00266C8A"/>
    <w:rsid w:val="00266D81"/>
    <w:rsid w:val="0026738B"/>
    <w:rsid w:val="002675D1"/>
    <w:rsid w:val="00267908"/>
    <w:rsid w:val="00267B0D"/>
    <w:rsid w:val="00267C6A"/>
    <w:rsid w:val="002701A2"/>
    <w:rsid w:val="002702AA"/>
    <w:rsid w:val="002706A8"/>
    <w:rsid w:val="00270994"/>
    <w:rsid w:val="002709F9"/>
    <w:rsid w:val="002709FE"/>
    <w:rsid w:val="00270BAE"/>
    <w:rsid w:val="00270EC3"/>
    <w:rsid w:val="0027162B"/>
    <w:rsid w:val="002718E8"/>
    <w:rsid w:val="002719C8"/>
    <w:rsid w:val="00271C1B"/>
    <w:rsid w:val="00271CD4"/>
    <w:rsid w:val="00272192"/>
    <w:rsid w:val="00272381"/>
    <w:rsid w:val="0027246F"/>
    <w:rsid w:val="00272789"/>
    <w:rsid w:val="0027311F"/>
    <w:rsid w:val="00273584"/>
    <w:rsid w:val="0027399F"/>
    <w:rsid w:val="00273A0E"/>
    <w:rsid w:val="00273DFB"/>
    <w:rsid w:val="00273EC8"/>
    <w:rsid w:val="00274818"/>
    <w:rsid w:val="0027522B"/>
    <w:rsid w:val="002753ED"/>
    <w:rsid w:val="00275419"/>
    <w:rsid w:val="002755ED"/>
    <w:rsid w:val="002760EB"/>
    <w:rsid w:val="0027646E"/>
    <w:rsid w:val="002764A3"/>
    <w:rsid w:val="0027696A"/>
    <w:rsid w:val="00276977"/>
    <w:rsid w:val="00276983"/>
    <w:rsid w:val="00276E0C"/>
    <w:rsid w:val="00277123"/>
    <w:rsid w:val="002775A6"/>
    <w:rsid w:val="002775E8"/>
    <w:rsid w:val="00277C8A"/>
    <w:rsid w:val="00280673"/>
    <w:rsid w:val="002808EA"/>
    <w:rsid w:val="00280A87"/>
    <w:rsid w:val="00280B0F"/>
    <w:rsid w:val="00280F94"/>
    <w:rsid w:val="00281405"/>
    <w:rsid w:val="00281548"/>
    <w:rsid w:val="002819BB"/>
    <w:rsid w:val="00281BB1"/>
    <w:rsid w:val="00281BD9"/>
    <w:rsid w:val="00281CF5"/>
    <w:rsid w:val="00281D8C"/>
    <w:rsid w:val="00281DA7"/>
    <w:rsid w:val="00282037"/>
    <w:rsid w:val="00282E89"/>
    <w:rsid w:val="002833A0"/>
    <w:rsid w:val="00283418"/>
    <w:rsid w:val="00283926"/>
    <w:rsid w:val="00283BBB"/>
    <w:rsid w:val="00283D50"/>
    <w:rsid w:val="00284068"/>
    <w:rsid w:val="002841D2"/>
    <w:rsid w:val="00284234"/>
    <w:rsid w:val="00284595"/>
    <w:rsid w:val="002845C4"/>
    <w:rsid w:val="00284E4C"/>
    <w:rsid w:val="00284E5F"/>
    <w:rsid w:val="00285055"/>
    <w:rsid w:val="0028554F"/>
    <w:rsid w:val="002855C2"/>
    <w:rsid w:val="0028579B"/>
    <w:rsid w:val="00285853"/>
    <w:rsid w:val="00285953"/>
    <w:rsid w:val="0028595B"/>
    <w:rsid w:val="00285A55"/>
    <w:rsid w:val="00285CCC"/>
    <w:rsid w:val="00285E19"/>
    <w:rsid w:val="0028601B"/>
    <w:rsid w:val="002860E4"/>
    <w:rsid w:val="00286523"/>
    <w:rsid w:val="00286578"/>
    <w:rsid w:val="002865C5"/>
    <w:rsid w:val="0028674E"/>
    <w:rsid w:val="002869FB"/>
    <w:rsid w:val="00286F0E"/>
    <w:rsid w:val="0028705E"/>
    <w:rsid w:val="0028717B"/>
    <w:rsid w:val="00287521"/>
    <w:rsid w:val="00287539"/>
    <w:rsid w:val="00287965"/>
    <w:rsid w:val="00287FF4"/>
    <w:rsid w:val="002907FE"/>
    <w:rsid w:val="00290B1F"/>
    <w:rsid w:val="00291439"/>
    <w:rsid w:val="002916A5"/>
    <w:rsid w:val="00291AE8"/>
    <w:rsid w:val="00291EFC"/>
    <w:rsid w:val="00291F55"/>
    <w:rsid w:val="00291FB8"/>
    <w:rsid w:val="00291FFF"/>
    <w:rsid w:val="00292237"/>
    <w:rsid w:val="0029265D"/>
    <w:rsid w:val="002926EF"/>
    <w:rsid w:val="00292792"/>
    <w:rsid w:val="00292872"/>
    <w:rsid w:val="002929BE"/>
    <w:rsid w:val="00292AE8"/>
    <w:rsid w:val="00292E12"/>
    <w:rsid w:val="00292E62"/>
    <w:rsid w:val="002932D5"/>
    <w:rsid w:val="00293449"/>
    <w:rsid w:val="00293866"/>
    <w:rsid w:val="0029413C"/>
    <w:rsid w:val="0029417F"/>
    <w:rsid w:val="002945DC"/>
    <w:rsid w:val="00294811"/>
    <w:rsid w:val="0029498E"/>
    <w:rsid w:val="00294B39"/>
    <w:rsid w:val="00294BB3"/>
    <w:rsid w:val="00294CC3"/>
    <w:rsid w:val="00294D49"/>
    <w:rsid w:val="00294E8B"/>
    <w:rsid w:val="00294FF5"/>
    <w:rsid w:val="00295067"/>
    <w:rsid w:val="002950D2"/>
    <w:rsid w:val="002950DD"/>
    <w:rsid w:val="00295971"/>
    <w:rsid w:val="00295D0A"/>
    <w:rsid w:val="00295F15"/>
    <w:rsid w:val="00296459"/>
    <w:rsid w:val="002965BC"/>
    <w:rsid w:val="00296A6B"/>
    <w:rsid w:val="00296B43"/>
    <w:rsid w:val="00296CEF"/>
    <w:rsid w:val="00296E5A"/>
    <w:rsid w:val="00296F63"/>
    <w:rsid w:val="00297003"/>
    <w:rsid w:val="00297592"/>
    <w:rsid w:val="00297629"/>
    <w:rsid w:val="002A0332"/>
    <w:rsid w:val="002A0563"/>
    <w:rsid w:val="002A05BE"/>
    <w:rsid w:val="002A05DC"/>
    <w:rsid w:val="002A0A46"/>
    <w:rsid w:val="002A0D97"/>
    <w:rsid w:val="002A0D98"/>
    <w:rsid w:val="002A127F"/>
    <w:rsid w:val="002A1839"/>
    <w:rsid w:val="002A1A04"/>
    <w:rsid w:val="002A1F87"/>
    <w:rsid w:val="002A2209"/>
    <w:rsid w:val="002A2880"/>
    <w:rsid w:val="002A2899"/>
    <w:rsid w:val="002A2CDD"/>
    <w:rsid w:val="002A2E55"/>
    <w:rsid w:val="002A3672"/>
    <w:rsid w:val="002A373B"/>
    <w:rsid w:val="002A3D5C"/>
    <w:rsid w:val="002A40F6"/>
    <w:rsid w:val="002A4202"/>
    <w:rsid w:val="002A485D"/>
    <w:rsid w:val="002A4967"/>
    <w:rsid w:val="002A4CAD"/>
    <w:rsid w:val="002A4D3B"/>
    <w:rsid w:val="002A4D7C"/>
    <w:rsid w:val="002A4E61"/>
    <w:rsid w:val="002A4F54"/>
    <w:rsid w:val="002A501B"/>
    <w:rsid w:val="002A51D5"/>
    <w:rsid w:val="002A53BB"/>
    <w:rsid w:val="002A59C2"/>
    <w:rsid w:val="002A5AD6"/>
    <w:rsid w:val="002A5B8B"/>
    <w:rsid w:val="002A6015"/>
    <w:rsid w:val="002A6029"/>
    <w:rsid w:val="002A609E"/>
    <w:rsid w:val="002A631D"/>
    <w:rsid w:val="002A637D"/>
    <w:rsid w:val="002A7008"/>
    <w:rsid w:val="002A717A"/>
    <w:rsid w:val="002A71C2"/>
    <w:rsid w:val="002A74AB"/>
    <w:rsid w:val="002A7642"/>
    <w:rsid w:val="002A780C"/>
    <w:rsid w:val="002A7914"/>
    <w:rsid w:val="002A79A3"/>
    <w:rsid w:val="002A7A46"/>
    <w:rsid w:val="002A7ACC"/>
    <w:rsid w:val="002A7F5E"/>
    <w:rsid w:val="002B0125"/>
    <w:rsid w:val="002B016E"/>
    <w:rsid w:val="002B091D"/>
    <w:rsid w:val="002B12C3"/>
    <w:rsid w:val="002B1718"/>
    <w:rsid w:val="002B1963"/>
    <w:rsid w:val="002B1BE3"/>
    <w:rsid w:val="002B1DA9"/>
    <w:rsid w:val="002B1EFF"/>
    <w:rsid w:val="002B200D"/>
    <w:rsid w:val="002B20CE"/>
    <w:rsid w:val="002B2269"/>
    <w:rsid w:val="002B26EF"/>
    <w:rsid w:val="002B2749"/>
    <w:rsid w:val="002B27B7"/>
    <w:rsid w:val="002B28C3"/>
    <w:rsid w:val="002B2AC9"/>
    <w:rsid w:val="002B2B4A"/>
    <w:rsid w:val="002B2E36"/>
    <w:rsid w:val="002B32A5"/>
    <w:rsid w:val="002B3362"/>
    <w:rsid w:val="002B3763"/>
    <w:rsid w:val="002B3A59"/>
    <w:rsid w:val="002B3B29"/>
    <w:rsid w:val="002B41A0"/>
    <w:rsid w:val="002B421E"/>
    <w:rsid w:val="002B46E9"/>
    <w:rsid w:val="002B47E6"/>
    <w:rsid w:val="002B4819"/>
    <w:rsid w:val="002B4830"/>
    <w:rsid w:val="002B4A0F"/>
    <w:rsid w:val="002B4A85"/>
    <w:rsid w:val="002B4BA8"/>
    <w:rsid w:val="002B4D55"/>
    <w:rsid w:val="002B5086"/>
    <w:rsid w:val="002B55AA"/>
    <w:rsid w:val="002B565C"/>
    <w:rsid w:val="002B5A23"/>
    <w:rsid w:val="002B5AAD"/>
    <w:rsid w:val="002B5AB9"/>
    <w:rsid w:val="002B5C3E"/>
    <w:rsid w:val="002B5F47"/>
    <w:rsid w:val="002B5FC5"/>
    <w:rsid w:val="002B5FC9"/>
    <w:rsid w:val="002B62A3"/>
    <w:rsid w:val="002B6402"/>
    <w:rsid w:val="002B65CA"/>
    <w:rsid w:val="002B65F9"/>
    <w:rsid w:val="002B66D2"/>
    <w:rsid w:val="002B6A66"/>
    <w:rsid w:val="002B6A91"/>
    <w:rsid w:val="002B6C49"/>
    <w:rsid w:val="002B6DD0"/>
    <w:rsid w:val="002B6FA5"/>
    <w:rsid w:val="002B74E8"/>
    <w:rsid w:val="002B764B"/>
    <w:rsid w:val="002B7C88"/>
    <w:rsid w:val="002C0085"/>
    <w:rsid w:val="002C00E0"/>
    <w:rsid w:val="002C0132"/>
    <w:rsid w:val="002C03C0"/>
    <w:rsid w:val="002C07F2"/>
    <w:rsid w:val="002C0999"/>
    <w:rsid w:val="002C13C1"/>
    <w:rsid w:val="002C1523"/>
    <w:rsid w:val="002C15A6"/>
    <w:rsid w:val="002C174A"/>
    <w:rsid w:val="002C183F"/>
    <w:rsid w:val="002C1859"/>
    <w:rsid w:val="002C18BD"/>
    <w:rsid w:val="002C1CA9"/>
    <w:rsid w:val="002C2019"/>
    <w:rsid w:val="002C20B4"/>
    <w:rsid w:val="002C2429"/>
    <w:rsid w:val="002C2872"/>
    <w:rsid w:val="002C2C64"/>
    <w:rsid w:val="002C2E5C"/>
    <w:rsid w:val="002C2FED"/>
    <w:rsid w:val="002C30C6"/>
    <w:rsid w:val="002C310F"/>
    <w:rsid w:val="002C385C"/>
    <w:rsid w:val="002C3A82"/>
    <w:rsid w:val="002C3F56"/>
    <w:rsid w:val="002C4693"/>
    <w:rsid w:val="002C46BB"/>
    <w:rsid w:val="002C49D3"/>
    <w:rsid w:val="002C4A7E"/>
    <w:rsid w:val="002C4BEF"/>
    <w:rsid w:val="002C4C2F"/>
    <w:rsid w:val="002C4D54"/>
    <w:rsid w:val="002C4E0A"/>
    <w:rsid w:val="002C4E3F"/>
    <w:rsid w:val="002C506F"/>
    <w:rsid w:val="002C5376"/>
    <w:rsid w:val="002C54E3"/>
    <w:rsid w:val="002C557B"/>
    <w:rsid w:val="002C5637"/>
    <w:rsid w:val="002C5664"/>
    <w:rsid w:val="002C5677"/>
    <w:rsid w:val="002C58C5"/>
    <w:rsid w:val="002C59FE"/>
    <w:rsid w:val="002C5E1B"/>
    <w:rsid w:val="002C5EB2"/>
    <w:rsid w:val="002C6385"/>
    <w:rsid w:val="002C64EC"/>
    <w:rsid w:val="002C6A2A"/>
    <w:rsid w:val="002C6C40"/>
    <w:rsid w:val="002C6D39"/>
    <w:rsid w:val="002C7105"/>
    <w:rsid w:val="002C72B7"/>
    <w:rsid w:val="002C746E"/>
    <w:rsid w:val="002C7509"/>
    <w:rsid w:val="002C7A4E"/>
    <w:rsid w:val="002C7AD8"/>
    <w:rsid w:val="002C7F08"/>
    <w:rsid w:val="002D00F7"/>
    <w:rsid w:val="002D0111"/>
    <w:rsid w:val="002D0751"/>
    <w:rsid w:val="002D0899"/>
    <w:rsid w:val="002D0907"/>
    <w:rsid w:val="002D10F4"/>
    <w:rsid w:val="002D15B7"/>
    <w:rsid w:val="002D17BD"/>
    <w:rsid w:val="002D1982"/>
    <w:rsid w:val="002D1AAA"/>
    <w:rsid w:val="002D1B4A"/>
    <w:rsid w:val="002D1B4E"/>
    <w:rsid w:val="002D1C0A"/>
    <w:rsid w:val="002D1CF1"/>
    <w:rsid w:val="002D1F74"/>
    <w:rsid w:val="002D2099"/>
    <w:rsid w:val="002D20F5"/>
    <w:rsid w:val="002D22D7"/>
    <w:rsid w:val="002D25A8"/>
    <w:rsid w:val="002D26D0"/>
    <w:rsid w:val="002D295A"/>
    <w:rsid w:val="002D2970"/>
    <w:rsid w:val="002D2C92"/>
    <w:rsid w:val="002D2C9A"/>
    <w:rsid w:val="002D30C8"/>
    <w:rsid w:val="002D343A"/>
    <w:rsid w:val="002D3AEF"/>
    <w:rsid w:val="002D3B9E"/>
    <w:rsid w:val="002D3E7A"/>
    <w:rsid w:val="002D4373"/>
    <w:rsid w:val="002D43E4"/>
    <w:rsid w:val="002D49D4"/>
    <w:rsid w:val="002D4B1C"/>
    <w:rsid w:val="002D4FE1"/>
    <w:rsid w:val="002D512E"/>
    <w:rsid w:val="002D52AA"/>
    <w:rsid w:val="002D53E3"/>
    <w:rsid w:val="002D58F0"/>
    <w:rsid w:val="002D5C24"/>
    <w:rsid w:val="002D6175"/>
    <w:rsid w:val="002D64C8"/>
    <w:rsid w:val="002D6975"/>
    <w:rsid w:val="002D6A96"/>
    <w:rsid w:val="002D6ADA"/>
    <w:rsid w:val="002D6CD8"/>
    <w:rsid w:val="002D6F3B"/>
    <w:rsid w:val="002D7181"/>
    <w:rsid w:val="002D73C8"/>
    <w:rsid w:val="002D76F4"/>
    <w:rsid w:val="002D77B4"/>
    <w:rsid w:val="002D7ACD"/>
    <w:rsid w:val="002D7D97"/>
    <w:rsid w:val="002D7DE8"/>
    <w:rsid w:val="002E0098"/>
    <w:rsid w:val="002E0476"/>
    <w:rsid w:val="002E05B6"/>
    <w:rsid w:val="002E07AF"/>
    <w:rsid w:val="002E0B0F"/>
    <w:rsid w:val="002E0E27"/>
    <w:rsid w:val="002E13D1"/>
    <w:rsid w:val="002E1536"/>
    <w:rsid w:val="002E1602"/>
    <w:rsid w:val="002E1AE8"/>
    <w:rsid w:val="002E1D21"/>
    <w:rsid w:val="002E1D88"/>
    <w:rsid w:val="002E206F"/>
    <w:rsid w:val="002E2414"/>
    <w:rsid w:val="002E29B5"/>
    <w:rsid w:val="002E2AC6"/>
    <w:rsid w:val="002E32EB"/>
    <w:rsid w:val="002E3341"/>
    <w:rsid w:val="002E3CB2"/>
    <w:rsid w:val="002E3CC9"/>
    <w:rsid w:val="002E3DAD"/>
    <w:rsid w:val="002E3FED"/>
    <w:rsid w:val="002E4618"/>
    <w:rsid w:val="002E4966"/>
    <w:rsid w:val="002E4968"/>
    <w:rsid w:val="002E4A22"/>
    <w:rsid w:val="002E4A78"/>
    <w:rsid w:val="002E4AA0"/>
    <w:rsid w:val="002E4AE5"/>
    <w:rsid w:val="002E4BE0"/>
    <w:rsid w:val="002E4DC7"/>
    <w:rsid w:val="002E5325"/>
    <w:rsid w:val="002E56D7"/>
    <w:rsid w:val="002E5710"/>
    <w:rsid w:val="002E5735"/>
    <w:rsid w:val="002E5A71"/>
    <w:rsid w:val="002E5D93"/>
    <w:rsid w:val="002E5E1F"/>
    <w:rsid w:val="002E5F3D"/>
    <w:rsid w:val="002E6214"/>
    <w:rsid w:val="002E640B"/>
    <w:rsid w:val="002E68E1"/>
    <w:rsid w:val="002E6AEB"/>
    <w:rsid w:val="002E6FE4"/>
    <w:rsid w:val="002E7194"/>
    <w:rsid w:val="002E7797"/>
    <w:rsid w:val="002E7EC1"/>
    <w:rsid w:val="002E7EE9"/>
    <w:rsid w:val="002E7F1F"/>
    <w:rsid w:val="002F01F7"/>
    <w:rsid w:val="002F044A"/>
    <w:rsid w:val="002F0455"/>
    <w:rsid w:val="002F0518"/>
    <w:rsid w:val="002F1026"/>
    <w:rsid w:val="002F16E7"/>
    <w:rsid w:val="002F1912"/>
    <w:rsid w:val="002F1AE8"/>
    <w:rsid w:val="002F1B70"/>
    <w:rsid w:val="002F21D6"/>
    <w:rsid w:val="002F2214"/>
    <w:rsid w:val="002F2444"/>
    <w:rsid w:val="002F2674"/>
    <w:rsid w:val="002F26C5"/>
    <w:rsid w:val="002F282F"/>
    <w:rsid w:val="002F2EDF"/>
    <w:rsid w:val="002F2F02"/>
    <w:rsid w:val="002F3018"/>
    <w:rsid w:val="002F308C"/>
    <w:rsid w:val="002F309F"/>
    <w:rsid w:val="002F3130"/>
    <w:rsid w:val="002F37E2"/>
    <w:rsid w:val="002F39E4"/>
    <w:rsid w:val="002F3A18"/>
    <w:rsid w:val="002F3EF6"/>
    <w:rsid w:val="002F4141"/>
    <w:rsid w:val="002F47F7"/>
    <w:rsid w:val="002F4961"/>
    <w:rsid w:val="002F49E8"/>
    <w:rsid w:val="002F4B82"/>
    <w:rsid w:val="002F555B"/>
    <w:rsid w:val="002F5666"/>
    <w:rsid w:val="002F5761"/>
    <w:rsid w:val="002F58A8"/>
    <w:rsid w:val="002F5D14"/>
    <w:rsid w:val="002F6463"/>
    <w:rsid w:val="002F68AB"/>
    <w:rsid w:val="002F6B66"/>
    <w:rsid w:val="002F6B9C"/>
    <w:rsid w:val="002F6F0D"/>
    <w:rsid w:val="002F75F9"/>
    <w:rsid w:val="002F78A5"/>
    <w:rsid w:val="002F7EBA"/>
    <w:rsid w:val="002F7F3E"/>
    <w:rsid w:val="00300009"/>
    <w:rsid w:val="00300634"/>
    <w:rsid w:val="00300698"/>
    <w:rsid w:val="003006BE"/>
    <w:rsid w:val="003008FA"/>
    <w:rsid w:val="0030096D"/>
    <w:rsid w:val="0030099A"/>
    <w:rsid w:val="00301326"/>
    <w:rsid w:val="00301354"/>
    <w:rsid w:val="003014C2"/>
    <w:rsid w:val="003014EF"/>
    <w:rsid w:val="00301832"/>
    <w:rsid w:val="00301956"/>
    <w:rsid w:val="00301C75"/>
    <w:rsid w:val="00301E06"/>
    <w:rsid w:val="00302ADC"/>
    <w:rsid w:val="00303277"/>
    <w:rsid w:val="00303519"/>
    <w:rsid w:val="00303F4B"/>
    <w:rsid w:val="00304155"/>
    <w:rsid w:val="003044A7"/>
    <w:rsid w:val="003045B0"/>
    <w:rsid w:val="00304618"/>
    <w:rsid w:val="00304848"/>
    <w:rsid w:val="00304AFF"/>
    <w:rsid w:val="00304C30"/>
    <w:rsid w:val="00304C65"/>
    <w:rsid w:val="00304D00"/>
    <w:rsid w:val="00304D29"/>
    <w:rsid w:val="00304E96"/>
    <w:rsid w:val="003052C2"/>
    <w:rsid w:val="00305569"/>
    <w:rsid w:val="00305643"/>
    <w:rsid w:val="0030608D"/>
    <w:rsid w:val="003060BD"/>
    <w:rsid w:val="003066D3"/>
    <w:rsid w:val="003067B3"/>
    <w:rsid w:val="003067E6"/>
    <w:rsid w:val="003074D6"/>
    <w:rsid w:val="003075CB"/>
    <w:rsid w:val="00307E68"/>
    <w:rsid w:val="00307F77"/>
    <w:rsid w:val="0031027C"/>
    <w:rsid w:val="0031060B"/>
    <w:rsid w:val="0031077C"/>
    <w:rsid w:val="00310C60"/>
    <w:rsid w:val="00310DEF"/>
    <w:rsid w:val="00310ED1"/>
    <w:rsid w:val="003110A9"/>
    <w:rsid w:val="003114C4"/>
    <w:rsid w:val="0031153D"/>
    <w:rsid w:val="00311790"/>
    <w:rsid w:val="003118D7"/>
    <w:rsid w:val="00311C6F"/>
    <w:rsid w:val="00311DC2"/>
    <w:rsid w:val="00311FEF"/>
    <w:rsid w:val="00312056"/>
    <w:rsid w:val="00312554"/>
    <w:rsid w:val="0031278C"/>
    <w:rsid w:val="00312962"/>
    <w:rsid w:val="00312CE5"/>
    <w:rsid w:val="0031378F"/>
    <w:rsid w:val="003137B9"/>
    <w:rsid w:val="00313B53"/>
    <w:rsid w:val="00313CE8"/>
    <w:rsid w:val="00313E2E"/>
    <w:rsid w:val="00314031"/>
    <w:rsid w:val="0031408C"/>
    <w:rsid w:val="003140B1"/>
    <w:rsid w:val="00314207"/>
    <w:rsid w:val="00314476"/>
    <w:rsid w:val="00314672"/>
    <w:rsid w:val="0031498D"/>
    <w:rsid w:val="00314F05"/>
    <w:rsid w:val="00314F84"/>
    <w:rsid w:val="00315311"/>
    <w:rsid w:val="00315335"/>
    <w:rsid w:val="00315899"/>
    <w:rsid w:val="00315937"/>
    <w:rsid w:val="00315B85"/>
    <w:rsid w:val="00315C3B"/>
    <w:rsid w:val="00315D63"/>
    <w:rsid w:val="00316467"/>
    <w:rsid w:val="00316A86"/>
    <w:rsid w:val="00316B3C"/>
    <w:rsid w:val="00316BE0"/>
    <w:rsid w:val="00316DF1"/>
    <w:rsid w:val="003172FB"/>
    <w:rsid w:val="003173BC"/>
    <w:rsid w:val="00317492"/>
    <w:rsid w:val="00317618"/>
    <w:rsid w:val="0031763D"/>
    <w:rsid w:val="00317A4B"/>
    <w:rsid w:val="00320486"/>
    <w:rsid w:val="00320559"/>
    <w:rsid w:val="00320772"/>
    <w:rsid w:val="00320B3D"/>
    <w:rsid w:val="00320DA5"/>
    <w:rsid w:val="00320E77"/>
    <w:rsid w:val="003211F2"/>
    <w:rsid w:val="00321950"/>
    <w:rsid w:val="00321EBD"/>
    <w:rsid w:val="00322116"/>
    <w:rsid w:val="0032215A"/>
    <w:rsid w:val="00322248"/>
    <w:rsid w:val="00322F72"/>
    <w:rsid w:val="0032300D"/>
    <w:rsid w:val="00323064"/>
    <w:rsid w:val="0032310A"/>
    <w:rsid w:val="00323892"/>
    <w:rsid w:val="00323D4D"/>
    <w:rsid w:val="00323F1C"/>
    <w:rsid w:val="0032414C"/>
    <w:rsid w:val="00324179"/>
    <w:rsid w:val="00324227"/>
    <w:rsid w:val="00324271"/>
    <w:rsid w:val="00324284"/>
    <w:rsid w:val="00324317"/>
    <w:rsid w:val="00324428"/>
    <w:rsid w:val="003249AB"/>
    <w:rsid w:val="00324BA6"/>
    <w:rsid w:val="00324D1A"/>
    <w:rsid w:val="00325451"/>
    <w:rsid w:val="00325481"/>
    <w:rsid w:val="00325869"/>
    <w:rsid w:val="003259DE"/>
    <w:rsid w:val="003262CF"/>
    <w:rsid w:val="00326654"/>
    <w:rsid w:val="00326673"/>
    <w:rsid w:val="003268D4"/>
    <w:rsid w:val="00327348"/>
    <w:rsid w:val="0032740C"/>
    <w:rsid w:val="0032754C"/>
    <w:rsid w:val="003278ED"/>
    <w:rsid w:val="003278F8"/>
    <w:rsid w:val="00327A26"/>
    <w:rsid w:val="00327CA5"/>
    <w:rsid w:val="00327DFC"/>
    <w:rsid w:val="003301B6"/>
    <w:rsid w:val="00330232"/>
    <w:rsid w:val="00330275"/>
    <w:rsid w:val="0033048F"/>
    <w:rsid w:val="00330677"/>
    <w:rsid w:val="00330838"/>
    <w:rsid w:val="00330B94"/>
    <w:rsid w:val="00330C18"/>
    <w:rsid w:val="00330CB5"/>
    <w:rsid w:val="00330D7D"/>
    <w:rsid w:val="003310A6"/>
    <w:rsid w:val="003311A9"/>
    <w:rsid w:val="003311BF"/>
    <w:rsid w:val="003315A4"/>
    <w:rsid w:val="003317D8"/>
    <w:rsid w:val="00331BDC"/>
    <w:rsid w:val="00331D12"/>
    <w:rsid w:val="0033271B"/>
    <w:rsid w:val="00332FE5"/>
    <w:rsid w:val="003331DB"/>
    <w:rsid w:val="00333356"/>
    <w:rsid w:val="00333467"/>
    <w:rsid w:val="00333588"/>
    <w:rsid w:val="003338C5"/>
    <w:rsid w:val="00333B6F"/>
    <w:rsid w:val="00333C32"/>
    <w:rsid w:val="00333E61"/>
    <w:rsid w:val="00334777"/>
    <w:rsid w:val="00334930"/>
    <w:rsid w:val="003356F2"/>
    <w:rsid w:val="0033593F"/>
    <w:rsid w:val="00335B15"/>
    <w:rsid w:val="003361FC"/>
    <w:rsid w:val="00336528"/>
    <w:rsid w:val="003368A7"/>
    <w:rsid w:val="00336B60"/>
    <w:rsid w:val="003373D1"/>
    <w:rsid w:val="00337622"/>
    <w:rsid w:val="0033780F"/>
    <w:rsid w:val="0033781E"/>
    <w:rsid w:val="00337BE4"/>
    <w:rsid w:val="00337DB1"/>
    <w:rsid w:val="0034006A"/>
    <w:rsid w:val="0034008E"/>
    <w:rsid w:val="00340101"/>
    <w:rsid w:val="00340215"/>
    <w:rsid w:val="0034095F"/>
    <w:rsid w:val="00340B2A"/>
    <w:rsid w:val="00340C04"/>
    <w:rsid w:val="00341012"/>
    <w:rsid w:val="0034101F"/>
    <w:rsid w:val="0034104D"/>
    <w:rsid w:val="00341174"/>
    <w:rsid w:val="003411A2"/>
    <w:rsid w:val="003413CB"/>
    <w:rsid w:val="00341A13"/>
    <w:rsid w:val="00341A14"/>
    <w:rsid w:val="00341E0B"/>
    <w:rsid w:val="00341E9A"/>
    <w:rsid w:val="00341EF9"/>
    <w:rsid w:val="003424F9"/>
    <w:rsid w:val="0034258F"/>
    <w:rsid w:val="00342757"/>
    <w:rsid w:val="00342822"/>
    <w:rsid w:val="00342881"/>
    <w:rsid w:val="003428D2"/>
    <w:rsid w:val="003428F7"/>
    <w:rsid w:val="00342A4E"/>
    <w:rsid w:val="00342EBB"/>
    <w:rsid w:val="00343860"/>
    <w:rsid w:val="003438C9"/>
    <w:rsid w:val="00343936"/>
    <w:rsid w:val="00343B11"/>
    <w:rsid w:val="00343C99"/>
    <w:rsid w:val="00343EBD"/>
    <w:rsid w:val="00344244"/>
    <w:rsid w:val="003447AD"/>
    <w:rsid w:val="00344CF2"/>
    <w:rsid w:val="00345057"/>
    <w:rsid w:val="00345497"/>
    <w:rsid w:val="003457A2"/>
    <w:rsid w:val="0034594D"/>
    <w:rsid w:val="003459B7"/>
    <w:rsid w:val="0034601D"/>
    <w:rsid w:val="00346022"/>
    <w:rsid w:val="003460D6"/>
    <w:rsid w:val="0034620F"/>
    <w:rsid w:val="003466AB"/>
    <w:rsid w:val="003466BA"/>
    <w:rsid w:val="00346A0D"/>
    <w:rsid w:val="00346A36"/>
    <w:rsid w:val="00346BCE"/>
    <w:rsid w:val="003470A7"/>
    <w:rsid w:val="0034731F"/>
    <w:rsid w:val="00347468"/>
    <w:rsid w:val="003474C5"/>
    <w:rsid w:val="003476E3"/>
    <w:rsid w:val="00347773"/>
    <w:rsid w:val="00347889"/>
    <w:rsid w:val="003478CD"/>
    <w:rsid w:val="00347923"/>
    <w:rsid w:val="003479E7"/>
    <w:rsid w:val="00347E7D"/>
    <w:rsid w:val="0035017E"/>
    <w:rsid w:val="003502DB"/>
    <w:rsid w:val="00350420"/>
    <w:rsid w:val="00350566"/>
    <w:rsid w:val="00350726"/>
    <w:rsid w:val="00350B15"/>
    <w:rsid w:val="00350BAA"/>
    <w:rsid w:val="00350C61"/>
    <w:rsid w:val="00350D8C"/>
    <w:rsid w:val="00350E05"/>
    <w:rsid w:val="003511C9"/>
    <w:rsid w:val="0035128F"/>
    <w:rsid w:val="0035148C"/>
    <w:rsid w:val="003515B8"/>
    <w:rsid w:val="00351625"/>
    <w:rsid w:val="00351785"/>
    <w:rsid w:val="00351806"/>
    <w:rsid w:val="00351987"/>
    <w:rsid w:val="00351ABC"/>
    <w:rsid w:val="00352087"/>
    <w:rsid w:val="003520E4"/>
    <w:rsid w:val="003525C4"/>
    <w:rsid w:val="003526A7"/>
    <w:rsid w:val="003527D8"/>
    <w:rsid w:val="00352871"/>
    <w:rsid w:val="003528D8"/>
    <w:rsid w:val="00352D41"/>
    <w:rsid w:val="00352E10"/>
    <w:rsid w:val="003530FB"/>
    <w:rsid w:val="00353844"/>
    <w:rsid w:val="00353DEB"/>
    <w:rsid w:val="0035440A"/>
    <w:rsid w:val="00354601"/>
    <w:rsid w:val="003547AD"/>
    <w:rsid w:val="003547BD"/>
    <w:rsid w:val="00354D89"/>
    <w:rsid w:val="00354D8E"/>
    <w:rsid w:val="00355000"/>
    <w:rsid w:val="00355485"/>
    <w:rsid w:val="00355730"/>
    <w:rsid w:val="00355745"/>
    <w:rsid w:val="0035575C"/>
    <w:rsid w:val="00355908"/>
    <w:rsid w:val="00355F1F"/>
    <w:rsid w:val="00356309"/>
    <w:rsid w:val="003563CB"/>
    <w:rsid w:val="0035650B"/>
    <w:rsid w:val="00356B53"/>
    <w:rsid w:val="00356DA4"/>
    <w:rsid w:val="00356E54"/>
    <w:rsid w:val="00356EA6"/>
    <w:rsid w:val="0035763C"/>
    <w:rsid w:val="00357A33"/>
    <w:rsid w:val="00357DFA"/>
    <w:rsid w:val="003603A5"/>
    <w:rsid w:val="003604A6"/>
    <w:rsid w:val="00360919"/>
    <w:rsid w:val="00360FA6"/>
    <w:rsid w:val="003618F7"/>
    <w:rsid w:val="00361F66"/>
    <w:rsid w:val="0036267F"/>
    <w:rsid w:val="0036289E"/>
    <w:rsid w:val="00362954"/>
    <w:rsid w:val="00362BE6"/>
    <w:rsid w:val="00362F17"/>
    <w:rsid w:val="0036313C"/>
    <w:rsid w:val="00363327"/>
    <w:rsid w:val="0036333C"/>
    <w:rsid w:val="00363386"/>
    <w:rsid w:val="0036365E"/>
    <w:rsid w:val="00363B4E"/>
    <w:rsid w:val="00363E10"/>
    <w:rsid w:val="00363ED4"/>
    <w:rsid w:val="00363FD5"/>
    <w:rsid w:val="00364024"/>
    <w:rsid w:val="00364254"/>
    <w:rsid w:val="003642AD"/>
    <w:rsid w:val="00364A05"/>
    <w:rsid w:val="00364B42"/>
    <w:rsid w:val="00364FB2"/>
    <w:rsid w:val="003659E5"/>
    <w:rsid w:val="00365B71"/>
    <w:rsid w:val="00365DA9"/>
    <w:rsid w:val="00365DF8"/>
    <w:rsid w:val="00365F1C"/>
    <w:rsid w:val="003662BB"/>
    <w:rsid w:val="00366365"/>
    <w:rsid w:val="00366572"/>
    <w:rsid w:val="00366E26"/>
    <w:rsid w:val="00366E56"/>
    <w:rsid w:val="00366F75"/>
    <w:rsid w:val="00367274"/>
    <w:rsid w:val="0036727B"/>
    <w:rsid w:val="0036754E"/>
    <w:rsid w:val="00367EAB"/>
    <w:rsid w:val="0037099C"/>
    <w:rsid w:val="00370BEA"/>
    <w:rsid w:val="00370CB3"/>
    <w:rsid w:val="00371195"/>
    <w:rsid w:val="00371204"/>
    <w:rsid w:val="003714AC"/>
    <w:rsid w:val="003714D8"/>
    <w:rsid w:val="003716BF"/>
    <w:rsid w:val="00371B35"/>
    <w:rsid w:val="00371CE3"/>
    <w:rsid w:val="00371FCA"/>
    <w:rsid w:val="003723CF"/>
    <w:rsid w:val="0037283A"/>
    <w:rsid w:val="00372CA7"/>
    <w:rsid w:val="00373003"/>
    <w:rsid w:val="003731AA"/>
    <w:rsid w:val="00373244"/>
    <w:rsid w:val="00373483"/>
    <w:rsid w:val="00373632"/>
    <w:rsid w:val="0037364D"/>
    <w:rsid w:val="003737BC"/>
    <w:rsid w:val="00373947"/>
    <w:rsid w:val="00373F47"/>
    <w:rsid w:val="0037414E"/>
    <w:rsid w:val="003741BD"/>
    <w:rsid w:val="00374310"/>
    <w:rsid w:val="003743B1"/>
    <w:rsid w:val="00374B22"/>
    <w:rsid w:val="00374E8A"/>
    <w:rsid w:val="00375A3F"/>
    <w:rsid w:val="00375C61"/>
    <w:rsid w:val="00375CB7"/>
    <w:rsid w:val="00375EB4"/>
    <w:rsid w:val="00375EE8"/>
    <w:rsid w:val="00376160"/>
    <w:rsid w:val="00376278"/>
    <w:rsid w:val="00376486"/>
    <w:rsid w:val="0037661B"/>
    <w:rsid w:val="00376B63"/>
    <w:rsid w:val="00376CEE"/>
    <w:rsid w:val="00376E10"/>
    <w:rsid w:val="00376E3D"/>
    <w:rsid w:val="00376FE0"/>
    <w:rsid w:val="00376FE4"/>
    <w:rsid w:val="0037786C"/>
    <w:rsid w:val="00377A78"/>
    <w:rsid w:val="00377BCD"/>
    <w:rsid w:val="00377EA8"/>
    <w:rsid w:val="00377EE0"/>
    <w:rsid w:val="00377F94"/>
    <w:rsid w:val="00380301"/>
    <w:rsid w:val="003807DA"/>
    <w:rsid w:val="0038085B"/>
    <w:rsid w:val="00380BD2"/>
    <w:rsid w:val="003811BF"/>
    <w:rsid w:val="003813FB"/>
    <w:rsid w:val="0038157B"/>
    <w:rsid w:val="00381592"/>
    <w:rsid w:val="00381730"/>
    <w:rsid w:val="0038198B"/>
    <w:rsid w:val="00381F32"/>
    <w:rsid w:val="00381FE5"/>
    <w:rsid w:val="003823CA"/>
    <w:rsid w:val="00382469"/>
    <w:rsid w:val="003824C4"/>
    <w:rsid w:val="00382626"/>
    <w:rsid w:val="00382741"/>
    <w:rsid w:val="003827C1"/>
    <w:rsid w:val="003828C0"/>
    <w:rsid w:val="00382AD9"/>
    <w:rsid w:val="00382CD4"/>
    <w:rsid w:val="00382EF1"/>
    <w:rsid w:val="00382FEA"/>
    <w:rsid w:val="00383215"/>
    <w:rsid w:val="0038324B"/>
    <w:rsid w:val="0038340C"/>
    <w:rsid w:val="003835EC"/>
    <w:rsid w:val="00383D67"/>
    <w:rsid w:val="003840B0"/>
    <w:rsid w:val="003840D7"/>
    <w:rsid w:val="003841D3"/>
    <w:rsid w:val="003843DC"/>
    <w:rsid w:val="0038472F"/>
    <w:rsid w:val="00384743"/>
    <w:rsid w:val="00384844"/>
    <w:rsid w:val="003849C1"/>
    <w:rsid w:val="00384C52"/>
    <w:rsid w:val="0038524C"/>
    <w:rsid w:val="0038569D"/>
    <w:rsid w:val="0038579C"/>
    <w:rsid w:val="00385C21"/>
    <w:rsid w:val="00385F6F"/>
    <w:rsid w:val="00386014"/>
    <w:rsid w:val="003860A2"/>
    <w:rsid w:val="003861E4"/>
    <w:rsid w:val="0038625F"/>
    <w:rsid w:val="0038626C"/>
    <w:rsid w:val="0038633F"/>
    <w:rsid w:val="0038667F"/>
    <w:rsid w:val="003872DF"/>
    <w:rsid w:val="00387408"/>
    <w:rsid w:val="00387AB7"/>
    <w:rsid w:val="00387AF4"/>
    <w:rsid w:val="00387B73"/>
    <w:rsid w:val="00387BEE"/>
    <w:rsid w:val="00390397"/>
    <w:rsid w:val="0039074F"/>
    <w:rsid w:val="0039083E"/>
    <w:rsid w:val="00390998"/>
    <w:rsid w:val="00390AB1"/>
    <w:rsid w:val="00390C26"/>
    <w:rsid w:val="00390F2C"/>
    <w:rsid w:val="00391266"/>
    <w:rsid w:val="00391605"/>
    <w:rsid w:val="003917A4"/>
    <w:rsid w:val="003917D9"/>
    <w:rsid w:val="00391821"/>
    <w:rsid w:val="00391A20"/>
    <w:rsid w:val="00392055"/>
    <w:rsid w:val="00392699"/>
    <w:rsid w:val="00392CD1"/>
    <w:rsid w:val="0039355E"/>
    <w:rsid w:val="0039377A"/>
    <w:rsid w:val="0039389D"/>
    <w:rsid w:val="003939A4"/>
    <w:rsid w:val="00393C25"/>
    <w:rsid w:val="00393E60"/>
    <w:rsid w:val="00394340"/>
    <w:rsid w:val="0039455F"/>
    <w:rsid w:val="00394818"/>
    <w:rsid w:val="00394862"/>
    <w:rsid w:val="00394B09"/>
    <w:rsid w:val="00394E32"/>
    <w:rsid w:val="00394EC8"/>
    <w:rsid w:val="003951AF"/>
    <w:rsid w:val="00395B32"/>
    <w:rsid w:val="00395C29"/>
    <w:rsid w:val="00395F27"/>
    <w:rsid w:val="00395FD9"/>
    <w:rsid w:val="0039614A"/>
    <w:rsid w:val="00396606"/>
    <w:rsid w:val="00396AFA"/>
    <w:rsid w:val="00396D61"/>
    <w:rsid w:val="00397A1D"/>
    <w:rsid w:val="00397C62"/>
    <w:rsid w:val="00397D0D"/>
    <w:rsid w:val="00397D85"/>
    <w:rsid w:val="00397FA5"/>
    <w:rsid w:val="003A0A05"/>
    <w:rsid w:val="003A0A4F"/>
    <w:rsid w:val="003A0EDC"/>
    <w:rsid w:val="003A1184"/>
    <w:rsid w:val="003A1316"/>
    <w:rsid w:val="003A1A9F"/>
    <w:rsid w:val="003A1F8F"/>
    <w:rsid w:val="003A20F3"/>
    <w:rsid w:val="003A2183"/>
    <w:rsid w:val="003A22D9"/>
    <w:rsid w:val="003A22EF"/>
    <w:rsid w:val="003A2814"/>
    <w:rsid w:val="003A2937"/>
    <w:rsid w:val="003A2B99"/>
    <w:rsid w:val="003A32B5"/>
    <w:rsid w:val="003A34FB"/>
    <w:rsid w:val="003A3654"/>
    <w:rsid w:val="003A36D3"/>
    <w:rsid w:val="003A3B70"/>
    <w:rsid w:val="003A3EE0"/>
    <w:rsid w:val="003A3F76"/>
    <w:rsid w:val="003A4411"/>
    <w:rsid w:val="003A470C"/>
    <w:rsid w:val="003A4736"/>
    <w:rsid w:val="003A4768"/>
    <w:rsid w:val="003A4868"/>
    <w:rsid w:val="003A4BF9"/>
    <w:rsid w:val="003A4C03"/>
    <w:rsid w:val="003A4C33"/>
    <w:rsid w:val="003A4DC7"/>
    <w:rsid w:val="003A4E36"/>
    <w:rsid w:val="003A4F77"/>
    <w:rsid w:val="003A5196"/>
    <w:rsid w:val="003A531E"/>
    <w:rsid w:val="003A534D"/>
    <w:rsid w:val="003A5532"/>
    <w:rsid w:val="003A5728"/>
    <w:rsid w:val="003A5D5D"/>
    <w:rsid w:val="003A677E"/>
    <w:rsid w:val="003A678D"/>
    <w:rsid w:val="003A6849"/>
    <w:rsid w:val="003A6D2E"/>
    <w:rsid w:val="003A700A"/>
    <w:rsid w:val="003A71D7"/>
    <w:rsid w:val="003A7555"/>
    <w:rsid w:val="003A77AA"/>
    <w:rsid w:val="003A7A67"/>
    <w:rsid w:val="003A7B76"/>
    <w:rsid w:val="003B006C"/>
    <w:rsid w:val="003B008A"/>
    <w:rsid w:val="003B05B2"/>
    <w:rsid w:val="003B091D"/>
    <w:rsid w:val="003B0964"/>
    <w:rsid w:val="003B0D27"/>
    <w:rsid w:val="003B1041"/>
    <w:rsid w:val="003B140F"/>
    <w:rsid w:val="003B1865"/>
    <w:rsid w:val="003B1AE8"/>
    <w:rsid w:val="003B1C44"/>
    <w:rsid w:val="003B1DA2"/>
    <w:rsid w:val="003B1F69"/>
    <w:rsid w:val="003B2026"/>
    <w:rsid w:val="003B204B"/>
    <w:rsid w:val="003B2069"/>
    <w:rsid w:val="003B2195"/>
    <w:rsid w:val="003B2355"/>
    <w:rsid w:val="003B2D80"/>
    <w:rsid w:val="003B2DED"/>
    <w:rsid w:val="003B2E13"/>
    <w:rsid w:val="003B3031"/>
    <w:rsid w:val="003B3091"/>
    <w:rsid w:val="003B38F2"/>
    <w:rsid w:val="003B3D2F"/>
    <w:rsid w:val="003B3E78"/>
    <w:rsid w:val="003B3E79"/>
    <w:rsid w:val="003B42D4"/>
    <w:rsid w:val="003B4368"/>
    <w:rsid w:val="003B4849"/>
    <w:rsid w:val="003B4ABD"/>
    <w:rsid w:val="003B4CB6"/>
    <w:rsid w:val="003B4FCC"/>
    <w:rsid w:val="003B50BE"/>
    <w:rsid w:val="003B56FB"/>
    <w:rsid w:val="003B589D"/>
    <w:rsid w:val="003B5B77"/>
    <w:rsid w:val="003B5C80"/>
    <w:rsid w:val="003B5C99"/>
    <w:rsid w:val="003B60BB"/>
    <w:rsid w:val="003B62A0"/>
    <w:rsid w:val="003B65AA"/>
    <w:rsid w:val="003B6673"/>
    <w:rsid w:val="003B6744"/>
    <w:rsid w:val="003B678D"/>
    <w:rsid w:val="003B6806"/>
    <w:rsid w:val="003B6C5B"/>
    <w:rsid w:val="003B6FF1"/>
    <w:rsid w:val="003B7101"/>
    <w:rsid w:val="003B773F"/>
    <w:rsid w:val="003B7A94"/>
    <w:rsid w:val="003B7C0C"/>
    <w:rsid w:val="003C002A"/>
    <w:rsid w:val="003C014A"/>
    <w:rsid w:val="003C02B5"/>
    <w:rsid w:val="003C03E1"/>
    <w:rsid w:val="003C03F0"/>
    <w:rsid w:val="003C0784"/>
    <w:rsid w:val="003C0A03"/>
    <w:rsid w:val="003C10BE"/>
    <w:rsid w:val="003C1179"/>
    <w:rsid w:val="003C11E9"/>
    <w:rsid w:val="003C1449"/>
    <w:rsid w:val="003C1596"/>
    <w:rsid w:val="003C16D2"/>
    <w:rsid w:val="003C1873"/>
    <w:rsid w:val="003C194C"/>
    <w:rsid w:val="003C19FF"/>
    <w:rsid w:val="003C208D"/>
    <w:rsid w:val="003C20F6"/>
    <w:rsid w:val="003C2265"/>
    <w:rsid w:val="003C2A40"/>
    <w:rsid w:val="003C2C93"/>
    <w:rsid w:val="003C30EC"/>
    <w:rsid w:val="003C3324"/>
    <w:rsid w:val="003C33E4"/>
    <w:rsid w:val="003C3702"/>
    <w:rsid w:val="003C3B65"/>
    <w:rsid w:val="003C3FC3"/>
    <w:rsid w:val="003C41A3"/>
    <w:rsid w:val="003C46E9"/>
    <w:rsid w:val="003C4ACE"/>
    <w:rsid w:val="003C4B25"/>
    <w:rsid w:val="003C4B33"/>
    <w:rsid w:val="003C4C84"/>
    <w:rsid w:val="003C4E12"/>
    <w:rsid w:val="003C5115"/>
    <w:rsid w:val="003C5382"/>
    <w:rsid w:val="003C5558"/>
    <w:rsid w:val="003C5579"/>
    <w:rsid w:val="003C57DC"/>
    <w:rsid w:val="003C597B"/>
    <w:rsid w:val="003C59AD"/>
    <w:rsid w:val="003C5AAE"/>
    <w:rsid w:val="003C6215"/>
    <w:rsid w:val="003C65CA"/>
    <w:rsid w:val="003C68F9"/>
    <w:rsid w:val="003C6B40"/>
    <w:rsid w:val="003C6BF4"/>
    <w:rsid w:val="003C6E81"/>
    <w:rsid w:val="003C70AD"/>
    <w:rsid w:val="003C7532"/>
    <w:rsid w:val="003C7613"/>
    <w:rsid w:val="003C76B2"/>
    <w:rsid w:val="003C7B15"/>
    <w:rsid w:val="003C7F14"/>
    <w:rsid w:val="003D095E"/>
    <w:rsid w:val="003D0B91"/>
    <w:rsid w:val="003D0C28"/>
    <w:rsid w:val="003D0E9A"/>
    <w:rsid w:val="003D13DA"/>
    <w:rsid w:val="003D1A70"/>
    <w:rsid w:val="003D1C2E"/>
    <w:rsid w:val="003D2594"/>
    <w:rsid w:val="003D2841"/>
    <w:rsid w:val="003D28EB"/>
    <w:rsid w:val="003D2D9F"/>
    <w:rsid w:val="003D2E53"/>
    <w:rsid w:val="003D3065"/>
    <w:rsid w:val="003D3271"/>
    <w:rsid w:val="003D3CE8"/>
    <w:rsid w:val="003D3D63"/>
    <w:rsid w:val="003D469A"/>
    <w:rsid w:val="003D46E1"/>
    <w:rsid w:val="003D4FB6"/>
    <w:rsid w:val="003D4FC1"/>
    <w:rsid w:val="003D52C5"/>
    <w:rsid w:val="003D5770"/>
    <w:rsid w:val="003D58C4"/>
    <w:rsid w:val="003D5C96"/>
    <w:rsid w:val="003D5E3C"/>
    <w:rsid w:val="003D5EB2"/>
    <w:rsid w:val="003D5F32"/>
    <w:rsid w:val="003D62E0"/>
    <w:rsid w:val="003D648D"/>
    <w:rsid w:val="003D64C9"/>
    <w:rsid w:val="003D65C5"/>
    <w:rsid w:val="003D6A8D"/>
    <w:rsid w:val="003D767A"/>
    <w:rsid w:val="003D769F"/>
    <w:rsid w:val="003D78A2"/>
    <w:rsid w:val="003D7F4E"/>
    <w:rsid w:val="003E02CC"/>
    <w:rsid w:val="003E02F4"/>
    <w:rsid w:val="003E04DC"/>
    <w:rsid w:val="003E0BCA"/>
    <w:rsid w:val="003E0BF0"/>
    <w:rsid w:val="003E0F04"/>
    <w:rsid w:val="003E13D8"/>
    <w:rsid w:val="003E141D"/>
    <w:rsid w:val="003E156C"/>
    <w:rsid w:val="003E1693"/>
    <w:rsid w:val="003E188C"/>
    <w:rsid w:val="003E1967"/>
    <w:rsid w:val="003E1A3B"/>
    <w:rsid w:val="003E1A88"/>
    <w:rsid w:val="003E1B7D"/>
    <w:rsid w:val="003E1C00"/>
    <w:rsid w:val="003E1CBF"/>
    <w:rsid w:val="003E1D65"/>
    <w:rsid w:val="003E2108"/>
    <w:rsid w:val="003E242F"/>
    <w:rsid w:val="003E2603"/>
    <w:rsid w:val="003E28F0"/>
    <w:rsid w:val="003E2976"/>
    <w:rsid w:val="003E29A8"/>
    <w:rsid w:val="003E2B38"/>
    <w:rsid w:val="003E2BA5"/>
    <w:rsid w:val="003E2D79"/>
    <w:rsid w:val="003E3813"/>
    <w:rsid w:val="003E38A0"/>
    <w:rsid w:val="003E3942"/>
    <w:rsid w:val="003E3FDE"/>
    <w:rsid w:val="003E4122"/>
    <w:rsid w:val="003E4185"/>
    <w:rsid w:val="003E4687"/>
    <w:rsid w:val="003E4816"/>
    <w:rsid w:val="003E488B"/>
    <w:rsid w:val="003E497F"/>
    <w:rsid w:val="003E4A62"/>
    <w:rsid w:val="003E4B0F"/>
    <w:rsid w:val="003E4B54"/>
    <w:rsid w:val="003E4F29"/>
    <w:rsid w:val="003E57CB"/>
    <w:rsid w:val="003E57F8"/>
    <w:rsid w:val="003E59B9"/>
    <w:rsid w:val="003E59DC"/>
    <w:rsid w:val="003E5A24"/>
    <w:rsid w:val="003E5AFF"/>
    <w:rsid w:val="003E5B9A"/>
    <w:rsid w:val="003E64D7"/>
    <w:rsid w:val="003E654C"/>
    <w:rsid w:val="003E6599"/>
    <w:rsid w:val="003E67F8"/>
    <w:rsid w:val="003E69A1"/>
    <w:rsid w:val="003E6AE5"/>
    <w:rsid w:val="003E7164"/>
    <w:rsid w:val="003E72D6"/>
    <w:rsid w:val="003E7546"/>
    <w:rsid w:val="003E7BE8"/>
    <w:rsid w:val="003E7C5D"/>
    <w:rsid w:val="003E7CBA"/>
    <w:rsid w:val="003F02B4"/>
    <w:rsid w:val="003F06CF"/>
    <w:rsid w:val="003F085A"/>
    <w:rsid w:val="003F08D2"/>
    <w:rsid w:val="003F0B14"/>
    <w:rsid w:val="003F0E1A"/>
    <w:rsid w:val="003F0EB8"/>
    <w:rsid w:val="003F150E"/>
    <w:rsid w:val="003F167F"/>
    <w:rsid w:val="003F1F90"/>
    <w:rsid w:val="003F257E"/>
    <w:rsid w:val="003F2663"/>
    <w:rsid w:val="003F2A77"/>
    <w:rsid w:val="003F2EC2"/>
    <w:rsid w:val="003F343D"/>
    <w:rsid w:val="003F34A4"/>
    <w:rsid w:val="003F3621"/>
    <w:rsid w:val="003F3790"/>
    <w:rsid w:val="003F38C2"/>
    <w:rsid w:val="003F39EB"/>
    <w:rsid w:val="003F3C13"/>
    <w:rsid w:val="003F3CEE"/>
    <w:rsid w:val="003F3D34"/>
    <w:rsid w:val="003F3D60"/>
    <w:rsid w:val="003F3D7E"/>
    <w:rsid w:val="003F3FB8"/>
    <w:rsid w:val="003F4280"/>
    <w:rsid w:val="003F42F5"/>
    <w:rsid w:val="003F4582"/>
    <w:rsid w:val="003F4816"/>
    <w:rsid w:val="003F4ACF"/>
    <w:rsid w:val="003F4C21"/>
    <w:rsid w:val="003F4E64"/>
    <w:rsid w:val="003F5129"/>
    <w:rsid w:val="003F5384"/>
    <w:rsid w:val="003F55D7"/>
    <w:rsid w:val="003F55FC"/>
    <w:rsid w:val="003F564A"/>
    <w:rsid w:val="003F5919"/>
    <w:rsid w:val="003F5EC4"/>
    <w:rsid w:val="003F603A"/>
    <w:rsid w:val="003F6203"/>
    <w:rsid w:val="003F6455"/>
    <w:rsid w:val="003F65E2"/>
    <w:rsid w:val="003F6A86"/>
    <w:rsid w:val="003F6D51"/>
    <w:rsid w:val="003F79EC"/>
    <w:rsid w:val="004004F4"/>
    <w:rsid w:val="00400686"/>
    <w:rsid w:val="004007C6"/>
    <w:rsid w:val="004007D8"/>
    <w:rsid w:val="00400C28"/>
    <w:rsid w:val="00400C99"/>
    <w:rsid w:val="00400E83"/>
    <w:rsid w:val="00401074"/>
    <w:rsid w:val="00401321"/>
    <w:rsid w:val="004014CC"/>
    <w:rsid w:val="00401B07"/>
    <w:rsid w:val="00401B72"/>
    <w:rsid w:val="00401BBC"/>
    <w:rsid w:val="00401C6F"/>
    <w:rsid w:val="00401E4B"/>
    <w:rsid w:val="00401F00"/>
    <w:rsid w:val="004020FD"/>
    <w:rsid w:val="004022D5"/>
    <w:rsid w:val="00402340"/>
    <w:rsid w:val="00402349"/>
    <w:rsid w:val="004023BA"/>
    <w:rsid w:val="0040243F"/>
    <w:rsid w:val="00402542"/>
    <w:rsid w:val="004027A2"/>
    <w:rsid w:val="00402DAA"/>
    <w:rsid w:val="00402E7D"/>
    <w:rsid w:val="004034D1"/>
    <w:rsid w:val="00404075"/>
    <w:rsid w:val="0040413A"/>
    <w:rsid w:val="0040421A"/>
    <w:rsid w:val="004048A2"/>
    <w:rsid w:val="0040496B"/>
    <w:rsid w:val="004051F2"/>
    <w:rsid w:val="004057C0"/>
    <w:rsid w:val="00405A5B"/>
    <w:rsid w:val="00405C93"/>
    <w:rsid w:val="00405D3D"/>
    <w:rsid w:val="00406014"/>
    <w:rsid w:val="00406111"/>
    <w:rsid w:val="00406705"/>
    <w:rsid w:val="00406AF6"/>
    <w:rsid w:val="00406E1A"/>
    <w:rsid w:val="0040705A"/>
    <w:rsid w:val="004073BC"/>
    <w:rsid w:val="004101C0"/>
    <w:rsid w:val="00410414"/>
    <w:rsid w:val="00410512"/>
    <w:rsid w:val="004109B3"/>
    <w:rsid w:val="00410ACC"/>
    <w:rsid w:val="00410C14"/>
    <w:rsid w:val="00410CCA"/>
    <w:rsid w:val="00410F63"/>
    <w:rsid w:val="0041123B"/>
    <w:rsid w:val="004112D3"/>
    <w:rsid w:val="00411453"/>
    <w:rsid w:val="004114E5"/>
    <w:rsid w:val="00411555"/>
    <w:rsid w:val="00411637"/>
    <w:rsid w:val="00411670"/>
    <w:rsid w:val="004118D3"/>
    <w:rsid w:val="00411BEA"/>
    <w:rsid w:val="004125E0"/>
    <w:rsid w:val="0041294C"/>
    <w:rsid w:val="00412F05"/>
    <w:rsid w:val="004131C3"/>
    <w:rsid w:val="004132A4"/>
    <w:rsid w:val="004133BA"/>
    <w:rsid w:val="0041391D"/>
    <w:rsid w:val="00413BF2"/>
    <w:rsid w:val="00413DC4"/>
    <w:rsid w:val="0041422C"/>
    <w:rsid w:val="0041440C"/>
    <w:rsid w:val="00414452"/>
    <w:rsid w:val="004147C8"/>
    <w:rsid w:val="004148B4"/>
    <w:rsid w:val="00414931"/>
    <w:rsid w:val="004149A8"/>
    <w:rsid w:val="00414A4D"/>
    <w:rsid w:val="00414B31"/>
    <w:rsid w:val="00414FE2"/>
    <w:rsid w:val="0041501C"/>
    <w:rsid w:val="0041521D"/>
    <w:rsid w:val="00415757"/>
    <w:rsid w:val="004159B7"/>
    <w:rsid w:val="00415E95"/>
    <w:rsid w:val="00415F99"/>
    <w:rsid w:val="00416621"/>
    <w:rsid w:val="00416670"/>
    <w:rsid w:val="00416709"/>
    <w:rsid w:val="0041688B"/>
    <w:rsid w:val="00416920"/>
    <w:rsid w:val="00416943"/>
    <w:rsid w:val="00416ACC"/>
    <w:rsid w:val="00416BDF"/>
    <w:rsid w:val="004170FC"/>
    <w:rsid w:val="00417355"/>
    <w:rsid w:val="004173FD"/>
    <w:rsid w:val="004179AF"/>
    <w:rsid w:val="00417B8B"/>
    <w:rsid w:val="00417CB6"/>
    <w:rsid w:val="00417DE9"/>
    <w:rsid w:val="00417F14"/>
    <w:rsid w:val="00420319"/>
    <w:rsid w:val="00420363"/>
    <w:rsid w:val="00420951"/>
    <w:rsid w:val="00420D51"/>
    <w:rsid w:val="00420F9E"/>
    <w:rsid w:val="00421586"/>
    <w:rsid w:val="004216DD"/>
    <w:rsid w:val="00421B0B"/>
    <w:rsid w:val="00421BB7"/>
    <w:rsid w:val="00421E76"/>
    <w:rsid w:val="00421FC4"/>
    <w:rsid w:val="004220C0"/>
    <w:rsid w:val="00422241"/>
    <w:rsid w:val="004222B2"/>
    <w:rsid w:val="004224EC"/>
    <w:rsid w:val="0042289F"/>
    <w:rsid w:val="004228FA"/>
    <w:rsid w:val="00422C92"/>
    <w:rsid w:val="00422D6A"/>
    <w:rsid w:val="004230F5"/>
    <w:rsid w:val="00423178"/>
    <w:rsid w:val="004234A2"/>
    <w:rsid w:val="0042374D"/>
    <w:rsid w:val="00423A51"/>
    <w:rsid w:val="00423D63"/>
    <w:rsid w:val="00423D98"/>
    <w:rsid w:val="00423DF3"/>
    <w:rsid w:val="0042417F"/>
    <w:rsid w:val="004241AB"/>
    <w:rsid w:val="004242AA"/>
    <w:rsid w:val="004248DD"/>
    <w:rsid w:val="00424AFF"/>
    <w:rsid w:val="00424DDD"/>
    <w:rsid w:val="00424E44"/>
    <w:rsid w:val="00424F33"/>
    <w:rsid w:val="00424FB0"/>
    <w:rsid w:val="00424FD3"/>
    <w:rsid w:val="00425006"/>
    <w:rsid w:val="00425058"/>
    <w:rsid w:val="00425714"/>
    <w:rsid w:val="00425C24"/>
    <w:rsid w:val="00425E9D"/>
    <w:rsid w:val="00426457"/>
    <w:rsid w:val="00426FA9"/>
    <w:rsid w:val="00427061"/>
    <w:rsid w:val="00427155"/>
    <w:rsid w:val="00427174"/>
    <w:rsid w:val="00427229"/>
    <w:rsid w:val="00427C0A"/>
    <w:rsid w:val="00430215"/>
    <w:rsid w:val="004302B0"/>
    <w:rsid w:val="004302E4"/>
    <w:rsid w:val="004304EC"/>
    <w:rsid w:val="004308F6"/>
    <w:rsid w:val="00430B23"/>
    <w:rsid w:val="00430B67"/>
    <w:rsid w:val="0043108E"/>
    <w:rsid w:val="004310E7"/>
    <w:rsid w:val="004311F4"/>
    <w:rsid w:val="0043132F"/>
    <w:rsid w:val="004313A9"/>
    <w:rsid w:val="004319B2"/>
    <w:rsid w:val="00431B0F"/>
    <w:rsid w:val="00431BA8"/>
    <w:rsid w:val="00431BE5"/>
    <w:rsid w:val="00431C1F"/>
    <w:rsid w:val="00431C74"/>
    <w:rsid w:val="00431F21"/>
    <w:rsid w:val="00432158"/>
    <w:rsid w:val="004328B7"/>
    <w:rsid w:val="004329A1"/>
    <w:rsid w:val="00432B2F"/>
    <w:rsid w:val="00432C5F"/>
    <w:rsid w:val="00432C72"/>
    <w:rsid w:val="00432D41"/>
    <w:rsid w:val="00433146"/>
    <w:rsid w:val="004332DB"/>
    <w:rsid w:val="00433362"/>
    <w:rsid w:val="004333FB"/>
    <w:rsid w:val="004333FD"/>
    <w:rsid w:val="00433608"/>
    <w:rsid w:val="00433647"/>
    <w:rsid w:val="004339E1"/>
    <w:rsid w:val="004339F2"/>
    <w:rsid w:val="00433D91"/>
    <w:rsid w:val="00433F1B"/>
    <w:rsid w:val="00434179"/>
    <w:rsid w:val="0043473E"/>
    <w:rsid w:val="004349CC"/>
    <w:rsid w:val="00434ED7"/>
    <w:rsid w:val="0043525A"/>
    <w:rsid w:val="0043599A"/>
    <w:rsid w:val="00435ABA"/>
    <w:rsid w:val="00435F72"/>
    <w:rsid w:val="004363D9"/>
    <w:rsid w:val="00436517"/>
    <w:rsid w:val="00436623"/>
    <w:rsid w:val="0043666A"/>
    <w:rsid w:val="004366B3"/>
    <w:rsid w:val="0043686B"/>
    <w:rsid w:val="00436A91"/>
    <w:rsid w:val="00436E36"/>
    <w:rsid w:val="0043736E"/>
    <w:rsid w:val="00437530"/>
    <w:rsid w:val="00437575"/>
    <w:rsid w:val="00437720"/>
    <w:rsid w:val="004378C6"/>
    <w:rsid w:val="00437B87"/>
    <w:rsid w:val="00440103"/>
    <w:rsid w:val="00440337"/>
    <w:rsid w:val="00440409"/>
    <w:rsid w:val="004405A7"/>
    <w:rsid w:val="004405DF"/>
    <w:rsid w:val="00440B07"/>
    <w:rsid w:val="00440CC1"/>
    <w:rsid w:val="00440EB9"/>
    <w:rsid w:val="0044111C"/>
    <w:rsid w:val="00441245"/>
    <w:rsid w:val="0044124D"/>
    <w:rsid w:val="004412E6"/>
    <w:rsid w:val="00441610"/>
    <w:rsid w:val="00441C2F"/>
    <w:rsid w:val="00442063"/>
    <w:rsid w:val="00442481"/>
    <w:rsid w:val="004425B6"/>
    <w:rsid w:val="004425CA"/>
    <w:rsid w:val="0044270F"/>
    <w:rsid w:val="00442944"/>
    <w:rsid w:val="00442A95"/>
    <w:rsid w:val="00442AF0"/>
    <w:rsid w:val="00442B6F"/>
    <w:rsid w:val="004431BE"/>
    <w:rsid w:val="00443506"/>
    <w:rsid w:val="004435C9"/>
    <w:rsid w:val="00443742"/>
    <w:rsid w:val="00443810"/>
    <w:rsid w:val="00443985"/>
    <w:rsid w:val="00443CBA"/>
    <w:rsid w:val="00443DBC"/>
    <w:rsid w:val="0044460C"/>
    <w:rsid w:val="004447A6"/>
    <w:rsid w:val="00444A8D"/>
    <w:rsid w:val="00444AA1"/>
    <w:rsid w:val="004450A3"/>
    <w:rsid w:val="00445684"/>
    <w:rsid w:val="004456CE"/>
    <w:rsid w:val="00445B6C"/>
    <w:rsid w:val="00445D0D"/>
    <w:rsid w:val="00445FD8"/>
    <w:rsid w:val="004460E0"/>
    <w:rsid w:val="0044626F"/>
    <w:rsid w:val="004466FB"/>
    <w:rsid w:val="00446AB1"/>
    <w:rsid w:val="00446C0E"/>
    <w:rsid w:val="00447057"/>
    <w:rsid w:val="00447247"/>
    <w:rsid w:val="00447336"/>
    <w:rsid w:val="004473AF"/>
    <w:rsid w:val="004473E8"/>
    <w:rsid w:val="004475FF"/>
    <w:rsid w:val="004476C9"/>
    <w:rsid w:val="00447AD3"/>
    <w:rsid w:val="00447C35"/>
    <w:rsid w:val="00447C8E"/>
    <w:rsid w:val="00447F48"/>
    <w:rsid w:val="00447F74"/>
    <w:rsid w:val="00450051"/>
    <w:rsid w:val="0045017E"/>
    <w:rsid w:val="004501A0"/>
    <w:rsid w:val="00450258"/>
    <w:rsid w:val="0045025B"/>
    <w:rsid w:val="00450527"/>
    <w:rsid w:val="00450618"/>
    <w:rsid w:val="004507E3"/>
    <w:rsid w:val="004507FF"/>
    <w:rsid w:val="004509F2"/>
    <w:rsid w:val="00450AEE"/>
    <w:rsid w:val="00450E42"/>
    <w:rsid w:val="00450F3B"/>
    <w:rsid w:val="004510CA"/>
    <w:rsid w:val="0045165E"/>
    <w:rsid w:val="00451691"/>
    <w:rsid w:val="0045187B"/>
    <w:rsid w:val="004520EB"/>
    <w:rsid w:val="004522A7"/>
    <w:rsid w:val="004526C1"/>
    <w:rsid w:val="004529A7"/>
    <w:rsid w:val="00452BF9"/>
    <w:rsid w:val="00452D9E"/>
    <w:rsid w:val="004535F8"/>
    <w:rsid w:val="0045380A"/>
    <w:rsid w:val="00453CB1"/>
    <w:rsid w:val="00453DC5"/>
    <w:rsid w:val="00453DEA"/>
    <w:rsid w:val="00453E7C"/>
    <w:rsid w:val="00454900"/>
    <w:rsid w:val="004550FC"/>
    <w:rsid w:val="004551A5"/>
    <w:rsid w:val="004552E4"/>
    <w:rsid w:val="00455340"/>
    <w:rsid w:val="004556D6"/>
    <w:rsid w:val="0045573E"/>
    <w:rsid w:val="00455989"/>
    <w:rsid w:val="00455AB5"/>
    <w:rsid w:val="00456915"/>
    <w:rsid w:val="004570C8"/>
    <w:rsid w:val="004572A0"/>
    <w:rsid w:val="004574FF"/>
    <w:rsid w:val="00457751"/>
    <w:rsid w:val="00457B81"/>
    <w:rsid w:val="00457C16"/>
    <w:rsid w:val="00457E27"/>
    <w:rsid w:val="00457FE3"/>
    <w:rsid w:val="00460147"/>
    <w:rsid w:val="0046015C"/>
    <w:rsid w:val="00460BAE"/>
    <w:rsid w:val="00460F75"/>
    <w:rsid w:val="00460F88"/>
    <w:rsid w:val="0046150F"/>
    <w:rsid w:val="00461A08"/>
    <w:rsid w:val="00461A4E"/>
    <w:rsid w:val="00461A64"/>
    <w:rsid w:val="00461D78"/>
    <w:rsid w:val="00462288"/>
    <w:rsid w:val="004622D9"/>
    <w:rsid w:val="004623A9"/>
    <w:rsid w:val="004624AD"/>
    <w:rsid w:val="00462660"/>
    <w:rsid w:val="00462836"/>
    <w:rsid w:val="004629C7"/>
    <w:rsid w:val="00462BC5"/>
    <w:rsid w:val="00462C46"/>
    <w:rsid w:val="00462CB0"/>
    <w:rsid w:val="00462D4C"/>
    <w:rsid w:val="0046346B"/>
    <w:rsid w:val="00463AF8"/>
    <w:rsid w:val="00463F5C"/>
    <w:rsid w:val="004641BB"/>
    <w:rsid w:val="0046440F"/>
    <w:rsid w:val="004644AA"/>
    <w:rsid w:val="004645E5"/>
    <w:rsid w:val="00464BBF"/>
    <w:rsid w:val="00464F3C"/>
    <w:rsid w:val="00465051"/>
    <w:rsid w:val="0046569A"/>
    <w:rsid w:val="00465893"/>
    <w:rsid w:val="004658DA"/>
    <w:rsid w:val="00465A25"/>
    <w:rsid w:val="00465B4A"/>
    <w:rsid w:val="00465C06"/>
    <w:rsid w:val="00465C27"/>
    <w:rsid w:val="00465C59"/>
    <w:rsid w:val="004660A4"/>
    <w:rsid w:val="00466243"/>
    <w:rsid w:val="00466266"/>
    <w:rsid w:val="00466612"/>
    <w:rsid w:val="00466978"/>
    <w:rsid w:val="00466B14"/>
    <w:rsid w:val="00466F63"/>
    <w:rsid w:val="00467098"/>
    <w:rsid w:val="004677D9"/>
    <w:rsid w:val="00467A33"/>
    <w:rsid w:val="00467EF6"/>
    <w:rsid w:val="0047033D"/>
    <w:rsid w:val="004704CF"/>
    <w:rsid w:val="00470572"/>
    <w:rsid w:val="004705DB"/>
    <w:rsid w:val="0047069A"/>
    <w:rsid w:val="00470753"/>
    <w:rsid w:val="00470797"/>
    <w:rsid w:val="004707A9"/>
    <w:rsid w:val="004708FE"/>
    <w:rsid w:val="00470BF4"/>
    <w:rsid w:val="00471117"/>
    <w:rsid w:val="00471143"/>
    <w:rsid w:val="004711C6"/>
    <w:rsid w:val="004713AF"/>
    <w:rsid w:val="00471665"/>
    <w:rsid w:val="00471799"/>
    <w:rsid w:val="00471C19"/>
    <w:rsid w:val="004720D0"/>
    <w:rsid w:val="0047215B"/>
    <w:rsid w:val="004721F3"/>
    <w:rsid w:val="00472315"/>
    <w:rsid w:val="004726E8"/>
    <w:rsid w:val="004728E1"/>
    <w:rsid w:val="004729D2"/>
    <w:rsid w:val="00472BF0"/>
    <w:rsid w:val="00472E3D"/>
    <w:rsid w:val="00472E42"/>
    <w:rsid w:val="00472E85"/>
    <w:rsid w:val="00472F42"/>
    <w:rsid w:val="004732A0"/>
    <w:rsid w:val="0047357D"/>
    <w:rsid w:val="004736D8"/>
    <w:rsid w:val="00473849"/>
    <w:rsid w:val="0047384D"/>
    <w:rsid w:val="004738A1"/>
    <w:rsid w:val="00473BCE"/>
    <w:rsid w:val="00473DDB"/>
    <w:rsid w:val="0047427A"/>
    <w:rsid w:val="00474432"/>
    <w:rsid w:val="00474444"/>
    <w:rsid w:val="0047496D"/>
    <w:rsid w:val="00474A86"/>
    <w:rsid w:val="00474BAD"/>
    <w:rsid w:val="00474DCD"/>
    <w:rsid w:val="00475156"/>
    <w:rsid w:val="0047566A"/>
    <w:rsid w:val="0047595B"/>
    <w:rsid w:val="00475B41"/>
    <w:rsid w:val="00476013"/>
    <w:rsid w:val="004760C7"/>
    <w:rsid w:val="00476120"/>
    <w:rsid w:val="00476377"/>
    <w:rsid w:val="0047668B"/>
    <w:rsid w:val="00476735"/>
    <w:rsid w:val="00476775"/>
    <w:rsid w:val="0047688A"/>
    <w:rsid w:val="00476A91"/>
    <w:rsid w:val="00476BA6"/>
    <w:rsid w:val="0047716B"/>
    <w:rsid w:val="00477188"/>
    <w:rsid w:val="004775D9"/>
    <w:rsid w:val="0047779D"/>
    <w:rsid w:val="00477BEB"/>
    <w:rsid w:val="00477C54"/>
    <w:rsid w:val="00477D1E"/>
    <w:rsid w:val="00477DF1"/>
    <w:rsid w:val="00480059"/>
    <w:rsid w:val="00480084"/>
    <w:rsid w:val="00480195"/>
    <w:rsid w:val="00480981"/>
    <w:rsid w:val="00480BBE"/>
    <w:rsid w:val="00480D54"/>
    <w:rsid w:val="00480E2E"/>
    <w:rsid w:val="0048119E"/>
    <w:rsid w:val="004811A4"/>
    <w:rsid w:val="00481200"/>
    <w:rsid w:val="0048133B"/>
    <w:rsid w:val="00481838"/>
    <w:rsid w:val="004818CD"/>
    <w:rsid w:val="00481AAC"/>
    <w:rsid w:val="00481C95"/>
    <w:rsid w:val="00481E77"/>
    <w:rsid w:val="00481F68"/>
    <w:rsid w:val="0048209B"/>
    <w:rsid w:val="0048219A"/>
    <w:rsid w:val="0048237D"/>
    <w:rsid w:val="004824E5"/>
    <w:rsid w:val="004826F0"/>
    <w:rsid w:val="0048301C"/>
    <w:rsid w:val="0048323D"/>
    <w:rsid w:val="0048328C"/>
    <w:rsid w:val="0048344C"/>
    <w:rsid w:val="004835BB"/>
    <w:rsid w:val="00483E6D"/>
    <w:rsid w:val="0048422F"/>
    <w:rsid w:val="00484398"/>
    <w:rsid w:val="00484447"/>
    <w:rsid w:val="004847B9"/>
    <w:rsid w:val="00485080"/>
    <w:rsid w:val="004850BC"/>
    <w:rsid w:val="00485A70"/>
    <w:rsid w:val="00485ACC"/>
    <w:rsid w:val="0048658B"/>
    <w:rsid w:val="004865E0"/>
    <w:rsid w:val="0048672D"/>
    <w:rsid w:val="00486AF9"/>
    <w:rsid w:val="00486D92"/>
    <w:rsid w:val="00486E5A"/>
    <w:rsid w:val="00486FD9"/>
    <w:rsid w:val="004873A2"/>
    <w:rsid w:val="004876DD"/>
    <w:rsid w:val="004876F3"/>
    <w:rsid w:val="00487875"/>
    <w:rsid w:val="004879A7"/>
    <w:rsid w:val="0049014B"/>
    <w:rsid w:val="00490150"/>
    <w:rsid w:val="004903B2"/>
    <w:rsid w:val="004903C4"/>
    <w:rsid w:val="00490475"/>
    <w:rsid w:val="0049086C"/>
    <w:rsid w:val="004908CA"/>
    <w:rsid w:val="00490E3B"/>
    <w:rsid w:val="00490ED7"/>
    <w:rsid w:val="004910E8"/>
    <w:rsid w:val="0049114B"/>
    <w:rsid w:val="00491271"/>
    <w:rsid w:val="0049131C"/>
    <w:rsid w:val="004916A9"/>
    <w:rsid w:val="004918BD"/>
    <w:rsid w:val="00491C88"/>
    <w:rsid w:val="004923D3"/>
    <w:rsid w:val="00492824"/>
    <w:rsid w:val="00492D1E"/>
    <w:rsid w:val="00492DFD"/>
    <w:rsid w:val="00492E26"/>
    <w:rsid w:val="0049322A"/>
    <w:rsid w:val="00493259"/>
    <w:rsid w:val="004936AD"/>
    <w:rsid w:val="00493A25"/>
    <w:rsid w:val="00493C5E"/>
    <w:rsid w:val="00494231"/>
    <w:rsid w:val="004943E2"/>
    <w:rsid w:val="004947D4"/>
    <w:rsid w:val="004947EC"/>
    <w:rsid w:val="00494A55"/>
    <w:rsid w:val="00494B91"/>
    <w:rsid w:val="00494D8A"/>
    <w:rsid w:val="00494F68"/>
    <w:rsid w:val="00494FD2"/>
    <w:rsid w:val="004950AE"/>
    <w:rsid w:val="00495550"/>
    <w:rsid w:val="00495A99"/>
    <w:rsid w:val="00495C48"/>
    <w:rsid w:val="00495EB2"/>
    <w:rsid w:val="0049616B"/>
    <w:rsid w:val="00496285"/>
    <w:rsid w:val="00496362"/>
    <w:rsid w:val="00496409"/>
    <w:rsid w:val="0049661E"/>
    <w:rsid w:val="00496746"/>
    <w:rsid w:val="00496806"/>
    <w:rsid w:val="00496EF5"/>
    <w:rsid w:val="004976D2"/>
    <w:rsid w:val="0049771D"/>
    <w:rsid w:val="00497869"/>
    <w:rsid w:val="00497997"/>
    <w:rsid w:val="00497A92"/>
    <w:rsid w:val="00497CE7"/>
    <w:rsid w:val="00497F31"/>
    <w:rsid w:val="00497F39"/>
    <w:rsid w:val="004A016A"/>
    <w:rsid w:val="004A01C9"/>
    <w:rsid w:val="004A020A"/>
    <w:rsid w:val="004A0572"/>
    <w:rsid w:val="004A058A"/>
    <w:rsid w:val="004A06F0"/>
    <w:rsid w:val="004A06FC"/>
    <w:rsid w:val="004A0B52"/>
    <w:rsid w:val="004A0D1C"/>
    <w:rsid w:val="004A0DB5"/>
    <w:rsid w:val="004A0DBB"/>
    <w:rsid w:val="004A162C"/>
    <w:rsid w:val="004A1678"/>
    <w:rsid w:val="004A1B3F"/>
    <w:rsid w:val="004A1C73"/>
    <w:rsid w:val="004A201E"/>
    <w:rsid w:val="004A20BD"/>
    <w:rsid w:val="004A21CE"/>
    <w:rsid w:val="004A21F7"/>
    <w:rsid w:val="004A2360"/>
    <w:rsid w:val="004A2452"/>
    <w:rsid w:val="004A2832"/>
    <w:rsid w:val="004A316B"/>
    <w:rsid w:val="004A34CB"/>
    <w:rsid w:val="004A34EA"/>
    <w:rsid w:val="004A3D4D"/>
    <w:rsid w:val="004A3D5D"/>
    <w:rsid w:val="004A421A"/>
    <w:rsid w:val="004A43A4"/>
    <w:rsid w:val="004A457A"/>
    <w:rsid w:val="004A489A"/>
    <w:rsid w:val="004A5619"/>
    <w:rsid w:val="004A58A0"/>
    <w:rsid w:val="004A5C75"/>
    <w:rsid w:val="004A5DCF"/>
    <w:rsid w:val="004A6559"/>
    <w:rsid w:val="004A6673"/>
    <w:rsid w:val="004A675C"/>
    <w:rsid w:val="004A683E"/>
    <w:rsid w:val="004A68C3"/>
    <w:rsid w:val="004A6A0E"/>
    <w:rsid w:val="004A6B18"/>
    <w:rsid w:val="004A6BE9"/>
    <w:rsid w:val="004A6D2B"/>
    <w:rsid w:val="004A6EFA"/>
    <w:rsid w:val="004A73DC"/>
    <w:rsid w:val="004A75C8"/>
    <w:rsid w:val="004A777D"/>
    <w:rsid w:val="004A7CD6"/>
    <w:rsid w:val="004A7E95"/>
    <w:rsid w:val="004B067F"/>
    <w:rsid w:val="004B06A9"/>
    <w:rsid w:val="004B0843"/>
    <w:rsid w:val="004B0A7A"/>
    <w:rsid w:val="004B0BBF"/>
    <w:rsid w:val="004B10C8"/>
    <w:rsid w:val="004B1378"/>
    <w:rsid w:val="004B161A"/>
    <w:rsid w:val="004B1634"/>
    <w:rsid w:val="004B19DD"/>
    <w:rsid w:val="004B1AFD"/>
    <w:rsid w:val="004B1BBD"/>
    <w:rsid w:val="004B1EBC"/>
    <w:rsid w:val="004B2195"/>
    <w:rsid w:val="004B219D"/>
    <w:rsid w:val="004B25D8"/>
    <w:rsid w:val="004B260D"/>
    <w:rsid w:val="004B2A5E"/>
    <w:rsid w:val="004B2C52"/>
    <w:rsid w:val="004B3319"/>
    <w:rsid w:val="004B34BC"/>
    <w:rsid w:val="004B34EB"/>
    <w:rsid w:val="004B3847"/>
    <w:rsid w:val="004B38B4"/>
    <w:rsid w:val="004B3CE3"/>
    <w:rsid w:val="004B40B2"/>
    <w:rsid w:val="004B421F"/>
    <w:rsid w:val="004B431F"/>
    <w:rsid w:val="004B4362"/>
    <w:rsid w:val="004B43DA"/>
    <w:rsid w:val="004B4572"/>
    <w:rsid w:val="004B4743"/>
    <w:rsid w:val="004B476B"/>
    <w:rsid w:val="004B494E"/>
    <w:rsid w:val="004B49EC"/>
    <w:rsid w:val="004B552F"/>
    <w:rsid w:val="004B5537"/>
    <w:rsid w:val="004B5541"/>
    <w:rsid w:val="004B57D5"/>
    <w:rsid w:val="004B59F4"/>
    <w:rsid w:val="004B5E5F"/>
    <w:rsid w:val="004B5EA4"/>
    <w:rsid w:val="004B5F14"/>
    <w:rsid w:val="004B6121"/>
    <w:rsid w:val="004B6211"/>
    <w:rsid w:val="004B64A9"/>
    <w:rsid w:val="004B65F6"/>
    <w:rsid w:val="004B681C"/>
    <w:rsid w:val="004B696F"/>
    <w:rsid w:val="004B6C9E"/>
    <w:rsid w:val="004B6FA4"/>
    <w:rsid w:val="004B704B"/>
    <w:rsid w:val="004B70C9"/>
    <w:rsid w:val="004B72B1"/>
    <w:rsid w:val="004B76A9"/>
    <w:rsid w:val="004B76EB"/>
    <w:rsid w:val="004B777F"/>
    <w:rsid w:val="004B7A05"/>
    <w:rsid w:val="004B7C2D"/>
    <w:rsid w:val="004C0023"/>
    <w:rsid w:val="004C0071"/>
    <w:rsid w:val="004C0241"/>
    <w:rsid w:val="004C048E"/>
    <w:rsid w:val="004C0DEE"/>
    <w:rsid w:val="004C15A0"/>
    <w:rsid w:val="004C180E"/>
    <w:rsid w:val="004C18EC"/>
    <w:rsid w:val="004C1A08"/>
    <w:rsid w:val="004C1D43"/>
    <w:rsid w:val="004C1E6E"/>
    <w:rsid w:val="004C1E99"/>
    <w:rsid w:val="004C1F31"/>
    <w:rsid w:val="004C2E26"/>
    <w:rsid w:val="004C337A"/>
    <w:rsid w:val="004C34A0"/>
    <w:rsid w:val="004C38A1"/>
    <w:rsid w:val="004C3ABF"/>
    <w:rsid w:val="004C3AE2"/>
    <w:rsid w:val="004C3BDF"/>
    <w:rsid w:val="004C4150"/>
    <w:rsid w:val="004C41DD"/>
    <w:rsid w:val="004C42B2"/>
    <w:rsid w:val="004C4445"/>
    <w:rsid w:val="004C44E6"/>
    <w:rsid w:val="004C49F2"/>
    <w:rsid w:val="004C4D4D"/>
    <w:rsid w:val="004C4F7C"/>
    <w:rsid w:val="004C5020"/>
    <w:rsid w:val="004C5754"/>
    <w:rsid w:val="004C5A0C"/>
    <w:rsid w:val="004C5B85"/>
    <w:rsid w:val="004C5BA1"/>
    <w:rsid w:val="004C5C72"/>
    <w:rsid w:val="004C64DB"/>
    <w:rsid w:val="004C6630"/>
    <w:rsid w:val="004C6679"/>
    <w:rsid w:val="004C6783"/>
    <w:rsid w:val="004C68D1"/>
    <w:rsid w:val="004C6933"/>
    <w:rsid w:val="004C6E5B"/>
    <w:rsid w:val="004C71BB"/>
    <w:rsid w:val="004C767F"/>
    <w:rsid w:val="004C7706"/>
    <w:rsid w:val="004C7C02"/>
    <w:rsid w:val="004C7E94"/>
    <w:rsid w:val="004D06A2"/>
    <w:rsid w:val="004D076B"/>
    <w:rsid w:val="004D0946"/>
    <w:rsid w:val="004D09E7"/>
    <w:rsid w:val="004D0B9B"/>
    <w:rsid w:val="004D1586"/>
    <w:rsid w:val="004D1669"/>
    <w:rsid w:val="004D194A"/>
    <w:rsid w:val="004D1C2C"/>
    <w:rsid w:val="004D21CC"/>
    <w:rsid w:val="004D2414"/>
    <w:rsid w:val="004D2483"/>
    <w:rsid w:val="004D2721"/>
    <w:rsid w:val="004D2B36"/>
    <w:rsid w:val="004D2C5A"/>
    <w:rsid w:val="004D2C6B"/>
    <w:rsid w:val="004D2CDA"/>
    <w:rsid w:val="004D2F1A"/>
    <w:rsid w:val="004D2FBB"/>
    <w:rsid w:val="004D3062"/>
    <w:rsid w:val="004D3348"/>
    <w:rsid w:val="004D3417"/>
    <w:rsid w:val="004D34FF"/>
    <w:rsid w:val="004D37FC"/>
    <w:rsid w:val="004D3C5D"/>
    <w:rsid w:val="004D3F0F"/>
    <w:rsid w:val="004D40D8"/>
    <w:rsid w:val="004D41B9"/>
    <w:rsid w:val="004D41D9"/>
    <w:rsid w:val="004D42C1"/>
    <w:rsid w:val="004D44C6"/>
    <w:rsid w:val="004D45B7"/>
    <w:rsid w:val="004D46B7"/>
    <w:rsid w:val="004D4862"/>
    <w:rsid w:val="004D4996"/>
    <w:rsid w:val="004D4A40"/>
    <w:rsid w:val="004D4A9E"/>
    <w:rsid w:val="004D4B94"/>
    <w:rsid w:val="004D4E87"/>
    <w:rsid w:val="004D4FD5"/>
    <w:rsid w:val="004D4FEC"/>
    <w:rsid w:val="004D545E"/>
    <w:rsid w:val="004D54EF"/>
    <w:rsid w:val="004D56FC"/>
    <w:rsid w:val="004D58D7"/>
    <w:rsid w:val="004D5D4D"/>
    <w:rsid w:val="004D604F"/>
    <w:rsid w:val="004D61EB"/>
    <w:rsid w:val="004D638F"/>
    <w:rsid w:val="004D63C5"/>
    <w:rsid w:val="004D63EA"/>
    <w:rsid w:val="004D66BB"/>
    <w:rsid w:val="004D6F3D"/>
    <w:rsid w:val="004D6FE8"/>
    <w:rsid w:val="004D6FF8"/>
    <w:rsid w:val="004D71BB"/>
    <w:rsid w:val="004D72FF"/>
    <w:rsid w:val="004D75A5"/>
    <w:rsid w:val="004D7A40"/>
    <w:rsid w:val="004D7AD0"/>
    <w:rsid w:val="004D7B95"/>
    <w:rsid w:val="004D7DC2"/>
    <w:rsid w:val="004D7DEC"/>
    <w:rsid w:val="004D7FE7"/>
    <w:rsid w:val="004E0085"/>
    <w:rsid w:val="004E0269"/>
    <w:rsid w:val="004E050B"/>
    <w:rsid w:val="004E0599"/>
    <w:rsid w:val="004E05A1"/>
    <w:rsid w:val="004E0B50"/>
    <w:rsid w:val="004E1541"/>
    <w:rsid w:val="004E199A"/>
    <w:rsid w:val="004E1F3F"/>
    <w:rsid w:val="004E2104"/>
    <w:rsid w:val="004E213F"/>
    <w:rsid w:val="004E23F6"/>
    <w:rsid w:val="004E258A"/>
    <w:rsid w:val="004E27A1"/>
    <w:rsid w:val="004E2976"/>
    <w:rsid w:val="004E2A97"/>
    <w:rsid w:val="004E2CD8"/>
    <w:rsid w:val="004E3013"/>
    <w:rsid w:val="004E33AE"/>
    <w:rsid w:val="004E34D9"/>
    <w:rsid w:val="004E3598"/>
    <w:rsid w:val="004E36A7"/>
    <w:rsid w:val="004E36FA"/>
    <w:rsid w:val="004E3A13"/>
    <w:rsid w:val="004E3FAA"/>
    <w:rsid w:val="004E4346"/>
    <w:rsid w:val="004E4668"/>
    <w:rsid w:val="004E4A6A"/>
    <w:rsid w:val="004E4C4A"/>
    <w:rsid w:val="004E5326"/>
    <w:rsid w:val="004E53AB"/>
    <w:rsid w:val="004E5575"/>
    <w:rsid w:val="004E5872"/>
    <w:rsid w:val="004E58BB"/>
    <w:rsid w:val="004E5AD3"/>
    <w:rsid w:val="004E5C79"/>
    <w:rsid w:val="004E612C"/>
    <w:rsid w:val="004E632D"/>
    <w:rsid w:val="004E6DD1"/>
    <w:rsid w:val="004E6E8B"/>
    <w:rsid w:val="004E7080"/>
    <w:rsid w:val="004E70ED"/>
    <w:rsid w:val="004E70F2"/>
    <w:rsid w:val="004E7D80"/>
    <w:rsid w:val="004F0302"/>
    <w:rsid w:val="004F06A0"/>
    <w:rsid w:val="004F06F8"/>
    <w:rsid w:val="004F08F0"/>
    <w:rsid w:val="004F096F"/>
    <w:rsid w:val="004F10F0"/>
    <w:rsid w:val="004F114C"/>
    <w:rsid w:val="004F1192"/>
    <w:rsid w:val="004F1358"/>
    <w:rsid w:val="004F1380"/>
    <w:rsid w:val="004F1A11"/>
    <w:rsid w:val="004F1A2C"/>
    <w:rsid w:val="004F21BD"/>
    <w:rsid w:val="004F23B3"/>
    <w:rsid w:val="004F2A30"/>
    <w:rsid w:val="004F2F00"/>
    <w:rsid w:val="004F3112"/>
    <w:rsid w:val="004F3160"/>
    <w:rsid w:val="004F323F"/>
    <w:rsid w:val="004F33D6"/>
    <w:rsid w:val="004F3988"/>
    <w:rsid w:val="004F3B04"/>
    <w:rsid w:val="004F418C"/>
    <w:rsid w:val="004F43AC"/>
    <w:rsid w:val="004F4436"/>
    <w:rsid w:val="004F4B09"/>
    <w:rsid w:val="004F4CDD"/>
    <w:rsid w:val="004F52C4"/>
    <w:rsid w:val="004F54A2"/>
    <w:rsid w:val="004F54E1"/>
    <w:rsid w:val="004F5544"/>
    <w:rsid w:val="004F5635"/>
    <w:rsid w:val="004F5645"/>
    <w:rsid w:val="004F5714"/>
    <w:rsid w:val="004F588D"/>
    <w:rsid w:val="004F5892"/>
    <w:rsid w:val="004F58EF"/>
    <w:rsid w:val="004F5B2D"/>
    <w:rsid w:val="004F5CBC"/>
    <w:rsid w:val="004F5DF8"/>
    <w:rsid w:val="004F61B0"/>
    <w:rsid w:val="004F63BF"/>
    <w:rsid w:val="004F648B"/>
    <w:rsid w:val="004F677E"/>
    <w:rsid w:val="004F6802"/>
    <w:rsid w:val="004F68A5"/>
    <w:rsid w:val="004F6AFF"/>
    <w:rsid w:val="004F6CC6"/>
    <w:rsid w:val="004F6DF6"/>
    <w:rsid w:val="004F6E00"/>
    <w:rsid w:val="004F6EB4"/>
    <w:rsid w:val="004F70CB"/>
    <w:rsid w:val="004F72A2"/>
    <w:rsid w:val="004F7692"/>
    <w:rsid w:val="004F773F"/>
    <w:rsid w:val="004F777E"/>
    <w:rsid w:val="004F7859"/>
    <w:rsid w:val="004F793D"/>
    <w:rsid w:val="004F7AA8"/>
    <w:rsid w:val="004F7BEB"/>
    <w:rsid w:val="004F7CA3"/>
    <w:rsid w:val="004F7DD1"/>
    <w:rsid w:val="004F7DF3"/>
    <w:rsid w:val="00500082"/>
    <w:rsid w:val="005000EE"/>
    <w:rsid w:val="005001ED"/>
    <w:rsid w:val="00500475"/>
    <w:rsid w:val="00500520"/>
    <w:rsid w:val="0050061A"/>
    <w:rsid w:val="005011A5"/>
    <w:rsid w:val="005013E3"/>
    <w:rsid w:val="00501496"/>
    <w:rsid w:val="00501B5E"/>
    <w:rsid w:val="00501CCF"/>
    <w:rsid w:val="005021DD"/>
    <w:rsid w:val="00502231"/>
    <w:rsid w:val="00502272"/>
    <w:rsid w:val="00502397"/>
    <w:rsid w:val="005029AC"/>
    <w:rsid w:val="00502BDB"/>
    <w:rsid w:val="0050319D"/>
    <w:rsid w:val="0050349E"/>
    <w:rsid w:val="0050367C"/>
    <w:rsid w:val="00503989"/>
    <w:rsid w:val="005041BB"/>
    <w:rsid w:val="00504363"/>
    <w:rsid w:val="005047E2"/>
    <w:rsid w:val="0050493B"/>
    <w:rsid w:val="00504AA3"/>
    <w:rsid w:val="00504C86"/>
    <w:rsid w:val="00505025"/>
    <w:rsid w:val="0050511B"/>
    <w:rsid w:val="00505228"/>
    <w:rsid w:val="0050553A"/>
    <w:rsid w:val="005056DE"/>
    <w:rsid w:val="00505703"/>
    <w:rsid w:val="0050581A"/>
    <w:rsid w:val="00505ADA"/>
    <w:rsid w:val="00505BC5"/>
    <w:rsid w:val="00505E60"/>
    <w:rsid w:val="00505E8A"/>
    <w:rsid w:val="00505F4F"/>
    <w:rsid w:val="005060BF"/>
    <w:rsid w:val="0050616E"/>
    <w:rsid w:val="00506AD4"/>
    <w:rsid w:val="00506B4D"/>
    <w:rsid w:val="00507091"/>
    <w:rsid w:val="0050736D"/>
    <w:rsid w:val="0050758D"/>
    <w:rsid w:val="00507D49"/>
    <w:rsid w:val="00507E80"/>
    <w:rsid w:val="005100F7"/>
    <w:rsid w:val="00510221"/>
    <w:rsid w:val="0051023B"/>
    <w:rsid w:val="0051032C"/>
    <w:rsid w:val="005103B4"/>
    <w:rsid w:val="005103F5"/>
    <w:rsid w:val="00510449"/>
    <w:rsid w:val="005105EF"/>
    <w:rsid w:val="00510644"/>
    <w:rsid w:val="00510669"/>
    <w:rsid w:val="00510683"/>
    <w:rsid w:val="00510D82"/>
    <w:rsid w:val="00510E17"/>
    <w:rsid w:val="00511211"/>
    <w:rsid w:val="0051139F"/>
    <w:rsid w:val="00511448"/>
    <w:rsid w:val="00511713"/>
    <w:rsid w:val="00511876"/>
    <w:rsid w:val="005118E6"/>
    <w:rsid w:val="005119A7"/>
    <w:rsid w:val="00511A89"/>
    <w:rsid w:val="00512168"/>
    <w:rsid w:val="00512337"/>
    <w:rsid w:val="00512512"/>
    <w:rsid w:val="00512676"/>
    <w:rsid w:val="00512A58"/>
    <w:rsid w:val="00512BB7"/>
    <w:rsid w:val="00512FA9"/>
    <w:rsid w:val="00513034"/>
    <w:rsid w:val="005130B4"/>
    <w:rsid w:val="005133B8"/>
    <w:rsid w:val="00513C2B"/>
    <w:rsid w:val="00513F56"/>
    <w:rsid w:val="00514399"/>
    <w:rsid w:val="005143E5"/>
    <w:rsid w:val="0051474A"/>
    <w:rsid w:val="0051491B"/>
    <w:rsid w:val="005149E5"/>
    <w:rsid w:val="005149F5"/>
    <w:rsid w:val="00514B50"/>
    <w:rsid w:val="00514D37"/>
    <w:rsid w:val="00514D49"/>
    <w:rsid w:val="00514DA1"/>
    <w:rsid w:val="0051570C"/>
    <w:rsid w:val="005157DB"/>
    <w:rsid w:val="00515F79"/>
    <w:rsid w:val="00516603"/>
    <w:rsid w:val="00516C1D"/>
    <w:rsid w:val="00516CAC"/>
    <w:rsid w:val="00516D8E"/>
    <w:rsid w:val="0051736E"/>
    <w:rsid w:val="005176B6"/>
    <w:rsid w:val="00517721"/>
    <w:rsid w:val="00517872"/>
    <w:rsid w:val="00517C24"/>
    <w:rsid w:val="00517CB0"/>
    <w:rsid w:val="00517D99"/>
    <w:rsid w:val="00520183"/>
    <w:rsid w:val="005201B2"/>
    <w:rsid w:val="005201DB"/>
    <w:rsid w:val="005202CD"/>
    <w:rsid w:val="005204EB"/>
    <w:rsid w:val="005207C8"/>
    <w:rsid w:val="00520B99"/>
    <w:rsid w:val="00520F07"/>
    <w:rsid w:val="005210EA"/>
    <w:rsid w:val="005211F7"/>
    <w:rsid w:val="00521290"/>
    <w:rsid w:val="005212D1"/>
    <w:rsid w:val="0052174D"/>
    <w:rsid w:val="005217F3"/>
    <w:rsid w:val="00521905"/>
    <w:rsid w:val="00521BDF"/>
    <w:rsid w:val="00521ECB"/>
    <w:rsid w:val="00521FE0"/>
    <w:rsid w:val="00522108"/>
    <w:rsid w:val="00522170"/>
    <w:rsid w:val="005221AA"/>
    <w:rsid w:val="00522371"/>
    <w:rsid w:val="005224A0"/>
    <w:rsid w:val="00522761"/>
    <w:rsid w:val="0052278C"/>
    <w:rsid w:val="00522862"/>
    <w:rsid w:val="005229ED"/>
    <w:rsid w:val="00522E4D"/>
    <w:rsid w:val="005231AB"/>
    <w:rsid w:val="0052374B"/>
    <w:rsid w:val="00523752"/>
    <w:rsid w:val="00523F98"/>
    <w:rsid w:val="005241C9"/>
    <w:rsid w:val="005249C7"/>
    <w:rsid w:val="005249E3"/>
    <w:rsid w:val="005254BA"/>
    <w:rsid w:val="00525690"/>
    <w:rsid w:val="005258E9"/>
    <w:rsid w:val="0052591C"/>
    <w:rsid w:val="00525A91"/>
    <w:rsid w:val="00525DBC"/>
    <w:rsid w:val="005260B3"/>
    <w:rsid w:val="005266D2"/>
    <w:rsid w:val="00526891"/>
    <w:rsid w:val="00526A2A"/>
    <w:rsid w:val="00526D56"/>
    <w:rsid w:val="00526E94"/>
    <w:rsid w:val="005273DC"/>
    <w:rsid w:val="005275DB"/>
    <w:rsid w:val="005276E0"/>
    <w:rsid w:val="0052791D"/>
    <w:rsid w:val="00527A48"/>
    <w:rsid w:val="00527CDB"/>
    <w:rsid w:val="00527E4E"/>
    <w:rsid w:val="005303C8"/>
    <w:rsid w:val="005306B0"/>
    <w:rsid w:val="00530724"/>
    <w:rsid w:val="00530741"/>
    <w:rsid w:val="00530BBD"/>
    <w:rsid w:val="00530D82"/>
    <w:rsid w:val="005310AD"/>
    <w:rsid w:val="005311F4"/>
    <w:rsid w:val="005318DB"/>
    <w:rsid w:val="0053194B"/>
    <w:rsid w:val="0053199B"/>
    <w:rsid w:val="00531D69"/>
    <w:rsid w:val="00532547"/>
    <w:rsid w:val="0053294E"/>
    <w:rsid w:val="00532A1E"/>
    <w:rsid w:val="00532D1F"/>
    <w:rsid w:val="0053316E"/>
    <w:rsid w:val="0053342E"/>
    <w:rsid w:val="00533678"/>
    <w:rsid w:val="00533A93"/>
    <w:rsid w:val="00533A96"/>
    <w:rsid w:val="00533ACE"/>
    <w:rsid w:val="00533AD6"/>
    <w:rsid w:val="00533B4C"/>
    <w:rsid w:val="00533D9C"/>
    <w:rsid w:val="00533E3E"/>
    <w:rsid w:val="00533EB5"/>
    <w:rsid w:val="00533F89"/>
    <w:rsid w:val="005344E8"/>
    <w:rsid w:val="005345CF"/>
    <w:rsid w:val="00534724"/>
    <w:rsid w:val="00534789"/>
    <w:rsid w:val="005347CB"/>
    <w:rsid w:val="005348F4"/>
    <w:rsid w:val="00534AB3"/>
    <w:rsid w:val="00534AC2"/>
    <w:rsid w:val="00534C65"/>
    <w:rsid w:val="00534C71"/>
    <w:rsid w:val="00534F30"/>
    <w:rsid w:val="00535053"/>
    <w:rsid w:val="005350FE"/>
    <w:rsid w:val="00535516"/>
    <w:rsid w:val="00535DEA"/>
    <w:rsid w:val="00535E33"/>
    <w:rsid w:val="00536467"/>
    <w:rsid w:val="00536593"/>
    <w:rsid w:val="005366A7"/>
    <w:rsid w:val="005366AE"/>
    <w:rsid w:val="005367BB"/>
    <w:rsid w:val="00536A83"/>
    <w:rsid w:val="00536C92"/>
    <w:rsid w:val="00536E11"/>
    <w:rsid w:val="0053703F"/>
    <w:rsid w:val="00537236"/>
    <w:rsid w:val="0053732A"/>
    <w:rsid w:val="00537333"/>
    <w:rsid w:val="005373E4"/>
    <w:rsid w:val="005377D4"/>
    <w:rsid w:val="00537850"/>
    <w:rsid w:val="00537B95"/>
    <w:rsid w:val="00537EB6"/>
    <w:rsid w:val="00540B4A"/>
    <w:rsid w:val="00541082"/>
    <w:rsid w:val="0054121D"/>
    <w:rsid w:val="005413AF"/>
    <w:rsid w:val="0054149A"/>
    <w:rsid w:val="00541665"/>
    <w:rsid w:val="005416DD"/>
    <w:rsid w:val="005419B0"/>
    <w:rsid w:val="00541DFD"/>
    <w:rsid w:val="00542349"/>
    <w:rsid w:val="005425E7"/>
    <w:rsid w:val="00542709"/>
    <w:rsid w:val="00542776"/>
    <w:rsid w:val="0054292F"/>
    <w:rsid w:val="00542BE9"/>
    <w:rsid w:val="00542DF1"/>
    <w:rsid w:val="00543160"/>
    <w:rsid w:val="00543687"/>
    <w:rsid w:val="005437C2"/>
    <w:rsid w:val="005439B9"/>
    <w:rsid w:val="00543DE6"/>
    <w:rsid w:val="0054403B"/>
    <w:rsid w:val="005440EF"/>
    <w:rsid w:val="0054411F"/>
    <w:rsid w:val="005443B6"/>
    <w:rsid w:val="00544477"/>
    <w:rsid w:val="005447E8"/>
    <w:rsid w:val="005449F4"/>
    <w:rsid w:val="00544AD6"/>
    <w:rsid w:val="00544CB1"/>
    <w:rsid w:val="00545233"/>
    <w:rsid w:val="00545252"/>
    <w:rsid w:val="0054538A"/>
    <w:rsid w:val="00545441"/>
    <w:rsid w:val="0054572C"/>
    <w:rsid w:val="00546221"/>
    <w:rsid w:val="005464D7"/>
    <w:rsid w:val="005469C2"/>
    <w:rsid w:val="00546E45"/>
    <w:rsid w:val="0054758E"/>
    <w:rsid w:val="00547642"/>
    <w:rsid w:val="005476B0"/>
    <w:rsid w:val="0054778A"/>
    <w:rsid w:val="005478C5"/>
    <w:rsid w:val="00547B0E"/>
    <w:rsid w:val="005502D6"/>
    <w:rsid w:val="00550443"/>
    <w:rsid w:val="00550732"/>
    <w:rsid w:val="00550902"/>
    <w:rsid w:val="00550BB2"/>
    <w:rsid w:val="005517C3"/>
    <w:rsid w:val="00551989"/>
    <w:rsid w:val="00551C07"/>
    <w:rsid w:val="00551E8B"/>
    <w:rsid w:val="00551F2D"/>
    <w:rsid w:val="00551F78"/>
    <w:rsid w:val="00552271"/>
    <w:rsid w:val="005524B8"/>
    <w:rsid w:val="00552972"/>
    <w:rsid w:val="00552AB1"/>
    <w:rsid w:val="00552C28"/>
    <w:rsid w:val="00552F6E"/>
    <w:rsid w:val="005532A2"/>
    <w:rsid w:val="00553425"/>
    <w:rsid w:val="00553503"/>
    <w:rsid w:val="005535EC"/>
    <w:rsid w:val="00553821"/>
    <w:rsid w:val="005538C4"/>
    <w:rsid w:val="00553A4F"/>
    <w:rsid w:val="005543B5"/>
    <w:rsid w:val="00554522"/>
    <w:rsid w:val="005547C9"/>
    <w:rsid w:val="00554A67"/>
    <w:rsid w:val="00554A7E"/>
    <w:rsid w:val="00554CE0"/>
    <w:rsid w:val="00554D61"/>
    <w:rsid w:val="00554DA1"/>
    <w:rsid w:val="00554DEC"/>
    <w:rsid w:val="00554EDF"/>
    <w:rsid w:val="00554FC9"/>
    <w:rsid w:val="00555BCC"/>
    <w:rsid w:val="00555D7B"/>
    <w:rsid w:val="00555DFE"/>
    <w:rsid w:val="00555E02"/>
    <w:rsid w:val="00556200"/>
    <w:rsid w:val="00556384"/>
    <w:rsid w:val="0055639D"/>
    <w:rsid w:val="0055641B"/>
    <w:rsid w:val="00556638"/>
    <w:rsid w:val="005569A5"/>
    <w:rsid w:val="00556CB2"/>
    <w:rsid w:val="00556F77"/>
    <w:rsid w:val="005572B8"/>
    <w:rsid w:val="00557396"/>
    <w:rsid w:val="00557737"/>
    <w:rsid w:val="005579D2"/>
    <w:rsid w:val="00557B35"/>
    <w:rsid w:val="0056021E"/>
    <w:rsid w:val="00560455"/>
    <w:rsid w:val="00560467"/>
    <w:rsid w:val="00560629"/>
    <w:rsid w:val="00560768"/>
    <w:rsid w:val="00560955"/>
    <w:rsid w:val="00560D6F"/>
    <w:rsid w:val="00560F94"/>
    <w:rsid w:val="005619A2"/>
    <w:rsid w:val="00561BB8"/>
    <w:rsid w:val="00561DC7"/>
    <w:rsid w:val="00562099"/>
    <w:rsid w:val="005623C5"/>
    <w:rsid w:val="00562484"/>
    <w:rsid w:val="00562485"/>
    <w:rsid w:val="00562722"/>
    <w:rsid w:val="005627B4"/>
    <w:rsid w:val="00562AA9"/>
    <w:rsid w:val="00562BA4"/>
    <w:rsid w:val="00563363"/>
    <w:rsid w:val="005634D7"/>
    <w:rsid w:val="00563720"/>
    <w:rsid w:val="00563EDA"/>
    <w:rsid w:val="0056409A"/>
    <w:rsid w:val="00564432"/>
    <w:rsid w:val="005644A7"/>
    <w:rsid w:val="005646D1"/>
    <w:rsid w:val="00564722"/>
    <w:rsid w:val="00564830"/>
    <w:rsid w:val="00564AE7"/>
    <w:rsid w:val="00564F20"/>
    <w:rsid w:val="00565774"/>
    <w:rsid w:val="0056578F"/>
    <w:rsid w:val="00565BEA"/>
    <w:rsid w:val="00565FE3"/>
    <w:rsid w:val="005664B4"/>
    <w:rsid w:val="005665E5"/>
    <w:rsid w:val="0056665F"/>
    <w:rsid w:val="005668EE"/>
    <w:rsid w:val="00566CBB"/>
    <w:rsid w:val="00566CDB"/>
    <w:rsid w:val="00566EF4"/>
    <w:rsid w:val="00566F7C"/>
    <w:rsid w:val="00567122"/>
    <w:rsid w:val="00567230"/>
    <w:rsid w:val="0056734F"/>
    <w:rsid w:val="00567705"/>
    <w:rsid w:val="00567BA3"/>
    <w:rsid w:val="00567C9F"/>
    <w:rsid w:val="0057060B"/>
    <w:rsid w:val="005708FE"/>
    <w:rsid w:val="005710A9"/>
    <w:rsid w:val="005711B1"/>
    <w:rsid w:val="00571247"/>
    <w:rsid w:val="00571280"/>
    <w:rsid w:val="00571315"/>
    <w:rsid w:val="0057177C"/>
    <w:rsid w:val="0057178F"/>
    <w:rsid w:val="00571F85"/>
    <w:rsid w:val="0057208E"/>
    <w:rsid w:val="00572230"/>
    <w:rsid w:val="00572865"/>
    <w:rsid w:val="00572877"/>
    <w:rsid w:val="005728B1"/>
    <w:rsid w:val="005728D1"/>
    <w:rsid w:val="00572B1B"/>
    <w:rsid w:val="00572CB3"/>
    <w:rsid w:val="0057328D"/>
    <w:rsid w:val="00573356"/>
    <w:rsid w:val="00573404"/>
    <w:rsid w:val="00573554"/>
    <w:rsid w:val="005738B8"/>
    <w:rsid w:val="00573F3D"/>
    <w:rsid w:val="005742BC"/>
    <w:rsid w:val="00574519"/>
    <w:rsid w:val="005746D2"/>
    <w:rsid w:val="00574794"/>
    <w:rsid w:val="00574A32"/>
    <w:rsid w:val="00574F1A"/>
    <w:rsid w:val="00575344"/>
    <w:rsid w:val="0057542A"/>
    <w:rsid w:val="00575676"/>
    <w:rsid w:val="00575784"/>
    <w:rsid w:val="005759A6"/>
    <w:rsid w:val="005759CB"/>
    <w:rsid w:val="00576B9D"/>
    <w:rsid w:val="00576BB9"/>
    <w:rsid w:val="00576C29"/>
    <w:rsid w:val="00577181"/>
    <w:rsid w:val="00577207"/>
    <w:rsid w:val="0057769C"/>
    <w:rsid w:val="005776CA"/>
    <w:rsid w:val="00577712"/>
    <w:rsid w:val="00577724"/>
    <w:rsid w:val="00577AB1"/>
    <w:rsid w:val="00577C7F"/>
    <w:rsid w:val="0058014E"/>
    <w:rsid w:val="00580382"/>
    <w:rsid w:val="005807C9"/>
    <w:rsid w:val="00580A1A"/>
    <w:rsid w:val="00580EF7"/>
    <w:rsid w:val="005813BA"/>
    <w:rsid w:val="00581B68"/>
    <w:rsid w:val="00581F84"/>
    <w:rsid w:val="00581FF6"/>
    <w:rsid w:val="005823F4"/>
    <w:rsid w:val="00582489"/>
    <w:rsid w:val="005824C3"/>
    <w:rsid w:val="005824C8"/>
    <w:rsid w:val="0058250F"/>
    <w:rsid w:val="00582C5B"/>
    <w:rsid w:val="00582F3C"/>
    <w:rsid w:val="005830A3"/>
    <w:rsid w:val="00583B48"/>
    <w:rsid w:val="00583B5E"/>
    <w:rsid w:val="00583C8A"/>
    <w:rsid w:val="00583E25"/>
    <w:rsid w:val="00583F43"/>
    <w:rsid w:val="00583FC7"/>
    <w:rsid w:val="00583FD0"/>
    <w:rsid w:val="005840B8"/>
    <w:rsid w:val="005846CA"/>
    <w:rsid w:val="00584A31"/>
    <w:rsid w:val="00584D3B"/>
    <w:rsid w:val="005852EE"/>
    <w:rsid w:val="0058547F"/>
    <w:rsid w:val="00585559"/>
    <w:rsid w:val="00585A42"/>
    <w:rsid w:val="00585FDC"/>
    <w:rsid w:val="00586025"/>
    <w:rsid w:val="0058648A"/>
    <w:rsid w:val="005865BF"/>
    <w:rsid w:val="00586646"/>
    <w:rsid w:val="00586853"/>
    <w:rsid w:val="00586E05"/>
    <w:rsid w:val="00586E2C"/>
    <w:rsid w:val="00586EB3"/>
    <w:rsid w:val="00586EFA"/>
    <w:rsid w:val="00586F6C"/>
    <w:rsid w:val="0058729E"/>
    <w:rsid w:val="005872C3"/>
    <w:rsid w:val="005874C6"/>
    <w:rsid w:val="00587550"/>
    <w:rsid w:val="00587956"/>
    <w:rsid w:val="005879C3"/>
    <w:rsid w:val="00587C63"/>
    <w:rsid w:val="00590222"/>
    <w:rsid w:val="005903CA"/>
    <w:rsid w:val="005904DC"/>
    <w:rsid w:val="00590515"/>
    <w:rsid w:val="005905D7"/>
    <w:rsid w:val="005906DB"/>
    <w:rsid w:val="00590A50"/>
    <w:rsid w:val="00590BE5"/>
    <w:rsid w:val="00590C12"/>
    <w:rsid w:val="00591164"/>
    <w:rsid w:val="0059125A"/>
    <w:rsid w:val="005913DC"/>
    <w:rsid w:val="0059146F"/>
    <w:rsid w:val="005916A9"/>
    <w:rsid w:val="00591842"/>
    <w:rsid w:val="00591B8D"/>
    <w:rsid w:val="00591C32"/>
    <w:rsid w:val="00591E00"/>
    <w:rsid w:val="0059208D"/>
    <w:rsid w:val="0059241C"/>
    <w:rsid w:val="00592618"/>
    <w:rsid w:val="00592695"/>
    <w:rsid w:val="00592848"/>
    <w:rsid w:val="00592A7A"/>
    <w:rsid w:val="00592CF4"/>
    <w:rsid w:val="00592D40"/>
    <w:rsid w:val="0059334D"/>
    <w:rsid w:val="005934E9"/>
    <w:rsid w:val="005936A5"/>
    <w:rsid w:val="00593817"/>
    <w:rsid w:val="005938D7"/>
    <w:rsid w:val="00593D2E"/>
    <w:rsid w:val="00593D66"/>
    <w:rsid w:val="00593F00"/>
    <w:rsid w:val="00593F64"/>
    <w:rsid w:val="00593FAF"/>
    <w:rsid w:val="00594288"/>
    <w:rsid w:val="005945FE"/>
    <w:rsid w:val="00594610"/>
    <w:rsid w:val="00594681"/>
    <w:rsid w:val="005949C6"/>
    <w:rsid w:val="00594A34"/>
    <w:rsid w:val="005958A1"/>
    <w:rsid w:val="005959B6"/>
    <w:rsid w:val="00595C15"/>
    <w:rsid w:val="00595DA7"/>
    <w:rsid w:val="00595EBC"/>
    <w:rsid w:val="0059630C"/>
    <w:rsid w:val="0059643C"/>
    <w:rsid w:val="0059680C"/>
    <w:rsid w:val="0059696A"/>
    <w:rsid w:val="005969F8"/>
    <w:rsid w:val="00596B4D"/>
    <w:rsid w:val="00596C26"/>
    <w:rsid w:val="00596F23"/>
    <w:rsid w:val="00597068"/>
    <w:rsid w:val="0059721E"/>
    <w:rsid w:val="005973FA"/>
    <w:rsid w:val="00597501"/>
    <w:rsid w:val="00597509"/>
    <w:rsid w:val="0059779D"/>
    <w:rsid w:val="005977D3"/>
    <w:rsid w:val="00597D0C"/>
    <w:rsid w:val="00597DFC"/>
    <w:rsid w:val="005A00A5"/>
    <w:rsid w:val="005A0C1B"/>
    <w:rsid w:val="005A122E"/>
    <w:rsid w:val="005A1D02"/>
    <w:rsid w:val="005A2059"/>
    <w:rsid w:val="005A288C"/>
    <w:rsid w:val="005A2A54"/>
    <w:rsid w:val="005A2B5B"/>
    <w:rsid w:val="005A2BAA"/>
    <w:rsid w:val="005A2D45"/>
    <w:rsid w:val="005A2D5A"/>
    <w:rsid w:val="005A2E99"/>
    <w:rsid w:val="005A2FB9"/>
    <w:rsid w:val="005A30F6"/>
    <w:rsid w:val="005A355E"/>
    <w:rsid w:val="005A3982"/>
    <w:rsid w:val="005A39B8"/>
    <w:rsid w:val="005A3CB3"/>
    <w:rsid w:val="005A3CD8"/>
    <w:rsid w:val="005A3DD9"/>
    <w:rsid w:val="005A4236"/>
    <w:rsid w:val="005A4242"/>
    <w:rsid w:val="005A45DC"/>
    <w:rsid w:val="005A4768"/>
    <w:rsid w:val="005A4784"/>
    <w:rsid w:val="005A5083"/>
    <w:rsid w:val="005A51B5"/>
    <w:rsid w:val="005A561A"/>
    <w:rsid w:val="005A5630"/>
    <w:rsid w:val="005A5803"/>
    <w:rsid w:val="005A5DA4"/>
    <w:rsid w:val="005A632F"/>
    <w:rsid w:val="005A66BD"/>
    <w:rsid w:val="005A67D4"/>
    <w:rsid w:val="005A76C2"/>
    <w:rsid w:val="005A76E9"/>
    <w:rsid w:val="005A7703"/>
    <w:rsid w:val="005A790E"/>
    <w:rsid w:val="005A79AF"/>
    <w:rsid w:val="005A7AB5"/>
    <w:rsid w:val="005B009D"/>
    <w:rsid w:val="005B00E7"/>
    <w:rsid w:val="005B01F8"/>
    <w:rsid w:val="005B073C"/>
    <w:rsid w:val="005B09CE"/>
    <w:rsid w:val="005B0D79"/>
    <w:rsid w:val="005B0E76"/>
    <w:rsid w:val="005B1111"/>
    <w:rsid w:val="005B16DF"/>
    <w:rsid w:val="005B1D97"/>
    <w:rsid w:val="005B1E9D"/>
    <w:rsid w:val="005B2026"/>
    <w:rsid w:val="005B2A87"/>
    <w:rsid w:val="005B2C00"/>
    <w:rsid w:val="005B2DCD"/>
    <w:rsid w:val="005B3169"/>
    <w:rsid w:val="005B33CD"/>
    <w:rsid w:val="005B3A8C"/>
    <w:rsid w:val="005B3CDD"/>
    <w:rsid w:val="005B405F"/>
    <w:rsid w:val="005B44D5"/>
    <w:rsid w:val="005B4753"/>
    <w:rsid w:val="005B4DA3"/>
    <w:rsid w:val="005B551C"/>
    <w:rsid w:val="005B5614"/>
    <w:rsid w:val="005B56B0"/>
    <w:rsid w:val="005B56CB"/>
    <w:rsid w:val="005B56DC"/>
    <w:rsid w:val="005B56F2"/>
    <w:rsid w:val="005B57B4"/>
    <w:rsid w:val="005B5A76"/>
    <w:rsid w:val="005B5FF9"/>
    <w:rsid w:val="005B6045"/>
    <w:rsid w:val="005B65CD"/>
    <w:rsid w:val="005B67D4"/>
    <w:rsid w:val="005B6BF7"/>
    <w:rsid w:val="005B6C6E"/>
    <w:rsid w:val="005B755E"/>
    <w:rsid w:val="005B79AF"/>
    <w:rsid w:val="005B7E6A"/>
    <w:rsid w:val="005B7F8F"/>
    <w:rsid w:val="005C00C2"/>
    <w:rsid w:val="005C016E"/>
    <w:rsid w:val="005C044E"/>
    <w:rsid w:val="005C047F"/>
    <w:rsid w:val="005C04EA"/>
    <w:rsid w:val="005C05FE"/>
    <w:rsid w:val="005C086C"/>
    <w:rsid w:val="005C0891"/>
    <w:rsid w:val="005C0A8D"/>
    <w:rsid w:val="005C0E47"/>
    <w:rsid w:val="005C0F6D"/>
    <w:rsid w:val="005C10C3"/>
    <w:rsid w:val="005C1292"/>
    <w:rsid w:val="005C129B"/>
    <w:rsid w:val="005C148E"/>
    <w:rsid w:val="005C15F9"/>
    <w:rsid w:val="005C1884"/>
    <w:rsid w:val="005C1928"/>
    <w:rsid w:val="005C1CA6"/>
    <w:rsid w:val="005C1EE4"/>
    <w:rsid w:val="005C20AA"/>
    <w:rsid w:val="005C2573"/>
    <w:rsid w:val="005C2599"/>
    <w:rsid w:val="005C2D22"/>
    <w:rsid w:val="005C2D32"/>
    <w:rsid w:val="005C3191"/>
    <w:rsid w:val="005C3671"/>
    <w:rsid w:val="005C3BFA"/>
    <w:rsid w:val="005C3C6C"/>
    <w:rsid w:val="005C3DB7"/>
    <w:rsid w:val="005C3EA4"/>
    <w:rsid w:val="005C40A2"/>
    <w:rsid w:val="005C4736"/>
    <w:rsid w:val="005C4ABB"/>
    <w:rsid w:val="005C4ABF"/>
    <w:rsid w:val="005C4D70"/>
    <w:rsid w:val="005C514C"/>
    <w:rsid w:val="005C5712"/>
    <w:rsid w:val="005C5792"/>
    <w:rsid w:val="005C5C35"/>
    <w:rsid w:val="005C5D93"/>
    <w:rsid w:val="005C5DD5"/>
    <w:rsid w:val="005C6053"/>
    <w:rsid w:val="005C62DD"/>
    <w:rsid w:val="005C6A26"/>
    <w:rsid w:val="005C6B0D"/>
    <w:rsid w:val="005C6C64"/>
    <w:rsid w:val="005C6D67"/>
    <w:rsid w:val="005C6F30"/>
    <w:rsid w:val="005C78C1"/>
    <w:rsid w:val="005C7951"/>
    <w:rsid w:val="005C795C"/>
    <w:rsid w:val="005C7973"/>
    <w:rsid w:val="005C7BCA"/>
    <w:rsid w:val="005C7C99"/>
    <w:rsid w:val="005C7E10"/>
    <w:rsid w:val="005D005F"/>
    <w:rsid w:val="005D01F7"/>
    <w:rsid w:val="005D031A"/>
    <w:rsid w:val="005D0405"/>
    <w:rsid w:val="005D085E"/>
    <w:rsid w:val="005D08DD"/>
    <w:rsid w:val="005D098D"/>
    <w:rsid w:val="005D0D45"/>
    <w:rsid w:val="005D0ECD"/>
    <w:rsid w:val="005D0EE1"/>
    <w:rsid w:val="005D1213"/>
    <w:rsid w:val="005D158B"/>
    <w:rsid w:val="005D15CE"/>
    <w:rsid w:val="005D1AD7"/>
    <w:rsid w:val="005D1B8C"/>
    <w:rsid w:val="005D1FBA"/>
    <w:rsid w:val="005D23BB"/>
    <w:rsid w:val="005D24F4"/>
    <w:rsid w:val="005D250F"/>
    <w:rsid w:val="005D2609"/>
    <w:rsid w:val="005D27C3"/>
    <w:rsid w:val="005D28F8"/>
    <w:rsid w:val="005D29A5"/>
    <w:rsid w:val="005D29B7"/>
    <w:rsid w:val="005D29FC"/>
    <w:rsid w:val="005D31D0"/>
    <w:rsid w:val="005D32BF"/>
    <w:rsid w:val="005D37CB"/>
    <w:rsid w:val="005D3CD0"/>
    <w:rsid w:val="005D3D19"/>
    <w:rsid w:val="005D469F"/>
    <w:rsid w:val="005D4792"/>
    <w:rsid w:val="005D4CE6"/>
    <w:rsid w:val="005D5043"/>
    <w:rsid w:val="005D50E3"/>
    <w:rsid w:val="005D519D"/>
    <w:rsid w:val="005D51C4"/>
    <w:rsid w:val="005D5236"/>
    <w:rsid w:val="005D523A"/>
    <w:rsid w:val="005D54EC"/>
    <w:rsid w:val="005D58F5"/>
    <w:rsid w:val="005D5B42"/>
    <w:rsid w:val="005D5F94"/>
    <w:rsid w:val="005D5F97"/>
    <w:rsid w:val="005D6223"/>
    <w:rsid w:val="005D64FD"/>
    <w:rsid w:val="005D6A2C"/>
    <w:rsid w:val="005D6A85"/>
    <w:rsid w:val="005D6C67"/>
    <w:rsid w:val="005D6C78"/>
    <w:rsid w:val="005D6F61"/>
    <w:rsid w:val="005D7011"/>
    <w:rsid w:val="005D70E5"/>
    <w:rsid w:val="005D742B"/>
    <w:rsid w:val="005D76BA"/>
    <w:rsid w:val="005D7984"/>
    <w:rsid w:val="005D7E5A"/>
    <w:rsid w:val="005D7EE1"/>
    <w:rsid w:val="005E04E3"/>
    <w:rsid w:val="005E0E76"/>
    <w:rsid w:val="005E0EF7"/>
    <w:rsid w:val="005E109C"/>
    <w:rsid w:val="005E1421"/>
    <w:rsid w:val="005E1888"/>
    <w:rsid w:val="005E1B95"/>
    <w:rsid w:val="005E243D"/>
    <w:rsid w:val="005E27EC"/>
    <w:rsid w:val="005E2868"/>
    <w:rsid w:val="005E38E3"/>
    <w:rsid w:val="005E3AEA"/>
    <w:rsid w:val="005E3BCB"/>
    <w:rsid w:val="005E4187"/>
    <w:rsid w:val="005E42EE"/>
    <w:rsid w:val="005E44AF"/>
    <w:rsid w:val="005E4AB1"/>
    <w:rsid w:val="005E4C58"/>
    <w:rsid w:val="005E4E92"/>
    <w:rsid w:val="005E4EF1"/>
    <w:rsid w:val="005E50E7"/>
    <w:rsid w:val="005E547F"/>
    <w:rsid w:val="005E5549"/>
    <w:rsid w:val="005E5817"/>
    <w:rsid w:val="005E599B"/>
    <w:rsid w:val="005E5FBC"/>
    <w:rsid w:val="005E61B1"/>
    <w:rsid w:val="005E6299"/>
    <w:rsid w:val="005E6AFD"/>
    <w:rsid w:val="005E6D0D"/>
    <w:rsid w:val="005E6E33"/>
    <w:rsid w:val="005E70B4"/>
    <w:rsid w:val="005E73B3"/>
    <w:rsid w:val="005E74FC"/>
    <w:rsid w:val="005E75C0"/>
    <w:rsid w:val="005E7A9F"/>
    <w:rsid w:val="005E7AD3"/>
    <w:rsid w:val="005E7B2E"/>
    <w:rsid w:val="005E7D39"/>
    <w:rsid w:val="005E7E81"/>
    <w:rsid w:val="005E7FEA"/>
    <w:rsid w:val="005F01BF"/>
    <w:rsid w:val="005F0435"/>
    <w:rsid w:val="005F0621"/>
    <w:rsid w:val="005F09DC"/>
    <w:rsid w:val="005F0F38"/>
    <w:rsid w:val="005F1149"/>
    <w:rsid w:val="005F12EC"/>
    <w:rsid w:val="005F1593"/>
    <w:rsid w:val="005F18D7"/>
    <w:rsid w:val="005F26CA"/>
    <w:rsid w:val="005F2837"/>
    <w:rsid w:val="005F2B46"/>
    <w:rsid w:val="005F3158"/>
    <w:rsid w:val="005F325B"/>
    <w:rsid w:val="005F3348"/>
    <w:rsid w:val="005F33AF"/>
    <w:rsid w:val="005F3446"/>
    <w:rsid w:val="005F36BA"/>
    <w:rsid w:val="005F38AC"/>
    <w:rsid w:val="005F38B4"/>
    <w:rsid w:val="005F3AA4"/>
    <w:rsid w:val="005F40BA"/>
    <w:rsid w:val="005F417D"/>
    <w:rsid w:val="005F4871"/>
    <w:rsid w:val="005F489A"/>
    <w:rsid w:val="005F4965"/>
    <w:rsid w:val="005F4BBB"/>
    <w:rsid w:val="005F4C34"/>
    <w:rsid w:val="005F4C42"/>
    <w:rsid w:val="005F532F"/>
    <w:rsid w:val="005F5504"/>
    <w:rsid w:val="005F5903"/>
    <w:rsid w:val="005F5D39"/>
    <w:rsid w:val="005F6261"/>
    <w:rsid w:val="005F64D9"/>
    <w:rsid w:val="005F6672"/>
    <w:rsid w:val="005F667A"/>
    <w:rsid w:val="005F669E"/>
    <w:rsid w:val="005F6CB5"/>
    <w:rsid w:val="005F6EAA"/>
    <w:rsid w:val="005F6FD4"/>
    <w:rsid w:val="005F7330"/>
    <w:rsid w:val="005F73FA"/>
    <w:rsid w:val="005F743D"/>
    <w:rsid w:val="005F7464"/>
    <w:rsid w:val="005F7ECF"/>
    <w:rsid w:val="005F7FF4"/>
    <w:rsid w:val="0060050B"/>
    <w:rsid w:val="006005BA"/>
    <w:rsid w:val="00600692"/>
    <w:rsid w:val="006006D9"/>
    <w:rsid w:val="00600736"/>
    <w:rsid w:val="00600B97"/>
    <w:rsid w:val="00600CF3"/>
    <w:rsid w:val="00600D9E"/>
    <w:rsid w:val="00600EF1"/>
    <w:rsid w:val="0060138D"/>
    <w:rsid w:val="006014F2"/>
    <w:rsid w:val="0060151E"/>
    <w:rsid w:val="00601931"/>
    <w:rsid w:val="00601968"/>
    <w:rsid w:val="00601FB6"/>
    <w:rsid w:val="00601FD7"/>
    <w:rsid w:val="006020E0"/>
    <w:rsid w:val="0060269B"/>
    <w:rsid w:val="00603575"/>
    <w:rsid w:val="0060406D"/>
    <w:rsid w:val="00604133"/>
    <w:rsid w:val="0060489B"/>
    <w:rsid w:val="00604A93"/>
    <w:rsid w:val="00604BD1"/>
    <w:rsid w:val="00604BE5"/>
    <w:rsid w:val="00604DF0"/>
    <w:rsid w:val="00605CEF"/>
    <w:rsid w:val="00605D02"/>
    <w:rsid w:val="00605D5F"/>
    <w:rsid w:val="006060CC"/>
    <w:rsid w:val="00606D00"/>
    <w:rsid w:val="006074A3"/>
    <w:rsid w:val="0060750F"/>
    <w:rsid w:val="006077F8"/>
    <w:rsid w:val="0060780B"/>
    <w:rsid w:val="00607D92"/>
    <w:rsid w:val="00607F19"/>
    <w:rsid w:val="00607F80"/>
    <w:rsid w:val="0061009B"/>
    <w:rsid w:val="00610706"/>
    <w:rsid w:val="006107F0"/>
    <w:rsid w:val="006108D8"/>
    <w:rsid w:val="0061096F"/>
    <w:rsid w:val="00610B1E"/>
    <w:rsid w:val="00610BE0"/>
    <w:rsid w:val="00610C14"/>
    <w:rsid w:val="00610FB0"/>
    <w:rsid w:val="006110B0"/>
    <w:rsid w:val="00611475"/>
    <w:rsid w:val="00611F14"/>
    <w:rsid w:val="00611F62"/>
    <w:rsid w:val="006127D2"/>
    <w:rsid w:val="00612881"/>
    <w:rsid w:val="00612986"/>
    <w:rsid w:val="00612A9E"/>
    <w:rsid w:val="00612AB7"/>
    <w:rsid w:val="00612B70"/>
    <w:rsid w:val="00612DED"/>
    <w:rsid w:val="00612FD2"/>
    <w:rsid w:val="00613248"/>
    <w:rsid w:val="00613463"/>
    <w:rsid w:val="006137D6"/>
    <w:rsid w:val="00613850"/>
    <w:rsid w:val="006139AF"/>
    <w:rsid w:val="006139DF"/>
    <w:rsid w:val="00613BF1"/>
    <w:rsid w:val="00614384"/>
    <w:rsid w:val="00614554"/>
    <w:rsid w:val="0061459C"/>
    <w:rsid w:val="006146DF"/>
    <w:rsid w:val="00614918"/>
    <w:rsid w:val="00614A51"/>
    <w:rsid w:val="00614A98"/>
    <w:rsid w:val="00615A1E"/>
    <w:rsid w:val="00615AFF"/>
    <w:rsid w:val="00615B65"/>
    <w:rsid w:val="00615DFB"/>
    <w:rsid w:val="00615EC4"/>
    <w:rsid w:val="00616180"/>
    <w:rsid w:val="00616229"/>
    <w:rsid w:val="0061651E"/>
    <w:rsid w:val="00616D81"/>
    <w:rsid w:val="00616D89"/>
    <w:rsid w:val="00616D97"/>
    <w:rsid w:val="00616E40"/>
    <w:rsid w:val="00617110"/>
    <w:rsid w:val="0061725A"/>
    <w:rsid w:val="0061757F"/>
    <w:rsid w:val="00617963"/>
    <w:rsid w:val="006202C3"/>
    <w:rsid w:val="00620F35"/>
    <w:rsid w:val="006212F7"/>
    <w:rsid w:val="00621453"/>
    <w:rsid w:val="00621537"/>
    <w:rsid w:val="006216A8"/>
    <w:rsid w:val="00622137"/>
    <w:rsid w:val="006222C7"/>
    <w:rsid w:val="00622510"/>
    <w:rsid w:val="00622637"/>
    <w:rsid w:val="00622B01"/>
    <w:rsid w:val="00622CED"/>
    <w:rsid w:val="00622F5C"/>
    <w:rsid w:val="006235DE"/>
    <w:rsid w:val="0062382C"/>
    <w:rsid w:val="00623A9F"/>
    <w:rsid w:val="00624118"/>
    <w:rsid w:val="00624213"/>
    <w:rsid w:val="0062432E"/>
    <w:rsid w:val="006243FF"/>
    <w:rsid w:val="00624703"/>
    <w:rsid w:val="0062474C"/>
    <w:rsid w:val="00624CB6"/>
    <w:rsid w:val="00624F16"/>
    <w:rsid w:val="00624FAD"/>
    <w:rsid w:val="006250F2"/>
    <w:rsid w:val="0062533A"/>
    <w:rsid w:val="0062547C"/>
    <w:rsid w:val="00625484"/>
    <w:rsid w:val="00625534"/>
    <w:rsid w:val="00625A5F"/>
    <w:rsid w:val="00625C75"/>
    <w:rsid w:val="00625DD5"/>
    <w:rsid w:val="00625FDB"/>
    <w:rsid w:val="00626110"/>
    <w:rsid w:val="0062640F"/>
    <w:rsid w:val="00626477"/>
    <w:rsid w:val="0062647E"/>
    <w:rsid w:val="006267D9"/>
    <w:rsid w:val="00626ACF"/>
    <w:rsid w:val="00626F22"/>
    <w:rsid w:val="006271EF"/>
    <w:rsid w:val="0062724D"/>
    <w:rsid w:val="00627472"/>
    <w:rsid w:val="006277D4"/>
    <w:rsid w:val="00627A74"/>
    <w:rsid w:val="00627B64"/>
    <w:rsid w:val="00627B7B"/>
    <w:rsid w:val="00627BFF"/>
    <w:rsid w:val="00627DB2"/>
    <w:rsid w:val="00630239"/>
    <w:rsid w:val="0063038C"/>
    <w:rsid w:val="00630977"/>
    <w:rsid w:val="006309B8"/>
    <w:rsid w:val="00630A81"/>
    <w:rsid w:val="00630AF5"/>
    <w:rsid w:val="00630D1B"/>
    <w:rsid w:val="00630E2D"/>
    <w:rsid w:val="00630FEF"/>
    <w:rsid w:val="006310B5"/>
    <w:rsid w:val="00631BFF"/>
    <w:rsid w:val="00631C61"/>
    <w:rsid w:val="00631CFE"/>
    <w:rsid w:val="00632218"/>
    <w:rsid w:val="00632326"/>
    <w:rsid w:val="0063289B"/>
    <w:rsid w:val="0063295A"/>
    <w:rsid w:val="00632E46"/>
    <w:rsid w:val="0063331F"/>
    <w:rsid w:val="0063362F"/>
    <w:rsid w:val="00633709"/>
    <w:rsid w:val="00633774"/>
    <w:rsid w:val="00633923"/>
    <w:rsid w:val="00633969"/>
    <w:rsid w:val="00633AFA"/>
    <w:rsid w:val="0063411B"/>
    <w:rsid w:val="006343B1"/>
    <w:rsid w:val="00634481"/>
    <w:rsid w:val="00634FD1"/>
    <w:rsid w:val="006352AB"/>
    <w:rsid w:val="006357CD"/>
    <w:rsid w:val="0063584A"/>
    <w:rsid w:val="00635C19"/>
    <w:rsid w:val="00635D2E"/>
    <w:rsid w:val="00636238"/>
    <w:rsid w:val="00636442"/>
    <w:rsid w:val="0063679A"/>
    <w:rsid w:val="0063684D"/>
    <w:rsid w:val="00636B62"/>
    <w:rsid w:val="00636BE1"/>
    <w:rsid w:val="00636C56"/>
    <w:rsid w:val="00636CCA"/>
    <w:rsid w:val="00636E41"/>
    <w:rsid w:val="00636FB6"/>
    <w:rsid w:val="006376DA"/>
    <w:rsid w:val="00637F40"/>
    <w:rsid w:val="00640133"/>
    <w:rsid w:val="006401BA"/>
    <w:rsid w:val="006401E0"/>
    <w:rsid w:val="006404B3"/>
    <w:rsid w:val="0064071D"/>
    <w:rsid w:val="006407F0"/>
    <w:rsid w:val="00640BB3"/>
    <w:rsid w:val="00640CDF"/>
    <w:rsid w:val="00640D75"/>
    <w:rsid w:val="00640ECF"/>
    <w:rsid w:val="0064119D"/>
    <w:rsid w:val="00641988"/>
    <w:rsid w:val="00641A3E"/>
    <w:rsid w:val="00641B0A"/>
    <w:rsid w:val="00641CFC"/>
    <w:rsid w:val="0064212B"/>
    <w:rsid w:val="0064236D"/>
    <w:rsid w:val="00642446"/>
    <w:rsid w:val="0064265D"/>
    <w:rsid w:val="00642698"/>
    <w:rsid w:val="006427CC"/>
    <w:rsid w:val="00642903"/>
    <w:rsid w:val="00642A66"/>
    <w:rsid w:val="00642DEA"/>
    <w:rsid w:val="00642FE9"/>
    <w:rsid w:val="006430D2"/>
    <w:rsid w:val="006431D8"/>
    <w:rsid w:val="006432E4"/>
    <w:rsid w:val="006435D7"/>
    <w:rsid w:val="00643B10"/>
    <w:rsid w:val="00643DAE"/>
    <w:rsid w:val="00644240"/>
    <w:rsid w:val="00644396"/>
    <w:rsid w:val="0064439B"/>
    <w:rsid w:val="006444ED"/>
    <w:rsid w:val="0064474F"/>
    <w:rsid w:val="00644BC5"/>
    <w:rsid w:val="00644E2F"/>
    <w:rsid w:val="00644F4E"/>
    <w:rsid w:val="00645204"/>
    <w:rsid w:val="00645728"/>
    <w:rsid w:val="00645B8B"/>
    <w:rsid w:val="00645E6D"/>
    <w:rsid w:val="00645E78"/>
    <w:rsid w:val="00645F51"/>
    <w:rsid w:val="006461AB"/>
    <w:rsid w:val="00646B97"/>
    <w:rsid w:val="00646BBB"/>
    <w:rsid w:val="00646D3F"/>
    <w:rsid w:val="00647026"/>
    <w:rsid w:val="0064727B"/>
    <w:rsid w:val="00647399"/>
    <w:rsid w:val="006473E4"/>
    <w:rsid w:val="00647553"/>
    <w:rsid w:val="00647632"/>
    <w:rsid w:val="00647A3A"/>
    <w:rsid w:val="00650025"/>
    <w:rsid w:val="0065019D"/>
    <w:rsid w:val="006501AC"/>
    <w:rsid w:val="00650441"/>
    <w:rsid w:val="006508BE"/>
    <w:rsid w:val="00650AB2"/>
    <w:rsid w:val="00650BA0"/>
    <w:rsid w:val="006511FF"/>
    <w:rsid w:val="006515CB"/>
    <w:rsid w:val="00651A45"/>
    <w:rsid w:val="00651B62"/>
    <w:rsid w:val="0065235A"/>
    <w:rsid w:val="0065259B"/>
    <w:rsid w:val="0065262A"/>
    <w:rsid w:val="0065295E"/>
    <w:rsid w:val="00652D92"/>
    <w:rsid w:val="00653248"/>
    <w:rsid w:val="0065333C"/>
    <w:rsid w:val="00653485"/>
    <w:rsid w:val="006535D5"/>
    <w:rsid w:val="00653729"/>
    <w:rsid w:val="00653A6E"/>
    <w:rsid w:val="00653B9E"/>
    <w:rsid w:val="00654198"/>
    <w:rsid w:val="0065446E"/>
    <w:rsid w:val="0065473F"/>
    <w:rsid w:val="0065486E"/>
    <w:rsid w:val="0065491F"/>
    <w:rsid w:val="00654F44"/>
    <w:rsid w:val="00654FDA"/>
    <w:rsid w:val="006555FF"/>
    <w:rsid w:val="00655628"/>
    <w:rsid w:val="006556A5"/>
    <w:rsid w:val="00655AE3"/>
    <w:rsid w:val="00655B5A"/>
    <w:rsid w:val="00655B7D"/>
    <w:rsid w:val="00655C0F"/>
    <w:rsid w:val="00655C98"/>
    <w:rsid w:val="00655FF5"/>
    <w:rsid w:val="00656025"/>
    <w:rsid w:val="00656212"/>
    <w:rsid w:val="00656411"/>
    <w:rsid w:val="0065665E"/>
    <w:rsid w:val="00656710"/>
    <w:rsid w:val="0065694C"/>
    <w:rsid w:val="006569CD"/>
    <w:rsid w:val="00656A2C"/>
    <w:rsid w:val="0065727E"/>
    <w:rsid w:val="006575C3"/>
    <w:rsid w:val="0065797C"/>
    <w:rsid w:val="006579D5"/>
    <w:rsid w:val="00657B19"/>
    <w:rsid w:val="00657CEB"/>
    <w:rsid w:val="00660601"/>
    <w:rsid w:val="00660890"/>
    <w:rsid w:val="00660979"/>
    <w:rsid w:val="00660981"/>
    <w:rsid w:val="00660B0F"/>
    <w:rsid w:val="00660C79"/>
    <w:rsid w:val="00660CEB"/>
    <w:rsid w:val="00660E0B"/>
    <w:rsid w:val="0066138F"/>
    <w:rsid w:val="0066176B"/>
    <w:rsid w:val="0066203F"/>
    <w:rsid w:val="0066223C"/>
    <w:rsid w:val="006622DF"/>
    <w:rsid w:val="006628C6"/>
    <w:rsid w:val="00662A3F"/>
    <w:rsid w:val="00662D3A"/>
    <w:rsid w:val="00662FD9"/>
    <w:rsid w:val="0066335A"/>
    <w:rsid w:val="00663455"/>
    <w:rsid w:val="006635D1"/>
    <w:rsid w:val="006636E9"/>
    <w:rsid w:val="0066383A"/>
    <w:rsid w:val="00663F3B"/>
    <w:rsid w:val="00663F85"/>
    <w:rsid w:val="006641A7"/>
    <w:rsid w:val="006643B8"/>
    <w:rsid w:val="00664B52"/>
    <w:rsid w:val="00664C65"/>
    <w:rsid w:val="00664F72"/>
    <w:rsid w:val="00665293"/>
    <w:rsid w:val="00665536"/>
    <w:rsid w:val="00665714"/>
    <w:rsid w:val="00665796"/>
    <w:rsid w:val="006658B7"/>
    <w:rsid w:val="006658D6"/>
    <w:rsid w:val="006658EA"/>
    <w:rsid w:val="006659FD"/>
    <w:rsid w:val="00665A33"/>
    <w:rsid w:val="00665A68"/>
    <w:rsid w:val="00665D22"/>
    <w:rsid w:val="006661AF"/>
    <w:rsid w:val="00666686"/>
    <w:rsid w:val="00666977"/>
    <w:rsid w:val="00666B73"/>
    <w:rsid w:val="00667186"/>
    <w:rsid w:val="006672F6"/>
    <w:rsid w:val="006673A8"/>
    <w:rsid w:val="00667460"/>
    <w:rsid w:val="00667634"/>
    <w:rsid w:val="00667906"/>
    <w:rsid w:val="0066792F"/>
    <w:rsid w:val="00667BD1"/>
    <w:rsid w:val="00667CEA"/>
    <w:rsid w:val="00670107"/>
    <w:rsid w:val="0067039D"/>
    <w:rsid w:val="006704FA"/>
    <w:rsid w:val="00670510"/>
    <w:rsid w:val="0067061E"/>
    <w:rsid w:val="00670957"/>
    <w:rsid w:val="006709DE"/>
    <w:rsid w:val="00670C70"/>
    <w:rsid w:val="00670DB8"/>
    <w:rsid w:val="00670F2F"/>
    <w:rsid w:val="00671390"/>
    <w:rsid w:val="006713B3"/>
    <w:rsid w:val="006714A3"/>
    <w:rsid w:val="006714C9"/>
    <w:rsid w:val="006715FD"/>
    <w:rsid w:val="006717AA"/>
    <w:rsid w:val="00671BBF"/>
    <w:rsid w:val="00671C47"/>
    <w:rsid w:val="00671FC3"/>
    <w:rsid w:val="00672174"/>
    <w:rsid w:val="006724A2"/>
    <w:rsid w:val="00672824"/>
    <w:rsid w:val="00672A13"/>
    <w:rsid w:val="00672BD0"/>
    <w:rsid w:val="00672E1D"/>
    <w:rsid w:val="00672FD9"/>
    <w:rsid w:val="006732EC"/>
    <w:rsid w:val="006735D8"/>
    <w:rsid w:val="0067393F"/>
    <w:rsid w:val="0067407E"/>
    <w:rsid w:val="006740EB"/>
    <w:rsid w:val="00674450"/>
    <w:rsid w:val="006749C2"/>
    <w:rsid w:val="006749E2"/>
    <w:rsid w:val="00674A2A"/>
    <w:rsid w:val="00674AB6"/>
    <w:rsid w:val="00674D15"/>
    <w:rsid w:val="006750B1"/>
    <w:rsid w:val="0067516D"/>
    <w:rsid w:val="00675282"/>
    <w:rsid w:val="00675873"/>
    <w:rsid w:val="00675A1D"/>
    <w:rsid w:val="006764F0"/>
    <w:rsid w:val="00676653"/>
    <w:rsid w:val="0067667D"/>
    <w:rsid w:val="006767F7"/>
    <w:rsid w:val="0067740C"/>
    <w:rsid w:val="0067746D"/>
    <w:rsid w:val="0067782A"/>
    <w:rsid w:val="00677A36"/>
    <w:rsid w:val="00677EE5"/>
    <w:rsid w:val="006800FA"/>
    <w:rsid w:val="00680386"/>
    <w:rsid w:val="006803E3"/>
    <w:rsid w:val="00680432"/>
    <w:rsid w:val="00680454"/>
    <w:rsid w:val="006805D4"/>
    <w:rsid w:val="00680805"/>
    <w:rsid w:val="0068091F"/>
    <w:rsid w:val="00681374"/>
    <w:rsid w:val="00681377"/>
    <w:rsid w:val="006814DB"/>
    <w:rsid w:val="006817E1"/>
    <w:rsid w:val="00681B0E"/>
    <w:rsid w:val="00681C78"/>
    <w:rsid w:val="00681D70"/>
    <w:rsid w:val="00682062"/>
    <w:rsid w:val="00682469"/>
    <w:rsid w:val="00682663"/>
    <w:rsid w:val="006828AB"/>
    <w:rsid w:val="00682D55"/>
    <w:rsid w:val="0068349E"/>
    <w:rsid w:val="006834DB"/>
    <w:rsid w:val="00683544"/>
    <w:rsid w:val="00683590"/>
    <w:rsid w:val="0068361F"/>
    <w:rsid w:val="00683A74"/>
    <w:rsid w:val="00683C02"/>
    <w:rsid w:val="00683F1A"/>
    <w:rsid w:val="0068435D"/>
    <w:rsid w:val="006843EC"/>
    <w:rsid w:val="00684408"/>
    <w:rsid w:val="006848BD"/>
    <w:rsid w:val="00684BAA"/>
    <w:rsid w:val="00684D19"/>
    <w:rsid w:val="00685104"/>
    <w:rsid w:val="00685C31"/>
    <w:rsid w:val="00685D28"/>
    <w:rsid w:val="00685DFA"/>
    <w:rsid w:val="00686081"/>
    <w:rsid w:val="006869A4"/>
    <w:rsid w:val="00686A08"/>
    <w:rsid w:val="00686A96"/>
    <w:rsid w:val="00686AE8"/>
    <w:rsid w:val="00686B00"/>
    <w:rsid w:val="00687573"/>
    <w:rsid w:val="0068765C"/>
    <w:rsid w:val="006876D1"/>
    <w:rsid w:val="00687796"/>
    <w:rsid w:val="00687F19"/>
    <w:rsid w:val="00687F39"/>
    <w:rsid w:val="00687FE5"/>
    <w:rsid w:val="0069009B"/>
    <w:rsid w:val="00690548"/>
    <w:rsid w:val="00690DC0"/>
    <w:rsid w:val="00690F27"/>
    <w:rsid w:val="00690FAD"/>
    <w:rsid w:val="00690FC2"/>
    <w:rsid w:val="006911E2"/>
    <w:rsid w:val="006912D5"/>
    <w:rsid w:val="00691426"/>
    <w:rsid w:val="006914A5"/>
    <w:rsid w:val="00691A4A"/>
    <w:rsid w:val="00691A82"/>
    <w:rsid w:val="00691C16"/>
    <w:rsid w:val="00691F64"/>
    <w:rsid w:val="00692056"/>
    <w:rsid w:val="0069219F"/>
    <w:rsid w:val="006924CE"/>
    <w:rsid w:val="0069255D"/>
    <w:rsid w:val="00692599"/>
    <w:rsid w:val="00692639"/>
    <w:rsid w:val="00692706"/>
    <w:rsid w:val="00692814"/>
    <w:rsid w:val="006928B0"/>
    <w:rsid w:val="006928B6"/>
    <w:rsid w:val="006928C4"/>
    <w:rsid w:val="0069296E"/>
    <w:rsid w:val="006929F6"/>
    <w:rsid w:val="00692A81"/>
    <w:rsid w:val="00693032"/>
    <w:rsid w:val="00693607"/>
    <w:rsid w:val="006937E9"/>
    <w:rsid w:val="006938D1"/>
    <w:rsid w:val="00693964"/>
    <w:rsid w:val="00693A76"/>
    <w:rsid w:val="00693E14"/>
    <w:rsid w:val="00694070"/>
    <w:rsid w:val="00694127"/>
    <w:rsid w:val="006941A2"/>
    <w:rsid w:val="006941BD"/>
    <w:rsid w:val="006943D3"/>
    <w:rsid w:val="00694822"/>
    <w:rsid w:val="00694866"/>
    <w:rsid w:val="0069497E"/>
    <w:rsid w:val="00695279"/>
    <w:rsid w:val="00695A11"/>
    <w:rsid w:val="00695ADF"/>
    <w:rsid w:val="006962DE"/>
    <w:rsid w:val="0069637D"/>
    <w:rsid w:val="00696498"/>
    <w:rsid w:val="00696598"/>
    <w:rsid w:val="00696912"/>
    <w:rsid w:val="0069697F"/>
    <w:rsid w:val="006969CF"/>
    <w:rsid w:val="00696C0E"/>
    <w:rsid w:val="00696E4A"/>
    <w:rsid w:val="00696F8E"/>
    <w:rsid w:val="00696FBF"/>
    <w:rsid w:val="006970D5"/>
    <w:rsid w:val="006975A6"/>
    <w:rsid w:val="00697730"/>
    <w:rsid w:val="00697784"/>
    <w:rsid w:val="00697AA1"/>
    <w:rsid w:val="00697EE6"/>
    <w:rsid w:val="00697F0A"/>
    <w:rsid w:val="006A0831"/>
    <w:rsid w:val="006A0AD8"/>
    <w:rsid w:val="006A0D4F"/>
    <w:rsid w:val="006A0D83"/>
    <w:rsid w:val="006A0E5C"/>
    <w:rsid w:val="006A1029"/>
    <w:rsid w:val="006A10D5"/>
    <w:rsid w:val="006A111C"/>
    <w:rsid w:val="006A1585"/>
    <w:rsid w:val="006A1BC1"/>
    <w:rsid w:val="006A1C5A"/>
    <w:rsid w:val="006A1EC2"/>
    <w:rsid w:val="006A1F66"/>
    <w:rsid w:val="006A1FA9"/>
    <w:rsid w:val="006A25C2"/>
    <w:rsid w:val="006A26BD"/>
    <w:rsid w:val="006A26F6"/>
    <w:rsid w:val="006A29FD"/>
    <w:rsid w:val="006A2C15"/>
    <w:rsid w:val="006A2DA6"/>
    <w:rsid w:val="006A2E7A"/>
    <w:rsid w:val="006A30EF"/>
    <w:rsid w:val="006A3186"/>
    <w:rsid w:val="006A33FA"/>
    <w:rsid w:val="006A3565"/>
    <w:rsid w:val="006A356B"/>
    <w:rsid w:val="006A4594"/>
    <w:rsid w:val="006A45BE"/>
    <w:rsid w:val="006A4672"/>
    <w:rsid w:val="006A4850"/>
    <w:rsid w:val="006A4C3D"/>
    <w:rsid w:val="006A4E39"/>
    <w:rsid w:val="006A4E9E"/>
    <w:rsid w:val="006A5282"/>
    <w:rsid w:val="006A5287"/>
    <w:rsid w:val="006A5348"/>
    <w:rsid w:val="006A5410"/>
    <w:rsid w:val="006A5531"/>
    <w:rsid w:val="006A56FD"/>
    <w:rsid w:val="006A5A6B"/>
    <w:rsid w:val="006A5FFC"/>
    <w:rsid w:val="006A6876"/>
    <w:rsid w:val="006A69F0"/>
    <w:rsid w:val="006A6BA1"/>
    <w:rsid w:val="006A6CCF"/>
    <w:rsid w:val="006A6FE7"/>
    <w:rsid w:val="006A716C"/>
    <w:rsid w:val="006A7722"/>
    <w:rsid w:val="006A793C"/>
    <w:rsid w:val="006A7BA7"/>
    <w:rsid w:val="006B039D"/>
    <w:rsid w:val="006B04CA"/>
    <w:rsid w:val="006B07E2"/>
    <w:rsid w:val="006B0AB5"/>
    <w:rsid w:val="006B0B50"/>
    <w:rsid w:val="006B1438"/>
    <w:rsid w:val="006B14AA"/>
    <w:rsid w:val="006B14AD"/>
    <w:rsid w:val="006B15E4"/>
    <w:rsid w:val="006B1822"/>
    <w:rsid w:val="006B1961"/>
    <w:rsid w:val="006B19C8"/>
    <w:rsid w:val="006B1BCC"/>
    <w:rsid w:val="006B1E8C"/>
    <w:rsid w:val="006B1E98"/>
    <w:rsid w:val="006B26DA"/>
    <w:rsid w:val="006B2835"/>
    <w:rsid w:val="006B284A"/>
    <w:rsid w:val="006B2A04"/>
    <w:rsid w:val="006B2BB1"/>
    <w:rsid w:val="006B30F5"/>
    <w:rsid w:val="006B32F1"/>
    <w:rsid w:val="006B35D6"/>
    <w:rsid w:val="006B3669"/>
    <w:rsid w:val="006B3946"/>
    <w:rsid w:val="006B3A31"/>
    <w:rsid w:val="006B3D09"/>
    <w:rsid w:val="006B3D7C"/>
    <w:rsid w:val="006B40C3"/>
    <w:rsid w:val="006B47FE"/>
    <w:rsid w:val="006B49E9"/>
    <w:rsid w:val="006B4B11"/>
    <w:rsid w:val="006B4BE2"/>
    <w:rsid w:val="006B4BF0"/>
    <w:rsid w:val="006B4CCF"/>
    <w:rsid w:val="006B5417"/>
    <w:rsid w:val="006B54B4"/>
    <w:rsid w:val="006B55CD"/>
    <w:rsid w:val="006B5684"/>
    <w:rsid w:val="006B56FA"/>
    <w:rsid w:val="006B570B"/>
    <w:rsid w:val="006B5881"/>
    <w:rsid w:val="006B5942"/>
    <w:rsid w:val="006B5D41"/>
    <w:rsid w:val="006B60A6"/>
    <w:rsid w:val="006B620E"/>
    <w:rsid w:val="006B6575"/>
    <w:rsid w:val="006B68C3"/>
    <w:rsid w:val="006B6A98"/>
    <w:rsid w:val="006B6C87"/>
    <w:rsid w:val="006B6F7B"/>
    <w:rsid w:val="006B7002"/>
    <w:rsid w:val="006B7206"/>
    <w:rsid w:val="006B7358"/>
    <w:rsid w:val="006B7381"/>
    <w:rsid w:val="006B7429"/>
    <w:rsid w:val="006B7459"/>
    <w:rsid w:val="006B750F"/>
    <w:rsid w:val="006B78FA"/>
    <w:rsid w:val="006B7925"/>
    <w:rsid w:val="006C0048"/>
    <w:rsid w:val="006C01A0"/>
    <w:rsid w:val="006C033A"/>
    <w:rsid w:val="006C0441"/>
    <w:rsid w:val="006C0534"/>
    <w:rsid w:val="006C139B"/>
    <w:rsid w:val="006C1861"/>
    <w:rsid w:val="006C18EA"/>
    <w:rsid w:val="006C1948"/>
    <w:rsid w:val="006C1B64"/>
    <w:rsid w:val="006C1D11"/>
    <w:rsid w:val="006C2178"/>
    <w:rsid w:val="006C27D9"/>
    <w:rsid w:val="006C2810"/>
    <w:rsid w:val="006C2C70"/>
    <w:rsid w:val="006C2FDF"/>
    <w:rsid w:val="006C31EA"/>
    <w:rsid w:val="006C3278"/>
    <w:rsid w:val="006C39A9"/>
    <w:rsid w:val="006C3F57"/>
    <w:rsid w:val="006C429B"/>
    <w:rsid w:val="006C438C"/>
    <w:rsid w:val="006C46EC"/>
    <w:rsid w:val="006C47D5"/>
    <w:rsid w:val="006C4BAE"/>
    <w:rsid w:val="006C54F3"/>
    <w:rsid w:val="006C571E"/>
    <w:rsid w:val="006C57B0"/>
    <w:rsid w:val="006C5915"/>
    <w:rsid w:val="006C5B17"/>
    <w:rsid w:val="006C5B81"/>
    <w:rsid w:val="006C60BD"/>
    <w:rsid w:val="006C60CB"/>
    <w:rsid w:val="006C63B6"/>
    <w:rsid w:val="006C6567"/>
    <w:rsid w:val="006C66F0"/>
    <w:rsid w:val="006C6996"/>
    <w:rsid w:val="006C6EBA"/>
    <w:rsid w:val="006C7028"/>
    <w:rsid w:val="006C7324"/>
    <w:rsid w:val="006C7CB4"/>
    <w:rsid w:val="006C7D09"/>
    <w:rsid w:val="006D00C9"/>
    <w:rsid w:val="006D00E4"/>
    <w:rsid w:val="006D0270"/>
    <w:rsid w:val="006D0776"/>
    <w:rsid w:val="006D0826"/>
    <w:rsid w:val="006D083B"/>
    <w:rsid w:val="006D0D1E"/>
    <w:rsid w:val="006D0E1B"/>
    <w:rsid w:val="006D0F3B"/>
    <w:rsid w:val="006D10F1"/>
    <w:rsid w:val="006D137F"/>
    <w:rsid w:val="006D16CE"/>
    <w:rsid w:val="006D1ACB"/>
    <w:rsid w:val="006D1B37"/>
    <w:rsid w:val="006D1D43"/>
    <w:rsid w:val="006D1DCB"/>
    <w:rsid w:val="006D1EAC"/>
    <w:rsid w:val="006D1F7B"/>
    <w:rsid w:val="006D2550"/>
    <w:rsid w:val="006D2562"/>
    <w:rsid w:val="006D2591"/>
    <w:rsid w:val="006D261F"/>
    <w:rsid w:val="006D2671"/>
    <w:rsid w:val="006D26D4"/>
    <w:rsid w:val="006D2A05"/>
    <w:rsid w:val="006D2AF7"/>
    <w:rsid w:val="006D2FE0"/>
    <w:rsid w:val="006D2FEE"/>
    <w:rsid w:val="006D30D5"/>
    <w:rsid w:val="006D3106"/>
    <w:rsid w:val="006D3353"/>
    <w:rsid w:val="006D33EE"/>
    <w:rsid w:val="006D393D"/>
    <w:rsid w:val="006D3AF9"/>
    <w:rsid w:val="006D3C46"/>
    <w:rsid w:val="006D3E67"/>
    <w:rsid w:val="006D424A"/>
    <w:rsid w:val="006D44EA"/>
    <w:rsid w:val="006D4AB6"/>
    <w:rsid w:val="006D4B2D"/>
    <w:rsid w:val="006D4C78"/>
    <w:rsid w:val="006D4D08"/>
    <w:rsid w:val="006D4D7A"/>
    <w:rsid w:val="006D4E1E"/>
    <w:rsid w:val="006D51E8"/>
    <w:rsid w:val="006D528E"/>
    <w:rsid w:val="006D56B5"/>
    <w:rsid w:val="006D57E6"/>
    <w:rsid w:val="006D58A9"/>
    <w:rsid w:val="006D5C11"/>
    <w:rsid w:val="006D5C91"/>
    <w:rsid w:val="006D5F38"/>
    <w:rsid w:val="006D6059"/>
    <w:rsid w:val="006D643B"/>
    <w:rsid w:val="006D66A5"/>
    <w:rsid w:val="006D6722"/>
    <w:rsid w:val="006D6B59"/>
    <w:rsid w:val="006D6FDE"/>
    <w:rsid w:val="006D70EE"/>
    <w:rsid w:val="006D7233"/>
    <w:rsid w:val="006D7243"/>
    <w:rsid w:val="006D72AC"/>
    <w:rsid w:val="006D784D"/>
    <w:rsid w:val="006D797E"/>
    <w:rsid w:val="006D7C9C"/>
    <w:rsid w:val="006D7F93"/>
    <w:rsid w:val="006E0047"/>
    <w:rsid w:val="006E00EF"/>
    <w:rsid w:val="006E0336"/>
    <w:rsid w:val="006E080A"/>
    <w:rsid w:val="006E084C"/>
    <w:rsid w:val="006E10CE"/>
    <w:rsid w:val="006E1563"/>
    <w:rsid w:val="006E164E"/>
    <w:rsid w:val="006E167B"/>
    <w:rsid w:val="006E1DCE"/>
    <w:rsid w:val="006E2137"/>
    <w:rsid w:val="006E2397"/>
    <w:rsid w:val="006E2B4A"/>
    <w:rsid w:val="006E3025"/>
    <w:rsid w:val="006E32D3"/>
    <w:rsid w:val="006E356A"/>
    <w:rsid w:val="006E38B9"/>
    <w:rsid w:val="006E38C6"/>
    <w:rsid w:val="006E3B11"/>
    <w:rsid w:val="006E3BC1"/>
    <w:rsid w:val="006E3EA0"/>
    <w:rsid w:val="006E41C6"/>
    <w:rsid w:val="006E424A"/>
    <w:rsid w:val="006E42D4"/>
    <w:rsid w:val="006E4494"/>
    <w:rsid w:val="006E4620"/>
    <w:rsid w:val="006E4788"/>
    <w:rsid w:val="006E4910"/>
    <w:rsid w:val="006E5024"/>
    <w:rsid w:val="006E514D"/>
    <w:rsid w:val="006E55F6"/>
    <w:rsid w:val="006E57BE"/>
    <w:rsid w:val="006E57CA"/>
    <w:rsid w:val="006E5DCB"/>
    <w:rsid w:val="006E5E18"/>
    <w:rsid w:val="006E60C6"/>
    <w:rsid w:val="006E6344"/>
    <w:rsid w:val="006E640B"/>
    <w:rsid w:val="006E6441"/>
    <w:rsid w:val="006E64B8"/>
    <w:rsid w:val="006E675A"/>
    <w:rsid w:val="006E68F4"/>
    <w:rsid w:val="006E6F59"/>
    <w:rsid w:val="006E6FF9"/>
    <w:rsid w:val="006E7659"/>
    <w:rsid w:val="006E76A0"/>
    <w:rsid w:val="006E76DB"/>
    <w:rsid w:val="006E7877"/>
    <w:rsid w:val="006E7B4B"/>
    <w:rsid w:val="006E7D59"/>
    <w:rsid w:val="006E7F9D"/>
    <w:rsid w:val="006F0344"/>
    <w:rsid w:val="006F0462"/>
    <w:rsid w:val="006F0A37"/>
    <w:rsid w:val="006F124C"/>
    <w:rsid w:val="006F15E4"/>
    <w:rsid w:val="006F16FD"/>
    <w:rsid w:val="006F1714"/>
    <w:rsid w:val="006F172C"/>
    <w:rsid w:val="006F1849"/>
    <w:rsid w:val="006F18CB"/>
    <w:rsid w:val="006F192F"/>
    <w:rsid w:val="006F1C0F"/>
    <w:rsid w:val="006F1D60"/>
    <w:rsid w:val="006F1FEF"/>
    <w:rsid w:val="006F204B"/>
    <w:rsid w:val="006F2247"/>
    <w:rsid w:val="006F2827"/>
    <w:rsid w:val="006F29A9"/>
    <w:rsid w:val="006F2AFE"/>
    <w:rsid w:val="006F2B79"/>
    <w:rsid w:val="006F2C2C"/>
    <w:rsid w:val="006F2FF0"/>
    <w:rsid w:val="006F3123"/>
    <w:rsid w:val="006F343F"/>
    <w:rsid w:val="006F3770"/>
    <w:rsid w:val="006F39A2"/>
    <w:rsid w:val="006F3AAA"/>
    <w:rsid w:val="006F3F75"/>
    <w:rsid w:val="006F4055"/>
    <w:rsid w:val="006F4446"/>
    <w:rsid w:val="006F46C6"/>
    <w:rsid w:val="006F482D"/>
    <w:rsid w:val="006F4FAC"/>
    <w:rsid w:val="006F5245"/>
    <w:rsid w:val="006F5697"/>
    <w:rsid w:val="006F5DDC"/>
    <w:rsid w:val="006F607E"/>
    <w:rsid w:val="006F620D"/>
    <w:rsid w:val="006F69A3"/>
    <w:rsid w:val="006F6AFA"/>
    <w:rsid w:val="006F6BA7"/>
    <w:rsid w:val="006F6BBB"/>
    <w:rsid w:val="006F6D22"/>
    <w:rsid w:val="006F7074"/>
    <w:rsid w:val="006F730B"/>
    <w:rsid w:val="006F7660"/>
    <w:rsid w:val="006F775E"/>
    <w:rsid w:val="006F7855"/>
    <w:rsid w:val="006F7C07"/>
    <w:rsid w:val="00700125"/>
    <w:rsid w:val="007002AD"/>
    <w:rsid w:val="007004E8"/>
    <w:rsid w:val="00700572"/>
    <w:rsid w:val="00700615"/>
    <w:rsid w:val="007006E8"/>
    <w:rsid w:val="007007D3"/>
    <w:rsid w:val="0070096E"/>
    <w:rsid w:val="00700982"/>
    <w:rsid w:val="007009C4"/>
    <w:rsid w:val="00700BB7"/>
    <w:rsid w:val="00700C77"/>
    <w:rsid w:val="007016DA"/>
    <w:rsid w:val="00701702"/>
    <w:rsid w:val="00701772"/>
    <w:rsid w:val="00701B05"/>
    <w:rsid w:val="00701B48"/>
    <w:rsid w:val="00701BBF"/>
    <w:rsid w:val="00701D77"/>
    <w:rsid w:val="00701DCE"/>
    <w:rsid w:val="00702121"/>
    <w:rsid w:val="007025B3"/>
    <w:rsid w:val="00702703"/>
    <w:rsid w:val="00702A78"/>
    <w:rsid w:val="00702BF9"/>
    <w:rsid w:val="00702EB1"/>
    <w:rsid w:val="00702EEA"/>
    <w:rsid w:val="007033D2"/>
    <w:rsid w:val="007033D9"/>
    <w:rsid w:val="007034D1"/>
    <w:rsid w:val="00703C62"/>
    <w:rsid w:val="00703DBD"/>
    <w:rsid w:val="00704367"/>
    <w:rsid w:val="007044B9"/>
    <w:rsid w:val="0070477E"/>
    <w:rsid w:val="007047A0"/>
    <w:rsid w:val="00704970"/>
    <w:rsid w:val="00704CED"/>
    <w:rsid w:val="00704D61"/>
    <w:rsid w:val="00705013"/>
    <w:rsid w:val="007050F9"/>
    <w:rsid w:val="0070549A"/>
    <w:rsid w:val="007055FA"/>
    <w:rsid w:val="0070583C"/>
    <w:rsid w:val="007059D4"/>
    <w:rsid w:val="00705CB0"/>
    <w:rsid w:val="00705E1E"/>
    <w:rsid w:val="00705FB5"/>
    <w:rsid w:val="007062D1"/>
    <w:rsid w:val="00706543"/>
    <w:rsid w:val="00707438"/>
    <w:rsid w:val="00707DA2"/>
    <w:rsid w:val="00707DA3"/>
    <w:rsid w:val="00707EE4"/>
    <w:rsid w:val="0071010F"/>
    <w:rsid w:val="00710391"/>
    <w:rsid w:val="0071049B"/>
    <w:rsid w:val="00710506"/>
    <w:rsid w:val="0071068A"/>
    <w:rsid w:val="00710A70"/>
    <w:rsid w:val="00710E6C"/>
    <w:rsid w:val="00710FAD"/>
    <w:rsid w:val="00711414"/>
    <w:rsid w:val="0071163D"/>
    <w:rsid w:val="00711AFE"/>
    <w:rsid w:val="00711E02"/>
    <w:rsid w:val="00711F5B"/>
    <w:rsid w:val="0071200D"/>
    <w:rsid w:val="0071200F"/>
    <w:rsid w:val="00712102"/>
    <w:rsid w:val="007123A6"/>
    <w:rsid w:val="00712ACA"/>
    <w:rsid w:val="00712B5F"/>
    <w:rsid w:val="00712B74"/>
    <w:rsid w:val="00712BE1"/>
    <w:rsid w:val="00712CA9"/>
    <w:rsid w:val="00712D6D"/>
    <w:rsid w:val="007130CA"/>
    <w:rsid w:val="0071318C"/>
    <w:rsid w:val="00713BCC"/>
    <w:rsid w:val="007140F4"/>
    <w:rsid w:val="00714155"/>
    <w:rsid w:val="007148C8"/>
    <w:rsid w:val="00714BB2"/>
    <w:rsid w:val="00714C12"/>
    <w:rsid w:val="00714E7C"/>
    <w:rsid w:val="0071510D"/>
    <w:rsid w:val="0071538A"/>
    <w:rsid w:val="00715538"/>
    <w:rsid w:val="00715663"/>
    <w:rsid w:val="00715779"/>
    <w:rsid w:val="007157E1"/>
    <w:rsid w:val="00715840"/>
    <w:rsid w:val="00715A6C"/>
    <w:rsid w:val="00715C12"/>
    <w:rsid w:val="00715D95"/>
    <w:rsid w:val="00715FD4"/>
    <w:rsid w:val="00716705"/>
    <w:rsid w:val="00716785"/>
    <w:rsid w:val="00716A1A"/>
    <w:rsid w:val="00716AFC"/>
    <w:rsid w:val="00716DF5"/>
    <w:rsid w:val="00716F54"/>
    <w:rsid w:val="0071731B"/>
    <w:rsid w:val="00717708"/>
    <w:rsid w:val="00717B60"/>
    <w:rsid w:val="00717BED"/>
    <w:rsid w:val="007203FC"/>
    <w:rsid w:val="0072053D"/>
    <w:rsid w:val="007209B2"/>
    <w:rsid w:val="00720A36"/>
    <w:rsid w:val="00720A64"/>
    <w:rsid w:val="00720A98"/>
    <w:rsid w:val="00720D43"/>
    <w:rsid w:val="00721038"/>
    <w:rsid w:val="00721410"/>
    <w:rsid w:val="00721463"/>
    <w:rsid w:val="00721554"/>
    <w:rsid w:val="00721859"/>
    <w:rsid w:val="0072193C"/>
    <w:rsid w:val="00721AAB"/>
    <w:rsid w:val="00721BAE"/>
    <w:rsid w:val="00721C5E"/>
    <w:rsid w:val="00721FC6"/>
    <w:rsid w:val="0072235C"/>
    <w:rsid w:val="0072237A"/>
    <w:rsid w:val="00722843"/>
    <w:rsid w:val="00722E51"/>
    <w:rsid w:val="0072301D"/>
    <w:rsid w:val="00723026"/>
    <w:rsid w:val="00723526"/>
    <w:rsid w:val="00723A14"/>
    <w:rsid w:val="0072452E"/>
    <w:rsid w:val="0072477E"/>
    <w:rsid w:val="00724BC3"/>
    <w:rsid w:val="00724E13"/>
    <w:rsid w:val="00724E5E"/>
    <w:rsid w:val="0072545F"/>
    <w:rsid w:val="007256F0"/>
    <w:rsid w:val="00725C79"/>
    <w:rsid w:val="00725DB9"/>
    <w:rsid w:val="00725E74"/>
    <w:rsid w:val="00725E79"/>
    <w:rsid w:val="00726034"/>
    <w:rsid w:val="007261EC"/>
    <w:rsid w:val="00726567"/>
    <w:rsid w:val="00726B0B"/>
    <w:rsid w:val="00726C4A"/>
    <w:rsid w:val="00726DCD"/>
    <w:rsid w:val="0072730E"/>
    <w:rsid w:val="00727390"/>
    <w:rsid w:val="0072768B"/>
    <w:rsid w:val="00727729"/>
    <w:rsid w:val="007277A9"/>
    <w:rsid w:val="00727875"/>
    <w:rsid w:val="00727A30"/>
    <w:rsid w:val="00727C8A"/>
    <w:rsid w:val="00730280"/>
    <w:rsid w:val="007302BC"/>
    <w:rsid w:val="00730379"/>
    <w:rsid w:val="00730400"/>
    <w:rsid w:val="00730798"/>
    <w:rsid w:val="0073081E"/>
    <w:rsid w:val="00730870"/>
    <w:rsid w:val="00730875"/>
    <w:rsid w:val="00730BC3"/>
    <w:rsid w:val="0073130A"/>
    <w:rsid w:val="007313F9"/>
    <w:rsid w:val="007314B0"/>
    <w:rsid w:val="0073155A"/>
    <w:rsid w:val="00731565"/>
    <w:rsid w:val="00731807"/>
    <w:rsid w:val="00731EE5"/>
    <w:rsid w:val="007329D8"/>
    <w:rsid w:val="00732E66"/>
    <w:rsid w:val="00732F6D"/>
    <w:rsid w:val="00733230"/>
    <w:rsid w:val="007333BF"/>
    <w:rsid w:val="0073370F"/>
    <w:rsid w:val="00733763"/>
    <w:rsid w:val="00733839"/>
    <w:rsid w:val="007338AA"/>
    <w:rsid w:val="00733A83"/>
    <w:rsid w:val="00733AD0"/>
    <w:rsid w:val="00733C03"/>
    <w:rsid w:val="00733F97"/>
    <w:rsid w:val="0073464C"/>
    <w:rsid w:val="007349C5"/>
    <w:rsid w:val="00734C46"/>
    <w:rsid w:val="00734D5D"/>
    <w:rsid w:val="00734F7A"/>
    <w:rsid w:val="007353CF"/>
    <w:rsid w:val="00735648"/>
    <w:rsid w:val="00735AD5"/>
    <w:rsid w:val="00735CF5"/>
    <w:rsid w:val="0073610C"/>
    <w:rsid w:val="00736289"/>
    <w:rsid w:val="007363A8"/>
    <w:rsid w:val="007364B6"/>
    <w:rsid w:val="007364BC"/>
    <w:rsid w:val="0073671A"/>
    <w:rsid w:val="0073681D"/>
    <w:rsid w:val="00736BF3"/>
    <w:rsid w:val="00737122"/>
    <w:rsid w:val="00737149"/>
    <w:rsid w:val="007373D4"/>
    <w:rsid w:val="007374F9"/>
    <w:rsid w:val="00737A0F"/>
    <w:rsid w:val="00737DD5"/>
    <w:rsid w:val="00740092"/>
    <w:rsid w:val="007405A9"/>
    <w:rsid w:val="007405B8"/>
    <w:rsid w:val="0074074C"/>
    <w:rsid w:val="007409CF"/>
    <w:rsid w:val="00740B9A"/>
    <w:rsid w:val="00740D7F"/>
    <w:rsid w:val="00740DF7"/>
    <w:rsid w:val="00741127"/>
    <w:rsid w:val="007413E7"/>
    <w:rsid w:val="007414F5"/>
    <w:rsid w:val="00741531"/>
    <w:rsid w:val="007415F0"/>
    <w:rsid w:val="0074166C"/>
    <w:rsid w:val="00741670"/>
    <w:rsid w:val="00741998"/>
    <w:rsid w:val="007420ED"/>
    <w:rsid w:val="00742286"/>
    <w:rsid w:val="007424EC"/>
    <w:rsid w:val="007426AD"/>
    <w:rsid w:val="00742826"/>
    <w:rsid w:val="0074283D"/>
    <w:rsid w:val="00742F3B"/>
    <w:rsid w:val="007430DB"/>
    <w:rsid w:val="00743215"/>
    <w:rsid w:val="007434AF"/>
    <w:rsid w:val="007438C6"/>
    <w:rsid w:val="00743ED5"/>
    <w:rsid w:val="00744259"/>
    <w:rsid w:val="007442EB"/>
    <w:rsid w:val="007449D3"/>
    <w:rsid w:val="00744C2B"/>
    <w:rsid w:val="00744DD9"/>
    <w:rsid w:val="00744EB1"/>
    <w:rsid w:val="0074505A"/>
    <w:rsid w:val="007453A7"/>
    <w:rsid w:val="00745C4A"/>
    <w:rsid w:val="00745F93"/>
    <w:rsid w:val="0074633A"/>
    <w:rsid w:val="00746767"/>
    <w:rsid w:val="00746789"/>
    <w:rsid w:val="00746B63"/>
    <w:rsid w:val="00747076"/>
    <w:rsid w:val="00747257"/>
    <w:rsid w:val="0074767D"/>
    <w:rsid w:val="007478F0"/>
    <w:rsid w:val="00747C65"/>
    <w:rsid w:val="00747EAA"/>
    <w:rsid w:val="00747F26"/>
    <w:rsid w:val="007505FD"/>
    <w:rsid w:val="00750602"/>
    <w:rsid w:val="0075061B"/>
    <w:rsid w:val="0075068D"/>
    <w:rsid w:val="0075088B"/>
    <w:rsid w:val="007509F5"/>
    <w:rsid w:val="00750C36"/>
    <w:rsid w:val="00750D56"/>
    <w:rsid w:val="00750E64"/>
    <w:rsid w:val="00750FF5"/>
    <w:rsid w:val="007510E7"/>
    <w:rsid w:val="00751176"/>
    <w:rsid w:val="007512CD"/>
    <w:rsid w:val="0075136D"/>
    <w:rsid w:val="007514E8"/>
    <w:rsid w:val="00751989"/>
    <w:rsid w:val="00751EDA"/>
    <w:rsid w:val="00751F2B"/>
    <w:rsid w:val="0075244C"/>
    <w:rsid w:val="007524B9"/>
    <w:rsid w:val="007529BB"/>
    <w:rsid w:val="007529FC"/>
    <w:rsid w:val="00752D6A"/>
    <w:rsid w:val="00752FBF"/>
    <w:rsid w:val="007533AA"/>
    <w:rsid w:val="007534D5"/>
    <w:rsid w:val="00753699"/>
    <w:rsid w:val="007538BC"/>
    <w:rsid w:val="00753A26"/>
    <w:rsid w:val="007540F0"/>
    <w:rsid w:val="00754165"/>
    <w:rsid w:val="007542B6"/>
    <w:rsid w:val="00754426"/>
    <w:rsid w:val="007547B6"/>
    <w:rsid w:val="00754C14"/>
    <w:rsid w:val="00754C50"/>
    <w:rsid w:val="00754F38"/>
    <w:rsid w:val="00754FB7"/>
    <w:rsid w:val="00755310"/>
    <w:rsid w:val="007556B1"/>
    <w:rsid w:val="007556DD"/>
    <w:rsid w:val="007559FB"/>
    <w:rsid w:val="00755CDD"/>
    <w:rsid w:val="00755F38"/>
    <w:rsid w:val="00756340"/>
    <w:rsid w:val="00756659"/>
    <w:rsid w:val="00756BD6"/>
    <w:rsid w:val="00756CBC"/>
    <w:rsid w:val="00756EE8"/>
    <w:rsid w:val="00756F08"/>
    <w:rsid w:val="00757094"/>
    <w:rsid w:val="007572E2"/>
    <w:rsid w:val="00757475"/>
    <w:rsid w:val="00757608"/>
    <w:rsid w:val="00757E53"/>
    <w:rsid w:val="00757FF7"/>
    <w:rsid w:val="00760369"/>
    <w:rsid w:val="00760532"/>
    <w:rsid w:val="00760545"/>
    <w:rsid w:val="00760BE0"/>
    <w:rsid w:val="00760C5A"/>
    <w:rsid w:val="00760E08"/>
    <w:rsid w:val="0076150B"/>
    <w:rsid w:val="0076171D"/>
    <w:rsid w:val="007621AA"/>
    <w:rsid w:val="0076227D"/>
    <w:rsid w:val="0076242C"/>
    <w:rsid w:val="00762529"/>
    <w:rsid w:val="007625EA"/>
    <w:rsid w:val="007628FD"/>
    <w:rsid w:val="00762D73"/>
    <w:rsid w:val="00763068"/>
    <w:rsid w:val="0076337F"/>
    <w:rsid w:val="00763384"/>
    <w:rsid w:val="0076362D"/>
    <w:rsid w:val="007636CF"/>
    <w:rsid w:val="007641A8"/>
    <w:rsid w:val="007641FE"/>
    <w:rsid w:val="00764674"/>
    <w:rsid w:val="0076478E"/>
    <w:rsid w:val="007647FB"/>
    <w:rsid w:val="0076494E"/>
    <w:rsid w:val="007649B6"/>
    <w:rsid w:val="00764AD2"/>
    <w:rsid w:val="00764B57"/>
    <w:rsid w:val="00764C94"/>
    <w:rsid w:val="00764D9D"/>
    <w:rsid w:val="007652CE"/>
    <w:rsid w:val="0076530F"/>
    <w:rsid w:val="00765AD8"/>
    <w:rsid w:val="00765DFC"/>
    <w:rsid w:val="00766189"/>
    <w:rsid w:val="0076624B"/>
    <w:rsid w:val="007662E4"/>
    <w:rsid w:val="00766651"/>
    <w:rsid w:val="007666F6"/>
    <w:rsid w:val="00766905"/>
    <w:rsid w:val="00766912"/>
    <w:rsid w:val="0076783C"/>
    <w:rsid w:val="007679B1"/>
    <w:rsid w:val="00767C0C"/>
    <w:rsid w:val="00767FD7"/>
    <w:rsid w:val="00770145"/>
    <w:rsid w:val="007702AD"/>
    <w:rsid w:val="00770541"/>
    <w:rsid w:val="00770752"/>
    <w:rsid w:val="00770834"/>
    <w:rsid w:val="00770A7A"/>
    <w:rsid w:val="00770B55"/>
    <w:rsid w:val="00770CE0"/>
    <w:rsid w:val="00770FF6"/>
    <w:rsid w:val="00771295"/>
    <w:rsid w:val="007715DF"/>
    <w:rsid w:val="00771866"/>
    <w:rsid w:val="0077191F"/>
    <w:rsid w:val="00771983"/>
    <w:rsid w:val="00771A28"/>
    <w:rsid w:val="00771B38"/>
    <w:rsid w:val="00771DAF"/>
    <w:rsid w:val="0077209B"/>
    <w:rsid w:val="007727B9"/>
    <w:rsid w:val="00772B56"/>
    <w:rsid w:val="00773069"/>
    <w:rsid w:val="0077321B"/>
    <w:rsid w:val="007733AA"/>
    <w:rsid w:val="007735B1"/>
    <w:rsid w:val="007737C3"/>
    <w:rsid w:val="007741DE"/>
    <w:rsid w:val="007741FD"/>
    <w:rsid w:val="007743EF"/>
    <w:rsid w:val="007744E0"/>
    <w:rsid w:val="00774527"/>
    <w:rsid w:val="00774A60"/>
    <w:rsid w:val="00774BE5"/>
    <w:rsid w:val="00774EE4"/>
    <w:rsid w:val="00774FF1"/>
    <w:rsid w:val="007759E4"/>
    <w:rsid w:val="00775C53"/>
    <w:rsid w:val="00775D9C"/>
    <w:rsid w:val="00775F96"/>
    <w:rsid w:val="00775FA8"/>
    <w:rsid w:val="00776186"/>
    <w:rsid w:val="0077632E"/>
    <w:rsid w:val="0077657F"/>
    <w:rsid w:val="007765F4"/>
    <w:rsid w:val="007766C8"/>
    <w:rsid w:val="00776AA2"/>
    <w:rsid w:val="00776D22"/>
    <w:rsid w:val="007773DD"/>
    <w:rsid w:val="007775A8"/>
    <w:rsid w:val="0077774F"/>
    <w:rsid w:val="00777821"/>
    <w:rsid w:val="007779CD"/>
    <w:rsid w:val="00777A95"/>
    <w:rsid w:val="00777FCF"/>
    <w:rsid w:val="00777FED"/>
    <w:rsid w:val="0078012D"/>
    <w:rsid w:val="007802A2"/>
    <w:rsid w:val="007802A9"/>
    <w:rsid w:val="007803FE"/>
    <w:rsid w:val="00780659"/>
    <w:rsid w:val="0078070E"/>
    <w:rsid w:val="0078078F"/>
    <w:rsid w:val="0078087A"/>
    <w:rsid w:val="007809B8"/>
    <w:rsid w:val="00780ABE"/>
    <w:rsid w:val="00780B4E"/>
    <w:rsid w:val="00780FC4"/>
    <w:rsid w:val="0078154A"/>
    <w:rsid w:val="007816CA"/>
    <w:rsid w:val="00781A56"/>
    <w:rsid w:val="00781D28"/>
    <w:rsid w:val="00781F10"/>
    <w:rsid w:val="007820D0"/>
    <w:rsid w:val="007821AC"/>
    <w:rsid w:val="007826AC"/>
    <w:rsid w:val="007829C7"/>
    <w:rsid w:val="00782D52"/>
    <w:rsid w:val="00782E1E"/>
    <w:rsid w:val="007830C9"/>
    <w:rsid w:val="00783A94"/>
    <w:rsid w:val="00783B98"/>
    <w:rsid w:val="0078413A"/>
    <w:rsid w:val="00784202"/>
    <w:rsid w:val="00784626"/>
    <w:rsid w:val="007847D6"/>
    <w:rsid w:val="007848CA"/>
    <w:rsid w:val="00784B41"/>
    <w:rsid w:val="0078534E"/>
    <w:rsid w:val="007853FA"/>
    <w:rsid w:val="007857AE"/>
    <w:rsid w:val="007859CD"/>
    <w:rsid w:val="00785B98"/>
    <w:rsid w:val="00785C54"/>
    <w:rsid w:val="00785F70"/>
    <w:rsid w:val="0078610B"/>
    <w:rsid w:val="007861B1"/>
    <w:rsid w:val="007861CA"/>
    <w:rsid w:val="007864DB"/>
    <w:rsid w:val="0078664F"/>
    <w:rsid w:val="00786B8A"/>
    <w:rsid w:val="00786CB0"/>
    <w:rsid w:val="00786E8F"/>
    <w:rsid w:val="0078709B"/>
    <w:rsid w:val="007872B4"/>
    <w:rsid w:val="00787656"/>
    <w:rsid w:val="0078773B"/>
    <w:rsid w:val="00787B78"/>
    <w:rsid w:val="00787E88"/>
    <w:rsid w:val="00790352"/>
    <w:rsid w:val="007903E5"/>
    <w:rsid w:val="00790CCF"/>
    <w:rsid w:val="00790EE4"/>
    <w:rsid w:val="00790FA6"/>
    <w:rsid w:val="00791099"/>
    <w:rsid w:val="007911EF"/>
    <w:rsid w:val="00791660"/>
    <w:rsid w:val="0079198C"/>
    <w:rsid w:val="00791A2C"/>
    <w:rsid w:val="00792534"/>
    <w:rsid w:val="0079292E"/>
    <w:rsid w:val="00792C8E"/>
    <w:rsid w:val="00792E75"/>
    <w:rsid w:val="00793434"/>
    <w:rsid w:val="0079345E"/>
    <w:rsid w:val="00793BF1"/>
    <w:rsid w:val="00793E34"/>
    <w:rsid w:val="00793F32"/>
    <w:rsid w:val="00794352"/>
    <w:rsid w:val="00794471"/>
    <w:rsid w:val="0079457D"/>
    <w:rsid w:val="00794839"/>
    <w:rsid w:val="00794B22"/>
    <w:rsid w:val="00794B8F"/>
    <w:rsid w:val="00794B91"/>
    <w:rsid w:val="00794F33"/>
    <w:rsid w:val="0079530B"/>
    <w:rsid w:val="007954F8"/>
    <w:rsid w:val="0079561F"/>
    <w:rsid w:val="0079593D"/>
    <w:rsid w:val="00795A2E"/>
    <w:rsid w:val="00796982"/>
    <w:rsid w:val="00796EC8"/>
    <w:rsid w:val="00797C14"/>
    <w:rsid w:val="007A04C1"/>
    <w:rsid w:val="007A0B04"/>
    <w:rsid w:val="007A0BBE"/>
    <w:rsid w:val="007A0BF6"/>
    <w:rsid w:val="007A0C74"/>
    <w:rsid w:val="007A0D17"/>
    <w:rsid w:val="007A0E2F"/>
    <w:rsid w:val="007A1109"/>
    <w:rsid w:val="007A120B"/>
    <w:rsid w:val="007A1225"/>
    <w:rsid w:val="007A152F"/>
    <w:rsid w:val="007A1795"/>
    <w:rsid w:val="007A189D"/>
    <w:rsid w:val="007A1B2F"/>
    <w:rsid w:val="007A1B4E"/>
    <w:rsid w:val="007A1B67"/>
    <w:rsid w:val="007A1CE4"/>
    <w:rsid w:val="007A1D0C"/>
    <w:rsid w:val="007A1F10"/>
    <w:rsid w:val="007A2077"/>
    <w:rsid w:val="007A2335"/>
    <w:rsid w:val="007A260B"/>
    <w:rsid w:val="007A2ABE"/>
    <w:rsid w:val="007A2D25"/>
    <w:rsid w:val="007A2D5F"/>
    <w:rsid w:val="007A3082"/>
    <w:rsid w:val="007A31BE"/>
    <w:rsid w:val="007A33F1"/>
    <w:rsid w:val="007A34D0"/>
    <w:rsid w:val="007A3534"/>
    <w:rsid w:val="007A36C3"/>
    <w:rsid w:val="007A3724"/>
    <w:rsid w:val="007A37CB"/>
    <w:rsid w:val="007A3885"/>
    <w:rsid w:val="007A3AA6"/>
    <w:rsid w:val="007A3AAA"/>
    <w:rsid w:val="007A3FCC"/>
    <w:rsid w:val="007A4104"/>
    <w:rsid w:val="007A4B06"/>
    <w:rsid w:val="007A4C5F"/>
    <w:rsid w:val="007A4DAA"/>
    <w:rsid w:val="007A5371"/>
    <w:rsid w:val="007A53A2"/>
    <w:rsid w:val="007A5764"/>
    <w:rsid w:val="007A5D4A"/>
    <w:rsid w:val="007A62D9"/>
    <w:rsid w:val="007A6427"/>
    <w:rsid w:val="007A66AD"/>
    <w:rsid w:val="007A6948"/>
    <w:rsid w:val="007A6B39"/>
    <w:rsid w:val="007A70CD"/>
    <w:rsid w:val="007A7593"/>
    <w:rsid w:val="007A76C5"/>
    <w:rsid w:val="007A7701"/>
    <w:rsid w:val="007A7B43"/>
    <w:rsid w:val="007A7C58"/>
    <w:rsid w:val="007A7EA2"/>
    <w:rsid w:val="007B0696"/>
    <w:rsid w:val="007B0951"/>
    <w:rsid w:val="007B0C1B"/>
    <w:rsid w:val="007B0E81"/>
    <w:rsid w:val="007B0F2E"/>
    <w:rsid w:val="007B12DB"/>
    <w:rsid w:val="007B1320"/>
    <w:rsid w:val="007B17A4"/>
    <w:rsid w:val="007B188A"/>
    <w:rsid w:val="007B1A47"/>
    <w:rsid w:val="007B1C3E"/>
    <w:rsid w:val="007B1D66"/>
    <w:rsid w:val="007B2058"/>
    <w:rsid w:val="007B2A76"/>
    <w:rsid w:val="007B2B8F"/>
    <w:rsid w:val="007B2EEC"/>
    <w:rsid w:val="007B2F50"/>
    <w:rsid w:val="007B2F6C"/>
    <w:rsid w:val="007B3018"/>
    <w:rsid w:val="007B3291"/>
    <w:rsid w:val="007B34E8"/>
    <w:rsid w:val="007B365A"/>
    <w:rsid w:val="007B36B8"/>
    <w:rsid w:val="007B36FC"/>
    <w:rsid w:val="007B38F9"/>
    <w:rsid w:val="007B3EE7"/>
    <w:rsid w:val="007B416C"/>
    <w:rsid w:val="007B42BA"/>
    <w:rsid w:val="007B4820"/>
    <w:rsid w:val="007B4A12"/>
    <w:rsid w:val="007B4C37"/>
    <w:rsid w:val="007B4C86"/>
    <w:rsid w:val="007B5185"/>
    <w:rsid w:val="007B536C"/>
    <w:rsid w:val="007B543D"/>
    <w:rsid w:val="007B5459"/>
    <w:rsid w:val="007B5AF0"/>
    <w:rsid w:val="007B5BA1"/>
    <w:rsid w:val="007B5DA6"/>
    <w:rsid w:val="007B60CB"/>
    <w:rsid w:val="007B60D5"/>
    <w:rsid w:val="007B6943"/>
    <w:rsid w:val="007B6C1B"/>
    <w:rsid w:val="007B6C1F"/>
    <w:rsid w:val="007B6C54"/>
    <w:rsid w:val="007B6C59"/>
    <w:rsid w:val="007B7009"/>
    <w:rsid w:val="007B727E"/>
    <w:rsid w:val="007B763D"/>
    <w:rsid w:val="007B7675"/>
    <w:rsid w:val="007B76D3"/>
    <w:rsid w:val="007B7A0C"/>
    <w:rsid w:val="007B7AB7"/>
    <w:rsid w:val="007B7CC2"/>
    <w:rsid w:val="007B7DEC"/>
    <w:rsid w:val="007B7F01"/>
    <w:rsid w:val="007C00A9"/>
    <w:rsid w:val="007C0151"/>
    <w:rsid w:val="007C027C"/>
    <w:rsid w:val="007C03C9"/>
    <w:rsid w:val="007C03D9"/>
    <w:rsid w:val="007C0559"/>
    <w:rsid w:val="007C06F2"/>
    <w:rsid w:val="007C07EF"/>
    <w:rsid w:val="007C0A27"/>
    <w:rsid w:val="007C1D0B"/>
    <w:rsid w:val="007C2077"/>
    <w:rsid w:val="007C221C"/>
    <w:rsid w:val="007C221E"/>
    <w:rsid w:val="007C2923"/>
    <w:rsid w:val="007C2935"/>
    <w:rsid w:val="007C2BFE"/>
    <w:rsid w:val="007C2F7C"/>
    <w:rsid w:val="007C3260"/>
    <w:rsid w:val="007C32AD"/>
    <w:rsid w:val="007C338F"/>
    <w:rsid w:val="007C3423"/>
    <w:rsid w:val="007C3545"/>
    <w:rsid w:val="007C35C0"/>
    <w:rsid w:val="007C35D0"/>
    <w:rsid w:val="007C35D8"/>
    <w:rsid w:val="007C37F9"/>
    <w:rsid w:val="007C3CE5"/>
    <w:rsid w:val="007C3D0C"/>
    <w:rsid w:val="007C3E85"/>
    <w:rsid w:val="007C3F12"/>
    <w:rsid w:val="007C41AF"/>
    <w:rsid w:val="007C43D7"/>
    <w:rsid w:val="007C44CF"/>
    <w:rsid w:val="007C47E5"/>
    <w:rsid w:val="007C4AAE"/>
    <w:rsid w:val="007C4DDC"/>
    <w:rsid w:val="007C4E74"/>
    <w:rsid w:val="007C51D2"/>
    <w:rsid w:val="007C5833"/>
    <w:rsid w:val="007C59D7"/>
    <w:rsid w:val="007C62CD"/>
    <w:rsid w:val="007C6993"/>
    <w:rsid w:val="007C69AC"/>
    <w:rsid w:val="007C6FE0"/>
    <w:rsid w:val="007C7110"/>
    <w:rsid w:val="007C716F"/>
    <w:rsid w:val="007C723F"/>
    <w:rsid w:val="007C759D"/>
    <w:rsid w:val="007C79B9"/>
    <w:rsid w:val="007C7C39"/>
    <w:rsid w:val="007C7C5F"/>
    <w:rsid w:val="007D00D9"/>
    <w:rsid w:val="007D00FB"/>
    <w:rsid w:val="007D0215"/>
    <w:rsid w:val="007D0649"/>
    <w:rsid w:val="007D06A6"/>
    <w:rsid w:val="007D09C9"/>
    <w:rsid w:val="007D0B02"/>
    <w:rsid w:val="007D107C"/>
    <w:rsid w:val="007D1327"/>
    <w:rsid w:val="007D13EF"/>
    <w:rsid w:val="007D1798"/>
    <w:rsid w:val="007D1824"/>
    <w:rsid w:val="007D200B"/>
    <w:rsid w:val="007D2144"/>
    <w:rsid w:val="007D2545"/>
    <w:rsid w:val="007D2722"/>
    <w:rsid w:val="007D27DD"/>
    <w:rsid w:val="007D29B2"/>
    <w:rsid w:val="007D2BB3"/>
    <w:rsid w:val="007D31E2"/>
    <w:rsid w:val="007D330D"/>
    <w:rsid w:val="007D342E"/>
    <w:rsid w:val="007D3748"/>
    <w:rsid w:val="007D375D"/>
    <w:rsid w:val="007D38BF"/>
    <w:rsid w:val="007D3BB5"/>
    <w:rsid w:val="007D3FCC"/>
    <w:rsid w:val="007D4158"/>
    <w:rsid w:val="007D4401"/>
    <w:rsid w:val="007D441B"/>
    <w:rsid w:val="007D4675"/>
    <w:rsid w:val="007D49B4"/>
    <w:rsid w:val="007D4E8E"/>
    <w:rsid w:val="007D50CA"/>
    <w:rsid w:val="007D535D"/>
    <w:rsid w:val="007D55DE"/>
    <w:rsid w:val="007D587B"/>
    <w:rsid w:val="007D5950"/>
    <w:rsid w:val="007D5E85"/>
    <w:rsid w:val="007D60CE"/>
    <w:rsid w:val="007D625F"/>
    <w:rsid w:val="007D62EA"/>
    <w:rsid w:val="007D6895"/>
    <w:rsid w:val="007D6A11"/>
    <w:rsid w:val="007D6CE9"/>
    <w:rsid w:val="007D6F4A"/>
    <w:rsid w:val="007D71AE"/>
    <w:rsid w:val="007D71EC"/>
    <w:rsid w:val="007D7312"/>
    <w:rsid w:val="007D73E8"/>
    <w:rsid w:val="007D73F6"/>
    <w:rsid w:val="007E04EE"/>
    <w:rsid w:val="007E0917"/>
    <w:rsid w:val="007E0AF9"/>
    <w:rsid w:val="007E0CC8"/>
    <w:rsid w:val="007E0D66"/>
    <w:rsid w:val="007E10BD"/>
    <w:rsid w:val="007E11DC"/>
    <w:rsid w:val="007E1246"/>
    <w:rsid w:val="007E128B"/>
    <w:rsid w:val="007E16D4"/>
    <w:rsid w:val="007E1E7F"/>
    <w:rsid w:val="007E2861"/>
    <w:rsid w:val="007E2B61"/>
    <w:rsid w:val="007E2C77"/>
    <w:rsid w:val="007E2ED0"/>
    <w:rsid w:val="007E39A3"/>
    <w:rsid w:val="007E39FA"/>
    <w:rsid w:val="007E496F"/>
    <w:rsid w:val="007E4BD9"/>
    <w:rsid w:val="007E4C65"/>
    <w:rsid w:val="007E4E27"/>
    <w:rsid w:val="007E55FC"/>
    <w:rsid w:val="007E565F"/>
    <w:rsid w:val="007E576D"/>
    <w:rsid w:val="007E61C9"/>
    <w:rsid w:val="007E68F0"/>
    <w:rsid w:val="007E6F46"/>
    <w:rsid w:val="007E6FC0"/>
    <w:rsid w:val="007E70D3"/>
    <w:rsid w:val="007E76A9"/>
    <w:rsid w:val="007E7725"/>
    <w:rsid w:val="007E7E55"/>
    <w:rsid w:val="007F0782"/>
    <w:rsid w:val="007F08C3"/>
    <w:rsid w:val="007F0A96"/>
    <w:rsid w:val="007F0CA8"/>
    <w:rsid w:val="007F175F"/>
    <w:rsid w:val="007F1A5A"/>
    <w:rsid w:val="007F1C17"/>
    <w:rsid w:val="007F1E6C"/>
    <w:rsid w:val="007F235B"/>
    <w:rsid w:val="007F2451"/>
    <w:rsid w:val="007F24CF"/>
    <w:rsid w:val="007F25B7"/>
    <w:rsid w:val="007F2AF9"/>
    <w:rsid w:val="007F2BC7"/>
    <w:rsid w:val="007F2CAB"/>
    <w:rsid w:val="007F2CBE"/>
    <w:rsid w:val="007F327E"/>
    <w:rsid w:val="007F33AF"/>
    <w:rsid w:val="007F343F"/>
    <w:rsid w:val="007F3595"/>
    <w:rsid w:val="007F39ED"/>
    <w:rsid w:val="007F411F"/>
    <w:rsid w:val="007F428E"/>
    <w:rsid w:val="007F45A0"/>
    <w:rsid w:val="007F489C"/>
    <w:rsid w:val="007F4F2B"/>
    <w:rsid w:val="007F4FE0"/>
    <w:rsid w:val="007F51AB"/>
    <w:rsid w:val="007F5423"/>
    <w:rsid w:val="007F5733"/>
    <w:rsid w:val="007F5AB3"/>
    <w:rsid w:val="007F5CF8"/>
    <w:rsid w:val="007F5D52"/>
    <w:rsid w:val="007F5F49"/>
    <w:rsid w:val="007F5FC4"/>
    <w:rsid w:val="007F6451"/>
    <w:rsid w:val="007F64F5"/>
    <w:rsid w:val="007F6C41"/>
    <w:rsid w:val="007F70F9"/>
    <w:rsid w:val="007F716F"/>
    <w:rsid w:val="007F7300"/>
    <w:rsid w:val="007F7FDB"/>
    <w:rsid w:val="00800116"/>
    <w:rsid w:val="0080079B"/>
    <w:rsid w:val="00800803"/>
    <w:rsid w:val="00800844"/>
    <w:rsid w:val="00800A39"/>
    <w:rsid w:val="00800AD5"/>
    <w:rsid w:val="00800C5C"/>
    <w:rsid w:val="00800F29"/>
    <w:rsid w:val="00801105"/>
    <w:rsid w:val="00801293"/>
    <w:rsid w:val="0080145D"/>
    <w:rsid w:val="00801F32"/>
    <w:rsid w:val="0080230C"/>
    <w:rsid w:val="0080258E"/>
    <w:rsid w:val="00802648"/>
    <w:rsid w:val="0080275F"/>
    <w:rsid w:val="00802D64"/>
    <w:rsid w:val="00802E71"/>
    <w:rsid w:val="00803127"/>
    <w:rsid w:val="008031FF"/>
    <w:rsid w:val="008035BB"/>
    <w:rsid w:val="008036BB"/>
    <w:rsid w:val="0080373B"/>
    <w:rsid w:val="00803B2D"/>
    <w:rsid w:val="00803D4F"/>
    <w:rsid w:val="00804002"/>
    <w:rsid w:val="00804169"/>
    <w:rsid w:val="0080442A"/>
    <w:rsid w:val="00804447"/>
    <w:rsid w:val="008045E1"/>
    <w:rsid w:val="0080499D"/>
    <w:rsid w:val="008049B1"/>
    <w:rsid w:val="00804A48"/>
    <w:rsid w:val="0080527B"/>
    <w:rsid w:val="00805C0E"/>
    <w:rsid w:val="00805C2B"/>
    <w:rsid w:val="00805CCC"/>
    <w:rsid w:val="00805E08"/>
    <w:rsid w:val="00805EA8"/>
    <w:rsid w:val="008061C6"/>
    <w:rsid w:val="00806367"/>
    <w:rsid w:val="00806BD2"/>
    <w:rsid w:val="00807139"/>
    <w:rsid w:val="00807273"/>
    <w:rsid w:val="008072A5"/>
    <w:rsid w:val="008073AB"/>
    <w:rsid w:val="008077AB"/>
    <w:rsid w:val="0080781E"/>
    <w:rsid w:val="00807849"/>
    <w:rsid w:val="0080793D"/>
    <w:rsid w:val="00807AA2"/>
    <w:rsid w:val="00807B6A"/>
    <w:rsid w:val="00807F6A"/>
    <w:rsid w:val="008105A6"/>
    <w:rsid w:val="00810BB9"/>
    <w:rsid w:val="00811076"/>
    <w:rsid w:val="00811315"/>
    <w:rsid w:val="00811359"/>
    <w:rsid w:val="008114BA"/>
    <w:rsid w:val="0081188C"/>
    <w:rsid w:val="00811C5C"/>
    <w:rsid w:val="00811D74"/>
    <w:rsid w:val="00811F30"/>
    <w:rsid w:val="00811F9B"/>
    <w:rsid w:val="00811FE6"/>
    <w:rsid w:val="00811FFE"/>
    <w:rsid w:val="0081215E"/>
    <w:rsid w:val="00812282"/>
    <w:rsid w:val="00812380"/>
    <w:rsid w:val="00812593"/>
    <w:rsid w:val="008127BE"/>
    <w:rsid w:val="00812813"/>
    <w:rsid w:val="008128E8"/>
    <w:rsid w:val="00812A99"/>
    <w:rsid w:val="00812B22"/>
    <w:rsid w:val="00812B2C"/>
    <w:rsid w:val="00812CA7"/>
    <w:rsid w:val="00812DF6"/>
    <w:rsid w:val="008133C0"/>
    <w:rsid w:val="008135AF"/>
    <w:rsid w:val="008135C7"/>
    <w:rsid w:val="00813683"/>
    <w:rsid w:val="0081371F"/>
    <w:rsid w:val="00813C72"/>
    <w:rsid w:val="00813F1B"/>
    <w:rsid w:val="00814471"/>
    <w:rsid w:val="0081498E"/>
    <w:rsid w:val="00814A7D"/>
    <w:rsid w:val="00814EE2"/>
    <w:rsid w:val="00814F5D"/>
    <w:rsid w:val="00815100"/>
    <w:rsid w:val="008154EC"/>
    <w:rsid w:val="00815610"/>
    <w:rsid w:val="00815641"/>
    <w:rsid w:val="0081577A"/>
    <w:rsid w:val="008158C5"/>
    <w:rsid w:val="00815A09"/>
    <w:rsid w:val="00815BCB"/>
    <w:rsid w:val="00815EDC"/>
    <w:rsid w:val="00816C8C"/>
    <w:rsid w:val="00816CEC"/>
    <w:rsid w:val="00816DC9"/>
    <w:rsid w:val="0081702C"/>
    <w:rsid w:val="00817537"/>
    <w:rsid w:val="008175B9"/>
    <w:rsid w:val="0081771E"/>
    <w:rsid w:val="0081797A"/>
    <w:rsid w:val="0082020C"/>
    <w:rsid w:val="008202BC"/>
    <w:rsid w:val="008205D1"/>
    <w:rsid w:val="00820679"/>
    <w:rsid w:val="008207D6"/>
    <w:rsid w:val="008208C7"/>
    <w:rsid w:val="008209B8"/>
    <w:rsid w:val="00820CD2"/>
    <w:rsid w:val="00820DB1"/>
    <w:rsid w:val="00821107"/>
    <w:rsid w:val="008211AC"/>
    <w:rsid w:val="00821268"/>
    <w:rsid w:val="0082127A"/>
    <w:rsid w:val="008212C2"/>
    <w:rsid w:val="00821589"/>
    <w:rsid w:val="008218F9"/>
    <w:rsid w:val="00821F74"/>
    <w:rsid w:val="00822133"/>
    <w:rsid w:val="00822AD3"/>
    <w:rsid w:val="00822FDA"/>
    <w:rsid w:val="00823056"/>
    <w:rsid w:val="00823429"/>
    <w:rsid w:val="008239BE"/>
    <w:rsid w:val="00823AC1"/>
    <w:rsid w:val="00823CDE"/>
    <w:rsid w:val="00824188"/>
    <w:rsid w:val="00824314"/>
    <w:rsid w:val="00824707"/>
    <w:rsid w:val="00824A51"/>
    <w:rsid w:val="00824AD9"/>
    <w:rsid w:val="00824E74"/>
    <w:rsid w:val="008252F5"/>
    <w:rsid w:val="00825565"/>
    <w:rsid w:val="00825651"/>
    <w:rsid w:val="00825A87"/>
    <w:rsid w:val="00825B44"/>
    <w:rsid w:val="00825C52"/>
    <w:rsid w:val="008269FF"/>
    <w:rsid w:val="00826A8D"/>
    <w:rsid w:val="00826D21"/>
    <w:rsid w:val="0082755E"/>
    <w:rsid w:val="008275AC"/>
    <w:rsid w:val="00827B97"/>
    <w:rsid w:val="00830354"/>
    <w:rsid w:val="00830482"/>
    <w:rsid w:val="0083066F"/>
    <w:rsid w:val="008307BF"/>
    <w:rsid w:val="00830E27"/>
    <w:rsid w:val="00830E40"/>
    <w:rsid w:val="0083137B"/>
    <w:rsid w:val="0083158F"/>
    <w:rsid w:val="008317DC"/>
    <w:rsid w:val="008317F0"/>
    <w:rsid w:val="008319CF"/>
    <w:rsid w:val="00831A7E"/>
    <w:rsid w:val="00831DBC"/>
    <w:rsid w:val="00831F7E"/>
    <w:rsid w:val="00832808"/>
    <w:rsid w:val="0083286F"/>
    <w:rsid w:val="00832AA8"/>
    <w:rsid w:val="00832AF8"/>
    <w:rsid w:val="00832BC2"/>
    <w:rsid w:val="00832EF4"/>
    <w:rsid w:val="00832F19"/>
    <w:rsid w:val="008330AB"/>
    <w:rsid w:val="0083333E"/>
    <w:rsid w:val="008335F0"/>
    <w:rsid w:val="00833761"/>
    <w:rsid w:val="008337A6"/>
    <w:rsid w:val="00833991"/>
    <w:rsid w:val="00833C78"/>
    <w:rsid w:val="00833EB5"/>
    <w:rsid w:val="00834061"/>
    <w:rsid w:val="008340AA"/>
    <w:rsid w:val="0083428F"/>
    <w:rsid w:val="008342F8"/>
    <w:rsid w:val="0083438B"/>
    <w:rsid w:val="0083468F"/>
    <w:rsid w:val="008346CF"/>
    <w:rsid w:val="0083494D"/>
    <w:rsid w:val="00834C49"/>
    <w:rsid w:val="00834CF6"/>
    <w:rsid w:val="00835011"/>
    <w:rsid w:val="00835067"/>
    <w:rsid w:val="008351C4"/>
    <w:rsid w:val="00835586"/>
    <w:rsid w:val="00835696"/>
    <w:rsid w:val="00835721"/>
    <w:rsid w:val="00835758"/>
    <w:rsid w:val="00835B8A"/>
    <w:rsid w:val="00835D3D"/>
    <w:rsid w:val="00835E28"/>
    <w:rsid w:val="00836553"/>
    <w:rsid w:val="008367C9"/>
    <w:rsid w:val="00836CD9"/>
    <w:rsid w:val="00837857"/>
    <w:rsid w:val="00837BC2"/>
    <w:rsid w:val="00837F22"/>
    <w:rsid w:val="008400F9"/>
    <w:rsid w:val="008402AF"/>
    <w:rsid w:val="008403E4"/>
    <w:rsid w:val="0084050B"/>
    <w:rsid w:val="008408C3"/>
    <w:rsid w:val="00840906"/>
    <w:rsid w:val="0084099B"/>
    <w:rsid w:val="00840F42"/>
    <w:rsid w:val="00840FD9"/>
    <w:rsid w:val="00841252"/>
    <w:rsid w:val="00841283"/>
    <w:rsid w:val="0084196E"/>
    <w:rsid w:val="00841DA6"/>
    <w:rsid w:val="008428E8"/>
    <w:rsid w:val="00842E4B"/>
    <w:rsid w:val="008430C3"/>
    <w:rsid w:val="00843324"/>
    <w:rsid w:val="00843524"/>
    <w:rsid w:val="00843538"/>
    <w:rsid w:val="0084360A"/>
    <w:rsid w:val="00843846"/>
    <w:rsid w:val="0084399A"/>
    <w:rsid w:val="00843B7A"/>
    <w:rsid w:val="00843B96"/>
    <w:rsid w:val="00843E2F"/>
    <w:rsid w:val="00843F28"/>
    <w:rsid w:val="008441D4"/>
    <w:rsid w:val="00844515"/>
    <w:rsid w:val="0084459F"/>
    <w:rsid w:val="00844709"/>
    <w:rsid w:val="00844D1B"/>
    <w:rsid w:val="00844F85"/>
    <w:rsid w:val="008452A6"/>
    <w:rsid w:val="00845416"/>
    <w:rsid w:val="008454C2"/>
    <w:rsid w:val="0084585C"/>
    <w:rsid w:val="00845975"/>
    <w:rsid w:val="008459F7"/>
    <w:rsid w:val="008459FF"/>
    <w:rsid w:val="00845AF7"/>
    <w:rsid w:val="0084632B"/>
    <w:rsid w:val="0084641D"/>
    <w:rsid w:val="00846A87"/>
    <w:rsid w:val="00846B60"/>
    <w:rsid w:val="00846C43"/>
    <w:rsid w:val="00846CDD"/>
    <w:rsid w:val="00846E34"/>
    <w:rsid w:val="00846E44"/>
    <w:rsid w:val="00846EE3"/>
    <w:rsid w:val="00847010"/>
    <w:rsid w:val="008470EE"/>
    <w:rsid w:val="00847178"/>
    <w:rsid w:val="0084776E"/>
    <w:rsid w:val="008502DB"/>
    <w:rsid w:val="008515C2"/>
    <w:rsid w:val="008515F5"/>
    <w:rsid w:val="00851787"/>
    <w:rsid w:val="00851A42"/>
    <w:rsid w:val="00851A67"/>
    <w:rsid w:val="00851B8D"/>
    <w:rsid w:val="008520B6"/>
    <w:rsid w:val="008520F7"/>
    <w:rsid w:val="0085227D"/>
    <w:rsid w:val="0085239D"/>
    <w:rsid w:val="008523C4"/>
    <w:rsid w:val="008524F2"/>
    <w:rsid w:val="0085252B"/>
    <w:rsid w:val="00852816"/>
    <w:rsid w:val="00852B14"/>
    <w:rsid w:val="00852BC3"/>
    <w:rsid w:val="00852BCB"/>
    <w:rsid w:val="00852CC1"/>
    <w:rsid w:val="00852F11"/>
    <w:rsid w:val="00852FB0"/>
    <w:rsid w:val="00853670"/>
    <w:rsid w:val="00853760"/>
    <w:rsid w:val="008537CD"/>
    <w:rsid w:val="00853872"/>
    <w:rsid w:val="00853914"/>
    <w:rsid w:val="00853C58"/>
    <w:rsid w:val="00853CCD"/>
    <w:rsid w:val="00853D62"/>
    <w:rsid w:val="00853F7C"/>
    <w:rsid w:val="00854102"/>
    <w:rsid w:val="0085435A"/>
    <w:rsid w:val="00854370"/>
    <w:rsid w:val="00854486"/>
    <w:rsid w:val="0085450F"/>
    <w:rsid w:val="00854924"/>
    <w:rsid w:val="00854F9D"/>
    <w:rsid w:val="0085502C"/>
    <w:rsid w:val="008551CB"/>
    <w:rsid w:val="008552A2"/>
    <w:rsid w:val="008558F4"/>
    <w:rsid w:val="00855AF5"/>
    <w:rsid w:val="00855B31"/>
    <w:rsid w:val="00855C44"/>
    <w:rsid w:val="00855F4B"/>
    <w:rsid w:val="00855FDA"/>
    <w:rsid w:val="0085616A"/>
    <w:rsid w:val="00856545"/>
    <w:rsid w:val="00856936"/>
    <w:rsid w:val="00856998"/>
    <w:rsid w:val="008572D3"/>
    <w:rsid w:val="008574C8"/>
    <w:rsid w:val="00857601"/>
    <w:rsid w:val="0085767A"/>
    <w:rsid w:val="008577BE"/>
    <w:rsid w:val="00857B16"/>
    <w:rsid w:val="00857CDD"/>
    <w:rsid w:val="00857FC8"/>
    <w:rsid w:val="008600D5"/>
    <w:rsid w:val="008602C4"/>
    <w:rsid w:val="0086032A"/>
    <w:rsid w:val="00860910"/>
    <w:rsid w:val="00860C3D"/>
    <w:rsid w:val="00860D50"/>
    <w:rsid w:val="00860F69"/>
    <w:rsid w:val="00860FE4"/>
    <w:rsid w:val="00860FF3"/>
    <w:rsid w:val="00861499"/>
    <w:rsid w:val="0086165B"/>
    <w:rsid w:val="008618A1"/>
    <w:rsid w:val="00861B46"/>
    <w:rsid w:val="00861B48"/>
    <w:rsid w:val="00861C90"/>
    <w:rsid w:val="00861F04"/>
    <w:rsid w:val="00862360"/>
    <w:rsid w:val="00862590"/>
    <w:rsid w:val="00862DD1"/>
    <w:rsid w:val="00862F54"/>
    <w:rsid w:val="00863068"/>
    <w:rsid w:val="00863562"/>
    <w:rsid w:val="008636CE"/>
    <w:rsid w:val="00863AFC"/>
    <w:rsid w:val="00863B9C"/>
    <w:rsid w:val="00863D5F"/>
    <w:rsid w:val="0086403D"/>
    <w:rsid w:val="00864145"/>
    <w:rsid w:val="008646BA"/>
    <w:rsid w:val="00864A45"/>
    <w:rsid w:val="00864E00"/>
    <w:rsid w:val="00865037"/>
    <w:rsid w:val="00865A91"/>
    <w:rsid w:val="00866764"/>
    <w:rsid w:val="008667D6"/>
    <w:rsid w:val="00866AE6"/>
    <w:rsid w:val="00866D78"/>
    <w:rsid w:val="00866F33"/>
    <w:rsid w:val="00866F9D"/>
    <w:rsid w:val="00867102"/>
    <w:rsid w:val="0086714E"/>
    <w:rsid w:val="0086778E"/>
    <w:rsid w:val="00867D6C"/>
    <w:rsid w:val="00867DAE"/>
    <w:rsid w:val="00867EC4"/>
    <w:rsid w:val="0087048B"/>
    <w:rsid w:val="0087078B"/>
    <w:rsid w:val="008709EF"/>
    <w:rsid w:val="00870ADB"/>
    <w:rsid w:val="00870B99"/>
    <w:rsid w:val="00870BD5"/>
    <w:rsid w:val="00870C08"/>
    <w:rsid w:val="00870C73"/>
    <w:rsid w:val="00871052"/>
    <w:rsid w:val="008710BA"/>
    <w:rsid w:val="0087113E"/>
    <w:rsid w:val="0087133F"/>
    <w:rsid w:val="00871B37"/>
    <w:rsid w:val="00871CF3"/>
    <w:rsid w:val="00871D6F"/>
    <w:rsid w:val="00872111"/>
    <w:rsid w:val="008722BB"/>
    <w:rsid w:val="008723A1"/>
    <w:rsid w:val="0087250F"/>
    <w:rsid w:val="00872D59"/>
    <w:rsid w:val="00872E52"/>
    <w:rsid w:val="00873530"/>
    <w:rsid w:val="008736B0"/>
    <w:rsid w:val="00873905"/>
    <w:rsid w:val="00873907"/>
    <w:rsid w:val="00873961"/>
    <w:rsid w:val="00873978"/>
    <w:rsid w:val="00874067"/>
    <w:rsid w:val="0087436B"/>
    <w:rsid w:val="0087437F"/>
    <w:rsid w:val="008743E1"/>
    <w:rsid w:val="00874559"/>
    <w:rsid w:val="0087468A"/>
    <w:rsid w:val="0087492B"/>
    <w:rsid w:val="00874E2D"/>
    <w:rsid w:val="00874E83"/>
    <w:rsid w:val="00875012"/>
    <w:rsid w:val="0087502C"/>
    <w:rsid w:val="008750C2"/>
    <w:rsid w:val="008750CC"/>
    <w:rsid w:val="0087556B"/>
    <w:rsid w:val="008756F7"/>
    <w:rsid w:val="00875819"/>
    <w:rsid w:val="0087592F"/>
    <w:rsid w:val="008759F2"/>
    <w:rsid w:val="00875C4E"/>
    <w:rsid w:val="00876355"/>
    <w:rsid w:val="0087639E"/>
    <w:rsid w:val="008763D3"/>
    <w:rsid w:val="0087691A"/>
    <w:rsid w:val="008769EF"/>
    <w:rsid w:val="00876C60"/>
    <w:rsid w:val="00876D64"/>
    <w:rsid w:val="00876DC0"/>
    <w:rsid w:val="00877179"/>
    <w:rsid w:val="0087765B"/>
    <w:rsid w:val="008776BC"/>
    <w:rsid w:val="00877815"/>
    <w:rsid w:val="0087799F"/>
    <w:rsid w:val="00877AC5"/>
    <w:rsid w:val="00877B8E"/>
    <w:rsid w:val="00877C9C"/>
    <w:rsid w:val="00877D16"/>
    <w:rsid w:val="00877EA7"/>
    <w:rsid w:val="00877F2F"/>
    <w:rsid w:val="0088018F"/>
    <w:rsid w:val="00880192"/>
    <w:rsid w:val="00880242"/>
    <w:rsid w:val="008802AA"/>
    <w:rsid w:val="00880E4F"/>
    <w:rsid w:val="00880EA8"/>
    <w:rsid w:val="00880FC4"/>
    <w:rsid w:val="00881335"/>
    <w:rsid w:val="00881765"/>
    <w:rsid w:val="008817E3"/>
    <w:rsid w:val="00881B00"/>
    <w:rsid w:val="00881D4A"/>
    <w:rsid w:val="00882471"/>
    <w:rsid w:val="00882773"/>
    <w:rsid w:val="00882887"/>
    <w:rsid w:val="00882A1D"/>
    <w:rsid w:val="00882A22"/>
    <w:rsid w:val="00883260"/>
    <w:rsid w:val="008833C2"/>
    <w:rsid w:val="008834C7"/>
    <w:rsid w:val="00883667"/>
    <w:rsid w:val="0088383A"/>
    <w:rsid w:val="0088384F"/>
    <w:rsid w:val="00883955"/>
    <w:rsid w:val="008839D5"/>
    <w:rsid w:val="00883AD1"/>
    <w:rsid w:val="00883B26"/>
    <w:rsid w:val="00883CA8"/>
    <w:rsid w:val="00884133"/>
    <w:rsid w:val="008842C5"/>
    <w:rsid w:val="00884362"/>
    <w:rsid w:val="00884693"/>
    <w:rsid w:val="00884F71"/>
    <w:rsid w:val="00884FC2"/>
    <w:rsid w:val="0088517D"/>
    <w:rsid w:val="00885505"/>
    <w:rsid w:val="00885707"/>
    <w:rsid w:val="00885EDE"/>
    <w:rsid w:val="008860AD"/>
    <w:rsid w:val="00886256"/>
    <w:rsid w:val="00886299"/>
    <w:rsid w:val="00886660"/>
    <w:rsid w:val="0088688D"/>
    <w:rsid w:val="00886909"/>
    <w:rsid w:val="008869F3"/>
    <w:rsid w:val="00886B01"/>
    <w:rsid w:val="00887006"/>
    <w:rsid w:val="00887677"/>
    <w:rsid w:val="008876E9"/>
    <w:rsid w:val="008876F4"/>
    <w:rsid w:val="00887F55"/>
    <w:rsid w:val="00887FBF"/>
    <w:rsid w:val="0089039B"/>
    <w:rsid w:val="008906E6"/>
    <w:rsid w:val="00890704"/>
    <w:rsid w:val="0089072D"/>
    <w:rsid w:val="0089095A"/>
    <w:rsid w:val="00890DFD"/>
    <w:rsid w:val="00890FE8"/>
    <w:rsid w:val="00891849"/>
    <w:rsid w:val="00891C29"/>
    <w:rsid w:val="00891C90"/>
    <w:rsid w:val="00891D89"/>
    <w:rsid w:val="00891F8E"/>
    <w:rsid w:val="008922B1"/>
    <w:rsid w:val="00892A95"/>
    <w:rsid w:val="0089303A"/>
    <w:rsid w:val="0089323A"/>
    <w:rsid w:val="00893332"/>
    <w:rsid w:val="00893689"/>
    <w:rsid w:val="00893974"/>
    <w:rsid w:val="00894072"/>
    <w:rsid w:val="008948B4"/>
    <w:rsid w:val="008948D8"/>
    <w:rsid w:val="0089519C"/>
    <w:rsid w:val="00895221"/>
    <w:rsid w:val="008957B8"/>
    <w:rsid w:val="0089581B"/>
    <w:rsid w:val="008959C6"/>
    <w:rsid w:val="00895AA0"/>
    <w:rsid w:val="008961F9"/>
    <w:rsid w:val="0089623A"/>
    <w:rsid w:val="008963CF"/>
    <w:rsid w:val="008967E9"/>
    <w:rsid w:val="008969E9"/>
    <w:rsid w:val="00896E0B"/>
    <w:rsid w:val="00897049"/>
    <w:rsid w:val="00897A79"/>
    <w:rsid w:val="008A0044"/>
    <w:rsid w:val="008A02D0"/>
    <w:rsid w:val="008A04E9"/>
    <w:rsid w:val="008A05BD"/>
    <w:rsid w:val="008A0999"/>
    <w:rsid w:val="008A0BA9"/>
    <w:rsid w:val="008A0EB5"/>
    <w:rsid w:val="008A109B"/>
    <w:rsid w:val="008A10C8"/>
    <w:rsid w:val="008A15CA"/>
    <w:rsid w:val="008A19E0"/>
    <w:rsid w:val="008A1A95"/>
    <w:rsid w:val="008A251B"/>
    <w:rsid w:val="008A2705"/>
    <w:rsid w:val="008A2B1D"/>
    <w:rsid w:val="008A30F8"/>
    <w:rsid w:val="008A3207"/>
    <w:rsid w:val="008A35E7"/>
    <w:rsid w:val="008A3BDF"/>
    <w:rsid w:val="008A3C8F"/>
    <w:rsid w:val="008A4331"/>
    <w:rsid w:val="008A44E0"/>
    <w:rsid w:val="008A4749"/>
    <w:rsid w:val="008A49F0"/>
    <w:rsid w:val="008A4C73"/>
    <w:rsid w:val="008A4CD2"/>
    <w:rsid w:val="008A4DC5"/>
    <w:rsid w:val="008A4FE5"/>
    <w:rsid w:val="008A506C"/>
    <w:rsid w:val="008A5125"/>
    <w:rsid w:val="008A53A5"/>
    <w:rsid w:val="008A5711"/>
    <w:rsid w:val="008A5869"/>
    <w:rsid w:val="008A5971"/>
    <w:rsid w:val="008A5DE2"/>
    <w:rsid w:val="008A5E45"/>
    <w:rsid w:val="008A61B1"/>
    <w:rsid w:val="008A63CD"/>
    <w:rsid w:val="008A6905"/>
    <w:rsid w:val="008A6A09"/>
    <w:rsid w:val="008A6E32"/>
    <w:rsid w:val="008A6E98"/>
    <w:rsid w:val="008A745C"/>
    <w:rsid w:val="008A74CD"/>
    <w:rsid w:val="008A7745"/>
    <w:rsid w:val="008A798B"/>
    <w:rsid w:val="008A7ADA"/>
    <w:rsid w:val="008A7BC4"/>
    <w:rsid w:val="008A7E0C"/>
    <w:rsid w:val="008B0085"/>
    <w:rsid w:val="008B041F"/>
    <w:rsid w:val="008B05B3"/>
    <w:rsid w:val="008B07ED"/>
    <w:rsid w:val="008B094D"/>
    <w:rsid w:val="008B0AFF"/>
    <w:rsid w:val="008B0B49"/>
    <w:rsid w:val="008B0C99"/>
    <w:rsid w:val="008B177D"/>
    <w:rsid w:val="008B18D7"/>
    <w:rsid w:val="008B18E5"/>
    <w:rsid w:val="008B1E15"/>
    <w:rsid w:val="008B1E22"/>
    <w:rsid w:val="008B205D"/>
    <w:rsid w:val="008B24AC"/>
    <w:rsid w:val="008B26B1"/>
    <w:rsid w:val="008B26C2"/>
    <w:rsid w:val="008B2E85"/>
    <w:rsid w:val="008B2F28"/>
    <w:rsid w:val="008B3197"/>
    <w:rsid w:val="008B3426"/>
    <w:rsid w:val="008B352F"/>
    <w:rsid w:val="008B3B3F"/>
    <w:rsid w:val="008B3E01"/>
    <w:rsid w:val="008B4074"/>
    <w:rsid w:val="008B423D"/>
    <w:rsid w:val="008B4280"/>
    <w:rsid w:val="008B4BBD"/>
    <w:rsid w:val="008B4D9D"/>
    <w:rsid w:val="008B4E76"/>
    <w:rsid w:val="008B4EFB"/>
    <w:rsid w:val="008B51C1"/>
    <w:rsid w:val="008B53F5"/>
    <w:rsid w:val="008B541F"/>
    <w:rsid w:val="008B5679"/>
    <w:rsid w:val="008B5A19"/>
    <w:rsid w:val="008B5C8A"/>
    <w:rsid w:val="008B641A"/>
    <w:rsid w:val="008B6532"/>
    <w:rsid w:val="008B6688"/>
    <w:rsid w:val="008B6E13"/>
    <w:rsid w:val="008B6E95"/>
    <w:rsid w:val="008B6FDE"/>
    <w:rsid w:val="008B71A6"/>
    <w:rsid w:val="008B7325"/>
    <w:rsid w:val="008B77AD"/>
    <w:rsid w:val="008B7B94"/>
    <w:rsid w:val="008B7F64"/>
    <w:rsid w:val="008C00FF"/>
    <w:rsid w:val="008C015C"/>
    <w:rsid w:val="008C03A5"/>
    <w:rsid w:val="008C0931"/>
    <w:rsid w:val="008C0A43"/>
    <w:rsid w:val="008C0A5F"/>
    <w:rsid w:val="008C0D25"/>
    <w:rsid w:val="008C0D97"/>
    <w:rsid w:val="008C11BE"/>
    <w:rsid w:val="008C142A"/>
    <w:rsid w:val="008C1614"/>
    <w:rsid w:val="008C17C4"/>
    <w:rsid w:val="008C1A73"/>
    <w:rsid w:val="008C1C15"/>
    <w:rsid w:val="008C1D65"/>
    <w:rsid w:val="008C21FB"/>
    <w:rsid w:val="008C2588"/>
    <w:rsid w:val="008C2688"/>
    <w:rsid w:val="008C268D"/>
    <w:rsid w:val="008C26C6"/>
    <w:rsid w:val="008C27F3"/>
    <w:rsid w:val="008C28EF"/>
    <w:rsid w:val="008C2DE5"/>
    <w:rsid w:val="008C2F1B"/>
    <w:rsid w:val="008C2FB4"/>
    <w:rsid w:val="008C30D3"/>
    <w:rsid w:val="008C340B"/>
    <w:rsid w:val="008C34E2"/>
    <w:rsid w:val="008C35D7"/>
    <w:rsid w:val="008C3A1C"/>
    <w:rsid w:val="008C3E4A"/>
    <w:rsid w:val="008C3E54"/>
    <w:rsid w:val="008C3F54"/>
    <w:rsid w:val="008C408B"/>
    <w:rsid w:val="008C40C5"/>
    <w:rsid w:val="008C447A"/>
    <w:rsid w:val="008C560E"/>
    <w:rsid w:val="008C5A51"/>
    <w:rsid w:val="008C5C8B"/>
    <w:rsid w:val="008C5DFE"/>
    <w:rsid w:val="008C6161"/>
    <w:rsid w:val="008C62B9"/>
    <w:rsid w:val="008C635D"/>
    <w:rsid w:val="008C6454"/>
    <w:rsid w:val="008C66D5"/>
    <w:rsid w:val="008C67B6"/>
    <w:rsid w:val="008C6B67"/>
    <w:rsid w:val="008C6BA8"/>
    <w:rsid w:val="008C6CC2"/>
    <w:rsid w:val="008C6E0A"/>
    <w:rsid w:val="008C6E36"/>
    <w:rsid w:val="008C7047"/>
    <w:rsid w:val="008C7088"/>
    <w:rsid w:val="008C7255"/>
    <w:rsid w:val="008C7697"/>
    <w:rsid w:val="008C7A38"/>
    <w:rsid w:val="008C7D39"/>
    <w:rsid w:val="008C7D7E"/>
    <w:rsid w:val="008C7DC9"/>
    <w:rsid w:val="008C7DDB"/>
    <w:rsid w:val="008D0015"/>
    <w:rsid w:val="008D096B"/>
    <w:rsid w:val="008D0A48"/>
    <w:rsid w:val="008D0B08"/>
    <w:rsid w:val="008D1023"/>
    <w:rsid w:val="008D113C"/>
    <w:rsid w:val="008D198F"/>
    <w:rsid w:val="008D19FB"/>
    <w:rsid w:val="008D1BAB"/>
    <w:rsid w:val="008D1BBF"/>
    <w:rsid w:val="008D2150"/>
    <w:rsid w:val="008D25EE"/>
    <w:rsid w:val="008D26FD"/>
    <w:rsid w:val="008D270A"/>
    <w:rsid w:val="008D293C"/>
    <w:rsid w:val="008D2B47"/>
    <w:rsid w:val="008D2C86"/>
    <w:rsid w:val="008D2E52"/>
    <w:rsid w:val="008D2F6E"/>
    <w:rsid w:val="008D3008"/>
    <w:rsid w:val="008D330F"/>
    <w:rsid w:val="008D355C"/>
    <w:rsid w:val="008D359C"/>
    <w:rsid w:val="008D376F"/>
    <w:rsid w:val="008D3944"/>
    <w:rsid w:val="008D3DB7"/>
    <w:rsid w:val="008D41FC"/>
    <w:rsid w:val="008D426A"/>
    <w:rsid w:val="008D45F2"/>
    <w:rsid w:val="008D4765"/>
    <w:rsid w:val="008D488C"/>
    <w:rsid w:val="008D48B9"/>
    <w:rsid w:val="008D4AB3"/>
    <w:rsid w:val="008D52ED"/>
    <w:rsid w:val="008D544F"/>
    <w:rsid w:val="008D55B0"/>
    <w:rsid w:val="008D58F4"/>
    <w:rsid w:val="008D5B2A"/>
    <w:rsid w:val="008D5C67"/>
    <w:rsid w:val="008D5E2C"/>
    <w:rsid w:val="008D5F93"/>
    <w:rsid w:val="008D612F"/>
    <w:rsid w:val="008D62E0"/>
    <w:rsid w:val="008D6401"/>
    <w:rsid w:val="008D66B1"/>
    <w:rsid w:val="008D736F"/>
    <w:rsid w:val="008D7639"/>
    <w:rsid w:val="008D7729"/>
    <w:rsid w:val="008D7759"/>
    <w:rsid w:val="008D798B"/>
    <w:rsid w:val="008D7F1D"/>
    <w:rsid w:val="008E040B"/>
    <w:rsid w:val="008E04AF"/>
    <w:rsid w:val="008E098C"/>
    <w:rsid w:val="008E0FE8"/>
    <w:rsid w:val="008E127C"/>
    <w:rsid w:val="008E1A75"/>
    <w:rsid w:val="008E1B30"/>
    <w:rsid w:val="008E1BA5"/>
    <w:rsid w:val="008E1D58"/>
    <w:rsid w:val="008E1F35"/>
    <w:rsid w:val="008E1F66"/>
    <w:rsid w:val="008E1FA6"/>
    <w:rsid w:val="008E2022"/>
    <w:rsid w:val="008E21F8"/>
    <w:rsid w:val="008E2378"/>
    <w:rsid w:val="008E24D2"/>
    <w:rsid w:val="008E26CC"/>
    <w:rsid w:val="008E28E9"/>
    <w:rsid w:val="008E293F"/>
    <w:rsid w:val="008E2A10"/>
    <w:rsid w:val="008E2A1C"/>
    <w:rsid w:val="008E2F3C"/>
    <w:rsid w:val="008E30A9"/>
    <w:rsid w:val="008E325A"/>
    <w:rsid w:val="008E3350"/>
    <w:rsid w:val="008E33DC"/>
    <w:rsid w:val="008E3594"/>
    <w:rsid w:val="008E3B43"/>
    <w:rsid w:val="008E3BDA"/>
    <w:rsid w:val="008E3E25"/>
    <w:rsid w:val="008E468C"/>
    <w:rsid w:val="008E47FE"/>
    <w:rsid w:val="008E4CFC"/>
    <w:rsid w:val="008E4E63"/>
    <w:rsid w:val="008E5028"/>
    <w:rsid w:val="008E50AD"/>
    <w:rsid w:val="008E5177"/>
    <w:rsid w:val="008E523A"/>
    <w:rsid w:val="008E5504"/>
    <w:rsid w:val="008E5670"/>
    <w:rsid w:val="008E56FE"/>
    <w:rsid w:val="008E57BC"/>
    <w:rsid w:val="008E58FF"/>
    <w:rsid w:val="008E59CD"/>
    <w:rsid w:val="008E5A28"/>
    <w:rsid w:val="008E5A58"/>
    <w:rsid w:val="008E5E6C"/>
    <w:rsid w:val="008E620C"/>
    <w:rsid w:val="008E6555"/>
    <w:rsid w:val="008E6F83"/>
    <w:rsid w:val="008E746F"/>
    <w:rsid w:val="008E799D"/>
    <w:rsid w:val="008E7EFB"/>
    <w:rsid w:val="008E7FD0"/>
    <w:rsid w:val="008F0129"/>
    <w:rsid w:val="008F04A9"/>
    <w:rsid w:val="008F05A7"/>
    <w:rsid w:val="008F05C1"/>
    <w:rsid w:val="008F0A52"/>
    <w:rsid w:val="008F0BBF"/>
    <w:rsid w:val="008F0C73"/>
    <w:rsid w:val="008F0F52"/>
    <w:rsid w:val="008F16D0"/>
    <w:rsid w:val="008F16DA"/>
    <w:rsid w:val="008F17D4"/>
    <w:rsid w:val="008F19FB"/>
    <w:rsid w:val="008F1BA4"/>
    <w:rsid w:val="008F1F43"/>
    <w:rsid w:val="008F20BF"/>
    <w:rsid w:val="008F20D1"/>
    <w:rsid w:val="008F23C4"/>
    <w:rsid w:val="008F25A2"/>
    <w:rsid w:val="008F260B"/>
    <w:rsid w:val="008F281D"/>
    <w:rsid w:val="008F2A67"/>
    <w:rsid w:val="008F2B6A"/>
    <w:rsid w:val="008F2DEB"/>
    <w:rsid w:val="008F2EA9"/>
    <w:rsid w:val="008F2F9F"/>
    <w:rsid w:val="008F3614"/>
    <w:rsid w:val="008F36A1"/>
    <w:rsid w:val="008F3932"/>
    <w:rsid w:val="008F3F2A"/>
    <w:rsid w:val="008F417D"/>
    <w:rsid w:val="008F4379"/>
    <w:rsid w:val="008F45BC"/>
    <w:rsid w:val="008F4708"/>
    <w:rsid w:val="008F479A"/>
    <w:rsid w:val="008F4878"/>
    <w:rsid w:val="008F4B89"/>
    <w:rsid w:val="008F4E66"/>
    <w:rsid w:val="008F4E94"/>
    <w:rsid w:val="008F51D0"/>
    <w:rsid w:val="008F58AF"/>
    <w:rsid w:val="008F5E9D"/>
    <w:rsid w:val="008F600C"/>
    <w:rsid w:val="008F6040"/>
    <w:rsid w:val="008F6148"/>
    <w:rsid w:val="008F61D6"/>
    <w:rsid w:val="008F62F4"/>
    <w:rsid w:val="008F6361"/>
    <w:rsid w:val="008F63F2"/>
    <w:rsid w:val="008F6795"/>
    <w:rsid w:val="008F68DF"/>
    <w:rsid w:val="008F6926"/>
    <w:rsid w:val="008F6B09"/>
    <w:rsid w:val="008F6BAE"/>
    <w:rsid w:val="008F6BC0"/>
    <w:rsid w:val="008F6FE1"/>
    <w:rsid w:val="008F6FE6"/>
    <w:rsid w:val="008F707E"/>
    <w:rsid w:val="008F7091"/>
    <w:rsid w:val="008F7127"/>
    <w:rsid w:val="008F71B2"/>
    <w:rsid w:val="008F7C0D"/>
    <w:rsid w:val="008F7ED9"/>
    <w:rsid w:val="009001A2"/>
    <w:rsid w:val="009001C5"/>
    <w:rsid w:val="0090026D"/>
    <w:rsid w:val="0090035E"/>
    <w:rsid w:val="00900700"/>
    <w:rsid w:val="00900773"/>
    <w:rsid w:val="00900A4B"/>
    <w:rsid w:val="00900C1D"/>
    <w:rsid w:val="009011F8"/>
    <w:rsid w:val="00901258"/>
    <w:rsid w:val="0090136B"/>
    <w:rsid w:val="0090136D"/>
    <w:rsid w:val="00901A9F"/>
    <w:rsid w:val="00901EFF"/>
    <w:rsid w:val="00901F6B"/>
    <w:rsid w:val="009026A1"/>
    <w:rsid w:val="00902763"/>
    <w:rsid w:val="00902C1F"/>
    <w:rsid w:val="00902C36"/>
    <w:rsid w:val="00902CD5"/>
    <w:rsid w:val="00902DF7"/>
    <w:rsid w:val="00902E8C"/>
    <w:rsid w:val="009030D5"/>
    <w:rsid w:val="009031CF"/>
    <w:rsid w:val="009035CC"/>
    <w:rsid w:val="00903634"/>
    <w:rsid w:val="00903813"/>
    <w:rsid w:val="00903844"/>
    <w:rsid w:val="00903884"/>
    <w:rsid w:val="00903907"/>
    <w:rsid w:val="00903DBF"/>
    <w:rsid w:val="00903DE9"/>
    <w:rsid w:val="00903FEF"/>
    <w:rsid w:val="00904090"/>
    <w:rsid w:val="009048FE"/>
    <w:rsid w:val="00904B12"/>
    <w:rsid w:val="00904B5D"/>
    <w:rsid w:val="00904CB0"/>
    <w:rsid w:val="00904CDD"/>
    <w:rsid w:val="00904D3F"/>
    <w:rsid w:val="00904F7B"/>
    <w:rsid w:val="009053AE"/>
    <w:rsid w:val="009055DD"/>
    <w:rsid w:val="00905AA4"/>
    <w:rsid w:val="00905C19"/>
    <w:rsid w:val="00905C53"/>
    <w:rsid w:val="0090643B"/>
    <w:rsid w:val="009064B7"/>
    <w:rsid w:val="009065AC"/>
    <w:rsid w:val="00906663"/>
    <w:rsid w:val="009066E7"/>
    <w:rsid w:val="00906B0F"/>
    <w:rsid w:val="00906B98"/>
    <w:rsid w:val="00906C35"/>
    <w:rsid w:val="00906F69"/>
    <w:rsid w:val="009072D7"/>
    <w:rsid w:val="00907E36"/>
    <w:rsid w:val="00907F1D"/>
    <w:rsid w:val="00910199"/>
    <w:rsid w:val="009106E1"/>
    <w:rsid w:val="00910874"/>
    <w:rsid w:val="009109FD"/>
    <w:rsid w:val="00910B32"/>
    <w:rsid w:val="00910F4E"/>
    <w:rsid w:val="009110A2"/>
    <w:rsid w:val="0091128E"/>
    <w:rsid w:val="00911347"/>
    <w:rsid w:val="00911356"/>
    <w:rsid w:val="0091146D"/>
    <w:rsid w:val="009119AC"/>
    <w:rsid w:val="00911AA5"/>
    <w:rsid w:val="00911AE3"/>
    <w:rsid w:val="00911B56"/>
    <w:rsid w:val="00911D28"/>
    <w:rsid w:val="00911D8F"/>
    <w:rsid w:val="00911F8B"/>
    <w:rsid w:val="0091218D"/>
    <w:rsid w:val="009122DF"/>
    <w:rsid w:val="00912465"/>
    <w:rsid w:val="009127D9"/>
    <w:rsid w:val="00912A3B"/>
    <w:rsid w:val="00912C3F"/>
    <w:rsid w:val="00912E7F"/>
    <w:rsid w:val="00912F2A"/>
    <w:rsid w:val="00913238"/>
    <w:rsid w:val="00913AB0"/>
    <w:rsid w:val="00913F68"/>
    <w:rsid w:val="00913F91"/>
    <w:rsid w:val="00914308"/>
    <w:rsid w:val="0091433B"/>
    <w:rsid w:val="00914397"/>
    <w:rsid w:val="0091463D"/>
    <w:rsid w:val="00914A8B"/>
    <w:rsid w:val="00914BA3"/>
    <w:rsid w:val="00914FFB"/>
    <w:rsid w:val="0091509D"/>
    <w:rsid w:val="009150D3"/>
    <w:rsid w:val="0091510B"/>
    <w:rsid w:val="009156E5"/>
    <w:rsid w:val="009157C2"/>
    <w:rsid w:val="00915834"/>
    <w:rsid w:val="00915D93"/>
    <w:rsid w:val="0091623F"/>
    <w:rsid w:val="00916A73"/>
    <w:rsid w:val="00916B55"/>
    <w:rsid w:val="00916C65"/>
    <w:rsid w:val="00916C9B"/>
    <w:rsid w:val="00916E60"/>
    <w:rsid w:val="0091726E"/>
    <w:rsid w:val="009172C3"/>
    <w:rsid w:val="00917329"/>
    <w:rsid w:val="009174BF"/>
    <w:rsid w:val="00917B87"/>
    <w:rsid w:val="00917BA4"/>
    <w:rsid w:val="00917BB1"/>
    <w:rsid w:val="00917D99"/>
    <w:rsid w:val="009201D3"/>
    <w:rsid w:val="00920801"/>
    <w:rsid w:val="00920D74"/>
    <w:rsid w:val="00920D9F"/>
    <w:rsid w:val="009217BF"/>
    <w:rsid w:val="009218FE"/>
    <w:rsid w:val="00921905"/>
    <w:rsid w:val="0092195D"/>
    <w:rsid w:val="00922075"/>
    <w:rsid w:val="009224C1"/>
    <w:rsid w:val="009228C9"/>
    <w:rsid w:val="00923048"/>
    <w:rsid w:val="009236B6"/>
    <w:rsid w:val="00923731"/>
    <w:rsid w:val="009237A6"/>
    <w:rsid w:val="0092385C"/>
    <w:rsid w:val="00923C8A"/>
    <w:rsid w:val="00923FF1"/>
    <w:rsid w:val="00924121"/>
    <w:rsid w:val="00924406"/>
    <w:rsid w:val="00924407"/>
    <w:rsid w:val="00924541"/>
    <w:rsid w:val="00924606"/>
    <w:rsid w:val="00924924"/>
    <w:rsid w:val="00924E52"/>
    <w:rsid w:val="00924EDF"/>
    <w:rsid w:val="00925756"/>
    <w:rsid w:val="0092582E"/>
    <w:rsid w:val="00925C2A"/>
    <w:rsid w:val="00925CB4"/>
    <w:rsid w:val="00925CEC"/>
    <w:rsid w:val="00925F5D"/>
    <w:rsid w:val="00926008"/>
    <w:rsid w:val="00926338"/>
    <w:rsid w:val="0092636B"/>
    <w:rsid w:val="00926625"/>
    <w:rsid w:val="00926640"/>
    <w:rsid w:val="00926883"/>
    <w:rsid w:val="00926B31"/>
    <w:rsid w:val="00926C45"/>
    <w:rsid w:val="00926D0B"/>
    <w:rsid w:val="00926E51"/>
    <w:rsid w:val="0092705D"/>
    <w:rsid w:val="0092751D"/>
    <w:rsid w:val="00927727"/>
    <w:rsid w:val="00930179"/>
    <w:rsid w:val="009307E3"/>
    <w:rsid w:val="00930855"/>
    <w:rsid w:val="00930A6A"/>
    <w:rsid w:val="00930B56"/>
    <w:rsid w:val="00930B86"/>
    <w:rsid w:val="00930DA1"/>
    <w:rsid w:val="00930F12"/>
    <w:rsid w:val="009310BD"/>
    <w:rsid w:val="00931B38"/>
    <w:rsid w:val="009320E8"/>
    <w:rsid w:val="00932276"/>
    <w:rsid w:val="0093237E"/>
    <w:rsid w:val="00932638"/>
    <w:rsid w:val="009326D9"/>
    <w:rsid w:val="00932840"/>
    <w:rsid w:val="00932CEB"/>
    <w:rsid w:val="00932DFF"/>
    <w:rsid w:val="00932E0E"/>
    <w:rsid w:val="00932EC5"/>
    <w:rsid w:val="00932F2F"/>
    <w:rsid w:val="0093325E"/>
    <w:rsid w:val="00933512"/>
    <w:rsid w:val="009335AC"/>
    <w:rsid w:val="00933DC1"/>
    <w:rsid w:val="00933F03"/>
    <w:rsid w:val="00933F44"/>
    <w:rsid w:val="009342E2"/>
    <w:rsid w:val="00934364"/>
    <w:rsid w:val="009345D3"/>
    <w:rsid w:val="00934641"/>
    <w:rsid w:val="00934AA2"/>
    <w:rsid w:val="00934B29"/>
    <w:rsid w:val="00934B63"/>
    <w:rsid w:val="00934BC3"/>
    <w:rsid w:val="00934D8D"/>
    <w:rsid w:val="00934EDA"/>
    <w:rsid w:val="0093534C"/>
    <w:rsid w:val="0093554A"/>
    <w:rsid w:val="00935A0D"/>
    <w:rsid w:val="00936005"/>
    <w:rsid w:val="00936047"/>
    <w:rsid w:val="00936279"/>
    <w:rsid w:val="00936294"/>
    <w:rsid w:val="0093670A"/>
    <w:rsid w:val="00936BC2"/>
    <w:rsid w:val="00936F81"/>
    <w:rsid w:val="00937179"/>
    <w:rsid w:val="009373AF"/>
    <w:rsid w:val="00937904"/>
    <w:rsid w:val="00937C10"/>
    <w:rsid w:val="00937D33"/>
    <w:rsid w:val="00937E28"/>
    <w:rsid w:val="00940144"/>
    <w:rsid w:val="009404A1"/>
    <w:rsid w:val="0094070A"/>
    <w:rsid w:val="0094085A"/>
    <w:rsid w:val="0094090D"/>
    <w:rsid w:val="00940B5F"/>
    <w:rsid w:val="009410C7"/>
    <w:rsid w:val="00941133"/>
    <w:rsid w:val="00941214"/>
    <w:rsid w:val="0094166C"/>
    <w:rsid w:val="0094194C"/>
    <w:rsid w:val="00941A2F"/>
    <w:rsid w:val="00941CC9"/>
    <w:rsid w:val="0094220E"/>
    <w:rsid w:val="009423D2"/>
    <w:rsid w:val="00942641"/>
    <w:rsid w:val="0094297B"/>
    <w:rsid w:val="00942EA2"/>
    <w:rsid w:val="00943025"/>
    <w:rsid w:val="009434C8"/>
    <w:rsid w:val="00943707"/>
    <w:rsid w:val="00943970"/>
    <w:rsid w:val="00943982"/>
    <w:rsid w:val="00943988"/>
    <w:rsid w:val="009439D7"/>
    <w:rsid w:val="00943A79"/>
    <w:rsid w:val="00943E5A"/>
    <w:rsid w:val="00943EE2"/>
    <w:rsid w:val="00944114"/>
    <w:rsid w:val="0094459B"/>
    <w:rsid w:val="00944802"/>
    <w:rsid w:val="00944868"/>
    <w:rsid w:val="0094499F"/>
    <w:rsid w:val="00944D04"/>
    <w:rsid w:val="00944FAE"/>
    <w:rsid w:val="00945263"/>
    <w:rsid w:val="0094528F"/>
    <w:rsid w:val="00945290"/>
    <w:rsid w:val="0094542C"/>
    <w:rsid w:val="009454FB"/>
    <w:rsid w:val="00945543"/>
    <w:rsid w:val="00945689"/>
    <w:rsid w:val="009459A2"/>
    <w:rsid w:val="00945AE1"/>
    <w:rsid w:val="00945CAA"/>
    <w:rsid w:val="00945D1D"/>
    <w:rsid w:val="00945E02"/>
    <w:rsid w:val="00946247"/>
    <w:rsid w:val="0094631E"/>
    <w:rsid w:val="009463B5"/>
    <w:rsid w:val="009466CF"/>
    <w:rsid w:val="00946C8F"/>
    <w:rsid w:val="009473C8"/>
    <w:rsid w:val="00947462"/>
    <w:rsid w:val="00947939"/>
    <w:rsid w:val="0094796C"/>
    <w:rsid w:val="00947A9D"/>
    <w:rsid w:val="00947F9D"/>
    <w:rsid w:val="00947FF7"/>
    <w:rsid w:val="009500E2"/>
    <w:rsid w:val="009505C1"/>
    <w:rsid w:val="00950963"/>
    <w:rsid w:val="00950C85"/>
    <w:rsid w:val="00950E51"/>
    <w:rsid w:val="00951053"/>
    <w:rsid w:val="00951129"/>
    <w:rsid w:val="009512BF"/>
    <w:rsid w:val="009513BB"/>
    <w:rsid w:val="0095155A"/>
    <w:rsid w:val="00951566"/>
    <w:rsid w:val="009516B8"/>
    <w:rsid w:val="00951782"/>
    <w:rsid w:val="00951827"/>
    <w:rsid w:val="0095191C"/>
    <w:rsid w:val="00951EF6"/>
    <w:rsid w:val="00951F3A"/>
    <w:rsid w:val="0095211D"/>
    <w:rsid w:val="009523A6"/>
    <w:rsid w:val="0095298E"/>
    <w:rsid w:val="009530EE"/>
    <w:rsid w:val="0095340E"/>
    <w:rsid w:val="009536AC"/>
    <w:rsid w:val="00953C3E"/>
    <w:rsid w:val="0095431B"/>
    <w:rsid w:val="00954347"/>
    <w:rsid w:val="00954B45"/>
    <w:rsid w:val="00954D4B"/>
    <w:rsid w:val="00954F18"/>
    <w:rsid w:val="00955058"/>
    <w:rsid w:val="0095506F"/>
    <w:rsid w:val="0095517F"/>
    <w:rsid w:val="00955910"/>
    <w:rsid w:val="009559BE"/>
    <w:rsid w:val="00955A5B"/>
    <w:rsid w:val="00955D35"/>
    <w:rsid w:val="00955EBB"/>
    <w:rsid w:val="00955F5F"/>
    <w:rsid w:val="00955F99"/>
    <w:rsid w:val="00955FCB"/>
    <w:rsid w:val="009561FA"/>
    <w:rsid w:val="00956283"/>
    <w:rsid w:val="00956690"/>
    <w:rsid w:val="00956DB0"/>
    <w:rsid w:val="009572C6"/>
    <w:rsid w:val="009573B0"/>
    <w:rsid w:val="009578FE"/>
    <w:rsid w:val="00957965"/>
    <w:rsid w:val="009579B5"/>
    <w:rsid w:val="009579BF"/>
    <w:rsid w:val="00957B20"/>
    <w:rsid w:val="00957C5E"/>
    <w:rsid w:val="00957D77"/>
    <w:rsid w:val="00957E94"/>
    <w:rsid w:val="0096021F"/>
    <w:rsid w:val="00960228"/>
    <w:rsid w:val="00960420"/>
    <w:rsid w:val="009604D2"/>
    <w:rsid w:val="00960795"/>
    <w:rsid w:val="00960ADE"/>
    <w:rsid w:val="00961078"/>
    <w:rsid w:val="009610D7"/>
    <w:rsid w:val="0096173D"/>
    <w:rsid w:val="00961BAA"/>
    <w:rsid w:val="00961F15"/>
    <w:rsid w:val="00962304"/>
    <w:rsid w:val="0096233D"/>
    <w:rsid w:val="0096251E"/>
    <w:rsid w:val="0096252D"/>
    <w:rsid w:val="00962606"/>
    <w:rsid w:val="00962782"/>
    <w:rsid w:val="00962B25"/>
    <w:rsid w:val="009630EE"/>
    <w:rsid w:val="00963554"/>
    <w:rsid w:val="00963A77"/>
    <w:rsid w:val="00963B96"/>
    <w:rsid w:val="00963CDF"/>
    <w:rsid w:val="00963CE5"/>
    <w:rsid w:val="00963E52"/>
    <w:rsid w:val="00964279"/>
    <w:rsid w:val="00964329"/>
    <w:rsid w:val="00964696"/>
    <w:rsid w:val="00964DDD"/>
    <w:rsid w:val="0096505E"/>
    <w:rsid w:val="009650ED"/>
    <w:rsid w:val="009659F7"/>
    <w:rsid w:val="00965E62"/>
    <w:rsid w:val="00966242"/>
    <w:rsid w:val="00966A5F"/>
    <w:rsid w:val="00966BFD"/>
    <w:rsid w:val="00966E78"/>
    <w:rsid w:val="0096700E"/>
    <w:rsid w:val="0096726D"/>
    <w:rsid w:val="00967904"/>
    <w:rsid w:val="009700F5"/>
    <w:rsid w:val="00970404"/>
    <w:rsid w:val="00970461"/>
    <w:rsid w:val="009704B2"/>
    <w:rsid w:val="009705CA"/>
    <w:rsid w:val="0097093C"/>
    <w:rsid w:val="00970966"/>
    <w:rsid w:val="00970B7E"/>
    <w:rsid w:val="00970B9A"/>
    <w:rsid w:val="00970C12"/>
    <w:rsid w:val="00970D56"/>
    <w:rsid w:val="00970DDC"/>
    <w:rsid w:val="00970E75"/>
    <w:rsid w:val="009711C4"/>
    <w:rsid w:val="00971235"/>
    <w:rsid w:val="00971284"/>
    <w:rsid w:val="00971360"/>
    <w:rsid w:val="0097169E"/>
    <w:rsid w:val="009716DD"/>
    <w:rsid w:val="00971707"/>
    <w:rsid w:val="009717D9"/>
    <w:rsid w:val="00971B69"/>
    <w:rsid w:val="00971BAB"/>
    <w:rsid w:val="00971D32"/>
    <w:rsid w:val="009720B2"/>
    <w:rsid w:val="009725E3"/>
    <w:rsid w:val="0097265E"/>
    <w:rsid w:val="009726F9"/>
    <w:rsid w:val="00972A26"/>
    <w:rsid w:val="00972BAE"/>
    <w:rsid w:val="00972D93"/>
    <w:rsid w:val="00973012"/>
    <w:rsid w:val="00973026"/>
    <w:rsid w:val="00973175"/>
    <w:rsid w:val="009732F9"/>
    <w:rsid w:val="0097353B"/>
    <w:rsid w:val="0097399E"/>
    <w:rsid w:val="00973EDF"/>
    <w:rsid w:val="00974563"/>
    <w:rsid w:val="0097461F"/>
    <w:rsid w:val="009747C6"/>
    <w:rsid w:val="00974AE3"/>
    <w:rsid w:val="00974BA9"/>
    <w:rsid w:val="00974C98"/>
    <w:rsid w:val="00974D71"/>
    <w:rsid w:val="009750B7"/>
    <w:rsid w:val="00975366"/>
    <w:rsid w:val="009756C7"/>
    <w:rsid w:val="0097577B"/>
    <w:rsid w:val="009758AA"/>
    <w:rsid w:val="00975970"/>
    <w:rsid w:val="009759C7"/>
    <w:rsid w:val="00975B28"/>
    <w:rsid w:val="00975D21"/>
    <w:rsid w:val="00976117"/>
    <w:rsid w:val="009762C2"/>
    <w:rsid w:val="0097640A"/>
    <w:rsid w:val="00976429"/>
    <w:rsid w:val="00976DAA"/>
    <w:rsid w:val="00977015"/>
    <w:rsid w:val="00977264"/>
    <w:rsid w:val="009776A1"/>
    <w:rsid w:val="00977B35"/>
    <w:rsid w:val="0098024A"/>
    <w:rsid w:val="00980531"/>
    <w:rsid w:val="00980580"/>
    <w:rsid w:val="009806DC"/>
    <w:rsid w:val="0098083E"/>
    <w:rsid w:val="00980A10"/>
    <w:rsid w:val="00980B95"/>
    <w:rsid w:val="00980BB0"/>
    <w:rsid w:val="00980BC0"/>
    <w:rsid w:val="00980E96"/>
    <w:rsid w:val="00980EE1"/>
    <w:rsid w:val="00980FB9"/>
    <w:rsid w:val="0098108B"/>
    <w:rsid w:val="00981339"/>
    <w:rsid w:val="009814F2"/>
    <w:rsid w:val="00981573"/>
    <w:rsid w:val="00981891"/>
    <w:rsid w:val="00981915"/>
    <w:rsid w:val="009819B4"/>
    <w:rsid w:val="00981A40"/>
    <w:rsid w:val="00981CC0"/>
    <w:rsid w:val="00982496"/>
    <w:rsid w:val="00982D3F"/>
    <w:rsid w:val="00982DAA"/>
    <w:rsid w:val="00982E97"/>
    <w:rsid w:val="00982F3A"/>
    <w:rsid w:val="0098321C"/>
    <w:rsid w:val="00983750"/>
    <w:rsid w:val="00983C3D"/>
    <w:rsid w:val="00984137"/>
    <w:rsid w:val="0098442B"/>
    <w:rsid w:val="00984761"/>
    <w:rsid w:val="00984E7C"/>
    <w:rsid w:val="00985816"/>
    <w:rsid w:val="00985B26"/>
    <w:rsid w:val="00985CFB"/>
    <w:rsid w:val="00985DDD"/>
    <w:rsid w:val="0098610D"/>
    <w:rsid w:val="00986613"/>
    <w:rsid w:val="00986CD2"/>
    <w:rsid w:val="00987602"/>
    <w:rsid w:val="00987A0D"/>
    <w:rsid w:val="00987B6B"/>
    <w:rsid w:val="00987D67"/>
    <w:rsid w:val="00987E3D"/>
    <w:rsid w:val="00987F4E"/>
    <w:rsid w:val="00990247"/>
    <w:rsid w:val="00990398"/>
    <w:rsid w:val="009908A0"/>
    <w:rsid w:val="00990ACB"/>
    <w:rsid w:val="00990B89"/>
    <w:rsid w:val="00990B8C"/>
    <w:rsid w:val="00990CDA"/>
    <w:rsid w:val="00990D29"/>
    <w:rsid w:val="00990D47"/>
    <w:rsid w:val="00990F55"/>
    <w:rsid w:val="0099102B"/>
    <w:rsid w:val="00991066"/>
    <w:rsid w:val="009914BC"/>
    <w:rsid w:val="00991872"/>
    <w:rsid w:val="0099188E"/>
    <w:rsid w:val="00991C4D"/>
    <w:rsid w:val="00991ECD"/>
    <w:rsid w:val="0099205D"/>
    <w:rsid w:val="009920A6"/>
    <w:rsid w:val="0099219E"/>
    <w:rsid w:val="009921B0"/>
    <w:rsid w:val="009921BF"/>
    <w:rsid w:val="009922AB"/>
    <w:rsid w:val="009928FF"/>
    <w:rsid w:val="00992A49"/>
    <w:rsid w:val="00992C0D"/>
    <w:rsid w:val="00992CD1"/>
    <w:rsid w:val="009933C6"/>
    <w:rsid w:val="00993C92"/>
    <w:rsid w:val="00993FA5"/>
    <w:rsid w:val="009941B1"/>
    <w:rsid w:val="00994228"/>
    <w:rsid w:val="0099426E"/>
    <w:rsid w:val="009942B7"/>
    <w:rsid w:val="009944D9"/>
    <w:rsid w:val="0099468E"/>
    <w:rsid w:val="00994939"/>
    <w:rsid w:val="00994BCB"/>
    <w:rsid w:val="009950CF"/>
    <w:rsid w:val="00995182"/>
    <w:rsid w:val="0099524A"/>
    <w:rsid w:val="0099526C"/>
    <w:rsid w:val="009953FE"/>
    <w:rsid w:val="0099582C"/>
    <w:rsid w:val="00995A49"/>
    <w:rsid w:val="00995A76"/>
    <w:rsid w:val="00995E35"/>
    <w:rsid w:val="009964CC"/>
    <w:rsid w:val="009965FF"/>
    <w:rsid w:val="00996ADB"/>
    <w:rsid w:val="00996FFF"/>
    <w:rsid w:val="00997627"/>
    <w:rsid w:val="009976A3"/>
    <w:rsid w:val="00997AD9"/>
    <w:rsid w:val="00997BCF"/>
    <w:rsid w:val="009A01F6"/>
    <w:rsid w:val="009A05C7"/>
    <w:rsid w:val="009A0782"/>
    <w:rsid w:val="009A0867"/>
    <w:rsid w:val="009A0BAD"/>
    <w:rsid w:val="009A0D2C"/>
    <w:rsid w:val="009A1407"/>
    <w:rsid w:val="009A16A4"/>
    <w:rsid w:val="009A1715"/>
    <w:rsid w:val="009A1746"/>
    <w:rsid w:val="009A198E"/>
    <w:rsid w:val="009A1BB5"/>
    <w:rsid w:val="009A20A6"/>
    <w:rsid w:val="009A2309"/>
    <w:rsid w:val="009A23D5"/>
    <w:rsid w:val="009A240D"/>
    <w:rsid w:val="009A27E5"/>
    <w:rsid w:val="009A2989"/>
    <w:rsid w:val="009A2A4D"/>
    <w:rsid w:val="009A2B3E"/>
    <w:rsid w:val="009A2D86"/>
    <w:rsid w:val="009A3031"/>
    <w:rsid w:val="009A3723"/>
    <w:rsid w:val="009A38AC"/>
    <w:rsid w:val="009A38D2"/>
    <w:rsid w:val="009A3C6F"/>
    <w:rsid w:val="009A3DEE"/>
    <w:rsid w:val="009A412D"/>
    <w:rsid w:val="009A4C69"/>
    <w:rsid w:val="009A4ECD"/>
    <w:rsid w:val="009A4F2C"/>
    <w:rsid w:val="009A5097"/>
    <w:rsid w:val="009A5EB4"/>
    <w:rsid w:val="009A5F67"/>
    <w:rsid w:val="009A6289"/>
    <w:rsid w:val="009A64BC"/>
    <w:rsid w:val="009A6F50"/>
    <w:rsid w:val="009A70A2"/>
    <w:rsid w:val="009B0007"/>
    <w:rsid w:val="009B0595"/>
    <w:rsid w:val="009B0597"/>
    <w:rsid w:val="009B0648"/>
    <w:rsid w:val="009B06BF"/>
    <w:rsid w:val="009B0976"/>
    <w:rsid w:val="009B098A"/>
    <w:rsid w:val="009B0D2C"/>
    <w:rsid w:val="009B0F97"/>
    <w:rsid w:val="009B13BB"/>
    <w:rsid w:val="009B15F5"/>
    <w:rsid w:val="009B1630"/>
    <w:rsid w:val="009B1685"/>
    <w:rsid w:val="009B16EE"/>
    <w:rsid w:val="009B1712"/>
    <w:rsid w:val="009B17A2"/>
    <w:rsid w:val="009B19F2"/>
    <w:rsid w:val="009B1E1D"/>
    <w:rsid w:val="009B1FD8"/>
    <w:rsid w:val="009B24B8"/>
    <w:rsid w:val="009B2B2D"/>
    <w:rsid w:val="009B2C80"/>
    <w:rsid w:val="009B2F71"/>
    <w:rsid w:val="009B2FE4"/>
    <w:rsid w:val="009B3470"/>
    <w:rsid w:val="009B34A6"/>
    <w:rsid w:val="009B3764"/>
    <w:rsid w:val="009B3C70"/>
    <w:rsid w:val="009B4097"/>
    <w:rsid w:val="009B498C"/>
    <w:rsid w:val="009B4C34"/>
    <w:rsid w:val="009B4D04"/>
    <w:rsid w:val="009B5961"/>
    <w:rsid w:val="009B5C7C"/>
    <w:rsid w:val="009B5F31"/>
    <w:rsid w:val="009B63C6"/>
    <w:rsid w:val="009B63DC"/>
    <w:rsid w:val="009B6871"/>
    <w:rsid w:val="009B68A2"/>
    <w:rsid w:val="009B68A3"/>
    <w:rsid w:val="009B6987"/>
    <w:rsid w:val="009B6A9D"/>
    <w:rsid w:val="009B6AF2"/>
    <w:rsid w:val="009B6EAF"/>
    <w:rsid w:val="009B6FDE"/>
    <w:rsid w:val="009B71BA"/>
    <w:rsid w:val="009B74B4"/>
    <w:rsid w:val="009B7A4C"/>
    <w:rsid w:val="009B7DCA"/>
    <w:rsid w:val="009C00F0"/>
    <w:rsid w:val="009C013F"/>
    <w:rsid w:val="009C04EC"/>
    <w:rsid w:val="009C0849"/>
    <w:rsid w:val="009C087F"/>
    <w:rsid w:val="009C0940"/>
    <w:rsid w:val="009C0BD3"/>
    <w:rsid w:val="009C0DEF"/>
    <w:rsid w:val="009C1709"/>
    <w:rsid w:val="009C1E67"/>
    <w:rsid w:val="009C1F81"/>
    <w:rsid w:val="009C2D05"/>
    <w:rsid w:val="009C2F00"/>
    <w:rsid w:val="009C31D6"/>
    <w:rsid w:val="009C4383"/>
    <w:rsid w:val="009C4666"/>
    <w:rsid w:val="009C46B8"/>
    <w:rsid w:val="009C4722"/>
    <w:rsid w:val="009C4A1C"/>
    <w:rsid w:val="009C4C03"/>
    <w:rsid w:val="009C512D"/>
    <w:rsid w:val="009C5195"/>
    <w:rsid w:val="009C548B"/>
    <w:rsid w:val="009C56B8"/>
    <w:rsid w:val="009C5A7D"/>
    <w:rsid w:val="009C5F36"/>
    <w:rsid w:val="009C5FF9"/>
    <w:rsid w:val="009C6097"/>
    <w:rsid w:val="009C6291"/>
    <w:rsid w:val="009C65B5"/>
    <w:rsid w:val="009C66FA"/>
    <w:rsid w:val="009C673D"/>
    <w:rsid w:val="009C6BCE"/>
    <w:rsid w:val="009C7604"/>
    <w:rsid w:val="009C7913"/>
    <w:rsid w:val="009C7B85"/>
    <w:rsid w:val="009C7EBD"/>
    <w:rsid w:val="009D0298"/>
    <w:rsid w:val="009D07D1"/>
    <w:rsid w:val="009D0ABD"/>
    <w:rsid w:val="009D138D"/>
    <w:rsid w:val="009D18E1"/>
    <w:rsid w:val="009D1B95"/>
    <w:rsid w:val="009D1E24"/>
    <w:rsid w:val="009D23FE"/>
    <w:rsid w:val="009D2A2D"/>
    <w:rsid w:val="009D2BB2"/>
    <w:rsid w:val="009D2CFB"/>
    <w:rsid w:val="009D2D4C"/>
    <w:rsid w:val="009D2D4E"/>
    <w:rsid w:val="009D2E6F"/>
    <w:rsid w:val="009D3696"/>
    <w:rsid w:val="009D3773"/>
    <w:rsid w:val="009D3898"/>
    <w:rsid w:val="009D395B"/>
    <w:rsid w:val="009D3B0A"/>
    <w:rsid w:val="009D3EF4"/>
    <w:rsid w:val="009D3F77"/>
    <w:rsid w:val="009D405A"/>
    <w:rsid w:val="009D407D"/>
    <w:rsid w:val="009D436D"/>
    <w:rsid w:val="009D4616"/>
    <w:rsid w:val="009D4987"/>
    <w:rsid w:val="009D4AE1"/>
    <w:rsid w:val="009D4AF0"/>
    <w:rsid w:val="009D512A"/>
    <w:rsid w:val="009D5175"/>
    <w:rsid w:val="009D5259"/>
    <w:rsid w:val="009D5733"/>
    <w:rsid w:val="009D5736"/>
    <w:rsid w:val="009D5BBF"/>
    <w:rsid w:val="009D62B3"/>
    <w:rsid w:val="009D6633"/>
    <w:rsid w:val="009D67F4"/>
    <w:rsid w:val="009D68C1"/>
    <w:rsid w:val="009D6DCE"/>
    <w:rsid w:val="009D6EA9"/>
    <w:rsid w:val="009D70A1"/>
    <w:rsid w:val="009D70E9"/>
    <w:rsid w:val="009D7253"/>
    <w:rsid w:val="009D73A5"/>
    <w:rsid w:val="009D74B8"/>
    <w:rsid w:val="009D760D"/>
    <w:rsid w:val="009D7645"/>
    <w:rsid w:val="009D766E"/>
    <w:rsid w:val="009D789E"/>
    <w:rsid w:val="009D78D6"/>
    <w:rsid w:val="009D79D2"/>
    <w:rsid w:val="009D7BC7"/>
    <w:rsid w:val="009D7BD9"/>
    <w:rsid w:val="009D7DEE"/>
    <w:rsid w:val="009E02D4"/>
    <w:rsid w:val="009E0689"/>
    <w:rsid w:val="009E0AE2"/>
    <w:rsid w:val="009E0C46"/>
    <w:rsid w:val="009E10B6"/>
    <w:rsid w:val="009E1161"/>
    <w:rsid w:val="009E1352"/>
    <w:rsid w:val="009E1667"/>
    <w:rsid w:val="009E191B"/>
    <w:rsid w:val="009E1991"/>
    <w:rsid w:val="009E1F4B"/>
    <w:rsid w:val="009E2329"/>
    <w:rsid w:val="009E24D1"/>
    <w:rsid w:val="009E295B"/>
    <w:rsid w:val="009E29E4"/>
    <w:rsid w:val="009E2B05"/>
    <w:rsid w:val="009E2C1B"/>
    <w:rsid w:val="009E302A"/>
    <w:rsid w:val="009E3122"/>
    <w:rsid w:val="009E3F51"/>
    <w:rsid w:val="009E423B"/>
    <w:rsid w:val="009E460E"/>
    <w:rsid w:val="009E4915"/>
    <w:rsid w:val="009E4AB6"/>
    <w:rsid w:val="009E4C55"/>
    <w:rsid w:val="009E4CA4"/>
    <w:rsid w:val="009E4CC1"/>
    <w:rsid w:val="009E53FF"/>
    <w:rsid w:val="009E5402"/>
    <w:rsid w:val="009E5496"/>
    <w:rsid w:val="009E572D"/>
    <w:rsid w:val="009E61E8"/>
    <w:rsid w:val="009E62B3"/>
    <w:rsid w:val="009E6452"/>
    <w:rsid w:val="009E6495"/>
    <w:rsid w:val="009E665D"/>
    <w:rsid w:val="009E68BE"/>
    <w:rsid w:val="009E68DD"/>
    <w:rsid w:val="009E6E93"/>
    <w:rsid w:val="009E6EEE"/>
    <w:rsid w:val="009E6FD5"/>
    <w:rsid w:val="009E7BB4"/>
    <w:rsid w:val="009F02B5"/>
    <w:rsid w:val="009F0837"/>
    <w:rsid w:val="009F0849"/>
    <w:rsid w:val="009F1847"/>
    <w:rsid w:val="009F18A5"/>
    <w:rsid w:val="009F2909"/>
    <w:rsid w:val="009F2A0F"/>
    <w:rsid w:val="009F2AE1"/>
    <w:rsid w:val="009F3051"/>
    <w:rsid w:val="009F34BF"/>
    <w:rsid w:val="009F3748"/>
    <w:rsid w:val="009F37C8"/>
    <w:rsid w:val="009F3C8B"/>
    <w:rsid w:val="009F3ED4"/>
    <w:rsid w:val="009F4095"/>
    <w:rsid w:val="009F40C5"/>
    <w:rsid w:val="009F434F"/>
    <w:rsid w:val="009F43A5"/>
    <w:rsid w:val="009F4640"/>
    <w:rsid w:val="009F48D6"/>
    <w:rsid w:val="009F4904"/>
    <w:rsid w:val="009F4C25"/>
    <w:rsid w:val="009F4C61"/>
    <w:rsid w:val="009F4C98"/>
    <w:rsid w:val="009F4E61"/>
    <w:rsid w:val="009F4F7A"/>
    <w:rsid w:val="009F5132"/>
    <w:rsid w:val="009F515E"/>
    <w:rsid w:val="009F5386"/>
    <w:rsid w:val="009F576A"/>
    <w:rsid w:val="009F5D03"/>
    <w:rsid w:val="009F62C7"/>
    <w:rsid w:val="009F66C9"/>
    <w:rsid w:val="009F7024"/>
    <w:rsid w:val="009F7062"/>
    <w:rsid w:val="009F71C9"/>
    <w:rsid w:val="009F7E38"/>
    <w:rsid w:val="009F7E52"/>
    <w:rsid w:val="009F7F36"/>
    <w:rsid w:val="009F7FD8"/>
    <w:rsid w:val="00A00206"/>
    <w:rsid w:val="00A0025E"/>
    <w:rsid w:val="00A009AD"/>
    <w:rsid w:val="00A00AB7"/>
    <w:rsid w:val="00A00B0B"/>
    <w:rsid w:val="00A00FCD"/>
    <w:rsid w:val="00A01007"/>
    <w:rsid w:val="00A01176"/>
    <w:rsid w:val="00A01396"/>
    <w:rsid w:val="00A014E5"/>
    <w:rsid w:val="00A01992"/>
    <w:rsid w:val="00A01B5F"/>
    <w:rsid w:val="00A01C42"/>
    <w:rsid w:val="00A01E94"/>
    <w:rsid w:val="00A01EF4"/>
    <w:rsid w:val="00A01F69"/>
    <w:rsid w:val="00A01FD2"/>
    <w:rsid w:val="00A0269A"/>
    <w:rsid w:val="00A028E1"/>
    <w:rsid w:val="00A02C3D"/>
    <w:rsid w:val="00A02CB8"/>
    <w:rsid w:val="00A02CD7"/>
    <w:rsid w:val="00A02CE7"/>
    <w:rsid w:val="00A03694"/>
    <w:rsid w:val="00A03A00"/>
    <w:rsid w:val="00A04021"/>
    <w:rsid w:val="00A049F9"/>
    <w:rsid w:val="00A04CBB"/>
    <w:rsid w:val="00A05032"/>
    <w:rsid w:val="00A05053"/>
    <w:rsid w:val="00A055C9"/>
    <w:rsid w:val="00A05930"/>
    <w:rsid w:val="00A05A88"/>
    <w:rsid w:val="00A05B9B"/>
    <w:rsid w:val="00A05E73"/>
    <w:rsid w:val="00A05F5F"/>
    <w:rsid w:val="00A065FF"/>
    <w:rsid w:val="00A06BE7"/>
    <w:rsid w:val="00A06C51"/>
    <w:rsid w:val="00A06FA8"/>
    <w:rsid w:val="00A0759C"/>
    <w:rsid w:val="00A07CAC"/>
    <w:rsid w:val="00A07CF5"/>
    <w:rsid w:val="00A07F72"/>
    <w:rsid w:val="00A1011E"/>
    <w:rsid w:val="00A10517"/>
    <w:rsid w:val="00A107D5"/>
    <w:rsid w:val="00A108DB"/>
    <w:rsid w:val="00A10A37"/>
    <w:rsid w:val="00A10C19"/>
    <w:rsid w:val="00A1130A"/>
    <w:rsid w:val="00A113B3"/>
    <w:rsid w:val="00A117A6"/>
    <w:rsid w:val="00A11A91"/>
    <w:rsid w:val="00A11E4A"/>
    <w:rsid w:val="00A120CA"/>
    <w:rsid w:val="00A12415"/>
    <w:rsid w:val="00A1243F"/>
    <w:rsid w:val="00A124B2"/>
    <w:rsid w:val="00A127C1"/>
    <w:rsid w:val="00A129D9"/>
    <w:rsid w:val="00A12C2A"/>
    <w:rsid w:val="00A12DA4"/>
    <w:rsid w:val="00A12F32"/>
    <w:rsid w:val="00A12FA9"/>
    <w:rsid w:val="00A133B5"/>
    <w:rsid w:val="00A1349B"/>
    <w:rsid w:val="00A135B5"/>
    <w:rsid w:val="00A13A48"/>
    <w:rsid w:val="00A14730"/>
    <w:rsid w:val="00A14890"/>
    <w:rsid w:val="00A14C7D"/>
    <w:rsid w:val="00A14E16"/>
    <w:rsid w:val="00A14EA7"/>
    <w:rsid w:val="00A15AB9"/>
    <w:rsid w:val="00A15AF5"/>
    <w:rsid w:val="00A1620D"/>
    <w:rsid w:val="00A16529"/>
    <w:rsid w:val="00A16600"/>
    <w:rsid w:val="00A16713"/>
    <w:rsid w:val="00A16811"/>
    <w:rsid w:val="00A16A5C"/>
    <w:rsid w:val="00A16B7C"/>
    <w:rsid w:val="00A16D1D"/>
    <w:rsid w:val="00A172CB"/>
    <w:rsid w:val="00A17335"/>
    <w:rsid w:val="00A17463"/>
    <w:rsid w:val="00A177F3"/>
    <w:rsid w:val="00A17CBB"/>
    <w:rsid w:val="00A17D2E"/>
    <w:rsid w:val="00A20757"/>
    <w:rsid w:val="00A20EF5"/>
    <w:rsid w:val="00A21CBA"/>
    <w:rsid w:val="00A21CC9"/>
    <w:rsid w:val="00A21CDE"/>
    <w:rsid w:val="00A21D97"/>
    <w:rsid w:val="00A22089"/>
    <w:rsid w:val="00A221DA"/>
    <w:rsid w:val="00A22260"/>
    <w:rsid w:val="00A22BC0"/>
    <w:rsid w:val="00A22D04"/>
    <w:rsid w:val="00A22EFF"/>
    <w:rsid w:val="00A231A5"/>
    <w:rsid w:val="00A233C3"/>
    <w:rsid w:val="00A23506"/>
    <w:rsid w:val="00A2350D"/>
    <w:rsid w:val="00A23642"/>
    <w:rsid w:val="00A2385F"/>
    <w:rsid w:val="00A23B91"/>
    <w:rsid w:val="00A24140"/>
    <w:rsid w:val="00A24583"/>
    <w:rsid w:val="00A24AD9"/>
    <w:rsid w:val="00A24F61"/>
    <w:rsid w:val="00A25460"/>
    <w:rsid w:val="00A25549"/>
    <w:rsid w:val="00A25A64"/>
    <w:rsid w:val="00A25CE4"/>
    <w:rsid w:val="00A25F26"/>
    <w:rsid w:val="00A260EE"/>
    <w:rsid w:val="00A2610D"/>
    <w:rsid w:val="00A262CD"/>
    <w:rsid w:val="00A26649"/>
    <w:rsid w:val="00A266A4"/>
    <w:rsid w:val="00A268DB"/>
    <w:rsid w:val="00A26EDF"/>
    <w:rsid w:val="00A26FBC"/>
    <w:rsid w:val="00A27807"/>
    <w:rsid w:val="00A27A35"/>
    <w:rsid w:val="00A27A37"/>
    <w:rsid w:val="00A27B26"/>
    <w:rsid w:val="00A27B78"/>
    <w:rsid w:val="00A27C8E"/>
    <w:rsid w:val="00A27D08"/>
    <w:rsid w:val="00A30032"/>
    <w:rsid w:val="00A3033B"/>
    <w:rsid w:val="00A30A65"/>
    <w:rsid w:val="00A30AE9"/>
    <w:rsid w:val="00A30D03"/>
    <w:rsid w:val="00A31506"/>
    <w:rsid w:val="00A319C7"/>
    <w:rsid w:val="00A32359"/>
    <w:rsid w:val="00A32658"/>
    <w:rsid w:val="00A32672"/>
    <w:rsid w:val="00A32685"/>
    <w:rsid w:val="00A32747"/>
    <w:rsid w:val="00A32B6E"/>
    <w:rsid w:val="00A32C66"/>
    <w:rsid w:val="00A32EC2"/>
    <w:rsid w:val="00A33643"/>
    <w:rsid w:val="00A3364C"/>
    <w:rsid w:val="00A336B5"/>
    <w:rsid w:val="00A339B4"/>
    <w:rsid w:val="00A33AC4"/>
    <w:rsid w:val="00A33BA6"/>
    <w:rsid w:val="00A33C74"/>
    <w:rsid w:val="00A33D4E"/>
    <w:rsid w:val="00A33E9D"/>
    <w:rsid w:val="00A33EFC"/>
    <w:rsid w:val="00A33FC2"/>
    <w:rsid w:val="00A3419F"/>
    <w:rsid w:val="00A341B2"/>
    <w:rsid w:val="00A34398"/>
    <w:rsid w:val="00A348F5"/>
    <w:rsid w:val="00A34B74"/>
    <w:rsid w:val="00A35536"/>
    <w:rsid w:val="00A35745"/>
    <w:rsid w:val="00A35808"/>
    <w:rsid w:val="00A359A1"/>
    <w:rsid w:val="00A359BD"/>
    <w:rsid w:val="00A35B31"/>
    <w:rsid w:val="00A35D62"/>
    <w:rsid w:val="00A36335"/>
    <w:rsid w:val="00A364BF"/>
    <w:rsid w:val="00A3694F"/>
    <w:rsid w:val="00A36BCA"/>
    <w:rsid w:val="00A36DF7"/>
    <w:rsid w:val="00A37084"/>
    <w:rsid w:val="00A372AA"/>
    <w:rsid w:val="00A373CF"/>
    <w:rsid w:val="00A3779E"/>
    <w:rsid w:val="00A377BA"/>
    <w:rsid w:val="00A37E14"/>
    <w:rsid w:val="00A40420"/>
    <w:rsid w:val="00A40446"/>
    <w:rsid w:val="00A40555"/>
    <w:rsid w:val="00A408B0"/>
    <w:rsid w:val="00A40933"/>
    <w:rsid w:val="00A40C88"/>
    <w:rsid w:val="00A40F04"/>
    <w:rsid w:val="00A41891"/>
    <w:rsid w:val="00A41A1F"/>
    <w:rsid w:val="00A41D21"/>
    <w:rsid w:val="00A42107"/>
    <w:rsid w:val="00A42267"/>
    <w:rsid w:val="00A4253D"/>
    <w:rsid w:val="00A42609"/>
    <w:rsid w:val="00A426B9"/>
    <w:rsid w:val="00A42EC8"/>
    <w:rsid w:val="00A4303A"/>
    <w:rsid w:val="00A43121"/>
    <w:rsid w:val="00A4315B"/>
    <w:rsid w:val="00A43690"/>
    <w:rsid w:val="00A4379A"/>
    <w:rsid w:val="00A4381A"/>
    <w:rsid w:val="00A4384E"/>
    <w:rsid w:val="00A43A3B"/>
    <w:rsid w:val="00A43E2D"/>
    <w:rsid w:val="00A44441"/>
    <w:rsid w:val="00A44449"/>
    <w:rsid w:val="00A4454E"/>
    <w:rsid w:val="00A4464E"/>
    <w:rsid w:val="00A446DB"/>
    <w:rsid w:val="00A449B8"/>
    <w:rsid w:val="00A45658"/>
    <w:rsid w:val="00A45BD5"/>
    <w:rsid w:val="00A460B5"/>
    <w:rsid w:val="00A4614D"/>
    <w:rsid w:val="00A46215"/>
    <w:rsid w:val="00A46245"/>
    <w:rsid w:val="00A46260"/>
    <w:rsid w:val="00A462B1"/>
    <w:rsid w:val="00A463A3"/>
    <w:rsid w:val="00A46472"/>
    <w:rsid w:val="00A465F0"/>
    <w:rsid w:val="00A4663C"/>
    <w:rsid w:val="00A467D3"/>
    <w:rsid w:val="00A469E8"/>
    <w:rsid w:val="00A46F88"/>
    <w:rsid w:val="00A46FE3"/>
    <w:rsid w:val="00A46FFB"/>
    <w:rsid w:val="00A470D4"/>
    <w:rsid w:val="00A4714F"/>
    <w:rsid w:val="00A4719D"/>
    <w:rsid w:val="00A47AAB"/>
    <w:rsid w:val="00A47B27"/>
    <w:rsid w:val="00A47D6A"/>
    <w:rsid w:val="00A50009"/>
    <w:rsid w:val="00A5003E"/>
    <w:rsid w:val="00A504A7"/>
    <w:rsid w:val="00A50975"/>
    <w:rsid w:val="00A50AB3"/>
    <w:rsid w:val="00A519D1"/>
    <w:rsid w:val="00A51B9D"/>
    <w:rsid w:val="00A51F77"/>
    <w:rsid w:val="00A521D4"/>
    <w:rsid w:val="00A5237D"/>
    <w:rsid w:val="00A52E2F"/>
    <w:rsid w:val="00A531C4"/>
    <w:rsid w:val="00A534B5"/>
    <w:rsid w:val="00A536DC"/>
    <w:rsid w:val="00A53B2A"/>
    <w:rsid w:val="00A53B5E"/>
    <w:rsid w:val="00A53DD5"/>
    <w:rsid w:val="00A53E9F"/>
    <w:rsid w:val="00A544C0"/>
    <w:rsid w:val="00A5497B"/>
    <w:rsid w:val="00A54A36"/>
    <w:rsid w:val="00A54B2F"/>
    <w:rsid w:val="00A54B82"/>
    <w:rsid w:val="00A54EEF"/>
    <w:rsid w:val="00A553D4"/>
    <w:rsid w:val="00A55401"/>
    <w:rsid w:val="00A5548A"/>
    <w:rsid w:val="00A554C4"/>
    <w:rsid w:val="00A5571D"/>
    <w:rsid w:val="00A55D11"/>
    <w:rsid w:val="00A55D14"/>
    <w:rsid w:val="00A55EEA"/>
    <w:rsid w:val="00A5601E"/>
    <w:rsid w:val="00A562EF"/>
    <w:rsid w:val="00A56371"/>
    <w:rsid w:val="00A5680A"/>
    <w:rsid w:val="00A5694A"/>
    <w:rsid w:val="00A569DB"/>
    <w:rsid w:val="00A56C52"/>
    <w:rsid w:val="00A57107"/>
    <w:rsid w:val="00A571BB"/>
    <w:rsid w:val="00A575E5"/>
    <w:rsid w:val="00A57A8B"/>
    <w:rsid w:val="00A57C30"/>
    <w:rsid w:val="00A601CE"/>
    <w:rsid w:val="00A604EE"/>
    <w:rsid w:val="00A60539"/>
    <w:rsid w:val="00A609E3"/>
    <w:rsid w:val="00A60A16"/>
    <w:rsid w:val="00A60A2B"/>
    <w:rsid w:val="00A60C25"/>
    <w:rsid w:val="00A60DE3"/>
    <w:rsid w:val="00A60EC7"/>
    <w:rsid w:val="00A61064"/>
    <w:rsid w:val="00A611C8"/>
    <w:rsid w:val="00A61C89"/>
    <w:rsid w:val="00A61D1B"/>
    <w:rsid w:val="00A61E6F"/>
    <w:rsid w:val="00A62120"/>
    <w:rsid w:val="00A6251E"/>
    <w:rsid w:val="00A626C5"/>
    <w:rsid w:val="00A628B7"/>
    <w:rsid w:val="00A62E9F"/>
    <w:rsid w:val="00A6318E"/>
    <w:rsid w:val="00A632F3"/>
    <w:rsid w:val="00A63301"/>
    <w:rsid w:val="00A6399E"/>
    <w:rsid w:val="00A63AFC"/>
    <w:rsid w:val="00A643C0"/>
    <w:rsid w:val="00A6446A"/>
    <w:rsid w:val="00A6458F"/>
    <w:rsid w:val="00A6476D"/>
    <w:rsid w:val="00A647A5"/>
    <w:rsid w:val="00A647A7"/>
    <w:rsid w:val="00A64DA6"/>
    <w:rsid w:val="00A64E62"/>
    <w:rsid w:val="00A65007"/>
    <w:rsid w:val="00A6526E"/>
    <w:rsid w:val="00A655C8"/>
    <w:rsid w:val="00A65B2C"/>
    <w:rsid w:val="00A65B68"/>
    <w:rsid w:val="00A65C89"/>
    <w:rsid w:val="00A6638B"/>
    <w:rsid w:val="00A66645"/>
    <w:rsid w:val="00A66A29"/>
    <w:rsid w:val="00A66EB4"/>
    <w:rsid w:val="00A67059"/>
    <w:rsid w:val="00A672F0"/>
    <w:rsid w:val="00A67344"/>
    <w:rsid w:val="00A674BC"/>
    <w:rsid w:val="00A675A6"/>
    <w:rsid w:val="00A67766"/>
    <w:rsid w:val="00A67914"/>
    <w:rsid w:val="00A6792B"/>
    <w:rsid w:val="00A67A2C"/>
    <w:rsid w:val="00A67A57"/>
    <w:rsid w:val="00A67C96"/>
    <w:rsid w:val="00A70197"/>
    <w:rsid w:val="00A703EF"/>
    <w:rsid w:val="00A7089B"/>
    <w:rsid w:val="00A70B90"/>
    <w:rsid w:val="00A70C5A"/>
    <w:rsid w:val="00A710B6"/>
    <w:rsid w:val="00A714B2"/>
    <w:rsid w:val="00A718CC"/>
    <w:rsid w:val="00A71CFF"/>
    <w:rsid w:val="00A71D47"/>
    <w:rsid w:val="00A71E23"/>
    <w:rsid w:val="00A720FF"/>
    <w:rsid w:val="00A723B9"/>
    <w:rsid w:val="00A723F4"/>
    <w:rsid w:val="00A7244F"/>
    <w:rsid w:val="00A72641"/>
    <w:rsid w:val="00A727F7"/>
    <w:rsid w:val="00A7284A"/>
    <w:rsid w:val="00A72E86"/>
    <w:rsid w:val="00A72FE4"/>
    <w:rsid w:val="00A731A3"/>
    <w:rsid w:val="00A731BA"/>
    <w:rsid w:val="00A735C3"/>
    <w:rsid w:val="00A737D5"/>
    <w:rsid w:val="00A73E37"/>
    <w:rsid w:val="00A73E57"/>
    <w:rsid w:val="00A74008"/>
    <w:rsid w:val="00A74765"/>
    <w:rsid w:val="00A74855"/>
    <w:rsid w:val="00A74870"/>
    <w:rsid w:val="00A748DC"/>
    <w:rsid w:val="00A74938"/>
    <w:rsid w:val="00A74C7C"/>
    <w:rsid w:val="00A74D69"/>
    <w:rsid w:val="00A74D75"/>
    <w:rsid w:val="00A74ED9"/>
    <w:rsid w:val="00A7513B"/>
    <w:rsid w:val="00A751B1"/>
    <w:rsid w:val="00A75224"/>
    <w:rsid w:val="00A75644"/>
    <w:rsid w:val="00A75797"/>
    <w:rsid w:val="00A7589A"/>
    <w:rsid w:val="00A758E7"/>
    <w:rsid w:val="00A75DB9"/>
    <w:rsid w:val="00A7694A"/>
    <w:rsid w:val="00A76B37"/>
    <w:rsid w:val="00A76C02"/>
    <w:rsid w:val="00A76DBC"/>
    <w:rsid w:val="00A76F8B"/>
    <w:rsid w:val="00A76FF6"/>
    <w:rsid w:val="00A7704F"/>
    <w:rsid w:val="00A7715B"/>
    <w:rsid w:val="00A772A3"/>
    <w:rsid w:val="00A773EC"/>
    <w:rsid w:val="00A77653"/>
    <w:rsid w:val="00A776EB"/>
    <w:rsid w:val="00A777E3"/>
    <w:rsid w:val="00A77A60"/>
    <w:rsid w:val="00A77D91"/>
    <w:rsid w:val="00A8033A"/>
    <w:rsid w:val="00A80491"/>
    <w:rsid w:val="00A805EC"/>
    <w:rsid w:val="00A808C7"/>
    <w:rsid w:val="00A8099F"/>
    <w:rsid w:val="00A80F84"/>
    <w:rsid w:val="00A8154E"/>
    <w:rsid w:val="00A81994"/>
    <w:rsid w:val="00A819C2"/>
    <w:rsid w:val="00A81C0C"/>
    <w:rsid w:val="00A81E7B"/>
    <w:rsid w:val="00A82061"/>
    <w:rsid w:val="00A8208B"/>
    <w:rsid w:val="00A82221"/>
    <w:rsid w:val="00A82253"/>
    <w:rsid w:val="00A82488"/>
    <w:rsid w:val="00A828B1"/>
    <w:rsid w:val="00A829BF"/>
    <w:rsid w:val="00A82ABF"/>
    <w:rsid w:val="00A82B82"/>
    <w:rsid w:val="00A82CE3"/>
    <w:rsid w:val="00A82DD4"/>
    <w:rsid w:val="00A82DD7"/>
    <w:rsid w:val="00A832A6"/>
    <w:rsid w:val="00A832B8"/>
    <w:rsid w:val="00A832FE"/>
    <w:rsid w:val="00A83656"/>
    <w:rsid w:val="00A83AC1"/>
    <w:rsid w:val="00A83CBB"/>
    <w:rsid w:val="00A842B2"/>
    <w:rsid w:val="00A842F7"/>
    <w:rsid w:val="00A843B7"/>
    <w:rsid w:val="00A843BD"/>
    <w:rsid w:val="00A8474C"/>
    <w:rsid w:val="00A8475E"/>
    <w:rsid w:val="00A84774"/>
    <w:rsid w:val="00A84E3C"/>
    <w:rsid w:val="00A85231"/>
    <w:rsid w:val="00A85286"/>
    <w:rsid w:val="00A85561"/>
    <w:rsid w:val="00A85583"/>
    <w:rsid w:val="00A857A9"/>
    <w:rsid w:val="00A85A4D"/>
    <w:rsid w:val="00A85E0A"/>
    <w:rsid w:val="00A862EC"/>
    <w:rsid w:val="00A86359"/>
    <w:rsid w:val="00A86383"/>
    <w:rsid w:val="00A864CB"/>
    <w:rsid w:val="00A866C9"/>
    <w:rsid w:val="00A86FA1"/>
    <w:rsid w:val="00A871AD"/>
    <w:rsid w:val="00A87299"/>
    <w:rsid w:val="00A873F0"/>
    <w:rsid w:val="00A87621"/>
    <w:rsid w:val="00A87929"/>
    <w:rsid w:val="00A87A8D"/>
    <w:rsid w:val="00A87FF2"/>
    <w:rsid w:val="00A87FF3"/>
    <w:rsid w:val="00A905CB"/>
    <w:rsid w:val="00A9062E"/>
    <w:rsid w:val="00A907BE"/>
    <w:rsid w:val="00A907F8"/>
    <w:rsid w:val="00A9081B"/>
    <w:rsid w:val="00A90906"/>
    <w:rsid w:val="00A90BBC"/>
    <w:rsid w:val="00A90CA8"/>
    <w:rsid w:val="00A90EBB"/>
    <w:rsid w:val="00A917C7"/>
    <w:rsid w:val="00A9191A"/>
    <w:rsid w:val="00A91BA6"/>
    <w:rsid w:val="00A91DAD"/>
    <w:rsid w:val="00A922FA"/>
    <w:rsid w:val="00A92522"/>
    <w:rsid w:val="00A92833"/>
    <w:rsid w:val="00A928B7"/>
    <w:rsid w:val="00A92A4F"/>
    <w:rsid w:val="00A92AD0"/>
    <w:rsid w:val="00A92B4A"/>
    <w:rsid w:val="00A92E10"/>
    <w:rsid w:val="00A92FF8"/>
    <w:rsid w:val="00A9349C"/>
    <w:rsid w:val="00A93892"/>
    <w:rsid w:val="00A93926"/>
    <w:rsid w:val="00A939C2"/>
    <w:rsid w:val="00A93B0B"/>
    <w:rsid w:val="00A93CBC"/>
    <w:rsid w:val="00A93E8F"/>
    <w:rsid w:val="00A93F57"/>
    <w:rsid w:val="00A9412D"/>
    <w:rsid w:val="00A942BF"/>
    <w:rsid w:val="00A94309"/>
    <w:rsid w:val="00A9434E"/>
    <w:rsid w:val="00A945A1"/>
    <w:rsid w:val="00A946C3"/>
    <w:rsid w:val="00A94B0F"/>
    <w:rsid w:val="00A94EE2"/>
    <w:rsid w:val="00A94FC0"/>
    <w:rsid w:val="00A94FE6"/>
    <w:rsid w:val="00A95318"/>
    <w:rsid w:val="00A954B0"/>
    <w:rsid w:val="00A95D0C"/>
    <w:rsid w:val="00A95D65"/>
    <w:rsid w:val="00A96045"/>
    <w:rsid w:val="00A9615B"/>
    <w:rsid w:val="00A96182"/>
    <w:rsid w:val="00A96410"/>
    <w:rsid w:val="00A9713C"/>
    <w:rsid w:val="00A9746F"/>
    <w:rsid w:val="00A97B6D"/>
    <w:rsid w:val="00A97DDA"/>
    <w:rsid w:val="00A97E3C"/>
    <w:rsid w:val="00AA0311"/>
    <w:rsid w:val="00AA0457"/>
    <w:rsid w:val="00AA04E3"/>
    <w:rsid w:val="00AA0835"/>
    <w:rsid w:val="00AA2382"/>
    <w:rsid w:val="00AA2634"/>
    <w:rsid w:val="00AA26DC"/>
    <w:rsid w:val="00AA26E4"/>
    <w:rsid w:val="00AA2BC5"/>
    <w:rsid w:val="00AA30E4"/>
    <w:rsid w:val="00AA3396"/>
    <w:rsid w:val="00AA36F4"/>
    <w:rsid w:val="00AA38AF"/>
    <w:rsid w:val="00AA3A38"/>
    <w:rsid w:val="00AA3D6C"/>
    <w:rsid w:val="00AA3E0E"/>
    <w:rsid w:val="00AA42F4"/>
    <w:rsid w:val="00AA435F"/>
    <w:rsid w:val="00AA4969"/>
    <w:rsid w:val="00AA4A1B"/>
    <w:rsid w:val="00AA4A64"/>
    <w:rsid w:val="00AA4AA1"/>
    <w:rsid w:val="00AA4C87"/>
    <w:rsid w:val="00AA51E0"/>
    <w:rsid w:val="00AA51F4"/>
    <w:rsid w:val="00AA5615"/>
    <w:rsid w:val="00AA5B13"/>
    <w:rsid w:val="00AA5D8D"/>
    <w:rsid w:val="00AA5EC6"/>
    <w:rsid w:val="00AA62B2"/>
    <w:rsid w:val="00AA62C5"/>
    <w:rsid w:val="00AA6301"/>
    <w:rsid w:val="00AA64A4"/>
    <w:rsid w:val="00AA6738"/>
    <w:rsid w:val="00AA6AE5"/>
    <w:rsid w:val="00AA6B76"/>
    <w:rsid w:val="00AA6B79"/>
    <w:rsid w:val="00AA6DE8"/>
    <w:rsid w:val="00AA6E23"/>
    <w:rsid w:val="00AA74B4"/>
    <w:rsid w:val="00AA74E0"/>
    <w:rsid w:val="00AA78CD"/>
    <w:rsid w:val="00AA7C1A"/>
    <w:rsid w:val="00AA7E24"/>
    <w:rsid w:val="00AA7EF4"/>
    <w:rsid w:val="00AA7F9C"/>
    <w:rsid w:val="00AB0041"/>
    <w:rsid w:val="00AB00A6"/>
    <w:rsid w:val="00AB00D2"/>
    <w:rsid w:val="00AB04E4"/>
    <w:rsid w:val="00AB05B2"/>
    <w:rsid w:val="00AB0638"/>
    <w:rsid w:val="00AB0872"/>
    <w:rsid w:val="00AB0AB3"/>
    <w:rsid w:val="00AB0AFC"/>
    <w:rsid w:val="00AB0C0B"/>
    <w:rsid w:val="00AB0E91"/>
    <w:rsid w:val="00AB0FA1"/>
    <w:rsid w:val="00AB11DF"/>
    <w:rsid w:val="00AB13A9"/>
    <w:rsid w:val="00AB1612"/>
    <w:rsid w:val="00AB20DF"/>
    <w:rsid w:val="00AB21E1"/>
    <w:rsid w:val="00AB231A"/>
    <w:rsid w:val="00AB2397"/>
    <w:rsid w:val="00AB2923"/>
    <w:rsid w:val="00AB3160"/>
    <w:rsid w:val="00AB34C3"/>
    <w:rsid w:val="00AB3546"/>
    <w:rsid w:val="00AB3562"/>
    <w:rsid w:val="00AB3564"/>
    <w:rsid w:val="00AB386D"/>
    <w:rsid w:val="00AB3A70"/>
    <w:rsid w:val="00AB3A76"/>
    <w:rsid w:val="00AB424B"/>
    <w:rsid w:val="00AB42E3"/>
    <w:rsid w:val="00AB455C"/>
    <w:rsid w:val="00AB4651"/>
    <w:rsid w:val="00AB47A1"/>
    <w:rsid w:val="00AB4890"/>
    <w:rsid w:val="00AB48F4"/>
    <w:rsid w:val="00AB4C14"/>
    <w:rsid w:val="00AB4C42"/>
    <w:rsid w:val="00AB5035"/>
    <w:rsid w:val="00AB526C"/>
    <w:rsid w:val="00AB53B5"/>
    <w:rsid w:val="00AB5AC3"/>
    <w:rsid w:val="00AB5C50"/>
    <w:rsid w:val="00AB5CB9"/>
    <w:rsid w:val="00AB5ECB"/>
    <w:rsid w:val="00AB5F01"/>
    <w:rsid w:val="00AB612B"/>
    <w:rsid w:val="00AB6224"/>
    <w:rsid w:val="00AB6388"/>
    <w:rsid w:val="00AB6873"/>
    <w:rsid w:val="00AB6A00"/>
    <w:rsid w:val="00AB6DB1"/>
    <w:rsid w:val="00AB6F7A"/>
    <w:rsid w:val="00AB70FE"/>
    <w:rsid w:val="00AB74BA"/>
    <w:rsid w:val="00AB7673"/>
    <w:rsid w:val="00AB7B5F"/>
    <w:rsid w:val="00AB7CCD"/>
    <w:rsid w:val="00AB7FE7"/>
    <w:rsid w:val="00AC0210"/>
    <w:rsid w:val="00AC0559"/>
    <w:rsid w:val="00AC0A4D"/>
    <w:rsid w:val="00AC0C67"/>
    <w:rsid w:val="00AC0D67"/>
    <w:rsid w:val="00AC1871"/>
    <w:rsid w:val="00AC19FB"/>
    <w:rsid w:val="00AC202A"/>
    <w:rsid w:val="00AC206A"/>
    <w:rsid w:val="00AC2073"/>
    <w:rsid w:val="00AC25E0"/>
    <w:rsid w:val="00AC26AD"/>
    <w:rsid w:val="00AC2DD8"/>
    <w:rsid w:val="00AC2E72"/>
    <w:rsid w:val="00AC3001"/>
    <w:rsid w:val="00AC3074"/>
    <w:rsid w:val="00AC3686"/>
    <w:rsid w:val="00AC3F98"/>
    <w:rsid w:val="00AC3FAE"/>
    <w:rsid w:val="00AC4040"/>
    <w:rsid w:val="00AC4725"/>
    <w:rsid w:val="00AC48B5"/>
    <w:rsid w:val="00AC48B6"/>
    <w:rsid w:val="00AC4A27"/>
    <w:rsid w:val="00AC4CA4"/>
    <w:rsid w:val="00AC4EAC"/>
    <w:rsid w:val="00AC5001"/>
    <w:rsid w:val="00AC50EF"/>
    <w:rsid w:val="00AC52B5"/>
    <w:rsid w:val="00AC5705"/>
    <w:rsid w:val="00AC5B0A"/>
    <w:rsid w:val="00AC5B9E"/>
    <w:rsid w:val="00AC5C49"/>
    <w:rsid w:val="00AC5E9D"/>
    <w:rsid w:val="00AC6270"/>
    <w:rsid w:val="00AC65AA"/>
    <w:rsid w:val="00AC66B8"/>
    <w:rsid w:val="00AC6C08"/>
    <w:rsid w:val="00AC6D36"/>
    <w:rsid w:val="00AC77B0"/>
    <w:rsid w:val="00AC77E8"/>
    <w:rsid w:val="00AC7B7E"/>
    <w:rsid w:val="00AC7E32"/>
    <w:rsid w:val="00AC7FB5"/>
    <w:rsid w:val="00AD01B7"/>
    <w:rsid w:val="00AD1AA4"/>
    <w:rsid w:val="00AD1D50"/>
    <w:rsid w:val="00AD1DDB"/>
    <w:rsid w:val="00AD1F4A"/>
    <w:rsid w:val="00AD228B"/>
    <w:rsid w:val="00AD25ED"/>
    <w:rsid w:val="00AD30D0"/>
    <w:rsid w:val="00AD31E0"/>
    <w:rsid w:val="00AD3486"/>
    <w:rsid w:val="00AD36FB"/>
    <w:rsid w:val="00AD394E"/>
    <w:rsid w:val="00AD39DF"/>
    <w:rsid w:val="00AD3C07"/>
    <w:rsid w:val="00AD3CB1"/>
    <w:rsid w:val="00AD3FD0"/>
    <w:rsid w:val="00AD443F"/>
    <w:rsid w:val="00AD44E2"/>
    <w:rsid w:val="00AD4597"/>
    <w:rsid w:val="00AD460A"/>
    <w:rsid w:val="00AD4784"/>
    <w:rsid w:val="00AD4811"/>
    <w:rsid w:val="00AD49EB"/>
    <w:rsid w:val="00AD4A49"/>
    <w:rsid w:val="00AD4BB6"/>
    <w:rsid w:val="00AD501B"/>
    <w:rsid w:val="00AD51D8"/>
    <w:rsid w:val="00AD53A3"/>
    <w:rsid w:val="00AD54E0"/>
    <w:rsid w:val="00AD5564"/>
    <w:rsid w:val="00AD5853"/>
    <w:rsid w:val="00AD5BA7"/>
    <w:rsid w:val="00AD5BFD"/>
    <w:rsid w:val="00AD5D3C"/>
    <w:rsid w:val="00AD60B0"/>
    <w:rsid w:val="00AD6282"/>
    <w:rsid w:val="00AD67E5"/>
    <w:rsid w:val="00AD690B"/>
    <w:rsid w:val="00AD6A17"/>
    <w:rsid w:val="00AD6A76"/>
    <w:rsid w:val="00AD6A79"/>
    <w:rsid w:val="00AD777D"/>
    <w:rsid w:val="00AD792F"/>
    <w:rsid w:val="00AD7994"/>
    <w:rsid w:val="00AD7E3C"/>
    <w:rsid w:val="00AD7E92"/>
    <w:rsid w:val="00AE005D"/>
    <w:rsid w:val="00AE0557"/>
    <w:rsid w:val="00AE068C"/>
    <w:rsid w:val="00AE07C6"/>
    <w:rsid w:val="00AE0B7E"/>
    <w:rsid w:val="00AE0C56"/>
    <w:rsid w:val="00AE0E3E"/>
    <w:rsid w:val="00AE10E0"/>
    <w:rsid w:val="00AE10FD"/>
    <w:rsid w:val="00AE11BE"/>
    <w:rsid w:val="00AE1373"/>
    <w:rsid w:val="00AE1C37"/>
    <w:rsid w:val="00AE1F54"/>
    <w:rsid w:val="00AE1FB7"/>
    <w:rsid w:val="00AE1FEA"/>
    <w:rsid w:val="00AE202A"/>
    <w:rsid w:val="00AE20B2"/>
    <w:rsid w:val="00AE20F7"/>
    <w:rsid w:val="00AE270D"/>
    <w:rsid w:val="00AE2804"/>
    <w:rsid w:val="00AE28D7"/>
    <w:rsid w:val="00AE2910"/>
    <w:rsid w:val="00AE2AFA"/>
    <w:rsid w:val="00AE30A1"/>
    <w:rsid w:val="00AE3192"/>
    <w:rsid w:val="00AE3429"/>
    <w:rsid w:val="00AE36A4"/>
    <w:rsid w:val="00AE3903"/>
    <w:rsid w:val="00AE3A80"/>
    <w:rsid w:val="00AE3DD8"/>
    <w:rsid w:val="00AE41D7"/>
    <w:rsid w:val="00AE4A2A"/>
    <w:rsid w:val="00AE50BF"/>
    <w:rsid w:val="00AE52D6"/>
    <w:rsid w:val="00AE5568"/>
    <w:rsid w:val="00AE58A8"/>
    <w:rsid w:val="00AE5AC3"/>
    <w:rsid w:val="00AE5B9D"/>
    <w:rsid w:val="00AE5BEE"/>
    <w:rsid w:val="00AE5DF8"/>
    <w:rsid w:val="00AE6022"/>
    <w:rsid w:val="00AE6274"/>
    <w:rsid w:val="00AE62BD"/>
    <w:rsid w:val="00AE699D"/>
    <w:rsid w:val="00AE69BB"/>
    <w:rsid w:val="00AE6A2D"/>
    <w:rsid w:val="00AE6C47"/>
    <w:rsid w:val="00AE6D20"/>
    <w:rsid w:val="00AE6FA3"/>
    <w:rsid w:val="00AE7001"/>
    <w:rsid w:val="00AE705D"/>
    <w:rsid w:val="00AE70E5"/>
    <w:rsid w:val="00AE747C"/>
    <w:rsid w:val="00AE761C"/>
    <w:rsid w:val="00AE76A0"/>
    <w:rsid w:val="00AE7879"/>
    <w:rsid w:val="00AE7993"/>
    <w:rsid w:val="00AE7C67"/>
    <w:rsid w:val="00AE7CF0"/>
    <w:rsid w:val="00AE7F5D"/>
    <w:rsid w:val="00AF0245"/>
    <w:rsid w:val="00AF0326"/>
    <w:rsid w:val="00AF0B89"/>
    <w:rsid w:val="00AF0BDB"/>
    <w:rsid w:val="00AF0D61"/>
    <w:rsid w:val="00AF0DF7"/>
    <w:rsid w:val="00AF16B5"/>
    <w:rsid w:val="00AF18B6"/>
    <w:rsid w:val="00AF18D8"/>
    <w:rsid w:val="00AF1C89"/>
    <w:rsid w:val="00AF24E3"/>
    <w:rsid w:val="00AF2539"/>
    <w:rsid w:val="00AF2B20"/>
    <w:rsid w:val="00AF2B2E"/>
    <w:rsid w:val="00AF2B43"/>
    <w:rsid w:val="00AF2BC6"/>
    <w:rsid w:val="00AF2CA6"/>
    <w:rsid w:val="00AF3087"/>
    <w:rsid w:val="00AF3090"/>
    <w:rsid w:val="00AF4139"/>
    <w:rsid w:val="00AF460B"/>
    <w:rsid w:val="00AF49F2"/>
    <w:rsid w:val="00AF4B2C"/>
    <w:rsid w:val="00AF508D"/>
    <w:rsid w:val="00AF5229"/>
    <w:rsid w:val="00AF52D5"/>
    <w:rsid w:val="00AF56E3"/>
    <w:rsid w:val="00AF5803"/>
    <w:rsid w:val="00AF5A8B"/>
    <w:rsid w:val="00AF5B53"/>
    <w:rsid w:val="00AF5BEE"/>
    <w:rsid w:val="00AF5C75"/>
    <w:rsid w:val="00AF6477"/>
    <w:rsid w:val="00AF6656"/>
    <w:rsid w:val="00AF668F"/>
    <w:rsid w:val="00AF6710"/>
    <w:rsid w:val="00AF67BC"/>
    <w:rsid w:val="00AF6C48"/>
    <w:rsid w:val="00AF6FFE"/>
    <w:rsid w:val="00AF7074"/>
    <w:rsid w:val="00AF75BA"/>
    <w:rsid w:val="00AF766C"/>
    <w:rsid w:val="00B001F5"/>
    <w:rsid w:val="00B00605"/>
    <w:rsid w:val="00B00709"/>
    <w:rsid w:val="00B009D9"/>
    <w:rsid w:val="00B00A82"/>
    <w:rsid w:val="00B00DE2"/>
    <w:rsid w:val="00B00DE3"/>
    <w:rsid w:val="00B0148B"/>
    <w:rsid w:val="00B019B7"/>
    <w:rsid w:val="00B01A58"/>
    <w:rsid w:val="00B01E5A"/>
    <w:rsid w:val="00B0244B"/>
    <w:rsid w:val="00B02B4D"/>
    <w:rsid w:val="00B02D9B"/>
    <w:rsid w:val="00B02E44"/>
    <w:rsid w:val="00B02EB5"/>
    <w:rsid w:val="00B02EC8"/>
    <w:rsid w:val="00B03473"/>
    <w:rsid w:val="00B03700"/>
    <w:rsid w:val="00B03E96"/>
    <w:rsid w:val="00B040A3"/>
    <w:rsid w:val="00B0490B"/>
    <w:rsid w:val="00B04ED8"/>
    <w:rsid w:val="00B0521F"/>
    <w:rsid w:val="00B0529C"/>
    <w:rsid w:val="00B0531B"/>
    <w:rsid w:val="00B053B4"/>
    <w:rsid w:val="00B05413"/>
    <w:rsid w:val="00B054CC"/>
    <w:rsid w:val="00B059ED"/>
    <w:rsid w:val="00B05AEF"/>
    <w:rsid w:val="00B05B72"/>
    <w:rsid w:val="00B05E0A"/>
    <w:rsid w:val="00B065C2"/>
    <w:rsid w:val="00B069BD"/>
    <w:rsid w:val="00B07142"/>
    <w:rsid w:val="00B07814"/>
    <w:rsid w:val="00B07B22"/>
    <w:rsid w:val="00B07EC4"/>
    <w:rsid w:val="00B07F9C"/>
    <w:rsid w:val="00B0A413"/>
    <w:rsid w:val="00B106F2"/>
    <w:rsid w:val="00B10718"/>
    <w:rsid w:val="00B1074C"/>
    <w:rsid w:val="00B10932"/>
    <w:rsid w:val="00B10FF1"/>
    <w:rsid w:val="00B1107C"/>
    <w:rsid w:val="00B11607"/>
    <w:rsid w:val="00B11762"/>
    <w:rsid w:val="00B117D3"/>
    <w:rsid w:val="00B11884"/>
    <w:rsid w:val="00B11AD2"/>
    <w:rsid w:val="00B11B1F"/>
    <w:rsid w:val="00B11B69"/>
    <w:rsid w:val="00B11F44"/>
    <w:rsid w:val="00B11F55"/>
    <w:rsid w:val="00B1225B"/>
    <w:rsid w:val="00B12D00"/>
    <w:rsid w:val="00B12E20"/>
    <w:rsid w:val="00B12EC3"/>
    <w:rsid w:val="00B12F1A"/>
    <w:rsid w:val="00B12F49"/>
    <w:rsid w:val="00B12FF3"/>
    <w:rsid w:val="00B13048"/>
    <w:rsid w:val="00B13060"/>
    <w:rsid w:val="00B1373D"/>
    <w:rsid w:val="00B13EF2"/>
    <w:rsid w:val="00B13F09"/>
    <w:rsid w:val="00B14092"/>
    <w:rsid w:val="00B14321"/>
    <w:rsid w:val="00B1462F"/>
    <w:rsid w:val="00B14A74"/>
    <w:rsid w:val="00B14CE0"/>
    <w:rsid w:val="00B14EB4"/>
    <w:rsid w:val="00B151A4"/>
    <w:rsid w:val="00B15BAD"/>
    <w:rsid w:val="00B15ECE"/>
    <w:rsid w:val="00B15EE7"/>
    <w:rsid w:val="00B166C9"/>
    <w:rsid w:val="00B1695E"/>
    <w:rsid w:val="00B16A34"/>
    <w:rsid w:val="00B16A6D"/>
    <w:rsid w:val="00B16CCF"/>
    <w:rsid w:val="00B1781C"/>
    <w:rsid w:val="00B1791F"/>
    <w:rsid w:val="00B17992"/>
    <w:rsid w:val="00B179B5"/>
    <w:rsid w:val="00B17A42"/>
    <w:rsid w:val="00B17D7A"/>
    <w:rsid w:val="00B17F86"/>
    <w:rsid w:val="00B2001D"/>
    <w:rsid w:val="00B2002F"/>
    <w:rsid w:val="00B204EA"/>
    <w:rsid w:val="00B20740"/>
    <w:rsid w:val="00B2076D"/>
    <w:rsid w:val="00B207E6"/>
    <w:rsid w:val="00B20958"/>
    <w:rsid w:val="00B209BD"/>
    <w:rsid w:val="00B20EBE"/>
    <w:rsid w:val="00B2130C"/>
    <w:rsid w:val="00B216AB"/>
    <w:rsid w:val="00B21BF0"/>
    <w:rsid w:val="00B21BFC"/>
    <w:rsid w:val="00B21C44"/>
    <w:rsid w:val="00B22D41"/>
    <w:rsid w:val="00B22F91"/>
    <w:rsid w:val="00B2311B"/>
    <w:rsid w:val="00B23148"/>
    <w:rsid w:val="00B23233"/>
    <w:rsid w:val="00B2335A"/>
    <w:rsid w:val="00B2374F"/>
    <w:rsid w:val="00B23B64"/>
    <w:rsid w:val="00B23BF3"/>
    <w:rsid w:val="00B24258"/>
    <w:rsid w:val="00B244B9"/>
    <w:rsid w:val="00B24716"/>
    <w:rsid w:val="00B247C0"/>
    <w:rsid w:val="00B248E1"/>
    <w:rsid w:val="00B24B12"/>
    <w:rsid w:val="00B24B22"/>
    <w:rsid w:val="00B24BAE"/>
    <w:rsid w:val="00B25771"/>
    <w:rsid w:val="00B258EB"/>
    <w:rsid w:val="00B258F2"/>
    <w:rsid w:val="00B25E33"/>
    <w:rsid w:val="00B25FBB"/>
    <w:rsid w:val="00B25FE7"/>
    <w:rsid w:val="00B26116"/>
    <w:rsid w:val="00B26129"/>
    <w:rsid w:val="00B2644E"/>
    <w:rsid w:val="00B26733"/>
    <w:rsid w:val="00B26A28"/>
    <w:rsid w:val="00B27090"/>
    <w:rsid w:val="00B270BC"/>
    <w:rsid w:val="00B27148"/>
    <w:rsid w:val="00B27461"/>
    <w:rsid w:val="00B27510"/>
    <w:rsid w:val="00B2759D"/>
    <w:rsid w:val="00B277C2"/>
    <w:rsid w:val="00B279E1"/>
    <w:rsid w:val="00B27AB0"/>
    <w:rsid w:val="00B27DCA"/>
    <w:rsid w:val="00B27E10"/>
    <w:rsid w:val="00B27F5E"/>
    <w:rsid w:val="00B3039E"/>
    <w:rsid w:val="00B304A2"/>
    <w:rsid w:val="00B30760"/>
    <w:rsid w:val="00B30863"/>
    <w:rsid w:val="00B309EC"/>
    <w:rsid w:val="00B30A11"/>
    <w:rsid w:val="00B30F73"/>
    <w:rsid w:val="00B31154"/>
    <w:rsid w:val="00B31470"/>
    <w:rsid w:val="00B31EE1"/>
    <w:rsid w:val="00B32601"/>
    <w:rsid w:val="00B3267B"/>
    <w:rsid w:val="00B327EB"/>
    <w:rsid w:val="00B328E6"/>
    <w:rsid w:val="00B32B51"/>
    <w:rsid w:val="00B32F3E"/>
    <w:rsid w:val="00B33245"/>
    <w:rsid w:val="00B332C9"/>
    <w:rsid w:val="00B332D2"/>
    <w:rsid w:val="00B336A7"/>
    <w:rsid w:val="00B337FA"/>
    <w:rsid w:val="00B33CBA"/>
    <w:rsid w:val="00B33F80"/>
    <w:rsid w:val="00B34039"/>
    <w:rsid w:val="00B3404B"/>
    <w:rsid w:val="00B343CE"/>
    <w:rsid w:val="00B343F4"/>
    <w:rsid w:val="00B34597"/>
    <w:rsid w:val="00B3496E"/>
    <w:rsid w:val="00B35224"/>
    <w:rsid w:val="00B356F1"/>
    <w:rsid w:val="00B35A64"/>
    <w:rsid w:val="00B35F57"/>
    <w:rsid w:val="00B3611C"/>
    <w:rsid w:val="00B3612D"/>
    <w:rsid w:val="00B36B1E"/>
    <w:rsid w:val="00B36F42"/>
    <w:rsid w:val="00B36FDD"/>
    <w:rsid w:val="00B37484"/>
    <w:rsid w:val="00B37656"/>
    <w:rsid w:val="00B37950"/>
    <w:rsid w:val="00B37A11"/>
    <w:rsid w:val="00B4002F"/>
    <w:rsid w:val="00B40224"/>
    <w:rsid w:val="00B40425"/>
    <w:rsid w:val="00B404F0"/>
    <w:rsid w:val="00B40643"/>
    <w:rsid w:val="00B40708"/>
    <w:rsid w:val="00B40807"/>
    <w:rsid w:val="00B40961"/>
    <w:rsid w:val="00B40CC3"/>
    <w:rsid w:val="00B40D37"/>
    <w:rsid w:val="00B40DA7"/>
    <w:rsid w:val="00B41148"/>
    <w:rsid w:val="00B412CE"/>
    <w:rsid w:val="00B412FC"/>
    <w:rsid w:val="00B4149C"/>
    <w:rsid w:val="00B415CB"/>
    <w:rsid w:val="00B4161C"/>
    <w:rsid w:val="00B41706"/>
    <w:rsid w:val="00B4179D"/>
    <w:rsid w:val="00B41996"/>
    <w:rsid w:val="00B41A64"/>
    <w:rsid w:val="00B41BC2"/>
    <w:rsid w:val="00B420EC"/>
    <w:rsid w:val="00B4220F"/>
    <w:rsid w:val="00B42677"/>
    <w:rsid w:val="00B4299A"/>
    <w:rsid w:val="00B42B05"/>
    <w:rsid w:val="00B42D07"/>
    <w:rsid w:val="00B42F9A"/>
    <w:rsid w:val="00B437C8"/>
    <w:rsid w:val="00B439D9"/>
    <w:rsid w:val="00B43EB0"/>
    <w:rsid w:val="00B44229"/>
    <w:rsid w:val="00B44263"/>
    <w:rsid w:val="00B44588"/>
    <w:rsid w:val="00B448A3"/>
    <w:rsid w:val="00B448EB"/>
    <w:rsid w:val="00B449D4"/>
    <w:rsid w:val="00B44CD5"/>
    <w:rsid w:val="00B44D7B"/>
    <w:rsid w:val="00B44F65"/>
    <w:rsid w:val="00B45278"/>
    <w:rsid w:val="00B45285"/>
    <w:rsid w:val="00B45289"/>
    <w:rsid w:val="00B452B9"/>
    <w:rsid w:val="00B455D1"/>
    <w:rsid w:val="00B45907"/>
    <w:rsid w:val="00B45A11"/>
    <w:rsid w:val="00B45E80"/>
    <w:rsid w:val="00B45EEA"/>
    <w:rsid w:val="00B462F4"/>
    <w:rsid w:val="00B464DA"/>
    <w:rsid w:val="00B4663F"/>
    <w:rsid w:val="00B467A6"/>
    <w:rsid w:val="00B4681B"/>
    <w:rsid w:val="00B468F3"/>
    <w:rsid w:val="00B46AD1"/>
    <w:rsid w:val="00B46E48"/>
    <w:rsid w:val="00B470A1"/>
    <w:rsid w:val="00B4769F"/>
    <w:rsid w:val="00B479A8"/>
    <w:rsid w:val="00B50067"/>
    <w:rsid w:val="00B505C0"/>
    <w:rsid w:val="00B50F7A"/>
    <w:rsid w:val="00B5100B"/>
    <w:rsid w:val="00B510C1"/>
    <w:rsid w:val="00B510E6"/>
    <w:rsid w:val="00B511A7"/>
    <w:rsid w:val="00B512EC"/>
    <w:rsid w:val="00B51793"/>
    <w:rsid w:val="00B5184A"/>
    <w:rsid w:val="00B51C5D"/>
    <w:rsid w:val="00B51E5B"/>
    <w:rsid w:val="00B51FD6"/>
    <w:rsid w:val="00B52029"/>
    <w:rsid w:val="00B52A7E"/>
    <w:rsid w:val="00B52BEA"/>
    <w:rsid w:val="00B530FE"/>
    <w:rsid w:val="00B538FD"/>
    <w:rsid w:val="00B53CBD"/>
    <w:rsid w:val="00B53F6E"/>
    <w:rsid w:val="00B53FA2"/>
    <w:rsid w:val="00B53FA7"/>
    <w:rsid w:val="00B53FEF"/>
    <w:rsid w:val="00B541F8"/>
    <w:rsid w:val="00B5439B"/>
    <w:rsid w:val="00B544DD"/>
    <w:rsid w:val="00B54A83"/>
    <w:rsid w:val="00B54CA0"/>
    <w:rsid w:val="00B54CF4"/>
    <w:rsid w:val="00B550C2"/>
    <w:rsid w:val="00B55106"/>
    <w:rsid w:val="00B551EC"/>
    <w:rsid w:val="00B55D3D"/>
    <w:rsid w:val="00B55DCC"/>
    <w:rsid w:val="00B55FA9"/>
    <w:rsid w:val="00B560F8"/>
    <w:rsid w:val="00B56345"/>
    <w:rsid w:val="00B56381"/>
    <w:rsid w:val="00B56709"/>
    <w:rsid w:val="00B56735"/>
    <w:rsid w:val="00B5722A"/>
    <w:rsid w:val="00B5753E"/>
    <w:rsid w:val="00B57634"/>
    <w:rsid w:val="00B57C9F"/>
    <w:rsid w:val="00B57DD6"/>
    <w:rsid w:val="00B57E2A"/>
    <w:rsid w:val="00B57FAC"/>
    <w:rsid w:val="00B603B7"/>
    <w:rsid w:val="00B605B1"/>
    <w:rsid w:val="00B6082F"/>
    <w:rsid w:val="00B60B7C"/>
    <w:rsid w:val="00B60B7E"/>
    <w:rsid w:val="00B60F02"/>
    <w:rsid w:val="00B614ED"/>
    <w:rsid w:val="00B61BEB"/>
    <w:rsid w:val="00B61DBE"/>
    <w:rsid w:val="00B61E6B"/>
    <w:rsid w:val="00B6213D"/>
    <w:rsid w:val="00B62383"/>
    <w:rsid w:val="00B62674"/>
    <w:rsid w:val="00B62810"/>
    <w:rsid w:val="00B6290C"/>
    <w:rsid w:val="00B62C59"/>
    <w:rsid w:val="00B6348A"/>
    <w:rsid w:val="00B63513"/>
    <w:rsid w:val="00B63663"/>
    <w:rsid w:val="00B63FB8"/>
    <w:rsid w:val="00B641AD"/>
    <w:rsid w:val="00B641C8"/>
    <w:rsid w:val="00B642D1"/>
    <w:rsid w:val="00B643A8"/>
    <w:rsid w:val="00B64493"/>
    <w:rsid w:val="00B6489A"/>
    <w:rsid w:val="00B64A0C"/>
    <w:rsid w:val="00B64A56"/>
    <w:rsid w:val="00B64BBD"/>
    <w:rsid w:val="00B653D8"/>
    <w:rsid w:val="00B653DD"/>
    <w:rsid w:val="00B6557E"/>
    <w:rsid w:val="00B65865"/>
    <w:rsid w:val="00B65B04"/>
    <w:rsid w:val="00B65B0A"/>
    <w:rsid w:val="00B65C43"/>
    <w:rsid w:val="00B65F90"/>
    <w:rsid w:val="00B663A6"/>
    <w:rsid w:val="00B66743"/>
    <w:rsid w:val="00B669FE"/>
    <w:rsid w:val="00B66EF5"/>
    <w:rsid w:val="00B674BB"/>
    <w:rsid w:val="00B67784"/>
    <w:rsid w:val="00B678DE"/>
    <w:rsid w:val="00B67A91"/>
    <w:rsid w:val="00B67CF8"/>
    <w:rsid w:val="00B703C8"/>
    <w:rsid w:val="00B70A1E"/>
    <w:rsid w:val="00B71169"/>
    <w:rsid w:val="00B71192"/>
    <w:rsid w:val="00B71481"/>
    <w:rsid w:val="00B71645"/>
    <w:rsid w:val="00B717AA"/>
    <w:rsid w:val="00B71911"/>
    <w:rsid w:val="00B7216F"/>
    <w:rsid w:val="00B72324"/>
    <w:rsid w:val="00B72330"/>
    <w:rsid w:val="00B72582"/>
    <w:rsid w:val="00B72BDA"/>
    <w:rsid w:val="00B7306E"/>
    <w:rsid w:val="00B730E5"/>
    <w:rsid w:val="00B7347B"/>
    <w:rsid w:val="00B735D4"/>
    <w:rsid w:val="00B73A35"/>
    <w:rsid w:val="00B73A90"/>
    <w:rsid w:val="00B73C66"/>
    <w:rsid w:val="00B7433D"/>
    <w:rsid w:val="00B745AD"/>
    <w:rsid w:val="00B74743"/>
    <w:rsid w:val="00B74A7C"/>
    <w:rsid w:val="00B74C82"/>
    <w:rsid w:val="00B74F10"/>
    <w:rsid w:val="00B750FE"/>
    <w:rsid w:val="00B75468"/>
    <w:rsid w:val="00B7597B"/>
    <w:rsid w:val="00B76053"/>
    <w:rsid w:val="00B761A7"/>
    <w:rsid w:val="00B7628B"/>
    <w:rsid w:val="00B7628D"/>
    <w:rsid w:val="00B762CF"/>
    <w:rsid w:val="00B76CF5"/>
    <w:rsid w:val="00B76E77"/>
    <w:rsid w:val="00B76FC2"/>
    <w:rsid w:val="00B7759E"/>
    <w:rsid w:val="00B77614"/>
    <w:rsid w:val="00B77676"/>
    <w:rsid w:val="00B778CF"/>
    <w:rsid w:val="00B77C51"/>
    <w:rsid w:val="00B77EFE"/>
    <w:rsid w:val="00B80474"/>
    <w:rsid w:val="00B80505"/>
    <w:rsid w:val="00B80BAE"/>
    <w:rsid w:val="00B80F66"/>
    <w:rsid w:val="00B811AD"/>
    <w:rsid w:val="00B812AB"/>
    <w:rsid w:val="00B81313"/>
    <w:rsid w:val="00B81511"/>
    <w:rsid w:val="00B81792"/>
    <w:rsid w:val="00B81C88"/>
    <w:rsid w:val="00B81CBE"/>
    <w:rsid w:val="00B81D86"/>
    <w:rsid w:val="00B81F92"/>
    <w:rsid w:val="00B81FA8"/>
    <w:rsid w:val="00B81FB2"/>
    <w:rsid w:val="00B82271"/>
    <w:rsid w:val="00B82967"/>
    <w:rsid w:val="00B82B83"/>
    <w:rsid w:val="00B82F06"/>
    <w:rsid w:val="00B8333F"/>
    <w:rsid w:val="00B83459"/>
    <w:rsid w:val="00B83F81"/>
    <w:rsid w:val="00B83FB7"/>
    <w:rsid w:val="00B8420A"/>
    <w:rsid w:val="00B84273"/>
    <w:rsid w:val="00B84395"/>
    <w:rsid w:val="00B84490"/>
    <w:rsid w:val="00B84716"/>
    <w:rsid w:val="00B847A8"/>
    <w:rsid w:val="00B84B40"/>
    <w:rsid w:val="00B84BD0"/>
    <w:rsid w:val="00B84CD0"/>
    <w:rsid w:val="00B84E15"/>
    <w:rsid w:val="00B84E36"/>
    <w:rsid w:val="00B84F08"/>
    <w:rsid w:val="00B85715"/>
    <w:rsid w:val="00B85CCD"/>
    <w:rsid w:val="00B86303"/>
    <w:rsid w:val="00B8684E"/>
    <w:rsid w:val="00B86B2B"/>
    <w:rsid w:val="00B86BEC"/>
    <w:rsid w:val="00B872B9"/>
    <w:rsid w:val="00B87305"/>
    <w:rsid w:val="00B8741A"/>
    <w:rsid w:val="00B87883"/>
    <w:rsid w:val="00B8795A"/>
    <w:rsid w:val="00B901E5"/>
    <w:rsid w:val="00B904DF"/>
    <w:rsid w:val="00B90580"/>
    <w:rsid w:val="00B905AF"/>
    <w:rsid w:val="00B9077D"/>
    <w:rsid w:val="00B90946"/>
    <w:rsid w:val="00B90960"/>
    <w:rsid w:val="00B91023"/>
    <w:rsid w:val="00B916FB"/>
    <w:rsid w:val="00B91831"/>
    <w:rsid w:val="00B91BEC"/>
    <w:rsid w:val="00B91DD9"/>
    <w:rsid w:val="00B91E6C"/>
    <w:rsid w:val="00B91F34"/>
    <w:rsid w:val="00B92177"/>
    <w:rsid w:val="00B92522"/>
    <w:rsid w:val="00B927DB"/>
    <w:rsid w:val="00B92838"/>
    <w:rsid w:val="00B92944"/>
    <w:rsid w:val="00B9338B"/>
    <w:rsid w:val="00B93628"/>
    <w:rsid w:val="00B937FD"/>
    <w:rsid w:val="00B93C37"/>
    <w:rsid w:val="00B94194"/>
    <w:rsid w:val="00B94378"/>
    <w:rsid w:val="00B94425"/>
    <w:rsid w:val="00B946F3"/>
    <w:rsid w:val="00B9484B"/>
    <w:rsid w:val="00B94A9A"/>
    <w:rsid w:val="00B94E39"/>
    <w:rsid w:val="00B9512E"/>
    <w:rsid w:val="00B9543B"/>
    <w:rsid w:val="00B95CBB"/>
    <w:rsid w:val="00B95DF2"/>
    <w:rsid w:val="00B96279"/>
    <w:rsid w:val="00B96961"/>
    <w:rsid w:val="00B96B57"/>
    <w:rsid w:val="00B96CF5"/>
    <w:rsid w:val="00B96DD9"/>
    <w:rsid w:val="00B96EC7"/>
    <w:rsid w:val="00B9701E"/>
    <w:rsid w:val="00B97712"/>
    <w:rsid w:val="00B978DE"/>
    <w:rsid w:val="00B97972"/>
    <w:rsid w:val="00B97DED"/>
    <w:rsid w:val="00BA0055"/>
    <w:rsid w:val="00BA0663"/>
    <w:rsid w:val="00BA0BC8"/>
    <w:rsid w:val="00BA0EE8"/>
    <w:rsid w:val="00BA149A"/>
    <w:rsid w:val="00BA1E73"/>
    <w:rsid w:val="00BA280D"/>
    <w:rsid w:val="00BA2826"/>
    <w:rsid w:val="00BA2F8E"/>
    <w:rsid w:val="00BA3311"/>
    <w:rsid w:val="00BA3822"/>
    <w:rsid w:val="00BA3928"/>
    <w:rsid w:val="00BA39CE"/>
    <w:rsid w:val="00BA3BED"/>
    <w:rsid w:val="00BA3C46"/>
    <w:rsid w:val="00BA43A7"/>
    <w:rsid w:val="00BA48DE"/>
    <w:rsid w:val="00BA4BF5"/>
    <w:rsid w:val="00BA4C74"/>
    <w:rsid w:val="00BA5285"/>
    <w:rsid w:val="00BA570A"/>
    <w:rsid w:val="00BA5766"/>
    <w:rsid w:val="00BA5A8A"/>
    <w:rsid w:val="00BA5E35"/>
    <w:rsid w:val="00BA62CA"/>
    <w:rsid w:val="00BA662E"/>
    <w:rsid w:val="00BA67C1"/>
    <w:rsid w:val="00BA69AE"/>
    <w:rsid w:val="00BA6A09"/>
    <w:rsid w:val="00BA6A0A"/>
    <w:rsid w:val="00BA6A91"/>
    <w:rsid w:val="00BA6E42"/>
    <w:rsid w:val="00BA758F"/>
    <w:rsid w:val="00BA76E5"/>
    <w:rsid w:val="00BA7A55"/>
    <w:rsid w:val="00BA7A5C"/>
    <w:rsid w:val="00BA7D22"/>
    <w:rsid w:val="00BB00B1"/>
    <w:rsid w:val="00BB0216"/>
    <w:rsid w:val="00BB0782"/>
    <w:rsid w:val="00BB0790"/>
    <w:rsid w:val="00BB0BF9"/>
    <w:rsid w:val="00BB0D11"/>
    <w:rsid w:val="00BB0E59"/>
    <w:rsid w:val="00BB1154"/>
    <w:rsid w:val="00BB120B"/>
    <w:rsid w:val="00BB12D3"/>
    <w:rsid w:val="00BB13A1"/>
    <w:rsid w:val="00BB1760"/>
    <w:rsid w:val="00BB1787"/>
    <w:rsid w:val="00BB1890"/>
    <w:rsid w:val="00BB1CFE"/>
    <w:rsid w:val="00BB1E34"/>
    <w:rsid w:val="00BB1F9E"/>
    <w:rsid w:val="00BB2097"/>
    <w:rsid w:val="00BB26DB"/>
    <w:rsid w:val="00BB2837"/>
    <w:rsid w:val="00BB2945"/>
    <w:rsid w:val="00BB2DFF"/>
    <w:rsid w:val="00BB2E07"/>
    <w:rsid w:val="00BB2EAE"/>
    <w:rsid w:val="00BB2F9C"/>
    <w:rsid w:val="00BB3169"/>
    <w:rsid w:val="00BB34B5"/>
    <w:rsid w:val="00BB379A"/>
    <w:rsid w:val="00BB389B"/>
    <w:rsid w:val="00BB3C0E"/>
    <w:rsid w:val="00BB3CCE"/>
    <w:rsid w:val="00BB3DE2"/>
    <w:rsid w:val="00BB3DE3"/>
    <w:rsid w:val="00BB4055"/>
    <w:rsid w:val="00BB4214"/>
    <w:rsid w:val="00BB4884"/>
    <w:rsid w:val="00BB4B2F"/>
    <w:rsid w:val="00BB4B66"/>
    <w:rsid w:val="00BB4BFD"/>
    <w:rsid w:val="00BB4CE7"/>
    <w:rsid w:val="00BB4F89"/>
    <w:rsid w:val="00BB5896"/>
    <w:rsid w:val="00BB5A81"/>
    <w:rsid w:val="00BB5CE3"/>
    <w:rsid w:val="00BB5E27"/>
    <w:rsid w:val="00BB60B3"/>
    <w:rsid w:val="00BB60B7"/>
    <w:rsid w:val="00BB6A3B"/>
    <w:rsid w:val="00BB73C7"/>
    <w:rsid w:val="00BB766F"/>
    <w:rsid w:val="00BB77FA"/>
    <w:rsid w:val="00BB786C"/>
    <w:rsid w:val="00BC00D5"/>
    <w:rsid w:val="00BC0152"/>
    <w:rsid w:val="00BC039E"/>
    <w:rsid w:val="00BC0432"/>
    <w:rsid w:val="00BC0454"/>
    <w:rsid w:val="00BC0687"/>
    <w:rsid w:val="00BC0854"/>
    <w:rsid w:val="00BC090F"/>
    <w:rsid w:val="00BC0C81"/>
    <w:rsid w:val="00BC0CF6"/>
    <w:rsid w:val="00BC0D76"/>
    <w:rsid w:val="00BC0F29"/>
    <w:rsid w:val="00BC1552"/>
    <w:rsid w:val="00BC1DB6"/>
    <w:rsid w:val="00BC1F57"/>
    <w:rsid w:val="00BC2268"/>
    <w:rsid w:val="00BC2ABF"/>
    <w:rsid w:val="00BC2E0A"/>
    <w:rsid w:val="00BC2F92"/>
    <w:rsid w:val="00BC3397"/>
    <w:rsid w:val="00BC3498"/>
    <w:rsid w:val="00BC355D"/>
    <w:rsid w:val="00BC361F"/>
    <w:rsid w:val="00BC3B6B"/>
    <w:rsid w:val="00BC3CDB"/>
    <w:rsid w:val="00BC486F"/>
    <w:rsid w:val="00BC4A26"/>
    <w:rsid w:val="00BC4B2B"/>
    <w:rsid w:val="00BC4B69"/>
    <w:rsid w:val="00BC4DF4"/>
    <w:rsid w:val="00BC5203"/>
    <w:rsid w:val="00BC5462"/>
    <w:rsid w:val="00BC54E3"/>
    <w:rsid w:val="00BC5810"/>
    <w:rsid w:val="00BC5C3B"/>
    <w:rsid w:val="00BC5E1E"/>
    <w:rsid w:val="00BC664D"/>
    <w:rsid w:val="00BC6810"/>
    <w:rsid w:val="00BC6B34"/>
    <w:rsid w:val="00BC7030"/>
    <w:rsid w:val="00BC70FE"/>
    <w:rsid w:val="00BC732F"/>
    <w:rsid w:val="00BC76D1"/>
    <w:rsid w:val="00BD00F8"/>
    <w:rsid w:val="00BD0736"/>
    <w:rsid w:val="00BD07D3"/>
    <w:rsid w:val="00BD0842"/>
    <w:rsid w:val="00BD08A1"/>
    <w:rsid w:val="00BD09CD"/>
    <w:rsid w:val="00BD0B2E"/>
    <w:rsid w:val="00BD0C62"/>
    <w:rsid w:val="00BD1001"/>
    <w:rsid w:val="00BD11D0"/>
    <w:rsid w:val="00BD17B6"/>
    <w:rsid w:val="00BD22CC"/>
    <w:rsid w:val="00BD275C"/>
    <w:rsid w:val="00BD29A0"/>
    <w:rsid w:val="00BD2E18"/>
    <w:rsid w:val="00BD3418"/>
    <w:rsid w:val="00BD3456"/>
    <w:rsid w:val="00BD3D1E"/>
    <w:rsid w:val="00BD3FE5"/>
    <w:rsid w:val="00BD400F"/>
    <w:rsid w:val="00BD44F9"/>
    <w:rsid w:val="00BD459D"/>
    <w:rsid w:val="00BD4653"/>
    <w:rsid w:val="00BD475A"/>
    <w:rsid w:val="00BD49EB"/>
    <w:rsid w:val="00BD4BEA"/>
    <w:rsid w:val="00BD4E25"/>
    <w:rsid w:val="00BD52C9"/>
    <w:rsid w:val="00BD58C7"/>
    <w:rsid w:val="00BD627A"/>
    <w:rsid w:val="00BD6CD8"/>
    <w:rsid w:val="00BD6D45"/>
    <w:rsid w:val="00BD6FD0"/>
    <w:rsid w:val="00BD7181"/>
    <w:rsid w:val="00BD7365"/>
    <w:rsid w:val="00BD7432"/>
    <w:rsid w:val="00BD7679"/>
    <w:rsid w:val="00BD7AA6"/>
    <w:rsid w:val="00BD7C12"/>
    <w:rsid w:val="00BE00F4"/>
    <w:rsid w:val="00BE023F"/>
    <w:rsid w:val="00BE0875"/>
    <w:rsid w:val="00BE09BA"/>
    <w:rsid w:val="00BE0F86"/>
    <w:rsid w:val="00BE10B9"/>
    <w:rsid w:val="00BE112C"/>
    <w:rsid w:val="00BE11E5"/>
    <w:rsid w:val="00BE152F"/>
    <w:rsid w:val="00BE1B35"/>
    <w:rsid w:val="00BE1E01"/>
    <w:rsid w:val="00BE24AE"/>
    <w:rsid w:val="00BE2519"/>
    <w:rsid w:val="00BE25B8"/>
    <w:rsid w:val="00BE2B94"/>
    <w:rsid w:val="00BE2BE0"/>
    <w:rsid w:val="00BE2FA9"/>
    <w:rsid w:val="00BE2FB3"/>
    <w:rsid w:val="00BE306B"/>
    <w:rsid w:val="00BE322F"/>
    <w:rsid w:val="00BE35A5"/>
    <w:rsid w:val="00BE3956"/>
    <w:rsid w:val="00BE3A45"/>
    <w:rsid w:val="00BE3AC4"/>
    <w:rsid w:val="00BE3BC2"/>
    <w:rsid w:val="00BE3D00"/>
    <w:rsid w:val="00BE3E83"/>
    <w:rsid w:val="00BE41BF"/>
    <w:rsid w:val="00BE41EB"/>
    <w:rsid w:val="00BE50AA"/>
    <w:rsid w:val="00BE561F"/>
    <w:rsid w:val="00BE56CE"/>
    <w:rsid w:val="00BE5BBC"/>
    <w:rsid w:val="00BE5CCF"/>
    <w:rsid w:val="00BE5DCE"/>
    <w:rsid w:val="00BE5E5E"/>
    <w:rsid w:val="00BE6015"/>
    <w:rsid w:val="00BE6603"/>
    <w:rsid w:val="00BE6734"/>
    <w:rsid w:val="00BE6820"/>
    <w:rsid w:val="00BE6932"/>
    <w:rsid w:val="00BE69CC"/>
    <w:rsid w:val="00BE6A47"/>
    <w:rsid w:val="00BE6D9F"/>
    <w:rsid w:val="00BE6E2C"/>
    <w:rsid w:val="00BE707C"/>
    <w:rsid w:val="00BE7142"/>
    <w:rsid w:val="00BE7961"/>
    <w:rsid w:val="00BE7D3B"/>
    <w:rsid w:val="00BE7EBC"/>
    <w:rsid w:val="00BF0AA5"/>
    <w:rsid w:val="00BF106E"/>
    <w:rsid w:val="00BF11C7"/>
    <w:rsid w:val="00BF1218"/>
    <w:rsid w:val="00BF1781"/>
    <w:rsid w:val="00BF1B19"/>
    <w:rsid w:val="00BF1F6D"/>
    <w:rsid w:val="00BF1F96"/>
    <w:rsid w:val="00BF23E6"/>
    <w:rsid w:val="00BF2559"/>
    <w:rsid w:val="00BF26EF"/>
    <w:rsid w:val="00BF3500"/>
    <w:rsid w:val="00BF357A"/>
    <w:rsid w:val="00BF3A1F"/>
    <w:rsid w:val="00BF3C00"/>
    <w:rsid w:val="00BF3FD9"/>
    <w:rsid w:val="00BF42BC"/>
    <w:rsid w:val="00BF471F"/>
    <w:rsid w:val="00BF482F"/>
    <w:rsid w:val="00BF4C01"/>
    <w:rsid w:val="00BF4E4F"/>
    <w:rsid w:val="00BF4EF5"/>
    <w:rsid w:val="00BF5299"/>
    <w:rsid w:val="00BF5537"/>
    <w:rsid w:val="00BF5A5C"/>
    <w:rsid w:val="00BF5BAD"/>
    <w:rsid w:val="00BF5C92"/>
    <w:rsid w:val="00BF5DC2"/>
    <w:rsid w:val="00BF66C0"/>
    <w:rsid w:val="00BF6B9B"/>
    <w:rsid w:val="00BF6D85"/>
    <w:rsid w:val="00BF711D"/>
    <w:rsid w:val="00BF7342"/>
    <w:rsid w:val="00BF77BE"/>
    <w:rsid w:val="00BF7C5E"/>
    <w:rsid w:val="00C001EB"/>
    <w:rsid w:val="00C00340"/>
    <w:rsid w:val="00C00559"/>
    <w:rsid w:val="00C008D3"/>
    <w:rsid w:val="00C0098A"/>
    <w:rsid w:val="00C009E2"/>
    <w:rsid w:val="00C00AE6"/>
    <w:rsid w:val="00C011B6"/>
    <w:rsid w:val="00C011FE"/>
    <w:rsid w:val="00C015C0"/>
    <w:rsid w:val="00C01A6E"/>
    <w:rsid w:val="00C01ACF"/>
    <w:rsid w:val="00C01B81"/>
    <w:rsid w:val="00C02049"/>
    <w:rsid w:val="00C02104"/>
    <w:rsid w:val="00C0244F"/>
    <w:rsid w:val="00C02517"/>
    <w:rsid w:val="00C029F8"/>
    <w:rsid w:val="00C02B7A"/>
    <w:rsid w:val="00C034C8"/>
    <w:rsid w:val="00C0364D"/>
    <w:rsid w:val="00C038C2"/>
    <w:rsid w:val="00C03AF4"/>
    <w:rsid w:val="00C03B6E"/>
    <w:rsid w:val="00C03BD5"/>
    <w:rsid w:val="00C03D82"/>
    <w:rsid w:val="00C03DB2"/>
    <w:rsid w:val="00C04012"/>
    <w:rsid w:val="00C04290"/>
    <w:rsid w:val="00C04715"/>
    <w:rsid w:val="00C04D69"/>
    <w:rsid w:val="00C05000"/>
    <w:rsid w:val="00C0512F"/>
    <w:rsid w:val="00C0527A"/>
    <w:rsid w:val="00C05317"/>
    <w:rsid w:val="00C05347"/>
    <w:rsid w:val="00C05C87"/>
    <w:rsid w:val="00C05D5C"/>
    <w:rsid w:val="00C05FBE"/>
    <w:rsid w:val="00C060E7"/>
    <w:rsid w:val="00C06175"/>
    <w:rsid w:val="00C06438"/>
    <w:rsid w:val="00C06766"/>
    <w:rsid w:val="00C06A59"/>
    <w:rsid w:val="00C06A6C"/>
    <w:rsid w:val="00C06A7E"/>
    <w:rsid w:val="00C07033"/>
    <w:rsid w:val="00C07162"/>
    <w:rsid w:val="00C07665"/>
    <w:rsid w:val="00C076E9"/>
    <w:rsid w:val="00C077FB"/>
    <w:rsid w:val="00C07AC3"/>
    <w:rsid w:val="00C07B25"/>
    <w:rsid w:val="00C1003A"/>
    <w:rsid w:val="00C1021D"/>
    <w:rsid w:val="00C103F8"/>
    <w:rsid w:val="00C104AC"/>
    <w:rsid w:val="00C1055E"/>
    <w:rsid w:val="00C1065A"/>
    <w:rsid w:val="00C10E4E"/>
    <w:rsid w:val="00C10E69"/>
    <w:rsid w:val="00C10F2E"/>
    <w:rsid w:val="00C11409"/>
    <w:rsid w:val="00C114B3"/>
    <w:rsid w:val="00C1163B"/>
    <w:rsid w:val="00C117B8"/>
    <w:rsid w:val="00C11E17"/>
    <w:rsid w:val="00C1226F"/>
    <w:rsid w:val="00C1296D"/>
    <w:rsid w:val="00C12E4A"/>
    <w:rsid w:val="00C13353"/>
    <w:rsid w:val="00C1372C"/>
    <w:rsid w:val="00C13756"/>
    <w:rsid w:val="00C137D5"/>
    <w:rsid w:val="00C139DA"/>
    <w:rsid w:val="00C13C20"/>
    <w:rsid w:val="00C13CAA"/>
    <w:rsid w:val="00C13D17"/>
    <w:rsid w:val="00C13E43"/>
    <w:rsid w:val="00C13E5D"/>
    <w:rsid w:val="00C13F42"/>
    <w:rsid w:val="00C14149"/>
    <w:rsid w:val="00C14166"/>
    <w:rsid w:val="00C143A8"/>
    <w:rsid w:val="00C144F4"/>
    <w:rsid w:val="00C14558"/>
    <w:rsid w:val="00C1477B"/>
    <w:rsid w:val="00C147B1"/>
    <w:rsid w:val="00C148BA"/>
    <w:rsid w:val="00C1491A"/>
    <w:rsid w:val="00C14931"/>
    <w:rsid w:val="00C14A57"/>
    <w:rsid w:val="00C14EF9"/>
    <w:rsid w:val="00C14F51"/>
    <w:rsid w:val="00C152AC"/>
    <w:rsid w:val="00C153EA"/>
    <w:rsid w:val="00C154AC"/>
    <w:rsid w:val="00C15C33"/>
    <w:rsid w:val="00C15E68"/>
    <w:rsid w:val="00C1634A"/>
    <w:rsid w:val="00C167EB"/>
    <w:rsid w:val="00C16891"/>
    <w:rsid w:val="00C16C2F"/>
    <w:rsid w:val="00C16E65"/>
    <w:rsid w:val="00C16E91"/>
    <w:rsid w:val="00C16FFC"/>
    <w:rsid w:val="00C1757C"/>
    <w:rsid w:val="00C1781D"/>
    <w:rsid w:val="00C1792B"/>
    <w:rsid w:val="00C205D5"/>
    <w:rsid w:val="00C20602"/>
    <w:rsid w:val="00C20D8D"/>
    <w:rsid w:val="00C20DA2"/>
    <w:rsid w:val="00C21E70"/>
    <w:rsid w:val="00C21FB6"/>
    <w:rsid w:val="00C221C2"/>
    <w:rsid w:val="00C222A8"/>
    <w:rsid w:val="00C225A6"/>
    <w:rsid w:val="00C227DC"/>
    <w:rsid w:val="00C22D9A"/>
    <w:rsid w:val="00C22ED7"/>
    <w:rsid w:val="00C2301E"/>
    <w:rsid w:val="00C23078"/>
    <w:rsid w:val="00C231F0"/>
    <w:rsid w:val="00C23545"/>
    <w:rsid w:val="00C235F0"/>
    <w:rsid w:val="00C2389B"/>
    <w:rsid w:val="00C23C5F"/>
    <w:rsid w:val="00C23D3F"/>
    <w:rsid w:val="00C23DC1"/>
    <w:rsid w:val="00C240D4"/>
    <w:rsid w:val="00C2417B"/>
    <w:rsid w:val="00C24612"/>
    <w:rsid w:val="00C2477D"/>
    <w:rsid w:val="00C24806"/>
    <w:rsid w:val="00C24B97"/>
    <w:rsid w:val="00C251FA"/>
    <w:rsid w:val="00C25273"/>
    <w:rsid w:val="00C256B5"/>
    <w:rsid w:val="00C25B95"/>
    <w:rsid w:val="00C25D26"/>
    <w:rsid w:val="00C25ED3"/>
    <w:rsid w:val="00C2624E"/>
    <w:rsid w:val="00C263A1"/>
    <w:rsid w:val="00C26610"/>
    <w:rsid w:val="00C266F8"/>
    <w:rsid w:val="00C26728"/>
    <w:rsid w:val="00C26733"/>
    <w:rsid w:val="00C267AA"/>
    <w:rsid w:val="00C26C97"/>
    <w:rsid w:val="00C26D46"/>
    <w:rsid w:val="00C26F6B"/>
    <w:rsid w:val="00C274DD"/>
    <w:rsid w:val="00C2752F"/>
    <w:rsid w:val="00C275B0"/>
    <w:rsid w:val="00C27791"/>
    <w:rsid w:val="00C277F9"/>
    <w:rsid w:val="00C278B8"/>
    <w:rsid w:val="00C27F0A"/>
    <w:rsid w:val="00C303AA"/>
    <w:rsid w:val="00C3065E"/>
    <w:rsid w:val="00C3068D"/>
    <w:rsid w:val="00C30B68"/>
    <w:rsid w:val="00C30C97"/>
    <w:rsid w:val="00C3113F"/>
    <w:rsid w:val="00C31200"/>
    <w:rsid w:val="00C3140F"/>
    <w:rsid w:val="00C3167E"/>
    <w:rsid w:val="00C31B24"/>
    <w:rsid w:val="00C31BE2"/>
    <w:rsid w:val="00C31F62"/>
    <w:rsid w:val="00C3208C"/>
    <w:rsid w:val="00C32315"/>
    <w:rsid w:val="00C32396"/>
    <w:rsid w:val="00C3257A"/>
    <w:rsid w:val="00C32838"/>
    <w:rsid w:val="00C32884"/>
    <w:rsid w:val="00C32921"/>
    <w:rsid w:val="00C32EFF"/>
    <w:rsid w:val="00C32FC1"/>
    <w:rsid w:val="00C33127"/>
    <w:rsid w:val="00C33296"/>
    <w:rsid w:val="00C3357A"/>
    <w:rsid w:val="00C3373C"/>
    <w:rsid w:val="00C33848"/>
    <w:rsid w:val="00C33DC8"/>
    <w:rsid w:val="00C341B0"/>
    <w:rsid w:val="00C34269"/>
    <w:rsid w:val="00C34339"/>
    <w:rsid w:val="00C34433"/>
    <w:rsid w:val="00C34B08"/>
    <w:rsid w:val="00C34BD6"/>
    <w:rsid w:val="00C351F2"/>
    <w:rsid w:val="00C3547B"/>
    <w:rsid w:val="00C3553C"/>
    <w:rsid w:val="00C35566"/>
    <w:rsid w:val="00C35621"/>
    <w:rsid w:val="00C35683"/>
    <w:rsid w:val="00C357E1"/>
    <w:rsid w:val="00C35B61"/>
    <w:rsid w:val="00C35BB3"/>
    <w:rsid w:val="00C35BCB"/>
    <w:rsid w:val="00C35C60"/>
    <w:rsid w:val="00C35F30"/>
    <w:rsid w:val="00C36289"/>
    <w:rsid w:val="00C362E7"/>
    <w:rsid w:val="00C365E5"/>
    <w:rsid w:val="00C368CA"/>
    <w:rsid w:val="00C36AEC"/>
    <w:rsid w:val="00C36CA3"/>
    <w:rsid w:val="00C36F8B"/>
    <w:rsid w:val="00C36F93"/>
    <w:rsid w:val="00C36FC5"/>
    <w:rsid w:val="00C3709E"/>
    <w:rsid w:val="00C370F0"/>
    <w:rsid w:val="00C371C3"/>
    <w:rsid w:val="00C37478"/>
    <w:rsid w:val="00C374AA"/>
    <w:rsid w:val="00C3793B"/>
    <w:rsid w:val="00C37A8F"/>
    <w:rsid w:val="00C37EBC"/>
    <w:rsid w:val="00C37EF3"/>
    <w:rsid w:val="00C40149"/>
    <w:rsid w:val="00C406D2"/>
    <w:rsid w:val="00C4083A"/>
    <w:rsid w:val="00C40954"/>
    <w:rsid w:val="00C40982"/>
    <w:rsid w:val="00C40A53"/>
    <w:rsid w:val="00C40B94"/>
    <w:rsid w:val="00C40C19"/>
    <w:rsid w:val="00C40C59"/>
    <w:rsid w:val="00C40E91"/>
    <w:rsid w:val="00C4109C"/>
    <w:rsid w:val="00C412F1"/>
    <w:rsid w:val="00C413C2"/>
    <w:rsid w:val="00C41427"/>
    <w:rsid w:val="00C415BD"/>
    <w:rsid w:val="00C415C3"/>
    <w:rsid w:val="00C415E0"/>
    <w:rsid w:val="00C416F8"/>
    <w:rsid w:val="00C4175F"/>
    <w:rsid w:val="00C41E8F"/>
    <w:rsid w:val="00C41EFB"/>
    <w:rsid w:val="00C4257E"/>
    <w:rsid w:val="00C42F99"/>
    <w:rsid w:val="00C434D4"/>
    <w:rsid w:val="00C43A11"/>
    <w:rsid w:val="00C43C32"/>
    <w:rsid w:val="00C43D75"/>
    <w:rsid w:val="00C43EB8"/>
    <w:rsid w:val="00C443D3"/>
    <w:rsid w:val="00C446B9"/>
    <w:rsid w:val="00C448AC"/>
    <w:rsid w:val="00C44C04"/>
    <w:rsid w:val="00C44CBE"/>
    <w:rsid w:val="00C44F4E"/>
    <w:rsid w:val="00C45022"/>
    <w:rsid w:val="00C45444"/>
    <w:rsid w:val="00C4579B"/>
    <w:rsid w:val="00C457ED"/>
    <w:rsid w:val="00C45A5A"/>
    <w:rsid w:val="00C461EB"/>
    <w:rsid w:val="00C46295"/>
    <w:rsid w:val="00C46567"/>
    <w:rsid w:val="00C46692"/>
    <w:rsid w:val="00C46734"/>
    <w:rsid w:val="00C469E5"/>
    <w:rsid w:val="00C46A0B"/>
    <w:rsid w:val="00C46DD5"/>
    <w:rsid w:val="00C470E2"/>
    <w:rsid w:val="00C472B1"/>
    <w:rsid w:val="00C473D8"/>
    <w:rsid w:val="00C47441"/>
    <w:rsid w:val="00C474EC"/>
    <w:rsid w:val="00C476FB"/>
    <w:rsid w:val="00C47CB1"/>
    <w:rsid w:val="00C47CE9"/>
    <w:rsid w:val="00C47EA8"/>
    <w:rsid w:val="00C47F63"/>
    <w:rsid w:val="00C502AD"/>
    <w:rsid w:val="00C50346"/>
    <w:rsid w:val="00C503C3"/>
    <w:rsid w:val="00C50404"/>
    <w:rsid w:val="00C5051A"/>
    <w:rsid w:val="00C508E4"/>
    <w:rsid w:val="00C50F0C"/>
    <w:rsid w:val="00C51077"/>
    <w:rsid w:val="00C512AD"/>
    <w:rsid w:val="00C5139D"/>
    <w:rsid w:val="00C51461"/>
    <w:rsid w:val="00C51FC9"/>
    <w:rsid w:val="00C52029"/>
    <w:rsid w:val="00C52181"/>
    <w:rsid w:val="00C521E5"/>
    <w:rsid w:val="00C5269A"/>
    <w:rsid w:val="00C52B48"/>
    <w:rsid w:val="00C52E8E"/>
    <w:rsid w:val="00C53338"/>
    <w:rsid w:val="00C533DA"/>
    <w:rsid w:val="00C5341C"/>
    <w:rsid w:val="00C5343A"/>
    <w:rsid w:val="00C534DA"/>
    <w:rsid w:val="00C5370C"/>
    <w:rsid w:val="00C53B48"/>
    <w:rsid w:val="00C53D35"/>
    <w:rsid w:val="00C5413A"/>
    <w:rsid w:val="00C54168"/>
    <w:rsid w:val="00C5427D"/>
    <w:rsid w:val="00C54318"/>
    <w:rsid w:val="00C549FA"/>
    <w:rsid w:val="00C54B3D"/>
    <w:rsid w:val="00C54B48"/>
    <w:rsid w:val="00C54CB7"/>
    <w:rsid w:val="00C54DAD"/>
    <w:rsid w:val="00C54F05"/>
    <w:rsid w:val="00C552E9"/>
    <w:rsid w:val="00C561BA"/>
    <w:rsid w:val="00C562E4"/>
    <w:rsid w:val="00C563FE"/>
    <w:rsid w:val="00C56952"/>
    <w:rsid w:val="00C569B9"/>
    <w:rsid w:val="00C56E3D"/>
    <w:rsid w:val="00C56EA5"/>
    <w:rsid w:val="00C605EF"/>
    <w:rsid w:val="00C606D1"/>
    <w:rsid w:val="00C612B3"/>
    <w:rsid w:val="00C612C0"/>
    <w:rsid w:val="00C619C7"/>
    <w:rsid w:val="00C61EAE"/>
    <w:rsid w:val="00C627EF"/>
    <w:rsid w:val="00C6281E"/>
    <w:rsid w:val="00C6292D"/>
    <w:rsid w:val="00C637F6"/>
    <w:rsid w:val="00C63DE7"/>
    <w:rsid w:val="00C63E7E"/>
    <w:rsid w:val="00C6449B"/>
    <w:rsid w:val="00C6490E"/>
    <w:rsid w:val="00C649F9"/>
    <w:rsid w:val="00C64AD5"/>
    <w:rsid w:val="00C64D04"/>
    <w:rsid w:val="00C65366"/>
    <w:rsid w:val="00C65578"/>
    <w:rsid w:val="00C65A3B"/>
    <w:rsid w:val="00C65ADD"/>
    <w:rsid w:val="00C65B60"/>
    <w:rsid w:val="00C65BDF"/>
    <w:rsid w:val="00C65C18"/>
    <w:rsid w:val="00C65CDE"/>
    <w:rsid w:val="00C66488"/>
    <w:rsid w:val="00C6650B"/>
    <w:rsid w:val="00C66825"/>
    <w:rsid w:val="00C66940"/>
    <w:rsid w:val="00C66AB2"/>
    <w:rsid w:val="00C66CAF"/>
    <w:rsid w:val="00C66E37"/>
    <w:rsid w:val="00C672D0"/>
    <w:rsid w:val="00C6748E"/>
    <w:rsid w:val="00C67501"/>
    <w:rsid w:val="00C6768A"/>
    <w:rsid w:val="00C6783B"/>
    <w:rsid w:val="00C67DC4"/>
    <w:rsid w:val="00C67E3F"/>
    <w:rsid w:val="00C70002"/>
    <w:rsid w:val="00C7013E"/>
    <w:rsid w:val="00C70217"/>
    <w:rsid w:val="00C705C2"/>
    <w:rsid w:val="00C705DD"/>
    <w:rsid w:val="00C70BFE"/>
    <w:rsid w:val="00C70F98"/>
    <w:rsid w:val="00C70FA3"/>
    <w:rsid w:val="00C71160"/>
    <w:rsid w:val="00C715A4"/>
    <w:rsid w:val="00C7184A"/>
    <w:rsid w:val="00C71A6A"/>
    <w:rsid w:val="00C71DDA"/>
    <w:rsid w:val="00C72036"/>
    <w:rsid w:val="00C7222F"/>
    <w:rsid w:val="00C72458"/>
    <w:rsid w:val="00C7255C"/>
    <w:rsid w:val="00C7263A"/>
    <w:rsid w:val="00C7267E"/>
    <w:rsid w:val="00C727C8"/>
    <w:rsid w:val="00C72F7E"/>
    <w:rsid w:val="00C730A1"/>
    <w:rsid w:val="00C732F0"/>
    <w:rsid w:val="00C738C5"/>
    <w:rsid w:val="00C73926"/>
    <w:rsid w:val="00C73A7A"/>
    <w:rsid w:val="00C73D9B"/>
    <w:rsid w:val="00C74049"/>
    <w:rsid w:val="00C740F1"/>
    <w:rsid w:val="00C743B0"/>
    <w:rsid w:val="00C74852"/>
    <w:rsid w:val="00C74D86"/>
    <w:rsid w:val="00C74E15"/>
    <w:rsid w:val="00C74F8E"/>
    <w:rsid w:val="00C75590"/>
    <w:rsid w:val="00C75CE2"/>
    <w:rsid w:val="00C75F47"/>
    <w:rsid w:val="00C7645B"/>
    <w:rsid w:val="00C76535"/>
    <w:rsid w:val="00C76539"/>
    <w:rsid w:val="00C7678A"/>
    <w:rsid w:val="00C76E26"/>
    <w:rsid w:val="00C76FB5"/>
    <w:rsid w:val="00C77552"/>
    <w:rsid w:val="00C776C1"/>
    <w:rsid w:val="00C776D7"/>
    <w:rsid w:val="00C77809"/>
    <w:rsid w:val="00C77AB7"/>
    <w:rsid w:val="00C77EAD"/>
    <w:rsid w:val="00C77F3F"/>
    <w:rsid w:val="00C80268"/>
    <w:rsid w:val="00C80590"/>
    <w:rsid w:val="00C807A8"/>
    <w:rsid w:val="00C808E5"/>
    <w:rsid w:val="00C80F95"/>
    <w:rsid w:val="00C811AF"/>
    <w:rsid w:val="00C8125E"/>
    <w:rsid w:val="00C81331"/>
    <w:rsid w:val="00C818FF"/>
    <w:rsid w:val="00C81A9C"/>
    <w:rsid w:val="00C81BE3"/>
    <w:rsid w:val="00C81BFB"/>
    <w:rsid w:val="00C81E28"/>
    <w:rsid w:val="00C81F02"/>
    <w:rsid w:val="00C8214E"/>
    <w:rsid w:val="00C821AD"/>
    <w:rsid w:val="00C82212"/>
    <w:rsid w:val="00C824D6"/>
    <w:rsid w:val="00C824EF"/>
    <w:rsid w:val="00C82570"/>
    <w:rsid w:val="00C826D6"/>
    <w:rsid w:val="00C82F14"/>
    <w:rsid w:val="00C83570"/>
    <w:rsid w:val="00C836DE"/>
    <w:rsid w:val="00C83942"/>
    <w:rsid w:val="00C83D43"/>
    <w:rsid w:val="00C84179"/>
    <w:rsid w:val="00C84372"/>
    <w:rsid w:val="00C844AC"/>
    <w:rsid w:val="00C84672"/>
    <w:rsid w:val="00C84695"/>
    <w:rsid w:val="00C8471D"/>
    <w:rsid w:val="00C84D65"/>
    <w:rsid w:val="00C84E1A"/>
    <w:rsid w:val="00C84F3E"/>
    <w:rsid w:val="00C84F7C"/>
    <w:rsid w:val="00C850F6"/>
    <w:rsid w:val="00C85353"/>
    <w:rsid w:val="00C8564A"/>
    <w:rsid w:val="00C8570A"/>
    <w:rsid w:val="00C85825"/>
    <w:rsid w:val="00C85A06"/>
    <w:rsid w:val="00C85AC8"/>
    <w:rsid w:val="00C85C2C"/>
    <w:rsid w:val="00C85E8A"/>
    <w:rsid w:val="00C85EC9"/>
    <w:rsid w:val="00C8600B"/>
    <w:rsid w:val="00C865C3"/>
    <w:rsid w:val="00C87069"/>
    <w:rsid w:val="00C870A2"/>
    <w:rsid w:val="00C87593"/>
    <w:rsid w:val="00C876C7"/>
    <w:rsid w:val="00C8790C"/>
    <w:rsid w:val="00C87A1E"/>
    <w:rsid w:val="00C87A36"/>
    <w:rsid w:val="00C87AC9"/>
    <w:rsid w:val="00C87B5D"/>
    <w:rsid w:val="00C87BEB"/>
    <w:rsid w:val="00C901A5"/>
    <w:rsid w:val="00C9022B"/>
    <w:rsid w:val="00C9027B"/>
    <w:rsid w:val="00C90679"/>
    <w:rsid w:val="00C9090C"/>
    <w:rsid w:val="00C90B5D"/>
    <w:rsid w:val="00C90D95"/>
    <w:rsid w:val="00C90FF1"/>
    <w:rsid w:val="00C91741"/>
    <w:rsid w:val="00C91913"/>
    <w:rsid w:val="00C919F9"/>
    <w:rsid w:val="00C91BDF"/>
    <w:rsid w:val="00C921B0"/>
    <w:rsid w:val="00C92376"/>
    <w:rsid w:val="00C926F0"/>
    <w:rsid w:val="00C92E69"/>
    <w:rsid w:val="00C93019"/>
    <w:rsid w:val="00C93184"/>
    <w:rsid w:val="00C93354"/>
    <w:rsid w:val="00C93371"/>
    <w:rsid w:val="00C934D4"/>
    <w:rsid w:val="00C935FC"/>
    <w:rsid w:val="00C9360B"/>
    <w:rsid w:val="00C93631"/>
    <w:rsid w:val="00C936CA"/>
    <w:rsid w:val="00C9376A"/>
    <w:rsid w:val="00C93AD3"/>
    <w:rsid w:val="00C93DDF"/>
    <w:rsid w:val="00C93FD1"/>
    <w:rsid w:val="00C93FF9"/>
    <w:rsid w:val="00C940A9"/>
    <w:rsid w:val="00C941B5"/>
    <w:rsid w:val="00C943FB"/>
    <w:rsid w:val="00C94B4D"/>
    <w:rsid w:val="00C94CC6"/>
    <w:rsid w:val="00C94F95"/>
    <w:rsid w:val="00C95009"/>
    <w:rsid w:val="00C95079"/>
    <w:rsid w:val="00C9522B"/>
    <w:rsid w:val="00C95323"/>
    <w:rsid w:val="00C953BF"/>
    <w:rsid w:val="00C9566C"/>
    <w:rsid w:val="00C956F2"/>
    <w:rsid w:val="00C958F3"/>
    <w:rsid w:val="00C95C47"/>
    <w:rsid w:val="00C9602C"/>
    <w:rsid w:val="00C960EB"/>
    <w:rsid w:val="00C96163"/>
    <w:rsid w:val="00C96562"/>
    <w:rsid w:val="00C965EF"/>
    <w:rsid w:val="00C96B64"/>
    <w:rsid w:val="00C96F36"/>
    <w:rsid w:val="00C970A4"/>
    <w:rsid w:val="00C971A4"/>
    <w:rsid w:val="00C9722A"/>
    <w:rsid w:val="00C97379"/>
    <w:rsid w:val="00C97472"/>
    <w:rsid w:val="00C974C6"/>
    <w:rsid w:val="00C9799C"/>
    <w:rsid w:val="00CA02D8"/>
    <w:rsid w:val="00CA0319"/>
    <w:rsid w:val="00CA0402"/>
    <w:rsid w:val="00CA04AC"/>
    <w:rsid w:val="00CA06E2"/>
    <w:rsid w:val="00CA1240"/>
    <w:rsid w:val="00CA1271"/>
    <w:rsid w:val="00CA1411"/>
    <w:rsid w:val="00CA14D5"/>
    <w:rsid w:val="00CA1588"/>
    <w:rsid w:val="00CA1E3C"/>
    <w:rsid w:val="00CA22BF"/>
    <w:rsid w:val="00CA23B9"/>
    <w:rsid w:val="00CA23C7"/>
    <w:rsid w:val="00CA2685"/>
    <w:rsid w:val="00CA28FE"/>
    <w:rsid w:val="00CA2C5E"/>
    <w:rsid w:val="00CA2D55"/>
    <w:rsid w:val="00CA2E08"/>
    <w:rsid w:val="00CA2E2D"/>
    <w:rsid w:val="00CA2F41"/>
    <w:rsid w:val="00CA3064"/>
    <w:rsid w:val="00CA31D3"/>
    <w:rsid w:val="00CA3213"/>
    <w:rsid w:val="00CA338E"/>
    <w:rsid w:val="00CA3461"/>
    <w:rsid w:val="00CA3884"/>
    <w:rsid w:val="00CA39BD"/>
    <w:rsid w:val="00CA3E6F"/>
    <w:rsid w:val="00CA3E8D"/>
    <w:rsid w:val="00CA3EE5"/>
    <w:rsid w:val="00CA48B9"/>
    <w:rsid w:val="00CA4DB2"/>
    <w:rsid w:val="00CA4E5E"/>
    <w:rsid w:val="00CA4ECD"/>
    <w:rsid w:val="00CA500E"/>
    <w:rsid w:val="00CA5380"/>
    <w:rsid w:val="00CA5481"/>
    <w:rsid w:val="00CA555D"/>
    <w:rsid w:val="00CA5C88"/>
    <w:rsid w:val="00CA5CA0"/>
    <w:rsid w:val="00CA5E0A"/>
    <w:rsid w:val="00CA63DC"/>
    <w:rsid w:val="00CA65E0"/>
    <w:rsid w:val="00CA6659"/>
    <w:rsid w:val="00CA6AB1"/>
    <w:rsid w:val="00CA6BA0"/>
    <w:rsid w:val="00CA6D1F"/>
    <w:rsid w:val="00CA6F9A"/>
    <w:rsid w:val="00CA73AD"/>
    <w:rsid w:val="00CA78F0"/>
    <w:rsid w:val="00CA7C3D"/>
    <w:rsid w:val="00CA7C98"/>
    <w:rsid w:val="00CA7CD8"/>
    <w:rsid w:val="00CA7DC8"/>
    <w:rsid w:val="00CB0049"/>
    <w:rsid w:val="00CB01A4"/>
    <w:rsid w:val="00CB037B"/>
    <w:rsid w:val="00CB053C"/>
    <w:rsid w:val="00CB0810"/>
    <w:rsid w:val="00CB09A4"/>
    <w:rsid w:val="00CB0A95"/>
    <w:rsid w:val="00CB0B3A"/>
    <w:rsid w:val="00CB10FC"/>
    <w:rsid w:val="00CB11E9"/>
    <w:rsid w:val="00CB14BD"/>
    <w:rsid w:val="00CB17D5"/>
    <w:rsid w:val="00CB1E46"/>
    <w:rsid w:val="00CB357B"/>
    <w:rsid w:val="00CB37A3"/>
    <w:rsid w:val="00CB3BC8"/>
    <w:rsid w:val="00CB3EF0"/>
    <w:rsid w:val="00CB3F36"/>
    <w:rsid w:val="00CB4008"/>
    <w:rsid w:val="00CB4028"/>
    <w:rsid w:val="00CB43DC"/>
    <w:rsid w:val="00CB4545"/>
    <w:rsid w:val="00CB4B36"/>
    <w:rsid w:val="00CB4D81"/>
    <w:rsid w:val="00CB52A1"/>
    <w:rsid w:val="00CB5300"/>
    <w:rsid w:val="00CB5359"/>
    <w:rsid w:val="00CB594E"/>
    <w:rsid w:val="00CB5979"/>
    <w:rsid w:val="00CB5D5E"/>
    <w:rsid w:val="00CB5F57"/>
    <w:rsid w:val="00CB645F"/>
    <w:rsid w:val="00CB6487"/>
    <w:rsid w:val="00CB6535"/>
    <w:rsid w:val="00CB6C15"/>
    <w:rsid w:val="00CB7507"/>
    <w:rsid w:val="00CB7661"/>
    <w:rsid w:val="00CB77AE"/>
    <w:rsid w:val="00CB781A"/>
    <w:rsid w:val="00CB7E88"/>
    <w:rsid w:val="00CC0027"/>
    <w:rsid w:val="00CC0459"/>
    <w:rsid w:val="00CC0643"/>
    <w:rsid w:val="00CC0776"/>
    <w:rsid w:val="00CC088D"/>
    <w:rsid w:val="00CC0C1D"/>
    <w:rsid w:val="00CC0C91"/>
    <w:rsid w:val="00CC1289"/>
    <w:rsid w:val="00CC14A5"/>
    <w:rsid w:val="00CC15B3"/>
    <w:rsid w:val="00CC2432"/>
    <w:rsid w:val="00CC2A25"/>
    <w:rsid w:val="00CC2ABD"/>
    <w:rsid w:val="00CC2E4D"/>
    <w:rsid w:val="00CC3324"/>
    <w:rsid w:val="00CC33AE"/>
    <w:rsid w:val="00CC3520"/>
    <w:rsid w:val="00CC39F4"/>
    <w:rsid w:val="00CC408C"/>
    <w:rsid w:val="00CC439C"/>
    <w:rsid w:val="00CC43A1"/>
    <w:rsid w:val="00CC457C"/>
    <w:rsid w:val="00CC45DD"/>
    <w:rsid w:val="00CC461C"/>
    <w:rsid w:val="00CC4E46"/>
    <w:rsid w:val="00CC5759"/>
    <w:rsid w:val="00CC5826"/>
    <w:rsid w:val="00CC5C6F"/>
    <w:rsid w:val="00CC5D4A"/>
    <w:rsid w:val="00CC5DCD"/>
    <w:rsid w:val="00CC5F6A"/>
    <w:rsid w:val="00CC6096"/>
    <w:rsid w:val="00CC6282"/>
    <w:rsid w:val="00CC62D0"/>
    <w:rsid w:val="00CC65CE"/>
    <w:rsid w:val="00CC66A4"/>
    <w:rsid w:val="00CC6709"/>
    <w:rsid w:val="00CC6E7E"/>
    <w:rsid w:val="00CC6EED"/>
    <w:rsid w:val="00CC710B"/>
    <w:rsid w:val="00CC72EE"/>
    <w:rsid w:val="00CC7547"/>
    <w:rsid w:val="00CC76C0"/>
    <w:rsid w:val="00CC7AE8"/>
    <w:rsid w:val="00CC7BA4"/>
    <w:rsid w:val="00CC7F7A"/>
    <w:rsid w:val="00CD0106"/>
    <w:rsid w:val="00CD0787"/>
    <w:rsid w:val="00CD0AD2"/>
    <w:rsid w:val="00CD0C69"/>
    <w:rsid w:val="00CD0D31"/>
    <w:rsid w:val="00CD0FFD"/>
    <w:rsid w:val="00CD1416"/>
    <w:rsid w:val="00CD14EB"/>
    <w:rsid w:val="00CD1570"/>
    <w:rsid w:val="00CD1583"/>
    <w:rsid w:val="00CD161F"/>
    <w:rsid w:val="00CD162E"/>
    <w:rsid w:val="00CD182E"/>
    <w:rsid w:val="00CD18AF"/>
    <w:rsid w:val="00CD19CE"/>
    <w:rsid w:val="00CD1DD7"/>
    <w:rsid w:val="00CD1F73"/>
    <w:rsid w:val="00CD20F3"/>
    <w:rsid w:val="00CD2160"/>
    <w:rsid w:val="00CD2228"/>
    <w:rsid w:val="00CD2269"/>
    <w:rsid w:val="00CD2914"/>
    <w:rsid w:val="00CD2AC6"/>
    <w:rsid w:val="00CD2B60"/>
    <w:rsid w:val="00CD2B7B"/>
    <w:rsid w:val="00CD2DB7"/>
    <w:rsid w:val="00CD3524"/>
    <w:rsid w:val="00CD3655"/>
    <w:rsid w:val="00CD36FE"/>
    <w:rsid w:val="00CD3C89"/>
    <w:rsid w:val="00CD3EDA"/>
    <w:rsid w:val="00CD3F05"/>
    <w:rsid w:val="00CD4190"/>
    <w:rsid w:val="00CD431A"/>
    <w:rsid w:val="00CD4C1F"/>
    <w:rsid w:val="00CD4CA4"/>
    <w:rsid w:val="00CD4D0C"/>
    <w:rsid w:val="00CD4F17"/>
    <w:rsid w:val="00CD50EC"/>
    <w:rsid w:val="00CD51D0"/>
    <w:rsid w:val="00CD536A"/>
    <w:rsid w:val="00CD56DC"/>
    <w:rsid w:val="00CD57E5"/>
    <w:rsid w:val="00CD5BFE"/>
    <w:rsid w:val="00CD5C27"/>
    <w:rsid w:val="00CD5D38"/>
    <w:rsid w:val="00CD616D"/>
    <w:rsid w:val="00CD6172"/>
    <w:rsid w:val="00CD621C"/>
    <w:rsid w:val="00CD6303"/>
    <w:rsid w:val="00CD632B"/>
    <w:rsid w:val="00CD6449"/>
    <w:rsid w:val="00CD653D"/>
    <w:rsid w:val="00CD6935"/>
    <w:rsid w:val="00CD6A57"/>
    <w:rsid w:val="00CD6AC0"/>
    <w:rsid w:val="00CD7363"/>
    <w:rsid w:val="00CD7559"/>
    <w:rsid w:val="00CD7633"/>
    <w:rsid w:val="00CD7899"/>
    <w:rsid w:val="00CD7ABC"/>
    <w:rsid w:val="00CD7F48"/>
    <w:rsid w:val="00CE0900"/>
    <w:rsid w:val="00CE0A8C"/>
    <w:rsid w:val="00CE0F81"/>
    <w:rsid w:val="00CE1017"/>
    <w:rsid w:val="00CE109D"/>
    <w:rsid w:val="00CE10F8"/>
    <w:rsid w:val="00CE163A"/>
    <w:rsid w:val="00CE16A4"/>
    <w:rsid w:val="00CE19E4"/>
    <w:rsid w:val="00CE1A50"/>
    <w:rsid w:val="00CE1A62"/>
    <w:rsid w:val="00CE1A8B"/>
    <w:rsid w:val="00CE1AB6"/>
    <w:rsid w:val="00CE1B49"/>
    <w:rsid w:val="00CE1B5B"/>
    <w:rsid w:val="00CE1B9A"/>
    <w:rsid w:val="00CE1D1C"/>
    <w:rsid w:val="00CE1F5B"/>
    <w:rsid w:val="00CE1F62"/>
    <w:rsid w:val="00CE2257"/>
    <w:rsid w:val="00CE254B"/>
    <w:rsid w:val="00CE282B"/>
    <w:rsid w:val="00CE2AE3"/>
    <w:rsid w:val="00CE2BD0"/>
    <w:rsid w:val="00CE32CF"/>
    <w:rsid w:val="00CE33B2"/>
    <w:rsid w:val="00CE33D8"/>
    <w:rsid w:val="00CE3E1F"/>
    <w:rsid w:val="00CE3ED6"/>
    <w:rsid w:val="00CE4039"/>
    <w:rsid w:val="00CE484E"/>
    <w:rsid w:val="00CE49B7"/>
    <w:rsid w:val="00CE5BBB"/>
    <w:rsid w:val="00CE5CBF"/>
    <w:rsid w:val="00CE5D04"/>
    <w:rsid w:val="00CE5D78"/>
    <w:rsid w:val="00CE604E"/>
    <w:rsid w:val="00CE623B"/>
    <w:rsid w:val="00CE6301"/>
    <w:rsid w:val="00CE6E08"/>
    <w:rsid w:val="00CE7678"/>
    <w:rsid w:val="00CE77B9"/>
    <w:rsid w:val="00CE7A98"/>
    <w:rsid w:val="00CE7C7B"/>
    <w:rsid w:val="00CE7E92"/>
    <w:rsid w:val="00CF0060"/>
    <w:rsid w:val="00CF0170"/>
    <w:rsid w:val="00CF1447"/>
    <w:rsid w:val="00CF14CA"/>
    <w:rsid w:val="00CF17E7"/>
    <w:rsid w:val="00CF1B89"/>
    <w:rsid w:val="00CF1CAF"/>
    <w:rsid w:val="00CF1DB1"/>
    <w:rsid w:val="00CF1F14"/>
    <w:rsid w:val="00CF223B"/>
    <w:rsid w:val="00CF2613"/>
    <w:rsid w:val="00CF2822"/>
    <w:rsid w:val="00CF2E9E"/>
    <w:rsid w:val="00CF311C"/>
    <w:rsid w:val="00CF40B3"/>
    <w:rsid w:val="00CF42A1"/>
    <w:rsid w:val="00CF43E5"/>
    <w:rsid w:val="00CF4429"/>
    <w:rsid w:val="00CF4979"/>
    <w:rsid w:val="00CF49F9"/>
    <w:rsid w:val="00CF4D69"/>
    <w:rsid w:val="00CF5470"/>
    <w:rsid w:val="00CF5960"/>
    <w:rsid w:val="00CF5BCF"/>
    <w:rsid w:val="00CF5C97"/>
    <w:rsid w:val="00CF5F53"/>
    <w:rsid w:val="00CF6833"/>
    <w:rsid w:val="00CF68AC"/>
    <w:rsid w:val="00CF6BEE"/>
    <w:rsid w:val="00CF6C7E"/>
    <w:rsid w:val="00CF6CCA"/>
    <w:rsid w:val="00CF6D84"/>
    <w:rsid w:val="00CF6E1B"/>
    <w:rsid w:val="00CF6F10"/>
    <w:rsid w:val="00CF6F25"/>
    <w:rsid w:val="00CF7049"/>
    <w:rsid w:val="00CF70A9"/>
    <w:rsid w:val="00CF70DA"/>
    <w:rsid w:val="00CF7DD4"/>
    <w:rsid w:val="00CF7EFB"/>
    <w:rsid w:val="00D0001C"/>
    <w:rsid w:val="00D00483"/>
    <w:rsid w:val="00D005BE"/>
    <w:rsid w:val="00D0099A"/>
    <w:rsid w:val="00D00E00"/>
    <w:rsid w:val="00D00E31"/>
    <w:rsid w:val="00D010B9"/>
    <w:rsid w:val="00D01229"/>
    <w:rsid w:val="00D012E2"/>
    <w:rsid w:val="00D01380"/>
    <w:rsid w:val="00D015D8"/>
    <w:rsid w:val="00D01611"/>
    <w:rsid w:val="00D0186D"/>
    <w:rsid w:val="00D01C76"/>
    <w:rsid w:val="00D01F4A"/>
    <w:rsid w:val="00D02848"/>
    <w:rsid w:val="00D02A82"/>
    <w:rsid w:val="00D02CED"/>
    <w:rsid w:val="00D033F8"/>
    <w:rsid w:val="00D035FB"/>
    <w:rsid w:val="00D0384E"/>
    <w:rsid w:val="00D038C9"/>
    <w:rsid w:val="00D03A61"/>
    <w:rsid w:val="00D03E58"/>
    <w:rsid w:val="00D03F56"/>
    <w:rsid w:val="00D04257"/>
    <w:rsid w:val="00D04268"/>
    <w:rsid w:val="00D0495A"/>
    <w:rsid w:val="00D049AB"/>
    <w:rsid w:val="00D04A61"/>
    <w:rsid w:val="00D04BB3"/>
    <w:rsid w:val="00D0501A"/>
    <w:rsid w:val="00D05736"/>
    <w:rsid w:val="00D05738"/>
    <w:rsid w:val="00D05AB4"/>
    <w:rsid w:val="00D05C0A"/>
    <w:rsid w:val="00D05CF2"/>
    <w:rsid w:val="00D05D73"/>
    <w:rsid w:val="00D05DC9"/>
    <w:rsid w:val="00D06100"/>
    <w:rsid w:val="00D0628D"/>
    <w:rsid w:val="00D06351"/>
    <w:rsid w:val="00D06516"/>
    <w:rsid w:val="00D066A2"/>
    <w:rsid w:val="00D06828"/>
    <w:rsid w:val="00D068F4"/>
    <w:rsid w:val="00D06C3C"/>
    <w:rsid w:val="00D06D24"/>
    <w:rsid w:val="00D07034"/>
    <w:rsid w:val="00D071D6"/>
    <w:rsid w:val="00D07333"/>
    <w:rsid w:val="00D073C7"/>
    <w:rsid w:val="00D07B41"/>
    <w:rsid w:val="00D07E55"/>
    <w:rsid w:val="00D100B4"/>
    <w:rsid w:val="00D10373"/>
    <w:rsid w:val="00D110F3"/>
    <w:rsid w:val="00D11167"/>
    <w:rsid w:val="00D11391"/>
    <w:rsid w:val="00D11415"/>
    <w:rsid w:val="00D1155D"/>
    <w:rsid w:val="00D11B89"/>
    <w:rsid w:val="00D11C5A"/>
    <w:rsid w:val="00D11E3E"/>
    <w:rsid w:val="00D11E9B"/>
    <w:rsid w:val="00D12046"/>
    <w:rsid w:val="00D12247"/>
    <w:rsid w:val="00D12340"/>
    <w:rsid w:val="00D12385"/>
    <w:rsid w:val="00D124D9"/>
    <w:rsid w:val="00D12C32"/>
    <w:rsid w:val="00D12D5A"/>
    <w:rsid w:val="00D13276"/>
    <w:rsid w:val="00D13945"/>
    <w:rsid w:val="00D13965"/>
    <w:rsid w:val="00D14165"/>
    <w:rsid w:val="00D143CC"/>
    <w:rsid w:val="00D14472"/>
    <w:rsid w:val="00D14637"/>
    <w:rsid w:val="00D14639"/>
    <w:rsid w:val="00D14C86"/>
    <w:rsid w:val="00D14EBA"/>
    <w:rsid w:val="00D14F4A"/>
    <w:rsid w:val="00D1518F"/>
    <w:rsid w:val="00D151E2"/>
    <w:rsid w:val="00D15340"/>
    <w:rsid w:val="00D154DD"/>
    <w:rsid w:val="00D1552F"/>
    <w:rsid w:val="00D15F84"/>
    <w:rsid w:val="00D160ED"/>
    <w:rsid w:val="00D166E7"/>
    <w:rsid w:val="00D16849"/>
    <w:rsid w:val="00D16877"/>
    <w:rsid w:val="00D1709F"/>
    <w:rsid w:val="00D17266"/>
    <w:rsid w:val="00D17997"/>
    <w:rsid w:val="00D17B75"/>
    <w:rsid w:val="00D17CFE"/>
    <w:rsid w:val="00D20090"/>
    <w:rsid w:val="00D20695"/>
    <w:rsid w:val="00D20B96"/>
    <w:rsid w:val="00D20C4F"/>
    <w:rsid w:val="00D21173"/>
    <w:rsid w:val="00D21206"/>
    <w:rsid w:val="00D2136B"/>
    <w:rsid w:val="00D2174B"/>
    <w:rsid w:val="00D217C1"/>
    <w:rsid w:val="00D217D7"/>
    <w:rsid w:val="00D2192F"/>
    <w:rsid w:val="00D21A4E"/>
    <w:rsid w:val="00D21B5A"/>
    <w:rsid w:val="00D21B60"/>
    <w:rsid w:val="00D21C25"/>
    <w:rsid w:val="00D21E0F"/>
    <w:rsid w:val="00D21E3E"/>
    <w:rsid w:val="00D21EEB"/>
    <w:rsid w:val="00D222C7"/>
    <w:rsid w:val="00D22493"/>
    <w:rsid w:val="00D22926"/>
    <w:rsid w:val="00D22B4D"/>
    <w:rsid w:val="00D22F7B"/>
    <w:rsid w:val="00D22FC4"/>
    <w:rsid w:val="00D230A8"/>
    <w:rsid w:val="00D233CA"/>
    <w:rsid w:val="00D233EC"/>
    <w:rsid w:val="00D23482"/>
    <w:rsid w:val="00D23548"/>
    <w:rsid w:val="00D23A4F"/>
    <w:rsid w:val="00D23BF6"/>
    <w:rsid w:val="00D23EC8"/>
    <w:rsid w:val="00D24532"/>
    <w:rsid w:val="00D24F74"/>
    <w:rsid w:val="00D25033"/>
    <w:rsid w:val="00D251C2"/>
    <w:rsid w:val="00D25496"/>
    <w:rsid w:val="00D25579"/>
    <w:rsid w:val="00D25903"/>
    <w:rsid w:val="00D259C0"/>
    <w:rsid w:val="00D25A2E"/>
    <w:rsid w:val="00D25E36"/>
    <w:rsid w:val="00D25FC3"/>
    <w:rsid w:val="00D26580"/>
    <w:rsid w:val="00D2718B"/>
    <w:rsid w:val="00D27246"/>
    <w:rsid w:val="00D277BA"/>
    <w:rsid w:val="00D2786C"/>
    <w:rsid w:val="00D279D6"/>
    <w:rsid w:val="00D27AE9"/>
    <w:rsid w:val="00D27C17"/>
    <w:rsid w:val="00D30285"/>
    <w:rsid w:val="00D30669"/>
    <w:rsid w:val="00D307FB"/>
    <w:rsid w:val="00D30978"/>
    <w:rsid w:val="00D30A00"/>
    <w:rsid w:val="00D30F85"/>
    <w:rsid w:val="00D31300"/>
    <w:rsid w:val="00D314B1"/>
    <w:rsid w:val="00D31557"/>
    <w:rsid w:val="00D3170F"/>
    <w:rsid w:val="00D31765"/>
    <w:rsid w:val="00D31773"/>
    <w:rsid w:val="00D31A13"/>
    <w:rsid w:val="00D31AFB"/>
    <w:rsid w:val="00D31C3F"/>
    <w:rsid w:val="00D31DF5"/>
    <w:rsid w:val="00D322FC"/>
    <w:rsid w:val="00D32857"/>
    <w:rsid w:val="00D32873"/>
    <w:rsid w:val="00D332A4"/>
    <w:rsid w:val="00D333AA"/>
    <w:rsid w:val="00D337E4"/>
    <w:rsid w:val="00D337FF"/>
    <w:rsid w:val="00D33849"/>
    <w:rsid w:val="00D33A45"/>
    <w:rsid w:val="00D33AC9"/>
    <w:rsid w:val="00D33B67"/>
    <w:rsid w:val="00D340C8"/>
    <w:rsid w:val="00D340FE"/>
    <w:rsid w:val="00D34854"/>
    <w:rsid w:val="00D34943"/>
    <w:rsid w:val="00D34A3F"/>
    <w:rsid w:val="00D34BF3"/>
    <w:rsid w:val="00D35346"/>
    <w:rsid w:val="00D35356"/>
    <w:rsid w:val="00D35396"/>
    <w:rsid w:val="00D35448"/>
    <w:rsid w:val="00D35BC6"/>
    <w:rsid w:val="00D35D20"/>
    <w:rsid w:val="00D36679"/>
    <w:rsid w:val="00D36714"/>
    <w:rsid w:val="00D36752"/>
    <w:rsid w:val="00D36783"/>
    <w:rsid w:val="00D36CB4"/>
    <w:rsid w:val="00D36FB8"/>
    <w:rsid w:val="00D3766E"/>
    <w:rsid w:val="00D376DE"/>
    <w:rsid w:val="00D3778D"/>
    <w:rsid w:val="00D377BB"/>
    <w:rsid w:val="00D37865"/>
    <w:rsid w:val="00D37B84"/>
    <w:rsid w:val="00D4039A"/>
    <w:rsid w:val="00D405CA"/>
    <w:rsid w:val="00D408F8"/>
    <w:rsid w:val="00D40B6C"/>
    <w:rsid w:val="00D40BFD"/>
    <w:rsid w:val="00D40C39"/>
    <w:rsid w:val="00D40C46"/>
    <w:rsid w:val="00D40CA6"/>
    <w:rsid w:val="00D40FB0"/>
    <w:rsid w:val="00D410C1"/>
    <w:rsid w:val="00D410E9"/>
    <w:rsid w:val="00D411A4"/>
    <w:rsid w:val="00D41484"/>
    <w:rsid w:val="00D414E7"/>
    <w:rsid w:val="00D41666"/>
    <w:rsid w:val="00D417E0"/>
    <w:rsid w:val="00D417F2"/>
    <w:rsid w:val="00D41917"/>
    <w:rsid w:val="00D41C01"/>
    <w:rsid w:val="00D422B3"/>
    <w:rsid w:val="00D42456"/>
    <w:rsid w:val="00D42463"/>
    <w:rsid w:val="00D42556"/>
    <w:rsid w:val="00D42B2D"/>
    <w:rsid w:val="00D42CA2"/>
    <w:rsid w:val="00D42E69"/>
    <w:rsid w:val="00D42EE8"/>
    <w:rsid w:val="00D43490"/>
    <w:rsid w:val="00D437A9"/>
    <w:rsid w:val="00D4390D"/>
    <w:rsid w:val="00D43C9F"/>
    <w:rsid w:val="00D43CCA"/>
    <w:rsid w:val="00D43E56"/>
    <w:rsid w:val="00D4411E"/>
    <w:rsid w:val="00D44239"/>
    <w:rsid w:val="00D44328"/>
    <w:rsid w:val="00D443BC"/>
    <w:rsid w:val="00D44445"/>
    <w:rsid w:val="00D44715"/>
    <w:rsid w:val="00D44A86"/>
    <w:rsid w:val="00D44BE4"/>
    <w:rsid w:val="00D44C75"/>
    <w:rsid w:val="00D44DFE"/>
    <w:rsid w:val="00D4574C"/>
    <w:rsid w:val="00D45871"/>
    <w:rsid w:val="00D459BA"/>
    <w:rsid w:val="00D45BA6"/>
    <w:rsid w:val="00D45C13"/>
    <w:rsid w:val="00D45CF4"/>
    <w:rsid w:val="00D461C1"/>
    <w:rsid w:val="00D46344"/>
    <w:rsid w:val="00D4664A"/>
    <w:rsid w:val="00D46CBD"/>
    <w:rsid w:val="00D470F6"/>
    <w:rsid w:val="00D4714E"/>
    <w:rsid w:val="00D478DF"/>
    <w:rsid w:val="00D47A25"/>
    <w:rsid w:val="00D47A5F"/>
    <w:rsid w:val="00D47FA0"/>
    <w:rsid w:val="00D50374"/>
    <w:rsid w:val="00D50C01"/>
    <w:rsid w:val="00D50CB3"/>
    <w:rsid w:val="00D50D2E"/>
    <w:rsid w:val="00D50D40"/>
    <w:rsid w:val="00D50EE4"/>
    <w:rsid w:val="00D510A9"/>
    <w:rsid w:val="00D514A4"/>
    <w:rsid w:val="00D51912"/>
    <w:rsid w:val="00D51D7A"/>
    <w:rsid w:val="00D51EAF"/>
    <w:rsid w:val="00D520C2"/>
    <w:rsid w:val="00D527B8"/>
    <w:rsid w:val="00D5295D"/>
    <w:rsid w:val="00D52E81"/>
    <w:rsid w:val="00D5306D"/>
    <w:rsid w:val="00D53314"/>
    <w:rsid w:val="00D5333A"/>
    <w:rsid w:val="00D53503"/>
    <w:rsid w:val="00D535E1"/>
    <w:rsid w:val="00D537EB"/>
    <w:rsid w:val="00D5386D"/>
    <w:rsid w:val="00D5395E"/>
    <w:rsid w:val="00D53987"/>
    <w:rsid w:val="00D53E48"/>
    <w:rsid w:val="00D541B7"/>
    <w:rsid w:val="00D5434F"/>
    <w:rsid w:val="00D545CA"/>
    <w:rsid w:val="00D548C0"/>
    <w:rsid w:val="00D54D61"/>
    <w:rsid w:val="00D54E9E"/>
    <w:rsid w:val="00D54FD5"/>
    <w:rsid w:val="00D55502"/>
    <w:rsid w:val="00D55520"/>
    <w:rsid w:val="00D555B6"/>
    <w:rsid w:val="00D55B2E"/>
    <w:rsid w:val="00D55B38"/>
    <w:rsid w:val="00D55D02"/>
    <w:rsid w:val="00D56200"/>
    <w:rsid w:val="00D56490"/>
    <w:rsid w:val="00D56778"/>
    <w:rsid w:val="00D568DF"/>
    <w:rsid w:val="00D56A0C"/>
    <w:rsid w:val="00D56F2C"/>
    <w:rsid w:val="00D57187"/>
    <w:rsid w:val="00D571A3"/>
    <w:rsid w:val="00D571E1"/>
    <w:rsid w:val="00D5746A"/>
    <w:rsid w:val="00D57714"/>
    <w:rsid w:val="00D57828"/>
    <w:rsid w:val="00D57B97"/>
    <w:rsid w:val="00D57DBF"/>
    <w:rsid w:val="00D57E60"/>
    <w:rsid w:val="00D60222"/>
    <w:rsid w:val="00D60319"/>
    <w:rsid w:val="00D60536"/>
    <w:rsid w:val="00D6072D"/>
    <w:rsid w:val="00D60B93"/>
    <w:rsid w:val="00D60CBF"/>
    <w:rsid w:val="00D60E55"/>
    <w:rsid w:val="00D6128E"/>
    <w:rsid w:val="00D61964"/>
    <w:rsid w:val="00D61A24"/>
    <w:rsid w:val="00D61AC5"/>
    <w:rsid w:val="00D61B96"/>
    <w:rsid w:val="00D61CC8"/>
    <w:rsid w:val="00D62BAE"/>
    <w:rsid w:val="00D63B57"/>
    <w:rsid w:val="00D63C16"/>
    <w:rsid w:val="00D63EE2"/>
    <w:rsid w:val="00D6464F"/>
    <w:rsid w:val="00D64B47"/>
    <w:rsid w:val="00D65045"/>
    <w:rsid w:val="00D653B2"/>
    <w:rsid w:val="00D654E2"/>
    <w:rsid w:val="00D6552C"/>
    <w:rsid w:val="00D6583E"/>
    <w:rsid w:val="00D65933"/>
    <w:rsid w:val="00D65C0F"/>
    <w:rsid w:val="00D66159"/>
    <w:rsid w:val="00D662FA"/>
    <w:rsid w:val="00D66A47"/>
    <w:rsid w:val="00D67103"/>
    <w:rsid w:val="00D67D2D"/>
    <w:rsid w:val="00D67D82"/>
    <w:rsid w:val="00D70059"/>
    <w:rsid w:val="00D70290"/>
    <w:rsid w:val="00D703ED"/>
    <w:rsid w:val="00D7070D"/>
    <w:rsid w:val="00D70BE0"/>
    <w:rsid w:val="00D70CDD"/>
    <w:rsid w:val="00D70D10"/>
    <w:rsid w:val="00D70FB8"/>
    <w:rsid w:val="00D71206"/>
    <w:rsid w:val="00D71439"/>
    <w:rsid w:val="00D7143B"/>
    <w:rsid w:val="00D71696"/>
    <w:rsid w:val="00D71B15"/>
    <w:rsid w:val="00D71E66"/>
    <w:rsid w:val="00D72171"/>
    <w:rsid w:val="00D72555"/>
    <w:rsid w:val="00D7281C"/>
    <w:rsid w:val="00D72BAB"/>
    <w:rsid w:val="00D72EAC"/>
    <w:rsid w:val="00D72F0B"/>
    <w:rsid w:val="00D72F0F"/>
    <w:rsid w:val="00D72F95"/>
    <w:rsid w:val="00D7326D"/>
    <w:rsid w:val="00D73589"/>
    <w:rsid w:val="00D736E3"/>
    <w:rsid w:val="00D73952"/>
    <w:rsid w:val="00D73A6D"/>
    <w:rsid w:val="00D73E07"/>
    <w:rsid w:val="00D741D2"/>
    <w:rsid w:val="00D74386"/>
    <w:rsid w:val="00D748AC"/>
    <w:rsid w:val="00D750E6"/>
    <w:rsid w:val="00D758DB"/>
    <w:rsid w:val="00D75AF0"/>
    <w:rsid w:val="00D75E8A"/>
    <w:rsid w:val="00D76258"/>
    <w:rsid w:val="00D76AB0"/>
    <w:rsid w:val="00D7746F"/>
    <w:rsid w:val="00D77672"/>
    <w:rsid w:val="00D77C8D"/>
    <w:rsid w:val="00D77D20"/>
    <w:rsid w:val="00D77D82"/>
    <w:rsid w:val="00D77F90"/>
    <w:rsid w:val="00D804BA"/>
    <w:rsid w:val="00D8053A"/>
    <w:rsid w:val="00D807D4"/>
    <w:rsid w:val="00D8103A"/>
    <w:rsid w:val="00D8124D"/>
    <w:rsid w:val="00D81433"/>
    <w:rsid w:val="00D816D1"/>
    <w:rsid w:val="00D818E6"/>
    <w:rsid w:val="00D819DE"/>
    <w:rsid w:val="00D819E5"/>
    <w:rsid w:val="00D81AD5"/>
    <w:rsid w:val="00D81BBE"/>
    <w:rsid w:val="00D81BC1"/>
    <w:rsid w:val="00D81ED1"/>
    <w:rsid w:val="00D82011"/>
    <w:rsid w:val="00D824FB"/>
    <w:rsid w:val="00D8268F"/>
    <w:rsid w:val="00D82B6D"/>
    <w:rsid w:val="00D82C84"/>
    <w:rsid w:val="00D8310A"/>
    <w:rsid w:val="00D8316B"/>
    <w:rsid w:val="00D83179"/>
    <w:rsid w:val="00D834FC"/>
    <w:rsid w:val="00D837EF"/>
    <w:rsid w:val="00D83872"/>
    <w:rsid w:val="00D83AFA"/>
    <w:rsid w:val="00D83FF5"/>
    <w:rsid w:val="00D8406F"/>
    <w:rsid w:val="00D84070"/>
    <w:rsid w:val="00D841ED"/>
    <w:rsid w:val="00D842CB"/>
    <w:rsid w:val="00D84366"/>
    <w:rsid w:val="00D84806"/>
    <w:rsid w:val="00D848B1"/>
    <w:rsid w:val="00D84B26"/>
    <w:rsid w:val="00D84F67"/>
    <w:rsid w:val="00D84F75"/>
    <w:rsid w:val="00D84FBD"/>
    <w:rsid w:val="00D852BF"/>
    <w:rsid w:val="00D85826"/>
    <w:rsid w:val="00D858DE"/>
    <w:rsid w:val="00D8596F"/>
    <w:rsid w:val="00D85CAB"/>
    <w:rsid w:val="00D85F08"/>
    <w:rsid w:val="00D85F6E"/>
    <w:rsid w:val="00D86657"/>
    <w:rsid w:val="00D867E4"/>
    <w:rsid w:val="00D8724D"/>
    <w:rsid w:val="00D872EC"/>
    <w:rsid w:val="00D87376"/>
    <w:rsid w:val="00D87647"/>
    <w:rsid w:val="00D87695"/>
    <w:rsid w:val="00D87721"/>
    <w:rsid w:val="00D877D3"/>
    <w:rsid w:val="00D878B7"/>
    <w:rsid w:val="00D87A5F"/>
    <w:rsid w:val="00D87AF9"/>
    <w:rsid w:val="00D87EB5"/>
    <w:rsid w:val="00D87EF9"/>
    <w:rsid w:val="00D9003D"/>
    <w:rsid w:val="00D9024B"/>
    <w:rsid w:val="00D90556"/>
    <w:rsid w:val="00D90B92"/>
    <w:rsid w:val="00D90C78"/>
    <w:rsid w:val="00D90DC5"/>
    <w:rsid w:val="00D90EA7"/>
    <w:rsid w:val="00D90FDD"/>
    <w:rsid w:val="00D9150B"/>
    <w:rsid w:val="00D9153A"/>
    <w:rsid w:val="00D91EDF"/>
    <w:rsid w:val="00D91F7F"/>
    <w:rsid w:val="00D9237A"/>
    <w:rsid w:val="00D925D6"/>
    <w:rsid w:val="00D926BA"/>
    <w:rsid w:val="00D92B8A"/>
    <w:rsid w:val="00D92F93"/>
    <w:rsid w:val="00D930C4"/>
    <w:rsid w:val="00D9315B"/>
    <w:rsid w:val="00D931BA"/>
    <w:rsid w:val="00D932EC"/>
    <w:rsid w:val="00D93AA9"/>
    <w:rsid w:val="00D93BD1"/>
    <w:rsid w:val="00D93C60"/>
    <w:rsid w:val="00D93C8C"/>
    <w:rsid w:val="00D93D18"/>
    <w:rsid w:val="00D93DBD"/>
    <w:rsid w:val="00D9449E"/>
    <w:rsid w:val="00D944F0"/>
    <w:rsid w:val="00D94904"/>
    <w:rsid w:val="00D94C38"/>
    <w:rsid w:val="00D94DAC"/>
    <w:rsid w:val="00D94E2E"/>
    <w:rsid w:val="00D94E9B"/>
    <w:rsid w:val="00D951D7"/>
    <w:rsid w:val="00D957BE"/>
    <w:rsid w:val="00D9581F"/>
    <w:rsid w:val="00D95978"/>
    <w:rsid w:val="00D95BBC"/>
    <w:rsid w:val="00D95D32"/>
    <w:rsid w:val="00D95D60"/>
    <w:rsid w:val="00D9624C"/>
    <w:rsid w:val="00D962E7"/>
    <w:rsid w:val="00D96708"/>
    <w:rsid w:val="00D9690B"/>
    <w:rsid w:val="00D96A99"/>
    <w:rsid w:val="00D96B67"/>
    <w:rsid w:val="00D96DF0"/>
    <w:rsid w:val="00D971C9"/>
    <w:rsid w:val="00D97D5E"/>
    <w:rsid w:val="00DA0040"/>
    <w:rsid w:val="00DA056F"/>
    <w:rsid w:val="00DA071A"/>
    <w:rsid w:val="00DA08A2"/>
    <w:rsid w:val="00DA1046"/>
    <w:rsid w:val="00DA1065"/>
    <w:rsid w:val="00DA12EB"/>
    <w:rsid w:val="00DA12FC"/>
    <w:rsid w:val="00DA1B11"/>
    <w:rsid w:val="00DA1DCC"/>
    <w:rsid w:val="00DA221F"/>
    <w:rsid w:val="00DA2842"/>
    <w:rsid w:val="00DA2883"/>
    <w:rsid w:val="00DA29E2"/>
    <w:rsid w:val="00DA2F7E"/>
    <w:rsid w:val="00DA30EF"/>
    <w:rsid w:val="00DA35E3"/>
    <w:rsid w:val="00DA370D"/>
    <w:rsid w:val="00DA3A67"/>
    <w:rsid w:val="00DA3A7B"/>
    <w:rsid w:val="00DA450E"/>
    <w:rsid w:val="00DA4A8B"/>
    <w:rsid w:val="00DA4EF1"/>
    <w:rsid w:val="00DA50C6"/>
    <w:rsid w:val="00DA5144"/>
    <w:rsid w:val="00DA51AA"/>
    <w:rsid w:val="00DA51C1"/>
    <w:rsid w:val="00DA5241"/>
    <w:rsid w:val="00DA587C"/>
    <w:rsid w:val="00DA591A"/>
    <w:rsid w:val="00DA5BA6"/>
    <w:rsid w:val="00DA5BEB"/>
    <w:rsid w:val="00DA6046"/>
    <w:rsid w:val="00DA60F6"/>
    <w:rsid w:val="00DA6209"/>
    <w:rsid w:val="00DA6406"/>
    <w:rsid w:val="00DA69FB"/>
    <w:rsid w:val="00DA6B7C"/>
    <w:rsid w:val="00DA6D72"/>
    <w:rsid w:val="00DA7741"/>
    <w:rsid w:val="00DA7905"/>
    <w:rsid w:val="00DA7A98"/>
    <w:rsid w:val="00DA7C6C"/>
    <w:rsid w:val="00DA7CD0"/>
    <w:rsid w:val="00DA7FB2"/>
    <w:rsid w:val="00DB0154"/>
    <w:rsid w:val="00DB038A"/>
    <w:rsid w:val="00DB0404"/>
    <w:rsid w:val="00DB0515"/>
    <w:rsid w:val="00DB0780"/>
    <w:rsid w:val="00DB084C"/>
    <w:rsid w:val="00DB0D3A"/>
    <w:rsid w:val="00DB0DC6"/>
    <w:rsid w:val="00DB11F8"/>
    <w:rsid w:val="00DB134C"/>
    <w:rsid w:val="00DB13FC"/>
    <w:rsid w:val="00DB167A"/>
    <w:rsid w:val="00DB16E8"/>
    <w:rsid w:val="00DB190B"/>
    <w:rsid w:val="00DB195F"/>
    <w:rsid w:val="00DB1A43"/>
    <w:rsid w:val="00DB1B15"/>
    <w:rsid w:val="00DB1BFE"/>
    <w:rsid w:val="00DB1D50"/>
    <w:rsid w:val="00DB25B4"/>
    <w:rsid w:val="00DB25E6"/>
    <w:rsid w:val="00DB28C2"/>
    <w:rsid w:val="00DB2A36"/>
    <w:rsid w:val="00DB2A42"/>
    <w:rsid w:val="00DB2CFD"/>
    <w:rsid w:val="00DB2FEB"/>
    <w:rsid w:val="00DB3090"/>
    <w:rsid w:val="00DB3128"/>
    <w:rsid w:val="00DB38D3"/>
    <w:rsid w:val="00DB39FA"/>
    <w:rsid w:val="00DB3D09"/>
    <w:rsid w:val="00DB3F20"/>
    <w:rsid w:val="00DB41C8"/>
    <w:rsid w:val="00DB44E9"/>
    <w:rsid w:val="00DB4647"/>
    <w:rsid w:val="00DB4B19"/>
    <w:rsid w:val="00DB4D7A"/>
    <w:rsid w:val="00DB4E8C"/>
    <w:rsid w:val="00DB4F09"/>
    <w:rsid w:val="00DB51E1"/>
    <w:rsid w:val="00DB5B4A"/>
    <w:rsid w:val="00DB5D98"/>
    <w:rsid w:val="00DB5EBE"/>
    <w:rsid w:val="00DB62F9"/>
    <w:rsid w:val="00DB6B81"/>
    <w:rsid w:val="00DB6BBB"/>
    <w:rsid w:val="00DB6BDB"/>
    <w:rsid w:val="00DB6BE3"/>
    <w:rsid w:val="00DB6C48"/>
    <w:rsid w:val="00DB6CC9"/>
    <w:rsid w:val="00DB6D2A"/>
    <w:rsid w:val="00DB6DFD"/>
    <w:rsid w:val="00DB6E3C"/>
    <w:rsid w:val="00DB6E56"/>
    <w:rsid w:val="00DB70E5"/>
    <w:rsid w:val="00DB72B2"/>
    <w:rsid w:val="00DB731C"/>
    <w:rsid w:val="00DB7D7A"/>
    <w:rsid w:val="00DB7E92"/>
    <w:rsid w:val="00DC01D2"/>
    <w:rsid w:val="00DC069C"/>
    <w:rsid w:val="00DC06F9"/>
    <w:rsid w:val="00DC074E"/>
    <w:rsid w:val="00DC0983"/>
    <w:rsid w:val="00DC0ACB"/>
    <w:rsid w:val="00DC0DDD"/>
    <w:rsid w:val="00DC0DFC"/>
    <w:rsid w:val="00DC125E"/>
    <w:rsid w:val="00DC12AE"/>
    <w:rsid w:val="00DC1494"/>
    <w:rsid w:val="00DC1695"/>
    <w:rsid w:val="00DC1898"/>
    <w:rsid w:val="00DC1C71"/>
    <w:rsid w:val="00DC1CAF"/>
    <w:rsid w:val="00DC1D38"/>
    <w:rsid w:val="00DC1D4F"/>
    <w:rsid w:val="00DC1D8D"/>
    <w:rsid w:val="00DC1F57"/>
    <w:rsid w:val="00DC2099"/>
    <w:rsid w:val="00DC218B"/>
    <w:rsid w:val="00DC2357"/>
    <w:rsid w:val="00DC2589"/>
    <w:rsid w:val="00DC29F0"/>
    <w:rsid w:val="00DC2A11"/>
    <w:rsid w:val="00DC2A64"/>
    <w:rsid w:val="00DC2DA7"/>
    <w:rsid w:val="00DC2EB9"/>
    <w:rsid w:val="00DC2F05"/>
    <w:rsid w:val="00DC2FC3"/>
    <w:rsid w:val="00DC3214"/>
    <w:rsid w:val="00DC358E"/>
    <w:rsid w:val="00DC383A"/>
    <w:rsid w:val="00DC3A76"/>
    <w:rsid w:val="00DC3D50"/>
    <w:rsid w:val="00DC3FAC"/>
    <w:rsid w:val="00DC40A6"/>
    <w:rsid w:val="00DC40C6"/>
    <w:rsid w:val="00DC410D"/>
    <w:rsid w:val="00DC4286"/>
    <w:rsid w:val="00DC42AD"/>
    <w:rsid w:val="00DC4D41"/>
    <w:rsid w:val="00DC5181"/>
    <w:rsid w:val="00DC5672"/>
    <w:rsid w:val="00DC5ECA"/>
    <w:rsid w:val="00DC6421"/>
    <w:rsid w:val="00DC66C9"/>
    <w:rsid w:val="00DC68E5"/>
    <w:rsid w:val="00DC6A83"/>
    <w:rsid w:val="00DC6BAE"/>
    <w:rsid w:val="00DC6C1C"/>
    <w:rsid w:val="00DC740A"/>
    <w:rsid w:val="00DC78D5"/>
    <w:rsid w:val="00DC7BEF"/>
    <w:rsid w:val="00DC7D69"/>
    <w:rsid w:val="00DC7D7A"/>
    <w:rsid w:val="00DC7D7B"/>
    <w:rsid w:val="00DC7E15"/>
    <w:rsid w:val="00DD0326"/>
    <w:rsid w:val="00DD0345"/>
    <w:rsid w:val="00DD0A12"/>
    <w:rsid w:val="00DD0C1A"/>
    <w:rsid w:val="00DD0FFA"/>
    <w:rsid w:val="00DD1B4F"/>
    <w:rsid w:val="00DD1D68"/>
    <w:rsid w:val="00DD1D84"/>
    <w:rsid w:val="00DD202E"/>
    <w:rsid w:val="00DD2392"/>
    <w:rsid w:val="00DD24E7"/>
    <w:rsid w:val="00DD2C64"/>
    <w:rsid w:val="00DD2C67"/>
    <w:rsid w:val="00DD32B3"/>
    <w:rsid w:val="00DD3622"/>
    <w:rsid w:val="00DD3662"/>
    <w:rsid w:val="00DD36D0"/>
    <w:rsid w:val="00DD3E7F"/>
    <w:rsid w:val="00DD3FB5"/>
    <w:rsid w:val="00DD41BF"/>
    <w:rsid w:val="00DD4326"/>
    <w:rsid w:val="00DD4602"/>
    <w:rsid w:val="00DD4786"/>
    <w:rsid w:val="00DD486B"/>
    <w:rsid w:val="00DD4A59"/>
    <w:rsid w:val="00DD4C74"/>
    <w:rsid w:val="00DD4D15"/>
    <w:rsid w:val="00DD4DC6"/>
    <w:rsid w:val="00DD512F"/>
    <w:rsid w:val="00DD6471"/>
    <w:rsid w:val="00DD647E"/>
    <w:rsid w:val="00DD649E"/>
    <w:rsid w:val="00DD651D"/>
    <w:rsid w:val="00DD6F03"/>
    <w:rsid w:val="00DD725D"/>
    <w:rsid w:val="00DD7568"/>
    <w:rsid w:val="00DD76F8"/>
    <w:rsid w:val="00DD79C5"/>
    <w:rsid w:val="00DD7A04"/>
    <w:rsid w:val="00DE0071"/>
    <w:rsid w:val="00DE01AE"/>
    <w:rsid w:val="00DE03D5"/>
    <w:rsid w:val="00DE046A"/>
    <w:rsid w:val="00DE05A2"/>
    <w:rsid w:val="00DE06C1"/>
    <w:rsid w:val="00DE07A8"/>
    <w:rsid w:val="00DE099E"/>
    <w:rsid w:val="00DE0A13"/>
    <w:rsid w:val="00DE0A60"/>
    <w:rsid w:val="00DE0B2F"/>
    <w:rsid w:val="00DE0B6E"/>
    <w:rsid w:val="00DE0BCB"/>
    <w:rsid w:val="00DE0E11"/>
    <w:rsid w:val="00DE12AD"/>
    <w:rsid w:val="00DE13FD"/>
    <w:rsid w:val="00DE164A"/>
    <w:rsid w:val="00DE1709"/>
    <w:rsid w:val="00DE1A71"/>
    <w:rsid w:val="00DE1AC1"/>
    <w:rsid w:val="00DE1E7F"/>
    <w:rsid w:val="00DE2309"/>
    <w:rsid w:val="00DE24FE"/>
    <w:rsid w:val="00DE25CA"/>
    <w:rsid w:val="00DE2686"/>
    <w:rsid w:val="00DE2A4B"/>
    <w:rsid w:val="00DE2AEA"/>
    <w:rsid w:val="00DE2B2E"/>
    <w:rsid w:val="00DE2DAB"/>
    <w:rsid w:val="00DE2DAD"/>
    <w:rsid w:val="00DE3223"/>
    <w:rsid w:val="00DE39EA"/>
    <w:rsid w:val="00DE3B6B"/>
    <w:rsid w:val="00DE3BD9"/>
    <w:rsid w:val="00DE3FE7"/>
    <w:rsid w:val="00DE4060"/>
    <w:rsid w:val="00DE41DD"/>
    <w:rsid w:val="00DE463A"/>
    <w:rsid w:val="00DE46D7"/>
    <w:rsid w:val="00DE494A"/>
    <w:rsid w:val="00DE4C03"/>
    <w:rsid w:val="00DE4DD3"/>
    <w:rsid w:val="00DE56DD"/>
    <w:rsid w:val="00DE56F2"/>
    <w:rsid w:val="00DE56F9"/>
    <w:rsid w:val="00DE5C98"/>
    <w:rsid w:val="00DE5E9C"/>
    <w:rsid w:val="00DE5F34"/>
    <w:rsid w:val="00DE6335"/>
    <w:rsid w:val="00DE6BB9"/>
    <w:rsid w:val="00DE6ED5"/>
    <w:rsid w:val="00DE6F91"/>
    <w:rsid w:val="00DE727A"/>
    <w:rsid w:val="00DE7483"/>
    <w:rsid w:val="00DE7906"/>
    <w:rsid w:val="00DE7DA5"/>
    <w:rsid w:val="00DE7F53"/>
    <w:rsid w:val="00DF000E"/>
    <w:rsid w:val="00DF002E"/>
    <w:rsid w:val="00DF0088"/>
    <w:rsid w:val="00DF0209"/>
    <w:rsid w:val="00DF07AB"/>
    <w:rsid w:val="00DF0E0D"/>
    <w:rsid w:val="00DF0EF1"/>
    <w:rsid w:val="00DF1609"/>
    <w:rsid w:val="00DF1739"/>
    <w:rsid w:val="00DF1A75"/>
    <w:rsid w:val="00DF1BAF"/>
    <w:rsid w:val="00DF1EB3"/>
    <w:rsid w:val="00DF282C"/>
    <w:rsid w:val="00DF299C"/>
    <w:rsid w:val="00DF2BC5"/>
    <w:rsid w:val="00DF2DD6"/>
    <w:rsid w:val="00DF2EEB"/>
    <w:rsid w:val="00DF336D"/>
    <w:rsid w:val="00DF36C0"/>
    <w:rsid w:val="00DF38AD"/>
    <w:rsid w:val="00DF3910"/>
    <w:rsid w:val="00DF498E"/>
    <w:rsid w:val="00DF4A93"/>
    <w:rsid w:val="00DF4BC5"/>
    <w:rsid w:val="00DF4D82"/>
    <w:rsid w:val="00DF4E2F"/>
    <w:rsid w:val="00DF5077"/>
    <w:rsid w:val="00DF57D7"/>
    <w:rsid w:val="00DF60BD"/>
    <w:rsid w:val="00DF6133"/>
    <w:rsid w:val="00DF61AA"/>
    <w:rsid w:val="00DF65B4"/>
    <w:rsid w:val="00DF668B"/>
    <w:rsid w:val="00DF689B"/>
    <w:rsid w:val="00DF68FC"/>
    <w:rsid w:val="00DF6923"/>
    <w:rsid w:val="00DF6B01"/>
    <w:rsid w:val="00DF6D0E"/>
    <w:rsid w:val="00DF6D32"/>
    <w:rsid w:val="00DF704E"/>
    <w:rsid w:val="00DF7516"/>
    <w:rsid w:val="00DF7ABC"/>
    <w:rsid w:val="00DF7B09"/>
    <w:rsid w:val="00DF7CC0"/>
    <w:rsid w:val="00DF7EC6"/>
    <w:rsid w:val="00DF7F87"/>
    <w:rsid w:val="00DF7FF3"/>
    <w:rsid w:val="00E005EF"/>
    <w:rsid w:val="00E00BF6"/>
    <w:rsid w:val="00E00C3F"/>
    <w:rsid w:val="00E00D22"/>
    <w:rsid w:val="00E01430"/>
    <w:rsid w:val="00E01654"/>
    <w:rsid w:val="00E01A89"/>
    <w:rsid w:val="00E01B28"/>
    <w:rsid w:val="00E01BB8"/>
    <w:rsid w:val="00E02248"/>
    <w:rsid w:val="00E027F0"/>
    <w:rsid w:val="00E02EBA"/>
    <w:rsid w:val="00E03668"/>
    <w:rsid w:val="00E03AFB"/>
    <w:rsid w:val="00E03DFA"/>
    <w:rsid w:val="00E03E1D"/>
    <w:rsid w:val="00E03E4C"/>
    <w:rsid w:val="00E03F44"/>
    <w:rsid w:val="00E042B8"/>
    <w:rsid w:val="00E045B4"/>
    <w:rsid w:val="00E045C9"/>
    <w:rsid w:val="00E046A5"/>
    <w:rsid w:val="00E046B6"/>
    <w:rsid w:val="00E04735"/>
    <w:rsid w:val="00E047B9"/>
    <w:rsid w:val="00E04C87"/>
    <w:rsid w:val="00E04CF3"/>
    <w:rsid w:val="00E05082"/>
    <w:rsid w:val="00E05277"/>
    <w:rsid w:val="00E05461"/>
    <w:rsid w:val="00E055CA"/>
    <w:rsid w:val="00E0571E"/>
    <w:rsid w:val="00E0580A"/>
    <w:rsid w:val="00E058E4"/>
    <w:rsid w:val="00E05A2F"/>
    <w:rsid w:val="00E05DEC"/>
    <w:rsid w:val="00E05F39"/>
    <w:rsid w:val="00E0691D"/>
    <w:rsid w:val="00E06A36"/>
    <w:rsid w:val="00E075EC"/>
    <w:rsid w:val="00E0773C"/>
    <w:rsid w:val="00E07842"/>
    <w:rsid w:val="00E0790D"/>
    <w:rsid w:val="00E1010D"/>
    <w:rsid w:val="00E1011F"/>
    <w:rsid w:val="00E102C3"/>
    <w:rsid w:val="00E10346"/>
    <w:rsid w:val="00E10F17"/>
    <w:rsid w:val="00E1137D"/>
    <w:rsid w:val="00E11A56"/>
    <w:rsid w:val="00E11B3A"/>
    <w:rsid w:val="00E11D61"/>
    <w:rsid w:val="00E11F3D"/>
    <w:rsid w:val="00E12013"/>
    <w:rsid w:val="00E1210D"/>
    <w:rsid w:val="00E1213C"/>
    <w:rsid w:val="00E12316"/>
    <w:rsid w:val="00E1246A"/>
    <w:rsid w:val="00E12700"/>
    <w:rsid w:val="00E1272E"/>
    <w:rsid w:val="00E12AF1"/>
    <w:rsid w:val="00E12BCC"/>
    <w:rsid w:val="00E12DB4"/>
    <w:rsid w:val="00E12FD6"/>
    <w:rsid w:val="00E1301C"/>
    <w:rsid w:val="00E1305C"/>
    <w:rsid w:val="00E13994"/>
    <w:rsid w:val="00E13A3D"/>
    <w:rsid w:val="00E13B93"/>
    <w:rsid w:val="00E13BED"/>
    <w:rsid w:val="00E13C4E"/>
    <w:rsid w:val="00E13C9E"/>
    <w:rsid w:val="00E13CD3"/>
    <w:rsid w:val="00E13F29"/>
    <w:rsid w:val="00E148C3"/>
    <w:rsid w:val="00E14C96"/>
    <w:rsid w:val="00E14D5E"/>
    <w:rsid w:val="00E14D89"/>
    <w:rsid w:val="00E1502C"/>
    <w:rsid w:val="00E155AA"/>
    <w:rsid w:val="00E157E2"/>
    <w:rsid w:val="00E15AE2"/>
    <w:rsid w:val="00E15C2A"/>
    <w:rsid w:val="00E15C80"/>
    <w:rsid w:val="00E15E3C"/>
    <w:rsid w:val="00E15EA5"/>
    <w:rsid w:val="00E15EDE"/>
    <w:rsid w:val="00E16465"/>
    <w:rsid w:val="00E16469"/>
    <w:rsid w:val="00E166BE"/>
    <w:rsid w:val="00E16908"/>
    <w:rsid w:val="00E16A90"/>
    <w:rsid w:val="00E16D0C"/>
    <w:rsid w:val="00E16D42"/>
    <w:rsid w:val="00E16EAC"/>
    <w:rsid w:val="00E16F7D"/>
    <w:rsid w:val="00E17158"/>
    <w:rsid w:val="00E175D0"/>
    <w:rsid w:val="00E1766A"/>
    <w:rsid w:val="00E1768C"/>
    <w:rsid w:val="00E17890"/>
    <w:rsid w:val="00E178A9"/>
    <w:rsid w:val="00E1793B"/>
    <w:rsid w:val="00E17C45"/>
    <w:rsid w:val="00E17CDE"/>
    <w:rsid w:val="00E17D9B"/>
    <w:rsid w:val="00E20383"/>
    <w:rsid w:val="00E205B8"/>
    <w:rsid w:val="00E208C0"/>
    <w:rsid w:val="00E21140"/>
    <w:rsid w:val="00E21F95"/>
    <w:rsid w:val="00E2211E"/>
    <w:rsid w:val="00E22992"/>
    <w:rsid w:val="00E22CBE"/>
    <w:rsid w:val="00E22FBD"/>
    <w:rsid w:val="00E22FCE"/>
    <w:rsid w:val="00E2314A"/>
    <w:rsid w:val="00E231C8"/>
    <w:rsid w:val="00E23718"/>
    <w:rsid w:val="00E238BF"/>
    <w:rsid w:val="00E2391E"/>
    <w:rsid w:val="00E23C45"/>
    <w:rsid w:val="00E24030"/>
    <w:rsid w:val="00E241D8"/>
    <w:rsid w:val="00E244C3"/>
    <w:rsid w:val="00E24877"/>
    <w:rsid w:val="00E2491A"/>
    <w:rsid w:val="00E24998"/>
    <w:rsid w:val="00E24A07"/>
    <w:rsid w:val="00E24BED"/>
    <w:rsid w:val="00E24D39"/>
    <w:rsid w:val="00E24D52"/>
    <w:rsid w:val="00E25177"/>
    <w:rsid w:val="00E25640"/>
    <w:rsid w:val="00E25C82"/>
    <w:rsid w:val="00E25CA6"/>
    <w:rsid w:val="00E25E76"/>
    <w:rsid w:val="00E25FC6"/>
    <w:rsid w:val="00E26185"/>
    <w:rsid w:val="00E262A3"/>
    <w:rsid w:val="00E262C7"/>
    <w:rsid w:val="00E26304"/>
    <w:rsid w:val="00E26633"/>
    <w:rsid w:val="00E26647"/>
    <w:rsid w:val="00E26813"/>
    <w:rsid w:val="00E26929"/>
    <w:rsid w:val="00E26933"/>
    <w:rsid w:val="00E26C2D"/>
    <w:rsid w:val="00E26D8E"/>
    <w:rsid w:val="00E272C5"/>
    <w:rsid w:val="00E27823"/>
    <w:rsid w:val="00E27AEF"/>
    <w:rsid w:val="00E27BDF"/>
    <w:rsid w:val="00E27E18"/>
    <w:rsid w:val="00E27E56"/>
    <w:rsid w:val="00E27E58"/>
    <w:rsid w:val="00E30419"/>
    <w:rsid w:val="00E306CC"/>
    <w:rsid w:val="00E307F6"/>
    <w:rsid w:val="00E308A8"/>
    <w:rsid w:val="00E30BDC"/>
    <w:rsid w:val="00E31986"/>
    <w:rsid w:val="00E319E6"/>
    <w:rsid w:val="00E31A6A"/>
    <w:rsid w:val="00E31A97"/>
    <w:rsid w:val="00E31BE4"/>
    <w:rsid w:val="00E31C6F"/>
    <w:rsid w:val="00E31CAC"/>
    <w:rsid w:val="00E31D84"/>
    <w:rsid w:val="00E3236E"/>
    <w:rsid w:val="00E324AD"/>
    <w:rsid w:val="00E32BC5"/>
    <w:rsid w:val="00E32C52"/>
    <w:rsid w:val="00E32C73"/>
    <w:rsid w:val="00E32EF4"/>
    <w:rsid w:val="00E32EFD"/>
    <w:rsid w:val="00E33273"/>
    <w:rsid w:val="00E3330A"/>
    <w:rsid w:val="00E335BF"/>
    <w:rsid w:val="00E337CF"/>
    <w:rsid w:val="00E3390F"/>
    <w:rsid w:val="00E33E91"/>
    <w:rsid w:val="00E3417E"/>
    <w:rsid w:val="00E34AA9"/>
    <w:rsid w:val="00E34C14"/>
    <w:rsid w:val="00E34F58"/>
    <w:rsid w:val="00E35930"/>
    <w:rsid w:val="00E35AF2"/>
    <w:rsid w:val="00E35CEC"/>
    <w:rsid w:val="00E367AA"/>
    <w:rsid w:val="00E36996"/>
    <w:rsid w:val="00E36AC3"/>
    <w:rsid w:val="00E36D6C"/>
    <w:rsid w:val="00E36DF2"/>
    <w:rsid w:val="00E36F9B"/>
    <w:rsid w:val="00E3707E"/>
    <w:rsid w:val="00E371CA"/>
    <w:rsid w:val="00E373CB"/>
    <w:rsid w:val="00E3770E"/>
    <w:rsid w:val="00E3790E"/>
    <w:rsid w:val="00E37D06"/>
    <w:rsid w:val="00E37F29"/>
    <w:rsid w:val="00E40580"/>
    <w:rsid w:val="00E40D44"/>
    <w:rsid w:val="00E40F9C"/>
    <w:rsid w:val="00E4114F"/>
    <w:rsid w:val="00E4191F"/>
    <w:rsid w:val="00E41BF9"/>
    <w:rsid w:val="00E41DF6"/>
    <w:rsid w:val="00E41F0C"/>
    <w:rsid w:val="00E42052"/>
    <w:rsid w:val="00E42149"/>
    <w:rsid w:val="00E421D3"/>
    <w:rsid w:val="00E421F6"/>
    <w:rsid w:val="00E42A5F"/>
    <w:rsid w:val="00E43020"/>
    <w:rsid w:val="00E43275"/>
    <w:rsid w:val="00E4340C"/>
    <w:rsid w:val="00E43A30"/>
    <w:rsid w:val="00E43ACD"/>
    <w:rsid w:val="00E43AF1"/>
    <w:rsid w:val="00E43D7B"/>
    <w:rsid w:val="00E43E74"/>
    <w:rsid w:val="00E4402C"/>
    <w:rsid w:val="00E44313"/>
    <w:rsid w:val="00E4438B"/>
    <w:rsid w:val="00E444BC"/>
    <w:rsid w:val="00E446FC"/>
    <w:rsid w:val="00E44799"/>
    <w:rsid w:val="00E44832"/>
    <w:rsid w:val="00E44B8C"/>
    <w:rsid w:val="00E45875"/>
    <w:rsid w:val="00E46212"/>
    <w:rsid w:val="00E465F5"/>
    <w:rsid w:val="00E46C78"/>
    <w:rsid w:val="00E47057"/>
    <w:rsid w:val="00E471B2"/>
    <w:rsid w:val="00E4724A"/>
    <w:rsid w:val="00E47342"/>
    <w:rsid w:val="00E47548"/>
    <w:rsid w:val="00E47AE0"/>
    <w:rsid w:val="00E47D0B"/>
    <w:rsid w:val="00E47E6F"/>
    <w:rsid w:val="00E47E7A"/>
    <w:rsid w:val="00E47F33"/>
    <w:rsid w:val="00E502A9"/>
    <w:rsid w:val="00E50A11"/>
    <w:rsid w:val="00E50AAA"/>
    <w:rsid w:val="00E50D78"/>
    <w:rsid w:val="00E50DE4"/>
    <w:rsid w:val="00E50EA3"/>
    <w:rsid w:val="00E510BB"/>
    <w:rsid w:val="00E51101"/>
    <w:rsid w:val="00E51358"/>
    <w:rsid w:val="00E51577"/>
    <w:rsid w:val="00E51CEF"/>
    <w:rsid w:val="00E5210E"/>
    <w:rsid w:val="00E526AA"/>
    <w:rsid w:val="00E52791"/>
    <w:rsid w:val="00E52817"/>
    <w:rsid w:val="00E529ED"/>
    <w:rsid w:val="00E52A5F"/>
    <w:rsid w:val="00E52D06"/>
    <w:rsid w:val="00E52EAB"/>
    <w:rsid w:val="00E53135"/>
    <w:rsid w:val="00E53359"/>
    <w:rsid w:val="00E5368F"/>
    <w:rsid w:val="00E5386A"/>
    <w:rsid w:val="00E54579"/>
    <w:rsid w:val="00E5471E"/>
    <w:rsid w:val="00E5493D"/>
    <w:rsid w:val="00E54DE7"/>
    <w:rsid w:val="00E54E07"/>
    <w:rsid w:val="00E551C6"/>
    <w:rsid w:val="00E559DE"/>
    <w:rsid w:val="00E55AA7"/>
    <w:rsid w:val="00E55B5B"/>
    <w:rsid w:val="00E55D28"/>
    <w:rsid w:val="00E5605B"/>
    <w:rsid w:val="00E5605E"/>
    <w:rsid w:val="00E5628F"/>
    <w:rsid w:val="00E5669C"/>
    <w:rsid w:val="00E5672A"/>
    <w:rsid w:val="00E568A7"/>
    <w:rsid w:val="00E56EBD"/>
    <w:rsid w:val="00E574D6"/>
    <w:rsid w:val="00E57AEC"/>
    <w:rsid w:val="00E57D2C"/>
    <w:rsid w:val="00E57D7E"/>
    <w:rsid w:val="00E57DB2"/>
    <w:rsid w:val="00E6012E"/>
    <w:rsid w:val="00E6019B"/>
    <w:rsid w:val="00E60426"/>
    <w:rsid w:val="00E604A4"/>
    <w:rsid w:val="00E607EC"/>
    <w:rsid w:val="00E60CDE"/>
    <w:rsid w:val="00E6112F"/>
    <w:rsid w:val="00E61170"/>
    <w:rsid w:val="00E6197A"/>
    <w:rsid w:val="00E61EDD"/>
    <w:rsid w:val="00E6243D"/>
    <w:rsid w:val="00E62649"/>
    <w:rsid w:val="00E629D2"/>
    <w:rsid w:val="00E62D79"/>
    <w:rsid w:val="00E62F67"/>
    <w:rsid w:val="00E630E3"/>
    <w:rsid w:val="00E63BF1"/>
    <w:rsid w:val="00E64345"/>
    <w:rsid w:val="00E64346"/>
    <w:rsid w:val="00E64838"/>
    <w:rsid w:val="00E64946"/>
    <w:rsid w:val="00E65012"/>
    <w:rsid w:val="00E6532C"/>
    <w:rsid w:val="00E65726"/>
    <w:rsid w:val="00E65756"/>
    <w:rsid w:val="00E659E5"/>
    <w:rsid w:val="00E65C8F"/>
    <w:rsid w:val="00E65D02"/>
    <w:rsid w:val="00E65F6E"/>
    <w:rsid w:val="00E664C9"/>
    <w:rsid w:val="00E66970"/>
    <w:rsid w:val="00E66AFD"/>
    <w:rsid w:val="00E66DCC"/>
    <w:rsid w:val="00E67553"/>
    <w:rsid w:val="00E67611"/>
    <w:rsid w:val="00E6783A"/>
    <w:rsid w:val="00E67C75"/>
    <w:rsid w:val="00E67E1B"/>
    <w:rsid w:val="00E70031"/>
    <w:rsid w:val="00E703DB"/>
    <w:rsid w:val="00E70478"/>
    <w:rsid w:val="00E70958"/>
    <w:rsid w:val="00E70B3D"/>
    <w:rsid w:val="00E716ED"/>
    <w:rsid w:val="00E716EE"/>
    <w:rsid w:val="00E717F4"/>
    <w:rsid w:val="00E718FD"/>
    <w:rsid w:val="00E71941"/>
    <w:rsid w:val="00E71BE7"/>
    <w:rsid w:val="00E7223C"/>
    <w:rsid w:val="00E72487"/>
    <w:rsid w:val="00E72607"/>
    <w:rsid w:val="00E72D41"/>
    <w:rsid w:val="00E732E1"/>
    <w:rsid w:val="00E733AB"/>
    <w:rsid w:val="00E734F3"/>
    <w:rsid w:val="00E738C5"/>
    <w:rsid w:val="00E73953"/>
    <w:rsid w:val="00E73973"/>
    <w:rsid w:val="00E74233"/>
    <w:rsid w:val="00E74344"/>
    <w:rsid w:val="00E74505"/>
    <w:rsid w:val="00E749CF"/>
    <w:rsid w:val="00E74A65"/>
    <w:rsid w:val="00E756C8"/>
    <w:rsid w:val="00E75C42"/>
    <w:rsid w:val="00E75D67"/>
    <w:rsid w:val="00E75F72"/>
    <w:rsid w:val="00E75F75"/>
    <w:rsid w:val="00E7601E"/>
    <w:rsid w:val="00E76582"/>
    <w:rsid w:val="00E76BE7"/>
    <w:rsid w:val="00E76CC3"/>
    <w:rsid w:val="00E76D69"/>
    <w:rsid w:val="00E76D72"/>
    <w:rsid w:val="00E76F1A"/>
    <w:rsid w:val="00E77156"/>
    <w:rsid w:val="00E7722E"/>
    <w:rsid w:val="00E774C4"/>
    <w:rsid w:val="00E77500"/>
    <w:rsid w:val="00E77574"/>
    <w:rsid w:val="00E777AC"/>
    <w:rsid w:val="00E777E9"/>
    <w:rsid w:val="00E77A35"/>
    <w:rsid w:val="00E77A7E"/>
    <w:rsid w:val="00E77B16"/>
    <w:rsid w:val="00E77C34"/>
    <w:rsid w:val="00E77DC0"/>
    <w:rsid w:val="00E77E94"/>
    <w:rsid w:val="00E801E8"/>
    <w:rsid w:val="00E80219"/>
    <w:rsid w:val="00E8030E"/>
    <w:rsid w:val="00E80326"/>
    <w:rsid w:val="00E80491"/>
    <w:rsid w:val="00E804D2"/>
    <w:rsid w:val="00E806FD"/>
    <w:rsid w:val="00E80A97"/>
    <w:rsid w:val="00E80B8D"/>
    <w:rsid w:val="00E80BF3"/>
    <w:rsid w:val="00E80FDB"/>
    <w:rsid w:val="00E8100C"/>
    <w:rsid w:val="00E81558"/>
    <w:rsid w:val="00E81810"/>
    <w:rsid w:val="00E81BCA"/>
    <w:rsid w:val="00E81C3D"/>
    <w:rsid w:val="00E81DAB"/>
    <w:rsid w:val="00E81EE3"/>
    <w:rsid w:val="00E82097"/>
    <w:rsid w:val="00E82406"/>
    <w:rsid w:val="00E82437"/>
    <w:rsid w:val="00E827F9"/>
    <w:rsid w:val="00E82C0A"/>
    <w:rsid w:val="00E833F7"/>
    <w:rsid w:val="00E83B26"/>
    <w:rsid w:val="00E83E07"/>
    <w:rsid w:val="00E83F06"/>
    <w:rsid w:val="00E83F17"/>
    <w:rsid w:val="00E840F7"/>
    <w:rsid w:val="00E8478F"/>
    <w:rsid w:val="00E8485B"/>
    <w:rsid w:val="00E84B2D"/>
    <w:rsid w:val="00E84C9D"/>
    <w:rsid w:val="00E84DE5"/>
    <w:rsid w:val="00E84E6A"/>
    <w:rsid w:val="00E8513E"/>
    <w:rsid w:val="00E85381"/>
    <w:rsid w:val="00E85971"/>
    <w:rsid w:val="00E85F72"/>
    <w:rsid w:val="00E86318"/>
    <w:rsid w:val="00E8633B"/>
    <w:rsid w:val="00E86817"/>
    <w:rsid w:val="00E869B9"/>
    <w:rsid w:val="00E86AD8"/>
    <w:rsid w:val="00E86C53"/>
    <w:rsid w:val="00E86DC8"/>
    <w:rsid w:val="00E872B0"/>
    <w:rsid w:val="00E87556"/>
    <w:rsid w:val="00E877F1"/>
    <w:rsid w:val="00E87923"/>
    <w:rsid w:val="00E8798B"/>
    <w:rsid w:val="00E87A39"/>
    <w:rsid w:val="00E87A7E"/>
    <w:rsid w:val="00E87AE3"/>
    <w:rsid w:val="00E87E89"/>
    <w:rsid w:val="00E9000A"/>
    <w:rsid w:val="00E9002D"/>
    <w:rsid w:val="00E90615"/>
    <w:rsid w:val="00E907DF"/>
    <w:rsid w:val="00E90828"/>
    <w:rsid w:val="00E90AA0"/>
    <w:rsid w:val="00E90B3B"/>
    <w:rsid w:val="00E90E30"/>
    <w:rsid w:val="00E90EFD"/>
    <w:rsid w:val="00E90F4B"/>
    <w:rsid w:val="00E91030"/>
    <w:rsid w:val="00E911FF"/>
    <w:rsid w:val="00E914BD"/>
    <w:rsid w:val="00E916C7"/>
    <w:rsid w:val="00E91730"/>
    <w:rsid w:val="00E91AEE"/>
    <w:rsid w:val="00E91CA3"/>
    <w:rsid w:val="00E92060"/>
    <w:rsid w:val="00E92350"/>
    <w:rsid w:val="00E92475"/>
    <w:rsid w:val="00E924C9"/>
    <w:rsid w:val="00E925A0"/>
    <w:rsid w:val="00E9269D"/>
    <w:rsid w:val="00E9277D"/>
    <w:rsid w:val="00E93137"/>
    <w:rsid w:val="00E93146"/>
    <w:rsid w:val="00E93295"/>
    <w:rsid w:val="00E936C6"/>
    <w:rsid w:val="00E9383B"/>
    <w:rsid w:val="00E93948"/>
    <w:rsid w:val="00E939FC"/>
    <w:rsid w:val="00E93A9B"/>
    <w:rsid w:val="00E93C2D"/>
    <w:rsid w:val="00E94113"/>
    <w:rsid w:val="00E945C8"/>
    <w:rsid w:val="00E94725"/>
    <w:rsid w:val="00E948FA"/>
    <w:rsid w:val="00E94DAD"/>
    <w:rsid w:val="00E94EF9"/>
    <w:rsid w:val="00E95338"/>
    <w:rsid w:val="00E95688"/>
    <w:rsid w:val="00E95899"/>
    <w:rsid w:val="00E95AEB"/>
    <w:rsid w:val="00E960D6"/>
    <w:rsid w:val="00E9620B"/>
    <w:rsid w:val="00E9636F"/>
    <w:rsid w:val="00E964C5"/>
    <w:rsid w:val="00E964DF"/>
    <w:rsid w:val="00E96541"/>
    <w:rsid w:val="00E96A9A"/>
    <w:rsid w:val="00E96F58"/>
    <w:rsid w:val="00E9710E"/>
    <w:rsid w:val="00E97115"/>
    <w:rsid w:val="00E9732B"/>
    <w:rsid w:val="00E97D00"/>
    <w:rsid w:val="00E97E98"/>
    <w:rsid w:val="00EA034E"/>
    <w:rsid w:val="00EA042C"/>
    <w:rsid w:val="00EA044D"/>
    <w:rsid w:val="00EA05C4"/>
    <w:rsid w:val="00EA06C7"/>
    <w:rsid w:val="00EA08B1"/>
    <w:rsid w:val="00EA0900"/>
    <w:rsid w:val="00EA0D8D"/>
    <w:rsid w:val="00EA116F"/>
    <w:rsid w:val="00EA1614"/>
    <w:rsid w:val="00EA1875"/>
    <w:rsid w:val="00EA1C56"/>
    <w:rsid w:val="00EA1E20"/>
    <w:rsid w:val="00EA1E47"/>
    <w:rsid w:val="00EA236D"/>
    <w:rsid w:val="00EA246F"/>
    <w:rsid w:val="00EA25C2"/>
    <w:rsid w:val="00EA27E0"/>
    <w:rsid w:val="00EA28A7"/>
    <w:rsid w:val="00EA2D01"/>
    <w:rsid w:val="00EA2E35"/>
    <w:rsid w:val="00EA2EE2"/>
    <w:rsid w:val="00EA304E"/>
    <w:rsid w:val="00EA34B7"/>
    <w:rsid w:val="00EA3825"/>
    <w:rsid w:val="00EA3D85"/>
    <w:rsid w:val="00EA46F2"/>
    <w:rsid w:val="00EA478F"/>
    <w:rsid w:val="00EA4872"/>
    <w:rsid w:val="00EA4B3F"/>
    <w:rsid w:val="00EA4E7A"/>
    <w:rsid w:val="00EA4F49"/>
    <w:rsid w:val="00EA4FD9"/>
    <w:rsid w:val="00EA50F3"/>
    <w:rsid w:val="00EA51A2"/>
    <w:rsid w:val="00EA5350"/>
    <w:rsid w:val="00EA55F8"/>
    <w:rsid w:val="00EA6118"/>
    <w:rsid w:val="00EA63DD"/>
    <w:rsid w:val="00EA6426"/>
    <w:rsid w:val="00EA658E"/>
    <w:rsid w:val="00EA66C1"/>
    <w:rsid w:val="00EA68B8"/>
    <w:rsid w:val="00EA69A7"/>
    <w:rsid w:val="00EA6E48"/>
    <w:rsid w:val="00EA7064"/>
    <w:rsid w:val="00EA7AFB"/>
    <w:rsid w:val="00EA7D6D"/>
    <w:rsid w:val="00EA7E25"/>
    <w:rsid w:val="00EB01C9"/>
    <w:rsid w:val="00EB028E"/>
    <w:rsid w:val="00EB04E8"/>
    <w:rsid w:val="00EB0B22"/>
    <w:rsid w:val="00EB0DC2"/>
    <w:rsid w:val="00EB0F9B"/>
    <w:rsid w:val="00EB0FB9"/>
    <w:rsid w:val="00EB11AC"/>
    <w:rsid w:val="00EB1588"/>
    <w:rsid w:val="00EB19C0"/>
    <w:rsid w:val="00EB1BAE"/>
    <w:rsid w:val="00EB218E"/>
    <w:rsid w:val="00EB2328"/>
    <w:rsid w:val="00EB2A5C"/>
    <w:rsid w:val="00EB2B69"/>
    <w:rsid w:val="00EB2CA2"/>
    <w:rsid w:val="00EB3218"/>
    <w:rsid w:val="00EB3252"/>
    <w:rsid w:val="00EB3674"/>
    <w:rsid w:val="00EB3A2C"/>
    <w:rsid w:val="00EB400C"/>
    <w:rsid w:val="00EB41B0"/>
    <w:rsid w:val="00EB4267"/>
    <w:rsid w:val="00EB43AA"/>
    <w:rsid w:val="00EB4462"/>
    <w:rsid w:val="00EB4743"/>
    <w:rsid w:val="00EB48B1"/>
    <w:rsid w:val="00EB4972"/>
    <w:rsid w:val="00EB4AB3"/>
    <w:rsid w:val="00EB4D2C"/>
    <w:rsid w:val="00EB4D5A"/>
    <w:rsid w:val="00EB4EAA"/>
    <w:rsid w:val="00EB50F2"/>
    <w:rsid w:val="00EB5156"/>
    <w:rsid w:val="00EB56F1"/>
    <w:rsid w:val="00EB570C"/>
    <w:rsid w:val="00EB5B45"/>
    <w:rsid w:val="00EB5D34"/>
    <w:rsid w:val="00EB6565"/>
    <w:rsid w:val="00EB6887"/>
    <w:rsid w:val="00EB6A83"/>
    <w:rsid w:val="00EB6AF4"/>
    <w:rsid w:val="00EB7215"/>
    <w:rsid w:val="00EB7383"/>
    <w:rsid w:val="00EB7756"/>
    <w:rsid w:val="00EC03F7"/>
    <w:rsid w:val="00EC06F1"/>
    <w:rsid w:val="00EC0827"/>
    <w:rsid w:val="00EC0969"/>
    <w:rsid w:val="00EC0B46"/>
    <w:rsid w:val="00EC0B8B"/>
    <w:rsid w:val="00EC0D3F"/>
    <w:rsid w:val="00EC0F8A"/>
    <w:rsid w:val="00EC10AD"/>
    <w:rsid w:val="00EC11C1"/>
    <w:rsid w:val="00EC125C"/>
    <w:rsid w:val="00EC12EF"/>
    <w:rsid w:val="00EC193D"/>
    <w:rsid w:val="00EC1A5C"/>
    <w:rsid w:val="00EC2062"/>
    <w:rsid w:val="00EC2219"/>
    <w:rsid w:val="00EC243A"/>
    <w:rsid w:val="00EC255E"/>
    <w:rsid w:val="00EC282F"/>
    <w:rsid w:val="00EC2929"/>
    <w:rsid w:val="00EC2A20"/>
    <w:rsid w:val="00EC2A78"/>
    <w:rsid w:val="00EC2AD0"/>
    <w:rsid w:val="00EC2BD0"/>
    <w:rsid w:val="00EC2D8F"/>
    <w:rsid w:val="00EC322E"/>
    <w:rsid w:val="00EC32C7"/>
    <w:rsid w:val="00EC36E1"/>
    <w:rsid w:val="00EC3A90"/>
    <w:rsid w:val="00EC4178"/>
    <w:rsid w:val="00EC4272"/>
    <w:rsid w:val="00EC4759"/>
    <w:rsid w:val="00EC478C"/>
    <w:rsid w:val="00EC4AEB"/>
    <w:rsid w:val="00EC4B2D"/>
    <w:rsid w:val="00EC50BB"/>
    <w:rsid w:val="00EC516C"/>
    <w:rsid w:val="00EC541F"/>
    <w:rsid w:val="00EC55E1"/>
    <w:rsid w:val="00EC5F5C"/>
    <w:rsid w:val="00EC5FA9"/>
    <w:rsid w:val="00EC6038"/>
    <w:rsid w:val="00EC6311"/>
    <w:rsid w:val="00EC6A73"/>
    <w:rsid w:val="00EC6DB1"/>
    <w:rsid w:val="00EC70AE"/>
    <w:rsid w:val="00EC73A7"/>
    <w:rsid w:val="00EC74D1"/>
    <w:rsid w:val="00EC756F"/>
    <w:rsid w:val="00EC76E3"/>
    <w:rsid w:val="00EC7A53"/>
    <w:rsid w:val="00EC7B68"/>
    <w:rsid w:val="00EC7C29"/>
    <w:rsid w:val="00EC7CD5"/>
    <w:rsid w:val="00EC7D39"/>
    <w:rsid w:val="00ED006B"/>
    <w:rsid w:val="00ED00E2"/>
    <w:rsid w:val="00ED0555"/>
    <w:rsid w:val="00ED083D"/>
    <w:rsid w:val="00ED0A20"/>
    <w:rsid w:val="00ED0AC9"/>
    <w:rsid w:val="00ED0AFF"/>
    <w:rsid w:val="00ED11E7"/>
    <w:rsid w:val="00ED12FC"/>
    <w:rsid w:val="00ED1592"/>
    <w:rsid w:val="00ED15B2"/>
    <w:rsid w:val="00ED15C4"/>
    <w:rsid w:val="00ED1888"/>
    <w:rsid w:val="00ED1B42"/>
    <w:rsid w:val="00ED1F31"/>
    <w:rsid w:val="00ED22D2"/>
    <w:rsid w:val="00ED2748"/>
    <w:rsid w:val="00ED2866"/>
    <w:rsid w:val="00ED2915"/>
    <w:rsid w:val="00ED2A22"/>
    <w:rsid w:val="00ED2C80"/>
    <w:rsid w:val="00ED3766"/>
    <w:rsid w:val="00ED3BAE"/>
    <w:rsid w:val="00ED3E2E"/>
    <w:rsid w:val="00ED41D4"/>
    <w:rsid w:val="00ED42DA"/>
    <w:rsid w:val="00ED4418"/>
    <w:rsid w:val="00ED4844"/>
    <w:rsid w:val="00ED4B2C"/>
    <w:rsid w:val="00ED4B4D"/>
    <w:rsid w:val="00ED501A"/>
    <w:rsid w:val="00ED53F6"/>
    <w:rsid w:val="00ED5459"/>
    <w:rsid w:val="00ED586E"/>
    <w:rsid w:val="00ED591F"/>
    <w:rsid w:val="00ED5DC2"/>
    <w:rsid w:val="00ED5FC5"/>
    <w:rsid w:val="00ED5FF8"/>
    <w:rsid w:val="00ED7306"/>
    <w:rsid w:val="00ED736B"/>
    <w:rsid w:val="00ED7432"/>
    <w:rsid w:val="00ED7542"/>
    <w:rsid w:val="00ED79F0"/>
    <w:rsid w:val="00ED7C14"/>
    <w:rsid w:val="00EE001B"/>
    <w:rsid w:val="00EE0074"/>
    <w:rsid w:val="00EE0170"/>
    <w:rsid w:val="00EE02DE"/>
    <w:rsid w:val="00EE0460"/>
    <w:rsid w:val="00EE0516"/>
    <w:rsid w:val="00EE0A00"/>
    <w:rsid w:val="00EE0CE3"/>
    <w:rsid w:val="00EE1034"/>
    <w:rsid w:val="00EE126B"/>
    <w:rsid w:val="00EE13AE"/>
    <w:rsid w:val="00EE18A8"/>
    <w:rsid w:val="00EE1B33"/>
    <w:rsid w:val="00EE1B74"/>
    <w:rsid w:val="00EE1F3C"/>
    <w:rsid w:val="00EE211C"/>
    <w:rsid w:val="00EE2805"/>
    <w:rsid w:val="00EE29E0"/>
    <w:rsid w:val="00EE2BFC"/>
    <w:rsid w:val="00EE2C2B"/>
    <w:rsid w:val="00EE2EA5"/>
    <w:rsid w:val="00EE3146"/>
    <w:rsid w:val="00EE31E1"/>
    <w:rsid w:val="00EE32D8"/>
    <w:rsid w:val="00EE33D9"/>
    <w:rsid w:val="00EE3413"/>
    <w:rsid w:val="00EE344E"/>
    <w:rsid w:val="00EE34E8"/>
    <w:rsid w:val="00EE38A8"/>
    <w:rsid w:val="00EE3987"/>
    <w:rsid w:val="00EE3E3B"/>
    <w:rsid w:val="00EE40E2"/>
    <w:rsid w:val="00EE461D"/>
    <w:rsid w:val="00EE49BB"/>
    <w:rsid w:val="00EE4A42"/>
    <w:rsid w:val="00EE4B0A"/>
    <w:rsid w:val="00EE4E19"/>
    <w:rsid w:val="00EE5159"/>
    <w:rsid w:val="00EE5171"/>
    <w:rsid w:val="00EE5532"/>
    <w:rsid w:val="00EE5747"/>
    <w:rsid w:val="00EE5B79"/>
    <w:rsid w:val="00EE5D12"/>
    <w:rsid w:val="00EE630F"/>
    <w:rsid w:val="00EE63E5"/>
    <w:rsid w:val="00EE64D6"/>
    <w:rsid w:val="00EE6504"/>
    <w:rsid w:val="00EE731A"/>
    <w:rsid w:val="00EE7A37"/>
    <w:rsid w:val="00EE7A80"/>
    <w:rsid w:val="00EE7C56"/>
    <w:rsid w:val="00EE7C57"/>
    <w:rsid w:val="00EE7C75"/>
    <w:rsid w:val="00EE7D6D"/>
    <w:rsid w:val="00EE7F77"/>
    <w:rsid w:val="00EF0048"/>
    <w:rsid w:val="00EF03D1"/>
    <w:rsid w:val="00EF05BB"/>
    <w:rsid w:val="00EF0606"/>
    <w:rsid w:val="00EF0D40"/>
    <w:rsid w:val="00EF125C"/>
    <w:rsid w:val="00EF1313"/>
    <w:rsid w:val="00EF1351"/>
    <w:rsid w:val="00EF181A"/>
    <w:rsid w:val="00EF1D20"/>
    <w:rsid w:val="00EF1E79"/>
    <w:rsid w:val="00EF234C"/>
    <w:rsid w:val="00EF28E0"/>
    <w:rsid w:val="00EF2BE9"/>
    <w:rsid w:val="00EF2C92"/>
    <w:rsid w:val="00EF2DFF"/>
    <w:rsid w:val="00EF2E7B"/>
    <w:rsid w:val="00EF2FA9"/>
    <w:rsid w:val="00EF34EA"/>
    <w:rsid w:val="00EF3D45"/>
    <w:rsid w:val="00EF410A"/>
    <w:rsid w:val="00EF44D0"/>
    <w:rsid w:val="00EF44DC"/>
    <w:rsid w:val="00EF46BF"/>
    <w:rsid w:val="00EF481B"/>
    <w:rsid w:val="00EF48D2"/>
    <w:rsid w:val="00EF491C"/>
    <w:rsid w:val="00EF4AF6"/>
    <w:rsid w:val="00EF4C33"/>
    <w:rsid w:val="00EF4FDE"/>
    <w:rsid w:val="00EF55F2"/>
    <w:rsid w:val="00EF5614"/>
    <w:rsid w:val="00EF5B64"/>
    <w:rsid w:val="00EF5C9D"/>
    <w:rsid w:val="00EF5F2E"/>
    <w:rsid w:val="00EF5FA7"/>
    <w:rsid w:val="00EF5FB7"/>
    <w:rsid w:val="00EF63A8"/>
    <w:rsid w:val="00EF6420"/>
    <w:rsid w:val="00EF69D7"/>
    <w:rsid w:val="00EF6B19"/>
    <w:rsid w:val="00EF6B36"/>
    <w:rsid w:val="00EF6B3A"/>
    <w:rsid w:val="00EF6DC1"/>
    <w:rsid w:val="00EF6DD0"/>
    <w:rsid w:val="00EF6EFC"/>
    <w:rsid w:val="00EF6F1E"/>
    <w:rsid w:val="00EF745E"/>
    <w:rsid w:val="00EF746C"/>
    <w:rsid w:val="00EF74F4"/>
    <w:rsid w:val="00EF756C"/>
    <w:rsid w:val="00EF7766"/>
    <w:rsid w:val="00EF7767"/>
    <w:rsid w:val="00EF7933"/>
    <w:rsid w:val="00EF7B1D"/>
    <w:rsid w:val="00EF7B93"/>
    <w:rsid w:val="00EF7B9B"/>
    <w:rsid w:val="00EF7C29"/>
    <w:rsid w:val="00EF7CD4"/>
    <w:rsid w:val="00EF7EB9"/>
    <w:rsid w:val="00F00246"/>
    <w:rsid w:val="00F003D9"/>
    <w:rsid w:val="00F00473"/>
    <w:rsid w:val="00F00557"/>
    <w:rsid w:val="00F0073C"/>
    <w:rsid w:val="00F00FC8"/>
    <w:rsid w:val="00F016D3"/>
    <w:rsid w:val="00F01A3F"/>
    <w:rsid w:val="00F01B41"/>
    <w:rsid w:val="00F02031"/>
    <w:rsid w:val="00F02032"/>
    <w:rsid w:val="00F02128"/>
    <w:rsid w:val="00F022D0"/>
    <w:rsid w:val="00F02323"/>
    <w:rsid w:val="00F0248A"/>
    <w:rsid w:val="00F02728"/>
    <w:rsid w:val="00F02854"/>
    <w:rsid w:val="00F02932"/>
    <w:rsid w:val="00F02AC0"/>
    <w:rsid w:val="00F02B5A"/>
    <w:rsid w:val="00F02E0B"/>
    <w:rsid w:val="00F02EA7"/>
    <w:rsid w:val="00F030AC"/>
    <w:rsid w:val="00F0315C"/>
    <w:rsid w:val="00F032F7"/>
    <w:rsid w:val="00F034D4"/>
    <w:rsid w:val="00F0365E"/>
    <w:rsid w:val="00F0367D"/>
    <w:rsid w:val="00F0393C"/>
    <w:rsid w:val="00F03F11"/>
    <w:rsid w:val="00F03F35"/>
    <w:rsid w:val="00F0441A"/>
    <w:rsid w:val="00F0452D"/>
    <w:rsid w:val="00F04612"/>
    <w:rsid w:val="00F04C60"/>
    <w:rsid w:val="00F04D00"/>
    <w:rsid w:val="00F04FF8"/>
    <w:rsid w:val="00F05108"/>
    <w:rsid w:val="00F058A2"/>
    <w:rsid w:val="00F05BA8"/>
    <w:rsid w:val="00F05DC6"/>
    <w:rsid w:val="00F05E9C"/>
    <w:rsid w:val="00F060B5"/>
    <w:rsid w:val="00F064D1"/>
    <w:rsid w:val="00F066BC"/>
    <w:rsid w:val="00F067D0"/>
    <w:rsid w:val="00F067D5"/>
    <w:rsid w:val="00F0687C"/>
    <w:rsid w:val="00F0695C"/>
    <w:rsid w:val="00F06A9A"/>
    <w:rsid w:val="00F06AB6"/>
    <w:rsid w:val="00F06CEF"/>
    <w:rsid w:val="00F06D88"/>
    <w:rsid w:val="00F07048"/>
    <w:rsid w:val="00F072ED"/>
    <w:rsid w:val="00F0752A"/>
    <w:rsid w:val="00F07AE5"/>
    <w:rsid w:val="00F07FE7"/>
    <w:rsid w:val="00F10172"/>
    <w:rsid w:val="00F103FF"/>
    <w:rsid w:val="00F105A1"/>
    <w:rsid w:val="00F110CD"/>
    <w:rsid w:val="00F1194C"/>
    <w:rsid w:val="00F119AA"/>
    <w:rsid w:val="00F11A4F"/>
    <w:rsid w:val="00F11A52"/>
    <w:rsid w:val="00F11AA2"/>
    <w:rsid w:val="00F11F2D"/>
    <w:rsid w:val="00F12550"/>
    <w:rsid w:val="00F129BB"/>
    <w:rsid w:val="00F12C3A"/>
    <w:rsid w:val="00F12E7B"/>
    <w:rsid w:val="00F131E2"/>
    <w:rsid w:val="00F133BB"/>
    <w:rsid w:val="00F138DB"/>
    <w:rsid w:val="00F13954"/>
    <w:rsid w:val="00F139EA"/>
    <w:rsid w:val="00F13AFF"/>
    <w:rsid w:val="00F13B32"/>
    <w:rsid w:val="00F13E73"/>
    <w:rsid w:val="00F14073"/>
    <w:rsid w:val="00F14313"/>
    <w:rsid w:val="00F14428"/>
    <w:rsid w:val="00F14656"/>
    <w:rsid w:val="00F146CE"/>
    <w:rsid w:val="00F1506C"/>
    <w:rsid w:val="00F1558F"/>
    <w:rsid w:val="00F156E9"/>
    <w:rsid w:val="00F159B3"/>
    <w:rsid w:val="00F15A8F"/>
    <w:rsid w:val="00F15ED8"/>
    <w:rsid w:val="00F15F0A"/>
    <w:rsid w:val="00F160C2"/>
    <w:rsid w:val="00F160EE"/>
    <w:rsid w:val="00F1644D"/>
    <w:rsid w:val="00F1653D"/>
    <w:rsid w:val="00F16612"/>
    <w:rsid w:val="00F16BCB"/>
    <w:rsid w:val="00F16C6D"/>
    <w:rsid w:val="00F16E8E"/>
    <w:rsid w:val="00F16EBA"/>
    <w:rsid w:val="00F17029"/>
    <w:rsid w:val="00F1749B"/>
    <w:rsid w:val="00F174AA"/>
    <w:rsid w:val="00F17837"/>
    <w:rsid w:val="00F17C02"/>
    <w:rsid w:val="00F17CC7"/>
    <w:rsid w:val="00F20928"/>
    <w:rsid w:val="00F20C6F"/>
    <w:rsid w:val="00F2148C"/>
    <w:rsid w:val="00F2154C"/>
    <w:rsid w:val="00F215A7"/>
    <w:rsid w:val="00F21CBE"/>
    <w:rsid w:val="00F22627"/>
    <w:rsid w:val="00F22907"/>
    <w:rsid w:val="00F22954"/>
    <w:rsid w:val="00F229FD"/>
    <w:rsid w:val="00F22AE0"/>
    <w:rsid w:val="00F24C12"/>
    <w:rsid w:val="00F24C24"/>
    <w:rsid w:val="00F24D79"/>
    <w:rsid w:val="00F24F23"/>
    <w:rsid w:val="00F24FEE"/>
    <w:rsid w:val="00F254C2"/>
    <w:rsid w:val="00F25A88"/>
    <w:rsid w:val="00F25C07"/>
    <w:rsid w:val="00F25C0F"/>
    <w:rsid w:val="00F25C8F"/>
    <w:rsid w:val="00F25D1D"/>
    <w:rsid w:val="00F25D4A"/>
    <w:rsid w:val="00F25D73"/>
    <w:rsid w:val="00F25F27"/>
    <w:rsid w:val="00F2609C"/>
    <w:rsid w:val="00F2639F"/>
    <w:rsid w:val="00F269AD"/>
    <w:rsid w:val="00F26D76"/>
    <w:rsid w:val="00F26E8C"/>
    <w:rsid w:val="00F26F70"/>
    <w:rsid w:val="00F27011"/>
    <w:rsid w:val="00F271C1"/>
    <w:rsid w:val="00F27353"/>
    <w:rsid w:val="00F27373"/>
    <w:rsid w:val="00F27387"/>
    <w:rsid w:val="00F274EA"/>
    <w:rsid w:val="00F276D8"/>
    <w:rsid w:val="00F27923"/>
    <w:rsid w:val="00F27B43"/>
    <w:rsid w:val="00F27DDD"/>
    <w:rsid w:val="00F3003D"/>
    <w:rsid w:val="00F300A1"/>
    <w:rsid w:val="00F301A4"/>
    <w:rsid w:val="00F3041B"/>
    <w:rsid w:val="00F30583"/>
    <w:rsid w:val="00F306C3"/>
    <w:rsid w:val="00F306C7"/>
    <w:rsid w:val="00F313C6"/>
    <w:rsid w:val="00F3173D"/>
    <w:rsid w:val="00F31823"/>
    <w:rsid w:val="00F318D4"/>
    <w:rsid w:val="00F3192D"/>
    <w:rsid w:val="00F31E27"/>
    <w:rsid w:val="00F325BC"/>
    <w:rsid w:val="00F32B12"/>
    <w:rsid w:val="00F32D07"/>
    <w:rsid w:val="00F32EA7"/>
    <w:rsid w:val="00F33AEB"/>
    <w:rsid w:val="00F33CEB"/>
    <w:rsid w:val="00F3411E"/>
    <w:rsid w:val="00F341DE"/>
    <w:rsid w:val="00F34488"/>
    <w:rsid w:val="00F348B3"/>
    <w:rsid w:val="00F348FD"/>
    <w:rsid w:val="00F349EA"/>
    <w:rsid w:val="00F34A63"/>
    <w:rsid w:val="00F350B1"/>
    <w:rsid w:val="00F355F5"/>
    <w:rsid w:val="00F3564F"/>
    <w:rsid w:val="00F3568B"/>
    <w:rsid w:val="00F359B8"/>
    <w:rsid w:val="00F35AD5"/>
    <w:rsid w:val="00F35CE1"/>
    <w:rsid w:val="00F35D44"/>
    <w:rsid w:val="00F35E5B"/>
    <w:rsid w:val="00F35F1A"/>
    <w:rsid w:val="00F35F3B"/>
    <w:rsid w:val="00F3625C"/>
    <w:rsid w:val="00F3652C"/>
    <w:rsid w:val="00F367D6"/>
    <w:rsid w:val="00F36988"/>
    <w:rsid w:val="00F36BDE"/>
    <w:rsid w:val="00F370CF"/>
    <w:rsid w:val="00F371F2"/>
    <w:rsid w:val="00F37591"/>
    <w:rsid w:val="00F37789"/>
    <w:rsid w:val="00F37941"/>
    <w:rsid w:val="00F37978"/>
    <w:rsid w:val="00F37A26"/>
    <w:rsid w:val="00F37B41"/>
    <w:rsid w:val="00F37D9D"/>
    <w:rsid w:val="00F401DA"/>
    <w:rsid w:val="00F4026A"/>
    <w:rsid w:val="00F4031D"/>
    <w:rsid w:val="00F40723"/>
    <w:rsid w:val="00F4088A"/>
    <w:rsid w:val="00F408A2"/>
    <w:rsid w:val="00F408EA"/>
    <w:rsid w:val="00F40AE1"/>
    <w:rsid w:val="00F40B87"/>
    <w:rsid w:val="00F40CCE"/>
    <w:rsid w:val="00F415E9"/>
    <w:rsid w:val="00F41A03"/>
    <w:rsid w:val="00F41B02"/>
    <w:rsid w:val="00F41D4D"/>
    <w:rsid w:val="00F42195"/>
    <w:rsid w:val="00F421C1"/>
    <w:rsid w:val="00F42474"/>
    <w:rsid w:val="00F424E8"/>
    <w:rsid w:val="00F42B3E"/>
    <w:rsid w:val="00F4387B"/>
    <w:rsid w:val="00F438E0"/>
    <w:rsid w:val="00F43A3B"/>
    <w:rsid w:val="00F43B13"/>
    <w:rsid w:val="00F43B20"/>
    <w:rsid w:val="00F44730"/>
    <w:rsid w:val="00F44807"/>
    <w:rsid w:val="00F44B0F"/>
    <w:rsid w:val="00F44F36"/>
    <w:rsid w:val="00F4501A"/>
    <w:rsid w:val="00F4565C"/>
    <w:rsid w:val="00F45A47"/>
    <w:rsid w:val="00F45C5D"/>
    <w:rsid w:val="00F45C83"/>
    <w:rsid w:val="00F462B2"/>
    <w:rsid w:val="00F465D2"/>
    <w:rsid w:val="00F46644"/>
    <w:rsid w:val="00F466E8"/>
    <w:rsid w:val="00F4681F"/>
    <w:rsid w:val="00F4684A"/>
    <w:rsid w:val="00F46862"/>
    <w:rsid w:val="00F468E0"/>
    <w:rsid w:val="00F469BC"/>
    <w:rsid w:val="00F46A11"/>
    <w:rsid w:val="00F46B7C"/>
    <w:rsid w:val="00F46D3E"/>
    <w:rsid w:val="00F46E89"/>
    <w:rsid w:val="00F473C9"/>
    <w:rsid w:val="00F4752E"/>
    <w:rsid w:val="00F4792C"/>
    <w:rsid w:val="00F479C5"/>
    <w:rsid w:val="00F47A0D"/>
    <w:rsid w:val="00F47B16"/>
    <w:rsid w:val="00F47B74"/>
    <w:rsid w:val="00F47C90"/>
    <w:rsid w:val="00F47E2E"/>
    <w:rsid w:val="00F5012F"/>
    <w:rsid w:val="00F504CE"/>
    <w:rsid w:val="00F505F3"/>
    <w:rsid w:val="00F505FF"/>
    <w:rsid w:val="00F506DD"/>
    <w:rsid w:val="00F50B0F"/>
    <w:rsid w:val="00F510BD"/>
    <w:rsid w:val="00F51348"/>
    <w:rsid w:val="00F5139A"/>
    <w:rsid w:val="00F513F6"/>
    <w:rsid w:val="00F51537"/>
    <w:rsid w:val="00F517B4"/>
    <w:rsid w:val="00F517E5"/>
    <w:rsid w:val="00F51A5D"/>
    <w:rsid w:val="00F51C80"/>
    <w:rsid w:val="00F51FEB"/>
    <w:rsid w:val="00F52026"/>
    <w:rsid w:val="00F5214B"/>
    <w:rsid w:val="00F523A2"/>
    <w:rsid w:val="00F52703"/>
    <w:rsid w:val="00F52986"/>
    <w:rsid w:val="00F52AD2"/>
    <w:rsid w:val="00F52D45"/>
    <w:rsid w:val="00F52FE8"/>
    <w:rsid w:val="00F532BB"/>
    <w:rsid w:val="00F53632"/>
    <w:rsid w:val="00F53652"/>
    <w:rsid w:val="00F53A19"/>
    <w:rsid w:val="00F53E53"/>
    <w:rsid w:val="00F53ED3"/>
    <w:rsid w:val="00F53FBB"/>
    <w:rsid w:val="00F54053"/>
    <w:rsid w:val="00F54555"/>
    <w:rsid w:val="00F548C5"/>
    <w:rsid w:val="00F54B5C"/>
    <w:rsid w:val="00F54BA6"/>
    <w:rsid w:val="00F54DDE"/>
    <w:rsid w:val="00F55299"/>
    <w:rsid w:val="00F5544A"/>
    <w:rsid w:val="00F5567B"/>
    <w:rsid w:val="00F5580A"/>
    <w:rsid w:val="00F55874"/>
    <w:rsid w:val="00F559CB"/>
    <w:rsid w:val="00F55A82"/>
    <w:rsid w:val="00F55B9B"/>
    <w:rsid w:val="00F55BCD"/>
    <w:rsid w:val="00F55CA7"/>
    <w:rsid w:val="00F55D2E"/>
    <w:rsid w:val="00F55D40"/>
    <w:rsid w:val="00F55E5C"/>
    <w:rsid w:val="00F561D3"/>
    <w:rsid w:val="00F5654C"/>
    <w:rsid w:val="00F56AA3"/>
    <w:rsid w:val="00F56B0E"/>
    <w:rsid w:val="00F56B45"/>
    <w:rsid w:val="00F56BB2"/>
    <w:rsid w:val="00F56C67"/>
    <w:rsid w:val="00F56C99"/>
    <w:rsid w:val="00F56F0A"/>
    <w:rsid w:val="00F56FA5"/>
    <w:rsid w:val="00F57053"/>
    <w:rsid w:val="00F570F0"/>
    <w:rsid w:val="00F57206"/>
    <w:rsid w:val="00F5722B"/>
    <w:rsid w:val="00F57716"/>
    <w:rsid w:val="00F579AA"/>
    <w:rsid w:val="00F57A00"/>
    <w:rsid w:val="00F600A4"/>
    <w:rsid w:val="00F60966"/>
    <w:rsid w:val="00F60BE1"/>
    <w:rsid w:val="00F60E35"/>
    <w:rsid w:val="00F61684"/>
    <w:rsid w:val="00F61A95"/>
    <w:rsid w:val="00F61D86"/>
    <w:rsid w:val="00F61E56"/>
    <w:rsid w:val="00F62097"/>
    <w:rsid w:val="00F6240D"/>
    <w:rsid w:val="00F62D9E"/>
    <w:rsid w:val="00F62E8C"/>
    <w:rsid w:val="00F6308F"/>
    <w:rsid w:val="00F632BD"/>
    <w:rsid w:val="00F632DD"/>
    <w:rsid w:val="00F639B9"/>
    <w:rsid w:val="00F63A19"/>
    <w:rsid w:val="00F63D81"/>
    <w:rsid w:val="00F640AE"/>
    <w:rsid w:val="00F64235"/>
    <w:rsid w:val="00F64450"/>
    <w:rsid w:val="00F644ED"/>
    <w:rsid w:val="00F64D6E"/>
    <w:rsid w:val="00F64E4E"/>
    <w:rsid w:val="00F6511B"/>
    <w:rsid w:val="00F651CF"/>
    <w:rsid w:val="00F65273"/>
    <w:rsid w:val="00F65560"/>
    <w:rsid w:val="00F65617"/>
    <w:rsid w:val="00F65800"/>
    <w:rsid w:val="00F65A8C"/>
    <w:rsid w:val="00F65AAF"/>
    <w:rsid w:val="00F65AC4"/>
    <w:rsid w:val="00F65EF4"/>
    <w:rsid w:val="00F65FED"/>
    <w:rsid w:val="00F66A14"/>
    <w:rsid w:val="00F66CAB"/>
    <w:rsid w:val="00F6744F"/>
    <w:rsid w:val="00F67506"/>
    <w:rsid w:val="00F67600"/>
    <w:rsid w:val="00F676AC"/>
    <w:rsid w:val="00F67E20"/>
    <w:rsid w:val="00F70490"/>
    <w:rsid w:val="00F70ACE"/>
    <w:rsid w:val="00F70CC2"/>
    <w:rsid w:val="00F70F4B"/>
    <w:rsid w:val="00F71060"/>
    <w:rsid w:val="00F71263"/>
    <w:rsid w:val="00F714BD"/>
    <w:rsid w:val="00F71564"/>
    <w:rsid w:val="00F716DD"/>
    <w:rsid w:val="00F718B6"/>
    <w:rsid w:val="00F71BF2"/>
    <w:rsid w:val="00F720E3"/>
    <w:rsid w:val="00F72211"/>
    <w:rsid w:val="00F72274"/>
    <w:rsid w:val="00F72614"/>
    <w:rsid w:val="00F7278E"/>
    <w:rsid w:val="00F72B67"/>
    <w:rsid w:val="00F72DB9"/>
    <w:rsid w:val="00F72E32"/>
    <w:rsid w:val="00F735FC"/>
    <w:rsid w:val="00F738E8"/>
    <w:rsid w:val="00F73A4A"/>
    <w:rsid w:val="00F73ACF"/>
    <w:rsid w:val="00F73C60"/>
    <w:rsid w:val="00F73DA2"/>
    <w:rsid w:val="00F74252"/>
    <w:rsid w:val="00F74807"/>
    <w:rsid w:val="00F74974"/>
    <w:rsid w:val="00F74E42"/>
    <w:rsid w:val="00F74FC7"/>
    <w:rsid w:val="00F75011"/>
    <w:rsid w:val="00F7512E"/>
    <w:rsid w:val="00F75795"/>
    <w:rsid w:val="00F75D06"/>
    <w:rsid w:val="00F7635A"/>
    <w:rsid w:val="00F765D9"/>
    <w:rsid w:val="00F767D4"/>
    <w:rsid w:val="00F76DBF"/>
    <w:rsid w:val="00F76E20"/>
    <w:rsid w:val="00F77308"/>
    <w:rsid w:val="00F77347"/>
    <w:rsid w:val="00F77433"/>
    <w:rsid w:val="00F7747B"/>
    <w:rsid w:val="00F7749F"/>
    <w:rsid w:val="00F7757E"/>
    <w:rsid w:val="00F77638"/>
    <w:rsid w:val="00F77699"/>
    <w:rsid w:val="00F77725"/>
    <w:rsid w:val="00F778F3"/>
    <w:rsid w:val="00F77A11"/>
    <w:rsid w:val="00F77BF8"/>
    <w:rsid w:val="00F77D3F"/>
    <w:rsid w:val="00F77E83"/>
    <w:rsid w:val="00F8078D"/>
    <w:rsid w:val="00F80A87"/>
    <w:rsid w:val="00F80B63"/>
    <w:rsid w:val="00F80C88"/>
    <w:rsid w:val="00F80D54"/>
    <w:rsid w:val="00F80F28"/>
    <w:rsid w:val="00F81426"/>
    <w:rsid w:val="00F81685"/>
    <w:rsid w:val="00F816D9"/>
    <w:rsid w:val="00F817B2"/>
    <w:rsid w:val="00F817E7"/>
    <w:rsid w:val="00F819E6"/>
    <w:rsid w:val="00F825E0"/>
    <w:rsid w:val="00F826C5"/>
    <w:rsid w:val="00F82991"/>
    <w:rsid w:val="00F82AF7"/>
    <w:rsid w:val="00F82BA9"/>
    <w:rsid w:val="00F82BB7"/>
    <w:rsid w:val="00F82EA3"/>
    <w:rsid w:val="00F82EEE"/>
    <w:rsid w:val="00F83102"/>
    <w:rsid w:val="00F834C1"/>
    <w:rsid w:val="00F83A43"/>
    <w:rsid w:val="00F83BFE"/>
    <w:rsid w:val="00F83CB8"/>
    <w:rsid w:val="00F840AC"/>
    <w:rsid w:val="00F842D0"/>
    <w:rsid w:val="00F84491"/>
    <w:rsid w:val="00F845BD"/>
    <w:rsid w:val="00F84677"/>
    <w:rsid w:val="00F84821"/>
    <w:rsid w:val="00F84829"/>
    <w:rsid w:val="00F84D41"/>
    <w:rsid w:val="00F84E4B"/>
    <w:rsid w:val="00F84E9B"/>
    <w:rsid w:val="00F8507A"/>
    <w:rsid w:val="00F8564E"/>
    <w:rsid w:val="00F858DA"/>
    <w:rsid w:val="00F85BAB"/>
    <w:rsid w:val="00F86769"/>
    <w:rsid w:val="00F86B7D"/>
    <w:rsid w:val="00F86BD2"/>
    <w:rsid w:val="00F86F34"/>
    <w:rsid w:val="00F87186"/>
    <w:rsid w:val="00F8735C"/>
    <w:rsid w:val="00F87463"/>
    <w:rsid w:val="00F87526"/>
    <w:rsid w:val="00F87636"/>
    <w:rsid w:val="00F87984"/>
    <w:rsid w:val="00F87BB7"/>
    <w:rsid w:val="00F87F09"/>
    <w:rsid w:val="00F9018D"/>
    <w:rsid w:val="00F9036F"/>
    <w:rsid w:val="00F904EF"/>
    <w:rsid w:val="00F905AC"/>
    <w:rsid w:val="00F90923"/>
    <w:rsid w:val="00F90D75"/>
    <w:rsid w:val="00F90DDE"/>
    <w:rsid w:val="00F90F16"/>
    <w:rsid w:val="00F911A2"/>
    <w:rsid w:val="00F91422"/>
    <w:rsid w:val="00F9148D"/>
    <w:rsid w:val="00F9170A"/>
    <w:rsid w:val="00F918EE"/>
    <w:rsid w:val="00F91B2A"/>
    <w:rsid w:val="00F91F1B"/>
    <w:rsid w:val="00F91F67"/>
    <w:rsid w:val="00F92061"/>
    <w:rsid w:val="00F920DD"/>
    <w:rsid w:val="00F929C0"/>
    <w:rsid w:val="00F92BC5"/>
    <w:rsid w:val="00F93386"/>
    <w:rsid w:val="00F936C9"/>
    <w:rsid w:val="00F93990"/>
    <w:rsid w:val="00F93B7B"/>
    <w:rsid w:val="00F93BC1"/>
    <w:rsid w:val="00F93F24"/>
    <w:rsid w:val="00F93FDD"/>
    <w:rsid w:val="00F94572"/>
    <w:rsid w:val="00F94639"/>
    <w:rsid w:val="00F9485C"/>
    <w:rsid w:val="00F9490C"/>
    <w:rsid w:val="00F94B9F"/>
    <w:rsid w:val="00F94C80"/>
    <w:rsid w:val="00F94EB6"/>
    <w:rsid w:val="00F94F68"/>
    <w:rsid w:val="00F94FCE"/>
    <w:rsid w:val="00F9509D"/>
    <w:rsid w:val="00F9517E"/>
    <w:rsid w:val="00F95A74"/>
    <w:rsid w:val="00F95AA7"/>
    <w:rsid w:val="00F95D14"/>
    <w:rsid w:val="00F96663"/>
    <w:rsid w:val="00F9667A"/>
    <w:rsid w:val="00F966EF"/>
    <w:rsid w:val="00F96A4E"/>
    <w:rsid w:val="00F96DB1"/>
    <w:rsid w:val="00F96EB8"/>
    <w:rsid w:val="00F9702B"/>
    <w:rsid w:val="00F97239"/>
    <w:rsid w:val="00F97484"/>
    <w:rsid w:val="00FA00E0"/>
    <w:rsid w:val="00FA0965"/>
    <w:rsid w:val="00FA0990"/>
    <w:rsid w:val="00FA0CC5"/>
    <w:rsid w:val="00FA0E2F"/>
    <w:rsid w:val="00FA0F09"/>
    <w:rsid w:val="00FA0F35"/>
    <w:rsid w:val="00FA0F82"/>
    <w:rsid w:val="00FA1407"/>
    <w:rsid w:val="00FA1470"/>
    <w:rsid w:val="00FA1494"/>
    <w:rsid w:val="00FA14AF"/>
    <w:rsid w:val="00FA1639"/>
    <w:rsid w:val="00FA1B3E"/>
    <w:rsid w:val="00FA1F41"/>
    <w:rsid w:val="00FA215C"/>
    <w:rsid w:val="00FA2D41"/>
    <w:rsid w:val="00FA2D4A"/>
    <w:rsid w:val="00FA2EC7"/>
    <w:rsid w:val="00FA3279"/>
    <w:rsid w:val="00FA3749"/>
    <w:rsid w:val="00FA38BE"/>
    <w:rsid w:val="00FA3904"/>
    <w:rsid w:val="00FA391C"/>
    <w:rsid w:val="00FA3EF7"/>
    <w:rsid w:val="00FA4046"/>
    <w:rsid w:val="00FA404A"/>
    <w:rsid w:val="00FA4106"/>
    <w:rsid w:val="00FA42BC"/>
    <w:rsid w:val="00FA44C3"/>
    <w:rsid w:val="00FA4509"/>
    <w:rsid w:val="00FA4562"/>
    <w:rsid w:val="00FA4598"/>
    <w:rsid w:val="00FA4A25"/>
    <w:rsid w:val="00FA4B3E"/>
    <w:rsid w:val="00FA4B53"/>
    <w:rsid w:val="00FA4D89"/>
    <w:rsid w:val="00FA51B7"/>
    <w:rsid w:val="00FA5219"/>
    <w:rsid w:val="00FA58E5"/>
    <w:rsid w:val="00FA5904"/>
    <w:rsid w:val="00FA5C53"/>
    <w:rsid w:val="00FA5C66"/>
    <w:rsid w:val="00FA5D9E"/>
    <w:rsid w:val="00FA5FD7"/>
    <w:rsid w:val="00FA6637"/>
    <w:rsid w:val="00FA66E9"/>
    <w:rsid w:val="00FA676D"/>
    <w:rsid w:val="00FA6A65"/>
    <w:rsid w:val="00FA6A88"/>
    <w:rsid w:val="00FA6BCC"/>
    <w:rsid w:val="00FA6C28"/>
    <w:rsid w:val="00FA7816"/>
    <w:rsid w:val="00FA7B5C"/>
    <w:rsid w:val="00FA7D8C"/>
    <w:rsid w:val="00FA7EFF"/>
    <w:rsid w:val="00FA7F3F"/>
    <w:rsid w:val="00FB0105"/>
    <w:rsid w:val="00FB07B7"/>
    <w:rsid w:val="00FB07CD"/>
    <w:rsid w:val="00FB098A"/>
    <w:rsid w:val="00FB0C12"/>
    <w:rsid w:val="00FB0EF2"/>
    <w:rsid w:val="00FB0FF0"/>
    <w:rsid w:val="00FB10B5"/>
    <w:rsid w:val="00FB1158"/>
    <w:rsid w:val="00FB1323"/>
    <w:rsid w:val="00FB14FD"/>
    <w:rsid w:val="00FB1988"/>
    <w:rsid w:val="00FB1A92"/>
    <w:rsid w:val="00FB1AB0"/>
    <w:rsid w:val="00FB1B04"/>
    <w:rsid w:val="00FB1EFA"/>
    <w:rsid w:val="00FB2063"/>
    <w:rsid w:val="00FB2621"/>
    <w:rsid w:val="00FB3473"/>
    <w:rsid w:val="00FB354A"/>
    <w:rsid w:val="00FB37C6"/>
    <w:rsid w:val="00FB380E"/>
    <w:rsid w:val="00FB38D5"/>
    <w:rsid w:val="00FB3C9D"/>
    <w:rsid w:val="00FB3EDA"/>
    <w:rsid w:val="00FB40D0"/>
    <w:rsid w:val="00FB4106"/>
    <w:rsid w:val="00FB41A5"/>
    <w:rsid w:val="00FB428D"/>
    <w:rsid w:val="00FB496F"/>
    <w:rsid w:val="00FB4A64"/>
    <w:rsid w:val="00FB4ADC"/>
    <w:rsid w:val="00FB4E58"/>
    <w:rsid w:val="00FB4F44"/>
    <w:rsid w:val="00FB4F84"/>
    <w:rsid w:val="00FB50AB"/>
    <w:rsid w:val="00FB51CB"/>
    <w:rsid w:val="00FB5281"/>
    <w:rsid w:val="00FB5858"/>
    <w:rsid w:val="00FB59AC"/>
    <w:rsid w:val="00FB5EE7"/>
    <w:rsid w:val="00FB628D"/>
    <w:rsid w:val="00FB6550"/>
    <w:rsid w:val="00FB6560"/>
    <w:rsid w:val="00FB65FA"/>
    <w:rsid w:val="00FB66C4"/>
    <w:rsid w:val="00FB6AEA"/>
    <w:rsid w:val="00FB6B34"/>
    <w:rsid w:val="00FB6BA2"/>
    <w:rsid w:val="00FB799E"/>
    <w:rsid w:val="00FB7A64"/>
    <w:rsid w:val="00FB7C0B"/>
    <w:rsid w:val="00FB7F70"/>
    <w:rsid w:val="00FC018F"/>
    <w:rsid w:val="00FC01A9"/>
    <w:rsid w:val="00FC01CA"/>
    <w:rsid w:val="00FC09B4"/>
    <w:rsid w:val="00FC1043"/>
    <w:rsid w:val="00FC112E"/>
    <w:rsid w:val="00FC1244"/>
    <w:rsid w:val="00FC1330"/>
    <w:rsid w:val="00FC14EF"/>
    <w:rsid w:val="00FC1BAF"/>
    <w:rsid w:val="00FC1D29"/>
    <w:rsid w:val="00FC2099"/>
    <w:rsid w:val="00FC2664"/>
    <w:rsid w:val="00FC28DB"/>
    <w:rsid w:val="00FC2A30"/>
    <w:rsid w:val="00FC3017"/>
    <w:rsid w:val="00FC3514"/>
    <w:rsid w:val="00FC3659"/>
    <w:rsid w:val="00FC36AD"/>
    <w:rsid w:val="00FC376C"/>
    <w:rsid w:val="00FC3827"/>
    <w:rsid w:val="00FC3F8F"/>
    <w:rsid w:val="00FC3FC4"/>
    <w:rsid w:val="00FC45F4"/>
    <w:rsid w:val="00FC490E"/>
    <w:rsid w:val="00FC4962"/>
    <w:rsid w:val="00FC4C15"/>
    <w:rsid w:val="00FC510D"/>
    <w:rsid w:val="00FC5411"/>
    <w:rsid w:val="00FC54F5"/>
    <w:rsid w:val="00FC55EF"/>
    <w:rsid w:val="00FC55F9"/>
    <w:rsid w:val="00FC56C1"/>
    <w:rsid w:val="00FC57DC"/>
    <w:rsid w:val="00FC58A9"/>
    <w:rsid w:val="00FC5B1C"/>
    <w:rsid w:val="00FC5C13"/>
    <w:rsid w:val="00FC6110"/>
    <w:rsid w:val="00FC613C"/>
    <w:rsid w:val="00FC6174"/>
    <w:rsid w:val="00FC6177"/>
    <w:rsid w:val="00FC6435"/>
    <w:rsid w:val="00FC64EF"/>
    <w:rsid w:val="00FC6714"/>
    <w:rsid w:val="00FC6C53"/>
    <w:rsid w:val="00FC6E7A"/>
    <w:rsid w:val="00FC712F"/>
    <w:rsid w:val="00FC797E"/>
    <w:rsid w:val="00FC7A4D"/>
    <w:rsid w:val="00FC7F44"/>
    <w:rsid w:val="00FD02F8"/>
    <w:rsid w:val="00FD04B7"/>
    <w:rsid w:val="00FD0660"/>
    <w:rsid w:val="00FD0CA0"/>
    <w:rsid w:val="00FD11A2"/>
    <w:rsid w:val="00FD11DD"/>
    <w:rsid w:val="00FD1376"/>
    <w:rsid w:val="00FD1477"/>
    <w:rsid w:val="00FD190B"/>
    <w:rsid w:val="00FD1CE6"/>
    <w:rsid w:val="00FD2384"/>
    <w:rsid w:val="00FD2BF6"/>
    <w:rsid w:val="00FD2D28"/>
    <w:rsid w:val="00FD3C37"/>
    <w:rsid w:val="00FD3CC5"/>
    <w:rsid w:val="00FD3D59"/>
    <w:rsid w:val="00FD41DF"/>
    <w:rsid w:val="00FD4635"/>
    <w:rsid w:val="00FD4762"/>
    <w:rsid w:val="00FD4867"/>
    <w:rsid w:val="00FD49EC"/>
    <w:rsid w:val="00FD4A1C"/>
    <w:rsid w:val="00FD4C3B"/>
    <w:rsid w:val="00FD5032"/>
    <w:rsid w:val="00FD50C0"/>
    <w:rsid w:val="00FD51C4"/>
    <w:rsid w:val="00FD52AD"/>
    <w:rsid w:val="00FD5353"/>
    <w:rsid w:val="00FD57E6"/>
    <w:rsid w:val="00FD5B91"/>
    <w:rsid w:val="00FD5CEE"/>
    <w:rsid w:val="00FD5ED9"/>
    <w:rsid w:val="00FD601C"/>
    <w:rsid w:val="00FD61BF"/>
    <w:rsid w:val="00FD669A"/>
    <w:rsid w:val="00FD672B"/>
    <w:rsid w:val="00FD67AB"/>
    <w:rsid w:val="00FD6C9B"/>
    <w:rsid w:val="00FD6DAC"/>
    <w:rsid w:val="00FD6FF8"/>
    <w:rsid w:val="00FD703D"/>
    <w:rsid w:val="00FD708B"/>
    <w:rsid w:val="00FD7230"/>
    <w:rsid w:val="00FD740C"/>
    <w:rsid w:val="00FD756E"/>
    <w:rsid w:val="00FD77E8"/>
    <w:rsid w:val="00FD780D"/>
    <w:rsid w:val="00FD79D0"/>
    <w:rsid w:val="00FD7ACE"/>
    <w:rsid w:val="00FD7C95"/>
    <w:rsid w:val="00FD7D4A"/>
    <w:rsid w:val="00FD7E26"/>
    <w:rsid w:val="00FD7F27"/>
    <w:rsid w:val="00FE0140"/>
    <w:rsid w:val="00FE028B"/>
    <w:rsid w:val="00FE02BB"/>
    <w:rsid w:val="00FE089C"/>
    <w:rsid w:val="00FE0906"/>
    <w:rsid w:val="00FE0A96"/>
    <w:rsid w:val="00FE0AE8"/>
    <w:rsid w:val="00FE1166"/>
    <w:rsid w:val="00FE1167"/>
    <w:rsid w:val="00FE1410"/>
    <w:rsid w:val="00FE17C6"/>
    <w:rsid w:val="00FE19AE"/>
    <w:rsid w:val="00FE1C41"/>
    <w:rsid w:val="00FE1CB4"/>
    <w:rsid w:val="00FE1D0D"/>
    <w:rsid w:val="00FE1FDF"/>
    <w:rsid w:val="00FE20BA"/>
    <w:rsid w:val="00FE2480"/>
    <w:rsid w:val="00FE2625"/>
    <w:rsid w:val="00FE285A"/>
    <w:rsid w:val="00FE2A00"/>
    <w:rsid w:val="00FE2BC0"/>
    <w:rsid w:val="00FE35E5"/>
    <w:rsid w:val="00FE38E4"/>
    <w:rsid w:val="00FE3AD6"/>
    <w:rsid w:val="00FE4507"/>
    <w:rsid w:val="00FE459D"/>
    <w:rsid w:val="00FE4A3D"/>
    <w:rsid w:val="00FE4B6E"/>
    <w:rsid w:val="00FE4C37"/>
    <w:rsid w:val="00FE51DD"/>
    <w:rsid w:val="00FE524A"/>
    <w:rsid w:val="00FE5526"/>
    <w:rsid w:val="00FE5808"/>
    <w:rsid w:val="00FE5ACF"/>
    <w:rsid w:val="00FE5B74"/>
    <w:rsid w:val="00FE5E22"/>
    <w:rsid w:val="00FE64F1"/>
    <w:rsid w:val="00FE6559"/>
    <w:rsid w:val="00FE6891"/>
    <w:rsid w:val="00FE6E18"/>
    <w:rsid w:val="00FE72CB"/>
    <w:rsid w:val="00FE72D1"/>
    <w:rsid w:val="00FE7404"/>
    <w:rsid w:val="00FE760E"/>
    <w:rsid w:val="00FE7623"/>
    <w:rsid w:val="00FE7A7F"/>
    <w:rsid w:val="00FE7ACA"/>
    <w:rsid w:val="00FF00EC"/>
    <w:rsid w:val="00FF011F"/>
    <w:rsid w:val="00FF0359"/>
    <w:rsid w:val="00FF124B"/>
    <w:rsid w:val="00FF13C0"/>
    <w:rsid w:val="00FF152B"/>
    <w:rsid w:val="00FF15DE"/>
    <w:rsid w:val="00FF1662"/>
    <w:rsid w:val="00FF181B"/>
    <w:rsid w:val="00FF1916"/>
    <w:rsid w:val="00FF1A9C"/>
    <w:rsid w:val="00FF1DA1"/>
    <w:rsid w:val="00FF25FC"/>
    <w:rsid w:val="00FF2793"/>
    <w:rsid w:val="00FF2892"/>
    <w:rsid w:val="00FF2899"/>
    <w:rsid w:val="00FF2A1E"/>
    <w:rsid w:val="00FF2CCB"/>
    <w:rsid w:val="00FF2D45"/>
    <w:rsid w:val="00FF30B8"/>
    <w:rsid w:val="00FF311E"/>
    <w:rsid w:val="00FF31BE"/>
    <w:rsid w:val="00FF34F1"/>
    <w:rsid w:val="00FF39A5"/>
    <w:rsid w:val="00FF39B3"/>
    <w:rsid w:val="00FF3B28"/>
    <w:rsid w:val="00FF3CB5"/>
    <w:rsid w:val="00FF3D3E"/>
    <w:rsid w:val="00FF3ED4"/>
    <w:rsid w:val="00FF3F23"/>
    <w:rsid w:val="00FF3FE6"/>
    <w:rsid w:val="00FF41C9"/>
    <w:rsid w:val="00FF43EF"/>
    <w:rsid w:val="00FF4687"/>
    <w:rsid w:val="00FF4ADE"/>
    <w:rsid w:val="00FF4BB4"/>
    <w:rsid w:val="00FF4D50"/>
    <w:rsid w:val="00FF535E"/>
    <w:rsid w:val="00FF5774"/>
    <w:rsid w:val="00FF5D5A"/>
    <w:rsid w:val="00FF644B"/>
    <w:rsid w:val="00FF6500"/>
    <w:rsid w:val="00FF6CE4"/>
    <w:rsid w:val="00FF6F0E"/>
    <w:rsid w:val="00FF6FDE"/>
    <w:rsid w:val="00FF75E8"/>
    <w:rsid w:val="00FF7735"/>
    <w:rsid w:val="00FF7A9A"/>
    <w:rsid w:val="00FF7C66"/>
    <w:rsid w:val="00FF7C99"/>
    <w:rsid w:val="00FF7DCA"/>
    <w:rsid w:val="00FF7F92"/>
    <w:rsid w:val="00FF7FF5"/>
    <w:rsid w:val="012AAC0D"/>
    <w:rsid w:val="0173A3D4"/>
    <w:rsid w:val="01A44CD1"/>
    <w:rsid w:val="02C2EFDC"/>
    <w:rsid w:val="0321FAFF"/>
    <w:rsid w:val="04266EFE"/>
    <w:rsid w:val="04704D0C"/>
    <w:rsid w:val="04F2E77E"/>
    <w:rsid w:val="05D8FB11"/>
    <w:rsid w:val="06DBB3B5"/>
    <w:rsid w:val="06DD8E92"/>
    <w:rsid w:val="06F3D0DF"/>
    <w:rsid w:val="0719FC1C"/>
    <w:rsid w:val="07511B90"/>
    <w:rsid w:val="07966424"/>
    <w:rsid w:val="07B30FDD"/>
    <w:rsid w:val="07CA07FD"/>
    <w:rsid w:val="07E316E0"/>
    <w:rsid w:val="07FC42C6"/>
    <w:rsid w:val="080F74E6"/>
    <w:rsid w:val="08BA886E"/>
    <w:rsid w:val="08C9C4CD"/>
    <w:rsid w:val="08EAD537"/>
    <w:rsid w:val="08F6E874"/>
    <w:rsid w:val="0909E85A"/>
    <w:rsid w:val="091ED1CF"/>
    <w:rsid w:val="0989C4F2"/>
    <w:rsid w:val="098BCD31"/>
    <w:rsid w:val="098F062B"/>
    <w:rsid w:val="09A1E69E"/>
    <w:rsid w:val="09ACB46A"/>
    <w:rsid w:val="09F7443E"/>
    <w:rsid w:val="0AADD568"/>
    <w:rsid w:val="0B9949AD"/>
    <w:rsid w:val="0BA11846"/>
    <w:rsid w:val="0BAC5180"/>
    <w:rsid w:val="0BACB9F1"/>
    <w:rsid w:val="0C17559F"/>
    <w:rsid w:val="0C364EA5"/>
    <w:rsid w:val="0C77CDF0"/>
    <w:rsid w:val="0D0E3176"/>
    <w:rsid w:val="0D5947BB"/>
    <w:rsid w:val="0D737C98"/>
    <w:rsid w:val="0D7D33CA"/>
    <w:rsid w:val="0DA884C4"/>
    <w:rsid w:val="0E771BC3"/>
    <w:rsid w:val="0FB9A58E"/>
    <w:rsid w:val="101323A2"/>
    <w:rsid w:val="1069B97A"/>
    <w:rsid w:val="107B707E"/>
    <w:rsid w:val="11102EBB"/>
    <w:rsid w:val="1111C7EF"/>
    <w:rsid w:val="11250ECE"/>
    <w:rsid w:val="113177AC"/>
    <w:rsid w:val="1153727A"/>
    <w:rsid w:val="117611C0"/>
    <w:rsid w:val="118449F3"/>
    <w:rsid w:val="119D21AC"/>
    <w:rsid w:val="11E4D4F6"/>
    <w:rsid w:val="11F0F489"/>
    <w:rsid w:val="1210798B"/>
    <w:rsid w:val="12108BC8"/>
    <w:rsid w:val="127B1E33"/>
    <w:rsid w:val="12B2E775"/>
    <w:rsid w:val="13829A7A"/>
    <w:rsid w:val="139A81FE"/>
    <w:rsid w:val="139ADFD4"/>
    <w:rsid w:val="13D9D0B3"/>
    <w:rsid w:val="13DA0ED1"/>
    <w:rsid w:val="14E61F9F"/>
    <w:rsid w:val="15080A85"/>
    <w:rsid w:val="1514A732"/>
    <w:rsid w:val="151DD33C"/>
    <w:rsid w:val="16030299"/>
    <w:rsid w:val="1657A838"/>
    <w:rsid w:val="1672774A"/>
    <w:rsid w:val="1684181A"/>
    <w:rsid w:val="169B491E"/>
    <w:rsid w:val="16E84D52"/>
    <w:rsid w:val="17A0B92B"/>
    <w:rsid w:val="17CE517D"/>
    <w:rsid w:val="18740C84"/>
    <w:rsid w:val="1901DC8B"/>
    <w:rsid w:val="198FA922"/>
    <w:rsid w:val="19D199BA"/>
    <w:rsid w:val="1AB9D036"/>
    <w:rsid w:val="1AD193F9"/>
    <w:rsid w:val="1AEB72AB"/>
    <w:rsid w:val="1B40FE80"/>
    <w:rsid w:val="1BA6A673"/>
    <w:rsid w:val="1BE4B261"/>
    <w:rsid w:val="1C0D2E92"/>
    <w:rsid w:val="1CAC35CF"/>
    <w:rsid w:val="1D55283A"/>
    <w:rsid w:val="1DA00298"/>
    <w:rsid w:val="1E3344DB"/>
    <w:rsid w:val="1E440904"/>
    <w:rsid w:val="1ECFC116"/>
    <w:rsid w:val="1F514BE1"/>
    <w:rsid w:val="1F541747"/>
    <w:rsid w:val="1F95A7F0"/>
    <w:rsid w:val="1FF3265E"/>
    <w:rsid w:val="21A0CC37"/>
    <w:rsid w:val="21BB3264"/>
    <w:rsid w:val="21C12021"/>
    <w:rsid w:val="21DD2CF7"/>
    <w:rsid w:val="21DECE2C"/>
    <w:rsid w:val="21EB60B8"/>
    <w:rsid w:val="228946E8"/>
    <w:rsid w:val="233137F8"/>
    <w:rsid w:val="23A7B4E7"/>
    <w:rsid w:val="23F6ED2D"/>
    <w:rsid w:val="248821E5"/>
    <w:rsid w:val="255F279C"/>
    <w:rsid w:val="25D81490"/>
    <w:rsid w:val="25F67146"/>
    <w:rsid w:val="2707CCE8"/>
    <w:rsid w:val="2782B115"/>
    <w:rsid w:val="27C4B13A"/>
    <w:rsid w:val="27D69992"/>
    <w:rsid w:val="282FAE5C"/>
    <w:rsid w:val="28B5EBB3"/>
    <w:rsid w:val="2906C350"/>
    <w:rsid w:val="29C29238"/>
    <w:rsid w:val="29CB57E2"/>
    <w:rsid w:val="2A4CF836"/>
    <w:rsid w:val="2AD8876E"/>
    <w:rsid w:val="2AE92C44"/>
    <w:rsid w:val="2AEC8981"/>
    <w:rsid w:val="2B145F25"/>
    <w:rsid w:val="2B2DC171"/>
    <w:rsid w:val="2B394C40"/>
    <w:rsid w:val="2CB14985"/>
    <w:rsid w:val="2CF689BF"/>
    <w:rsid w:val="2D9A9581"/>
    <w:rsid w:val="2E3260E9"/>
    <w:rsid w:val="2F5CF834"/>
    <w:rsid w:val="2F5EB5C5"/>
    <w:rsid w:val="2F686DEE"/>
    <w:rsid w:val="2FC0DD21"/>
    <w:rsid w:val="2FD1E8F5"/>
    <w:rsid w:val="300BE340"/>
    <w:rsid w:val="3050E3EF"/>
    <w:rsid w:val="30591997"/>
    <w:rsid w:val="30856B1C"/>
    <w:rsid w:val="30E5CFBA"/>
    <w:rsid w:val="3106F6A0"/>
    <w:rsid w:val="310EAF77"/>
    <w:rsid w:val="316D27B0"/>
    <w:rsid w:val="319CB4BE"/>
    <w:rsid w:val="32490A34"/>
    <w:rsid w:val="3328C0EC"/>
    <w:rsid w:val="335BDFBF"/>
    <w:rsid w:val="33CA5525"/>
    <w:rsid w:val="34229742"/>
    <w:rsid w:val="344580C4"/>
    <w:rsid w:val="3480252F"/>
    <w:rsid w:val="34E01061"/>
    <w:rsid w:val="352C8B9F"/>
    <w:rsid w:val="3669F8CA"/>
    <w:rsid w:val="36804128"/>
    <w:rsid w:val="36BE4856"/>
    <w:rsid w:val="37041D78"/>
    <w:rsid w:val="37426145"/>
    <w:rsid w:val="3807F7FF"/>
    <w:rsid w:val="3942667E"/>
    <w:rsid w:val="394CA8AE"/>
    <w:rsid w:val="3961F7D0"/>
    <w:rsid w:val="397FBEA0"/>
    <w:rsid w:val="39D01596"/>
    <w:rsid w:val="39D558A0"/>
    <w:rsid w:val="39FCA4C7"/>
    <w:rsid w:val="3A6BC2C9"/>
    <w:rsid w:val="3AA76F7D"/>
    <w:rsid w:val="3AEBA39E"/>
    <w:rsid w:val="3B42F010"/>
    <w:rsid w:val="3B6E8C95"/>
    <w:rsid w:val="3BD66E42"/>
    <w:rsid w:val="3BF55945"/>
    <w:rsid w:val="3BFF1883"/>
    <w:rsid w:val="3C66E889"/>
    <w:rsid w:val="3C9FD09C"/>
    <w:rsid w:val="3D1F9FA3"/>
    <w:rsid w:val="3E0ED5AC"/>
    <w:rsid w:val="3E4E3844"/>
    <w:rsid w:val="3EC124BD"/>
    <w:rsid w:val="3F0CC81B"/>
    <w:rsid w:val="3F96C68B"/>
    <w:rsid w:val="3FA268C0"/>
    <w:rsid w:val="403414B0"/>
    <w:rsid w:val="4034D5B0"/>
    <w:rsid w:val="404C7EBD"/>
    <w:rsid w:val="40846DC6"/>
    <w:rsid w:val="40864D7C"/>
    <w:rsid w:val="41314BAB"/>
    <w:rsid w:val="4226BE76"/>
    <w:rsid w:val="42A4A11B"/>
    <w:rsid w:val="42E4A974"/>
    <w:rsid w:val="42E9E649"/>
    <w:rsid w:val="42EA8227"/>
    <w:rsid w:val="430274AB"/>
    <w:rsid w:val="4338601C"/>
    <w:rsid w:val="43562CB6"/>
    <w:rsid w:val="439CD548"/>
    <w:rsid w:val="43B39807"/>
    <w:rsid w:val="443975BC"/>
    <w:rsid w:val="44E2CA83"/>
    <w:rsid w:val="4532877D"/>
    <w:rsid w:val="454BA05E"/>
    <w:rsid w:val="4560BD17"/>
    <w:rsid w:val="45C5848C"/>
    <w:rsid w:val="4627133B"/>
    <w:rsid w:val="4637001E"/>
    <w:rsid w:val="4669FD0C"/>
    <w:rsid w:val="46703280"/>
    <w:rsid w:val="468CD2C6"/>
    <w:rsid w:val="46FC5CEA"/>
    <w:rsid w:val="471E6D07"/>
    <w:rsid w:val="4811B815"/>
    <w:rsid w:val="4872B540"/>
    <w:rsid w:val="48DC6E09"/>
    <w:rsid w:val="4983755A"/>
    <w:rsid w:val="4A665D71"/>
    <w:rsid w:val="4A976456"/>
    <w:rsid w:val="4BD2E10F"/>
    <w:rsid w:val="4CB009B5"/>
    <w:rsid w:val="4CC62E28"/>
    <w:rsid w:val="4CEFFA1D"/>
    <w:rsid w:val="4D0BDC8B"/>
    <w:rsid w:val="4DDAB855"/>
    <w:rsid w:val="4E6935AC"/>
    <w:rsid w:val="4E724C11"/>
    <w:rsid w:val="4E8D2EF9"/>
    <w:rsid w:val="4EBC79EC"/>
    <w:rsid w:val="4F1D22A3"/>
    <w:rsid w:val="4FC1550D"/>
    <w:rsid w:val="506E63C4"/>
    <w:rsid w:val="508319B3"/>
    <w:rsid w:val="50924F26"/>
    <w:rsid w:val="5163D4FD"/>
    <w:rsid w:val="51F41FAA"/>
    <w:rsid w:val="524E4E1C"/>
    <w:rsid w:val="525DCB54"/>
    <w:rsid w:val="5272F84C"/>
    <w:rsid w:val="52BC40C6"/>
    <w:rsid w:val="5308E019"/>
    <w:rsid w:val="53D0CA66"/>
    <w:rsid w:val="53E72BEE"/>
    <w:rsid w:val="544C53A3"/>
    <w:rsid w:val="54511B8D"/>
    <w:rsid w:val="5471B231"/>
    <w:rsid w:val="548D018F"/>
    <w:rsid w:val="54CDDD73"/>
    <w:rsid w:val="5514AD26"/>
    <w:rsid w:val="55AE7EFC"/>
    <w:rsid w:val="563AE944"/>
    <w:rsid w:val="56722541"/>
    <w:rsid w:val="577F5C6B"/>
    <w:rsid w:val="586B7136"/>
    <w:rsid w:val="586C34E0"/>
    <w:rsid w:val="5904B212"/>
    <w:rsid w:val="591E8C32"/>
    <w:rsid w:val="592C75AD"/>
    <w:rsid w:val="599ADC9B"/>
    <w:rsid w:val="5A223237"/>
    <w:rsid w:val="5A6090B8"/>
    <w:rsid w:val="5AF7D06F"/>
    <w:rsid w:val="5B02927D"/>
    <w:rsid w:val="5BB9ED72"/>
    <w:rsid w:val="5BF9EBCF"/>
    <w:rsid w:val="5CF7CBB4"/>
    <w:rsid w:val="5D858F30"/>
    <w:rsid w:val="5DD383E3"/>
    <w:rsid w:val="5E021213"/>
    <w:rsid w:val="5ECE139E"/>
    <w:rsid w:val="5F177101"/>
    <w:rsid w:val="5F3058FE"/>
    <w:rsid w:val="5F77BE00"/>
    <w:rsid w:val="5F90F12A"/>
    <w:rsid w:val="5FAD6993"/>
    <w:rsid w:val="5FDFA2AD"/>
    <w:rsid w:val="60B1AB20"/>
    <w:rsid w:val="611BBEE9"/>
    <w:rsid w:val="6130DF0A"/>
    <w:rsid w:val="61587DBE"/>
    <w:rsid w:val="61770A13"/>
    <w:rsid w:val="617E7FC5"/>
    <w:rsid w:val="62532996"/>
    <w:rsid w:val="6270EB44"/>
    <w:rsid w:val="6276CF3B"/>
    <w:rsid w:val="62CF7660"/>
    <w:rsid w:val="62DEBE6F"/>
    <w:rsid w:val="62F2A69F"/>
    <w:rsid w:val="635935E0"/>
    <w:rsid w:val="63937247"/>
    <w:rsid w:val="6409659D"/>
    <w:rsid w:val="6448C40D"/>
    <w:rsid w:val="654388B7"/>
    <w:rsid w:val="6554750D"/>
    <w:rsid w:val="6563484F"/>
    <w:rsid w:val="6591B3CA"/>
    <w:rsid w:val="6593631C"/>
    <w:rsid w:val="65AC8F1D"/>
    <w:rsid w:val="661A3439"/>
    <w:rsid w:val="66F7EC7B"/>
    <w:rsid w:val="671B9D86"/>
    <w:rsid w:val="674FF9B9"/>
    <w:rsid w:val="675995CE"/>
    <w:rsid w:val="678AFE38"/>
    <w:rsid w:val="682C8331"/>
    <w:rsid w:val="689A4A09"/>
    <w:rsid w:val="68A9B764"/>
    <w:rsid w:val="68B374AD"/>
    <w:rsid w:val="68C98A08"/>
    <w:rsid w:val="6953C0A8"/>
    <w:rsid w:val="69C24AD7"/>
    <w:rsid w:val="69C29D54"/>
    <w:rsid w:val="6A8CB732"/>
    <w:rsid w:val="6AA3B284"/>
    <w:rsid w:val="6AC5FC14"/>
    <w:rsid w:val="6AD7C10A"/>
    <w:rsid w:val="6BB2D8F8"/>
    <w:rsid w:val="6BE71A6C"/>
    <w:rsid w:val="6BF94834"/>
    <w:rsid w:val="6C8089AD"/>
    <w:rsid w:val="6CA33E28"/>
    <w:rsid w:val="6CEFF64A"/>
    <w:rsid w:val="6D6853FD"/>
    <w:rsid w:val="6D70D1AD"/>
    <w:rsid w:val="6DE7032A"/>
    <w:rsid w:val="6DED823C"/>
    <w:rsid w:val="6E1ADE82"/>
    <w:rsid w:val="6E8FDAF3"/>
    <w:rsid w:val="6F4E6150"/>
    <w:rsid w:val="6F74EC91"/>
    <w:rsid w:val="704846ED"/>
    <w:rsid w:val="7065C90C"/>
    <w:rsid w:val="70C23CBD"/>
    <w:rsid w:val="70D8DE9A"/>
    <w:rsid w:val="7178781D"/>
    <w:rsid w:val="71C4292B"/>
    <w:rsid w:val="724E1A41"/>
    <w:rsid w:val="725E89E8"/>
    <w:rsid w:val="7272E54B"/>
    <w:rsid w:val="727CAABD"/>
    <w:rsid w:val="72E3E09E"/>
    <w:rsid w:val="72F83348"/>
    <w:rsid w:val="73172DDB"/>
    <w:rsid w:val="732DEAF6"/>
    <w:rsid w:val="7367B549"/>
    <w:rsid w:val="7483776A"/>
    <w:rsid w:val="74AF3531"/>
    <w:rsid w:val="752C1C90"/>
    <w:rsid w:val="7555F5BA"/>
    <w:rsid w:val="755A9858"/>
    <w:rsid w:val="759416B3"/>
    <w:rsid w:val="75C4B287"/>
    <w:rsid w:val="761B2A12"/>
    <w:rsid w:val="76336522"/>
    <w:rsid w:val="7651A430"/>
    <w:rsid w:val="765C646E"/>
    <w:rsid w:val="767A80BD"/>
    <w:rsid w:val="76AFF07B"/>
    <w:rsid w:val="76F7C3A6"/>
    <w:rsid w:val="771AA1FC"/>
    <w:rsid w:val="7782E556"/>
    <w:rsid w:val="779DE620"/>
    <w:rsid w:val="77A03A5A"/>
    <w:rsid w:val="780E3ED8"/>
    <w:rsid w:val="7827ED9D"/>
    <w:rsid w:val="7899BB36"/>
    <w:rsid w:val="789B0308"/>
    <w:rsid w:val="7912AD26"/>
    <w:rsid w:val="7932C131"/>
    <w:rsid w:val="794ACC87"/>
    <w:rsid w:val="79C1DE37"/>
    <w:rsid w:val="79F47562"/>
    <w:rsid w:val="7A0AC561"/>
    <w:rsid w:val="7A5F77EC"/>
    <w:rsid w:val="7AC7A38D"/>
    <w:rsid w:val="7B0E0080"/>
    <w:rsid w:val="7B7333C1"/>
    <w:rsid w:val="7B994337"/>
    <w:rsid w:val="7CA6E9B1"/>
    <w:rsid w:val="7CBA7346"/>
    <w:rsid w:val="7D52A5B7"/>
    <w:rsid w:val="7D666DD9"/>
    <w:rsid w:val="7DCD82A5"/>
    <w:rsid w:val="7EB03476"/>
    <w:rsid w:val="7F059BCD"/>
    <w:rsid w:val="7F2B9325"/>
    <w:rsid w:val="7FBF3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482D00B9-1DA7-4C37-B03E-AF08A18F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B6"/>
    <w:pPr>
      <w:spacing w:line="360" w:lineRule="auto"/>
    </w:pPr>
    <w:rPr>
      <w:rFonts w:eastAsiaTheme="minorEastAsia"/>
    </w:rPr>
  </w:style>
  <w:style w:type="paragraph" w:styleId="Heading1">
    <w:name w:val="heading 1"/>
    <w:basedOn w:val="Normal"/>
    <w:next w:val="Normal"/>
    <w:link w:val="Heading1Char"/>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98321C"/>
    <w:rPr>
      <w:color w:val="0563C1"/>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basedOn w:val="TableNormal"/>
    <w:uiPriority w:val="39"/>
    <w:rsid w:val="00180554"/>
    <w:rPr>
      <w:lang w:val="en-US"/>
    </w:rPr>
    <w:tblPr/>
  </w:style>
  <w:style w:type="paragraph" w:styleId="ListParagraph">
    <w:name w:val="List Paragraph"/>
    <w:aliases w:val="Dot pt,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180554"/>
    <w:pPr>
      <w:spacing w:line="240" w:lineRule="auto"/>
      <w:ind w:left="720"/>
      <w:contextualSpacing/>
    </w:pPr>
    <w:rPr>
      <w:rFonts w:eastAsiaTheme="minorHAnsi"/>
      <w:sz w:val="22"/>
      <w:lang w:val="en-US"/>
    </w:rPr>
  </w:style>
  <w:style w:type="paragraph" w:customStyle="1" w:styleId="paragraph">
    <w:name w:val="paragraph"/>
    <w:basedOn w:val="Normal"/>
    <w:rsid w:val="00180554"/>
    <w:pPr>
      <w:spacing w:beforeAutospacing="1" w:after="160" w:afterAutospacing="1" w:line="259" w:lineRule="auto"/>
    </w:pPr>
    <w:rPr>
      <w:rFonts w:eastAsiaTheme="minorHAnsi"/>
      <w:lang w:eastAsia="en-GB"/>
    </w:rPr>
  </w:style>
  <w:style w:type="character" w:customStyle="1" w:styleId="normaltextrun">
    <w:name w:val="normaltextrun"/>
    <w:basedOn w:val="DefaultParagraphFont"/>
    <w:rsid w:val="00180554"/>
  </w:style>
  <w:style w:type="paragraph" w:styleId="FootnoteText">
    <w:name w:val="footnote text"/>
    <w:basedOn w:val="Normal"/>
    <w:link w:val="FootnoteTextChar"/>
    <w:uiPriority w:val="99"/>
    <w:semiHidden/>
    <w:rsid w:val="00180554"/>
    <w:pPr>
      <w:spacing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180554"/>
    <w:rPr>
      <w:rFonts w:ascii="Arial" w:eastAsia="Times New Roman" w:hAnsi="Arial" w:cs="Times New Roman"/>
      <w:sz w:val="20"/>
      <w:szCs w:val="20"/>
      <w:lang w:eastAsia="en-GB"/>
    </w:rPr>
  </w:style>
  <w:style w:type="paragraph" w:customStyle="1" w:styleId="Heading11">
    <w:name w:val="Heading 11"/>
    <w:basedOn w:val="Normal"/>
    <w:next w:val="Normal"/>
    <w:qFormat/>
    <w:rsid w:val="00180554"/>
    <w:pPr>
      <w:keepNext/>
      <w:keepLines/>
      <w:overflowPunct w:val="0"/>
      <w:autoSpaceDE w:val="0"/>
      <w:autoSpaceDN w:val="0"/>
      <w:adjustRightInd w:val="0"/>
      <w:spacing w:before="200" w:after="200"/>
      <w:textAlignment w:val="baseline"/>
      <w:outlineLvl w:val="0"/>
    </w:pPr>
    <w:rPr>
      <w:rFonts w:ascii="Arial" w:eastAsia="MS Gothic" w:hAnsi="Arial" w:cs="Times New Roman"/>
      <w:b/>
      <w:color w:val="00526F"/>
      <w:sz w:val="32"/>
      <w:szCs w:val="32"/>
    </w:rPr>
  </w:style>
  <w:style w:type="paragraph" w:customStyle="1" w:styleId="Heading21">
    <w:name w:val="Heading 21"/>
    <w:basedOn w:val="Normal"/>
    <w:next w:val="Normal"/>
    <w:unhideWhenUsed/>
    <w:qFormat/>
    <w:rsid w:val="00180554"/>
    <w:pPr>
      <w:keepNext/>
      <w:keepLines/>
      <w:overflowPunct w:val="0"/>
      <w:autoSpaceDE w:val="0"/>
      <w:autoSpaceDN w:val="0"/>
      <w:adjustRightInd w:val="0"/>
      <w:spacing w:before="40" w:after="200"/>
      <w:textAlignment w:val="baseline"/>
      <w:outlineLvl w:val="1"/>
    </w:pPr>
    <w:rPr>
      <w:rFonts w:ascii="Arial" w:eastAsia="MS Gothic" w:hAnsi="Arial" w:cs="Times New Roman"/>
      <w:b/>
      <w:sz w:val="28"/>
      <w:szCs w:val="26"/>
    </w:rPr>
  </w:style>
  <w:style w:type="paragraph" w:customStyle="1" w:styleId="Heading31">
    <w:name w:val="Heading 31"/>
    <w:basedOn w:val="Normal"/>
    <w:next w:val="Normal"/>
    <w:unhideWhenUsed/>
    <w:qFormat/>
    <w:rsid w:val="00180554"/>
    <w:pPr>
      <w:keepNext/>
      <w:keepLines/>
      <w:overflowPunct w:val="0"/>
      <w:autoSpaceDE w:val="0"/>
      <w:autoSpaceDN w:val="0"/>
      <w:adjustRightInd w:val="0"/>
      <w:spacing w:before="40" w:after="120"/>
      <w:textAlignment w:val="baseline"/>
      <w:outlineLvl w:val="2"/>
    </w:pPr>
    <w:rPr>
      <w:rFonts w:ascii="Arial" w:eastAsia="MS Gothic" w:hAnsi="Arial" w:cs="Times New Roman"/>
      <w:b/>
    </w:rPr>
  </w:style>
  <w:style w:type="paragraph" w:customStyle="1" w:styleId="Heading41">
    <w:name w:val="Heading 41"/>
    <w:basedOn w:val="Normal"/>
    <w:next w:val="Normal"/>
    <w:unhideWhenUsed/>
    <w:qFormat/>
    <w:rsid w:val="00180554"/>
    <w:pPr>
      <w:keepNext/>
      <w:keepLines/>
      <w:overflowPunct w:val="0"/>
      <w:autoSpaceDE w:val="0"/>
      <w:autoSpaceDN w:val="0"/>
      <w:adjustRightInd w:val="0"/>
      <w:spacing w:before="40"/>
      <w:textAlignment w:val="baseline"/>
      <w:outlineLvl w:val="3"/>
    </w:pPr>
    <w:rPr>
      <w:rFonts w:ascii="Cambria" w:eastAsia="MS Gothic" w:hAnsi="Cambria" w:cs="Times New Roman"/>
      <w:i/>
      <w:iCs/>
      <w:color w:val="365F91"/>
      <w:szCs w:val="20"/>
    </w:rPr>
  </w:style>
  <w:style w:type="paragraph" w:styleId="BalloonText">
    <w:name w:val="Balloon Text"/>
    <w:basedOn w:val="Normal"/>
    <w:link w:val="BalloonTextChar"/>
    <w:uiPriority w:val="99"/>
    <w:semiHidden/>
    <w:unhideWhenUsed/>
    <w:rsid w:val="00180554"/>
    <w:pPr>
      <w:overflowPunct w:val="0"/>
      <w:autoSpaceDE w:val="0"/>
      <w:autoSpaceDN w:val="0"/>
      <w:adjustRightInd w:val="0"/>
      <w:spacing w:after="200"/>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80554"/>
    <w:rPr>
      <w:rFonts w:ascii="Tahoma" w:eastAsia="Times New Roman" w:hAnsi="Tahoma" w:cs="Tahoma"/>
      <w:sz w:val="16"/>
      <w:szCs w:val="16"/>
    </w:rPr>
  </w:style>
  <w:style w:type="character" w:styleId="CommentReference">
    <w:name w:val="annotation reference"/>
    <w:basedOn w:val="DefaultParagraphFont"/>
    <w:uiPriority w:val="99"/>
    <w:unhideWhenUsed/>
    <w:rsid w:val="00180554"/>
    <w:rPr>
      <w:sz w:val="16"/>
      <w:szCs w:val="16"/>
    </w:rPr>
  </w:style>
  <w:style w:type="paragraph" w:styleId="CommentText">
    <w:name w:val="annotation text"/>
    <w:basedOn w:val="Normal"/>
    <w:link w:val="CommentTextChar"/>
    <w:uiPriority w:val="99"/>
    <w:unhideWhenUsed/>
    <w:rsid w:val="00180554"/>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8055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0554"/>
    <w:rPr>
      <w:b/>
      <w:bCs/>
    </w:rPr>
  </w:style>
  <w:style w:type="character" w:customStyle="1" w:styleId="CommentSubjectChar">
    <w:name w:val="Comment Subject Char"/>
    <w:basedOn w:val="CommentTextChar"/>
    <w:link w:val="CommentSubject"/>
    <w:uiPriority w:val="99"/>
    <w:semiHidden/>
    <w:rsid w:val="00180554"/>
    <w:rPr>
      <w:rFonts w:ascii="Arial" w:eastAsia="Times New Roman" w:hAnsi="Arial" w:cs="Times New Roman"/>
      <w:b/>
      <w:bCs/>
      <w:sz w:val="20"/>
      <w:szCs w:val="20"/>
    </w:rPr>
  </w:style>
  <w:style w:type="paragraph" w:customStyle="1" w:styleId="NoSpacing1">
    <w:name w:val="No Spacing1"/>
    <w:next w:val="NoSpacing"/>
    <w:uiPriority w:val="1"/>
    <w:qFormat/>
    <w:rsid w:val="00180554"/>
    <w:rPr>
      <w:rFonts w:eastAsia="MS Mincho"/>
      <w:sz w:val="22"/>
      <w:szCs w:val="22"/>
      <w:lang w:val="en-US"/>
    </w:rPr>
  </w:style>
  <w:style w:type="character" w:customStyle="1" w:styleId="Hyperlink1">
    <w:name w:val="Hyperlink1"/>
    <w:basedOn w:val="DefaultParagraphFont"/>
    <w:uiPriority w:val="99"/>
    <w:unhideWhenUsed/>
    <w:rsid w:val="00180554"/>
    <w:rPr>
      <w:color w:val="0000FF"/>
      <w:u w:val="single"/>
    </w:rPr>
  </w:style>
  <w:style w:type="table" w:customStyle="1" w:styleId="TableGrid1">
    <w:name w:val="Table Grid1"/>
    <w:basedOn w:val="TableNormal"/>
    <w:next w:val="TableGrid"/>
    <w:rsid w:val="00180554"/>
    <w:rPr>
      <w:rFonts w:ascii="Times New Roman" w:eastAsia="Times New Roman" w:hAnsi="Times New Roman" w:cs="Times New Roman"/>
      <w:sz w:val="20"/>
      <w:szCs w:val="20"/>
    </w:rPr>
    <w:tblPr/>
  </w:style>
  <w:style w:type="paragraph" w:customStyle="1" w:styleId="SEPABodyText">
    <w:name w:val="SEPA Body Text"/>
    <w:autoRedefine/>
    <w:qFormat/>
    <w:rsid w:val="00AB6388"/>
    <w:pPr>
      <w:spacing w:after="240" w:line="360" w:lineRule="auto"/>
    </w:pPr>
    <w:rPr>
      <w:rFonts w:ascii="Arial" w:eastAsia="Times New Roman" w:hAnsi="Arial" w:cs="Arial"/>
      <w:bCs/>
      <w:lang w:val="en-US"/>
    </w:rPr>
  </w:style>
  <w:style w:type="paragraph" w:customStyle="1" w:styleId="SEPASectionHeading">
    <w:name w:val="SEPA Section Heading"/>
    <w:autoRedefine/>
    <w:qFormat/>
    <w:rsid w:val="00180554"/>
    <w:rPr>
      <w:rFonts w:ascii="Arial" w:eastAsia="Times New Roman" w:hAnsi="Arial" w:cs="Arial"/>
      <w:b/>
      <w:bCs/>
      <w:noProof/>
      <w:color w:val="00526F"/>
      <w:sz w:val="32"/>
      <w:szCs w:val="32"/>
      <w:lang w:val="en-US"/>
    </w:rPr>
  </w:style>
  <w:style w:type="character" w:styleId="FootnoteReference">
    <w:name w:val="footnote reference"/>
    <w:uiPriority w:val="99"/>
    <w:semiHidden/>
    <w:rsid w:val="00180554"/>
    <w:rPr>
      <w:vertAlign w:val="superscript"/>
    </w:rPr>
  </w:style>
  <w:style w:type="character" w:customStyle="1" w:styleId="eop">
    <w:name w:val="eop"/>
    <w:basedOn w:val="DefaultParagraphFont"/>
    <w:rsid w:val="00180554"/>
  </w:style>
  <w:style w:type="paragraph" w:customStyle="1" w:styleId="xmsonormal">
    <w:name w:val="x_msonormal"/>
    <w:basedOn w:val="Normal"/>
    <w:rsid w:val="00180554"/>
    <w:pPr>
      <w:spacing w:before="100" w:beforeAutospacing="1" w:after="100" w:afterAutospacing="1" w:line="240" w:lineRule="auto"/>
    </w:pPr>
    <w:rPr>
      <w:rFonts w:ascii="Calibri" w:eastAsiaTheme="minorHAnsi" w:hAnsi="Calibri" w:cs="Calibri"/>
      <w:sz w:val="22"/>
      <w:szCs w:val="22"/>
      <w:lang w:eastAsia="en-GB"/>
    </w:rPr>
  </w:style>
  <w:style w:type="paragraph" w:styleId="EndnoteText">
    <w:name w:val="endnote text"/>
    <w:basedOn w:val="Normal"/>
    <w:link w:val="EndnoteTextChar"/>
    <w:uiPriority w:val="99"/>
    <w:semiHidden/>
    <w:unhideWhenUsed/>
    <w:rsid w:val="00180554"/>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180554"/>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180554"/>
    <w:rPr>
      <w:vertAlign w:val="superscript"/>
    </w:rPr>
  </w:style>
  <w:style w:type="paragraph" w:customStyle="1" w:styleId="NormalWeb1">
    <w:name w:val="Normal (Web)1"/>
    <w:basedOn w:val="Normal"/>
    <w:next w:val="NormalWeb"/>
    <w:uiPriority w:val="99"/>
    <w:semiHidden/>
    <w:unhideWhenUsed/>
    <w:rsid w:val="00180554"/>
    <w:pPr>
      <w:spacing w:before="100" w:beforeAutospacing="1" w:after="100" w:afterAutospacing="1" w:line="240" w:lineRule="auto"/>
    </w:pPr>
    <w:rPr>
      <w:rFonts w:ascii="Times New Roman" w:eastAsiaTheme="minorHAnsi" w:hAnsi="Times New Roman" w:cs="Times New Roman"/>
      <w:lang w:eastAsia="en-GB"/>
    </w:rPr>
  </w:style>
  <w:style w:type="character" w:customStyle="1" w:styleId="Heading1Char1">
    <w:name w:val="Heading 1 Char1"/>
    <w:basedOn w:val="DefaultParagraphFont"/>
    <w:uiPriority w:val="9"/>
    <w:rsid w:val="00180554"/>
    <w:rPr>
      <w:rFonts w:asciiTheme="majorHAnsi" w:eastAsiaTheme="majorEastAsia" w:hAnsiTheme="majorHAnsi" w:cstheme="majorBidi"/>
      <w:color w:val="2E935B" w:themeColor="accent1" w:themeShade="BF"/>
      <w:sz w:val="32"/>
      <w:szCs w:val="32"/>
      <w:lang w:val="en-US"/>
    </w:rPr>
  </w:style>
  <w:style w:type="character" w:customStyle="1" w:styleId="Heading2Char1">
    <w:name w:val="Heading 2 Char1"/>
    <w:basedOn w:val="DefaultParagraphFont"/>
    <w:uiPriority w:val="9"/>
    <w:semiHidden/>
    <w:rsid w:val="00180554"/>
    <w:rPr>
      <w:rFonts w:asciiTheme="majorHAnsi" w:eastAsiaTheme="majorEastAsia" w:hAnsiTheme="majorHAnsi" w:cstheme="majorBidi"/>
      <w:color w:val="2E935B" w:themeColor="accent1" w:themeShade="BF"/>
      <w:sz w:val="26"/>
      <w:szCs w:val="26"/>
      <w:lang w:val="en-US"/>
    </w:rPr>
  </w:style>
  <w:style w:type="character" w:customStyle="1" w:styleId="Heading3Char1">
    <w:name w:val="Heading 3 Char1"/>
    <w:basedOn w:val="DefaultParagraphFont"/>
    <w:uiPriority w:val="9"/>
    <w:semiHidden/>
    <w:rsid w:val="00180554"/>
    <w:rPr>
      <w:rFonts w:asciiTheme="majorHAnsi" w:eastAsiaTheme="majorEastAsia" w:hAnsiTheme="majorHAnsi" w:cstheme="majorBidi"/>
      <w:color w:val="1E613C" w:themeColor="accent1" w:themeShade="7F"/>
      <w:sz w:val="24"/>
      <w:szCs w:val="24"/>
      <w:lang w:val="en-US"/>
    </w:rPr>
  </w:style>
  <w:style w:type="character" w:customStyle="1" w:styleId="Heading4Char1">
    <w:name w:val="Heading 4 Char1"/>
    <w:basedOn w:val="DefaultParagraphFont"/>
    <w:uiPriority w:val="9"/>
    <w:semiHidden/>
    <w:rsid w:val="00180554"/>
    <w:rPr>
      <w:rFonts w:asciiTheme="majorHAnsi" w:eastAsiaTheme="majorEastAsia" w:hAnsiTheme="majorHAnsi" w:cstheme="majorBidi"/>
      <w:i/>
      <w:iCs/>
      <w:color w:val="2E935B" w:themeColor="accent1" w:themeShade="BF"/>
      <w:szCs w:val="24"/>
      <w:lang w:val="en-US"/>
    </w:rPr>
  </w:style>
  <w:style w:type="paragraph" w:styleId="NormalWeb">
    <w:name w:val="Normal (Web)"/>
    <w:basedOn w:val="Normal"/>
    <w:uiPriority w:val="99"/>
    <w:unhideWhenUsed/>
    <w:rsid w:val="00180554"/>
    <w:pPr>
      <w:spacing w:line="240" w:lineRule="auto"/>
    </w:pPr>
    <w:rPr>
      <w:rFonts w:ascii="Times New Roman" w:eastAsiaTheme="minorHAnsi" w:hAnsi="Times New Roman" w:cs="Times New Roman"/>
      <w:lang w:val="en-US"/>
    </w:rPr>
  </w:style>
  <w:style w:type="character" w:customStyle="1" w:styleId="hardreadability">
    <w:name w:val="hardreadability"/>
    <w:basedOn w:val="DefaultParagraphFont"/>
    <w:rsid w:val="00180554"/>
  </w:style>
  <w:style w:type="character" w:customStyle="1" w:styleId="passivevoice">
    <w:name w:val="passivevoice"/>
    <w:basedOn w:val="DefaultParagraphFont"/>
    <w:rsid w:val="00180554"/>
  </w:style>
  <w:style w:type="character" w:styleId="Emphasis">
    <w:name w:val="Emphasis"/>
    <w:basedOn w:val="DefaultParagraphFont"/>
    <w:uiPriority w:val="20"/>
    <w:qFormat/>
    <w:rsid w:val="00180554"/>
    <w:rPr>
      <w:i/>
      <w:iCs/>
    </w:rPr>
  </w:style>
  <w:style w:type="character" w:styleId="FollowedHyperlink">
    <w:name w:val="FollowedHyperlink"/>
    <w:basedOn w:val="DefaultParagraphFont"/>
    <w:uiPriority w:val="99"/>
    <w:semiHidden/>
    <w:unhideWhenUsed/>
    <w:rsid w:val="00180554"/>
    <w:rPr>
      <w:color w:val="954F72" w:themeColor="followedHyperlink"/>
      <w:u w:val="single"/>
    </w:rPr>
  </w:style>
  <w:style w:type="character" w:styleId="Mention">
    <w:name w:val="Mention"/>
    <w:basedOn w:val="DefaultParagraphFont"/>
    <w:uiPriority w:val="99"/>
    <w:unhideWhenUsed/>
    <w:rsid w:val="00180554"/>
    <w:rPr>
      <w:color w:val="2B579A"/>
      <w:shd w:val="clear" w:color="auto" w:fill="E1DFDD"/>
    </w:rPr>
  </w:style>
  <w:style w:type="character" w:customStyle="1" w:styleId="ui-provider">
    <w:name w:val="ui-provider"/>
    <w:basedOn w:val="DefaultParagraphFont"/>
    <w:rsid w:val="00180554"/>
  </w:style>
  <w:style w:type="table" w:styleId="PlainTable4">
    <w:name w:val="Plain Table 4"/>
    <w:basedOn w:val="TableNormal"/>
    <w:uiPriority w:val="44"/>
    <w:rsid w:val="00180554"/>
    <w:rPr>
      <w:sz w:val="22"/>
      <w:szCs w:val="22"/>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f01">
    <w:name w:val="cf01"/>
    <w:basedOn w:val="DefaultParagraphFont"/>
    <w:rsid w:val="00180554"/>
    <w:rPr>
      <w:rFonts w:ascii="Segoe UI" w:hAnsi="Segoe UI" w:cs="Segoe UI" w:hint="default"/>
      <w:color w:val="595959"/>
      <w:shd w:val="clear" w:color="auto" w:fill="FFFFFF"/>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basedOn w:val="DefaultParagraphFont"/>
    <w:link w:val="ListParagraph"/>
    <w:uiPriority w:val="34"/>
    <w:locked/>
    <w:rsid w:val="009A412D"/>
    <w:rPr>
      <w:sz w:val="22"/>
      <w:lang w:val="en-US"/>
    </w:rPr>
  </w:style>
  <w:style w:type="character" w:customStyle="1" w:styleId="wacimagecontainer">
    <w:name w:val="wacimagecontainer"/>
    <w:basedOn w:val="DefaultParagraphFont"/>
    <w:rsid w:val="005C1928"/>
  </w:style>
  <w:style w:type="paragraph" w:styleId="TOCHeading">
    <w:name w:val="TOC Heading"/>
    <w:basedOn w:val="Heading1"/>
    <w:next w:val="Normal"/>
    <w:uiPriority w:val="39"/>
    <w:unhideWhenUsed/>
    <w:qFormat/>
    <w:rsid w:val="00FA6A88"/>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FA6A88"/>
    <w:pPr>
      <w:spacing w:after="100"/>
    </w:pPr>
  </w:style>
  <w:style w:type="paragraph" w:styleId="TOC2">
    <w:name w:val="toc 2"/>
    <w:basedOn w:val="Normal"/>
    <w:next w:val="Normal"/>
    <w:autoRedefine/>
    <w:uiPriority w:val="39"/>
    <w:unhideWhenUsed/>
    <w:rsid w:val="00FA6A88"/>
    <w:pPr>
      <w:spacing w:after="100"/>
      <w:ind w:left="240"/>
    </w:pPr>
  </w:style>
  <w:style w:type="table" w:customStyle="1" w:styleId="TableGrid2">
    <w:name w:val="Table Grid2"/>
    <w:basedOn w:val="TableNormal"/>
    <w:next w:val="TableGrid"/>
    <w:uiPriority w:val="39"/>
    <w:rsid w:val="004329A1"/>
    <w:tblPr/>
  </w:style>
  <w:style w:type="paragraph" w:styleId="TOC3">
    <w:name w:val="toc 3"/>
    <w:basedOn w:val="Normal"/>
    <w:next w:val="Normal"/>
    <w:autoRedefine/>
    <w:uiPriority w:val="39"/>
    <w:unhideWhenUsed/>
    <w:rsid w:val="00F559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6195">
      <w:bodyDiv w:val="1"/>
      <w:marLeft w:val="0"/>
      <w:marRight w:val="0"/>
      <w:marTop w:val="0"/>
      <w:marBottom w:val="0"/>
      <w:divBdr>
        <w:top w:val="none" w:sz="0" w:space="0" w:color="auto"/>
        <w:left w:val="none" w:sz="0" w:space="0" w:color="auto"/>
        <w:bottom w:val="none" w:sz="0" w:space="0" w:color="auto"/>
        <w:right w:val="none" w:sz="0" w:space="0" w:color="auto"/>
      </w:divBdr>
    </w:div>
    <w:div w:id="71782290">
      <w:bodyDiv w:val="1"/>
      <w:marLeft w:val="0"/>
      <w:marRight w:val="0"/>
      <w:marTop w:val="0"/>
      <w:marBottom w:val="0"/>
      <w:divBdr>
        <w:top w:val="none" w:sz="0" w:space="0" w:color="auto"/>
        <w:left w:val="none" w:sz="0" w:space="0" w:color="auto"/>
        <w:bottom w:val="none" w:sz="0" w:space="0" w:color="auto"/>
        <w:right w:val="none" w:sz="0" w:space="0" w:color="auto"/>
      </w:divBdr>
    </w:div>
    <w:div w:id="89010516">
      <w:bodyDiv w:val="1"/>
      <w:marLeft w:val="0"/>
      <w:marRight w:val="0"/>
      <w:marTop w:val="0"/>
      <w:marBottom w:val="0"/>
      <w:divBdr>
        <w:top w:val="none" w:sz="0" w:space="0" w:color="auto"/>
        <w:left w:val="none" w:sz="0" w:space="0" w:color="auto"/>
        <w:bottom w:val="none" w:sz="0" w:space="0" w:color="auto"/>
        <w:right w:val="none" w:sz="0" w:space="0" w:color="auto"/>
      </w:divBdr>
    </w:div>
    <w:div w:id="108546114">
      <w:bodyDiv w:val="1"/>
      <w:marLeft w:val="0"/>
      <w:marRight w:val="0"/>
      <w:marTop w:val="0"/>
      <w:marBottom w:val="0"/>
      <w:divBdr>
        <w:top w:val="none" w:sz="0" w:space="0" w:color="auto"/>
        <w:left w:val="none" w:sz="0" w:space="0" w:color="auto"/>
        <w:bottom w:val="none" w:sz="0" w:space="0" w:color="auto"/>
        <w:right w:val="none" w:sz="0" w:space="0" w:color="auto"/>
      </w:divBdr>
    </w:div>
    <w:div w:id="118112428">
      <w:bodyDiv w:val="1"/>
      <w:marLeft w:val="0"/>
      <w:marRight w:val="0"/>
      <w:marTop w:val="0"/>
      <w:marBottom w:val="0"/>
      <w:divBdr>
        <w:top w:val="none" w:sz="0" w:space="0" w:color="auto"/>
        <w:left w:val="none" w:sz="0" w:space="0" w:color="auto"/>
        <w:bottom w:val="none" w:sz="0" w:space="0" w:color="auto"/>
        <w:right w:val="none" w:sz="0" w:space="0" w:color="auto"/>
      </w:divBdr>
    </w:div>
    <w:div w:id="125390821">
      <w:bodyDiv w:val="1"/>
      <w:marLeft w:val="0"/>
      <w:marRight w:val="0"/>
      <w:marTop w:val="0"/>
      <w:marBottom w:val="0"/>
      <w:divBdr>
        <w:top w:val="none" w:sz="0" w:space="0" w:color="auto"/>
        <w:left w:val="none" w:sz="0" w:space="0" w:color="auto"/>
        <w:bottom w:val="none" w:sz="0" w:space="0" w:color="auto"/>
        <w:right w:val="none" w:sz="0" w:space="0" w:color="auto"/>
      </w:divBdr>
    </w:div>
    <w:div w:id="129828312">
      <w:bodyDiv w:val="1"/>
      <w:marLeft w:val="0"/>
      <w:marRight w:val="0"/>
      <w:marTop w:val="0"/>
      <w:marBottom w:val="0"/>
      <w:divBdr>
        <w:top w:val="none" w:sz="0" w:space="0" w:color="auto"/>
        <w:left w:val="none" w:sz="0" w:space="0" w:color="auto"/>
        <w:bottom w:val="none" w:sz="0" w:space="0" w:color="auto"/>
        <w:right w:val="none" w:sz="0" w:space="0" w:color="auto"/>
      </w:divBdr>
    </w:div>
    <w:div w:id="161623310">
      <w:bodyDiv w:val="1"/>
      <w:marLeft w:val="0"/>
      <w:marRight w:val="0"/>
      <w:marTop w:val="0"/>
      <w:marBottom w:val="0"/>
      <w:divBdr>
        <w:top w:val="none" w:sz="0" w:space="0" w:color="auto"/>
        <w:left w:val="none" w:sz="0" w:space="0" w:color="auto"/>
        <w:bottom w:val="none" w:sz="0" w:space="0" w:color="auto"/>
        <w:right w:val="none" w:sz="0" w:space="0" w:color="auto"/>
      </w:divBdr>
    </w:div>
    <w:div w:id="179509324">
      <w:bodyDiv w:val="1"/>
      <w:marLeft w:val="0"/>
      <w:marRight w:val="0"/>
      <w:marTop w:val="0"/>
      <w:marBottom w:val="0"/>
      <w:divBdr>
        <w:top w:val="none" w:sz="0" w:space="0" w:color="auto"/>
        <w:left w:val="none" w:sz="0" w:space="0" w:color="auto"/>
        <w:bottom w:val="none" w:sz="0" w:space="0" w:color="auto"/>
        <w:right w:val="none" w:sz="0" w:space="0" w:color="auto"/>
      </w:divBdr>
    </w:div>
    <w:div w:id="183790449">
      <w:bodyDiv w:val="1"/>
      <w:marLeft w:val="0"/>
      <w:marRight w:val="0"/>
      <w:marTop w:val="0"/>
      <w:marBottom w:val="0"/>
      <w:divBdr>
        <w:top w:val="none" w:sz="0" w:space="0" w:color="auto"/>
        <w:left w:val="none" w:sz="0" w:space="0" w:color="auto"/>
        <w:bottom w:val="none" w:sz="0" w:space="0" w:color="auto"/>
        <w:right w:val="none" w:sz="0" w:space="0" w:color="auto"/>
      </w:divBdr>
    </w:div>
    <w:div w:id="190848545">
      <w:bodyDiv w:val="1"/>
      <w:marLeft w:val="0"/>
      <w:marRight w:val="0"/>
      <w:marTop w:val="0"/>
      <w:marBottom w:val="0"/>
      <w:divBdr>
        <w:top w:val="none" w:sz="0" w:space="0" w:color="auto"/>
        <w:left w:val="none" w:sz="0" w:space="0" w:color="auto"/>
        <w:bottom w:val="none" w:sz="0" w:space="0" w:color="auto"/>
        <w:right w:val="none" w:sz="0" w:space="0" w:color="auto"/>
      </w:divBdr>
    </w:div>
    <w:div w:id="197356999">
      <w:bodyDiv w:val="1"/>
      <w:marLeft w:val="0"/>
      <w:marRight w:val="0"/>
      <w:marTop w:val="0"/>
      <w:marBottom w:val="0"/>
      <w:divBdr>
        <w:top w:val="none" w:sz="0" w:space="0" w:color="auto"/>
        <w:left w:val="none" w:sz="0" w:space="0" w:color="auto"/>
        <w:bottom w:val="none" w:sz="0" w:space="0" w:color="auto"/>
        <w:right w:val="none" w:sz="0" w:space="0" w:color="auto"/>
      </w:divBdr>
      <w:divsChild>
        <w:div w:id="801843282">
          <w:marLeft w:val="0"/>
          <w:marRight w:val="0"/>
          <w:marTop w:val="0"/>
          <w:marBottom w:val="0"/>
          <w:divBdr>
            <w:top w:val="none" w:sz="0" w:space="0" w:color="auto"/>
            <w:left w:val="none" w:sz="0" w:space="0" w:color="auto"/>
            <w:bottom w:val="none" w:sz="0" w:space="0" w:color="auto"/>
            <w:right w:val="none" w:sz="0" w:space="0" w:color="auto"/>
          </w:divBdr>
        </w:div>
        <w:div w:id="853422345">
          <w:marLeft w:val="0"/>
          <w:marRight w:val="0"/>
          <w:marTop w:val="0"/>
          <w:marBottom w:val="0"/>
          <w:divBdr>
            <w:top w:val="none" w:sz="0" w:space="0" w:color="auto"/>
            <w:left w:val="none" w:sz="0" w:space="0" w:color="auto"/>
            <w:bottom w:val="none" w:sz="0" w:space="0" w:color="auto"/>
            <w:right w:val="none" w:sz="0" w:space="0" w:color="auto"/>
          </w:divBdr>
        </w:div>
        <w:div w:id="1470054546">
          <w:marLeft w:val="0"/>
          <w:marRight w:val="0"/>
          <w:marTop w:val="0"/>
          <w:marBottom w:val="0"/>
          <w:divBdr>
            <w:top w:val="none" w:sz="0" w:space="0" w:color="auto"/>
            <w:left w:val="none" w:sz="0" w:space="0" w:color="auto"/>
            <w:bottom w:val="none" w:sz="0" w:space="0" w:color="auto"/>
            <w:right w:val="none" w:sz="0" w:space="0" w:color="auto"/>
          </w:divBdr>
        </w:div>
        <w:div w:id="1745832915">
          <w:marLeft w:val="0"/>
          <w:marRight w:val="0"/>
          <w:marTop w:val="0"/>
          <w:marBottom w:val="0"/>
          <w:divBdr>
            <w:top w:val="none" w:sz="0" w:space="0" w:color="auto"/>
            <w:left w:val="none" w:sz="0" w:space="0" w:color="auto"/>
            <w:bottom w:val="none" w:sz="0" w:space="0" w:color="auto"/>
            <w:right w:val="none" w:sz="0" w:space="0" w:color="auto"/>
          </w:divBdr>
        </w:div>
      </w:divsChild>
    </w:div>
    <w:div w:id="213662481">
      <w:bodyDiv w:val="1"/>
      <w:marLeft w:val="0"/>
      <w:marRight w:val="0"/>
      <w:marTop w:val="0"/>
      <w:marBottom w:val="0"/>
      <w:divBdr>
        <w:top w:val="none" w:sz="0" w:space="0" w:color="auto"/>
        <w:left w:val="none" w:sz="0" w:space="0" w:color="auto"/>
        <w:bottom w:val="none" w:sz="0" w:space="0" w:color="auto"/>
        <w:right w:val="none" w:sz="0" w:space="0" w:color="auto"/>
      </w:divBdr>
    </w:div>
    <w:div w:id="218445543">
      <w:bodyDiv w:val="1"/>
      <w:marLeft w:val="0"/>
      <w:marRight w:val="0"/>
      <w:marTop w:val="0"/>
      <w:marBottom w:val="0"/>
      <w:divBdr>
        <w:top w:val="none" w:sz="0" w:space="0" w:color="auto"/>
        <w:left w:val="none" w:sz="0" w:space="0" w:color="auto"/>
        <w:bottom w:val="none" w:sz="0" w:space="0" w:color="auto"/>
        <w:right w:val="none" w:sz="0" w:space="0" w:color="auto"/>
      </w:divBdr>
    </w:div>
    <w:div w:id="234557266">
      <w:bodyDiv w:val="1"/>
      <w:marLeft w:val="0"/>
      <w:marRight w:val="0"/>
      <w:marTop w:val="0"/>
      <w:marBottom w:val="0"/>
      <w:divBdr>
        <w:top w:val="none" w:sz="0" w:space="0" w:color="auto"/>
        <w:left w:val="none" w:sz="0" w:space="0" w:color="auto"/>
        <w:bottom w:val="none" w:sz="0" w:space="0" w:color="auto"/>
        <w:right w:val="none" w:sz="0" w:space="0" w:color="auto"/>
      </w:divBdr>
      <w:divsChild>
        <w:div w:id="45571645">
          <w:marLeft w:val="0"/>
          <w:marRight w:val="0"/>
          <w:marTop w:val="0"/>
          <w:marBottom w:val="240"/>
          <w:divBdr>
            <w:top w:val="none" w:sz="0" w:space="0" w:color="auto"/>
            <w:left w:val="none" w:sz="0" w:space="0" w:color="auto"/>
            <w:bottom w:val="none" w:sz="0" w:space="0" w:color="auto"/>
            <w:right w:val="none" w:sz="0" w:space="0" w:color="auto"/>
          </w:divBdr>
        </w:div>
      </w:divsChild>
    </w:div>
    <w:div w:id="271403045">
      <w:bodyDiv w:val="1"/>
      <w:marLeft w:val="0"/>
      <w:marRight w:val="0"/>
      <w:marTop w:val="0"/>
      <w:marBottom w:val="0"/>
      <w:divBdr>
        <w:top w:val="none" w:sz="0" w:space="0" w:color="auto"/>
        <w:left w:val="none" w:sz="0" w:space="0" w:color="auto"/>
        <w:bottom w:val="none" w:sz="0" w:space="0" w:color="auto"/>
        <w:right w:val="none" w:sz="0" w:space="0" w:color="auto"/>
      </w:divBdr>
    </w:div>
    <w:div w:id="294990481">
      <w:bodyDiv w:val="1"/>
      <w:marLeft w:val="0"/>
      <w:marRight w:val="0"/>
      <w:marTop w:val="0"/>
      <w:marBottom w:val="0"/>
      <w:divBdr>
        <w:top w:val="none" w:sz="0" w:space="0" w:color="auto"/>
        <w:left w:val="none" w:sz="0" w:space="0" w:color="auto"/>
        <w:bottom w:val="none" w:sz="0" w:space="0" w:color="auto"/>
        <w:right w:val="none" w:sz="0" w:space="0" w:color="auto"/>
      </w:divBdr>
    </w:div>
    <w:div w:id="359360076">
      <w:bodyDiv w:val="1"/>
      <w:marLeft w:val="0"/>
      <w:marRight w:val="0"/>
      <w:marTop w:val="0"/>
      <w:marBottom w:val="0"/>
      <w:divBdr>
        <w:top w:val="none" w:sz="0" w:space="0" w:color="auto"/>
        <w:left w:val="none" w:sz="0" w:space="0" w:color="auto"/>
        <w:bottom w:val="none" w:sz="0" w:space="0" w:color="auto"/>
        <w:right w:val="none" w:sz="0" w:space="0" w:color="auto"/>
      </w:divBdr>
    </w:div>
    <w:div w:id="361444796">
      <w:bodyDiv w:val="1"/>
      <w:marLeft w:val="0"/>
      <w:marRight w:val="0"/>
      <w:marTop w:val="0"/>
      <w:marBottom w:val="0"/>
      <w:divBdr>
        <w:top w:val="none" w:sz="0" w:space="0" w:color="auto"/>
        <w:left w:val="none" w:sz="0" w:space="0" w:color="auto"/>
        <w:bottom w:val="none" w:sz="0" w:space="0" w:color="auto"/>
        <w:right w:val="none" w:sz="0" w:space="0" w:color="auto"/>
      </w:divBdr>
    </w:div>
    <w:div w:id="368334201">
      <w:bodyDiv w:val="1"/>
      <w:marLeft w:val="0"/>
      <w:marRight w:val="0"/>
      <w:marTop w:val="0"/>
      <w:marBottom w:val="0"/>
      <w:divBdr>
        <w:top w:val="none" w:sz="0" w:space="0" w:color="auto"/>
        <w:left w:val="none" w:sz="0" w:space="0" w:color="auto"/>
        <w:bottom w:val="none" w:sz="0" w:space="0" w:color="auto"/>
        <w:right w:val="none" w:sz="0" w:space="0" w:color="auto"/>
      </w:divBdr>
      <w:divsChild>
        <w:div w:id="501168590">
          <w:marLeft w:val="0"/>
          <w:marRight w:val="0"/>
          <w:marTop w:val="0"/>
          <w:marBottom w:val="0"/>
          <w:divBdr>
            <w:top w:val="none" w:sz="0" w:space="0" w:color="auto"/>
            <w:left w:val="none" w:sz="0" w:space="0" w:color="auto"/>
            <w:bottom w:val="none" w:sz="0" w:space="0" w:color="auto"/>
            <w:right w:val="none" w:sz="0" w:space="0" w:color="auto"/>
          </w:divBdr>
        </w:div>
        <w:div w:id="691733417">
          <w:marLeft w:val="0"/>
          <w:marRight w:val="0"/>
          <w:marTop w:val="0"/>
          <w:marBottom w:val="0"/>
          <w:divBdr>
            <w:top w:val="none" w:sz="0" w:space="0" w:color="auto"/>
            <w:left w:val="none" w:sz="0" w:space="0" w:color="auto"/>
            <w:bottom w:val="none" w:sz="0" w:space="0" w:color="auto"/>
            <w:right w:val="none" w:sz="0" w:space="0" w:color="auto"/>
          </w:divBdr>
        </w:div>
        <w:div w:id="923881263">
          <w:marLeft w:val="0"/>
          <w:marRight w:val="0"/>
          <w:marTop w:val="0"/>
          <w:marBottom w:val="0"/>
          <w:divBdr>
            <w:top w:val="none" w:sz="0" w:space="0" w:color="auto"/>
            <w:left w:val="none" w:sz="0" w:space="0" w:color="auto"/>
            <w:bottom w:val="none" w:sz="0" w:space="0" w:color="auto"/>
            <w:right w:val="none" w:sz="0" w:space="0" w:color="auto"/>
          </w:divBdr>
        </w:div>
        <w:div w:id="1167094552">
          <w:marLeft w:val="0"/>
          <w:marRight w:val="0"/>
          <w:marTop w:val="0"/>
          <w:marBottom w:val="0"/>
          <w:divBdr>
            <w:top w:val="none" w:sz="0" w:space="0" w:color="auto"/>
            <w:left w:val="none" w:sz="0" w:space="0" w:color="auto"/>
            <w:bottom w:val="none" w:sz="0" w:space="0" w:color="auto"/>
            <w:right w:val="none" w:sz="0" w:space="0" w:color="auto"/>
          </w:divBdr>
        </w:div>
        <w:div w:id="1501307276">
          <w:marLeft w:val="0"/>
          <w:marRight w:val="0"/>
          <w:marTop w:val="0"/>
          <w:marBottom w:val="0"/>
          <w:divBdr>
            <w:top w:val="none" w:sz="0" w:space="0" w:color="auto"/>
            <w:left w:val="none" w:sz="0" w:space="0" w:color="auto"/>
            <w:bottom w:val="none" w:sz="0" w:space="0" w:color="auto"/>
            <w:right w:val="none" w:sz="0" w:space="0" w:color="auto"/>
          </w:divBdr>
        </w:div>
        <w:div w:id="1670257679">
          <w:marLeft w:val="0"/>
          <w:marRight w:val="0"/>
          <w:marTop w:val="0"/>
          <w:marBottom w:val="0"/>
          <w:divBdr>
            <w:top w:val="none" w:sz="0" w:space="0" w:color="auto"/>
            <w:left w:val="none" w:sz="0" w:space="0" w:color="auto"/>
            <w:bottom w:val="none" w:sz="0" w:space="0" w:color="auto"/>
            <w:right w:val="none" w:sz="0" w:space="0" w:color="auto"/>
          </w:divBdr>
        </w:div>
        <w:div w:id="1844513752">
          <w:marLeft w:val="0"/>
          <w:marRight w:val="0"/>
          <w:marTop w:val="0"/>
          <w:marBottom w:val="0"/>
          <w:divBdr>
            <w:top w:val="none" w:sz="0" w:space="0" w:color="auto"/>
            <w:left w:val="none" w:sz="0" w:space="0" w:color="auto"/>
            <w:bottom w:val="none" w:sz="0" w:space="0" w:color="auto"/>
            <w:right w:val="none" w:sz="0" w:space="0" w:color="auto"/>
          </w:divBdr>
        </w:div>
        <w:div w:id="2008634319">
          <w:marLeft w:val="0"/>
          <w:marRight w:val="0"/>
          <w:marTop w:val="0"/>
          <w:marBottom w:val="0"/>
          <w:divBdr>
            <w:top w:val="none" w:sz="0" w:space="0" w:color="auto"/>
            <w:left w:val="none" w:sz="0" w:space="0" w:color="auto"/>
            <w:bottom w:val="none" w:sz="0" w:space="0" w:color="auto"/>
            <w:right w:val="none" w:sz="0" w:space="0" w:color="auto"/>
          </w:divBdr>
        </w:div>
        <w:div w:id="2034189870">
          <w:marLeft w:val="0"/>
          <w:marRight w:val="0"/>
          <w:marTop w:val="0"/>
          <w:marBottom w:val="0"/>
          <w:divBdr>
            <w:top w:val="none" w:sz="0" w:space="0" w:color="auto"/>
            <w:left w:val="none" w:sz="0" w:space="0" w:color="auto"/>
            <w:bottom w:val="none" w:sz="0" w:space="0" w:color="auto"/>
            <w:right w:val="none" w:sz="0" w:space="0" w:color="auto"/>
          </w:divBdr>
        </w:div>
        <w:div w:id="2070224229">
          <w:marLeft w:val="0"/>
          <w:marRight w:val="0"/>
          <w:marTop w:val="0"/>
          <w:marBottom w:val="0"/>
          <w:divBdr>
            <w:top w:val="none" w:sz="0" w:space="0" w:color="auto"/>
            <w:left w:val="none" w:sz="0" w:space="0" w:color="auto"/>
            <w:bottom w:val="none" w:sz="0" w:space="0" w:color="auto"/>
            <w:right w:val="none" w:sz="0" w:space="0" w:color="auto"/>
          </w:divBdr>
        </w:div>
        <w:div w:id="2089881578">
          <w:marLeft w:val="0"/>
          <w:marRight w:val="0"/>
          <w:marTop w:val="0"/>
          <w:marBottom w:val="0"/>
          <w:divBdr>
            <w:top w:val="none" w:sz="0" w:space="0" w:color="auto"/>
            <w:left w:val="none" w:sz="0" w:space="0" w:color="auto"/>
            <w:bottom w:val="none" w:sz="0" w:space="0" w:color="auto"/>
            <w:right w:val="none" w:sz="0" w:space="0" w:color="auto"/>
          </w:divBdr>
        </w:div>
      </w:divsChild>
    </w:div>
    <w:div w:id="437873145">
      <w:bodyDiv w:val="1"/>
      <w:marLeft w:val="0"/>
      <w:marRight w:val="0"/>
      <w:marTop w:val="0"/>
      <w:marBottom w:val="0"/>
      <w:divBdr>
        <w:top w:val="none" w:sz="0" w:space="0" w:color="auto"/>
        <w:left w:val="none" w:sz="0" w:space="0" w:color="auto"/>
        <w:bottom w:val="none" w:sz="0" w:space="0" w:color="auto"/>
        <w:right w:val="none" w:sz="0" w:space="0" w:color="auto"/>
      </w:divBdr>
    </w:div>
    <w:div w:id="439884029">
      <w:bodyDiv w:val="1"/>
      <w:marLeft w:val="0"/>
      <w:marRight w:val="0"/>
      <w:marTop w:val="0"/>
      <w:marBottom w:val="0"/>
      <w:divBdr>
        <w:top w:val="none" w:sz="0" w:space="0" w:color="auto"/>
        <w:left w:val="none" w:sz="0" w:space="0" w:color="auto"/>
        <w:bottom w:val="none" w:sz="0" w:space="0" w:color="auto"/>
        <w:right w:val="none" w:sz="0" w:space="0" w:color="auto"/>
      </w:divBdr>
    </w:div>
    <w:div w:id="496655076">
      <w:bodyDiv w:val="1"/>
      <w:marLeft w:val="0"/>
      <w:marRight w:val="0"/>
      <w:marTop w:val="0"/>
      <w:marBottom w:val="0"/>
      <w:divBdr>
        <w:top w:val="none" w:sz="0" w:space="0" w:color="auto"/>
        <w:left w:val="none" w:sz="0" w:space="0" w:color="auto"/>
        <w:bottom w:val="none" w:sz="0" w:space="0" w:color="auto"/>
        <w:right w:val="none" w:sz="0" w:space="0" w:color="auto"/>
      </w:divBdr>
    </w:div>
    <w:div w:id="662045528">
      <w:bodyDiv w:val="1"/>
      <w:marLeft w:val="0"/>
      <w:marRight w:val="0"/>
      <w:marTop w:val="0"/>
      <w:marBottom w:val="0"/>
      <w:divBdr>
        <w:top w:val="none" w:sz="0" w:space="0" w:color="auto"/>
        <w:left w:val="none" w:sz="0" w:space="0" w:color="auto"/>
        <w:bottom w:val="none" w:sz="0" w:space="0" w:color="auto"/>
        <w:right w:val="none" w:sz="0" w:space="0" w:color="auto"/>
      </w:divBdr>
    </w:div>
    <w:div w:id="702092792">
      <w:bodyDiv w:val="1"/>
      <w:marLeft w:val="0"/>
      <w:marRight w:val="0"/>
      <w:marTop w:val="0"/>
      <w:marBottom w:val="0"/>
      <w:divBdr>
        <w:top w:val="none" w:sz="0" w:space="0" w:color="auto"/>
        <w:left w:val="none" w:sz="0" w:space="0" w:color="auto"/>
        <w:bottom w:val="none" w:sz="0" w:space="0" w:color="auto"/>
        <w:right w:val="none" w:sz="0" w:space="0" w:color="auto"/>
      </w:divBdr>
    </w:div>
    <w:div w:id="707680971">
      <w:bodyDiv w:val="1"/>
      <w:marLeft w:val="0"/>
      <w:marRight w:val="0"/>
      <w:marTop w:val="0"/>
      <w:marBottom w:val="0"/>
      <w:divBdr>
        <w:top w:val="none" w:sz="0" w:space="0" w:color="auto"/>
        <w:left w:val="none" w:sz="0" w:space="0" w:color="auto"/>
        <w:bottom w:val="none" w:sz="0" w:space="0" w:color="auto"/>
        <w:right w:val="none" w:sz="0" w:space="0" w:color="auto"/>
      </w:divBdr>
    </w:div>
    <w:div w:id="723723771">
      <w:bodyDiv w:val="1"/>
      <w:marLeft w:val="0"/>
      <w:marRight w:val="0"/>
      <w:marTop w:val="0"/>
      <w:marBottom w:val="0"/>
      <w:divBdr>
        <w:top w:val="none" w:sz="0" w:space="0" w:color="auto"/>
        <w:left w:val="none" w:sz="0" w:space="0" w:color="auto"/>
        <w:bottom w:val="none" w:sz="0" w:space="0" w:color="auto"/>
        <w:right w:val="none" w:sz="0" w:space="0" w:color="auto"/>
      </w:divBdr>
    </w:div>
    <w:div w:id="788162490">
      <w:bodyDiv w:val="1"/>
      <w:marLeft w:val="0"/>
      <w:marRight w:val="0"/>
      <w:marTop w:val="0"/>
      <w:marBottom w:val="0"/>
      <w:divBdr>
        <w:top w:val="none" w:sz="0" w:space="0" w:color="auto"/>
        <w:left w:val="none" w:sz="0" w:space="0" w:color="auto"/>
        <w:bottom w:val="none" w:sz="0" w:space="0" w:color="auto"/>
        <w:right w:val="none" w:sz="0" w:space="0" w:color="auto"/>
      </w:divBdr>
    </w:div>
    <w:div w:id="797071059">
      <w:bodyDiv w:val="1"/>
      <w:marLeft w:val="0"/>
      <w:marRight w:val="0"/>
      <w:marTop w:val="0"/>
      <w:marBottom w:val="0"/>
      <w:divBdr>
        <w:top w:val="none" w:sz="0" w:space="0" w:color="auto"/>
        <w:left w:val="none" w:sz="0" w:space="0" w:color="auto"/>
        <w:bottom w:val="none" w:sz="0" w:space="0" w:color="auto"/>
        <w:right w:val="none" w:sz="0" w:space="0" w:color="auto"/>
      </w:divBdr>
    </w:div>
    <w:div w:id="885292700">
      <w:bodyDiv w:val="1"/>
      <w:marLeft w:val="0"/>
      <w:marRight w:val="0"/>
      <w:marTop w:val="0"/>
      <w:marBottom w:val="0"/>
      <w:divBdr>
        <w:top w:val="none" w:sz="0" w:space="0" w:color="auto"/>
        <w:left w:val="none" w:sz="0" w:space="0" w:color="auto"/>
        <w:bottom w:val="none" w:sz="0" w:space="0" w:color="auto"/>
        <w:right w:val="none" w:sz="0" w:space="0" w:color="auto"/>
      </w:divBdr>
    </w:div>
    <w:div w:id="895705193">
      <w:bodyDiv w:val="1"/>
      <w:marLeft w:val="0"/>
      <w:marRight w:val="0"/>
      <w:marTop w:val="0"/>
      <w:marBottom w:val="0"/>
      <w:divBdr>
        <w:top w:val="none" w:sz="0" w:space="0" w:color="auto"/>
        <w:left w:val="none" w:sz="0" w:space="0" w:color="auto"/>
        <w:bottom w:val="none" w:sz="0" w:space="0" w:color="auto"/>
        <w:right w:val="none" w:sz="0" w:space="0" w:color="auto"/>
      </w:divBdr>
      <w:divsChild>
        <w:div w:id="662005032">
          <w:marLeft w:val="0"/>
          <w:marRight w:val="0"/>
          <w:marTop w:val="0"/>
          <w:marBottom w:val="0"/>
          <w:divBdr>
            <w:top w:val="none" w:sz="0" w:space="0" w:color="auto"/>
            <w:left w:val="none" w:sz="0" w:space="0" w:color="auto"/>
            <w:bottom w:val="none" w:sz="0" w:space="0" w:color="auto"/>
            <w:right w:val="none" w:sz="0" w:space="0" w:color="auto"/>
          </w:divBdr>
        </w:div>
        <w:div w:id="813958766">
          <w:marLeft w:val="0"/>
          <w:marRight w:val="0"/>
          <w:marTop w:val="0"/>
          <w:marBottom w:val="0"/>
          <w:divBdr>
            <w:top w:val="none" w:sz="0" w:space="0" w:color="auto"/>
            <w:left w:val="none" w:sz="0" w:space="0" w:color="auto"/>
            <w:bottom w:val="none" w:sz="0" w:space="0" w:color="auto"/>
            <w:right w:val="none" w:sz="0" w:space="0" w:color="auto"/>
          </w:divBdr>
        </w:div>
        <w:div w:id="839269338">
          <w:marLeft w:val="0"/>
          <w:marRight w:val="0"/>
          <w:marTop w:val="0"/>
          <w:marBottom w:val="240"/>
          <w:divBdr>
            <w:top w:val="none" w:sz="0" w:space="0" w:color="auto"/>
            <w:left w:val="none" w:sz="0" w:space="0" w:color="auto"/>
            <w:bottom w:val="none" w:sz="0" w:space="0" w:color="auto"/>
            <w:right w:val="none" w:sz="0" w:space="0" w:color="auto"/>
          </w:divBdr>
        </w:div>
        <w:div w:id="1236164639">
          <w:marLeft w:val="0"/>
          <w:marRight w:val="0"/>
          <w:marTop w:val="0"/>
          <w:marBottom w:val="0"/>
          <w:divBdr>
            <w:top w:val="none" w:sz="0" w:space="0" w:color="auto"/>
            <w:left w:val="none" w:sz="0" w:space="0" w:color="auto"/>
            <w:bottom w:val="none" w:sz="0" w:space="0" w:color="auto"/>
            <w:right w:val="none" w:sz="0" w:space="0" w:color="auto"/>
          </w:divBdr>
        </w:div>
      </w:divsChild>
    </w:div>
    <w:div w:id="918251505">
      <w:bodyDiv w:val="1"/>
      <w:marLeft w:val="0"/>
      <w:marRight w:val="0"/>
      <w:marTop w:val="0"/>
      <w:marBottom w:val="0"/>
      <w:divBdr>
        <w:top w:val="none" w:sz="0" w:space="0" w:color="auto"/>
        <w:left w:val="none" w:sz="0" w:space="0" w:color="auto"/>
        <w:bottom w:val="none" w:sz="0" w:space="0" w:color="auto"/>
        <w:right w:val="none" w:sz="0" w:space="0" w:color="auto"/>
      </w:divBdr>
    </w:div>
    <w:div w:id="935400763">
      <w:bodyDiv w:val="1"/>
      <w:marLeft w:val="0"/>
      <w:marRight w:val="0"/>
      <w:marTop w:val="0"/>
      <w:marBottom w:val="0"/>
      <w:divBdr>
        <w:top w:val="none" w:sz="0" w:space="0" w:color="auto"/>
        <w:left w:val="none" w:sz="0" w:space="0" w:color="auto"/>
        <w:bottom w:val="none" w:sz="0" w:space="0" w:color="auto"/>
        <w:right w:val="none" w:sz="0" w:space="0" w:color="auto"/>
      </w:divBdr>
    </w:div>
    <w:div w:id="950863831">
      <w:bodyDiv w:val="1"/>
      <w:marLeft w:val="0"/>
      <w:marRight w:val="0"/>
      <w:marTop w:val="0"/>
      <w:marBottom w:val="0"/>
      <w:divBdr>
        <w:top w:val="none" w:sz="0" w:space="0" w:color="auto"/>
        <w:left w:val="none" w:sz="0" w:space="0" w:color="auto"/>
        <w:bottom w:val="none" w:sz="0" w:space="0" w:color="auto"/>
        <w:right w:val="none" w:sz="0" w:space="0" w:color="auto"/>
      </w:divBdr>
    </w:div>
    <w:div w:id="961302582">
      <w:bodyDiv w:val="1"/>
      <w:marLeft w:val="0"/>
      <w:marRight w:val="0"/>
      <w:marTop w:val="0"/>
      <w:marBottom w:val="0"/>
      <w:divBdr>
        <w:top w:val="none" w:sz="0" w:space="0" w:color="auto"/>
        <w:left w:val="none" w:sz="0" w:space="0" w:color="auto"/>
        <w:bottom w:val="none" w:sz="0" w:space="0" w:color="auto"/>
        <w:right w:val="none" w:sz="0" w:space="0" w:color="auto"/>
      </w:divBdr>
    </w:div>
    <w:div w:id="976951660">
      <w:bodyDiv w:val="1"/>
      <w:marLeft w:val="0"/>
      <w:marRight w:val="0"/>
      <w:marTop w:val="0"/>
      <w:marBottom w:val="0"/>
      <w:divBdr>
        <w:top w:val="none" w:sz="0" w:space="0" w:color="auto"/>
        <w:left w:val="none" w:sz="0" w:space="0" w:color="auto"/>
        <w:bottom w:val="none" w:sz="0" w:space="0" w:color="auto"/>
        <w:right w:val="none" w:sz="0" w:space="0" w:color="auto"/>
      </w:divBdr>
    </w:div>
    <w:div w:id="1027178427">
      <w:bodyDiv w:val="1"/>
      <w:marLeft w:val="0"/>
      <w:marRight w:val="0"/>
      <w:marTop w:val="0"/>
      <w:marBottom w:val="0"/>
      <w:divBdr>
        <w:top w:val="none" w:sz="0" w:space="0" w:color="auto"/>
        <w:left w:val="none" w:sz="0" w:space="0" w:color="auto"/>
        <w:bottom w:val="none" w:sz="0" w:space="0" w:color="auto"/>
        <w:right w:val="none" w:sz="0" w:space="0" w:color="auto"/>
      </w:divBdr>
      <w:divsChild>
        <w:div w:id="246423926">
          <w:marLeft w:val="0"/>
          <w:marRight w:val="0"/>
          <w:marTop w:val="0"/>
          <w:marBottom w:val="0"/>
          <w:divBdr>
            <w:top w:val="none" w:sz="0" w:space="0" w:color="auto"/>
            <w:left w:val="none" w:sz="0" w:space="0" w:color="auto"/>
            <w:bottom w:val="none" w:sz="0" w:space="0" w:color="auto"/>
            <w:right w:val="none" w:sz="0" w:space="0" w:color="auto"/>
          </w:divBdr>
        </w:div>
        <w:div w:id="493959429">
          <w:marLeft w:val="0"/>
          <w:marRight w:val="0"/>
          <w:marTop w:val="0"/>
          <w:marBottom w:val="0"/>
          <w:divBdr>
            <w:top w:val="none" w:sz="0" w:space="0" w:color="auto"/>
            <w:left w:val="none" w:sz="0" w:space="0" w:color="auto"/>
            <w:bottom w:val="none" w:sz="0" w:space="0" w:color="auto"/>
            <w:right w:val="none" w:sz="0" w:space="0" w:color="auto"/>
          </w:divBdr>
        </w:div>
        <w:div w:id="801313722">
          <w:marLeft w:val="0"/>
          <w:marRight w:val="0"/>
          <w:marTop w:val="0"/>
          <w:marBottom w:val="0"/>
          <w:divBdr>
            <w:top w:val="none" w:sz="0" w:space="0" w:color="auto"/>
            <w:left w:val="none" w:sz="0" w:space="0" w:color="auto"/>
            <w:bottom w:val="none" w:sz="0" w:space="0" w:color="auto"/>
            <w:right w:val="none" w:sz="0" w:space="0" w:color="auto"/>
          </w:divBdr>
        </w:div>
        <w:div w:id="1234585943">
          <w:marLeft w:val="0"/>
          <w:marRight w:val="0"/>
          <w:marTop w:val="0"/>
          <w:marBottom w:val="0"/>
          <w:divBdr>
            <w:top w:val="none" w:sz="0" w:space="0" w:color="auto"/>
            <w:left w:val="none" w:sz="0" w:space="0" w:color="auto"/>
            <w:bottom w:val="none" w:sz="0" w:space="0" w:color="auto"/>
            <w:right w:val="none" w:sz="0" w:space="0" w:color="auto"/>
          </w:divBdr>
        </w:div>
      </w:divsChild>
    </w:div>
    <w:div w:id="1064985186">
      <w:bodyDiv w:val="1"/>
      <w:marLeft w:val="0"/>
      <w:marRight w:val="0"/>
      <w:marTop w:val="0"/>
      <w:marBottom w:val="0"/>
      <w:divBdr>
        <w:top w:val="none" w:sz="0" w:space="0" w:color="auto"/>
        <w:left w:val="none" w:sz="0" w:space="0" w:color="auto"/>
        <w:bottom w:val="none" w:sz="0" w:space="0" w:color="auto"/>
        <w:right w:val="none" w:sz="0" w:space="0" w:color="auto"/>
      </w:divBdr>
      <w:divsChild>
        <w:div w:id="264188744">
          <w:marLeft w:val="0"/>
          <w:marRight w:val="0"/>
          <w:marTop w:val="0"/>
          <w:marBottom w:val="0"/>
          <w:divBdr>
            <w:top w:val="none" w:sz="0" w:space="0" w:color="auto"/>
            <w:left w:val="none" w:sz="0" w:space="0" w:color="auto"/>
            <w:bottom w:val="none" w:sz="0" w:space="0" w:color="auto"/>
            <w:right w:val="none" w:sz="0" w:space="0" w:color="auto"/>
          </w:divBdr>
        </w:div>
        <w:div w:id="760369118">
          <w:marLeft w:val="0"/>
          <w:marRight w:val="0"/>
          <w:marTop w:val="0"/>
          <w:marBottom w:val="0"/>
          <w:divBdr>
            <w:top w:val="none" w:sz="0" w:space="0" w:color="auto"/>
            <w:left w:val="none" w:sz="0" w:space="0" w:color="auto"/>
            <w:bottom w:val="none" w:sz="0" w:space="0" w:color="auto"/>
            <w:right w:val="none" w:sz="0" w:space="0" w:color="auto"/>
          </w:divBdr>
        </w:div>
        <w:div w:id="1945578194">
          <w:marLeft w:val="0"/>
          <w:marRight w:val="0"/>
          <w:marTop w:val="0"/>
          <w:marBottom w:val="0"/>
          <w:divBdr>
            <w:top w:val="none" w:sz="0" w:space="0" w:color="auto"/>
            <w:left w:val="none" w:sz="0" w:space="0" w:color="auto"/>
            <w:bottom w:val="none" w:sz="0" w:space="0" w:color="auto"/>
            <w:right w:val="none" w:sz="0" w:space="0" w:color="auto"/>
          </w:divBdr>
        </w:div>
        <w:div w:id="2084251668">
          <w:marLeft w:val="0"/>
          <w:marRight w:val="0"/>
          <w:marTop w:val="0"/>
          <w:marBottom w:val="240"/>
          <w:divBdr>
            <w:top w:val="none" w:sz="0" w:space="0" w:color="auto"/>
            <w:left w:val="none" w:sz="0" w:space="0" w:color="auto"/>
            <w:bottom w:val="none" w:sz="0" w:space="0" w:color="auto"/>
            <w:right w:val="none" w:sz="0" w:space="0" w:color="auto"/>
          </w:divBdr>
        </w:div>
      </w:divsChild>
    </w:div>
    <w:div w:id="1070345768">
      <w:bodyDiv w:val="1"/>
      <w:marLeft w:val="0"/>
      <w:marRight w:val="0"/>
      <w:marTop w:val="0"/>
      <w:marBottom w:val="0"/>
      <w:divBdr>
        <w:top w:val="none" w:sz="0" w:space="0" w:color="auto"/>
        <w:left w:val="none" w:sz="0" w:space="0" w:color="auto"/>
        <w:bottom w:val="none" w:sz="0" w:space="0" w:color="auto"/>
        <w:right w:val="none" w:sz="0" w:space="0" w:color="auto"/>
      </w:divBdr>
    </w:div>
    <w:div w:id="1110392989">
      <w:bodyDiv w:val="1"/>
      <w:marLeft w:val="0"/>
      <w:marRight w:val="0"/>
      <w:marTop w:val="0"/>
      <w:marBottom w:val="0"/>
      <w:divBdr>
        <w:top w:val="none" w:sz="0" w:space="0" w:color="auto"/>
        <w:left w:val="none" w:sz="0" w:space="0" w:color="auto"/>
        <w:bottom w:val="none" w:sz="0" w:space="0" w:color="auto"/>
        <w:right w:val="none" w:sz="0" w:space="0" w:color="auto"/>
      </w:divBdr>
    </w:div>
    <w:div w:id="1115950399">
      <w:bodyDiv w:val="1"/>
      <w:marLeft w:val="0"/>
      <w:marRight w:val="0"/>
      <w:marTop w:val="0"/>
      <w:marBottom w:val="0"/>
      <w:divBdr>
        <w:top w:val="none" w:sz="0" w:space="0" w:color="auto"/>
        <w:left w:val="none" w:sz="0" w:space="0" w:color="auto"/>
        <w:bottom w:val="none" w:sz="0" w:space="0" w:color="auto"/>
        <w:right w:val="none" w:sz="0" w:space="0" w:color="auto"/>
      </w:divBdr>
    </w:div>
    <w:div w:id="1169100770">
      <w:bodyDiv w:val="1"/>
      <w:marLeft w:val="0"/>
      <w:marRight w:val="0"/>
      <w:marTop w:val="0"/>
      <w:marBottom w:val="0"/>
      <w:divBdr>
        <w:top w:val="none" w:sz="0" w:space="0" w:color="auto"/>
        <w:left w:val="none" w:sz="0" w:space="0" w:color="auto"/>
        <w:bottom w:val="none" w:sz="0" w:space="0" w:color="auto"/>
        <w:right w:val="none" w:sz="0" w:space="0" w:color="auto"/>
      </w:divBdr>
    </w:div>
    <w:div w:id="1172795662">
      <w:bodyDiv w:val="1"/>
      <w:marLeft w:val="0"/>
      <w:marRight w:val="0"/>
      <w:marTop w:val="0"/>
      <w:marBottom w:val="0"/>
      <w:divBdr>
        <w:top w:val="none" w:sz="0" w:space="0" w:color="auto"/>
        <w:left w:val="none" w:sz="0" w:space="0" w:color="auto"/>
        <w:bottom w:val="none" w:sz="0" w:space="0" w:color="auto"/>
        <w:right w:val="none" w:sz="0" w:space="0" w:color="auto"/>
      </w:divBdr>
    </w:div>
    <w:div w:id="1185053129">
      <w:bodyDiv w:val="1"/>
      <w:marLeft w:val="0"/>
      <w:marRight w:val="0"/>
      <w:marTop w:val="0"/>
      <w:marBottom w:val="0"/>
      <w:divBdr>
        <w:top w:val="none" w:sz="0" w:space="0" w:color="auto"/>
        <w:left w:val="none" w:sz="0" w:space="0" w:color="auto"/>
        <w:bottom w:val="none" w:sz="0" w:space="0" w:color="auto"/>
        <w:right w:val="none" w:sz="0" w:space="0" w:color="auto"/>
      </w:divBdr>
    </w:div>
    <w:div w:id="1187865461">
      <w:bodyDiv w:val="1"/>
      <w:marLeft w:val="0"/>
      <w:marRight w:val="0"/>
      <w:marTop w:val="0"/>
      <w:marBottom w:val="0"/>
      <w:divBdr>
        <w:top w:val="none" w:sz="0" w:space="0" w:color="auto"/>
        <w:left w:val="none" w:sz="0" w:space="0" w:color="auto"/>
        <w:bottom w:val="none" w:sz="0" w:space="0" w:color="auto"/>
        <w:right w:val="none" w:sz="0" w:space="0" w:color="auto"/>
      </w:divBdr>
    </w:div>
    <w:div w:id="1195387836">
      <w:bodyDiv w:val="1"/>
      <w:marLeft w:val="0"/>
      <w:marRight w:val="0"/>
      <w:marTop w:val="0"/>
      <w:marBottom w:val="0"/>
      <w:divBdr>
        <w:top w:val="none" w:sz="0" w:space="0" w:color="auto"/>
        <w:left w:val="none" w:sz="0" w:space="0" w:color="auto"/>
        <w:bottom w:val="none" w:sz="0" w:space="0" w:color="auto"/>
        <w:right w:val="none" w:sz="0" w:space="0" w:color="auto"/>
      </w:divBdr>
    </w:div>
    <w:div w:id="1246954502">
      <w:bodyDiv w:val="1"/>
      <w:marLeft w:val="0"/>
      <w:marRight w:val="0"/>
      <w:marTop w:val="0"/>
      <w:marBottom w:val="0"/>
      <w:divBdr>
        <w:top w:val="none" w:sz="0" w:space="0" w:color="auto"/>
        <w:left w:val="none" w:sz="0" w:space="0" w:color="auto"/>
        <w:bottom w:val="none" w:sz="0" w:space="0" w:color="auto"/>
        <w:right w:val="none" w:sz="0" w:space="0" w:color="auto"/>
      </w:divBdr>
    </w:div>
    <w:div w:id="1313873446">
      <w:bodyDiv w:val="1"/>
      <w:marLeft w:val="0"/>
      <w:marRight w:val="0"/>
      <w:marTop w:val="0"/>
      <w:marBottom w:val="0"/>
      <w:divBdr>
        <w:top w:val="none" w:sz="0" w:space="0" w:color="auto"/>
        <w:left w:val="none" w:sz="0" w:space="0" w:color="auto"/>
        <w:bottom w:val="none" w:sz="0" w:space="0" w:color="auto"/>
        <w:right w:val="none" w:sz="0" w:space="0" w:color="auto"/>
      </w:divBdr>
    </w:div>
    <w:div w:id="1421292942">
      <w:bodyDiv w:val="1"/>
      <w:marLeft w:val="0"/>
      <w:marRight w:val="0"/>
      <w:marTop w:val="0"/>
      <w:marBottom w:val="0"/>
      <w:divBdr>
        <w:top w:val="none" w:sz="0" w:space="0" w:color="auto"/>
        <w:left w:val="none" w:sz="0" w:space="0" w:color="auto"/>
        <w:bottom w:val="none" w:sz="0" w:space="0" w:color="auto"/>
        <w:right w:val="none" w:sz="0" w:space="0" w:color="auto"/>
      </w:divBdr>
    </w:div>
    <w:div w:id="1445999305">
      <w:bodyDiv w:val="1"/>
      <w:marLeft w:val="0"/>
      <w:marRight w:val="0"/>
      <w:marTop w:val="0"/>
      <w:marBottom w:val="0"/>
      <w:divBdr>
        <w:top w:val="none" w:sz="0" w:space="0" w:color="auto"/>
        <w:left w:val="none" w:sz="0" w:space="0" w:color="auto"/>
        <w:bottom w:val="none" w:sz="0" w:space="0" w:color="auto"/>
        <w:right w:val="none" w:sz="0" w:space="0" w:color="auto"/>
      </w:divBdr>
    </w:div>
    <w:div w:id="1464932493">
      <w:bodyDiv w:val="1"/>
      <w:marLeft w:val="0"/>
      <w:marRight w:val="0"/>
      <w:marTop w:val="0"/>
      <w:marBottom w:val="0"/>
      <w:divBdr>
        <w:top w:val="none" w:sz="0" w:space="0" w:color="auto"/>
        <w:left w:val="none" w:sz="0" w:space="0" w:color="auto"/>
        <w:bottom w:val="none" w:sz="0" w:space="0" w:color="auto"/>
        <w:right w:val="none" w:sz="0" w:space="0" w:color="auto"/>
      </w:divBdr>
      <w:divsChild>
        <w:div w:id="19206185">
          <w:marLeft w:val="0"/>
          <w:marRight w:val="0"/>
          <w:marTop w:val="0"/>
          <w:marBottom w:val="0"/>
          <w:divBdr>
            <w:top w:val="none" w:sz="0" w:space="0" w:color="auto"/>
            <w:left w:val="none" w:sz="0" w:space="0" w:color="auto"/>
            <w:bottom w:val="none" w:sz="0" w:space="0" w:color="auto"/>
            <w:right w:val="none" w:sz="0" w:space="0" w:color="auto"/>
          </w:divBdr>
        </w:div>
        <w:div w:id="437288814">
          <w:marLeft w:val="0"/>
          <w:marRight w:val="0"/>
          <w:marTop w:val="0"/>
          <w:marBottom w:val="0"/>
          <w:divBdr>
            <w:top w:val="none" w:sz="0" w:space="0" w:color="auto"/>
            <w:left w:val="none" w:sz="0" w:space="0" w:color="auto"/>
            <w:bottom w:val="none" w:sz="0" w:space="0" w:color="auto"/>
            <w:right w:val="none" w:sz="0" w:space="0" w:color="auto"/>
          </w:divBdr>
        </w:div>
        <w:div w:id="628315070">
          <w:marLeft w:val="0"/>
          <w:marRight w:val="0"/>
          <w:marTop w:val="0"/>
          <w:marBottom w:val="0"/>
          <w:divBdr>
            <w:top w:val="none" w:sz="0" w:space="0" w:color="auto"/>
            <w:left w:val="none" w:sz="0" w:space="0" w:color="auto"/>
            <w:bottom w:val="none" w:sz="0" w:space="0" w:color="auto"/>
            <w:right w:val="none" w:sz="0" w:space="0" w:color="auto"/>
          </w:divBdr>
        </w:div>
        <w:div w:id="633174767">
          <w:marLeft w:val="0"/>
          <w:marRight w:val="0"/>
          <w:marTop w:val="0"/>
          <w:marBottom w:val="0"/>
          <w:divBdr>
            <w:top w:val="none" w:sz="0" w:space="0" w:color="auto"/>
            <w:left w:val="none" w:sz="0" w:space="0" w:color="auto"/>
            <w:bottom w:val="none" w:sz="0" w:space="0" w:color="auto"/>
            <w:right w:val="none" w:sz="0" w:space="0" w:color="auto"/>
          </w:divBdr>
        </w:div>
        <w:div w:id="645937165">
          <w:marLeft w:val="0"/>
          <w:marRight w:val="0"/>
          <w:marTop w:val="0"/>
          <w:marBottom w:val="0"/>
          <w:divBdr>
            <w:top w:val="none" w:sz="0" w:space="0" w:color="auto"/>
            <w:left w:val="none" w:sz="0" w:space="0" w:color="auto"/>
            <w:bottom w:val="none" w:sz="0" w:space="0" w:color="auto"/>
            <w:right w:val="none" w:sz="0" w:space="0" w:color="auto"/>
          </w:divBdr>
        </w:div>
        <w:div w:id="803960976">
          <w:marLeft w:val="0"/>
          <w:marRight w:val="0"/>
          <w:marTop w:val="0"/>
          <w:marBottom w:val="0"/>
          <w:divBdr>
            <w:top w:val="none" w:sz="0" w:space="0" w:color="auto"/>
            <w:left w:val="none" w:sz="0" w:space="0" w:color="auto"/>
            <w:bottom w:val="none" w:sz="0" w:space="0" w:color="auto"/>
            <w:right w:val="none" w:sz="0" w:space="0" w:color="auto"/>
          </w:divBdr>
        </w:div>
        <w:div w:id="1082723023">
          <w:marLeft w:val="0"/>
          <w:marRight w:val="0"/>
          <w:marTop w:val="0"/>
          <w:marBottom w:val="0"/>
          <w:divBdr>
            <w:top w:val="none" w:sz="0" w:space="0" w:color="auto"/>
            <w:left w:val="none" w:sz="0" w:space="0" w:color="auto"/>
            <w:bottom w:val="none" w:sz="0" w:space="0" w:color="auto"/>
            <w:right w:val="none" w:sz="0" w:space="0" w:color="auto"/>
          </w:divBdr>
        </w:div>
        <w:div w:id="1183478257">
          <w:marLeft w:val="0"/>
          <w:marRight w:val="0"/>
          <w:marTop w:val="0"/>
          <w:marBottom w:val="0"/>
          <w:divBdr>
            <w:top w:val="none" w:sz="0" w:space="0" w:color="auto"/>
            <w:left w:val="none" w:sz="0" w:space="0" w:color="auto"/>
            <w:bottom w:val="none" w:sz="0" w:space="0" w:color="auto"/>
            <w:right w:val="none" w:sz="0" w:space="0" w:color="auto"/>
          </w:divBdr>
        </w:div>
        <w:div w:id="1362626047">
          <w:marLeft w:val="0"/>
          <w:marRight w:val="0"/>
          <w:marTop w:val="0"/>
          <w:marBottom w:val="0"/>
          <w:divBdr>
            <w:top w:val="none" w:sz="0" w:space="0" w:color="auto"/>
            <w:left w:val="none" w:sz="0" w:space="0" w:color="auto"/>
            <w:bottom w:val="none" w:sz="0" w:space="0" w:color="auto"/>
            <w:right w:val="none" w:sz="0" w:space="0" w:color="auto"/>
          </w:divBdr>
        </w:div>
        <w:div w:id="1865945587">
          <w:marLeft w:val="0"/>
          <w:marRight w:val="0"/>
          <w:marTop w:val="0"/>
          <w:marBottom w:val="0"/>
          <w:divBdr>
            <w:top w:val="none" w:sz="0" w:space="0" w:color="auto"/>
            <w:left w:val="none" w:sz="0" w:space="0" w:color="auto"/>
            <w:bottom w:val="none" w:sz="0" w:space="0" w:color="auto"/>
            <w:right w:val="none" w:sz="0" w:space="0" w:color="auto"/>
          </w:divBdr>
        </w:div>
        <w:div w:id="2121531753">
          <w:marLeft w:val="0"/>
          <w:marRight w:val="0"/>
          <w:marTop w:val="0"/>
          <w:marBottom w:val="0"/>
          <w:divBdr>
            <w:top w:val="none" w:sz="0" w:space="0" w:color="auto"/>
            <w:left w:val="none" w:sz="0" w:space="0" w:color="auto"/>
            <w:bottom w:val="none" w:sz="0" w:space="0" w:color="auto"/>
            <w:right w:val="none" w:sz="0" w:space="0" w:color="auto"/>
          </w:divBdr>
        </w:div>
      </w:divsChild>
    </w:div>
    <w:div w:id="1465927557">
      <w:bodyDiv w:val="1"/>
      <w:marLeft w:val="0"/>
      <w:marRight w:val="0"/>
      <w:marTop w:val="0"/>
      <w:marBottom w:val="0"/>
      <w:divBdr>
        <w:top w:val="none" w:sz="0" w:space="0" w:color="auto"/>
        <w:left w:val="none" w:sz="0" w:space="0" w:color="auto"/>
        <w:bottom w:val="none" w:sz="0" w:space="0" w:color="auto"/>
        <w:right w:val="none" w:sz="0" w:space="0" w:color="auto"/>
      </w:divBdr>
      <w:divsChild>
        <w:div w:id="12999205">
          <w:marLeft w:val="0"/>
          <w:marRight w:val="0"/>
          <w:marTop w:val="0"/>
          <w:marBottom w:val="240"/>
          <w:divBdr>
            <w:top w:val="none" w:sz="0" w:space="0" w:color="auto"/>
            <w:left w:val="none" w:sz="0" w:space="0" w:color="auto"/>
            <w:bottom w:val="none" w:sz="0" w:space="0" w:color="auto"/>
            <w:right w:val="none" w:sz="0" w:space="0" w:color="auto"/>
          </w:divBdr>
        </w:div>
        <w:div w:id="1462069852">
          <w:marLeft w:val="0"/>
          <w:marRight w:val="0"/>
          <w:marTop w:val="0"/>
          <w:marBottom w:val="0"/>
          <w:divBdr>
            <w:top w:val="none" w:sz="0" w:space="0" w:color="auto"/>
            <w:left w:val="none" w:sz="0" w:space="0" w:color="auto"/>
            <w:bottom w:val="none" w:sz="0" w:space="0" w:color="auto"/>
            <w:right w:val="none" w:sz="0" w:space="0" w:color="auto"/>
          </w:divBdr>
        </w:div>
        <w:div w:id="1769502734">
          <w:marLeft w:val="0"/>
          <w:marRight w:val="0"/>
          <w:marTop w:val="0"/>
          <w:marBottom w:val="0"/>
          <w:divBdr>
            <w:top w:val="none" w:sz="0" w:space="0" w:color="auto"/>
            <w:left w:val="none" w:sz="0" w:space="0" w:color="auto"/>
            <w:bottom w:val="none" w:sz="0" w:space="0" w:color="auto"/>
            <w:right w:val="none" w:sz="0" w:space="0" w:color="auto"/>
          </w:divBdr>
        </w:div>
        <w:div w:id="2064980179">
          <w:marLeft w:val="0"/>
          <w:marRight w:val="0"/>
          <w:marTop w:val="0"/>
          <w:marBottom w:val="0"/>
          <w:divBdr>
            <w:top w:val="none" w:sz="0" w:space="0" w:color="auto"/>
            <w:left w:val="none" w:sz="0" w:space="0" w:color="auto"/>
            <w:bottom w:val="none" w:sz="0" w:space="0" w:color="auto"/>
            <w:right w:val="none" w:sz="0" w:space="0" w:color="auto"/>
          </w:divBdr>
        </w:div>
      </w:divsChild>
    </w:div>
    <w:div w:id="1484735599">
      <w:bodyDiv w:val="1"/>
      <w:marLeft w:val="0"/>
      <w:marRight w:val="0"/>
      <w:marTop w:val="0"/>
      <w:marBottom w:val="0"/>
      <w:divBdr>
        <w:top w:val="none" w:sz="0" w:space="0" w:color="auto"/>
        <w:left w:val="none" w:sz="0" w:space="0" w:color="auto"/>
        <w:bottom w:val="none" w:sz="0" w:space="0" w:color="auto"/>
        <w:right w:val="none" w:sz="0" w:space="0" w:color="auto"/>
      </w:divBdr>
    </w:div>
    <w:div w:id="1512455064">
      <w:bodyDiv w:val="1"/>
      <w:marLeft w:val="0"/>
      <w:marRight w:val="0"/>
      <w:marTop w:val="0"/>
      <w:marBottom w:val="0"/>
      <w:divBdr>
        <w:top w:val="none" w:sz="0" w:space="0" w:color="auto"/>
        <w:left w:val="none" w:sz="0" w:space="0" w:color="auto"/>
        <w:bottom w:val="none" w:sz="0" w:space="0" w:color="auto"/>
        <w:right w:val="none" w:sz="0" w:space="0" w:color="auto"/>
      </w:divBdr>
    </w:div>
    <w:div w:id="1543594664">
      <w:bodyDiv w:val="1"/>
      <w:marLeft w:val="0"/>
      <w:marRight w:val="0"/>
      <w:marTop w:val="0"/>
      <w:marBottom w:val="0"/>
      <w:divBdr>
        <w:top w:val="none" w:sz="0" w:space="0" w:color="auto"/>
        <w:left w:val="none" w:sz="0" w:space="0" w:color="auto"/>
        <w:bottom w:val="none" w:sz="0" w:space="0" w:color="auto"/>
        <w:right w:val="none" w:sz="0" w:space="0" w:color="auto"/>
      </w:divBdr>
    </w:div>
    <w:div w:id="1588879892">
      <w:bodyDiv w:val="1"/>
      <w:marLeft w:val="0"/>
      <w:marRight w:val="0"/>
      <w:marTop w:val="0"/>
      <w:marBottom w:val="0"/>
      <w:divBdr>
        <w:top w:val="none" w:sz="0" w:space="0" w:color="auto"/>
        <w:left w:val="none" w:sz="0" w:space="0" w:color="auto"/>
        <w:bottom w:val="none" w:sz="0" w:space="0" w:color="auto"/>
        <w:right w:val="none" w:sz="0" w:space="0" w:color="auto"/>
      </w:divBdr>
    </w:div>
    <w:div w:id="1600482186">
      <w:bodyDiv w:val="1"/>
      <w:marLeft w:val="0"/>
      <w:marRight w:val="0"/>
      <w:marTop w:val="0"/>
      <w:marBottom w:val="0"/>
      <w:divBdr>
        <w:top w:val="none" w:sz="0" w:space="0" w:color="auto"/>
        <w:left w:val="none" w:sz="0" w:space="0" w:color="auto"/>
        <w:bottom w:val="none" w:sz="0" w:space="0" w:color="auto"/>
        <w:right w:val="none" w:sz="0" w:space="0" w:color="auto"/>
      </w:divBdr>
    </w:div>
    <w:div w:id="1662931238">
      <w:bodyDiv w:val="1"/>
      <w:marLeft w:val="0"/>
      <w:marRight w:val="0"/>
      <w:marTop w:val="0"/>
      <w:marBottom w:val="0"/>
      <w:divBdr>
        <w:top w:val="none" w:sz="0" w:space="0" w:color="auto"/>
        <w:left w:val="none" w:sz="0" w:space="0" w:color="auto"/>
        <w:bottom w:val="none" w:sz="0" w:space="0" w:color="auto"/>
        <w:right w:val="none" w:sz="0" w:space="0" w:color="auto"/>
      </w:divBdr>
    </w:div>
    <w:div w:id="1672833406">
      <w:bodyDiv w:val="1"/>
      <w:marLeft w:val="0"/>
      <w:marRight w:val="0"/>
      <w:marTop w:val="0"/>
      <w:marBottom w:val="0"/>
      <w:divBdr>
        <w:top w:val="none" w:sz="0" w:space="0" w:color="auto"/>
        <w:left w:val="none" w:sz="0" w:space="0" w:color="auto"/>
        <w:bottom w:val="none" w:sz="0" w:space="0" w:color="auto"/>
        <w:right w:val="none" w:sz="0" w:space="0" w:color="auto"/>
      </w:divBdr>
    </w:div>
    <w:div w:id="1687902985">
      <w:bodyDiv w:val="1"/>
      <w:marLeft w:val="0"/>
      <w:marRight w:val="0"/>
      <w:marTop w:val="0"/>
      <w:marBottom w:val="0"/>
      <w:divBdr>
        <w:top w:val="none" w:sz="0" w:space="0" w:color="auto"/>
        <w:left w:val="none" w:sz="0" w:space="0" w:color="auto"/>
        <w:bottom w:val="none" w:sz="0" w:space="0" w:color="auto"/>
        <w:right w:val="none" w:sz="0" w:space="0" w:color="auto"/>
      </w:divBdr>
    </w:div>
    <w:div w:id="1694265964">
      <w:bodyDiv w:val="1"/>
      <w:marLeft w:val="0"/>
      <w:marRight w:val="0"/>
      <w:marTop w:val="0"/>
      <w:marBottom w:val="0"/>
      <w:divBdr>
        <w:top w:val="none" w:sz="0" w:space="0" w:color="auto"/>
        <w:left w:val="none" w:sz="0" w:space="0" w:color="auto"/>
        <w:bottom w:val="none" w:sz="0" w:space="0" w:color="auto"/>
        <w:right w:val="none" w:sz="0" w:space="0" w:color="auto"/>
      </w:divBdr>
    </w:div>
    <w:div w:id="1744328170">
      <w:bodyDiv w:val="1"/>
      <w:marLeft w:val="0"/>
      <w:marRight w:val="0"/>
      <w:marTop w:val="0"/>
      <w:marBottom w:val="0"/>
      <w:divBdr>
        <w:top w:val="none" w:sz="0" w:space="0" w:color="auto"/>
        <w:left w:val="none" w:sz="0" w:space="0" w:color="auto"/>
        <w:bottom w:val="none" w:sz="0" w:space="0" w:color="auto"/>
        <w:right w:val="none" w:sz="0" w:space="0" w:color="auto"/>
      </w:divBdr>
    </w:div>
    <w:div w:id="1750544461">
      <w:bodyDiv w:val="1"/>
      <w:marLeft w:val="0"/>
      <w:marRight w:val="0"/>
      <w:marTop w:val="0"/>
      <w:marBottom w:val="0"/>
      <w:divBdr>
        <w:top w:val="none" w:sz="0" w:space="0" w:color="auto"/>
        <w:left w:val="none" w:sz="0" w:space="0" w:color="auto"/>
        <w:bottom w:val="none" w:sz="0" w:space="0" w:color="auto"/>
        <w:right w:val="none" w:sz="0" w:space="0" w:color="auto"/>
      </w:divBdr>
    </w:div>
    <w:div w:id="1768692544">
      <w:bodyDiv w:val="1"/>
      <w:marLeft w:val="0"/>
      <w:marRight w:val="0"/>
      <w:marTop w:val="0"/>
      <w:marBottom w:val="0"/>
      <w:divBdr>
        <w:top w:val="none" w:sz="0" w:space="0" w:color="auto"/>
        <w:left w:val="none" w:sz="0" w:space="0" w:color="auto"/>
        <w:bottom w:val="none" w:sz="0" w:space="0" w:color="auto"/>
        <w:right w:val="none" w:sz="0" w:space="0" w:color="auto"/>
      </w:divBdr>
    </w:div>
    <w:div w:id="1789544262">
      <w:bodyDiv w:val="1"/>
      <w:marLeft w:val="0"/>
      <w:marRight w:val="0"/>
      <w:marTop w:val="0"/>
      <w:marBottom w:val="0"/>
      <w:divBdr>
        <w:top w:val="none" w:sz="0" w:space="0" w:color="auto"/>
        <w:left w:val="none" w:sz="0" w:space="0" w:color="auto"/>
        <w:bottom w:val="none" w:sz="0" w:space="0" w:color="auto"/>
        <w:right w:val="none" w:sz="0" w:space="0" w:color="auto"/>
      </w:divBdr>
    </w:div>
    <w:div w:id="1884055973">
      <w:bodyDiv w:val="1"/>
      <w:marLeft w:val="0"/>
      <w:marRight w:val="0"/>
      <w:marTop w:val="0"/>
      <w:marBottom w:val="0"/>
      <w:divBdr>
        <w:top w:val="none" w:sz="0" w:space="0" w:color="auto"/>
        <w:left w:val="none" w:sz="0" w:space="0" w:color="auto"/>
        <w:bottom w:val="none" w:sz="0" w:space="0" w:color="auto"/>
        <w:right w:val="none" w:sz="0" w:space="0" w:color="auto"/>
      </w:divBdr>
      <w:divsChild>
        <w:div w:id="337121000">
          <w:marLeft w:val="0"/>
          <w:marRight w:val="0"/>
          <w:marTop w:val="0"/>
          <w:marBottom w:val="240"/>
          <w:divBdr>
            <w:top w:val="none" w:sz="0" w:space="0" w:color="auto"/>
            <w:left w:val="none" w:sz="0" w:space="0" w:color="auto"/>
            <w:bottom w:val="none" w:sz="0" w:space="0" w:color="auto"/>
            <w:right w:val="none" w:sz="0" w:space="0" w:color="auto"/>
          </w:divBdr>
        </w:div>
        <w:div w:id="1071006457">
          <w:marLeft w:val="0"/>
          <w:marRight w:val="0"/>
          <w:marTop w:val="0"/>
          <w:marBottom w:val="0"/>
          <w:divBdr>
            <w:top w:val="none" w:sz="0" w:space="0" w:color="auto"/>
            <w:left w:val="none" w:sz="0" w:space="0" w:color="auto"/>
            <w:bottom w:val="none" w:sz="0" w:space="0" w:color="auto"/>
            <w:right w:val="none" w:sz="0" w:space="0" w:color="auto"/>
          </w:divBdr>
        </w:div>
        <w:div w:id="1678074182">
          <w:marLeft w:val="0"/>
          <w:marRight w:val="0"/>
          <w:marTop w:val="0"/>
          <w:marBottom w:val="0"/>
          <w:divBdr>
            <w:top w:val="none" w:sz="0" w:space="0" w:color="auto"/>
            <w:left w:val="none" w:sz="0" w:space="0" w:color="auto"/>
            <w:bottom w:val="none" w:sz="0" w:space="0" w:color="auto"/>
            <w:right w:val="none" w:sz="0" w:space="0" w:color="auto"/>
          </w:divBdr>
        </w:div>
        <w:div w:id="1806772889">
          <w:marLeft w:val="0"/>
          <w:marRight w:val="0"/>
          <w:marTop w:val="0"/>
          <w:marBottom w:val="0"/>
          <w:divBdr>
            <w:top w:val="none" w:sz="0" w:space="0" w:color="auto"/>
            <w:left w:val="none" w:sz="0" w:space="0" w:color="auto"/>
            <w:bottom w:val="none" w:sz="0" w:space="0" w:color="auto"/>
            <w:right w:val="none" w:sz="0" w:space="0" w:color="auto"/>
          </w:divBdr>
        </w:div>
      </w:divsChild>
    </w:div>
    <w:div w:id="1890415061">
      <w:bodyDiv w:val="1"/>
      <w:marLeft w:val="0"/>
      <w:marRight w:val="0"/>
      <w:marTop w:val="0"/>
      <w:marBottom w:val="0"/>
      <w:divBdr>
        <w:top w:val="none" w:sz="0" w:space="0" w:color="auto"/>
        <w:left w:val="none" w:sz="0" w:space="0" w:color="auto"/>
        <w:bottom w:val="none" w:sz="0" w:space="0" w:color="auto"/>
        <w:right w:val="none" w:sz="0" w:space="0" w:color="auto"/>
      </w:divBdr>
    </w:div>
    <w:div w:id="1926454132">
      <w:bodyDiv w:val="1"/>
      <w:marLeft w:val="0"/>
      <w:marRight w:val="0"/>
      <w:marTop w:val="0"/>
      <w:marBottom w:val="0"/>
      <w:divBdr>
        <w:top w:val="none" w:sz="0" w:space="0" w:color="auto"/>
        <w:left w:val="none" w:sz="0" w:space="0" w:color="auto"/>
        <w:bottom w:val="none" w:sz="0" w:space="0" w:color="auto"/>
        <w:right w:val="none" w:sz="0" w:space="0" w:color="auto"/>
      </w:divBdr>
    </w:div>
    <w:div w:id="1949459022">
      <w:bodyDiv w:val="1"/>
      <w:marLeft w:val="0"/>
      <w:marRight w:val="0"/>
      <w:marTop w:val="0"/>
      <w:marBottom w:val="0"/>
      <w:divBdr>
        <w:top w:val="none" w:sz="0" w:space="0" w:color="auto"/>
        <w:left w:val="none" w:sz="0" w:space="0" w:color="auto"/>
        <w:bottom w:val="none" w:sz="0" w:space="0" w:color="auto"/>
        <w:right w:val="none" w:sz="0" w:space="0" w:color="auto"/>
      </w:divBdr>
    </w:div>
    <w:div w:id="1951814120">
      <w:bodyDiv w:val="1"/>
      <w:marLeft w:val="0"/>
      <w:marRight w:val="0"/>
      <w:marTop w:val="0"/>
      <w:marBottom w:val="0"/>
      <w:divBdr>
        <w:top w:val="none" w:sz="0" w:space="0" w:color="auto"/>
        <w:left w:val="none" w:sz="0" w:space="0" w:color="auto"/>
        <w:bottom w:val="none" w:sz="0" w:space="0" w:color="auto"/>
        <w:right w:val="none" w:sz="0" w:space="0" w:color="auto"/>
      </w:divBdr>
    </w:div>
    <w:div w:id="1953897551">
      <w:bodyDiv w:val="1"/>
      <w:marLeft w:val="0"/>
      <w:marRight w:val="0"/>
      <w:marTop w:val="0"/>
      <w:marBottom w:val="0"/>
      <w:divBdr>
        <w:top w:val="none" w:sz="0" w:space="0" w:color="auto"/>
        <w:left w:val="none" w:sz="0" w:space="0" w:color="auto"/>
        <w:bottom w:val="none" w:sz="0" w:space="0" w:color="auto"/>
        <w:right w:val="none" w:sz="0" w:space="0" w:color="auto"/>
      </w:divBdr>
    </w:div>
    <w:div w:id="1964384367">
      <w:bodyDiv w:val="1"/>
      <w:marLeft w:val="0"/>
      <w:marRight w:val="0"/>
      <w:marTop w:val="0"/>
      <w:marBottom w:val="0"/>
      <w:divBdr>
        <w:top w:val="none" w:sz="0" w:space="0" w:color="auto"/>
        <w:left w:val="none" w:sz="0" w:space="0" w:color="auto"/>
        <w:bottom w:val="none" w:sz="0" w:space="0" w:color="auto"/>
        <w:right w:val="none" w:sz="0" w:space="0" w:color="auto"/>
      </w:divBdr>
    </w:div>
    <w:div w:id="1979022955">
      <w:bodyDiv w:val="1"/>
      <w:marLeft w:val="0"/>
      <w:marRight w:val="0"/>
      <w:marTop w:val="0"/>
      <w:marBottom w:val="0"/>
      <w:divBdr>
        <w:top w:val="none" w:sz="0" w:space="0" w:color="auto"/>
        <w:left w:val="none" w:sz="0" w:space="0" w:color="auto"/>
        <w:bottom w:val="none" w:sz="0" w:space="0" w:color="auto"/>
        <w:right w:val="none" w:sz="0" w:space="0" w:color="auto"/>
      </w:divBdr>
    </w:div>
    <w:div w:id="1981109204">
      <w:bodyDiv w:val="1"/>
      <w:marLeft w:val="0"/>
      <w:marRight w:val="0"/>
      <w:marTop w:val="0"/>
      <w:marBottom w:val="0"/>
      <w:divBdr>
        <w:top w:val="none" w:sz="0" w:space="0" w:color="auto"/>
        <w:left w:val="none" w:sz="0" w:space="0" w:color="auto"/>
        <w:bottom w:val="none" w:sz="0" w:space="0" w:color="auto"/>
        <w:right w:val="none" w:sz="0" w:space="0" w:color="auto"/>
      </w:divBdr>
    </w:div>
    <w:div w:id="1992519439">
      <w:bodyDiv w:val="1"/>
      <w:marLeft w:val="0"/>
      <w:marRight w:val="0"/>
      <w:marTop w:val="0"/>
      <w:marBottom w:val="0"/>
      <w:divBdr>
        <w:top w:val="none" w:sz="0" w:space="0" w:color="auto"/>
        <w:left w:val="none" w:sz="0" w:space="0" w:color="auto"/>
        <w:bottom w:val="none" w:sz="0" w:space="0" w:color="auto"/>
        <w:right w:val="none" w:sz="0" w:space="0" w:color="auto"/>
      </w:divBdr>
    </w:div>
    <w:div w:id="2002268253">
      <w:bodyDiv w:val="1"/>
      <w:marLeft w:val="0"/>
      <w:marRight w:val="0"/>
      <w:marTop w:val="0"/>
      <w:marBottom w:val="0"/>
      <w:divBdr>
        <w:top w:val="none" w:sz="0" w:space="0" w:color="auto"/>
        <w:left w:val="none" w:sz="0" w:space="0" w:color="auto"/>
        <w:bottom w:val="none" w:sz="0" w:space="0" w:color="auto"/>
        <w:right w:val="none" w:sz="0" w:space="0" w:color="auto"/>
      </w:divBdr>
    </w:div>
    <w:div w:id="2062166723">
      <w:bodyDiv w:val="1"/>
      <w:marLeft w:val="0"/>
      <w:marRight w:val="0"/>
      <w:marTop w:val="0"/>
      <w:marBottom w:val="0"/>
      <w:divBdr>
        <w:top w:val="none" w:sz="0" w:space="0" w:color="auto"/>
        <w:left w:val="none" w:sz="0" w:space="0" w:color="auto"/>
        <w:bottom w:val="none" w:sz="0" w:space="0" w:color="auto"/>
        <w:right w:val="none" w:sz="0" w:space="0" w:color="auto"/>
      </w:divBdr>
    </w:div>
    <w:div w:id="20810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2.xml"/><Relationship Id="rId26" Type="http://schemas.openxmlformats.org/officeDocument/2006/relationships/image" Target="media/image4.svg"/><Relationship Id="rId39" Type="http://schemas.openxmlformats.org/officeDocument/2006/relationships/hyperlink" Target="https://www.sepa.org.uk/environment/waste/waste-data/waste-data-reporting/household-waste-data/" TargetMode="External"/><Relationship Id="rId21" Type="http://schemas.openxmlformats.org/officeDocument/2006/relationships/chart" Target="charts/chart1.xml"/><Relationship Id="rId34" Type="http://schemas.openxmlformats.org/officeDocument/2006/relationships/image" Target="media/image12.svg"/><Relationship Id="rId42" Type="http://schemas.openxmlformats.org/officeDocument/2006/relationships/chart" Target="charts/chart7.xml"/><Relationship Id="rId47" Type="http://schemas.openxmlformats.org/officeDocument/2006/relationships/chart" Target="charts/chart12.xml"/><Relationship Id="rId50"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chart" Target="charts/chart4.xml"/><Relationship Id="rId32" Type="http://schemas.openxmlformats.org/officeDocument/2006/relationships/image" Target="media/image10.svg"/><Relationship Id="rId37" Type="http://schemas.openxmlformats.org/officeDocument/2006/relationships/hyperlink" Target="https://sustainablescotlandnetwork.org/reports/the-scottish-environment-protection-agency" TargetMode="External"/><Relationship Id="rId40" Type="http://schemas.openxmlformats.org/officeDocument/2006/relationships/chart" Target="charts/chart5.xml"/><Relationship Id="rId45" Type="http://schemas.openxmlformats.org/officeDocument/2006/relationships/chart" Target="charts/chart10.xm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chart" Target="charts/chart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who-we-are/our-performance/annual-operating-plan-2025-2026" TargetMode="Externa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hyperlink" Target="https://www.sepa.org.uk/environment/environmental-data/spri/" TargetMode="External"/><Relationship Id="rId43" Type="http://schemas.openxmlformats.org/officeDocument/2006/relationships/chart" Target="charts/chart8.xml"/><Relationship Id="rId48" Type="http://schemas.openxmlformats.org/officeDocument/2006/relationships/chart" Target="charts/chart1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yperlink" Target="https://www.sepa.org.uk/media/2mqpt5lk/2023-classification-summary-report.pdf" TargetMode="External"/><Relationship Id="rId46" Type="http://schemas.openxmlformats.org/officeDocument/2006/relationships/chart" Target="charts/chart11.xml"/><Relationship Id="rId20" Type="http://schemas.openxmlformats.org/officeDocument/2006/relationships/footer" Target="footer3.xml"/><Relationship Id="rId41"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image" Target="media/image6.svg"/><Relationship Id="rId36" Type="http://schemas.openxmlformats.org/officeDocument/2006/relationships/hyperlink" Target="https://beta.sepa.scot/news/2025/emissions-from-scotland-s-largest-industrial-facilities-down-nearly-a-quarter-since-2019/" TargetMode="External"/><Relationship Id="rId49"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89888978383671E-2"/>
          <c:y val="8.5171748224364879E-2"/>
          <c:w val="0.58593127997356675"/>
          <c:h val="0.81099673730243726"/>
        </c:manualLayout>
      </c:layout>
      <c:pieChart>
        <c:varyColors val="1"/>
        <c:ser>
          <c:idx val="0"/>
          <c:order val="0"/>
          <c:tx>
            <c:strRef>
              <c:f>Visuals!$D$17</c:f>
              <c:strCache>
                <c:ptCount val="1"/>
                <c:pt idx="0">
                  <c:v>Q3</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3695-44E3-802C-0789B92FF991}"/>
              </c:ext>
            </c:extLst>
          </c:dPt>
          <c:dPt>
            <c:idx val="1"/>
            <c:bubble3D val="0"/>
            <c:spPr>
              <a:solidFill>
                <a:srgbClr val="2A8451"/>
              </a:solidFill>
              <a:ln w="19050">
                <a:solidFill>
                  <a:schemeClr val="lt1"/>
                </a:solidFill>
              </a:ln>
              <a:effectLst/>
            </c:spPr>
            <c:extLst>
              <c:ext xmlns:c16="http://schemas.microsoft.com/office/drawing/2014/chart" uri="{C3380CC4-5D6E-409C-BE32-E72D297353CC}">
                <c16:uniqueId val="{00000003-3695-44E3-802C-0789B92FF991}"/>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3695-44E3-802C-0789B92FF99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Visuals!$A$18:$A$20</c:f>
              <c:strCache>
                <c:ptCount val="3"/>
                <c:pt idx="0">
                  <c:v>Delivering</c:v>
                </c:pt>
                <c:pt idx="1">
                  <c:v>Progressing</c:v>
                </c:pt>
                <c:pt idx="2">
                  <c:v>No progression</c:v>
                </c:pt>
              </c:strCache>
            </c:strRef>
          </c:cat>
          <c:val>
            <c:numRef>
              <c:f>Visuals!$D$18:$D$20</c:f>
              <c:numCache>
                <c:formatCode>0%</c:formatCode>
                <c:ptCount val="3"/>
                <c:pt idx="0">
                  <c:v>0.54545454545454541</c:v>
                </c:pt>
                <c:pt idx="1">
                  <c:v>0.27272727272727271</c:v>
                </c:pt>
                <c:pt idx="2">
                  <c:v>0.18181818181818182</c:v>
                </c:pt>
              </c:numCache>
            </c:numRef>
          </c:val>
          <c:extLst>
            <c:ext xmlns:c16="http://schemas.microsoft.com/office/drawing/2014/chart" uri="{C3380CC4-5D6E-409C-BE32-E72D297353CC}">
              <c16:uniqueId val="{00000006-3695-44E3-802C-0789B92FF991}"/>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843387420787436"/>
          <c:y val="0.31139718656658349"/>
          <c:w val="0.30638060241129195"/>
          <c:h val="0.35550587178454018"/>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Visuals!$H$93</c:f>
              <c:strCache>
                <c:ptCount val="1"/>
                <c:pt idx="0">
                  <c:v>Q1</c:v>
                </c:pt>
              </c:strCache>
            </c:strRef>
          </c:tx>
          <c:spPr>
            <a:solidFill>
              <a:srgbClr val="156082"/>
            </a:solidFill>
            <a:ln>
              <a:noFill/>
            </a:ln>
            <a:effectLst/>
          </c:spPr>
          <c:invertIfNegative val="0"/>
          <c:cat>
            <c:strRef>
              <c:f>Visuals!$I$92:$K$92</c:f>
              <c:strCache>
                <c:ptCount val="3"/>
                <c:pt idx="0">
                  <c:v>KR6.1</c:v>
                </c:pt>
                <c:pt idx="1">
                  <c:v>KR6.2</c:v>
                </c:pt>
                <c:pt idx="2">
                  <c:v>KR6.3</c:v>
                </c:pt>
              </c:strCache>
              <c:extLst/>
            </c:strRef>
          </c:cat>
          <c:val>
            <c:numRef>
              <c:f>Visuals!$I$93:$K$93</c:f>
              <c:numCache>
                <c:formatCode>General</c:formatCode>
                <c:ptCount val="3"/>
                <c:pt idx="0">
                  <c:v>0</c:v>
                </c:pt>
                <c:pt idx="1">
                  <c:v>0</c:v>
                </c:pt>
                <c:pt idx="2">
                  <c:v>0</c:v>
                </c:pt>
              </c:numCache>
              <c:extLst/>
            </c:numRef>
          </c:val>
          <c:extLst>
            <c:ext xmlns:c16="http://schemas.microsoft.com/office/drawing/2014/chart" uri="{C3380CC4-5D6E-409C-BE32-E72D297353CC}">
              <c16:uniqueId val="{00000000-482D-4EC2-9E16-9C712732D62B}"/>
            </c:ext>
          </c:extLst>
        </c:ser>
        <c:ser>
          <c:idx val="1"/>
          <c:order val="1"/>
          <c:tx>
            <c:strRef>
              <c:f>Visuals!$H$94</c:f>
              <c:strCache>
                <c:ptCount val="1"/>
                <c:pt idx="0">
                  <c:v>Q2</c:v>
                </c:pt>
              </c:strCache>
            </c:strRef>
          </c:tx>
          <c:spPr>
            <a:solidFill>
              <a:srgbClr val="E97132"/>
            </a:solidFill>
            <a:ln>
              <a:noFill/>
            </a:ln>
            <a:effectLst/>
          </c:spPr>
          <c:invertIfNegative val="0"/>
          <c:cat>
            <c:strRef>
              <c:f>Visuals!$I$92:$K$92</c:f>
              <c:strCache>
                <c:ptCount val="3"/>
                <c:pt idx="0">
                  <c:v>KR6.1</c:v>
                </c:pt>
                <c:pt idx="1">
                  <c:v>KR6.2</c:v>
                </c:pt>
                <c:pt idx="2">
                  <c:v>KR6.3</c:v>
                </c:pt>
              </c:strCache>
              <c:extLst/>
            </c:strRef>
          </c:cat>
          <c:val>
            <c:numRef>
              <c:f>Visuals!$I$94:$K$94</c:f>
              <c:numCache>
                <c:formatCode>General</c:formatCode>
                <c:ptCount val="3"/>
                <c:pt idx="0">
                  <c:v>0</c:v>
                </c:pt>
                <c:pt idx="1">
                  <c:v>0</c:v>
                </c:pt>
                <c:pt idx="2">
                  <c:v>0</c:v>
                </c:pt>
              </c:numCache>
              <c:extLst/>
            </c:numRef>
          </c:val>
          <c:extLst>
            <c:ext xmlns:c16="http://schemas.microsoft.com/office/drawing/2014/chart" uri="{C3380CC4-5D6E-409C-BE32-E72D297353CC}">
              <c16:uniqueId val="{00000001-482D-4EC2-9E16-9C712732D62B}"/>
            </c:ext>
          </c:extLst>
        </c:ser>
        <c:ser>
          <c:idx val="2"/>
          <c:order val="2"/>
          <c:tx>
            <c:strRef>
              <c:f>Visuals!$H$95</c:f>
              <c:strCache>
                <c:ptCount val="1"/>
                <c:pt idx="0">
                  <c:v>Q3</c:v>
                </c:pt>
              </c:strCache>
            </c:strRef>
          </c:tx>
          <c:spPr>
            <a:solidFill>
              <a:srgbClr val="2A8451"/>
            </a:solidFill>
            <a:ln>
              <a:noFill/>
            </a:ln>
            <a:effectLst/>
          </c:spPr>
          <c:invertIfNegative val="0"/>
          <c:cat>
            <c:strRef>
              <c:f>Visuals!$I$92:$K$92</c:f>
              <c:strCache>
                <c:ptCount val="3"/>
                <c:pt idx="0">
                  <c:v>KR6.1</c:v>
                </c:pt>
                <c:pt idx="1">
                  <c:v>KR6.2</c:v>
                </c:pt>
                <c:pt idx="2">
                  <c:v>KR6.3</c:v>
                </c:pt>
              </c:strCache>
              <c:extLst/>
            </c:strRef>
          </c:cat>
          <c:val>
            <c:numRef>
              <c:f>Visuals!$I$95:$K$95</c:f>
              <c:numCache>
                <c:formatCode>General</c:formatCode>
                <c:ptCount val="3"/>
                <c:pt idx="0">
                  <c:v>1</c:v>
                </c:pt>
                <c:pt idx="1">
                  <c:v>1</c:v>
                </c:pt>
                <c:pt idx="2">
                  <c:v>0</c:v>
                </c:pt>
              </c:numCache>
              <c:extLst/>
            </c:numRef>
          </c:val>
          <c:extLst>
            <c:ext xmlns:c16="http://schemas.microsoft.com/office/drawing/2014/chart" uri="{C3380CC4-5D6E-409C-BE32-E72D297353CC}">
              <c16:uniqueId val="{00000002-482D-4EC2-9E16-9C712732D62B}"/>
            </c:ext>
          </c:extLst>
        </c:ser>
        <c:ser>
          <c:idx val="3"/>
          <c:order val="3"/>
          <c:tx>
            <c:strRef>
              <c:f>Visuals!$H$96</c:f>
              <c:strCache>
                <c:ptCount val="1"/>
                <c:pt idx="0">
                  <c:v>Q4</c:v>
                </c:pt>
              </c:strCache>
            </c:strRef>
          </c:tx>
          <c:spPr>
            <a:solidFill>
              <a:srgbClr val="A22895"/>
            </a:solidFill>
            <a:ln>
              <a:noFill/>
            </a:ln>
            <a:effectLst/>
          </c:spPr>
          <c:invertIfNegative val="0"/>
          <c:cat>
            <c:strRef>
              <c:f>Visuals!$I$92:$K$92</c:f>
              <c:strCache>
                <c:ptCount val="3"/>
                <c:pt idx="0">
                  <c:v>KR6.1</c:v>
                </c:pt>
                <c:pt idx="1">
                  <c:v>KR6.2</c:v>
                </c:pt>
                <c:pt idx="2">
                  <c:v>KR6.3</c:v>
                </c:pt>
              </c:strCache>
              <c:extLst/>
            </c:strRef>
          </c:cat>
          <c:val>
            <c:numRef>
              <c:f>Visuals!$I$96:$K$96</c:f>
              <c:numCache>
                <c:formatCode>General</c:formatCode>
                <c:ptCount val="3"/>
              </c:numCache>
              <c:extLst/>
            </c:numRef>
          </c:val>
          <c:extLst>
            <c:ext xmlns:c16="http://schemas.microsoft.com/office/drawing/2014/chart" uri="{C3380CC4-5D6E-409C-BE32-E72D297353CC}">
              <c16:uniqueId val="{00000003-482D-4EC2-9E16-9C712732D62B}"/>
            </c:ext>
          </c:extLst>
        </c:ser>
        <c:dLbls>
          <c:showLegendKey val="0"/>
          <c:showVal val="0"/>
          <c:showCatName val="0"/>
          <c:showSerName val="0"/>
          <c:showPercent val="0"/>
          <c:showBubbleSize val="0"/>
        </c:dLbls>
        <c:gapWidth val="219"/>
        <c:axId val="517808816"/>
        <c:axId val="517798256"/>
      </c:barChart>
      <c:lineChart>
        <c:grouping val="standard"/>
        <c:varyColors val="0"/>
        <c:ser>
          <c:idx val="4"/>
          <c:order val="4"/>
          <c:tx>
            <c:strRef>
              <c:f>Visuals!$H$97</c:f>
              <c:strCache>
                <c:ptCount val="1"/>
                <c:pt idx="0">
                  <c:v>Delivering </c:v>
                </c:pt>
              </c:strCache>
            </c:strRef>
          </c:tx>
          <c:spPr>
            <a:ln w="19050" cap="rnd">
              <a:solidFill>
                <a:schemeClr val="tx1"/>
              </a:solidFill>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2D-4EC2-9E16-9C712732D62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Visuals!$I$92:$K$92</c:f>
              <c:strCache>
                <c:ptCount val="3"/>
                <c:pt idx="0">
                  <c:v>KR6.1</c:v>
                </c:pt>
                <c:pt idx="1">
                  <c:v>KR6.2</c:v>
                </c:pt>
                <c:pt idx="2">
                  <c:v>KR6.3</c:v>
                </c:pt>
              </c:strCache>
              <c:extLst/>
            </c:strRef>
          </c:cat>
          <c:val>
            <c:numRef>
              <c:f>Visuals!$I$97:$K$97</c:f>
              <c:numCache>
                <c:formatCode>General</c:formatCode>
                <c:ptCount val="3"/>
                <c:pt idx="0">
                  <c:v>0.7</c:v>
                </c:pt>
                <c:pt idx="1">
                  <c:v>0.7</c:v>
                </c:pt>
                <c:pt idx="2">
                  <c:v>0.7</c:v>
                </c:pt>
              </c:numCache>
              <c:extLst/>
            </c:numRef>
          </c:val>
          <c:smooth val="0"/>
          <c:extLst>
            <c:ext xmlns:c16="http://schemas.microsoft.com/office/drawing/2014/chart" uri="{C3380CC4-5D6E-409C-BE32-E72D297353CC}">
              <c16:uniqueId val="{00000005-482D-4EC2-9E16-9C712732D62B}"/>
            </c:ext>
          </c:extLst>
        </c:ser>
        <c:ser>
          <c:idx val="5"/>
          <c:order val="5"/>
          <c:tx>
            <c:strRef>
              <c:f>Visuals!$H$98</c:f>
              <c:strCache>
                <c:ptCount val="1"/>
                <c:pt idx="0">
                  <c:v>Measurable progress</c:v>
                </c:pt>
              </c:strCache>
            </c:strRef>
          </c:tx>
          <c:spPr>
            <a:ln w="25400" cap="rnd">
              <a:solidFill>
                <a:schemeClr val="tx1"/>
              </a:solidFill>
              <a:prstDash val="sysDot"/>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2D-4EC2-9E16-9C712732D62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Visuals!$I$92:$K$92</c:f>
              <c:strCache>
                <c:ptCount val="3"/>
                <c:pt idx="0">
                  <c:v>KR6.1</c:v>
                </c:pt>
                <c:pt idx="1">
                  <c:v>KR6.2</c:v>
                </c:pt>
                <c:pt idx="2">
                  <c:v>KR6.3</c:v>
                </c:pt>
              </c:strCache>
              <c:extLst/>
            </c:strRef>
          </c:cat>
          <c:val>
            <c:numRef>
              <c:f>Visuals!$I$98:$K$98</c:f>
              <c:numCache>
                <c:formatCode>General</c:formatCode>
                <c:ptCount val="3"/>
                <c:pt idx="0">
                  <c:v>0.3</c:v>
                </c:pt>
                <c:pt idx="1">
                  <c:v>0.3</c:v>
                </c:pt>
                <c:pt idx="2">
                  <c:v>0.3</c:v>
                </c:pt>
              </c:numCache>
              <c:extLst/>
            </c:numRef>
          </c:val>
          <c:smooth val="0"/>
          <c:extLst>
            <c:ext xmlns:c16="http://schemas.microsoft.com/office/drawing/2014/chart" uri="{C3380CC4-5D6E-409C-BE32-E72D297353CC}">
              <c16:uniqueId val="{00000007-482D-4EC2-9E16-9C712732D62B}"/>
            </c:ext>
          </c:extLst>
        </c:ser>
        <c:dLbls>
          <c:showLegendKey val="0"/>
          <c:showVal val="0"/>
          <c:showCatName val="0"/>
          <c:showSerName val="0"/>
          <c:showPercent val="0"/>
          <c:showBubbleSize val="0"/>
        </c:dLbls>
        <c:marker val="1"/>
        <c:smooth val="0"/>
        <c:axId val="466154768"/>
        <c:axId val="466155728"/>
      </c:lineChart>
      <c:catAx>
        <c:axId val="51780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798256"/>
        <c:crosses val="autoZero"/>
        <c:auto val="1"/>
        <c:lblAlgn val="ctr"/>
        <c:lblOffset val="100"/>
        <c:noMultiLvlLbl val="0"/>
      </c:catAx>
      <c:valAx>
        <c:axId val="51779825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808816"/>
        <c:crosses val="autoZero"/>
        <c:crossBetween val="between"/>
        <c:majorUnit val="0.2"/>
      </c:valAx>
      <c:valAx>
        <c:axId val="466155728"/>
        <c:scaling>
          <c:orientation val="minMax"/>
        </c:scaling>
        <c:delete val="1"/>
        <c:axPos val="r"/>
        <c:numFmt formatCode="General" sourceLinked="1"/>
        <c:majorTickMark val="out"/>
        <c:minorTickMark val="none"/>
        <c:tickLblPos val="nextTo"/>
        <c:crossAx val="466154768"/>
        <c:crosses val="max"/>
        <c:crossBetween val="between"/>
      </c:valAx>
      <c:catAx>
        <c:axId val="466154768"/>
        <c:scaling>
          <c:orientation val="minMax"/>
        </c:scaling>
        <c:delete val="1"/>
        <c:axPos val="b"/>
        <c:numFmt formatCode="General" sourceLinked="1"/>
        <c:majorTickMark val="out"/>
        <c:minorTickMark val="none"/>
        <c:tickLblPos val="nextTo"/>
        <c:crossAx val="466155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Visuals!$A$117</c:f>
              <c:strCache>
                <c:ptCount val="1"/>
                <c:pt idx="0">
                  <c:v>Q1</c:v>
                </c:pt>
              </c:strCache>
            </c:strRef>
          </c:tx>
          <c:spPr>
            <a:solidFill>
              <a:srgbClr val="156082"/>
            </a:solidFill>
            <a:ln>
              <a:noFill/>
            </a:ln>
            <a:effectLst/>
          </c:spPr>
          <c:invertIfNegative val="0"/>
          <c:cat>
            <c:strRef>
              <c:f>Visuals!$B$116:$D$116</c:f>
              <c:strCache>
                <c:ptCount val="3"/>
                <c:pt idx="0">
                  <c:v>KR7.1</c:v>
                </c:pt>
                <c:pt idx="1">
                  <c:v>KR7.2</c:v>
                </c:pt>
                <c:pt idx="2">
                  <c:v>KR7.3</c:v>
                </c:pt>
              </c:strCache>
            </c:strRef>
          </c:cat>
          <c:val>
            <c:numRef>
              <c:f>Visuals!$B$117:$D$117</c:f>
              <c:numCache>
                <c:formatCode>General</c:formatCode>
                <c:ptCount val="3"/>
                <c:pt idx="0">
                  <c:v>0</c:v>
                </c:pt>
                <c:pt idx="1">
                  <c:v>0</c:v>
                </c:pt>
                <c:pt idx="2">
                  <c:v>0</c:v>
                </c:pt>
              </c:numCache>
            </c:numRef>
          </c:val>
          <c:extLst>
            <c:ext xmlns:c16="http://schemas.microsoft.com/office/drawing/2014/chart" uri="{C3380CC4-5D6E-409C-BE32-E72D297353CC}">
              <c16:uniqueId val="{00000000-CC57-4984-A605-205B1AEA1A83}"/>
            </c:ext>
          </c:extLst>
        </c:ser>
        <c:ser>
          <c:idx val="1"/>
          <c:order val="1"/>
          <c:tx>
            <c:strRef>
              <c:f>Visuals!$A$118</c:f>
              <c:strCache>
                <c:ptCount val="1"/>
                <c:pt idx="0">
                  <c:v>Q2</c:v>
                </c:pt>
              </c:strCache>
            </c:strRef>
          </c:tx>
          <c:spPr>
            <a:solidFill>
              <a:srgbClr val="E97132"/>
            </a:solidFill>
            <a:ln>
              <a:noFill/>
            </a:ln>
            <a:effectLst/>
          </c:spPr>
          <c:invertIfNegative val="0"/>
          <c:cat>
            <c:strRef>
              <c:f>Visuals!$B$116:$D$116</c:f>
              <c:strCache>
                <c:ptCount val="3"/>
                <c:pt idx="0">
                  <c:v>KR7.1</c:v>
                </c:pt>
                <c:pt idx="1">
                  <c:v>KR7.2</c:v>
                </c:pt>
                <c:pt idx="2">
                  <c:v>KR7.3</c:v>
                </c:pt>
              </c:strCache>
            </c:strRef>
          </c:cat>
          <c:val>
            <c:numRef>
              <c:f>Visuals!$B$118:$D$118</c:f>
              <c:numCache>
                <c:formatCode>General</c:formatCode>
                <c:ptCount val="3"/>
                <c:pt idx="0">
                  <c:v>1</c:v>
                </c:pt>
                <c:pt idx="1">
                  <c:v>0</c:v>
                </c:pt>
                <c:pt idx="2">
                  <c:v>0</c:v>
                </c:pt>
              </c:numCache>
            </c:numRef>
          </c:val>
          <c:extLst>
            <c:ext xmlns:c16="http://schemas.microsoft.com/office/drawing/2014/chart" uri="{C3380CC4-5D6E-409C-BE32-E72D297353CC}">
              <c16:uniqueId val="{00000001-CC57-4984-A605-205B1AEA1A83}"/>
            </c:ext>
          </c:extLst>
        </c:ser>
        <c:ser>
          <c:idx val="2"/>
          <c:order val="2"/>
          <c:tx>
            <c:strRef>
              <c:f>Visuals!$A$119</c:f>
              <c:strCache>
                <c:ptCount val="1"/>
                <c:pt idx="0">
                  <c:v>Q3</c:v>
                </c:pt>
              </c:strCache>
            </c:strRef>
          </c:tx>
          <c:spPr>
            <a:solidFill>
              <a:srgbClr val="2A8451"/>
            </a:solidFill>
            <a:ln>
              <a:noFill/>
            </a:ln>
            <a:effectLst/>
          </c:spPr>
          <c:invertIfNegative val="0"/>
          <c:cat>
            <c:strRef>
              <c:f>Visuals!$B$116:$D$116</c:f>
              <c:strCache>
                <c:ptCount val="3"/>
                <c:pt idx="0">
                  <c:v>KR7.1</c:v>
                </c:pt>
                <c:pt idx="1">
                  <c:v>KR7.2</c:v>
                </c:pt>
                <c:pt idx="2">
                  <c:v>KR7.3</c:v>
                </c:pt>
              </c:strCache>
            </c:strRef>
          </c:cat>
          <c:val>
            <c:numRef>
              <c:f>Visuals!$B$119:$D$119</c:f>
              <c:numCache>
                <c:formatCode>General</c:formatCode>
                <c:ptCount val="3"/>
                <c:pt idx="0">
                  <c:v>1</c:v>
                </c:pt>
                <c:pt idx="1">
                  <c:v>0</c:v>
                </c:pt>
                <c:pt idx="2">
                  <c:v>0</c:v>
                </c:pt>
              </c:numCache>
            </c:numRef>
          </c:val>
          <c:extLst>
            <c:ext xmlns:c16="http://schemas.microsoft.com/office/drawing/2014/chart" uri="{C3380CC4-5D6E-409C-BE32-E72D297353CC}">
              <c16:uniqueId val="{00000002-CC57-4984-A605-205B1AEA1A83}"/>
            </c:ext>
          </c:extLst>
        </c:ser>
        <c:ser>
          <c:idx val="3"/>
          <c:order val="3"/>
          <c:tx>
            <c:strRef>
              <c:f>Visuals!$A$120</c:f>
              <c:strCache>
                <c:ptCount val="1"/>
                <c:pt idx="0">
                  <c:v>Q4</c:v>
                </c:pt>
              </c:strCache>
            </c:strRef>
          </c:tx>
          <c:spPr>
            <a:solidFill>
              <a:srgbClr val="A22895"/>
            </a:solidFill>
            <a:ln>
              <a:noFill/>
            </a:ln>
            <a:effectLst/>
          </c:spPr>
          <c:invertIfNegative val="0"/>
          <c:cat>
            <c:strRef>
              <c:f>Visuals!$B$116:$D$116</c:f>
              <c:strCache>
                <c:ptCount val="3"/>
                <c:pt idx="0">
                  <c:v>KR7.1</c:v>
                </c:pt>
                <c:pt idx="1">
                  <c:v>KR7.2</c:v>
                </c:pt>
                <c:pt idx="2">
                  <c:v>KR7.3</c:v>
                </c:pt>
              </c:strCache>
            </c:strRef>
          </c:cat>
          <c:val>
            <c:numRef>
              <c:f>Visuals!$B$120:$D$120</c:f>
              <c:numCache>
                <c:formatCode>General</c:formatCode>
                <c:ptCount val="3"/>
              </c:numCache>
            </c:numRef>
          </c:val>
          <c:extLst>
            <c:ext xmlns:c16="http://schemas.microsoft.com/office/drawing/2014/chart" uri="{C3380CC4-5D6E-409C-BE32-E72D297353CC}">
              <c16:uniqueId val="{00000003-CC57-4984-A605-205B1AEA1A83}"/>
            </c:ext>
          </c:extLst>
        </c:ser>
        <c:dLbls>
          <c:showLegendKey val="0"/>
          <c:showVal val="0"/>
          <c:showCatName val="0"/>
          <c:showSerName val="0"/>
          <c:showPercent val="0"/>
          <c:showBubbleSize val="0"/>
        </c:dLbls>
        <c:gapWidth val="150"/>
        <c:axId val="418269552"/>
        <c:axId val="418247472"/>
      </c:barChart>
      <c:lineChart>
        <c:grouping val="standard"/>
        <c:varyColors val="0"/>
        <c:ser>
          <c:idx val="6"/>
          <c:order val="6"/>
          <c:tx>
            <c:strRef>
              <c:f>Visuals!$A$123</c:f>
              <c:strCache>
                <c:ptCount val="1"/>
                <c:pt idx="0">
                  <c:v>Measurable progress</c:v>
                </c:pt>
              </c:strCache>
            </c:strRef>
          </c:tx>
          <c:spPr>
            <a:ln w="25400" cap="rnd">
              <a:solidFill>
                <a:schemeClr val="tx1"/>
              </a:solidFill>
              <a:prstDash val="sysDot"/>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57-4984-A605-205B1AEA1A8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Visuals!$B$116:$D$116</c:f>
              <c:strCache>
                <c:ptCount val="3"/>
                <c:pt idx="0">
                  <c:v>KR7.1</c:v>
                </c:pt>
                <c:pt idx="1">
                  <c:v>KR7.2</c:v>
                </c:pt>
                <c:pt idx="2">
                  <c:v>KR7.3</c:v>
                </c:pt>
              </c:strCache>
            </c:strRef>
          </c:cat>
          <c:val>
            <c:numRef>
              <c:f>Visuals!$B$123:$D$123</c:f>
              <c:numCache>
                <c:formatCode>General</c:formatCode>
                <c:ptCount val="3"/>
                <c:pt idx="0">
                  <c:v>0.3</c:v>
                </c:pt>
                <c:pt idx="1">
                  <c:v>0.3</c:v>
                </c:pt>
                <c:pt idx="2">
                  <c:v>0.3</c:v>
                </c:pt>
              </c:numCache>
            </c:numRef>
          </c:val>
          <c:smooth val="0"/>
          <c:extLst>
            <c:ext xmlns:c16="http://schemas.microsoft.com/office/drawing/2014/chart" uri="{C3380CC4-5D6E-409C-BE32-E72D297353CC}">
              <c16:uniqueId val="{00000005-CC57-4984-A605-205B1AEA1A83}"/>
            </c:ext>
          </c:extLst>
        </c:ser>
        <c:ser>
          <c:idx val="5"/>
          <c:order val="5"/>
          <c:tx>
            <c:strRef>
              <c:f>Visuals!$A$122</c:f>
              <c:strCache>
                <c:ptCount val="1"/>
                <c:pt idx="0">
                  <c:v>Delivering </c:v>
                </c:pt>
              </c:strCache>
            </c:strRef>
          </c:tx>
          <c:spPr>
            <a:ln w="19050" cap="rnd">
              <a:solidFill>
                <a:schemeClr val="tx1"/>
              </a:solidFill>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57-4984-A605-205B1AEA1A8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Visuals!$B$116:$D$116</c:f>
              <c:strCache>
                <c:ptCount val="3"/>
                <c:pt idx="0">
                  <c:v>KR7.1</c:v>
                </c:pt>
                <c:pt idx="1">
                  <c:v>KR7.2</c:v>
                </c:pt>
                <c:pt idx="2">
                  <c:v>KR7.3</c:v>
                </c:pt>
              </c:strCache>
            </c:strRef>
          </c:cat>
          <c:val>
            <c:numRef>
              <c:f>Visuals!$B$122:$D$122</c:f>
              <c:numCache>
                <c:formatCode>General</c:formatCode>
                <c:ptCount val="3"/>
                <c:pt idx="0">
                  <c:v>0.7</c:v>
                </c:pt>
                <c:pt idx="1">
                  <c:v>0.7</c:v>
                </c:pt>
                <c:pt idx="2">
                  <c:v>0.7</c:v>
                </c:pt>
              </c:numCache>
            </c:numRef>
          </c:val>
          <c:smooth val="0"/>
          <c:extLst>
            <c:ext xmlns:c16="http://schemas.microsoft.com/office/drawing/2014/chart" uri="{C3380CC4-5D6E-409C-BE32-E72D297353CC}">
              <c16:uniqueId val="{00000007-CC57-4984-A605-205B1AEA1A83}"/>
            </c:ext>
          </c:extLst>
        </c:ser>
        <c:dLbls>
          <c:showLegendKey val="0"/>
          <c:showVal val="0"/>
          <c:showCatName val="0"/>
          <c:showSerName val="0"/>
          <c:showPercent val="0"/>
          <c:showBubbleSize val="0"/>
        </c:dLbls>
        <c:marker val="1"/>
        <c:smooth val="0"/>
        <c:axId val="586708416"/>
        <c:axId val="586694496"/>
        <c:extLst>
          <c:ext xmlns:c15="http://schemas.microsoft.com/office/drawing/2012/chart" uri="{02D57815-91ED-43cb-92C2-25804820EDAC}">
            <c15:filteredLineSeries>
              <c15:ser>
                <c:idx val="4"/>
                <c:order val="4"/>
                <c:tx>
                  <c:strRef>
                    <c:extLst>
                      <c:ext uri="{02D57815-91ED-43cb-92C2-25804820EDAC}">
                        <c15:formulaRef>
                          <c15:sqref>Visuals!$A$121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Visuals!$B$116:$D$116</c15:sqref>
                        </c15:formulaRef>
                      </c:ext>
                    </c:extLst>
                    <c:strCache>
                      <c:ptCount val="3"/>
                      <c:pt idx="0">
                        <c:v>KR7.1</c:v>
                      </c:pt>
                      <c:pt idx="1">
                        <c:v>KR7.2</c:v>
                      </c:pt>
                      <c:pt idx="2">
                        <c:v>KR7.3</c:v>
                      </c:pt>
                    </c:strCache>
                  </c:strRef>
                </c:cat>
                <c:val>
                  <c:numRef>
                    <c:extLst>
                      <c:ext uri="{02D57815-91ED-43cb-92C2-25804820EDAC}">
                        <c15:formulaRef>
                          <c15:sqref>Visuals!$B$121:$D$121</c15:sqref>
                        </c15:formulaRef>
                      </c:ext>
                    </c:extLst>
                    <c:numCache>
                      <c:formatCode>General</c:formatCode>
                      <c:ptCount val="3"/>
                    </c:numCache>
                  </c:numRef>
                </c:val>
                <c:smooth val="0"/>
                <c:extLst>
                  <c:ext xmlns:c16="http://schemas.microsoft.com/office/drawing/2014/chart" uri="{C3380CC4-5D6E-409C-BE32-E72D297353CC}">
                    <c16:uniqueId val="{00000008-CC57-4984-A605-205B1AEA1A83}"/>
                  </c:ext>
                </c:extLst>
              </c15:ser>
            </c15:filteredLineSeries>
          </c:ext>
        </c:extLst>
      </c:lineChart>
      <c:catAx>
        <c:axId val="41826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47472"/>
        <c:crosses val="autoZero"/>
        <c:auto val="1"/>
        <c:lblAlgn val="ctr"/>
        <c:lblOffset val="100"/>
        <c:noMultiLvlLbl val="0"/>
      </c:catAx>
      <c:valAx>
        <c:axId val="41824747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1.1990009584140208E-2"/>
              <c:y val="0.14453994455512337"/>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69552"/>
        <c:crosses val="autoZero"/>
        <c:crossBetween val="between"/>
        <c:majorUnit val="0.2"/>
      </c:valAx>
      <c:valAx>
        <c:axId val="586694496"/>
        <c:scaling>
          <c:orientation val="minMax"/>
        </c:scaling>
        <c:delete val="1"/>
        <c:axPos val="r"/>
        <c:numFmt formatCode="General" sourceLinked="1"/>
        <c:majorTickMark val="out"/>
        <c:minorTickMark val="none"/>
        <c:tickLblPos val="nextTo"/>
        <c:crossAx val="586708416"/>
        <c:crosses val="max"/>
        <c:crossBetween val="between"/>
      </c:valAx>
      <c:catAx>
        <c:axId val="586708416"/>
        <c:scaling>
          <c:orientation val="minMax"/>
        </c:scaling>
        <c:delete val="1"/>
        <c:axPos val="b"/>
        <c:numFmt formatCode="General" sourceLinked="1"/>
        <c:majorTickMark val="out"/>
        <c:minorTickMark val="none"/>
        <c:tickLblPos val="nextTo"/>
        <c:crossAx val="5866944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6945959137789"/>
          <c:y val="5.8630986265357031E-2"/>
          <c:w val="0.86680918571737264"/>
          <c:h val="0.6487393522878997"/>
        </c:manualLayout>
      </c:layout>
      <c:barChart>
        <c:barDir val="col"/>
        <c:grouping val="clustered"/>
        <c:varyColors val="0"/>
        <c:ser>
          <c:idx val="0"/>
          <c:order val="0"/>
          <c:tx>
            <c:strRef>
              <c:f>Visuals!$A$141</c:f>
              <c:strCache>
                <c:ptCount val="1"/>
                <c:pt idx="0">
                  <c:v>Q1</c:v>
                </c:pt>
              </c:strCache>
            </c:strRef>
          </c:tx>
          <c:spPr>
            <a:solidFill>
              <a:srgbClr val="156082"/>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Visuals!$B$141:$F$141</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0-1AA8-474F-B283-10DF79C99632}"/>
            </c:ext>
          </c:extLst>
        </c:ser>
        <c:ser>
          <c:idx val="1"/>
          <c:order val="1"/>
          <c:tx>
            <c:strRef>
              <c:f>Visuals!$A$142</c:f>
              <c:strCache>
                <c:ptCount val="1"/>
                <c:pt idx="0">
                  <c:v>Q2</c:v>
                </c:pt>
              </c:strCache>
            </c:strRef>
          </c:tx>
          <c:spPr>
            <a:solidFill>
              <a:srgbClr val="E97132"/>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Visuals!$B$142:$F$142</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1-1AA8-474F-B283-10DF79C99632}"/>
            </c:ext>
          </c:extLst>
        </c:ser>
        <c:ser>
          <c:idx val="2"/>
          <c:order val="2"/>
          <c:tx>
            <c:strRef>
              <c:f>Visuals!$A$143</c:f>
              <c:strCache>
                <c:ptCount val="1"/>
                <c:pt idx="0">
                  <c:v>Q3</c:v>
                </c:pt>
              </c:strCache>
            </c:strRef>
          </c:tx>
          <c:spPr>
            <a:solidFill>
              <a:srgbClr val="2A8451"/>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Visuals!$B$143:$F$143</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2-1AA8-474F-B283-10DF79C99632}"/>
            </c:ext>
          </c:extLst>
        </c:ser>
        <c:ser>
          <c:idx val="3"/>
          <c:order val="3"/>
          <c:tx>
            <c:strRef>
              <c:f>Visuals!$A$144</c:f>
              <c:strCache>
                <c:ptCount val="1"/>
                <c:pt idx="0">
                  <c:v>Q4</c:v>
                </c:pt>
              </c:strCache>
            </c:strRef>
          </c:tx>
          <c:spPr>
            <a:solidFill>
              <a:srgbClr val="A22895"/>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Visuals!$B$144:$F$144</c:f>
              <c:numCache>
                <c:formatCode>General</c:formatCode>
                <c:ptCount val="5"/>
              </c:numCache>
            </c:numRef>
          </c:val>
          <c:extLst>
            <c:ext xmlns:c16="http://schemas.microsoft.com/office/drawing/2014/chart" uri="{C3380CC4-5D6E-409C-BE32-E72D297353CC}">
              <c16:uniqueId val="{00000003-1AA8-474F-B283-10DF79C99632}"/>
            </c:ext>
          </c:extLst>
        </c:ser>
        <c:dLbls>
          <c:showLegendKey val="0"/>
          <c:showVal val="0"/>
          <c:showCatName val="0"/>
          <c:showSerName val="0"/>
          <c:showPercent val="0"/>
          <c:showBubbleSize val="0"/>
        </c:dLbls>
        <c:gapWidth val="150"/>
        <c:axId val="418270032"/>
        <c:axId val="418271952"/>
      </c:barChart>
      <c:lineChart>
        <c:grouping val="standard"/>
        <c:varyColors val="0"/>
        <c:ser>
          <c:idx val="4"/>
          <c:order val="4"/>
          <c:tx>
            <c:strRef>
              <c:f>Visuals!$A$145</c:f>
              <c:strCache>
                <c:ptCount val="1"/>
                <c:pt idx="0">
                  <c:v>Delivering </c:v>
                </c:pt>
              </c:strCache>
            </c:strRef>
          </c:tx>
          <c:spPr>
            <a:ln w="19050" cap="rnd">
              <a:solidFill>
                <a:schemeClr val="tx1"/>
              </a:solidFill>
              <a:round/>
            </a:ln>
            <a:effectLst/>
          </c:spPr>
          <c:marker>
            <c:symbol val="none"/>
          </c:marker>
          <c:dLbls>
            <c:dLbl>
              <c:idx val="4"/>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A8-474F-B283-10DF79C9963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Visuals!$B$140:$F$140</c:f>
              <c:strCache>
                <c:ptCount val="5"/>
                <c:pt idx="0">
                  <c:v>KR8.1</c:v>
                </c:pt>
                <c:pt idx="1">
                  <c:v>KR8.2</c:v>
                </c:pt>
                <c:pt idx="2">
                  <c:v>KR8.3</c:v>
                </c:pt>
                <c:pt idx="3">
                  <c:v>KR8.4</c:v>
                </c:pt>
                <c:pt idx="4">
                  <c:v>KR8.5</c:v>
                </c:pt>
              </c:strCache>
            </c:strRef>
          </c:cat>
          <c:val>
            <c:numRef>
              <c:f>Visuals!$B$145:$F$145</c:f>
              <c:numCache>
                <c:formatCode>General</c:formatCode>
                <c:ptCount val="5"/>
                <c:pt idx="0">
                  <c:v>0.7</c:v>
                </c:pt>
                <c:pt idx="1">
                  <c:v>0.7</c:v>
                </c:pt>
                <c:pt idx="2">
                  <c:v>0.7</c:v>
                </c:pt>
                <c:pt idx="3">
                  <c:v>0.7</c:v>
                </c:pt>
                <c:pt idx="4">
                  <c:v>0.7</c:v>
                </c:pt>
              </c:numCache>
            </c:numRef>
          </c:val>
          <c:smooth val="0"/>
          <c:extLst>
            <c:ext xmlns:c16="http://schemas.microsoft.com/office/drawing/2014/chart" uri="{C3380CC4-5D6E-409C-BE32-E72D297353CC}">
              <c16:uniqueId val="{00000005-1AA8-474F-B283-10DF79C99632}"/>
            </c:ext>
          </c:extLst>
        </c:ser>
        <c:ser>
          <c:idx val="5"/>
          <c:order val="5"/>
          <c:tx>
            <c:strRef>
              <c:f>Visuals!$A$146</c:f>
              <c:strCache>
                <c:ptCount val="1"/>
                <c:pt idx="0">
                  <c:v>Measurable progress</c:v>
                </c:pt>
              </c:strCache>
            </c:strRef>
          </c:tx>
          <c:spPr>
            <a:ln w="25400" cap="rnd">
              <a:solidFill>
                <a:schemeClr val="tx1"/>
              </a:solidFill>
              <a:prstDash val="sysDot"/>
              <a:round/>
            </a:ln>
            <a:effectLst/>
          </c:spPr>
          <c:marker>
            <c:symbol val="none"/>
          </c:marker>
          <c:dLbls>
            <c:dLbl>
              <c:idx val="4"/>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A8-474F-B283-10DF79C9963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Visuals!$B$140:$F$140</c:f>
              <c:strCache>
                <c:ptCount val="5"/>
                <c:pt idx="0">
                  <c:v>KR8.1</c:v>
                </c:pt>
                <c:pt idx="1">
                  <c:v>KR8.2</c:v>
                </c:pt>
                <c:pt idx="2">
                  <c:v>KR8.3</c:v>
                </c:pt>
                <c:pt idx="3">
                  <c:v>KR8.4</c:v>
                </c:pt>
                <c:pt idx="4">
                  <c:v>KR8.5</c:v>
                </c:pt>
              </c:strCache>
            </c:strRef>
          </c:cat>
          <c:val>
            <c:numRef>
              <c:f>Visuals!$B$146:$F$146</c:f>
              <c:numCache>
                <c:formatCode>General</c:formatCode>
                <c:ptCount val="5"/>
                <c:pt idx="0">
                  <c:v>0.3</c:v>
                </c:pt>
                <c:pt idx="1">
                  <c:v>0.3</c:v>
                </c:pt>
                <c:pt idx="2">
                  <c:v>0.3</c:v>
                </c:pt>
                <c:pt idx="3">
                  <c:v>0.3</c:v>
                </c:pt>
                <c:pt idx="4">
                  <c:v>0.3</c:v>
                </c:pt>
              </c:numCache>
            </c:numRef>
          </c:val>
          <c:smooth val="0"/>
          <c:extLst>
            <c:ext xmlns:c16="http://schemas.microsoft.com/office/drawing/2014/chart" uri="{C3380CC4-5D6E-409C-BE32-E72D297353CC}">
              <c16:uniqueId val="{00000007-1AA8-474F-B283-10DF79C99632}"/>
            </c:ext>
          </c:extLst>
        </c:ser>
        <c:dLbls>
          <c:showLegendKey val="0"/>
          <c:showVal val="0"/>
          <c:showCatName val="0"/>
          <c:showSerName val="0"/>
          <c:showPercent val="0"/>
          <c:showBubbleSize val="0"/>
        </c:dLbls>
        <c:marker val="1"/>
        <c:smooth val="0"/>
        <c:axId val="576750976"/>
        <c:axId val="576756736"/>
      </c:lineChart>
      <c:catAx>
        <c:axId val="41827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71952"/>
        <c:crosses val="autoZero"/>
        <c:auto val="1"/>
        <c:lblAlgn val="ctr"/>
        <c:lblOffset val="100"/>
        <c:noMultiLvlLbl val="0"/>
      </c:catAx>
      <c:valAx>
        <c:axId val="41827195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Key result score</a:t>
                </a:r>
              </a:p>
            </c:rich>
          </c:tx>
          <c:layout>
            <c:manualLayout>
              <c:xMode val="edge"/>
              <c:yMode val="edge"/>
              <c:x val="7.9142629819229197E-3"/>
              <c:y val="0.1309513336162373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70032"/>
        <c:crosses val="autoZero"/>
        <c:crossBetween val="between"/>
        <c:majorUnit val="0.2"/>
      </c:valAx>
      <c:valAx>
        <c:axId val="576756736"/>
        <c:scaling>
          <c:orientation val="minMax"/>
        </c:scaling>
        <c:delete val="1"/>
        <c:axPos val="r"/>
        <c:numFmt formatCode="General" sourceLinked="1"/>
        <c:majorTickMark val="out"/>
        <c:minorTickMark val="none"/>
        <c:tickLblPos val="nextTo"/>
        <c:crossAx val="576750976"/>
        <c:crosses val="max"/>
        <c:crossBetween val="between"/>
      </c:valAx>
      <c:catAx>
        <c:axId val="576750976"/>
        <c:scaling>
          <c:orientation val="minMax"/>
        </c:scaling>
        <c:delete val="1"/>
        <c:axPos val="b"/>
        <c:numFmt formatCode="General" sourceLinked="1"/>
        <c:majorTickMark val="out"/>
        <c:minorTickMark val="none"/>
        <c:tickLblPos val="nextTo"/>
        <c:crossAx val="576756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Visuals!$H$141</c:f>
              <c:strCache>
                <c:ptCount val="1"/>
                <c:pt idx="0">
                  <c:v>Q1</c:v>
                </c:pt>
              </c:strCache>
            </c:strRef>
          </c:tx>
          <c:spPr>
            <a:solidFill>
              <a:srgbClr val="156082"/>
            </a:solidFill>
            <a:ln>
              <a:noFill/>
            </a:ln>
            <a:effectLst/>
          </c:spPr>
          <c:invertIfNegative val="0"/>
          <c:cat>
            <c:strRef>
              <c:f>Visuals!$I$140:$L$140</c:f>
              <c:strCache>
                <c:ptCount val="4"/>
                <c:pt idx="0">
                  <c:v>KR9.1</c:v>
                </c:pt>
                <c:pt idx="1">
                  <c:v>KR9.2</c:v>
                </c:pt>
                <c:pt idx="2">
                  <c:v>KR9.3</c:v>
                </c:pt>
                <c:pt idx="3">
                  <c:v>KR9.4</c:v>
                </c:pt>
              </c:strCache>
            </c:strRef>
          </c:cat>
          <c:val>
            <c:numRef>
              <c:f>Visuals!$I$141:$L$141</c:f>
              <c:numCache>
                <c:formatCode>General</c:formatCode>
                <c:ptCount val="4"/>
                <c:pt idx="0">
                  <c:v>0</c:v>
                </c:pt>
                <c:pt idx="1">
                  <c:v>0.06</c:v>
                </c:pt>
                <c:pt idx="2">
                  <c:v>0.2</c:v>
                </c:pt>
                <c:pt idx="3">
                  <c:v>0</c:v>
                </c:pt>
              </c:numCache>
            </c:numRef>
          </c:val>
          <c:extLst>
            <c:ext xmlns:c16="http://schemas.microsoft.com/office/drawing/2014/chart" uri="{C3380CC4-5D6E-409C-BE32-E72D297353CC}">
              <c16:uniqueId val="{00000000-71D8-4B3A-B9F2-881BD8836FE3}"/>
            </c:ext>
          </c:extLst>
        </c:ser>
        <c:ser>
          <c:idx val="1"/>
          <c:order val="1"/>
          <c:tx>
            <c:strRef>
              <c:f>Visuals!$H$142</c:f>
              <c:strCache>
                <c:ptCount val="1"/>
                <c:pt idx="0">
                  <c:v>Q2</c:v>
                </c:pt>
              </c:strCache>
            </c:strRef>
          </c:tx>
          <c:spPr>
            <a:solidFill>
              <a:srgbClr val="E97132"/>
            </a:solidFill>
            <a:ln>
              <a:noFill/>
            </a:ln>
            <a:effectLst/>
          </c:spPr>
          <c:invertIfNegative val="0"/>
          <c:cat>
            <c:strRef>
              <c:f>Visuals!$I$140:$L$140</c:f>
              <c:strCache>
                <c:ptCount val="4"/>
                <c:pt idx="0">
                  <c:v>KR9.1</c:v>
                </c:pt>
                <c:pt idx="1">
                  <c:v>KR9.2</c:v>
                </c:pt>
                <c:pt idx="2">
                  <c:v>KR9.3</c:v>
                </c:pt>
                <c:pt idx="3">
                  <c:v>KR9.4</c:v>
                </c:pt>
              </c:strCache>
            </c:strRef>
          </c:cat>
          <c:val>
            <c:numRef>
              <c:f>Visuals!$I$142:$L$142</c:f>
              <c:numCache>
                <c:formatCode>General</c:formatCode>
                <c:ptCount val="4"/>
                <c:pt idx="0">
                  <c:v>1</c:v>
                </c:pt>
                <c:pt idx="1">
                  <c:v>1</c:v>
                </c:pt>
                <c:pt idx="2">
                  <c:v>1</c:v>
                </c:pt>
                <c:pt idx="3">
                  <c:v>0</c:v>
                </c:pt>
              </c:numCache>
            </c:numRef>
          </c:val>
          <c:extLst>
            <c:ext xmlns:c16="http://schemas.microsoft.com/office/drawing/2014/chart" uri="{C3380CC4-5D6E-409C-BE32-E72D297353CC}">
              <c16:uniqueId val="{00000001-71D8-4B3A-B9F2-881BD8836FE3}"/>
            </c:ext>
          </c:extLst>
        </c:ser>
        <c:ser>
          <c:idx val="2"/>
          <c:order val="2"/>
          <c:tx>
            <c:strRef>
              <c:f>Visuals!$H$143</c:f>
              <c:strCache>
                <c:ptCount val="1"/>
                <c:pt idx="0">
                  <c:v>Q3</c:v>
                </c:pt>
              </c:strCache>
            </c:strRef>
          </c:tx>
          <c:spPr>
            <a:solidFill>
              <a:srgbClr val="2A8451"/>
            </a:solidFill>
            <a:ln>
              <a:noFill/>
            </a:ln>
            <a:effectLst/>
          </c:spPr>
          <c:invertIfNegative val="0"/>
          <c:cat>
            <c:strRef>
              <c:f>Visuals!$I$140:$L$140</c:f>
              <c:strCache>
                <c:ptCount val="4"/>
                <c:pt idx="0">
                  <c:v>KR9.1</c:v>
                </c:pt>
                <c:pt idx="1">
                  <c:v>KR9.2</c:v>
                </c:pt>
                <c:pt idx="2">
                  <c:v>KR9.3</c:v>
                </c:pt>
                <c:pt idx="3">
                  <c:v>KR9.4</c:v>
                </c:pt>
              </c:strCache>
            </c:strRef>
          </c:cat>
          <c:val>
            <c:numRef>
              <c:f>Visuals!$I$143:$L$143</c:f>
              <c:numCache>
                <c:formatCode>General</c:formatCode>
                <c:ptCount val="4"/>
                <c:pt idx="0">
                  <c:v>1</c:v>
                </c:pt>
                <c:pt idx="1">
                  <c:v>0.74</c:v>
                </c:pt>
                <c:pt idx="2">
                  <c:v>1</c:v>
                </c:pt>
                <c:pt idx="3">
                  <c:v>0</c:v>
                </c:pt>
              </c:numCache>
            </c:numRef>
          </c:val>
          <c:extLst>
            <c:ext xmlns:c16="http://schemas.microsoft.com/office/drawing/2014/chart" uri="{C3380CC4-5D6E-409C-BE32-E72D297353CC}">
              <c16:uniqueId val="{00000002-71D8-4B3A-B9F2-881BD8836FE3}"/>
            </c:ext>
          </c:extLst>
        </c:ser>
        <c:ser>
          <c:idx val="3"/>
          <c:order val="3"/>
          <c:tx>
            <c:strRef>
              <c:f>Visuals!$H$144</c:f>
              <c:strCache>
                <c:ptCount val="1"/>
                <c:pt idx="0">
                  <c:v>Q4</c:v>
                </c:pt>
              </c:strCache>
            </c:strRef>
          </c:tx>
          <c:spPr>
            <a:solidFill>
              <a:srgbClr val="A22895"/>
            </a:solidFill>
            <a:ln>
              <a:noFill/>
            </a:ln>
            <a:effectLst/>
          </c:spPr>
          <c:invertIfNegative val="0"/>
          <c:cat>
            <c:strRef>
              <c:f>Visuals!$I$140:$L$140</c:f>
              <c:strCache>
                <c:ptCount val="4"/>
                <c:pt idx="0">
                  <c:v>KR9.1</c:v>
                </c:pt>
                <c:pt idx="1">
                  <c:v>KR9.2</c:v>
                </c:pt>
                <c:pt idx="2">
                  <c:v>KR9.3</c:v>
                </c:pt>
                <c:pt idx="3">
                  <c:v>KR9.4</c:v>
                </c:pt>
              </c:strCache>
            </c:strRef>
          </c:cat>
          <c:val>
            <c:numRef>
              <c:f>Visuals!$I$144:$L$144</c:f>
              <c:numCache>
                <c:formatCode>General</c:formatCode>
                <c:ptCount val="4"/>
              </c:numCache>
            </c:numRef>
          </c:val>
          <c:extLst>
            <c:ext xmlns:c16="http://schemas.microsoft.com/office/drawing/2014/chart" uri="{C3380CC4-5D6E-409C-BE32-E72D297353CC}">
              <c16:uniqueId val="{00000003-71D8-4B3A-B9F2-881BD8836FE3}"/>
            </c:ext>
          </c:extLst>
        </c:ser>
        <c:dLbls>
          <c:showLegendKey val="0"/>
          <c:showVal val="0"/>
          <c:showCatName val="0"/>
          <c:showSerName val="0"/>
          <c:showPercent val="0"/>
          <c:showBubbleSize val="0"/>
        </c:dLbls>
        <c:gapWidth val="150"/>
        <c:axId val="304305440"/>
        <c:axId val="304303520"/>
      </c:barChart>
      <c:lineChart>
        <c:grouping val="standard"/>
        <c:varyColors val="0"/>
        <c:ser>
          <c:idx val="4"/>
          <c:order val="4"/>
          <c:tx>
            <c:strRef>
              <c:f>Visuals!$H$145</c:f>
              <c:strCache>
                <c:ptCount val="1"/>
                <c:pt idx="0">
                  <c:v>Delivering </c:v>
                </c:pt>
              </c:strCache>
            </c:strRef>
          </c:tx>
          <c:spPr>
            <a:ln w="19050" cap="rnd">
              <a:solidFill>
                <a:schemeClr val="tx1"/>
              </a:solidFill>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D8-4B3A-B9F2-881BD8836F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Visuals!$I$140:$L$140</c:f>
              <c:strCache>
                <c:ptCount val="4"/>
                <c:pt idx="0">
                  <c:v>KR9.1</c:v>
                </c:pt>
                <c:pt idx="1">
                  <c:v>KR9.2</c:v>
                </c:pt>
                <c:pt idx="2">
                  <c:v>KR9.3</c:v>
                </c:pt>
                <c:pt idx="3">
                  <c:v>KR9.4</c:v>
                </c:pt>
              </c:strCache>
            </c:strRef>
          </c:cat>
          <c:val>
            <c:numRef>
              <c:f>Visuals!$I$145:$L$145</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71D8-4B3A-B9F2-881BD8836FE3}"/>
            </c:ext>
          </c:extLst>
        </c:ser>
        <c:ser>
          <c:idx val="5"/>
          <c:order val="5"/>
          <c:tx>
            <c:strRef>
              <c:f>Visuals!$H$146</c:f>
              <c:strCache>
                <c:ptCount val="1"/>
                <c:pt idx="0">
                  <c:v>Measurable progress</c:v>
                </c:pt>
              </c:strCache>
            </c:strRef>
          </c:tx>
          <c:spPr>
            <a:ln w="25400" cap="rnd">
              <a:solidFill>
                <a:schemeClr val="tx1"/>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D8-4B3A-B9F2-881BD8836F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Visuals!$I$140:$L$140</c:f>
              <c:strCache>
                <c:ptCount val="4"/>
                <c:pt idx="0">
                  <c:v>KR9.1</c:v>
                </c:pt>
                <c:pt idx="1">
                  <c:v>KR9.2</c:v>
                </c:pt>
                <c:pt idx="2">
                  <c:v>KR9.3</c:v>
                </c:pt>
                <c:pt idx="3">
                  <c:v>KR9.4</c:v>
                </c:pt>
              </c:strCache>
            </c:strRef>
          </c:cat>
          <c:val>
            <c:numRef>
              <c:f>Visuals!$I$146:$L$146</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71D8-4B3A-B9F2-881BD8836FE3}"/>
            </c:ext>
          </c:extLst>
        </c:ser>
        <c:dLbls>
          <c:showLegendKey val="0"/>
          <c:showVal val="0"/>
          <c:showCatName val="0"/>
          <c:showSerName val="0"/>
          <c:showPercent val="0"/>
          <c:showBubbleSize val="0"/>
        </c:dLbls>
        <c:marker val="1"/>
        <c:smooth val="0"/>
        <c:axId val="425930000"/>
        <c:axId val="425922800"/>
      </c:lineChart>
      <c:catAx>
        <c:axId val="3043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4303520"/>
        <c:crosses val="autoZero"/>
        <c:auto val="1"/>
        <c:lblAlgn val="ctr"/>
        <c:lblOffset val="100"/>
        <c:noMultiLvlLbl val="0"/>
      </c:catAx>
      <c:valAx>
        <c:axId val="30430352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2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Key result score</a:t>
                </a:r>
                <a:endParaRPr lang="en-GB" sz="12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endParaRPr>
              </a:p>
            </c:rich>
          </c:tx>
          <c:layout>
            <c:manualLayout>
              <c:xMode val="edge"/>
              <c:yMode val="edge"/>
              <c:x val="1.0674574256793273E-2"/>
              <c:y val="0.1380802372464574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4305440"/>
        <c:crosses val="autoZero"/>
        <c:crossBetween val="between"/>
        <c:majorUnit val="0.2"/>
      </c:valAx>
      <c:valAx>
        <c:axId val="425922800"/>
        <c:scaling>
          <c:orientation val="minMax"/>
        </c:scaling>
        <c:delete val="1"/>
        <c:axPos val="r"/>
        <c:numFmt formatCode="General" sourceLinked="1"/>
        <c:majorTickMark val="out"/>
        <c:minorTickMark val="none"/>
        <c:tickLblPos val="nextTo"/>
        <c:crossAx val="425930000"/>
        <c:crosses val="max"/>
        <c:crossBetween val="between"/>
      </c:valAx>
      <c:catAx>
        <c:axId val="425930000"/>
        <c:scaling>
          <c:orientation val="minMax"/>
        </c:scaling>
        <c:delete val="1"/>
        <c:axPos val="b"/>
        <c:numFmt formatCode="General" sourceLinked="1"/>
        <c:majorTickMark val="out"/>
        <c:minorTickMark val="none"/>
        <c:tickLblPos val="nextTo"/>
        <c:crossAx val="425922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2640544714926"/>
          <c:y val="5.295199895986763E-2"/>
          <c:w val="0.86604773615475927"/>
          <c:h val="0.70986504994950728"/>
        </c:manualLayout>
      </c:layout>
      <c:barChart>
        <c:barDir val="col"/>
        <c:grouping val="clustered"/>
        <c:varyColors val="0"/>
        <c:ser>
          <c:idx val="0"/>
          <c:order val="0"/>
          <c:tx>
            <c:strRef>
              <c:f>Visuals!$A$164</c:f>
              <c:strCache>
                <c:ptCount val="1"/>
                <c:pt idx="0">
                  <c:v>Q1</c:v>
                </c:pt>
              </c:strCache>
            </c:strRef>
          </c:tx>
          <c:spPr>
            <a:solidFill>
              <a:srgbClr val="156082"/>
            </a:solidFill>
            <a:ln>
              <a:noFill/>
            </a:ln>
            <a:effectLst/>
          </c:spPr>
          <c:invertIfNegative val="0"/>
          <c:cat>
            <c:strRef>
              <c:f>Visuals!$B$163:$D$163</c:f>
              <c:strCache>
                <c:ptCount val="3"/>
                <c:pt idx="0">
                  <c:v>KR10.1</c:v>
                </c:pt>
                <c:pt idx="1">
                  <c:v>KR10.2</c:v>
                </c:pt>
                <c:pt idx="2">
                  <c:v>KR10.3</c:v>
                </c:pt>
              </c:strCache>
            </c:strRef>
          </c:cat>
          <c:val>
            <c:numRef>
              <c:f>Visuals!$B$164:$D$164</c:f>
              <c:numCache>
                <c:formatCode>General</c:formatCode>
                <c:ptCount val="3"/>
                <c:pt idx="0">
                  <c:v>0</c:v>
                </c:pt>
                <c:pt idx="1">
                  <c:v>0</c:v>
                </c:pt>
                <c:pt idx="2">
                  <c:v>0</c:v>
                </c:pt>
              </c:numCache>
            </c:numRef>
          </c:val>
          <c:extLst>
            <c:ext xmlns:c16="http://schemas.microsoft.com/office/drawing/2014/chart" uri="{C3380CC4-5D6E-409C-BE32-E72D297353CC}">
              <c16:uniqueId val="{00000000-126C-437C-985A-1ADD7F544956}"/>
            </c:ext>
          </c:extLst>
        </c:ser>
        <c:ser>
          <c:idx val="1"/>
          <c:order val="1"/>
          <c:tx>
            <c:strRef>
              <c:f>Visuals!$A$165</c:f>
              <c:strCache>
                <c:ptCount val="1"/>
                <c:pt idx="0">
                  <c:v>Q2</c:v>
                </c:pt>
              </c:strCache>
            </c:strRef>
          </c:tx>
          <c:spPr>
            <a:solidFill>
              <a:srgbClr val="E97132"/>
            </a:solidFill>
            <a:ln>
              <a:noFill/>
            </a:ln>
            <a:effectLst/>
          </c:spPr>
          <c:invertIfNegative val="0"/>
          <c:cat>
            <c:strRef>
              <c:f>Visuals!$B$163:$D$163</c:f>
              <c:strCache>
                <c:ptCount val="3"/>
                <c:pt idx="0">
                  <c:v>KR10.1</c:v>
                </c:pt>
                <c:pt idx="1">
                  <c:v>KR10.2</c:v>
                </c:pt>
                <c:pt idx="2">
                  <c:v>KR10.3</c:v>
                </c:pt>
              </c:strCache>
            </c:strRef>
          </c:cat>
          <c:val>
            <c:numRef>
              <c:f>Visuals!$B$165:$D$165</c:f>
              <c:numCache>
                <c:formatCode>General</c:formatCode>
                <c:ptCount val="3"/>
                <c:pt idx="0">
                  <c:v>0</c:v>
                </c:pt>
                <c:pt idx="1">
                  <c:v>0</c:v>
                </c:pt>
                <c:pt idx="2">
                  <c:v>0</c:v>
                </c:pt>
              </c:numCache>
            </c:numRef>
          </c:val>
          <c:extLst>
            <c:ext xmlns:c16="http://schemas.microsoft.com/office/drawing/2014/chart" uri="{C3380CC4-5D6E-409C-BE32-E72D297353CC}">
              <c16:uniqueId val="{00000001-126C-437C-985A-1ADD7F544956}"/>
            </c:ext>
          </c:extLst>
        </c:ser>
        <c:ser>
          <c:idx val="2"/>
          <c:order val="2"/>
          <c:tx>
            <c:strRef>
              <c:f>Visuals!$A$166</c:f>
              <c:strCache>
                <c:ptCount val="1"/>
                <c:pt idx="0">
                  <c:v>Q3</c:v>
                </c:pt>
              </c:strCache>
            </c:strRef>
          </c:tx>
          <c:spPr>
            <a:solidFill>
              <a:srgbClr val="2A8451"/>
            </a:solidFill>
            <a:ln>
              <a:noFill/>
            </a:ln>
            <a:effectLst/>
          </c:spPr>
          <c:invertIfNegative val="0"/>
          <c:cat>
            <c:strRef>
              <c:f>Visuals!$B$163:$D$163</c:f>
              <c:strCache>
                <c:ptCount val="3"/>
                <c:pt idx="0">
                  <c:v>KR10.1</c:v>
                </c:pt>
                <c:pt idx="1">
                  <c:v>KR10.2</c:v>
                </c:pt>
                <c:pt idx="2">
                  <c:v>KR10.3</c:v>
                </c:pt>
              </c:strCache>
            </c:strRef>
          </c:cat>
          <c:val>
            <c:numRef>
              <c:f>Visuals!$B$166:$D$166</c:f>
              <c:numCache>
                <c:formatCode>General</c:formatCode>
                <c:ptCount val="3"/>
              </c:numCache>
            </c:numRef>
          </c:val>
          <c:extLst>
            <c:ext xmlns:c16="http://schemas.microsoft.com/office/drawing/2014/chart" uri="{C3380CC4-5D6E-409C-BE32-E72D297353CC}">
              <c16:uniqueId val="{00000002-126C-437C-985A-1ADD7F544956}"/>
            </c:ext>
          </c:extLst>
        </c:ser>
        <c:ser>
          <c:idx val="3"/>
          <c:order val="3"/>
          <c:tx>
            <c:strRef>
              <c:f>Visuals!$A$167</c:f>
              <c:strCache>
                <c:ptCount val="1"/>
                <c:pt idx="0">
                  <c:v>Q4</c:v>
                </c:pt>
              </c:strCache>
            </c:strRef>
          </c:tx>
          <c:spPr>
            <a:solidFill>
              <a:srgbClr val="A22895"/>
            </a:solidFill>
            <a:ln>
              <a:noFill/>
            </a:ln>
            <a:effectLst/>
          </c:spPr>
          <c:invertIfNegative val="0"/>
          <c:cat>
            <c:strRef>
              <c:f>Visuals!$B$163:$D$163</c:f>
              <c:strCache>
                <c:ptCount val="3"/>
                <c:pt idx="0">
                  <c:v>KR10.1</c:v>
                </c:pt>
                <c:pt idx="1">
                  <c:v>KR10.2</c:v>
                </c:pt>
                <c:pt idx="2">
                  <c:v>KR10.3</c:v>
                </c:pt>
              </c:strCache>
            </c:strRef>
          </c:cat>
          <c:val>
            <c:numRef>
              <c:f>Visuals!$B$167:$D$167</c:f>
              <c:numCache>
                <c:formatCode>General</c:formatCode>
                <c:ptCount val="3"/>
              </c:numCache>
            </c:numRef>
          </c:val>
          <c:extLst>
            <c:ext xmlns:c16="http://schemas.microsoft.com/office/drawing/2014/chart" uri="{C3380CC4-5D6E-409C-BE32-E72D297353CC}">
              <c16:uniqueId val="{00000003-126C-437C-985A-1ADD7F544956}"/>
            </c:ext>
          </c:extLst>
        </c:ser>
        <c:dLbls>
          <c:showLegendKey val="0"/>
          <c:showVal val="0"/>
          <c:showCatName val="0"/>
          <c:showSerName val="0"/>
          <c:showPercent val="0"/>
          <c:showBubbleSize val="0"/>
        </c:dLbls>
        <c:gapWidth val="150"/>
        <c:axId val="424170816"/>
        <c:axId val="424177536"/>
      </c:barChart>
      <c:lineChart>
        <c:grouping val="standard"/>
        <c:varyColors val="0"/>
        <c:ser>
          <c:idx val="4"/>
          <c:order val="4"/>
          <c:tx>
            <c:strRef>
              <c:f>Visuals!$A$168</c:f>
              <c:strCache>
                <c:ptCount val="1"/>
                <c:pt idx="0">
                  <c:v>Delivering </c:v>
                </c:pt>
              </c:strCache>
            </c:strRef>
          </c:tx>
          <c:spPr>
            <a:ln w="19050" cap="rnd">
              <a:solidFill>
                <a:schemeClr val="tx1"/>
              </a:solidFill>
              <a:round/>
            </a:ln>
            <a:effectLst/>
          </c:spPr>
          <c:marker>
            <c:symbol val="none"/>
          </c:marker>
          <c:cat>
            <c:strRef>
              <c:f>Visuals!$B$163:$D$163</c:f>
              <c:strCache>
                <c:ptCount val="3"/>
                <c:pt idx="0">
                  <c:v>KR10.1</c:v>
                </c:pt>
                <c:pt idx="1">
                  <c:v>KR10.2</c:v>
                </c:pt>
                <c:pt idx="2">
                  <c:v>KR10.3</c:v>
                </c:pt>
              </c:strCache>
            </c:strRef>
          </c:cat>
          <c:val>
            <c:numRef>
              <c:f>Visuals!$B$168:$D$168</c:f>
              <c:numCache>
                <c:formatCode>General</c:formatCode>
                <c:ptCount val="3"/>
                <c:pt idx="0">
                  <c:v>0.7</c:v>
                </c:pt>
                <c:pt idx="1">
                  <c:v>0.7</c:v>
                </c:pt>
                <c:pt idx="2">
                  <c:v>0.7</c:v>
                </c:pt>
              </c:numCache>
            </c:numRef>
          </c:val>
          <c:smooth val="0"/>
          <c:extLst>
            <c:ext xmlns:c16="http://schemas.microsoft.com/office/drawing/2014/chart" uri="{C3380CC4-5D6E-409C-BE32-E72D297353CC}">
              <c16:uniqueId val="{00000004-126C-437C-985A-1ADD7F544956}"/>
            </c:ext>
          </c:extLst>
        </c:ser>
        <c:ser>
          <c:idx val="5"/>
          <c:order val="5"/>
          <c:tx>
            <c:strRef>
              <c:f>Visuals!$A$169</c:f>
              <c:strCache>
                <c:ptCount val="1"/>
                <c:pt idx="0">
                  <c:v>Measurable progress</c:v>
                </c:pt>
              </c:strCache>
            </c:strRef>
          </c:tx>
          <c:spPr>
            <a:ln w="25400" cap="rnd">
              <a:solidFill>
                <a:schemeClr val="tx1"/>
              </a:solidFill>
              <a:prstDash val="sysDot"/>
              <a:round/>
            </a:ln>
            <a:effectLst/>
          </c:spPr>
          <c:marker>
            <c:symbol val="none"/>
          </c:marker>
          <c:cat>
            <c:strRef>
              <c:f>Visuals!$B$163:$D$163</c:f>
              <c:strCache>
                <c:ptCount val="3"/>
                <c:pt idx="0">
                  <c:v>KR10.1</c:v>
                </c:pt>
                <c:pt idx="1">
                  <c:v>KR10.2</c:v>
                </c:pt>
                <c:pt idx="2">
                  <c:v>KR10.3</c:v>
                </c:pt>
              </c:strCache>
            </c:strRef>
          </c:cat>
          <c:val>
            <c:numRef>
              <c:f>Visuals!$B$169:$D$169</c:f>
              <c:numCache>
                <c:formatCode>General</c:formatCode>
                <c:ptCount val="3"/>
                <c:pt idx="0">
                  <c:v>0.3</c:v>
                </c:pt>
                <c:pt idx="1">
                  <c:v>0.3</c:v>
                </c:pt>
                <c:pt idx="2">
                  <c:v>0.3</c:v>
                </c:pt>
              </c:numCache>
            </c:numRef>
          </c:val>
          <c:smooth val="0"/>
          <c:extLst>
            <c:ext xmlns:c16="http://schemas.microsoft.com/office/drawing/2014/chart" uri="{C3380CC4-5D6E-409C-BE32-E72D297353CC}">
              <c16:uniqueId val="{00000005-126C-437C-985A-1ADD7F544956}"/>
            </c:ext>
          </c:extLst>
        </c:ser>
        <c:dLbls>
          <c:showLegendKey val="0"/>
          <c:showVal val="0"/>
          <c:showCatName val="0"/>
          <c:showSerName val="0"/>
          <c:showPercent val="0"/>
          <c:showBubbleSize val="0"/>
        </c:dLbls>
        <c:marker val="1"/>
        <c:smooth val="0"/>
        <c:axId val="413867344"/>
        <c:axId val="413863504"/>
      </c:lineChart>
      <c:catAx>
        <c:axId val="42417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4177536"/>
        <c:crosses val="autoZero"/>
        <c:auto val="1"/>
        <c:lblAlgn val="ctr"/>
        <c:lblOffset val="100"/>
        <c:noMultiLvlLbl val="0"/>
      </c:catAx>
      <c:valAx>
        <c:axId val="4241775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4.5399919882494325E-2"/>
              <c:y val="0.2268393333891395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4170816"/>
        <c:crosses val="autoZero"/>
        <c:crossBetween val="between"/>
        <c:majorUnit val="0.2"/>
      </c:valAx>
      <c:valAx>
        <c:axId val="413863504"/>
        <c:scaling>
          <c:orientation val="minMax"/>
        </c:scaling>
        <c:delete val="1"/>
        <c:axPos val="r"/>
        <c:numFmt formatCode="General" sourceLinked="1"/>
        <c:majorTickMark val="out"/>
        <c:minorTickMark val="none"/>
        <c:tickLblPos val="nextTo"/>
        <c:crossAx val="413867344"/>
        <c:crosses val="max"/>
        <c:crossBetween val="between"/>
      </c:valAx>
      <c:catAx>
        <c:axId val="413867344"/>
        <c:scaling>
          <c:orientation val="minMax"/>
        </c:scaling>
        <c:delete val="1"/>
        <c:axPos val="b"/>
        <c:numFmt formatCode="General" sourceLinked="1"/>
        <c:majorTickMark val="out"/>
        <c:minorTickMark val="none"/>
        <c:tickLblPos val="nextTo"/>
        <c:crossAx val="413863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Visuals!$H$164</c:f>
              <c:strCache>
                <c:ptCount val="1"/>
                <c:pt idx="0">
                  <c:v>Q1</c:v>
                </c:pt>
              </c:strCache>
            </c:strRef>
          </c:tx>
          <c:spPr>
            <a:solidFill>
              <a:srgbClr val="156082"/>
            </a:solidFill>
            <a:ln>
              <a:noFill/>
            </a:ln>
            <a:effectLst/>
          </c:spPr>
          <c:invertIfNegative val="0"/>
          <c:cat>
            <c:strRef>
              <c:f>Visuals!$I$163:$L$163</c:f>
              <c:strCache>
                <c:ptCount val="4"/>
                <c:pt idx="0">
                  <c:v>KR11.1</c:v>
                </c:pt>
                <c:pt idx="1">
                  <c:v>KR11.2</c:v>
                </c:pt>
                <c:pt idx="2">
                  <c:v>KR11.3</c:v>
                </c:pt>
                <c:pt idx="3">
                  <c:v>KR11.4</c:v>
                </c:pt>
              </c:strCache>
            </c:strRef>
          </c:cat>
          <c:val>
            <c:numRef>
              <c:f>Visuals!$I$164:$L$164</c:f>
              <c:numCache>
                <c:formatCode>General</c:formatCode>
                <c:ptCount val="4"/>
                <c:pt idx="0">
                  <c:v>1</c:v>
                </c:pt>
                <c:pt idx="1">
                  <c:v>0</c:v>
                </c:pt>
                <c:pt idx="2">
                  <c:v>0</c:v>
                </c:pt>
                <c:pt idx="3">
                  <c:v>0.74</c:v>
                </c:pt>
              </c:numCache>
            </c:numRef>
          </c:val>
          <c:extLst>
            <c:ext xmlns:c16="http://schemas.microsoft.com/office/drawing/2014/chart" uri="{C3380CC4-5D6E-409C-BE32-E72D297353CC}">
              <c16:uniqueId val="{00000000-0113-497A-9FAE-E24EC48641F7}"/>
            </c:ext>
          </c:extLst>
        </c:ser>
        <c:ser>
          <c:idx val="1"/>
          <c:order val="1"/>
          <c:tx>
            <c:strRef>
              <c:f>Visuals!$H$165</c:f>
              <c:strCache>
                <c:ptCount val="1"/>
                <c:pt idx="0">
                  <c:v>Q2</c:v>
                </c:pt>
              </c:strCache>
            </c:strRef>
          </c:tx>
          <c:spPr>
            <a:solidFill>
              <a:srgbClr val="E97132"/>
            </a:solidFill>
            <a:ln>
              <a:noFill/>
            </a:ln>
            <a:effectLst/>
          </c:spPr>
          <c:invertIfNegative val="0"/>
          <c:cat>
            <c:strRef>
              <c:f>Visuals!$I$163:$L$163</c:f>
              <c:strCache>
                <c:ptCount val="4"/>
                <c:pt idx="0">
                  <c:v>KR11.1</c:v>
                </c:pt>
                <c:pt idx="1">
                  <c:v>KR11.2</c:v>
                </c:pt>
                <c:pt idx="2">
                  <c:v>KR11.3</c:v>
                </c:pt>
                <c:pt idx="3">
                  <c:v>KR11.4</c:v>
                </c:pt>
              </c:strCache>
            </c:strRef>
          </c:cat>
          <c:val>
            <c:numRef>
              <c:f>Visuals!$I$165:$L$165</c:f>
              <c:numCache>
                <c:formatCode>General</c:formatCode>
                <c:ptCount val="4"/>
                <c:pt idx="0">
                  <c:v>1</c:v>
                </c:pt>
                <c:pt idx="1">
                  <c:v>0</c:v>
                </c:pt>
                <c:pt idx="2">
                  <c:v>0</c:v>
                </c:pt>
                <c:pt idx="3">
                  <c:v>1</c:v>
                </c:pt>
              </c:numCache>
            </c:numRef>
          </c:val>
          <c:extLst>
            <c:ext xmlns:c16="http://schemas.microsoft.com/office/drawing/2014/chart" uri="{C3380CC4-5D6E-409C-BE32-E72D297353CC}">
              <c16:uniqueId val="{00000001-0113-497A-9FAE-E24EC48641F7}"/>
            </c:ext>
          </c:extLst>
        </c:ser>
        <c:ser>
          <c:idx val="2"/>
          <c:order val="2"/>
          <c:tx>
            <c:strRef>
              <c:f>Visuals!$H$166</c:f>
              <c:strCache>
                <c:ptCount val="1"/>
                <c:pt idx="0">
                  <c:v>Q3</c:v>
                </c:pt>
              </c:strCache>
            </c:strRef>
          </c:tx>
          <c:spPr>
            <a:solidFill>
              <a:srgbClr val="2A8451"/>
            </a:solidFill>
            <a:ln>
              <a:noFill/>
            </a:ln>
            <a:effectLst/>
          </c:spPr>
          <c:invertIfNegative val="0"/>
          <c:cat>
            <c:strRef>
              <c:f>Visuals!$I$163:$L$163</c:f>
              <c:strCache>
                <c:ptCount val="4"/>
                <c:pt idx="0">
                  <c:v>KR11.1</c:v>
                </c:pt>
                <c:pt idx="1">
                  <c:v>KR11.2</c:v>
                </c:pt>
                <c:pt idx="2">
                  <c:v>KR11.3</c:v>
                </c:pt>
                <c:pt idx="3">
                  <c:v>KR11.4</c:v>
                </c:pt>
              </c:strCache>
            </c:strRef>
          </c:cat>
          <c:val>
            <c:numRef>
              <c:f>Visuals!$I$166:$L$166</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0113-497A-9FAE-E24EC48641F7}"/>
            </c:ext>
          </c:extLst>
        </c:ser>
        <c:ser>
          <c:idx val="3"/>
          <c:order val="3"/>
          <c:tx>
            <c:strRef>
              <c:f>Visuals!$H$167</c:f>
              <c:strCache>
                <c:ptCount val="1"/>
                <c:pt idx="0">
                  <c:v>Q4</c:v>
                </c:pt>
              </c:strCache>
            </c:strRef>
          </c:tx>
          <c:spPr>
            <a:solidFill>
              <a:srgbClr val="A22895"/>
            </a:solidFill>
            <a:ln>
              <a:noFill/>
            </a:ln>
            <a:effectLst/>
          </c:spPr>
          <c:invertIfNegative val="0"/>
          <c:cat>
            <c:strRef>
              <c:f>Visuals!$I$163:$L$163</c:f>
              <c:strCache>
                <c:ptCount val="4"/>
                <c:pt idx="0">
                  <c:v>KR11.1</c:v>
                </c:pt>
                <c:pt idx="1">
                  <c:v>KR11.2</c:v>
                </c:pt>
                <c:pt idx="2">
                  <c:v>KR11.3</c:v>
                </c:pt>
                <c:pt idx="3">
                  <c:v>KR11.4</c:v>
                </c:pt>
              </c:strCache>
            </c:strRef>
          </c:cat>
          <c:val>
            <c:numRef>
              <c:f>Visuals!$I$167:$L$167</c:f>
              <c:numCache>
                <c:formatCode>General</c:formatCode>
                <c:ptCount val="4"/>
              </c:numCache>
            </c:numRef>
          </c:val>
          <c:extLst>
            <c:ext xmlns:c16="http://schemas.microsoft.com/office/drawing/2014/chart" uri="{C3380CC4-5D6E-409C-BE32-E72D297353CC}">
              <c16:uniqueId val="{00000003-0113-497A-9FAE-E24EC48641F7}"/>
            </c:ext>
          </c:extLst>
        </c:ser>
        <c:dLbls>
          <c:showLegendKey val="0"/>
          <c:showVal val="0"/>
          <c:showCatName val="0"/>
          <c:showSerName val="0"/>
          <c:showPercent val="0"/>
          <c:showBubbleSize val="0"/>
        </c:dLbls>
        <c:gapWidth val="150"/>
        <c:axId val="68564576"/>
        <c:axId val="68558336"/>
      </c:barChart>
      <c:lineChart>
        <c:grouping val="standard"/>
        <c:varyColors val="0"/>
        <c:ser>
          <c:idx val="4"/>
          <c:order val="4"/>
          <c:tx>
            <c:strRef>
              <c:f>Visuals!$H$168</c:f>
              <c:strCache>
                <c:ptCount val="1"/>
                <c:pt idx="0">
                  <c:v>Delivering </c:v>
                </c:pt>
              </c:strCache>
            </c:strRef>
          </c:tx>
          <c:spPr>
            <a:ln w="19050" cap="rnd">
              <a:solidFill>
                <a:schemeClr val="tx1"/>
              </a:solidFill>
              <a:round/>
            </a:ln>
            <a:effectLst/>
          </c:spPr>
          <c:marker>
            <c:symbol val="none"/>
          </c:marker>
          <c:dLbls>
            <c:dLbl>
              <c:idx val="3"/>
              <c:layout>
                <c:manualLayout>
                  <c:x val="3.3459971862007769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13-497A-9FAE-E24EC48641F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Visuals!$I$163:$L$163</c:f>
              <c:strCache>
                <c:ptCount val="4"/>
                <c:pt idx="0">
                  <c:v>KR11.1</c:v>
                </c:pt>
                <c:pt idx="1">
                  <c:v>KR11.2</c:v>
                </c:pt>
                <c:pt idx="2">
                  <c:v>KR11.3</c:v>
                </c:pt>
                <c:pt idx="3">
                  <c:v>KR11.4</c:v>
                </c:pt>
              </c:strCache>
            </c:strRef>
          </c:cat>
          <c:val>
            <c:numRef>
              <c:f>Visuals!$I$168:$L$168</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0113-497A-9FAE-E24EC48641F7}"/>
            </c:ext>
          </c:extLst>
        </c:ser>
        <c:ser>
          <c:idx val="5"/>
          <c:order val="5"/>
          <c:tx>
            <c:strRef>
              <c:f>Visuals!$H$169</c:f>
              <c:strCache>
                <c:ptCount val="1"/>
                <c:pt idx="0">
                  <c:v>Measurable progress</c:v>
                </c:pt>
              </c:strCache>
            </c:strRef>
          </c:tx>
          <c:spPr>
            <a:ln w="25400" cap="rnd">
              <a:solidFill>
                <a:schemeClr val="tx1"/>
              </a:solidFill>
              <a:prstDash val="sysDot"/>
              <a:round/>
            </a:ln>
            <a:effectLst/>
          </c:spPr>
          <c:marker>
            <c:symbol val="none"/>
          </c:marker>
          <c:dLbls>
            <c:dLbl>
              <c:idx val="3"/>
              <c:layout>
                <c:manualLayout>
                  <c:x val="3.1491738223066272E-2"/>
                  <c:y val="-8.1872611889752929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13-497A-9FAE-E24EC48641F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Visuals!$I$163:$L$163</c:f>
              <c:strCache>
                <c:ptCount val="4"/>
                <c:pt idx="0">
                  <c:v>KR11.1</c:v>
                </c:pt>
                <c:pt idx="1">
                  <c:v>KR11.2</c:v>
                </c:pt>
                <c:pt idx="2">
                  <c:v>KR11.3</c:v>
                </c:pt>
                <c:pt idx="3">
                  <c:v>KR11.4</c:v>
                </c:pt>
              </c:strCache>
            </c:strRef>
          </c:cat>
          <c:val>
            <c:numRef>
              <c:f>Visuals!$I$169:$L$169</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0113-497A-9FAE-E24EC48641F7}"/>
            </c:ext>
          </c:extLst>
        </c:ser>
        <c:dLbls>
          <c:showLegendKey val="0"/>
          <c:showVal val="0"/>
          <c:showCatName val="0"/>
          <c:showSerName val="0"/>
          <c:showPercent val="0"/>
          <c:showBubbleSize val="0"/>
        </c:dLbls>
        <c:marker val="1"/>
        <c:smooth val="0"/>
        <c:axId val="466139888"/>
        <c:axId val="466147088"/>
      </c:lineChart>
      <c:catAx>
        <c:axId val="685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58336"/>
        <c:crosses val="autoZero"/>
        <c:auto val="1"/>
        <c:lblAlgn val="ctr"/>
        <c:lblOffset val="100"/>
        <c:noMultiLvlLbl val="0"/>
      </c:catAx>
      <c:valAx>
        <c:axId val="685583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Key result score</a:t>
                </a:r>
              </a:p>
            </c:rich>
          </c:tx>
          <c:layout>
            <c:manualLayout>
              <c:xMode val="edge"/>
              <c:yMode val="edge"/>
              <c:x val="1.3714285009067781E-2"/>
              <c:y val="0.2835151132682053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64576"/>
        <c:crosses val="autoZero"/>
        <c:crossBetween val="between"/>
        <c:majorUnit val="0.2"/>
      </c:valAx>
      <c:valAx>
        <c:axId val="466147088"/>
        <c:scaling>
          <c:orientation val="minMax"/>
        </c:scaling>
        <c:delete val="1"/>
        <c:axPos val="r"/>
        <c:numFmt formatCode="General" sourceLinked="1"/>
        <c:majorTickMark val="out"/>
        <c:minorTickMark val="none"/>
        <c:tickLblPos val="nextTo"/>
        <c:crossAx val="466139888"/>
        <c:crosses val="max"/>
        <c:crossBetween val="between"/>
      </c:valAx>
      <c:catAx>
        <c:axId val="466139888"/>
        <c:scaling>
          <c:orientation val="minMax"/>
        </c:scaling>
        <c:delete val="1"/>
        <c:axPos val="b"/>
        <c:numFmt formatCode="General" sourceLinked="1"/>
        <c:majorTickMark val="out"/>
        <c:minorTickMark val="none"/>
        <c:tickLblPos val="nextTo"/>
        <c:crossAx val="4661470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496207421783837E-2"/>
          <c:y val="0.12219873150105706"/>
          <c:w val="0.90069087877261733"/>
          <c:h val="0.57051422483394654"/>
        </c:manualLayout>
      </c:layout>
      <c:barChart>
        <c:barDir val="col"/>
        <c:grouping val="stacked"/>
        <c:varyColors val="0"/>
        <c:ser>
          <c:idx val="0"/>
          <c:order val="0"/>
          <c:tx>
            <c:strRef>
              <c:f>Visuals!$A$3</c:f>
              <c:strCache>
                <c:ptCount val="1"/>
                <c:pt idx="0">
                  <c:v>Delivering</c:v>
                </c:pt>
              </c:strCache>
            </c:strRef>
          </c:tx>
          <c:spPr>
            <a:solidFill>
              <a:srgbClr val="15608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Visuals!$B$3:$E$3</c:f>
              <c:numCache>
                <c:formatCode>General</c:formatCode>
                <c:ptCount val="4"/>
                <c:pt idx="0">
                  <c:v>2</c:v>
                </c:pt>
                <c:pt idx="1">
                  <c:v>2</c:v>
                </c:pt>
                <c:pt idx="2">
                  <c:v>6</c:v>
                </c:pt>
                <c:pt idx="3">
                  <c:v>0</c:v>
                </c:pt>
              </c:numCache>
            </c:numRef>
          </c:val>
          <c:extLst>
            <c:ext xmlns:c16="http://schemas.microsoft.com/office/drawing/2014/chart" uri="{C3380CC4-5D6E-409C-BE32-E72D297353CC}">
              <c16:uniqueId val="{00000000-04C3-4D27-B897-650C6E3FD534}"/>
            </c:ext>
          </c:extLst>
        </c:ser>
        <c:ser>
          <c:idx val="1"/>
          <c:order val="1"/>
          <c:tx>
            <c:strRef>
              <c:f>Visuals!$A$4</c:f>
              <c:strCache>
                <c:ptCount val="1"/>
                <c:pt idx="0">
                  <c:v>Progressing</c:v>
                </c:pt>
              </c:strCache>
            </c:strRef>
          </c:tx>
          <c:spPr>
            <a:solidFill>
              <a:srgbClr val="2A845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Visuals!$B$4:$E$4</c:f>
              <c:numCache>
                <c:formatCode>General</c:formatCode>
                <c:ptCount val="4"/>
                <c:pt idx="0">
                  <c:v>4</c:v>
                </c:pt>
                <c:pt idx="1">
                  <c:v>6</c:v>
                </c:pt>
                <c:pt idx="2">
                  <c:v>3</c:v>
                </c:pt>
                <c:pt idx="3">
                  <c:v>0</c:v>
                </c:pt>
              </c:numCache>
            </c:numRef>
          </c:val>
          <c:extLst>
            <c:ext xmlns:c16="http://schemas.microsoft.com/office/drawing/2014/chart" uri="{C3380CC4-5D6E-409C-BE32-E72D297353CC}">
              <c16:uniqueId val="{00000001-04C3-4D27-B897-650C6E3FD534}"/>
            </c:ext>
          </c:extLst>
        </c:ser>
        <c:ser>
          <c:idx val="2"/>
          <c:order val="2"/>
          <c:tx>
            <c:strRef>
              <c:f>Visuals!$A$5</c:f>
              <c:strCache>
                <c:ptCount val="1"/>
                <c:pt idx="0">
                  <c:v>No progression</c:v>
                </c:pt>
              </c:strCache>
            </c:strRef>
          </c:tx>
          <c:spPr>
            <a:solidFill>
              <a:srgbClr val="E9713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Visuals!$B$5:$E$5</c:f>
              <c:numCache>
                <c:formatCode>General</c:formatCode>
                <c:ptCount val="4"/>
                <c:pt idx="0">
                  <c:v>3</c:v>
                </c:pt>
                <c:pt idx="1">
                  <c:v>1</c:v>
                </c:pt>
                <c:pt idx="2">
                  <c:v>2</c:v>
                </c:pt>
                <c:pt idx="3">
                  <c:v>0</c:v>
                </c:pt>
              </c:numCache>
            </c:numRef>
          </c:val>
          <c:extLst>
            <c:ext xmlns:c16="http://schemas.microsoft.com/office/drawing/2014/chart" uri="{C3380CC4-5D6E-409C-BE32-E72D297353CC}">
              <c16:uniqueId val="{00000002-04C3-4D27-B897-650C6E3FD534}"/>
            </c:ext>
          </c:extLst>
        </c:ser>
        <c:ser>
          <c:idx val="3"/>
          <c:order val="3"/>
          <c:tx>
            <c:strRef>
              <c:f>Visuals!$A$6</c:f>
              <c:strCache>
                <c:ptCount val="1"/>
                <c:pt idx="0">
                  <c:v>Not started </c:v>
                </c:pt>
              </c:strCache>
            </c:strRef>
          </c:tx>
          <c:spPr>
            <a:solidFill>
              <a:srgbClr val="A22895"/>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04C3-4D27-B897-650C6E3FD534}"/>
                </c:ext>
              </c:extLst>
            </c:dLbl>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Visuals!$B$6:$E$6</c:f>
              <c:numCache>
                <c:formatCode>General</c:formatCode>
                <c:ptCount val="4"/>
                <c:pt idx="0">
                  <c:v>2</c:v>
                </c:pt>
                <c:pt idx="1">
                  <c:v>2</c:v>
                </c:pt>
                <c:pt idx="2">
                  <c:v>0</c:v>
                </c:pt>
                <c:pt idx="3">
                  <c:v>0</c:v>
                </c:pt>
              </c:numCache>
            </c:numRef>
          </c:val>
          <c:extLst>
            <c:ext xmlns:c16="http://schemas.microsoft.com/office/drawing/2014/chart" uri="{C3380CC4-5D6E-409C-BE32-E72D297353CC}">
              <c16:uniqueId val="{00000004-04C3-4D27-B897-650C6E3FD534}"/>
            </c:ext>
          </c:extLst>
        </c:ser>
        <c:dLbls>
          <c:dLblPos val="ctr"/>
          <c:showLegendKey val="0"/>
          <c:showVal val="1"/>
          <c:showCatName val="0"/>
          <c:showSerName val="0"/>
          <c:showPercent val="0"/>
          <c:showBubbleSize val="0"/>
        </c:dLbls>
        <c:gapWidth val="150"/>
        <c:overlap val="100"/>
        <c:axId val="1222934592"/>
        <c:axId val="1222935072"/>
      </c:barChart>
      <c:catAx>
        <c:axId val="12229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22935072"/>
        <c:crosses val="autoZero"/>
        <c:auto val="1"/>
        <c:lblAlgn val="ctr"/>
        <c:lblOffset val="100"/>
        <c:noMultiLvlLbl val="0"/>
      </c:catAx>
      <c:valAx>
        <c:axId val="1222935072"/>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22934592"/>
        <c:crosses val="autoZero"/>
        <c:crossBetween val="between"/>
      </c:valAx>
      <c:spPr>
        <a:noFill/>
        <a:ln>
          <a:noFill/>
        </a:ln>
        <a:effectLst/>
      </c:spPr>
    </c:plotArea>
    <c:legend>
      <c:legendPos val="b"/>
      <c:layout>
        <c:manualLayout>
          <c:xMode val="edge"/>
          <c:yMode val="edge"/>
          <c:x val="7.3706244099944904E-2"/>
          <c:y val="0.79699721995638484"/>
          <c:w val="0.92629375590005514"/>
          <c:h val="0.1776328011852641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03791219852907E-2"/>
          <c:y val="8.8875965586504665E-2"/>
          <c:w val="0.56569916616041982"/>
          <c:h val="0.86523873167678689"/>
        </c:manualLayout>
      </c:layout>
      <c:pieChart>
        <c:varyColors val="1"/>
        <c:ser>
          <c:idx val="0"/>
          <c:order val="0"/>
          <c:tx>
            <c:strRef>
              <c:f>Visuals!$Q$17</c:f>
              <c:strCache>
                <c:ptCount val="1"/>
                <c:pt idx="0">
                  <c:v>Q3</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BDB3-4F45-BC16-6E737C67DBE7}"/>
              </c:ext>
            </c:extLst>
          </c:dPt>
          <c:dPt>
            <c:idx val="1"/>
            <c:bubble3D val="0"/>
            <c:spPr>
              <a:solidFill>
                <a:srgbClr val="2A8451"/>
              </a:solidFill>
              <a:ln w="19050">
                <a:solidFill>
                  <a:schemeClr val="lt1"/>
                </a:solidFill>
              </a:ln>
              <a:effectLst/>
            </c:spPr>
            <c:extLst>
              <c:ext xmlns:c16="http://schemas.microsoft.com/office/drawing/2014/chart" uri="{C3380CC4-5D6E-409C-BE32-E72D297353CC}">
                <c16:uniqueId val="{00000003-BDB3-4F45-BC16-6E737C67DBE7}"/>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BDB3-4F45-BC16-6E737C67DBE7}"/>
              </c:ext>
            </c:extLst>
          </c:dPt>
          <c:dPt>
            <c:idx val="3"/>
            <c:bubble3D val="0"/>
            <c:spPr>
              <a:solidFill>
                <a:srgbClr val="A22895"/>
              </a:solidFill>
              <a:ln w="19050">
                <a:solidFill>
                  <a:schemeClr val="lt1"/>
                </a:solidFill>
              </a:ln>
              <a:effectLst/>
            </c:spPr>
            <c:extLst>
              <c:ext xmlns:c16="http://schemas.microsoft.com/office/drawing/2014/chart" uri="{C3380CC4-5D6E-409C-BE32-E72D297353CC}">
                <c16:uniqueId val="{00000007-BDB3-4F45-BC16-6E737C67DBE7}"/>
              </c:ext>
            </c:extLst>
          </c:dPt>
          <c:dLbls>
            <c:dLbl>
              <c:idx val="3"/>
              <c:delete val="1"/>
              <c:extLst>
                <c:ext xmlns:c15="http://schemas.microsoft.com/office/drawing/2012/chart" uri="{CE6537A1-D6FC-4f65-9D91-7224C49458BB}"/>
                <c:ext xmlns:c16="http://schemas.microsoft.com/office/drawing/2014/chart" uri="{C3380CC4-5D6E-409C-BE32-E72D297353CC}">
                  <c16:uniqueId val="{00000007-BDB3-4F45-BC16-6E737C67DBE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Visuals!$N$18:$N$21</c:f>
              <c:strCache>
                <c:ptCount val="4"/>
                <c:pt idx="0">
                  <c:v>Achieving</c:v>
                </c:pt>
                <c:pt idx="1">
                  <c:v>Partially Achieving </c:v>
                </c:pt>
                <c:pt idx="2">
                  <c:v>Not Achieving </c:v>
                </c:pt>
                <c:pt idx="3">
                  <c:v>Not yet reported</c:v>
                </c:pt>
              </c:strCache>
            </c:strRef>
          </c:cat>
          <c:val>
            <c:numRef>
              <c:f>Visuals!$Q$18:$Q$21</c:f>
              <c:numCache>
                <c:formatCode>0%</c:formatCode>
                <c:ptCount val="4"/>
                <c:pt idx="0">
                  <c:v>0.69565217391304346</c:v>
                </c:pt>
                <c:pt idx="1">
                  <c:v>0.21739130434782608</c:v>
                </c:pt>
                <c:pt idx="2">
                  <c:v>8.6956521739130432E-2</c:v>
                </c:pt>
                <c:pt idx="3">
                  <c:v>0</c:v>
                </c:pt>
              </c:numCache>
            </c:numRef>
          </c:val>
          <c:extLst>
            <c:ext xmlns:c16="http://schemas.microsoft.com/office/drawing/2014/chart" uri="{C3380CC4-5D6E-409C-BE32-E72D297353CC}">
              <c16:uniqueId val="{00000008-BDB3-4F45-BC16-6E737C67DBE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layout>
        <c:manualLayout>
          <c:xMode val="edge"/>
          <c:yMode val="edge"/>
          <c:x val="0.61302025877949062"/>
          <c:y val="0.3790488002547856"/>
          <c:w val="0.38697979597489268"/>
          <c:h val="0.3372652489468083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56602108813363E-2"/>
          <c:y val="4.1666599780721118E-2"/>
          <c:w val="0.90297462817147855"/>
          <c:h val="0.73093394575678039"/>
        </c:manualLayout>
      </c:layout>
      <c:barChart>
        <c:barDir val="col"/>
        <c:grouping val="stacked"/>
        <c:varyColors val="0"/>
        <c:ser>
          <c:idx val="0"/>
          <c:order val="0"/>
          <c:tx>
            <c:strRef>
              <c:f>Visuals!$N$3</c:f>
              <c:strCache>
                <c:ptCount val="1"/>
                <c:pt idx="0">
                  <c:v>Achieving</c:v>
                </c:pt>
              </c:strCache>
            </c:strRef>
          </c:tx>
          <c:spPr>
            <a:solidFill>
              <a:srgbClr val="15608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Visuals!$O$3:$R$3</c:f>
              <c:numCache>
                <c:formatCode>General</c:formatCode>
                <c:ptCount val="4"/>
                <c:pt idx="0">
                  <c:v>10</c:v>
                </c:pt>
                <c:pt idx="1">
                  <c:v>11</c:v>
                </c:pt>
                <c:pt idx="2">
                  <c:v>16</c:v>
                </c:pt>
                <c:pt idx="3">
                  <c:v>0</c:v>
                </c:pt>
              </c:numCache>
            </c:numRef>
          </c:val>
          <c:extLst>
            <c:ext xmlns:c16="http://schemas.microsoft.com/office/drawing/2014/chart" uri="{C3380CC4-5D6E-409C-BE32-E72D297353CC}">
              <c16:uniqueId val="{00000000-0BDB-4934-A78A-B4CC6F284AD6}"/>
            </c:ext>
          </c:extLst>
        </c:ser>
        <c:ser>
          <c:idx val="1"/>
          <c:order val="1"/>
          <c:tx>
            <c:strRef>
              <c:f>Visuals!$N$4</c:f>
              <c:strCache>
                <c:ptCount val="1"/>
                <c:pt idx="0">
                  <c:v>Partially Achieving </c:v>
                </c:pt>
              </c:strCache>
            </c:strRef>
          </c:tx>
          <c:spPr>
            <a:solidFill>
              <a:srgbClr val="2A845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Visuals!$O$4:$R$4</c:f>
              <c:numCache>
                <c:formatCode>General</c:formatCode>
                <c:ptCount val="4"/>
                <c:pt idx="0">
                  <c:v>4</c:v>
                </c:pt>
                <c:pt idx="1">
                  <c:v>5</c:v>
                </c:pt>
                <c:pt idx="2">
                  <c:v>5</c:v>
                </c:pt>
                <c:pt idx="3">
                  <c:v>0</c:v>
                </c:pt>
              </c:numCache>
            </c:numRef>
          </c:val>
          <c:extLst>
            <c:ext xmlns:c16="http://schemas.microsoft.com/office/drawing/2014/chart" uri="{C3380CC4-5D6E-409C-BE32-E72D297353CC}">
              <c16:uniqueId val="{00000001-0BDB-4934-A78A-B4CC6F284AD6}"/>
            </c:ext>
          </c:extLst>
        </c:ser>
        <c:ser>
          <c:idx val="2"/>
          <c:order val="2"/>
          <c:tx>
            <c:strRef>
              <c:f>Visuals!$N$5</c:f>
              <c:strCache>
                <c:ptCount val="1"/>
                <c:pt idx="0">
                  <c:v>Not Achieving </c:v>
                </c:pt>
              </c:strCache>
            </c:strRef>
          </c:tx>
          <c:spPr>
            <a:solidFill>
              <a:srgbClr val="E9713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0BDB-4934-A78A-B4CC6F284AD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Visuals!$O$5:$R$5</c:f>
              <c:numCache>
                <c:formatCode>General</c:formatCode>
                <c:ptCount val="4"/>
                <c:pt idx="0">
                  <c:v>1</c:v>
                </c:pt>
                <c:pt idx="1">
                  <c:v>0</c:v>
                </c:pt>
                <c:pt idx="2">
                  <c:v>2</c:v>
                </c:pt>
                <c:pt idx="3">
                  <c:v>0</c:v>
                </c:pt>
              </c:numCache>
            </c:numRef>
          </c:val>
          <c:extLst>
            <c:ext xmlns:c16="http://schemas.microsoft.com/office/drawing/2014/chart" uri="{C3380CC4-5D6E-409C-BE32-E72D297353CC}">
              <c16:uniqueId val="{00000003-0BDB-4934-A78A-B4CC6F284AD6}"/>
            </c:ext>
          </c:extLst>
        </c:ser>
        <c:ser>
          <c:idx val="3"/>
          <c:order val="3"/>
          <c:tx>
            <c:strRef>
              <c:f>Visuals!$N$6</c:f>
              <c:strCache>
                <c:ptCount val="1"/>
                <c:pt idx="0">
                  <c:v>Not yet reported</c:v>
                </c:pt>
              </c:strCache>
            </c:strRef>
          </c:tx>
          <c:spPr>
            <a:solidFill>
              <a:srgbClr val="A22895"/>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0BDB-4934-A78A-B4CC6F284AD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Visuals!$O$6:$R$6</c:f>
              <c:numCache>
                <c:formatCode>General</c:formatCode>
                <c:ptCount val="4"/>
                <c:pt idx="0">
                  <c:v>8</c:v>
                </c:pt>
                <c:pt idx="1">
                  <c:v>7</c:v>
                </c:pt>
                <c:pt idx="2">
                  <c:v>0</c:v>
                </c:pt>
                <c:pt idx="3">
                  <c:v>0</c:v>
                </c:pt>
              </c:numCache>
            </c:numRef>
          </c:val>
          <c:extLst>
            <c:ext xmlns:c16="http://schemas.microsoft.com/office/drawing/2014/chart" uri="{C3380CC4-5D6E-409C-BE32-E72D297353CC}">
              <c16:uniqueId val="{00000005-0BDB-4934-A78A-B4CC6F284AD6}"/>
            </c:ext>
          </c:extLst>
        </c:ser>
        <c:dLbls>
          <c:dLblPos val="ctr"/>
          <c:showLegendKey val="0"/>
          <c:showVal val="1"/>
          <c:showCatName val="0"/>
          <c:showSerName val="0"/>
          <c:showPercent val="0"/>
          <c:showBubbleSize val="0"/>
        </c:dLbls>
        <c:gapWidth val="150"/>
        <c:overlap val="100"/>
        <c:axId val="1134832496"/>
        <c:axId val="1134832016"/>
      </c:barChart>
      <c:catAx>
        <c:axId val="113483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016"/>
        <c:crosses val="autoZero"/>
        <c:auto val="1"/>
        <c:lblAlgn val="ctr"/>
        <c:lblOffset val="100"/>
        <c:noMultiLvlLbl val="0"/>
      </c:catAx>
      <c:valAx>
        <c:axId val="1134832016"/>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496"/>
        <c:crosses val="autoZero"/>
        <c:crossBetween val="between"/>
      </c:valAx>
      <c:spPr>
        <a:noFill/>
        <a:ln>
          <a:noFill/>
        </a:ln>
        <a:effectLst/>
      </c:spPr>
    </c:plotArea>
    <c:legend>
      <c:legendPos val="b"/>
      <c:layout>
        <c:manualLayout>
          <c:xMode val="edge"/>
          <c:yMode val="edge"/>
          <c:x val="4.4159544159544158E-2"/>
          <c:y val="0.90043130725260134"/>
          <c:w val="0.9395288713910761"/>
          <c:h val="9.9568387284922691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5889384220505"/>
          <c:y val="0.11946600424946882"/>
          <c:w val="0.84328797840921943"/>
          <c:h val="0.68535808023997002"/>
        </c:manualLayout>
      </c:layout>
      <c:barChart>
        <c:barDir val="col"/>
        <c:grouping val="clustered"/>
        <c:varyColors val="0"/>
        <c:ser>
          <c:idx val="0"/>
          <c:order val="0"/>
          <c:tx>
            <c:strRef>
              <c:f>Visuals!$A$36</c:f>
              <c:strCache>
                <c:ptCount val="1"/>
                <c:pt idx="0">
                  <c:v>Q1</c:v>
                </c:pt>
              </c:strCache>
            </c:strRef>
          </c:tx>
          <c:spPr>
            <a:solidFill>
              <a:srgbClr val="156082"/>
            </a:solidFill>
            <a:ln>
              <a:noFill/>
            </a:ln>
            <a:effectLst/>
          </c:spPr>
          <c:invertIfNegative val="0"/>
          <c:cat>
            <c:strRef>
              <c:f>Visuals!$B$35:$D$35</c:f>
              <c:strCache>
                <c:ptCount val="3"/>
                <c:pt idx="0">
                  <c:v>KR1.1</c:v>
                </c:pt>
                <c:pt idx="1">
                  <c:v>KR1.2</c:v>
                </c:pt>
                <c:pt idx="2">
                  <c:v>KR1.3</c:v>
                </c:pt>
              </c:strCache>
            </c:strRef>
          </c:cat>
          <c:val>
            <c:numRef>
              <c:f>Visuals!$B$36:$D$36</c:f>
              <c:numCache>
                <c:formatCode>General</c:formatCode>
                <c:ptCount val="3"/>
                <c:pt idx="0">
                  <c:v>0</c:v>
                </c:pt>
                <c:pt idx="1">
                  <c:v>0</c:v>
                </c:pt>
                <c:pt idx="2">
                  <c:v>0</c:v>
                </c:pt>
              </c:numCache>
            </c:numRef>
          </c:val>
          <c:extLst>
            <c:ext xmlns:c16="http://schemas.microsoft.com/office/drawing/2014/chart" uri="{C3380CC4-5D6E-409C-BE32-E72D297353CC}">
              <c16:uniqueId val="{00000000-6337-4779-B63F-68374D3A9A3C}"/>
            </c:ext>
          </c:extLst>
        </c:ser>
        <c:ser>
          <c:idx val="1"/>
          <c:order val="1"/>
          <c:tx>
            <c:strRef>
              <c:f>Visuals!$A$37</c:f>
              <c:strCache>
                <c:ptCount val="1"/>
                <c:pt idx="0">
                  <c:v>Q2</c:v>
                </c:pt>
              </c:strCache>
            </c:strRef>
          </c:tx>
          <c:spPr>
            <a:solidFill>
              <a:srgbClr val="E97132"/>
            </a:solidFill>
            <a:ln>
              <a:noFill/>
            </a:ln>
            <a:effectLst/>
          </c:spPr>
          <c:invertIfNegative val="0"/>
          <c:cat>
            <c:strRef>
              <c:f>Visuals!$B$35:$D$35</c:f>
              <c:strCache>
                <c:ptCount val="3"/>
                <c:pt idx="0">
                  <c:v>KR1.1</c:v>
                </c:pt>
                <c:pt idx="1">
                  <c:v>KR1.2</c:v>
                </c:pt>
                <c:pt idx="2">
                  <c:v>KR1.3</c:v>
                </c:pt>
              </c:strCache>
            </c:strRef>
          </c:cat>
          <c:val>
            <c:numRef>
              <c:f>Visuals!$B$37:$D$37</c:f>
              <c:numCache>
                <c:formatCode>General</c:formatCode>
                <c:ptCount val="3"/>
                <c:pt idx="0">
                  <c:v>1</c:v>
                </c:pt>
                <c:pt idx="1">
                  <c:v>0.33</c:v>
                </c:pt>
                <c:pt idx="2">
                  <c:v>0</c:v>
                </c:pt>
              </c:numCache>
            </c:numRef>
          </c:val>
          <c:extLst>
            <c:ext xmlns:c16="http://schemas.microsoft.com/office/drawing/2014/chart" uri="{C3380CC4-5D6E-409C-BE32-E72D297353CC}">
              <c16:uniqueId val="{00000001-6337-4779-B63F-68374D3A9A3C}"/>
            </c:ext>
          </c:extLst>
        </c:ser>
        <c:ser>
          <c:idx val="2"/>
          <c:order val="2"/>
          <c:tx>
            <c:strRef>
              <c:f>Visuals!$A$38</c:f>
              <c:strCache>
                <c:ptCount val="1"/>
                <c:pt idx="0">
                  <c:v>Q3</c:v>
                </c:pt>
              </c:strCache>
            </c:strRef>
          </c:tx>
          <c:spPr>
            <a:solidFill>
              <a:srgbClr val="2A8451"/>
            </a:solidFill>
            <a:ln>
              <a:noFill/>
            </a:ln>
            <a:effectLst/>
          </c:spPr>
          <c:invertIfNegative val="0"/>
          <c:cat>
            <c:strRef>
              <c:f>Visuals!$B$35:$D$35</c:f>
              <c:strCache>
                <c:ptCount val="3"/>
                <c:pt idx="0">
                  <c:v>KR1.1</c:v>
                </c:pt>
                <c:pt idx="1">
                  <c:v>KR1.2</c:v>
                </c:pt>
                <c:pt idx="2">
                  <c:v>KR1.3</c:v>
                </c:pt>
              </c:strCache>
            </c:strRef>
          </c:cat>
          <c:val>
            <c:numRef>
              <c:f>Visuals!$B$38:$D$38</c:f>
              <c:numCache>
                <c:formatCode>General</c:formatCode>
                <c:ptCount val="3"/>
                <c:pt idx="0">
                  <c:v>1</c:v>
                </c:pt>
                <c:pt idx="1">
                  <c:v>1</c:v>
                </c:pt>
                <c:pt idx="2">
                  <c:v>0</c:v>
                </c:pt>
              </c:numCache>
            </c:numRef>
          </c:val>
          <c:extLst>
            <c:ext xmlns:c16="http://schemas.microsoft.com/office/drawing/2014/chart" uri="{C3380CC4-5D6E-409C-BE32-E72D297353CC}">
              <c16:uniqueId val="{00000002-6337-4779-B63F-68374D3A9A3C}"/>
            </c:ext>
          </c:extLst>
        </c:ser>
        <c:ser>
          <c:idx val="3"/>
          <c:order val="3"/>
          <c:tx>
            <c:strRef>
              <c:f>Visuals!$A$39</c:f>
              <c:strCache>
                <c:ptCount val="1"/>
                <c:pt idx="0">
                  <c:v>Q4</c:v>
                </c:pt>
              </c:strCache>
            </c:strRef>
          </c:tx>
          <c:spPr>
            <a:solidFill>
              <a:srgbClr val="A22895"/>
            </a:solidFill>
            <a:ln>
              <a:noFill/>
            </a:ln>
            <a:effectLst/>
          </c:spPr>
          <c:invertIfNegative val="0"/>
          <c:cat>
            <c:strRef>
              <c:f>Visuals!$B$35:$D$35</c:f>
              <c:strCache>
                <c:ptCount val="3"/>
                <c:pt idx="0">
                  <c:v>KR1.1</c:v>
                </c:pt>
                <c:pt idx="1">
                  <c:v>KR1.2</c:v>
                </c:pt>
                <c:pt idx="2">
                  <c:v>KR1.3</c:v>
                </c:pt>
              </c:strCache>
            </c:strRef>
          </c:cat>
          <c:val>
            <c:numRef>
              <c:f>Visuals!$B$39:$D$39</c:f>
              <c:numCache>
                <c:formatCode>General</c:formatCode>
                <c:ptCount val="3"/>
              </c:numCache>
            </c:numRef>
          </c:val>
          <c:extLst>
            <c:ext xmlns:c16="http://schemas.microsoft.com/office/drawing/2014/chart" uri="{C3380CC4-5D6E-409C-BE32-E72D297353CC}">
              <c16:uniqueId val="{00000003-6337-4779-B63F-68374D3A9A3C}"/>
            </c:ext>
          </c:extLst>
        </c:ser>
        <c:dLbls>
          <c:showLegendKey val="0"/>
          <c:showVal val="0"/>
          <c:showCatName val="0"/>
          <c:showSerName val="0"/>
          <c:showPercent val="0"/>
          <c:showBubbleSize val="0"/>
        </c:dLbls>
        <c:gapWidth val="200"/>
        <c:overlap val="-27"/>
        <c:axId val="864838511"/>
        <c:axId val="864840431"/>
      </c:barChart>
      <c:lineChart>
        <c:grouping val="standard"/>
        <c:varyColors val="0"/>
        <c:ser>
          <c:idx val="4"/>
          <c:order val="4"/>
          <c:tx>
            <c:strRef>
              <c:f>Visuals!$A$41</c:f>
              <c:strCache>
                <c:ptCount val="1"/>
                <c:pt idx="0">
                  <c:v>Delivering </c:v>
                </c:pt>
              </c:strCache>
            </c:strRef>
          </c:tx>
          <c:spPr>
            <a:ln w="19050" cap="rnd">
              <a:solidFill>
                <a:schemeClr val="tx1"/>
              </a:solidFill>
              <a:prstDash val="solid"/>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37-4779-B63F-68374D3A9A3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Visuals!$B$35:$D$35</c:f>
              <c:strCache>
                <c:ptCount val="3"/>
                <c:pt idx="0">
                  <c:v>KR1.1</c:v>
                </c:pt>
                <c:pt idx="1">
                  <c:v>KR1.2</c:v>
                </c:pt>
                <c:pt idx="2">
                  <c:v>KR1.3</c:v>
                </c:pt>
              </c:strCache>
            </c:strRef>
          </c:cat>
          <c:val>
            <c:numRef>
              <c:f>Visuals!$B$41:$D$41</c:f>
              <c:numCache>
                <c:formatCode>General</c:formatCode>
                <c:ptCount val="3"/>
                <c:pt idx="0">
                  <c:v>0.7</c:v>
                </c:pt>
                <c:pt idx="1">
                  <c:v>0.7</c:v>
                </c:pt>
                <c:pt idx="2">
                  <c:v>0.7</c:v>
                </c:pt>
              </c:numCache>
            </c:numRef>
          </c:val>
          <c:smooth val="0"/>
          <c:extLst>
            <c:ext xmlns:c16="http://schemas.microsoft.com/office/drawing/2014/chart" uri="{C3380CC4-5D6E-409C-BE32-E72D297353CC}">
              <c16:uniqueId val="{00000005-6337-4779-B63F-68374D3A9A3C}"/>
            </c:ext>
          </c:extLst>
        </c:ser>
        <c:ser>
          <c:idx val="5"/>
          <c:order val="5"/>
          <c:tx>
            <c:strRef>
              <c:f>Visuals!$A$42</c:f>
              <c:strCache>
                <c:ptCount val="1"/>
                <c:pt idx="0">
                  <c:v>Measurable progress</c:v>
                </c:pt>
              </c:strCache>
            </c:strRef>
          </c:tx>
          <c:spPr>
            <a:ln w="25400" cap="rnd">
              <a:solidFill>
                <a:schemeClr val="tx1"/>
              </a:solidFill>
              <a:prstDash val="sysDot"/>
              <a:bevel/>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37-4779-B63F-68374D3A9A3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Visuals!$B$35:$D$35</c:f>
              <c:strCache>
                <c:ptCount val="3"/>
                <c:pt idx="0">
                  <c:v>KR1.1</c:v>
                </c:pt>
                <c:pt idx="1">
                  <c:v>KR1.2</c:v>
                </c:pt>
                <c:pt idx="2">
                  <c:v>KR1.3</c:v>
                </c:pt>
              </c:strCache>
            </c:strRef>
          </c:cat>
          <c:val>
            <c:numRef>
              <c:f>Visuals!$B$42:$D$42</c:f>
              <c:numCache>
                <c:formatCode>General</c:formatCode>
                <c:ptCount val="3"/>
                <c:pt idx="0">
                  <c:v>0.3</c:v>
                </c:pt>
                <c:pt idx="1">
                  <c:v>0.3</c:v>
                </c:pt>
                <c:pt idx="2">
                  <c:v>0.3</c:v>
                </c:pt>
              </c:numCache>
            </c:numRef>
          </c:val>
          <c:smooth val="0"/>
          <c:extLst>
            <c:ext xmlns:c16="http://schemas.microsoft.com/office/drawing/2014/chart" uri="{C3380CC4-5D6E-409C-BE32-E72D297353CC}">
              <c16:uniqueId val="{00000007-6337-4779-B63F-68374D3A9A3C}"/>
            </c:ext>
          </c:extLst>
        </c:ser>
        <c:dLbls>
          <c:showLegendKey val="0"/>
          <c:showVal val="0"/>
          <c:showCatName val="0"/>
          <c:showSerName val="0"/>
          <c:showPercent val="0"/>
          <c:showBubbleSize val="0"/>
        </c:dLbls>
        <c:marker val="1"/>
        <c:smooth val="0"/>
        <c:axId val="481821071"/>
        <c:axId val="481818191"/>
      </c:lineChart>
      <c:catAx>
        <c:axId val="86483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4840431"/>
        <c:crosses val="autoZero"/>
        <c:auto val="1"/>
        <c:lblAlgn val="ctr"/>
        <c:lblOffset val="100"/>
        <c:noMultiLvlLbl val="0"/>
      </c:catAx>
      <c:valAx>
        <c:axId val="864840431"/>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Arial" panose="020B0604020202020204" pitchFamily="34" charset="0"/>
                    <a:cs typeface="Arial" panose="020B0604020202020204" pitchFamily="34" charset="0"/>
                  </a:rPr>
                  <a:t>Key Result score</a:t>
                </a:r>
                <a:endParaRPr lang="en-GB" sz="1200" baseline="0">
                  <a:latin typeface="Arial" panose="020B0604020202020204" pitchFamily="34" charset="0"/>
                  <a:cs typeface="Arial" panose="020B0604020202020204" pitchFamily="34" charset="0"/>
                </a:endParaRPr>
              </a:p>
            </c:rich>
          </c:tx>
          <c:layout>
            <c:manualLayout>
              <c:xMode val="edge"/>
              <c:yMode val="edge"/>
              <c:x val="4.0812346384207353E-2"/>
              <c:y val="0.333373879659548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4838511"/>
        <c:crosses val="autoZero"/>
        <c:crossBetween val="between"/>
        <c:majorUnit val="0.2"/>
      </c:valAx>
      <c:valAx>
        <c:axId val="481818191"/>
        <c:scaling>
          <c:orientation val="minMax"/>
        </c:scaling>
        <c:delete val="1"/>
        <c:axPos val="r"/>
        <c:numFmt formatCode="General" sourceLinked="1"/>
        <c:majorTickMark val="out"/>
        <c:minorTickMark val="none"/>
        <c:tickLblPos val="nextTo"/>
        <c:crossAx val="481821071"/>
        <c:crosses val="max"/>
        <c:crossBetween val="between"/>
      </c:valAx>
      <c:catAx>
        <c:axId val="481821071"/>
        <c:scaling>
          <c:orientation val="minMax"/>
        </c:scaling>
        <c:delete val="1"/>
        <c:axPos val="b"/>
        <c:numFmt formatCode="General" sourceLinked="1"/>
        <c:majorTickMark val="out"/>
        <c:minorTickMark val="none"/>
        <c:tickLblPos val="nextTo"/>
        <c:crossAx val="481818191"/>
        <c:crosses val="autoZero"/>
        <c:auto val="1"/>
        <c:lblAlgn val="ctr"/>
        <c:lblOffset val="100"/>
        <c:noMultiLvlLbl val="0"/>
      </c:catAx>
      <c:spPr>
        <a:noFill/>
        <a:ln>
          <a:solidFill>
            <a:schemeClr val="bg1">
              <a:lumMod val="95000"/>
            </a:schemeClr>
          </a:solid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67220534441068"/>
          <c:y val="0.117063272470723"/>
          <c:w val="0.85199247731828798"/>
          <c:h val="0.69117307687483864"/>
        </c:manualLayout>
      </c:layout>
      <c:barChart>
        <c:barDir val="col"/>
        <c:grouping val="clustered"/>
        <c:varyColors val="0"/>
        <c:ser>
          <c:idx val="0"/>
          <c:order val="0"/>
          <c:tx>
            <c:strRef>
              <c:f>Visuals!$H$36</c:f>
              <c:strCache>
                <c:ptCount val="1"/>
                <c:pt idx="0">
                  <c:v>Q1</c:v>
                </c:pt>
              </c:strCache>
            </c:strRef>
          </c:tx>
          <c:spPr>
            <a:solidFill>
              <a:srgbClr val="156082"/>
            </a:solidFill>
            <a:ln>
              <a:noFill/>
            </a:ln>
            <a:effectLst/>
          </c:spPr>
          <c:invertIfNegative val="0"/>
          <c:cat>
            <c:strRef>
              <c:f>Visuals!$I$35:$L$35</c:f>
              <c:strCache>
                <c:ptCount val="4"/>
                <c:pt idx="0">
                  <c:v>KR2.1</c:v>
                </c:pt>
                <c:pt idx="1">
                  <c:v>KR2.2</c:v>
                </c:pt>
                <c:pt idx="2">
                  <c:v>KR2.3</c:v>
                </c:pt>
                <c:pt idx="3">
                  <c:v>KR2.4</c:v>
                </c:pt>
              </c:strCache>
            </c:strRef>
          </c:cat>
          <c:val>
            <c:numRef>
              <c:f>Visuals!$I$36:$L$36</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0-3144-46C4-AA18-9B44CDD2D1B1}"/>
            </c:ext>
          </c:extLst>
        </c:ser>
        <c:ser>
          <c:idx val="1"/>
          <c:order val="1"/>
          <c:tx>
            <c:strRef>
              <c:f>Visuals!$H$37</c:f>
              <c:strCache>
                <c:ptCount val="1"/>
                <c:pt idx="0">
                  <c:v>Q2</c:v>
                </c:pt>
              </c:strCache>
            </c:strRef>
          </c:tx>
          <c:spPr>
            <a:solidFill>
              <a:srgbClr val="E97132"/>
            </a:solidFill>
            <a:ln>
              <a:noFill/>
            </a:ln>
            <a:effectLst/>
          </c:spPr>
          <c:invertIfNegative val="0"/>
          <c:cat>
            <c:strRef>
              <c:f>Visuals!$I$35:$L$35</c:f>
              <c:strCache>
                <c:ptCount val="4"/>
                <c:pt idx="0">
                  <c:v>KR2.1</c:v>
                </c:pt>
                <c:pt idx="1">
                  <c:v>KR2.2</c:v>
                </c:pt>
                <c:pt idx="2">
                  <c:v>KR2.3</c:v>
                </c:pt>
                <c:pt idx="3">
                  <c:v>KR2.4</c:v>
                </c:pt>
              </c:strCache>
            </c:strRef>
          </c:cat>
          <c:val>
            <c:numRef>
              <c:f>Visuals!$I$37:$L$37</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1-3144-46C4-AA18-9B44CDD2D1B1}"/>
            </c:ext>
          </c:extLst>
        </c:ser>
        <c:ser>
          <c:idx val="2"/>
          <c:order val="2"/>
          <c:tx>
            <c:strRef>
              <c:f>Visuals!$H$38</c:f>
              <c:strCache>
                <c:ptCount val="1"/>
                <c:pt idx="0">
                  <c:v>Q3</c:v>
                </c:pt>
              </c:strCache>
            </c:strRef>
          </c:tx>
          <c:spPr>
            <a:solidFill>
              <a:srgbClr val="2A8451"/>
            </a:solidFill>
            <a:ln>
              <a:noFill/>
            </a:ln>
            <a:effectLst/>
          </c:spPr>
          <c:invertIfNegative val="0"/>
          <c:cat>
            <c:strRef>
              <c:f>Visuals!$I$35:$L$35</c:f>
              <c:strCache>
                <c:ptCount val="4"/>
                <c:pt idx="0">
                  <c:v>KR2.1</c:v>
                </c:pt>
                <c:pt idx="1">
                  <c:v>KR2.2</c:v>
                </c:pt>
                <c:pt idx="2">
                  <c:v>KR2.3</c:v>
                </c:pt>
                <c:pt idx="3">
                  <c:v>KR2.4</c:v>
                </c:pt>
              </c:strCache>
            </c:strRef>
          </c:cat>
          <c:val>
            <c:numRef>
              <c:f>Visuals!$I$38:$L$38</c:f>
              <c:numCache>
                <c:formatCode>General</c:formatCode>
                <c:ptCount val="4"/>
                <c:pt idx="0">
                  <c:v>1</c:v>
                </c:pt>
                <c:pt idx="1">
                  <c:v>0</c:v>
                </c:pt>
                <c:pt idx="2">
                  <c:v>0</c:v>
                </c:pt>
                <c:pt idx="3">
                  <c:v>1</c:v>
                </c:pt>
              </c:numCache>
            </c:numRef>
          </c:val>
          <c:extLst>
            <c:ext xmlns:c16="http://schemas.microsoft.com/office/drawing/2014/chart" uri="{C3380CC4-5D6E-409C-BE32-E72D297353CC}">
              <c16:uniqueId val="{00000002-3144-46C4-AA18-9B44CDD2D1B1}"/>
            </c:ext>
          </c:extLst>
        </c:ser>
        <c:ser>
          <c:idx val="3"/>
          <c:order val="3"/>
          <c:tx>
            <c:strRef>
              <c:f>Visuals!$H$39</c:f>
              <c:strCache>
                <c:ptCount val="1"/>
                <c:pt idx="0">
                  <c:v>Q4</c:v>
                </c:pt>
              </c:strCache>
            </c:strRef>
          </c:tx>
          <c:spPr>
            <a:solidFill>
              <a:srgbClr val="A22895"/>
            </a:solidFill>
            <a:ln>
              <a:noFill/>
            </a:ln>
            <a:effectLst/>
          </c:spPr>
          <c:invertIfNegative val="0"/>
          <c:cat>
            <c:strRef>
              <c:f>Visuals!$I$35:$L$35</c:f>
              <c:strCache>
                <c:ptCount val="4"/>
                <c:pt idx="0">
                  <c:v>KR2.1</c:v>
                </c:pt>
                <c:pt idx="1">
                  <c:v>KR2.2</c:v>
                </c:pt>
                <c:pt idx="2">
                  <c:v>KR2.3</c:v>
                </c:pt>
                <c:pt idx="3">
                  <c:v>KR2.4</c:v>
                </c:pt>
              </c:strCache>
            </c:strRef>
          </c:cat>
          <c:val>
            <c:numRef>
              <c:f>Visuals!$I$39:$L$39</c:f>
              <c:numCache>
                <c:formatCode>General</c:formatCode>
                <c:ptCount val="4"/>
              </c:numCache>
            </c:numRef>
          </c:val>
          <c:extLst>
            <c:ext xmlns:c16="http://schemas.microsoft.com/office/drawing/2014/chart" uri="{C3380CC4-5D6E-409C-BE32-E72D297353CC}">
              <c16:uniqueId val="{00000003-3144-46C4-AA18-9B44CDD2D1B1}"/>
            </c:ext>
          </c:extLst>
        </c:ser>
        <c:dLbls>
          <c:showLegendKey val="0"/>
          <c:showVal val="0"/>
          <c:showCatName val="0"/>
          <c:showSerName val="0"/>
          <c:showPercent val="0"/>
          <c:showBubbleSize val="0"/>
        </c:dLbls>
        <c:gapWidth val="200"/>
        <c:overlap val="-25"/>
        <c:axId val="987421456"/>
        <c:axId val="987401296"/>
        <c:extLst>
          <c:ext xmlns:c15="http://schemas.microsoft.com/office/drawing/2012/chart" uri="{02D57815-91ED-43cb-92C2-25804820EDAC}">
            <c15:filteredBarSeries>
              <c15:ser>
                <c:idx val="4"/>
                <c:order val="4"/>
                <c:tx>
                  <c:strRef>
                    <c:extLst>
                      <c:ext uri="{02D57815-91ED-43cb-92C2-25804820EDAC}">
                        <c15:formulaRef>
                          <c15:sqref>Visuals!$H$41</c15:sqref>
                        </c15:formulaRef>
                      </c:ext>
                    </c:extLst>
                    <c:strCache>
                      <c:ptCount val="1"/>
                      <c:pt idx="0">
                        <c:v>Delivering </c:v>
                      </c:pt>
                    </c:strCache>
                  </c:strRef>
                </c:tx>
                <c:spPr>
                  <a:solidFill>
                    <a:schemeClr val="accent5"/>
                  </a:solidFill>
                  <a:ln>
                    <a:noFill/>
                  </a:ln>
                  <a:effectLst/>
                </c:spPr>
                <c:invertIfNegative val="0"/>
                <c:trendline>
                  <c:spPr>
                    <a:ln w="19050" cap="rnd">
                      <a:solidFill>
                        <a:schemeClr val="accent5"/>
                      </a:solidFill>
                      <a:prstDash val="sysDot"/>
                    </a:ln>
                    <a:effectLst/>
                  </c:spPr>
                  <c:trendlineType val="linear"/>
                  <c:dispRSqr val="0"/>
                  <c:dispEq val="0"/>
                </c:trendline>
                <c:cat>
                  <c:strRef>
                    <c:extLst>
                      <c:ext uri="{02D57815-91ED-43cb-92C2-25804820EDAC}">
                        <c15:formulaRef>
                          <c15:sqref>Visuals!$I$35:$L$35</c15:sqref>
                        </c15:formulaRef>
                      </c:ext>
                    </c:extLst>
                    <c:strCache>
                      <c:ptCount val="4"/>
                      <c:pt idx="0">
                        <c:v>KR2.1</c:v>
                      </c:pt>
                      <c:pt idx="1">
                        <c:v>KR2.2</c:v>
                      </c:pt>
                      <c:pt idx="2">
                        <c:v>KR2.3</c:v>
                      </c:pt>
                      <c:pt idx="3">
                        <c:v>KR2.4</c:v>
                      </c:pt>
                    </c:strCache>
                  </c:strRef>
                </c:cat>
                <c:val>
                  <c:numRef>
                    <c:extLst>
                      <c:ext uri="{02D57815-91ED-43cb-92C2-25804820EDAC}">
                        <c15:formulaRef>
                          <c15:sqref>Visuals!$I$41:$L$41</c15:sqref>
                        </c15:formulaRef>
                      </c:ext>
                    </c:extLst>
                    <c:numCache>
                      <c:formatCode>General</c:formatCode>
                      <c:ptCount val="4"/>
                      <c:pt idx="0">
                        <c:v>0.7</c:v>
                      </c:pt>
                      <c:pt idx="1">
                        <c:v>0.7</c:v>
                      </c:pt>
                      <c:pt idx="2">
                        <c:v>0.7</c:v>
                      </c:pt>
                      <c:pt idx="3">
                        <c:v>0.7</c:v>
                      </c:pt>
                    </c:numCache>
                  </c:numRef>
                </c:val>
                <c:extLst>
                  <c:ext xmlns:c16="http://schemas.microsoft.com/office/drawing/2014/chart" uri="{C3380CC4-5D6E-409C-BE32-E72D297353CC}">
                    <c16:uniqueId val="{0000000F-3144-46C4-AA18-9B44CDD2D1B1}"/>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Visuals!$H$42</c15:sqref>
                        </c15:formulaRef>
                      </c:ext>
                    </c:extLst>
                    <c:strCache>
                      <c:ptCount val="1"/>
                      <c:pt idx="0">
                        <c:v>Measurable progress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extLst xmlns:c15="http://schemas.microsoft.com/office/drawing/2012/chart">
                      <c:ext xmlns:c15="http://schemas.microsoft.com/office/drawing/2012/chart" uri="{02D57815-91ED-43cb-92C2-25804820EDAC}">
                        <c15:formulaRef>
                          <c15:sqref>Visuals!$I$35:$L$35</c15:sqref>
                        </c15:formulaRef>
                      </c:ext>
                    </c:extLst>
                    <c:strCache>
                      <c:ptCount val="4"/>
                      <c:pt idx="0">
                        <c:v>KR2.1</c:v>
                      </c:pt>
                      <c:pt idx="1">
                        <c:v>KR2.2</c:v>
                      </c:pt>
                      <c:pt idx="2">
                        <c:v>KR2.3</c:v>
                      </c:pt>
                      <c:pt idx="3">
                        <c:v>KR2.4</c:v>
                      </c:pt>
                    </c:strCache>
                  </c:strRef>
                </c:cat>
                <c:val>
                  <c:numRef>
                    <c:extLst xmlns:c15="http://schemas.microsoft.com/office/drawing/2012/chart">
                      <c:ext xmlns:c15="http://schemas.microsoft.com/office/drawing/2012/chart" uri="{02D57815-91ED-43cb-92C2-25804820EDAC}">
                        <c15:formulaRef>
                          <c15:sqref>Visuals!$I$42:$L$42</c15:sqref>
                        </c15:formulaRef>
                      </c:ext>
                    </c:extLst>
                    <c:numCache>
                      <c:formatCode>General</c:formatCode>
                      <c:ptCount val="4"/>
                      <c:pt idx="0">
                        <c:v>0.3</c:v>
                      </c:pt>
                      <c:pt idx="1">
                        <c:v>0.3</c:v>
                      </c:pt>
                      <c:pt idx="2">
                        <c:v>0.3</c:v>
                      </c:pt>
                      <c:pt idx="3">
                        <c:v>0.3</c:v>
                      </c:pt>
                    </c:numCache>
                  </c:numRef>
                </c:val>
                <c:extLst xmlns:c15="http://schemas.microsoft.com/office/drawing/2012/chart">
                  <c:ext xmlns:c16="http://schemas.microsoft.com/office/drawing/2014/chart" uri="{C3380CC4-5D6E-409C-BE32-E72D297353CC}">
                    <c16:uniqueId val="{00000011-3144-46C4-AA18-9B44CDD2D1B1}"/>
                  </c:ext>
                </c:extLst>
              </c15:ser>
            </c15:filteredBarSeries>
          </c:ext>
        </c:extLst>
      </c:barChart>
      <c:lineChart>
        <c:grouping val="standard"/>
        <c:varyColors val="0"/>
        <c:ser>
          <c:idx val="6"/>
          <c:order val="6"/>
          <c:tx>
            <c:strRef>
              <c:f>Visuals!$H$41</c:f>
              <c:strCache>
                <c:ptCount val="1"/>
                <c:pt idx="0">
                  <c:v>Delivering </c:v>
                </c:pt>
              </c:strCache>
            </c:strRef>
          </c:tx>
          <c:spPr>
            <a:ln w="19050" cap="rnd">
              <a:solidFill>
                <a:schemeClr val="accent1">
                  <a:lumMod val="60000"/>
                </a:schemeClr>
              </a:solidFill>
              <a:prstDash val="solid"/>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3144-46C4-AA18-9B44CDD2D1B1}"/>
                </c:ext>
              </c:extLst>
            </c:dLbl>
            <c:dLbl>
              <c:idx val="1"/>
              <c:delete val="1"/>
              <c:extLst>
                <c:ext xmlns:c15="http://schemas.microsoft.com/office/drawing/2012/chart" uri="{CE6537A1-D6FC-4f65-9D91-7224C49458BB}"/>
                <c:ext xmlns:c16="http://schemas.microsoft.com/office/drawing/2014/chart" uri="{C3380CC4-5D6E-409C-BE32-E72D297353CC}">
                  <c16:uniqueId val="{00000005-3144-46C4-AA18-9B44CDD2D1B1}"/>
                </c:ext>
              </c:extLst>
            </c:dLbl>
            <c:dLbl>
              <c:idx val="2"/>
              <c:delete val="1"/>
              <c:extLst>
                <c:ext xmlns:c15="http://schemas.microsoft.com/office/drawing/2012/chart" uri="{CE6537A1-D6FC-4f65-9D91-7224C49458BB}"/>
                <c:ext xmlns:c16="http://schemas.microsoft.com/office/drawing/2014/chart" uri="{C3380CC4-5D6E-409C-BE32-E72D297353CC}">
                  <c16:uniqueId val="{00000006-3144-46C4-AA18-9B44CDD2D1B1}"/>
                </c:ext>
              </c:extLst>
            </c:dLbl>
            <c:dLbl>
              <c:idx val="3"/>
              <c:layout>
                <c:manualLayout>
                  <c:x val="2.5594967839303776E-2"/>
                  <c:y val="-3.5669573423823714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44-46C4-AA18-9B44CDD2D1B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Visuals!$I$35:$L$35</c:f>
              <c:strCache>
                <c:ptCount val="4"/>
                <c:pt idx="0">
                  <c:v>KR2.1</c:v>
                </c:pt>
                <c:pt idx="1">
                  <c:v>KR2.2</c:v>
                </c:pt>
                <c:pt idx="2">
                  <c:v>KR2.3</c:v>
                </c:pt>
                <c:pt idx="3">
                  <c:v>KR2.4</c:v>
                </c:pt>
              </c:strCache>
            </c:strRef>
          </c:cat>
          <c:val>
            <c:numRef>
              <c:f>Visuals!$I$41:$L$41</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8-3144-46C4-AA18-9B44CDD2D1B1}"/>
            </c:ext>
          </c:extLst>
        </c:ser>
        <c:ser>
          <c:idx val="7"/>
          <c:order val="7"/>
          <c:tx>
            <c:strRef>
              <c:f>Visuals!$H$42</c:f>
              <c:strCache>
                <c:ptCount val="1"/>
                <c:pt idx="0">
                  <c:v>Measurable progress</c:v>
                </c:pt>
              </c:strCache>
            </c:strRef>
          </c:tx>
          <c:spPr>
            <a:ln w="25400" cap="rnd">
              <a:solidFill>
                <a:schemeClr val="tx1"/>
              </a:solidFill>
              <a:prstDash val="sys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3144-46C4-AA18-9B44CDD2D1B1}"/>
                </c:ext>
              </c:extLst>
            </c:dLbl>
            <c:dLbl>
              <c:idx val="1"/>
              <c:delete val="1"/>
              <c:extLst>
                <c:ext xmlns:c15="http://schemas.microsoft.com/office/drawing/2012/chart" uri="{CE6537A1-D6FC-4f65-9D91-7224C49458BB}"/>
                <c:ext xmlns:c16="http://schemas.microsoft.com/office/drawing/2014/chart" uri="{C3380CC4-5D6E-409C-BE32-E72D297353CC}">
                  <c16:uniqueId val="{0000000A-3144-46C4-AA18-9B44CDD2D1B1}"/>
                </c:ext>
              </c:extLst>
            </c:dLbl>
            <c:dLbl>
              <c:idx val="2"/>
              <c:delete val="1"/>
              <c:extLst>
                <c:ext xmlns:c15="http://schemas.microsoft.com/office/drawing/2012/chart" uri="{CE6537A1-D6FC-4f65-9D91-7224C49458BB}"/>
                <c:ext xmlns:c16="http://schemas.microsoft.com/office/drawing/2014/chart" uri="{C3380CC4-5D6E-409C-BE32-E72D297353CC}">
                  <c16:uniqueId val="{0000000B-3144-46C4-AA18-9B44CDD2D1B1}"/>
                </c:ext>
              </c:extLst>
            </c:dLbl>
            <c:dLbl>
              <c:idx val="3"/>
              <c:layout>
                <c:manualLayout>
                  <c:x val="2.3766755850782202E-2"/>
                  <c:y val="-7.1339146847647429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144-46C4-AA18-9B44CDD2D1B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Visuals!$I$35:$L$35</c:f>
              <c:strCache>
                <c:ptCount val="4"/>
                <c:pt idx="0">
                  <c:v>KR2.1</c:v>
                </c:pt>
                <c:pt idx="1">
                  <c:v>KR2.2</c:v>
                </c:pt>
                <c:pt idx="2">
                  <c:v>KR2.3</c:v>
                </c:pt>
                <c:pt idx="3">
                  <c:v>KR2.4</c:v>
                </c:pt>
              </c:strCache>
            </c:strRef>
          </c:cat>
          <c:val>
            <c:numRef>
              <c:f>Visuals!$I$42:$L$42</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D-3144-46C4-AA18-9B44CDD2D1B1}"/>
            </c:ext>
          </c:extLst>
        </c:ser>
        <c:dLbls>
          <c:showLegendKey val="0"/>
          <c:showVal val="0"/>
          <c:showCatName val="0"/>
          <c:showSerName val="0"/>
          <c:showPercent val="0"/>
          <c:showBubbleSize val="0"/>
        </c:dLbls>
        <c:marker val="1"/>
        <c:smooth val="0"/>
        <c:axId val="991673696"/>
        <c:axId val="1222938432"/>
      </c:lineChart>
      <c:catAx>
        <c:axId val="98742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7401296"/>
        <c:crosses val="autoZero"/>
        <c:auto val="1"/>
        <c:lblAlgn val="ctr"/>
        <c:lblOffset val="100"/>
        <c:noMultiLvlLbl val="0"/>
      </c:catAx>
      <c:valAx>
        <c:axId val="98740129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Key Result Score</a:t>
                </a:r>
              </a:p>
            </c:rich>
          </c:tx>
          <c:layout>
            <c:manualLayout>
              <c:xMode val="edge"/>
              <c:yMode val="edge"/>
              <c:x val="1.0175295017256702E-2"/>
              <c:y val="0.3258849624116730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7421456"/>
        <c:crosses val="autoZero"/>
        <c:crossBetween val="between"/>
        <c:majorUnit val="0.2"/>
      </c:valAx>
      <c:valAx>
        <c:axId val="1222938432"/>
        <c:scaling>
          <c:orientation val="minMax"/>
        </c:scaling>
        <c:delete val="1"/>
        <c:axPos val="r"/>
        <c:numFmt formatCode="General" sourceLinked="1"/>
        <c:majorTickMark val="out"/>
        <c:minorTickMark val="none"/>
        <c:tickLblPos val="nextTo"/>
        <c:crossAx val="991673696"/>
        <c:crosses val="max"/>
        <c:crossBetween val="between"/>
      </c:valAx>
      <c:catAx>
        <c:axId val="991673696"/>
        <c:scaling>
          <c:orientation val="minMax"/>
        </c:scaling>
        <c:delete val="1"/>
        <c:axPos val="b"/>
        <c:numFmt formatCode="General" sourceLinked="1"/>
        <c:majorTickMark val="out"/>
        <c:minorTickMark val="none"/>
        <c:tickLblPos val="nextTo"/>
        <c:crossAx val="1222938432"/>
        <c:crosses val="autoZero"/>
        <c:auto val="1"/>
        <c:lblAlgn val="ctr"/>
        <c:lblOffset val="100"/>
        <c:noMultiLvlLbl val="0"/>
      </c:catAx>
      <c:spPr>
        <a:noFill/>
        <a:ln w="12700">
          <a:solidFill>
            <a:schemeClr val="bg1">
              <a:lumMod val="95000"/>
            </a:schemeClr>
          </a:solidFill>
          <a:prstDash val="solid"/>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Visuals!$A$67</c:f>
              <c:strCache>
                <c:ptCount val="1"/>
                <c:pt idx="0">
                  <c:v>Q1</c:v>
                </c:pt>
              </c:strCache>
            </c:strRef>
          </c:tx>
          <c:spPr>
            <a:solidFill>
              <a:srgbClr val="156082"/>
            </a:solidFill>
            <a:ln>
              <a:noFill/>
            </a:ln>
            <a:effectLst/>
          </c:spPr>
          <c:invertIfNegative val="0"/>
          <c:cat>
            <c:strRef>
              <c:f>Visuals!$B$66:$E$66</c:f>
              <c:strCache>
                <c:ptCount val="4"/>
                <c:pt idx="0">
                  <c:v>KR3.1</c:v>
                </c:pt>
                <c:pt idx="1">
                  <c:v>KR3.2</c:v>
                </c:pt>
                <c:pt idx="2">
                  <c:v>KR3.3</c:v>
                </c:pt>
                <c:pt idx="3">
                  <c:v>KR3.4</c:v>
                </c:pt>
              </c:strCache>
            </c:strRef>
          </c:cat>
          <c:val>
            <c:numRef>
              <c:f>Visuals!$B$67:$E$67</c:f>
              <c:numCache>
                <c:formatCode>General</c:formatCode>
                <c:ptCount val="4"/>
                <c:pt idx="0">
                  <c:v>0.8</c:v>
                </c:pt>
                <c:pt idx="1">
                  <c:v>0</c:v>
                </c:pt>
                <c:pt idx="2">
                  <c:v>0</c:v>
                </c:pt>
                <c:pt idx="3">
                  <c:v>0</c:v>
                </c:pt>
              </c:numCache>
            </c:numRef>
          </c:val>
          <c:extLst>
            <c:ext xmlns:c16="http://schemas.microsoft.com/office/drawing/2014/chart" uri="{C3380CC4-5D6E-409C-BE32-E72D297353CC}">
              <c16:uniqueId val="{00000000-D542-4046-A133-0BC46EEAE68B}"/>
            </c:ext>
          </c:extLst>
        </c:ser>
        <c:ser>
          <c:idx val="1"/>
          <c:order val="1"/>
          <c:tx>
            <c:strRef>
              <c:f>Visuals!$A$68</c:f>
              <c:strCache>
                <c:ptCount val="1"/>
                <c:pt idx="0">
                  <c:v>Q2</c:v>
                </c:pt>
              </c:strCache>
            </c:strRef>
          </c:tx>
          <c:spPr>
            <a:solidFill>
              <a:srgbClr val="E97132"/>
            </a:solidFill>
            <a:ln>
              <a:noFill/>
            </a:ln>
            <a:effectLst/>
          </c:spPr>
          <c:invertIfNegative val="0"/>
          <c:cat>
            <c:strRef>
              <c:f>Visuals!$B$66:$E$66</c:f>
              <c:strCache>
                <c:ptCount val="4"/>
                <c:pt idx="0">
                  <c:v>KR3.1</c:v>
                </c:pt>
                <c:pt idx="1">
                  <c:v>KR3.2</c:v>
                </c:pt>
                <c:pt idx="2">
                  <c:v>KR3.3</c:v>
                </c:pt>
                <c:pt idx="3">
                  <c:v>KR3.4</c:v>
                </c:pt>
              </c:strCache>
            </c:strRef>
          </c:cat>
          <c:val>
            <c:numRef>
              <c:f>Visuals!$B$68:$E$68</c:f>
              <c:numCache>
                <c:formatCode>General</c:formatCode>
                <c:ptCount val="4"/>
                <c:pt idx="0">
                  <c:v>0.9</c:v>
                </c:pt>
                <c:pt idx="1">
                  <c:v>0</c:v>
                </c:pt>
                <c:pt idx="2">
                  <c:v>0</c:v>
                </c:pt>
                <c:pt idx="3">
                  <c:v>0</c:v>
                </c:pt>
              </c:numCache>
            </c:numRef>
          </c:val>
          <c:extLst>
            <c:ext xmlns:c16="http://schemas.microsoft.com/office/drawing/2014/chart" uri="{C3380CC4-5D6E-409C-BE32-E72D297353CC}">
              <c16:uniqueId val="{00000001-D542-4046-A133-0BC46EEAE68B}"/>
            </c:ext>
          </c:extLst>
        </c:ser>
        <c:ser>
          <c:idx val="2"/>
          <c:order val="2"/>
          <c:tx>
            <c:strRef>
              <c:f>Visuals!$A$69</c:f>
              <c:strCache>
                <c:ptCount val="1"/>
                <c:pt idx="0">
                  <c:v>Q3</c:v>
                </c:pt>
              </c:strCache>
            </c:strRef>
          </c:tx>
          <c:spPr>
            <a:solidFill>
              <a:srgbClr val="2A8451"/>
            </a:solidFill>
            <a:ln>
              <a:noFill/>
            </a:ln>
            <a:effectLst/>
          </c:spPr>
          <c:invertIfNegative val="0"/>
          <c:cat>
            <c:strRef>
              <c:f>Visuals!$B$66:$E$66</c:f>
              <c:strCache>
                <c:ptCount val="4"/>
                <c:pt idx="0">
                  <c:v>KR3.1</c:v>
                </c:pt>
                <c:pt idx="1">
                  <c:v>KR3.2</c:v>
                </c:pt>
                <c:pt idx="2">
                  <c:v>KR3.3</c:v>
                </c:pt>
                <c:pt idx="3">
                  <c:v>KR3.4</c:v>
                </c:pt>
              </c:strCache>
            </c:strRef>
          </c:cat>
          <c:val>
            <c:numRef>
              <c:f>Visuals!$B$69:$E$69</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2-D542-4046-A133-0BC46EEAE68B}"/>
            </c:ext>
          </c:extLst>
        </c:ser>
        <c:ser>
          <c:idx val="3"/>
          <c:order val="3"/>
          <c:tx>
            <c:strRef>
              <c:f>Visuals!$A$70</c:f>
              <c:strCache>
                <c:ptCount val="1"/>
                <c:pt idx="0">
                  <c:v>Q4</c:v>
                </c:pt>
              </c:strCache>
            </c:strRef>
          </c:tx>
          <c:spPr>
            <a:solidFill>
              <a:srgbClr val="A22895"/>
            </a:solidFill>
            <a:ln>
              <a:noFill/>
            </a:ln>
            <a:effectLst/>
          </c:spPr>
          <c:invertIfNegative val="0"/>
          <c:cat>
            <c:strRef>
              <c:f>Visuals!$B$66:$E$66</c:f>
              <c:strCache>
                <c:ptCount val="4"/>
                <c:pt idx="0">
                  <c:v>KR3.1</c:v>
                </c:pt>
                <c:pt idx="1">
                  <c:v>KR3.2</c:v>
                </c:pt>
                <c:pt idx="2">
                  <c:v>KR3.3</c:v>
                </c:pt>
                <c:pt idx="3">
                  <c:v>KR3.4</c:v>
                </c:pt>
              </c:strCache>
            </c:strRef>
          </c:cat>
          <c:val>
            <c:numRef>
              <c:f>Visuals!$B$70:$E$70</c:f>
              <c:numCache>
                <c:formatCode>General</c:formatCode>
                <c:ptCount val="4"/>
              </c:numCache>
            </c:numRef>
          </c:val>
          <c:extLst>
            <c:ext xmlns:c16="http://schemas.microsoft.com/office/drawing/2014/chart" uri="{C3380CC4-5D6E-409C-BE32-E72D297353CC}">
              <c16:uniqueId val="{00000003-D542-4046-A133-0BC46EEAE68B}"/>
            </c:ext>
          </c:extLst>
        </c:ser>
        <c:dLbls>
          <c:showLegendKey val="0"/>
          <c:showVal val="0"/>
          <c:showCatName val="0"/>
          <c:showSerName val="0"/>
          <c:showPercent val="0"/>
          <c:showBubbleSize val="0"/>
        </c:dLbls>
        <c:gapWidth val="219"/>
        <c:axId val="52310704"/>
        <c:axId val="52320304"/>
      </c:barChart>
      <c:lineChart>
        <c:grouping val="standard"/>
        <c:varyColors val="0"/>
        <c:dLbls>
          <c:showLegendKey val="0"/>
          <c:showVal val="0"/>
          <c:showCatName val="0"/>
          <c:showSerName val="0"/>
          <c:showPercent val="0"/>
          <c:showBubbleSize val="0"/>
        </c:dLbls>
        <c:marker val="1"/>
        <c:smooth val="0"/>
        <c:axId val="52310704"/>
        <c:axId val="52320304"/>
        <c:extLst>
          <c:ext xmlns:c15="http://schemas.microsoft.com/office/drawing/2012/chart" uri="{02D57815-91ED-43cb-92C2-25804820EDAC}">
            <c15:filteredLineSeries>
              <c15:ser>
                <c:idx val="4"/>
                <c:order val="4"/>
                <c:tx>
                  <c:strRef>
                    <c:extLst>
                      <c:ext uri="{02D57815-91ED-43cb-92C2-25804820EDAC}">
                        <c15:formulaRef>
                          <c15:sqref>Visuals!$A$71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Visuals!$B$66:$E$66</c15:sqref>
                        </c15:formulaRef>
                      </c:ext>
                    </c:extLst>
                    <c:strCache>
                      <c:ptCount val="4"/>
                      <c:pt idx="0">
                        <c:v>KR3.1</c:v>
                      </c:pt>
                      <c:pt idx="1">
                        <c:v>KR3.2</c:v>
                      </c:pt>
                      <c:pt idx="2">
                        <c:v>KR3.3</c:v>
                      </c:pt>
                      <c:pt idx="3">
                        <c:v>KR3.4</c:v>
                      </c:pt>
                    </c:strCache>
                  </c:strRef>
                </c:cat>
                <c:val>
                  <c:numRef>
                    <c:extLst>
                      <c:ext uri="{02D57815-91ED-43cb-92C2-25804820EDAC}">
                        <c15:formulaRef>
                          <c15:sqref>Visuals!$B$71:$E$71</c15:sqref>
                        </c15:formulaRef>
                      </c:ext>
                    </c:extLst>
                    <c:numCache>
                      <c:formatCode>General</c:formatCode>
                      <c:ptCount val="4"/>
                    </c:numCache>
                  </c:numRef>
                </c:val>
                <c:smooth val="0"/>
                <c:extLst>
                  <c:ext xmlns:c16="http://schemas.microsoft.com/office/drawing/2014/chart" uri="{C3380CC4-5D6E-409C-BE32-E72D297353CC}">
                    <c16:uniqueId val="{0000000A-D542-4046-A133-0BC46EEAE68B}"/>
                  </c:ext>
                </c:extLst>
              </c15:ser>
            </c15:filteredLineSeries>
          </c:ext>
        </c:extLst>
      </c:lineChart>
      <c:lineChart>
        <c:grouping val="standard"/>
        <c:varyColors val="0"/>
        <c:ser>
          <c:idx val="5"/>
          <c:order val="5"/>
          <c:tx>
            <c:strRef>
              <c:f>Visuals!$A$72</c:f>
              <c:strCache>
                <c:ptCount val="1"/>
                <c:pt idx="0">
                  <c:v>Delivering </c:v>
                </c:pt>
              </c:strCache>
            </c:strRef>
          </c:tx>
          <c:spPr>
            <a:ln w="19050" cap="rnd">
              <a:solidFill>
                <a:schemeClr val="tx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D542-4046-A133-0BC46EEAE68B}"/>
                </c:ext>
              </c:extLst>
            </c:dLbl>
            <c:dLbl>
              <c:idx val="1"/>
              <c:delete val="1"/>
              <c:extLst>
                <c:ext xmlns:c15="http://schemas.microsoft.com/office/drawing/2012/chart" uri="{CE6537A1-D6FC-4f65-9D91-7224C49458BB}"/>
                <c:ext xmlns:c16="http://schemas.microsoft.com/office/drawing/2014/chart" uri="{C3380CC4-5D6E-409C-BE32-E72D297353CC}">
                  <c16:uniqueId val="{00000005-D542-4046-A133-0BC46EEAE68B}"/>
                </c:ext>
              </c:extLst>
            </c:dLbl>
            <c:dLbl>
              <c:idx val="2"/>
              <c:delete val="1"/>
              <c:extLst>
                <c:ext xmlns:c15="http://schemas.microsoft.com/office/drawing/2012/chart" uri="{CE6537A1-D6FC-4f65-9D91-7224C49458BB}"/>
                <c:ext xmlns:c16="http://schemas.microsoft.com/office/drawing/2014/chart" uri="{C3380CC4-5D6E-409C-BE32-E72D297353CC}">
                  <c16:uniqueId val="{00000006-D542-4046-A133-0BC46EEAE68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Visuals!$B$66:$E$66</c:f>
              <c:strCache>
                <c:ptCount val="4"/>
                <c:pt idx="0">
                  <c:v>KR3.1</c:v>
                </c:pt>
                <c:pt idx="1">
                  <c:v>KR3.2</c:v>
                </c:pt>
                <c:pt idx="2">
                  <c:v>KR3.3</c:v>
                </c:pt>
                <c:pt idx="3">
                  <c:v>KR3.4</c:v>
                </c:pt>
              </c:strCache>
            </c:strRef>
          </c:cat>
          <c:val>
            <c:numRef>
              <c:f>Visuals!$B$72:$E$72</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7-D542-4046-A133-0BC46EEAE68B}"/>
            </c:ext>
          </c:extLst>
        </c:ser>
        <c:ser>
          <c:idx val="6"/>
          <c:order val="6"/>
          <c:tx>
            <c:strRef>
              <c:f>Visuals!$A$73</c:f>
              <c:strCache>
                <c:ptCount val="1"/>
                <c:pt idx="0">
                  <c:v>Measurable progress</c:v>
                </c:pt>
              </c:strCache>
            </c:strRef>
          </c:tx>
          <c:spPr>
            <a:ln w="25400" cap="rnd">
              <a:solidFill>
                <a:schemeClr val="accent1">
                  <a:lumMod val="60000"/>
                </a:schemeClr>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42-4046-A133-0BC46EEAE68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Visuals!$B$66:$E$66</c:f>
              <c:strCache>
                <c:ptCount val="4"/>
                <c:pt idx="0">
                  <c:v>KR3.1</c:v>
                </c:pt>
                <c:pt idx="1">
                  <c:v>KR3.2</c:v>
                </c:pt>
                <c:pt idx="2">
                  <c:v>KR3.3</c:v>
                </c:pt>
                <c:pt idx="3">
                  <c:v>KR3.4</c:v>
                </c:pt>
              </c:strCache>
            </c:strRef>
          </c:cat>
          <c:val>
            <c:numRef>
              <c:f>Visuals!$B$73:$E$73</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9-D542-4046-A133-0BC46EEAE68B}"/>
            </c:ext>
          </c:extLst>
        </c:ser>
        <c:dLbls>
          <c:showLegendKey val="0"/>
          <c:showVal val="0"/>
          <c:showCatName val="0"/>
          <c:showSerName val="0"/>
          <c:showPercent val="0"/>
          <c:showBubbleSize val="0"/>
        </c:dLbls>
        <c:marker val="1"/>
        <c:smooth val="0"/>
        <c:axId val="52349584"/>
        <c:axId val="52359664"/>
      </c:lineChart>
      <c:catAx>
        <c:axId val="5231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320304"/>
        <c:crosses val="autoZero"/>
        <c:auto val="1"/>
        <c:lblAlgn val="ctr"/>
        <c:lblOffset val="100"/>
        <c:noMultiLvlLbl val="0"/>
      </c:catAx>
      <c:valAx>
        <c:axId val="52320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310704"/>
        <c:crosses val="autoZero"/>
        <c:crossBetween val="between"/>
      </c:valAx>
      <c:valAx>
        <c:axId val="52359664"/>
        <c:scaling>
          <c:orientation val="minMax"/>
        </c:scaling>
        <c:delete val="1"/>
        <c:axPos val="r"/>
        <c:numFmt formatCode="General" sourceLinked="1"/>
        <c:majorTickMark val="out"/>
        <c:minorTickMark val="none"/>
        <c:tickLblPos val="nextTo"/>
        <c:crossAx val="52349584"/>
        <c:crosses val="max"/>
        <c:crossBetween val="between"/>
      </c:valAx>
      <c:catAx>
        <c:axId val="52349584"/>
        <c:scaling>
          <c:orientation val="minMax"/>
        </c:scaling>
        <c:delete val="1"/>
        <c:axPos val="b"/>
        <c:numFmt formatCode="General" sourceLinked="1"/>
        <c:majorTickMark val="out"/>
        <c:minorTickMark val="none"/>
        <c:tickLblPos val="nextTo"/>
        <c:crossAx val="523596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Visuals!$H$67</c:f>
              <c:strCache>
                <c:ptCount val="1"/>
                <c:pt idx="0">
                  <c:v>Q1</c:v>
                </c:pt>
              </c:strCache>
            </c:strRef>
          </c:tx>
          <c:spPr>
            <a:solidFill>
              <a:srgbClr val="156082"/>
            </a:solidFill>
            <a:ln>
              <a:noFill/>
            </a:ln>
            <a:effectLst/>
          </c:spPr>
          <c:invertIfNegative val="0"/>
          <c:cat>
            <c:strRef>
              <c:f>Visuals!$I$66:$K$66</c:f>
              <c:strCache>
                <c:ptCount val="3"/>
                <c:pt idx="0">
                  <c:v>KR4.1</c:v>
                </c:pt>
                <c:pt idx="1">
                  <c:v>KR4.2</c:v>
                </c:pt>
                <c:pt idx="2">
                  <c:v>KR4.3</c:v>
                </c:pt>
              </c:strCache>
            </c:strRef>
          </c:cat>
          <c:val>
            <c:numRef>
              <c:f>Visuals!$I$67:$K$67</c:f>
              <c:numCache>
                <c:formatCode>General</c:formatCode>
                <c:ptCount val="3"/>
                <c:pt idx="0">
                  <c:v>0.7</c:v>
                </c:pt>
                <c:pt idx="1">
                  <c:v>0</c:v>
                </c:pt>
                <c:pt idx="2">
                  <c:v>0.28999999999999998</c:v>
                </c:pt>
              </c:numCache>
            </c:numRef>
          </c:val>
          <c:extLst>
            <c:ext xmlns:c16="http://schemas.microsoft.com/office/drawing/2014/chart" uri="{C3380CC4-5D6E-409C-BE32-E72D297353CC}">
              <c16:uniqueId val="{00000000-3E41-4C32-BE78-F4298C11080A}"/>
            </c:ext>
          </c:extLst>
        </c:ser>
        <c:ser>
          <c:idx val="1"/>
          <c:order val="1"/>
          <c:tx>
            <c:strRef>
              <c:f>Visuals!$H$68</c:f>
              <c:strCache>
                <c:ptCount val="1"/>
                <c:pt idx="0">
                  <c:v>Q2</c:v>
                </c:pt>
              </c:strCache>
            </c:strRef>
          </c:tx>
          <c:spPr>
            <a:solidFill>
              <a:srgbClr val="E97132"/>
            </a:solidFill>
            <a:ln>
              <a:noFill/>
            </a:ln>
            <a:effectLst/>
          </c:spPr>
          <c:invertIfNegative val="0"/>
          <c:cat>
            <c:strRef>
              <c:f>Visuals!$I$66:$K$66</c:f>
              <c:strCache>
                <c:ptCount val="3"/>
                <c:pt idx="0">
                  <c:v>KR4.1</c:v>
                </c:pt>
                <c:pt idx="1">
                  <c:v>KR4.2</c:v>
                </c:pt>
                <c:pt idx="2">
                  <c:v>KR4.3</c:v>
                </c:pt>
              </c:strCache>
            </c:strRef>
          </c:cat>
          <c:val>
            <c:numRef>
              <c:f>Visuals!$I$68:$K$68</c:f>
              <c:numCache>
                <c:formatCode>General</c:formatCode>
                <c:ptCount val="3"/>
                <c:pt idx="0">
                  <c:v>0.7</c:v>
                </c:pt>
                <c:pt idx="1">
                  <c:v>0</c:v>
                </c:pt>
                <c:pt idx="2">
                  <c:v>0.28999999999999998</c:v>
                </c:pt>
              </c:numCache>
            </c:numRef>
          </c:val>
          <c:extLst>
            <c:ext xmlns:c16="http://schemas.microsoft.com/office/drawing/2014/chart" uri="{C3380CC4-5D6E-409C-BE32-E72D297353CC}">
              <c16:uniqueId val="{00000001-3E41-4C32-BE78-F4298C11080A}"/>
            </c:ext>
          </c:extLst>
        </c:ser>
        <c:ser>
          <c:idx val="2"/>
          <c:order val="2"/>
          <c:tx>
            <c:strRef>
              <c:f>Visuals!$H$69</c:f>
              <c:strCache>
                <c:ptCount val="1"/>
                <c:pt idx="0">
                  <c:v>Q3</c:v>
                </c:pt>
              </c:strCache>
            </c:strRef>
          </c:tx>
          <c:spPr>
            <a:solidFill>
              <a:srgbClr val="2A8451"/>
            </a:solidFill>
            <a:ln>
              <a:noFill/>
            </a:ln>
            <a:effectLst/>
          </c:spPr>
          <c:invertIfNegative val="0"/>
          <c:cat>
            <c:strRef>
              <c:f>Visuals!$I$66:$K$66</c:f>
              <c:strCache>
                <c:ptCount val="3"/>
                <c:pt idx="0">
                  <c:v>KR4.1</c:v>
                </c:pt>
                <c:pt idx="1">
                  <c:v>KR4.2</c:v>
                </c:pt>
                <c:pt idx="2">
                  <c:v>KR4.3</c:v>
                </c:pt>
              </c:strCache>
            </c:strRef>
          </c:cat>
          <c:val>
            <c:numRef>
              <c:f>Visuals!$I$69:$K$69</c:f>
              <c:numCache>
                <c:formatCode>General</c:formatCode>
                <c:ptCount val="3"/>
                <c:pt idx="0">
                  <c:v>0.7</c:v>
                </c:pt>
                <c:pt idx="1">
                  <c:v>0</c:v>
                </c:pt>
                <c:pt idx="2">
                  <c:v>0.43</c:v>
                </c:pt>
              </c:numCache>
            </c:numRef>
          </c:val>
          <c:extLst>
            <c:ext xmlns:c16="http://schemas.microsoft.com/office/drawing/2014/chart" uri="{C3380CC4-5D6E-409C-BE32-E72D297353CC}">
              <c16:uniqueId val="{00000002-3E41-4C32-BE78-F4298C11080A}"/>
            </c:ext>
          </c:extLst>
        </c:ser>
        <c:ser>
          <c:idx val="3"/>
          <c:order val="3"/>
          <c:tx>
            <c:strRef>
              <c:f>Visuals!$H$70</c:f>
              <c:strCache>
                <c:ptCount val="1"/>
                <c:pt idx="0">
                  <c:v>Q4</c:v>
                </c:pt>
              </c:strCache>
            </c:strRef>
          </c:tx>
          <c:spPr>
            <a:solidFill>
              <a:srgbClr val="A22895"/>
            </a:solidFill>
            <a:ln>
              <a:noFill/>
            </a:ln>
            <a:effectLst/>
          </c:spPr>
          <c:invertIfNegative val="0"/>
          <c:cat>
            <c:strRef>
              <c:f>Visuals!$I$66:$K$66</c:f>
              <c:strCache>
                <c:ptCount val="3"/>
                <c:pt idx="0">
                  <c:v>KR4.1</c:v>
                </c:pt>
                <c:pt idx="1">
                  <c:v>KR4.2</c:v>
                </c:pt>
                <c:pt idx="2">
                  <c:v>KR4.3</c:v>
                </c:pt>
              </c:strCache>
            </c:strRef>
          </c:cat>
          <c:val>
            <c:numRef>
              <c:f>Visuals!$I$70:$K$70</c:f>
              <c:numCache>
                <c:formatCode>General</c:formatCode>
                <c:ptCount val="3"/>
              </c:numCache>
            </c:numRef>
          </c:val>
          <c:extLst>
            <c:ext xmlns:c16="http://schemas.microsoft.com/office/drawing/2014/chart" uri="{C3380CC4-5D6E-409C-BE32-E72D297353CC}">
              <c16:uniqueId val="{00000003-3E41-4C32-BE78-F4298C11080A}"/>
            </c:ext>
          </c:extLst>
        </c:ser>
        <c:dLbls>
          <c:showLegendKey val="0"/>
          <c:showVal val="0"/>
          <c:showCatName val="0"/>
          <c:showSerName val="0"/>
          <c:showPercent val="0"/>
          <c:showBubbleSize val="0"/>
        </c:dLbls>
        <c:gapWidth val="150"/>
        <c:axId val="514927840"/>
        <c:axId val="514917760"/>
      </c:barChart>
      <c:lineChart>
        <c:grouping val="standard"/>
        <c:varyColors val="0"/>
        <c:ser>
          <c:idx val="5"/>
          <c:order val="5"/>
          <c:tx>
            <c:strRef>
              <c:f>Visuals!$H$72</c:f>
              <c:strCache>
                <c:ptCount val="1"/>
                <c:pt idx="0">
                  <c:v>Delivering </c:v>
                </c:pt>
              </c:strCache>
            </c:strRef>
          </c:tx>
          <c:spPr>
            <a:ln w="19050" cap="rnd">
              <a:solidFill>
                <a:schemeClr val="tx1"/>
              </a:solidFill>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41-4C32-BE78-F4298C11080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Visuals!$I$66:$K$66</c:f>
              <c:strCache>
                <c:ptCount val="3"/>
                <c:pt idx="0">
                  <c:v>KR4.1</c:v>
                </c:pt>
                <c:pt idx="1">
                  <c:v>KR4.2</c:v>
                </c:pt>
                <c:pt idx="2">
                  <c:v>KR4.3</c:v>
                </c:pt>
              </c:strCache>
            </c:strRef>
          </c:cat>
          <c:val>
            <c:numRef>
              <c:f>Visuals!$I$72:$K$72</c:f>
              <c:numCache>
                <c:formatCode>General</c:formatCode>
                <c:ptCount val="3"/>
                <c:pt idx="0">
                  <c:v>0.7</c:v>
                </c:pt>
                <c:pt idx="1">
                  <c:v>0.7</c:v>
                </c:pt>
                <c:pt idx="2">
                  <c:v>0.7</c:v>
                </c:pt>
              </c:numCache>
            </c:numRef>
          </c:val>
          <c:smooth val="0"/>
          <c:extLst>
            <c:ext xmlns:c16="http://schemas.microsoft.com/office/drawing/2014/chart" uri="{C3380CC4-5D6E-409C-BE32-E72D297353CC}">
              <c16:uniqueId val="{00000005-3E41-4C32-BE78-F4298C11080A}"/>
            </c:ext>
          </c:extLst>
        </c:ser>
        <c:ser>
          <c:idx val="6"/>
          <c:order val="6"/>
          <c:tx>
            <c:strRef>
              <c:f>Visuals!$H$73</c:f>
              <c:strCache>
                <c:ptCount val="1"/>
                <c:pt idx="0">
                  <c:v>Measurable progress</c:v>
                </c:pt>
              </c:strCache>
            </c:strRef>
          </c:tx>
          <c:spPr>
            <a:ln w="25400" cap="rnd">
              <a:solidFill>
                <a:schemeClr val="accent1">
                  <a:lumMod val="60000"/>
                </a:schemeClr>
              </a:solidFill>
              <a:prstDash val="sysDot"/>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41-4C32-BE78-F4298C11080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Visuals!$I$66:$K$66</c:f>
              <c:strCache>
                <c:ptCount val="3"/>
                <c:pt idx="0">
                  <c:v>KR4.1</c:v>
                </c:pt>
                <c:pt idx="1">
                  <c:v>KR4.2</c:v>
                </c:pt>
                <c:pt idx="2">
                  <c:v>KR4.3</c:v>
                </c:pt>
              </c:strCache>
            </c:strRef>
          </c:cat>
          <c:val>
            <c:numRef>
              <c:f>Visuals!$I$73:$K$73</c:f>
              <c:numCache>
                <c:formatCode>General</c:formatCode>
                <c:ptCount val="3"/>
                <c:pt idx="0">
                  <c:v>0.3</c:v>
                </c:pt>
                <c:pt idx="1">
                  <c:v>0.3</c:v>
                </c:pt>
                <c:pt idx="2">
                  <c:v>0.3</c:v>
                </c:pt>
              </c:numCache>
            </c:numRef>
          </c:val>
          <c:smooth val="0"/>
          <c:extLst>
            <c:ext xmlns:c16="http://schemas.microsoft.com/office/drawing/2014/chart" uri="{C3380CC4-5D6E-409C-BE32-E72D297353CC}">
              <c16:uniqueId val="{00000007-3E41-4C32-BE78-F4298C11080A}"/>
            </c:ext>
          </c:extLst>
        </c:ser>
        <c:dLbls>
          <c:showLegendKey val="0"/>
          <c:showVal val="0"/>
          <c:showCatName val="0"/>
          <c:showSerName val="0"/>
          <c:showPercent val="0"/>
          <c:showBubbleSize val="0"/>
        </c:dLbls>
        <c:marker val="1"/>
        <c:smooth val="0"/>
        <c:axId val="514929280"/>
        <c:axId val="514929760"/>
        <c:extLst>
          <c:ext xmlns:c15="http://schemas.microsoft.com/office/drawing/2012/chart" uri="{02D57815-91ED-43cb-92C2-25804820EDAC}">
            <c15:filteredLineSeries>
              <c15:ser>
                <c:idx val="4"/>
                <c:order val="4"/>
                <c:tx>
                  <c:strRef>
                    <c:extLst>
                      <c:ext uri="{02D57815-91ED-43cb-92C2-25804820EDAC}">
                        <c15:formulaRef>
                          <c15:sqref>Visuals!$H$71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Visuals!$I$66:$K$66</c15:sqref>
                        </c15:formulaRef>
                      </c:ext>
                    </c:extLst>
                    <c:strCache>
                      <c:ptCount val="3"/>
                      <c:pt idx="0">
                        <c:v>KR4.1</c:v>
                      </c:pt>
                      <c:pt idx="1">
                        <c:v>KR4.2</c:v>
                      </c:pt>
                      <c:pt idx="2">
                        <c:v>KR4.3</c:v>
                      </c:pt>
                    </c:strCache>
                  </c:strRef>
                </c:cat>
                <c:val>
                  <c:numRef>
                    <c:extLst>
                      <c:ext uri="{02D57815-91ED-43cb-92C2-25804820EDAC}">
                        <c15:formulaRef>
                          <c15:sqref>Visuals!$I$71:$K$71</c15:sqref>
                        </c15:formulaRef>
                      </c:ext>
                    </c:extLst>
                    <c:numCache>
                      <c:formatCode>General</c:formatCode>
                      <c:ptCount val="3"/>
                    </c:numCache>
                  </c:numRef>
                </c:val>
                <c:smooth val="0"/>
                <c:extLst>
                  <c:ext xmlns:c16="http://schemas.microsoft.com/office/drawing/2014/chart" uri="{C3380CC4-5D6E-409C-BE32-E72D297353CC}">
                    <c16:uniqueId val="{00000008-3E41-4C32-BE78-F4298C11080A}"/>
                  </c:ext>
                </c:extLst>
              </c15:ser>
            </c15:filteredLineSeries>
          </c:ext>
        </c:extLst>
      </c:lineChart>
      <c:catAx>
        <c:axId val="5149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4917760"/>
        <c:crosses val="autoZero"/>
        <c:auto val="1"/>
        <c:lblAlgn val="ctr"/>
        <c:lblOffset val="100"/>
        <c:noMultiLvlLbl val="0"/>
      </c:catAx>
      <c:valAx>
        <c:axId val="5149177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Key Result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4927840"/>
        <c:crosses val="autoZero"/>
        <c:crossBetween val="between"/>
        <c:majorUnit val="0.2"/>
      </c:valAx>
      <c:valAx>
        <c:axId val="514929760"/>
        <c:scaling>
          <c:orientation val="minMax"/>
        </c:scaling>
        <c:delete val="1"/>
        <c:axPos val="r"/>
        <c:numFmt formatCode="General" sourceLinked="1"/>
        <c:majorTickMark val="none"/>
        <c:minorTickMark val="none"/>
        <c:tickLblPos val="nextTo"/>
        <c:crossAx val="514929280"/>
        <c:crosses val="max"/>
        <c:crossBetween val="between"/>
      </c:valAx>
      <c:catAx>
        <c:axId val="514929280"/>
        <c:scaling>
          <c:orientation val="minMax"/>
        </c:scaling>
        <c:delete val="1"/>
        <c:axPos val="b"/>
        <c:numFmt formatCode="General" sourceLinked="1"/>
        <c:majorTickMark val="none"/>
        <c:minorTickMark val="none"/>
        <c:tickLblPos val="nextTo"/>
        <c:crossAx val="514929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Visuals!$A$93</c:f>
              <c:strCache>
                <c:ptCount val="1"/>
                <c:pt idx="0">
                  <c:v>Q1</c:v>
                </c:pt>
              </c:strCache>
            </c:strRef>
          </c:tx>
          <c:spPr>
            <a:solidFill>
              <a:srgbClr val="156082"/>
            </a:solidFill>
            <a:ln>
              <a:noFill/>
            </a:ln>
            <a:effectLst/>
          </c:spPr>
          <c:invertIfNegative val="0"/>
          <c:cat>
            <c:strRef>
              <c:f>Visuals!$B$92:$E$92</c:f>
              <c:strCache>
                <c:ptCount val="4"/>
                <c:pt idx="0">
                  <c:v>KR5.1</c:v>
                </c:pt>
                <c:pt idx="1">
                  <c:v>KR5.2</c:v>
                </c:pt>
                <c:pt idx="2">
                  <c:v>KR5.3</c:v>
                </c:pt>
                <c:pt idx="3">
                  <c:v>KR5.4</c:v>
                </c:pt>
              </c:strCache>
            </c:strRef>
          </c:cat>
          <c:val>
            <c:numRef>
              <c:f>Visuals!$B$93:$E$93</c:f>
              <c:numCache>
                <c:formatCode>General</c:formatCode>
                <c:ptCount val="4"/>
                <c:pt idx="0">
                  <c:v>0</c:v>
                </c:pt>
                <c:pt idx="1">
                  <c:v>0.15</c:v>
                </c:pt>
                <c:pt idx="2">
                  <c:v>0.4</c:v>
                </c:pt>
                <c:pt idx="3">
                  <c:v>0.33</c:v>
                </c:pt>
              </c:numCache>
            </c:numRef>
          </c:val>
          <c:extLst>
            <c:ext xmlns:c16="http://schemas.microsoft.com/office/drawing/2014/chart" uri="{C3380CC4-5D6E-409C-BE32-E72D297353CC}">
              <c16:uniqueId val="{00000000-C41B-447E-8595-FB800DA7AB7B}"/>
            </c:ext>
          </c:extLst>
        </c:ser>
        <c:ser>
          <c:idx val="1"/>
          <c:order val="1"/>
          <c:tx>
            <c:strRef>
              <c:f>Visuals!$A$94</c:f>
              <c:strCache>
                <c:ptCount val="1"/>
                <c:pt idx="0">
                  <c:v>Q2</c:v>
                </c:pt>
              </c:strCache>
            </c:strRef>
          </c:tx>
          <c:spPr>
            <a:solidFill>
              <a:srgbClr val="E97132"/>
            </a:solidFill>
            <a:ln>
              <a:noFill/>
            </a:ln>
            <a:effectLst/>
          </c:spPr>
          <c:invertIfNegative val="0"/>
          <c:cat>
            <c:strRef>
              <c:f>Visuals!$B$92:$E$92</c:f>
              <c:strCache>
                <c:ptCount val="4"/>
                <c:pt idx="0">
                  <c:v>KR5.1</c:v>
                </c:pt>
                <c:pt idx="1">
                  <c:v>KR5.2</c:v>
                </c:pt>
                <c:pt idx="2">
                  <c:v>KR5.3</c:v>
                </c:pt>
                <c:pt idx="3">
                  <c:v>KR5.4</c:v>
                </c:pt>
              </c:strCache>
            </c:strRef>
          </c:cat>
          <c:val>
            <c:numRef>
              <c:f>Visuals!$B$94:$E$94</c:f>
              <c:numCache>
                <c:formatCode>General</c:formatCode>
                <c:ptCount val="4"/>
                <c:pt idx="0">
                  <c:v>0</c:v>
                </c:pt>
                <c:pt idx="1">
                  <c:v>0.38</c:v>
                </c:pt>
                <c:pt idx="2">
                  <c:v>0.54</c:v>
                </c:pt>
                <c:pt idx="3">
                  <c:v>0.5</c:v>
                </c:pt>
              </c:numCache>
            </c:numRef>
          </c:val>
          <c:extLst>
            <c:ext xmlns:c16="http://schemas.microsoft.com/office/drawing/2014/chart" uri="{C3380CC4-5D6E-409C-BE32-E72D297353CC}">
              <c16:uniqueId val="{00000001-C41B-447E-8595-FB800DA7AB7B}"/>
            </c:ext>
          </c:extLst>
        </c:ser>
        <c:ser>
          <c:idx val="2"/>
          <c:order val="2"/>
          <c:tx>
            <c:strRef>
              <c:f>Visuals!$A$95</c:f>
              <c:strCache>
                <c:ptCount val="1"/>
                <c:pt idx="0">
                  <c:v>Q3</c:v>
                </c:pt>
              </c:strCache>
            </c:strRef>
          </c:tx>
          <c:spPr>
            <a:solidFill>
              <a:srgbClr val="2A8451"/>
            </a:solidFill>
            <a:ln>
              <a:noFill/>
            </a:ln>
            <a:effectLst/>
          </c:spPr>
          <c:invertIfNegative val="0"/>
          <c:cat>
            <c:strRef>
              <c:f>Visuals!$B$92:$E$92</c:f>
              <c:strCache>
                <c:ptCount val="4"/>
                <c:pt idx="0">
                  <c:v>KR5.1</c:v>
                </c:pt>
                <c:pt idx="1">
                  <c:v>KR5.2</c:v>
                </c:pt>
                <c:pt idx="2">
                  <c:v>KR5.3</c:v>
                </c:pt>
                <c:pt idx="3">
                  <c:v>KR5.4</c:v>
                </c:pt>
              </c:strCache>
            </c:strRef>
          </c:cat>
          <c:val>
            <c:numRef>
              <c:f>Visuals!$B$95:$E$95</c:f>
              <c:numCache>
                <c:formatCode>General</c:formatCode>
                <c:ptCount val="4"/>
                <c:pt idx="0">
                  <c:v>1</c:v>
                </c:pt>
                <c:pt idx="1">
                  <c:v>0.62</c:v>
                </c:pt>
                <c:pt idx="2">
                  <c:v>0.75</c:v>
                </c:pt>
                <c:pt idx="3">
                  <c:v>1</c:v>
                </c:pt>
              </c:numCache>
            </c:numRef>
          </c:val>
          <c:extLst>
            <c:ext xmlns:c16="http://schemas.microsoft.com/office/drawing/2014/chart" uri="{C3380CC4-5D6E-409C-BE32-E72D297353CC}">
              <c16:uniqueId val="{00000002-C41B-447E-8595-FB800DA7AB7B}"/>
            </c:ext>
          </c:extLst>
        </c:ser>
        <c:ser>
          <c:idx val="3"/>
          <c:order val="3"/>
          <c:tx>
            <c:strRef>
              <c:f>Visuals!$A$96</c:f>
              <c:strCache>
                <c:ptCount val="1"/>
                <c:pt idx="0">
                  <c:v>Q4</c:v>
                </c:pt>
              </c:strCache>
            </c:strRef>
          </c:tx>
          <c:spPr>
            <a:solidFill>
              <a:srgbClr val="A22895"/>
            </a:solidFill>
            <a:ln>
              <a:noFill/>
            </a:ln>
            <a:effectLst/>
          </c:spPr>
          <c:invertIfNegative val="0"/>
          <c:cat>
            <c:strRef>
              <c:f>Visuals!$B$92:$E$92</c:f>
              <c:strCache>
                <c:ptCount val="4"/>
                <c:pt idx="0">
                  <c:v>KR5.1</c:v>
                </c:pt>
                <c:pt idx="1">
                  <c:v>KR5.2</c:v>
                </c:pt>
                <c:pt idx="2">
                  <c:v>KR5.3</c:v>
                </c:pt>
                <c:pt idx="3">
                  <c:v>KR5.4</c:v>
                </c:pt>
              </c:strCache>
            </c:strRef>
          </c:cat>
          <c:val>
            <c:numRef>
              <c:f>Visuals!$B$96:$E$96</c:f>
              <c:numCache>
                <c:formatCode>General</c:formatCode>
                <c:ptCount val="4"/>
              </c:numCache>
            </c:numRef>
          </c:val>
          <c:extLst>
            <c:ext xmlns:c16="http://schemas.microsoft.com/office/drawing/2014/chart" uri="{C3380CC4-5D6E-409C-BE32-E72D297353CC}">
              <c16:uniqueId val="{00000003-C41B-447E-8595-FB800DA7AB7B}"/>
            </c:ext>
          </c:extLst>
        </c:ser>
        <c:dLbls>
          <c:showLegendKey val="0"/>
          <c:showVal val="0"/>
          <c:showCatName val="0"/>
          <c:showSerName val="0"/>
          <c:showPercent val="0"/>
          <c:showBubbleSize val="0"/>
        </c:dLbls>
        <c:gapWidth val="150"/>
        <c:axId val="410715312"/>
        <c:axId val="410703312"/>
      </c:barChart>
      <c:lineChart>
        <c:grouping val="standard"/>
        <c:varyColors val="0"/>
        <c:ser>
          <c:idx val="4"/>
          <c:order val="4"/>
          <c:tx>
            <c:strRef>
              <c:f>Visuals!$A$97</c:f>
              <c:strCache>
                <c:ptCount val="1"/>
                <c:pt idx="0">
                  <c:v>Delivering </c:v>
                </c:pt>
              </c:strCache>
            </c:strRef>
          </c:tx>
          <c:spPr>
            <a:ln w="19050" cap="rnd">
              <a:solidFill>
                <a:schemeClr val="tx1"/>
              </a:solidFill>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1B-447E-8595-FB800DA7AB7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Visuals!$B$92:$E$92</c:f>
              <c:strCache>
                <c:ptCount val="4"/>
                <c:pt idx="0">
                  <c:v>KR5.1</c:v>
                </c:pt>
                <c:pt idx="1">
                  <c:v>KR5.2</c:v>
                </c:pt>
                <c:pt idx="2">
                  <c:v>KR5.3</c:v>
                </c:pt>
                <c:pt idx="3">
                  <c:v>KR5.4</c:v>
                </c:pt>
              </c:strCache>
            </c:strRef>
          </c:cat>
          <c:val>
            <c:numRef>
              <c:f>Visuals!$B$97:$E$97</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C41B-447E-8595-FB800DA7AB7B}"/>
            </c:ext>
          </c:extLst>
        </c:ser>
        <c:ser>
          <c:idx val="5"/>
          <c:order val="5"/>
          <c:tx>
            <c:strRef>
              <c:f>Visuals!$A$98</c:f>
              <c:strCache>
                <c:ptCount val="1"/>
                <c:pt idx="0">
                  <c:v>Measurable progress</c:v>
                </c:pt>
              </c:strCache>
            </c:strRef>
          </c:tx>
          <c:spPr>
            <a:ln w="25400" cap="rnd">
              <a:solidFill>
                <a:schemeClr val="tx1"/>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1B-447E-8595-FB800DA7AB7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Visuals!$B$92:$E$92</c:f>
              <c:strCache>
                <c:ptCount val="4"/>
                <c:pt idx="0">
                  <c:v>KR5.1</c:v>
                </c:pt>
                <c:pt idx="1">
                  <c:v>KR5.2</c:v>
                </c:pt>
                <c:pt idx="2">
                  <c:v>KR5.3</c:v>
                </c:pt>
                <c:pt idx="3">
                  <c:v>KR5.4</c:v>
                </c:pt>
              </c:strCache>
            </c:strRef>
          </c:cat>
          <c:val>
            <c:numRef>
              <c:f>Visuals!$B$98:$E$98</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C41B-447E-8595-FB800DA7AB7B}"/>
            </c:ext>
          </c:extLst>
        </c:ser>
        <c:dLbls>
          <c:showLegendKey val="0"/>
          <c:showVal val="0"/>
          <c:showCatName val="0"/>
          <c:showSerName val="0"/>
          <c:showPercent val="0"/>
          <c:showBubbleSize val="0"/>
        </c:dLbls>
        <c:marker val="1"/>
        <c:smooth val="0"/>
        <c:axId val="583886096"/>
        <c:axId val="583863056"/>
      </c:lineChart>
      <c:catAx>
        <c:axId val="41071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0703312"/>
        <c:crosses val="autoZero"/>
        <c:auto val="1"/>
        <c:lblAlgn val="ctr"/>
        <c:lblOffset val="100"/>
        <c:noMultiLvlLbl val="0"/>
      </c:catAx>
      <c:valAx>
        <c:axId val="4107033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Key Result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0715312"/>
        <c:crosses val="autoZero"/>
        <c:crossBetween val="between"/>
        <c:majorUnit val="0.2"/>
      </c:valAx>
      <c:valAx>
        <c:axId val="583863056"/>
        <c:scaling>
          <c:orientation val="minMax"/>
        </c:scaling>
        <c:delete val="1"/>
        <c:axPos val="r"/>
        <c:numFmt formatCode="General" sourceLinked="1"/>
        <c:majorTickMark val="out"/>
        <c:minorTickMark val="none"/>
        <c:tickLblPos val="nextTo"/>
        <c:crossAx val="583886096"/>
        <c:crosses val="max"/>
        <c:crossBetween val="between"/>
      </c:valAx>
      <c:catAx>
        <c:axId val="583886096"/>
        <c:scaling>
          <c:orientation val="minMax"/>
        </c:scaling>
        <c:delete val="1"/>
        <c:axPos val="b"/>
        <c:numFmt formatCode="General" sourceLinked="1"/>
        <c:majorTickMark val="out"/>
        <c:minorTickMark val="none"/>
        <c:tickLblPos val="nextTo"/>
        <c:crossAx val="583863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oardDate xmlns="e6c471f4-5f31-4de3-8308-7b0fc3eb2fbd">February</BoardDate>
    <ReportingYear xmlns="e6c471f4-5f31-4de3-8308-7b0fc3eb2fbd">2025/26</ReportingYear>
    <Quarter xmlns="e6c471f4-5f31-4de3-8308-7b0fc3eb2fbd">Q3</Quarter>
    <ReportType xmlns="e6c471f4-5f31-4de3-8308-7b0fc3eb2fbd">Quarterly Performance</ReportType>
    <DocumentType xmlns="e6c471f4-5f31-4de3-8308-7b0fc3eb2fbd">Report</DocumentType>
    <Stage xmlns="e6c471f4-5f31-4de3-8308-7b0fc3eb2fbd">Final</Stage>
    <lcf76f155ced4ddcb4097134ff3c332f xmlns="e6c471f4-5f31-4de3-8308-7b0fc3eb2f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1B7E91BE5D834588DCAF9E82E4725A" ma:contentTypeVersion="15" ma:contentTypeDescription="Create a new document." ma:contentTypeScope="" ma:versionID="9ae8915cbc6b6e83c17b6cbbb7c96f9d">
  <xsd:schema xmlns:xsd="http://www.w3.org/2001/XMLSchema" xmlns:xs="http://www.w3.org/2001/XMLSchema" xmlns:p="http://schemas.microsoft.com/office/2006/metadata/properties" xmlns:ns2="e6c471f4-5f31-4de3-8308-7b0fc3eb2fbd" targetNamespace="http://schemas.microsoft.com/office/2006/metadata/properties" ma:root="true" ma:fieldsID="3e65943faedf0efe0d71cc5adb33a8aa" ns2:_="">
    <xsd:import namespace="e6c471f4-5f31-4de3-8308-7b0fc3eb2fbd"/>
    <xsd:element name="properties">
      <xsd:complexType>
        <xsd:sequence>
          <xsd:element name="documentManagement">
            <xsd:complexType>
              <xsd:all>
                <xsd:element ref="ns2:ReportType"/>
                <xsd:element ref="ns2:DocumentType"/>
                <xsd:element ref="ns2:Stage"/>
                <xsd:element ref="ns2:ReportingYear"/>
                <xsd:element ref="ns2:Quarter" minOccurs="0"/>
                <xsd:element ref="ns2:BoardDat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471f4-5f31-4de3-8308-7b0fc3eb2fbd" elementFormDefault="qualified">
    <xsd:import namespace="http://schemas.microsoft.com/office/2006/documentManagement/types"/>
    <xsd:import namespace="http://schemas.microsoft.com/office/infopath/2007/PartnerControls"/>
    <xsd:element name="ReportType" ma:index="8" ma:displayName="Report Type" ma:format="Dropdown" ma:internalName="ReportType">
      <xsd:simpleType>
        <xsd:restriction base="dms:Choice">
          <xsd:enumeration value="Quarterly Performance"/>
          <xsd:enumeration value="CEO"/>
          <xsd:enumeration value="ARA"/>
        </xsd:restriction>
      </xsd:simpleType>
    </xsd:element>
    <xsd:element name="DocumentType" ma:index="9" ma:displayName="Document Type" ma:format="Dropdown" ma:internalName="DocumentType">
      <xsd:simpleType>
        <xsd:restriction base="dms:Choice">
          <xsd:enumeration value="Report"/>
          <xsd:enumeration value="Cover paper"/>
          <xsd:enumeration value="Contribution"/>
        </xsd:restriction>
      </xsd:simpleType>
    </xsd:element>
    <xsd:element name="Stage" ma:index="10" ma:displayName="Stage" ma:format="Dropdown" ma:internalName="Stage">
      <xsd:simpleType>
        <xsd:restriction base="dms:Choice">
          <xsd:enumeration value="Draft"/>
          <xsd:enumeration value="Final"/>
          <xsd:enumeration value="N/A"/>
          <xsd:enumeration value="Archive"/>
        </xsd:restriction>
      </xsd:simpleType>
    </xsd:element>
    <xsd:element name="ReportingYear" ma:index="11" ma:displayName="Reporting Year" ma:format="Dropdown" ma:internalName="ReportingYear">
      <xsd:simpleType>
        <xsd:restriction base="dms:Choice">
          <xsd:enumeration value="2025/26"/>
          <xsd:enumeration value="2024/25"/>
          <xsd:enumeration value="2023/24"/>
        </xsd:restriction>
      </xsd:simpleType>
    </xsd:element>
    <xsd:element name="Quarter" ma:index="12" nillable="true" ma:displayName="Quarter" ma:format="Dropdown" ma:internalName="Quarter">
      <xsd:simpleType>
        <xsd:restriction base="dms:Choice">
          <xsd:enumeration value="Q1"/>
          <xsd:enumeration value="Q2"/>
          <xsd:enumeration value="Q3"/>
          <xsd:enumeration value="Q4"/>
          <xsd:enumeration value="N/A"/>
        </xsd:restriction>
      </xsd:simpleType>
    </xsd:element>
    <xsd:element name="BoardDate" ma:index="13" nillable="true" ma:displayName="Board Date" ma:format="Dropdown" ma:internalName="BoardDate">
      <xsd:simpleType>
        <xsd:restriction base="dms:Choice">
          <xsd:enumeration value="February"/>
          <xsd:enumeration value="March"/>
          <xsd:enumeration value="April"/>
          <xsd:enumeration value="May"/>
          <xsd:enumeration value="June"/>
          <xsd:enumeration value="September"/>
          <xsd:enumeration value="October"/>
          <xsd:enumeration value="November"/>
          <xsd:enumeration value="Decemb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312B-0A70-4CF3-851B-083D28A57758}">
  <ds:schemaRefs>
    <ds:schemaRef ds:uri="http://schemas.microsoft.com/office/2006/metadata/properties"/>
    <ds:schemaRef ds:uri="http://schemas.microsoft.com/office/infopath/2007/PartnerControls"/>
    <ds:schemaRef ds:uri="e6c471f4-5f31-4de3-8308-7b0fc3eb2fbd"/>
  </ds:schemaRefs>
</ds:datastoreItem>
</file>

<file path=customXml/itemProps2.xml><?xml version="1.0" encoding="utf-8"?>
<ds:datastoreItem xmlns:ds="http://schemas.openxmlformats.org/officeDocument/2006/customXml" ds:itemID="{1F63EEAB-0D6C-4026-9C32-8A652C70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471f4-5f31-4de3-8308-7b0fc3eb2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3D557-9CDD-42B5-843C-09BFE7BA376E}">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7962</Words>
  <Characters>45384</Characters>
  <Application>Microsoft Office Word</Application>
  <DocSecurity>0</DocSecurity>
  <Lines>378</Lines>
  <Paragraphs>106</Paragraphs>
  <ScaleCrop>false</ScaleCrop>
  <Company/>
  <LinksUpToDate>false</LinksUpToDate>
  <CharactersWithSpaces>53240</CharactersWithSpaces>
  <SharedDoc>false</SharedDoc>
  <HLinks>
    <vt:vector size="126" baseType="variant">
      <vt:variant>
        <vt:i4>3539007</vt:i4>
      </vt:variant>
      <vt:variant>
        <vt:i4>105</vt:i4>
      </vt:variant>
      <vt:variant>
        <vt:i4>0</vt:i4>
      </vt:variant>
      <vt:variant>
        <vt:i4>5</vt:i4>
      </vt:variant>
      <vt:variant>
        <vt:lpwstr>https://www.sepa.org.uk/environment/waste/waste-data/waste-data-reporting/household-waste-data/</vt:lpwstr>
      </vt:variant>
      <vt:variant>
        <vt:lpwstr/>
      </vt:variant>
      <vt:variant>
        <vt:i4>1441870</vt:i4>
      </vt:variant>
      <vt:variant>
        <vt:i4>102</vt:i4>
      </vt:variant>
      <vt:variant>
        <vt:i4>0</vt:i4>
      </vt:variant>
      <vt:variant>
        <vt:i4>5</vt:i4>
      </vt:variant>
      <vt:variant>
        <vt:lpwstr>https://www.sepa.org.uk/media/2mqpt5lk/2023-classification-summary-report.pdf</vt:lpwstr>
      </vt:variant>
      <vt:variant>
        <vt:lpwstr/>
      </vt:variant>
      <vt:variant>
        <vt:i4>1769488</vt:i4>
      </vt:variant>
      <vt:variant>
        <vt:i4>99</vt:i4>
      </vt:variant>
      <vt:variant>
        <vt:i4>0</vt:i4>
      </vt:variant>
      <vt:variant>
        <vt:i4>5</vt:i4>
      </vt:variant>
      <vt:variant>
        <vt:lpwstr>https://sustainablescotlandnetwork.org/reports/the-scottish-environment-protection-agency</vt:lpwstr>
      </vt:variant>
      <vt:variant>
        <vt:lpwstr/>
      </vt:variant>
      <vt:variant>
        <vt:i4>8192039</vt:i4>
      </vt:variant>
      <vt:variant>
        <vt:i4>96</vt:i4>
      </vt:variant>
      <vt:variant>
        <vt:i4>0</vt:i4>
      </vt:variant>
      <vt:variant>
        <vt:i4>5</vt:i4>
      </vt:variant>
      <vt:variant>
        <vt:lpwstr>https://beta.sepa.scot/news/2025/emissions-from-scotland-s-largest-industrial-facilities-down-nearly-a-quarter-since-2019/</vt:lpwstr>
      </vt:variant>
      <vt:variant>
        <vt:lpwstr/>
      </vt:variant>
      <vt:variant>
        <vt:i4>5439504</vt:i4>
      </vt:variant>
      <vt:variant>
        <vt:i4>93</vt:i4>
      </vt:variant>
      <vt:variant>
        <vt:i4>0</vt:i4>
      </vt:variant>
      <vt:variant>
        <vt:i4>5</vt:i4>
      </vt:variant>
      <vt:variant>
        <vt:lpwstr>https://www.sepa.org.uk/environment/environmental-data/spri/</vt:lpwstr>
      </vt:variant>
      <vt:variant>
        <vt:lpwstr/>
      </vt:variant>
      <vt:variant>
        <vt:i4>1310785</vt:i4>
      </vt:variant>
      <vt:variant>
        <vt:i4>90</vt:i4>
      </vt:variant>
      <vt:variant>
        <vt:i4>0</vt:i4>
      </vt:variant>
      <vt:variant>
        <vt:i4>5</vt:i4>
      </vt:variant>
      <vt:variant>
        <vt:lpwstr>https://beta.sepa.scot/about-sepa/who-we-are/our-performance/annual-operating-plan-2025-2026</vt:lpwstr>
      </vt:variant>
      <vt:variant>
        <vt:lpwstr/>
      </vt:variant>
      <vt:variant>
        <vt:i4>3539032</vt:i4>
      </vt:variant>
      <vt:variant>
        <vt:i4>87</vt:i4>
      </vt:variant>
      <vt:variant>
        <vt:i4>0</vt:i4>
      </vt:variant>
      <vt:variant>
        <vt:i4>5</vt:i4>
      </vt:variant>
      <vt:variant>
        <vt:lpwstr>mailto:equalities@sepa.org.uk</vt:lpwstr>
      </vt:variant>
      <vt:variant>
        <vt:lpwstr/>
      </vt:variant>
      <vt:variant>
        <vt:i4>1376309</vt:i4>
      </vt:variant>
      <vt:variant>
        <vt:i4>80</vt:i4>
      </vt:variant>
      <vt:variant>
        <vt:i4>0</vt:i4>
      </vt:variant>
      <vt:variant>
        <vt:i4>5</vt:i4>
      </vt:variant>
      <vt:variant>
        <vt:lpwstr/>
      </vt:variant>
      <vt:variant>
        <vt:lpwstr>_Toc245403216</vt:lpwstr>
      </vt:variant>
      <vt:variant>
        <vt:i4>2228232</vt:i4>
      </vt:variant>
      <vt:variant>
        <vt:i4>74</vt:i4>
      </vt:variant>
      <vt:variant>
        <vt:i4>0</vt:i4>
      </vt:variant>
      <vt:variant>
        <vt:i4>5</vt:i4>
      </vt:variant>
      <vt:variant>
        <vt:lpwstr/>
      </vt:variant>
      <vt:variant>
        <vt:lpwstr>_Toc2094063106</vt:lpwstr>
      </vt:variant>
      <vt:variant>
        <vt:i4>1572920</vt:i4>
      </vt:variant>
      <vt:variant>
        <vt:i4>68</vt:i4>
      </vt:variant>
      <vt:variant>
        <vt:i4>0</vt:i4>
      </vt:variant>
      <vt:variant>
        <vt:i4>5</vt:i4>
      </vt:variant>
      <vt:variant>
        <vt:lpwstr/>
      </vt:variant>
      <vt:variant>
        <vt:lpwstr>_Toc283097001</vt:lpwstr>
      </vt:variant>
      <vt:variant>
        <vt:i4>1441844</vt:i4>
      </vt:variant>
      <vt:variant>
        <vt:i4>62</vt:i4>
      </vt:variant>
      <vt:variant>
        <vt:i4>0</vt:i4>
      </vt:variant>
      <vt:variant>
        <vt:i4>5</vt:i4>
      </vt:variant>
      <vt:variant>
        <vt:lpwstr/>
      </vt:variant>
      <vt:variant>
        <vt:lpwstr>_Toc306910089</vt:lpwstr>
      </vt:variant>
      <vt:variant>
        <vt:i4>2097152</vt:i4>
      </vt:variant>
      <vt:variant>
        <vt:i4>56</vt:i4>
      </vt:variant>
      <vt:variant>
        <vt:i4>0</vt:i4>
      </vt:variant>
      <vt:variant>
        <vt:i4>5</vt:i4>
      </vt:variant>
      <vt:variant>
        <vt:lpwstr/>
      </vt:variant>
      <vt:variant>
        <vt:lpwstr>_Toc1036290901</vt:lpwstr>
      </vt:variant>
      <vt:variant>
        <vt:i4>2686979</vt:i4>
      </vt:variant>
      <vt:variant>
        <vt:i4>50</vt:i4>
      </vt:variant>
      <vt:variant>
        <vt:i4>0</vt:i4>
      </vt:variant>
      <vt:variant>
        <vt:i4>5</vt:i4>
      </vt:variant>
      <vt:variant>
        <vt:lpwstr/>
      </vt:variant>
      <vt:variant>
        <vt:lpwstr>_Toc1154151876</vt:lpwstr>
      </vt:variant>
      <vt:variant>
        <vt:i4>2818055</vt:i4>
      </vt:variant>
      <vt:variant>
        <vt:i4>44</vt:i4>
      </vt:variant>
      <vt:variant>
        <vt:i4>0</vt:i4>
      </vt:variant>
      <vt:variant>
        <vt:i4>5</vt:i4>
      </vt:variant>
      <vt:variant>
        <vt:lpwstr/>
      </vt:variant>
      <vt:variant>
        <vt:lpwstr>_Toc1341224549</vt:lpwstr>
      </vt:variant>
      <vt:variant>
        <vt:i4>2359310</vt:i4>
      </vt:variant>
      <vt:variant>
        <vt:i4>38</vt:i4>
      </vt:variant>
      <vt:variant>
        <vt:i4>0</vt:i4>
      </vt:variant>
      <vt:variant>
        <vt:i4>5</vt:i4>
      </vt:variant>
      <vt:variant>
        <vt:lpwstr/>
      </vt:variant>
      <vt:variant>
        <vt:lpwstr>_Toc1560554380</vt:lpwstr>
      </vt:variant>
      <vt:variant>
        <vt:i4>1835056</vt:i4>
      </vt:variant>
      <vt:variant>
        <vt:i4>32</vt:i4>
      </vt:variant>
      <vt:variant>
        <vt:i4>0</vt:i4>
      </vt:variant>
      <vt:variant>
        <vt:i4>5</vt:i4>
      </vt:variant>
      <vt:variant>
        <vt:lpwstr/>
      </vt:variant>
      <vt:variant>
        <vt:lpwstr>_Toc527849685</vt:lpwstr>
      </vt:variant>
      <vt:variant>
        <vt:i4>2097163</vt:i4>
      </vt:variant>
      <vt:variant>
        <vt:i4>26</vt:i4>
      </vt:variant>
      <vt:variant>
        <vt:i4>0</vt:i4>
      </vt:variant>
      <vt:variant>
        <vt:i4>5</vt:i4>
      </vt:variant>
      <vt:variant>
        <vt:lpwstr/>
      </vt:variant>
      <vt:variant>
        <vt:lpwstr>_Toc1401122898</vt:lpwstr>
      </vt:variant>
      <vt:variant>
        <vt:i4>1507386</vt:i4>
      </vt:variant>
      <vt:variant>
        <vt:i4>20</vt:i4>
      </vt:variant>
      <vt:variant>
        <vt:i4>0</vt:i4>
      </vt:variant>
      <vt:variant>
        <vt:i4>5</vt:i4>
      </vt:variant>
      <vt:variant>
        <vt:lpwstr/>
      </vt:variant>
      <vt:variant>
        <vt:lpwstr>_Toc210206859</vt:lpwstr>
      </vt:variant>
      <vt:variant>
        <vt:i4>1048630</vt:i4>
      </vt:variant>
      <vt:variant>
        <vt:i4>14</vt:i4>
      </vt:variant>
      <vt:variant>
        <vt:i4>0</vt:i4>
      </vt:variant>
      <vt:variant>
        <vt:i4>5</vt:i4>
      </vt:variant>
      <vt:variant>
        <vt:lpwstr/>
      </vt:variant>
      <vt:variant>
        <vt:lpwstr>_Toc908176002</vt:lpwstr>
      </vt:variant>
      <vt:variant>
        <vt:i4>2818050</vt:i4>
      </vt:variant>
      <vt:variant>
        <vt:i4>8</vt:i4>
      </vt:variant>
      <vt:variant>
        <vt:i4>0</vt:i4>
      </vt:variant>
      <vt:variant>
        <vt:i4>5</vt:i4>
      </vt:variant>
      <vt:variant>
        <vt:lpwstr/>
      </vt:variant>
      <vt:variant>
        <vt:lpwstr>_Toc1156487655</vt:lpwstr>
      </vt:variant>
      <vt:variant>
        <vt:i4>2031666</vt:i4>
      </vt:variant>
      <vt:variant>
        <vt:i4>2</vt:i4>
      </vt:variant>
      <vt:variant>
        <vt:i4>0</vt:i4>
      </vt:variant>
      <vt:variant>
        <vt:i4>5</vt:i4>
      </vt:variant>
      <vt:variant>
        <vt:lpwstr/>
      </vt:variant>
      <vt:variant>
        <vt:lpwstr>_Toc871228953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Hine, Helen</cp:lastModifiedBy>
  <cp:revision>4</cp:revision>
  <cp:lastPrinted>2023-03-27T05:44:00Z</cp:lastPrinted>
  <dcterms:created xsi:type="dcterms:W3CDTF">2026-02-26T13:21:00Z</dcterms:created>
  <dcterms:modified xsi:type="dcterms:W3CDTF">2026-02-27T09:12:00Z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0x010100191B7E91BE5D834588DCAF9E82E4725A</vt:lpwstr>
  </property>
  <property fmtid="{D5CDD505-2E9C-101B-9397-08002B2CF9AE}" pid="3" name="MediaServiceImageTags">
    <vt:lpwstr/>
  </property>
  <property fmtid="{D5CDD505-2E9C-101B-9397-08002B2CF9AE}" pid="4" name="ClassificationContentMarkingHeaderFontProps">
    <vt:lpwstr>#0000ff,10,Aptos</vt:lpwstr>
  </property>
  <property fmtid="{D5CDD505-2E9C-101B-9397-08002B2CF9AE}" pid="5" name="ClassificationContentMarkingFooterFontProps">
    <vt:lpwstr>#0000ff,10,Aptos</vt:lpwstr>
  </property>
  <property fmtid="{D5CDD505-2E9C-101B-9397-08002B2CF9AE}" pid="6" name="ClassificationContentMarkingHeaderShapeIds">
    <vt:lpwstr>6,9,b,54eb719b,2d46b884,67e79afa</vt:lpwstr>
  </property>
  <property fmtid="{D5CDD505-2E9C-101B-9397-08002B2CF9AE}" pid="7" name="ClassificationContentMarkingHeaderText">
    <vt:lpwstr>OFFICIAL</vt:lpwstr>
  </property>
  <property fmtid="{D5CDD505-2E9C-101B-9397-08002B2CF9AE}" pid="8" name="ClassificationContentMarkingFooterShapeIds">
    <vt:lpwstr>19,1d,1f,20,22,50872f7e,48d1b5,2d94903c</vt:lpwstr>
  </property>
  <property fmtid="{D5CDD505-2E9C-101B-9397-08002B2CF9AE}" pid="9" name="ClassificationContentMarkingFooterText">
    <vt:lpwstr>OFFICIAL</vt:lpwstr>
  </property>
  <property fmtid="{D5CDD505-2E9C-101B-9397-08002B2CF9AE}" pid="10" name="sepaDocOwner">
    <vt:lpwstr>13</vt:lpwstr>
  </property>
  <property fmtid="{D5CDD505-2E9C-101B-9397-08002B2CF9AE}" pid="11" name="k30a802c90584b64ac3ae896c6a1ef3a">
    <vt:lpwstr>Governance, Performance ＆ Engagement Portfolio|b9b08b0b-da16-4374-80d3-d7c494a75b43</vt:lpwstr>
  </property>
  <property fmtid="{D5CDD505-2E9C-101B-9397-08002B2CF9AE}" pid="12" name="TaxCatchAll">
    <vt:lpwstr>3;#Governance, Performance ＆ Engagement Portfolio|b9b08b0b-da16-4374-80d3-d7c494a75b43</vt:lpwstr>
  </property>
  <property fmtid="{D5CDD505-2E9C-101B-9397-08002B2CF9AE}" pid="13" name="sepaIAODept">
    <vt:lpwstr>3;#Governance, Performance ＆ Engagement Portfolio|b9b08b0b-da16-4374-80d3-d7c494a75b43</vt:lpwstr>
  </property>
  <property fmtid="{D5CDD505-2E9C-101B-9397-08002B2CF9AE}" pid="14" name="sepaDocSensitivity">
    <vt:lpwstr/>
  </property>
  <property fmtid="{D5CDD505-2E9C-101B-9397-08002B2CF9AE}" pid="15" name="docLang">
    <vt:lpwstr>en</vt:lpwstr>
  </property>
  <property fmtid="{D5CDD505-2E9C-101B-9397-08002B2CF9AE}" pid="16" name="MSIP_Label_ea4fd52f-9814-4cae-aa53-0ea7b16cd381_Enabled">
    <vt:lpwstr>true</vt:lpwstr>
  </property>
  <property fmtid="{D5CDD505-2E9C-101B-9397-08002B2CF9AE}" pid="17" name="MSIP_Label_ea4fd52f-9814-4cae-aa53-0ea7b16cd381_SetDate">
    <vt:lpwstr>2026-02-12T10:29:07Z</vt:lpwstr>
  </property>
  <property fmtid="{D5CDD505-2E9C-101B-9397-08002B2CF9AE}" pid="18" name="MSIP_Label_ea4fd52f-9814-4cae-aa53-0ea7b16cd381_Method">
    <vt:lpwstr>Privileged</vt:lpwstr>
  </property>
  <property fmtid="{D5CDD505-2E9C-101B-9397-08002B2CF9AE}" pid="19" name="MSIP_Label_ea4fd52f-9814-4cae-aa53-0ea7b16cd381_Name">
    <vt:lpwstr>Official General</vt:lpwstr>
  </property>
  <property fmtid="{D5CDD505-2E9C-101B-9397-08002B2CF9AE}" pid="20" name="MSIP_Label_ea4fd52f-9814-4cae-aa53-0ea7b16cd381_SiteId">
    <vt:lpwstr>5cf26d65-cf46-4c72-ba82-7577d9c2d7ab</vt:lpwstr>
  </property>
  <property fmtid="{D5CDD505-2E9C-101B-9397-08002B2CF9AE}" pid="21" name="MSIP_Label_ea4fd52f-9814-4cae-aa53-0ea7b16cd381_ActionId">
    <vt:lpwstr>93a92a1a-8368-4505-9202-3856f55391ae</vt:lpwstr>
  </property>
  <property fmtid="{D5CDD505-2E9C-101B-9397-08002B2CF9AE}" pid="22" name="MSIP_Label_ea4fd52f-9814-4cae-aa53-0ea7b16cd381_ContentBits">
    <vt:lpwstr>3</vt:lpwstr>
  </property>
  <property fmtid="{D5CDD505-2E9C-101B-9397-08002B2CF9AE}" pid="23" name="MSIP_Label_ea4fd52f-9814-4cae-aa53-0ea7b16cd381_Tag">
    <vt:lpwstr>10, 0, 1, 1</vt:lpwstr>
  </property>
</Properties>
</file>