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4870" w14:textId="13DA43C2" w:rsidR="00090C67" w:rsidRPr="00F349EA" w:rsidRDefault="00FB1AB0" w:rsidP="004222B2">
      <w:pPr>
        <w:spacing w:line="240" w:lineRule="auto"/>
      </w:pPr>
      <w:r w:rsidRPr="00F349EA">
        <w:rPr>
          <w:noProof/>
        </w:rPr>
        <w:drawing>
          <wp:anchor distT="0" distB="0" distL="114300" distR="114300" simplePos="0" relativeHeight="251658240" behindDoc="1" locked="0" layoutInCell="1" allowOverlap="1" wp14:anchorId="7D33EC4B" wp14:editId="232EF7B0">
            <wp:simplePos x="0" y="0"/>
            <wp:positionH relativeFrom="page">
              <wp:posOffset>-57150</wp:posOffset>
            </wp:positionH>
            <wp:positionV relativeFrom="paragraph">
              <wp:posOffset>-1054735</wp:posOffset>
            </wp:positionV>
            <wp:extent cx="7675507" cy="12076430"/>
            <wp:effectExtent l="0" t="0" r="1905"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83400" cy="12088849"/>
                    </a:xfrm>
                    <a:prstGeom prst="rect">
                      <a:avLst/>
                    </a:prstGeom>
                  </pic:spPr>
                </pic:pic>
              </a:graphicData>
            </a:graphic>
            <wp14:sizeRelH relativeFrom="page">
              <wp14:pctWidth>0</wp14:pctWidth>
            </wp14:sizeRelH>
            <wp14:sizeRelV relativeFrom="page">
              <wp14:pctHeight>0</wp14:pctHeight>
            </wp14:sizeRelV>
          </wp:anchor>
        </w:drawing>
      </w:r>
      <w:r w:rsidR="00951EF6" w:rsidRPr="00F349EA">
        <w:t xml:space="preserve"> </w:t>
      </w:r>
    </w:p>
    <w:sdt>
      <w:sdtPr>
        <w:id w:val="-191923907"/>
        <w:docPartObj>
          <w:docPartGallery w:val="Cover Pages"/>
          <w:docPartUnique/>
        </w:docPartObj>
      </w:sdtPr>
      <w:sdtContent>
        <w:p w14:paraId="367371B7" w14:textId="5165C1CD" w:rsidR="000C6036" w:rsidRPr="00F349EA" w:rsidRDefault="000C6036" w:rsidP="004222B2">
          <w:pPr>
            <w:spacing w:line="240" w:lineRule="auto"/>
          </w:pPr>
        </w:p>
        <w:p w14:paraId="3D54A0C8" w14:textId="3C53B50D" w:rsidR="000C6036" w:rsidRPr="00F349EA" w:rsidRDefault="000C6036" w:rsidP="004222B2">
          <w:pPr>
            <w:spacing w:line="240" w:lineRule="auto"/>
          </w:pPr>
        </w:p>
        <w:p w14:paraId="5412FED6" w14:textId="47E0C731" w:rsidR="000C6036" w:rsidRPr="00F349EA" w:rsidRDefault="00262CA2" w:rsidP="004222B2">
          <w:pPr>
            <w:spacing w:line="240" w:lineRule="auto"/>
          </w:pPr>
          <w:r w:rsidRPr="00F349EA">
            <w:rPr>
              <w:noProof/>
            </w:rPr>
            <w:drawing>
              <wp:inline distT="0" distB="0" distL="0" distR="0" wp14:anchorId="15467334" wp14:editId="4ABE418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24F9593" w14:textId="4F83767F" w:rsidR="000C6036" w:rsidRPr="00F349EA" w:rsidRDefault="000C6036" w:rsidP="004222B2">
          <w:pPr>
            <w:spacing w:line="240" w:lineRule="auto"/>
          </w:pPr>
        </w:p>
        <w:p w14:paraId="0EFB6957" w14:textId="6EA11520" w:rsidR="000C6036" w:rsidRPr="00F349EA" w:rsidRDefault="000C6036" w:rsidP="004222B2">
          <w:pPr>
            <w:spacing w:line="240" w:lineRule="auto"/>
          </w:pPr>
        </w:p>
        <w:p w14:paraId="2D5BB643" w14:textId="77777777" w:rsidR="00262CA2" w:rsidRPr="00F349EA" w:rsidRDefault="00262CA2" w:rsidP="004222B2">
          <w:pPr>
            <w:spacing w:line="240" w:lineRule="auto"/>
            <w:rPr>
              <w:b/>
              <w:bCs/>
              <w:color w:val="FFFFFF" w:themeColor="background1"/>
              <w:sz w:val="84"/>
              <w:szCs w:val="84"/>
            </w:rPr>
          </w:pPr>
        </w:p>
        <w:p w14:paraId="5DA97A1C" w14:textId="549AC9D9" w:rsidR="00562BA4" w:rsidRPr="00F349EA" w:rsidRDefault="00562BA4" w:rsidP="004222B2">
          <w:pPr>
            <w:spacing w:line="240" w:lineRule="auto"/>
            <w:rPr>
              <w:b/>
              <w:bCs/>
              <w:color w:val="FFFFFF" w:themeColor="background1"/>
              <w:sz w:val="84"/>
              <w:szCs w:val="84"/>
            </w:rPr>
          </w:pPr>
          <w:r w:rsidRPr="00F349EA">
            <w:rPr>
              <w:noProof/>
              <w:sz w:val="84"/>
              <w:szCs w:val="84"/>
            </w:rPr>
            <mc:AlternateContent>
              <mc:Choice Requires="wps">
                <w:drawing>
                  <wp:anchor distT="0" distB="0" distL="114300" distR="114300" simplePos="0" relativeHeight="251658241" behindDoc="0" locked="1" layoutInCell="1" allowOverlap="1" wp14:anchorId="2803E0EF" wp14:editId="37D903EC">
                    <wp:simplePos x="0" y="0"/>
                    <wp:positionH relativeFrom="column">
                      <wp:posOffset>124460</wp:posOffset>
                    </wp:positionH>
                    <wp:positionV relativeFrom="paragraph">
                      <wp:posOffset>5716905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B350FBD" w14:textId="4CB360FF" w:rsidR="00562BA4" w:rsidRPr="00F349EA" w:rsidRDefault="008E5028" w:rsidP="00562BA4">
                                <w:pPr>
                                  <w:pStyle w:val="BodyText1"/>
                                  <w:rPr>
                                    <w:color w:val="FFFFFF" w:themeColor="background1"/>
                                  </w:rPr>
                                </w:pPr>
                                <w:r w:rsidRPr="00F349EA">
                                  <w:rPr>
                                    <w:color w:val="FFFFFF" w:themeColor="background1"/>
                                  </w:rPr>
                                  <w:t>November</w:t>
                                </w:r>
                                <w:r w:rsidR="00ED736B" w:rsidRPr="00F349EA">
                                  <w:rPr>
                                    <w:color w:val="FFFFFF" w:themeColor="background1"/>
                                  </w:rPr>
                                  <w:t xml:space="preserve"> </w:t>
                                </w:r>
                                <w:r w:rsidR="00EF2E7B" w:rsidRPr="00F349EA">
                                  <w:rPr>
                                    <w:color w:val="FFFFFF" w:themeColor="background1"/>
                                  </w:rPr>
                                  <w:t>202</w:t>
                                </w:r>
                                <w:r w:rsidR="00FB1AB0" w:rsidRPr="00F349EA">
                                  <w:rPr>
                                    <w:color w:val="FFFFFF" w:themeColor="background1"/>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3E0EF" id="_x0000_t202" coordsize="21600,21600" o:spt="202" path="m,l,21600r21600,l21600,xe">
                    <v:stroke joinstyle="miter"/>
                    <v:path gradientshapeok="t" o:connecttype="rect"/>
                  </v:shapetype>
                  <v:shape id="Text Box 3" o:spid="_x0000_s1026" type="#_x0000_t202" alt="&quot;&quot;" style="position:absolute;margin-left:9.8pt;margin-top:450.15pt;width:339.25pt;height:1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" filled="f" stroked="f" strokeweight=".5pt">
                    <v:textbox inset="0,0,0,0">
                      <w:txbxContent>
                        <w:p w14:paraId="1B350FBD" w14:textId="4CB360FF" w:rsidR="00562BA4" w:rsidRPr="00F349EA" w:rsidRDefault="008E5028" w:rsidP="00562BA4">
                          <w:pPr>
                            <w:pStyle w:val="BodyText1"/>
                            <w:rPr>
                              <w:color w:val="FFFFFF" w:themeColor="background1"/>
                            </w:rPr>
                          </w:pPr>
                          <w:r w:rsidRPr="00F349EA">
                            <w:rPr>
                              <w:color w:val="FFFFFF" w:themeColor="background1"/>
                            </w:rPr>
                            <w:t>November</w:t>
                          </w:r>
                          <w:r w:rsidR="00ED736B" w:rsidRPr="00F349EA">
                            <w:rPr>
                              <w:color w:val="FFFFFF" w:themeColor="background1"/>
                            </w:rPr>
                            <w:t xml:space="preserve"> </w:t>
                          </w:r>
                          <w:r w:rsidR="00EF2E7B" w:rsidRPr="00F349EA">
                            <w:rPr>
                              <w:color w:val="FFFFFF" w:themeColor="background1"/>
                            </w:rPr>
                            <w:t>202</w:t>
                          </w:r>
                          <w:r w:rsidR="00FB1AB0" w:rsidRPr="00F349EA">
                            <w:rPr>
                              <w:color w:val="FFFFFF" w:themeColor="background1"/>
                            </w:rPr>
                            <w:t>5</w:t>
                          </w:r>
                        </w:p>
                      </w:txbxContent>
                    </v:textbox>
                    <w10:anchorlock/>
                  </v:shape>
                </w:pict>
              </mc:Fallback>
            </mc:AlternateContent>
          </w:r>
          <w:r w:rsidR="00ED736B" w:rsidRPr="00F349EA">
            <w:rPr>
              <w:b/>
              <w:bCs/>
              <w:color w:val="FFFFFF" w:themeColor="background1"/>
              <w:sz w:val="84"/>
              <w:szCs w:val="84"/>
            </w:rPr>
            <w:t xml:space="preserve">Quarter </w:t>
          </w:r>
          <w:r w:rsidR="008E5028" w:rsidRPr="00F349EA">
            <w:rPr>
              <w:b/>
              <w:bCs/>
              <w:color w:val="FFFFFF" w:themeColor="background1"/>
              <w:sz w:val="84"/>
              <w:szCs w:val="84"/>
            </w:rPr>
            <w:t>2</w:t>
          </w:r>
          <w:r w:rsidR="002E1536" w:rsidRPr="00F349EA">
            <w:rPr>
              <w:b/>
              <w:bCs/>
              <w:color w:val="FFFFFF" w:themeColor="background1"/>
              <w:sz w:val="84"/>
              <w:szCs w:val="84"/>
            </w:rPr>
            <w:t xml:space="preserve"> 202</w:t>
          </w:r>
          <w:r w:rsidR="00F9018D" w:rsidRPr="00F349EA">
            <w:rPr>
              <w:b/>
              <w:bCs/>
              <w:color w:val="FFFFFF" w:themeColor="background1"/>
              <w:sz w:val="84"/>
              <w:szCs w:val="84"/>
            </w:rPr>
            <w:t>5</w:t>
          </w:r>
          <w:r w:rsidR="002E1536" w:rsidRPr="00F349EA">
            <w:rPr>
              <w:b/>
              <w:bCs/>
              <w:color w:val="FFFFFF" w:themeColor="background1"/>
              <w:sz w:val="84"/>
              <w:szCs w:val="84"/>
            </w:rPr>
            <w:t>-202</w:t>
          </w:r>
          <w:r w:rsidR="00F9018D" w:rsidRPr="00F349EA">
            <w:rPr>
              <w:b/>
              <w:bCs/>
              <w:color w:val="FFFFFF" w:themeColor="background1"/>
              <w:sz w:val="84"/>
              <w:szCs w:val="84"/>
            </w:rPr>
            <w:t>6</w:t>
          </w:r>
        </w:p>
        <w:p w14:paraId="49BE63B5" w14:textId="17AFC798" w:rsidR="00562BA4" w:rsidRPr="00F349EA" w:rsidRDefault="00562BA4" w:rsidP="004222B2">
          <w:pPr>
            <w:spacing w:line="240" w:lineRule="auto"/>
            <w:rPr>
              <w:b/>
              <w:bCs/>
              <w:color w:val="FFFFFF" w:themeColor="background1"/>
              <w:sz w:val="84"/>
              <w:szCs w:val="84"/>
            </w:rPr>
          </w:pPr>
          <w:r w:rsidRPr="00F349EA">
            <w:rPr>
              <w:b/>
              <w:bCs/>
              <w:color w:val="FFFFFF" w:themeColor="background1"/>
              <w:sz w:val="84"/>
              <w:szCs w:val="84"/>
            </w:rPr>
            <w:t xml:space="preserve">Corporate Performance </w:t>
          </w:r>
          <w:r w:rsidR="00035838" w:rsidRPr="00F349EA">
            <w:rPr>
              <w:b/>
              <w:bCs/>
              <w:color w:val="FFFFFF" w:themeColor="background1"/>
              <w:sz w:val="84"/>
              <w:szCs w:val="84"/>
            </w:rPr>
            <w:t xml:space="preserve">Summary </w:t>
          </w:r>
          <w:r w:rsidRPr="00F349EA">
            <w:rPr>
              <w:b/>
              <w:bCs/>
              <w:color w:val="FFFFFF" w:themeColor="background1"/>
              <w:sz w:val="84"/>
              <w:szCs w:val="84"/>
            </w:rPr>
            <w:t xml:space="preserve">Report </w:t>
          </w:r>
        </w:p>
        <w:p w14:paraId="7BBB58CC" w14:textId="62D9246D" w:rsidR="000C6036" w:rsidRPr="00F349EA" w:rsidRDefault="000C6036" w:rsidP="004222B2">
          <w:pPr>
            <w:spacing w:line="240" w:lineRule="auto"/>
          </w:pPr>
        </w:p>
        <w:p w14:paraId="10EAE254" w14:textId="7A33EE89" w:rsidR="000C6036" w:rsidRPr="00F349EA" w:rsidRDefault="000C6036" w:rsidP="004222B2">
          <w:pPr>
            <w:spacing w:line="240" w:lineRule="auto"/>
          </w:pPr>
        </w:p>
        <w:p w14:paraId="0449EFC4" w14:textId="1402FC58" w:rsidR="000C6036" w:rsidRPr="00F349EA" w:rsidRDefault="000C6036" w:rsidP="004222B2">
          <w:pPr>
            <w:spacing w:line="240" w:lineRule="auto"/>
          </w:pPr>
        </w:p>
        <w:p w14:paraId="7EAEDDF4" w14:textId="43010D12" w:rsidR="000C6036" w:rsidRPr="00F349EA" w:rsidRDefault="000C6036" w:rsidP="004222B2">
          <w:pPr>
            <w:spacing w:line="240" w:lineRule="auto"/>
          </w:pPr>
        </w:p>
        <w:p w14:paraId="4BAC9DA9" w14:textId="77777777" w:rsidR="000C6036" w:rsidRPr="00F349EA" w:rsidRDefault="000C6036" w:rsidP="004222B2">
          <w:pPr>
            <w:spacing w:line="240" w:lineRule="auto"/>
          </w:pPr>
        </w:p>
        <w:p w14:paraId="20268C91" w14:textId="0D7BA673" w:rsidR="000C6036" w:rsidRPr="00F349EA" w:rsidRDefault="000C6036" w:rsidP="004222B2">
          <w:pPr>
            <w:spacing w:line="240" w:lineRule="auto"/>
          </w:pPr>
        </w:p>
        <w:p w14:paraId="3BE45C31" w14:textId="6355A1DF" w:rsidR="000C6036" w:rsidRPr="00F349EA" w:rsidRDefault="000C6036" w:rsidP="004222B2">
          <w:pPr>
            <w:spacing w:line="240" w:lineRule="auto"/>
          </w:pPr>
        </w:p>
        <w:p w14:paraId="32EB25E7" w14:textId="7E61AB3C" w:rsidR="000C6036" w:rsidRPr="00F349EA" w:rsidRDefault="000C6036" w:rsidP="004222B2">
          <w:pPr>
            <w:spacing w:line="240" w:lineRule="auto"/>
          </w:pPr>
        </w:p>
        <w:p w14:paraId="32ECDB39" w14:textId="5592D6BD" w:rsidR="000C6036" w:rsidRPr="00F349EA" w:rsidRDefault="000C6036" w:rsidP="004222B2">
          <w:pPr>
            <w:spacing w:line="240" w:lineRule="auto"/>
          </w:pPr>
        </w:p>
        <w:p w14:paraId="5DEA6495" w14:textId="26BAA225" w:rsidR="000C6036" w:rsidRPr="00F349EA" w:rsidRDefault="000C6036" w:rsidP="004222B2">
          <w:pPr>
            <w:spacing w:line="240" w:lineRule="auto"/>
          </w:pPr>
        </w:p>
        <w:p w14:paraId="764CC193" w14:textId="7B7D2784" w:rsidR="000C6036" w:rsidRPr="00F349EA" w:rsidRDefault="00000000" w:rsidP="001F6418">
          <w:pPr>
            <w:pStyle w:val="BodyText1"/>
          </w:pPr>
        </w:p>
      </w:sdtContent>
    </w:sdt>
    <w:p w14:paraId="51022E28" w14:textId="77777777" w:rsidR="00BF3A1F" w:rsidRPr="00F349EA" w:rsidRDefault="00BF3A1F" w:rsidP="001F6418">
      <w:pPr>
        <w:pStyle w:val="BodyText1"/>
      </w:pPr>
      <w:bookmarkStart w:id="0" w:name="_Toc176866802"/>
      <w:bookmarkStart w:id="1" w:name="_Toc176867058"/>
    </w:p>
    <w:p w14:paraId="48A0C24D" w14:textId="77777777" w:rsidR="00BF3A1F" w:rsidRPr="00F349EA" w:rsidRDefault="00BF3A1F" w:rsidP="001F6418">
      <w:pPr>
        <w:pStyle w:val="BodyText1"/>
      </w:pPr>
    </w:p>
    <w:p w14:paraId="04465096" w14:textId="77777777" w:rsidR="00BF3A1F" w:rsidRPr="00F349EA" w:rsidRDefault="00BF3A1F" w:rsidP="001F6418">
      <w:pPr>
        <w:pStyle w:val="BodyText1"/>
      </w:pPr>
    </w:p>
    <w:p w14:paraId="21850072" w14:textId="77777777" w:rsidR="00BF3A1F" w:rsidRPr="00F349EA" w:rsidRDefault="00BF3A1F" w:rsidP="001F6418">
      <w:pPr>
        <w:pStyle w:val="BodyText1"/>
      </w:pPr>
    </w:p>
    <w:p w14:paraId="4220B63E" w14:textId="2F756BAB" w:rsidR="00BF3A1F" w:rsidRPr="00F349EA" w:rsidRDefault="00BF3A1F" w:rsidP="001F6418">
      <w:pPr>
        <w:pStyle w:val="BodyText1"/>
      </w:pPr>
    </w:p>
    <w:p w14:paraId="15BC0749" w14:textId="77777777" w:rsidR="00BF3A1F" w:rsidRPr="00F349EA" w:rsidRDefault="00BF3A1F">
      <w:pPr>
        <w:spacing w:line="240" w:lineRule="auto"/>
        <w:rPr>
          <w:rFonts w:asciiTheme="majorHAnsi" w:eastAsiaTheme="majorEastAsia" w:hAnsiTheme="majorHAnsi" w:cstheme="majorBidi"/>
          <w:b/>
          <w:color w:val="016574" w:themeColor="accent2"/>
          <w:sz w:val="40"/>
          <w:szCs w:val="32"/>
        </w:rPr>
      </w:pPr>
      <w:r w:rsidRPr="00F349EA">
        <w:br w:type="page"/>
      </w:r>
    </w:p>
    <w:p w14:paraId="147CBBFA" w14:textId="0F855EA1" w:rsidR="000C6036" w:rsidRPr="00F349EA" w:rsidRDefault="00BF3A1F" w:rsidP="00884362">
      <w:pPr>
        <w:pStyle w:val="Heading1"/>
        <w:spacing w:before="0" w:after="240"/>
        <w:rPr>
          <w:sz w:val="28"/>
          <w:szCs w:val="28"/>
        </w:rPr>
      </w:pPr>
      <w:bookmarkStart w:id="2" w:name="_Toc182387453"/>
      <w:bookmarkStart w:id="3" w:name="_Toc182388593"/>
      <w:bookmarkStart w:id="4" w:name="_Toc189054589"/>
      <w:bookmarkStart w:id="5" w:name="_Toc199766064"/>
      <w:bookmarkStart w:id="6" w:name="_Toc871228953"/>
      <w:r w:rsidRPr="68A9B764">
        <w:rPr>
          <w:sz w:val="28"/>
          <w:szCs w:val="28"/>
        </w:rPr>
        <w:lastRenderedPageBreak/>
        <w:t>C</w:t>
      </w:r>
      <w:r w:rsidR="008D5F93" w:rsidRPr="68A9B764">
        <w:rPr>
          <w:sz w:val="28"/>
          <w:szCs w:val="28"/>
        </w:rPr>
        <w:t>ontents</w:t>
      </w:r>
      <w:bookmarkEnd w:id="0"/>
      <w:bookmarkEnd w:id="1"/>
      <w:bookmarkEnd w:id="2"/>
      <w:bookmarkEnd w:id="3"/>
      <w:bookmarkEnd w:id="4"/>
      <w:bookmarkEnd w:id="5"/>
      <w:bookmarkEnd w:id="6"/>
      <w:r w:rsidR="008D5F93" w:rsidRPr="68A9B764">
        <w:rPr>
          <w:sz w:val="28"/>
          <w:szCs w:val="28"/>
        </w:rPr>
        <w:t xml:space="preserve"> </w:t>
      </w:r>
    </w:p>
    <w:sdt>
      <w:sdtPr>
        <w:id w:val="1389463091"/>
        <w:docPartObj>
          <w:docPartGallery w:val="Table of Contents"/>
          <w:docPartUnique/>
        </w:docPartObj>
      </w:sdtPr>
      <w:sdtContent>
        <w:p w14:paraId="33AC3765" w14:textId="0EC91931" w:rsidR="006B68C3" w:rsidRPr="00F349EA" w:rsidRDefault="7D52A5B7" w:rsidP="7D52A5B7">
          <w:pPr>
            <w:pStyle w:val="TOC1"/>
            <w:tabs>
              <w:tab w:val="right" w:leader="dot" w:pos="9720"/>
            </w:tabs>
            <w:rPr>
              <w:rStyle w:val="Hyperlink"/>
              <w:kern w:val="2"/>
              <w:lang w:eastAsia="en-GB"/>
              <w14:ligatures w14:val="standardContextual"/>
            </w:rPr>
          </w:pPr>
          <w:r>
            <w:fldChar w:fldCharType="begin"/>
          </w:r>
          <w:r>
            <w:instrText>TOC \o "1-2" \z \u \h</w:instrText>
          </w:r>
          <w:r>
            <w:fldChar w:fldCharType="separate"/>
          </w:r>
          <w:hyperlink w:anchor="_Toc871228953">
            <w:r w:rsidR="68A9B764" w:rsidRPr="68A9B764">
              <w:rPr>
                <w:rStyle w:val="Hyperlink"/>
              </w:rPr>
              <w:t>Contents</w:t>
            </w:r>
            <w:r>
              <w:tab/>
            </w:r>
            <w:r>
              <w:fldChar w:fldCharType="begin"/>
            </w:r>
            <w:r>
              <w:instrText>PAGEREF _Toc871228953 \h</w:instrText>
            </w:r>
            <w:r>
              <w:fldChar w:fldCharType="separate"/>
            </w:r>
            <w:r w:rsidR="68A9B764" w:rsidRPr="68A9B764">
              <w:rPr>
                <w:rStyle w:val="Hyperlink"/>
              </w:rPr>
              <w:t>1</w:t>
            </w:r>
            <w:r>
              <w:fldChar w:fldCharType="end"/>
            </w:r>
          </w:hyperlink>
        </w:p>
        <w:p w14:paraId="70D5F3DB" w14:textId="66DB9C54" w:rsidR="006B68C3" w:rsidRPr="00F349EA" w:rsidRDefault="68A9B764" w:rsidP="7D52A5B7">
          <w:pPr>
            <w:pStyle w:val="TOC1"/>
            <w:tabs>
              <w:tab w:val="right" w:leader="dot" w:pos="9720"/>
            </w:tabs>
            <w:rPr>
              <w:rStyle w:val="Hyperlink"/>
              <w:kern w:val="2"/>
              <w:lang w:eastAsia="en-GB"/>
              <w14:ligatures w14:val="standardContextual"/>
            </w:rPr>
          </w:pPr>
          <w:hyperlink w:anchor="_Toc1156487655">
            <w:r w:rsidRPr="68A9B764">
              <w:rPr>
                <w:rStyle w:val="Hyperlink"/>
              </w:rPr>
              <w:t>1. Executive Summary</w:t>
            </w:r>
            <w:r w:rsidR="7D52A5B7">
              <w:tab/>
            </w:r>
            <w:r w:rsidR="7D52A5B7">
              <w:fldChar w:fldCharType="begin"/>
            </w:r>
            <w:r w:rsidR="7D52A5B7">
              <w:instrText>PAGEREF _Toc1156487655 \h</w:instrText>
            </w:r>
            <w:r w:rsidR="7D52A5B7">
              <w:fldChar w:fldCharType="separate"/>
            </w:r>
            <w:r w:rsidRPr="68A9B764">
              <w:rPr>
                <w:rStyle w:val="Hyperlink"/>
              </w:rPr>
              <w:t>3</w:t>
            </w:r>
            <w:r w:rsidR="7D52A5B7">
              <w:fldChar w:fldCharType="end"/>
            </w:r>
          </w:hyperlink>
        </w:p>
        <w:p w14:paraId="5AF9146A" w14:textId="4B550F2B" w:rsidR="006B68C3" w:rsidRPr="00F349EA" w:rsidRDefault="68A9B764" w:rsidP="7D52A5B7">
          <w:pPr>
            <w:pStyle w:val="TOC2"/>
            <w:tabs>
              <w:tab w:val="right" w:leader="dot" w:pos="9720"/>
            </w:tabs>
            <w:rPr>
              <w:rStyle w:val="Hyperlink"/>
              <w:kern w:val="2"/>
              <w:lang w:eastAsia="en-GB"/>
              <w14:ligatures w14:val="standardContextual"/>
            </w:rPr>
          </w:pPr>
          <w:hyperlink w:anchor="_Toc908176002">
            <w:r w:rsidRPr="68A9B764">
              <w:rPr>
                <w:rStyle w:val="Hyperlink"/>
              </w:rPr>
              <w:t>Key highlights</w:t>
            </w:r>
            <w:r w:rsidR="7D52A5B7">
              <w:tab/>
            </w:r>
            <w:r w:rsidR="7D52A5B7">
              <w:fldChar w:fldCharType="begin"/>
            </w:r>
            <w:r w:rsidR="7D52A5B7">
              <w:instrText>PAGEREF _Toc908176002 \h</w:instrText>
            </w:r>
            <w:r w:rsidR="7D52A5B7">
              <w:fldChar w:fldCharType="separate"/>
            </w:r>
            <w:r w:rsidRPr="68A9B764">
              <w:rPr>
                <w:rStyle w:val="Hyperlink"/>
              </w:rPr>
              <w:t>3</w:t>
            </w:r>
            <w:r w:rsidR="7D52A5B7">
              <w:fldChar w:fldCharType="end"/>
            </w:r>
          </w:hyperlink>
        </w:p>
        <w:p w14:paraId="20910A17" w14:textId="408C199B" w:rsidR="006B68C3" w:rsidRPr="00F349EA" w:rsidRDefault="68A9B764" w:rsidP="7D52A5B7">
          <w:pPr>
            <w:pStyle w:val="TOC2"/>
            <w:tabs>
              <w:tab w:val="right" w:leader="dot" w:pos="9720"/>
            </w:tabs>
            <w:rPr>
              <w:rStyle w:val="Hyperlink"/>
              <w:kern w:val="2"/>
              <w:lang w:eastAsia="en-GB"/>
              <w14:ligatures w14:val="standardContextual"/>
            </w:rPr>
          </w:pPr>
          <w:hyperlink w:anchor="_Toc210206859">
            <w:r w:rsidRPr="68A9B764">
              <w:rPr>
                <w:rStyle w:val="Hyperlink"/>
              </w:rPr>
              <w:t>Exceptions and recovery</w:t>
            </w:r>
            <w:r w:rsidR="7D52A5B7">
              <w:tab/>
            </w:r>
            <w:r w:rsidR="7D52A5B7">
              <w:fldChar w:fldCharType="begin"/>
            </w:r>
            <w:r w:rsidR="7D52A5B7">
              <w:instrText>PAGEREF _Toc210206859 \h</w:instrText>
            </w:r>
            <w:r w:rsidR="7D52A5B7">
              <w:fldChar w:fldCharType="separate"/>
            </w:r>
            <w:r w:rsidRPr="68A9B764">
              <w:rPr>
                <w:rStyle w:val="Hyperlink"/>
              </w:rPr>
              <w:t>4</w:t>
            </w:r>
            <w:r w:rsidR="7D52A5B7">
              <w:fldChar w:fldCharType="end"/>
            </w:r>
          </w:hyperlink>
        </w:p>
        <w:p w14:paraId="2BE452D9" w14:textId="57EA3212" w:rsidR="7D52A5B7" w:rsidRDefault="68A9B764" w:rsidP="7D52A5B7">
          <w:pPr>
            <w:pStyle w:val="TOC1"/>
            <w:tabs>
              <w:tab w:val="right" w:leader="dot" w:pos="9720"/>
            </w:tabs>
            <w:rPr>
              <w:rStyle w:val="Hyperlink"/>
            </w:rPr>
          </w:pPr>
          <w:hyperlink w:anchor="_Toc1401122898">
            <w:r w:rsidRPr="68A9B764">
              <w:rPr>
                <w:rStyle w:val="Hyperlink"/>
              </w:rPr>
              <w:t>2. Performance Summary</w:t>
            </w:r>
            <w:r w:rsidR="7D52A5B7">
              <w:tab/>
            </w:r>
            <w:r w:rsidR="7D52A5B7">
              <w:fldChar w:fldCharType="begin"/>
            </w:r>
            <w:r w:rsidR="7D52A5B7">
              <w:instrText>PAGEREF _Toc1401122898 \h</w:instrText>
            </w:r>
            <w:r w:rsidR="7D52A5B7">
              <w:fldChar w:fldCharType="separate"/>
            </w:r>
            <w:r w:rsidRPr="68A9B764">
              <w:rPr>
                <w:rStyle w:val="Hyperlink"/>
              </w:rPr>
              <w:t>6</w:t>
            </w:r>
            <w:r w:rsidR="7D52A5B7">
              <w:fldChar w:fldCharType="end"/>
            </w:r>
          </w:hyperlink>
        </w:p>
        <w:p w14:paraId="27FEDFDB" w14:textId="75ED2AC4" w:rsidR="7D52A5B7" w:rsidRDefault="68A9B764" w:rsidP="7D52A5B7">
          <w:pPr>
            <w:pStyle w:val="TOC2"/>
            <w:tabs>
              <w:tab w:val="right" w:leader="dot" w:pos="9720"/>
            </w:tabs>
            <w:rPr>
              <w:rStyle w:val="Hyperlink"/>
            </w:rPr>
          </w:pPr>
          <w:hyperlink w:anchor="_Toc527849685">
            <w:r w:rsidRPr="68A9B764">
              <w:rPr>
                <w:rStyle w:val="Hyperlink"/>
              </w:rPr>
              <w:t>2.1 Annual Objectives and Key Results (OKRs) – Progress and exception summary</w:t>
            </w:r>
            <w:r w:rsidR="7D52A5B7">
              <w:tab/>
            </w:r>
            <w:r w:rsidR="7D52A5B7">
              <w:fldChar w:fldCharType="begin"/>
            </w:r>
            <w:r w:rsidR="7D52A5B7">
              <w:instrText>PAGEREF _Toc527849685 \h</w:instrText>
            </w:r>
            <w:r w:rsidR="7D52A5B7">
              <w:fldChar w:fldCharType="separate"/>
            </w:r>
            <w:r w:rsidRPr="68A9B764">
              <w:rPr>
                <w:rStyle w:val="Hyperlink"/>
              </w:rPr>
              <w:t>8</w:t>
            </w:r>
            <w:r w:rsidR="7D52A5B7">
              <w:fldChar w:fldCharType="end"/>
            </w:r>
          </w:hyperlink>
        </w:p>
        <w:p w14:paraId="1C872111" w14:textId="07DCE9F3" w:rsidR="7D52A5B7" w:rsidRDefault="68A9B764" w:rsidP="7D52A5B7">
          <w:pPr>
            <w:pStyle w:val="TOC2"/>
            <w:tabs>
              <w:tab w:val="right" w:leader="dot" w:pos="9720"/>
            </w:tabs>
            <w:rPr>
              <w:rStyle w:val="Hyperlink"/>
            </w:rPr>
          </w:pPr>
          <w:hyperlink w:anchor="_Toc1560554380">
            <w:r w:rsidRPr="68A9B764">
              <w:rPr>
                <w:rStyle w:val="Hyperlink"/>
              </w:rPr>
              <w:t>2.2 Key strategic and operational performance indicators – Progress and exception summary</w:t>
            </w:r>
            <w:r w:rsidR="7D52A5B7">
              <w:tab/>
            </w:r>
            <w:r w:rsidR="7D52A5B7">
              <w:fldChar w:fldCharType="begin"/>
            </w:r>
            <w:r w:rsidR="7D52A5B7">
              <w:instrText>PAGEREF _Toc1560554380 \h</w:instrText>
            </w:r>
            <w:r w:rsidR="7D52A5B7">
              <w:fldChar w:fldCharType="separate"/>
            </w:r>
            <w:r w:rsidRPr="68A9B764">
              <w:rPr>
                <w:rStyle w:val="Hyperlink"/>
              </w:rPr>
              <w:t>11</w:t>
            </w:r>
            <w:r w:rsidR="7D52A5B7">
              <w:fldChar w:fldCharType="end"/>
            </w:r>
          </w:hyperlink>
        </w:p>
        <w:p w14:paraId="214F01F8" w14:textId="5495CCDC" w:rsidR="7D52A5B7" w:rsidRDefault="68A9B764" w:rsidP="7D52A5B7">
          <w:pPr>
            <w:pStyle w:val="TOC1"/>
            <w:tabs>
              <w:tab w:val="left" w:pos="480"/>
              <w:tab w:val="right" w:leader="dot" w:pos="9720"/>
            </w:tabs>
            <w:rPr>
              <w:rStyle w:val="Hyperlink"/>
            </w:rPr>
          </w:pPr>
          <w:hyperlink w:anchor="_Toc1341224549">
            <w:r w:rsidRPr="68A9B764">
              <w:rPr>
                <w:rStyle w:val="Hyperlink"/>
              </w:rPr>
              <w:t>3.</w:t>
            </w:r>
            <w:r w:rsidR="7D52A5B7">
              <w:tab/>
            </w:r>
            <w:r w:rsidRPr="68A9B764">
              <w:rPr>
                <w:rStyle w:val="Hyperlink"/>
              </w:rPr>
              <w:t>Performance Updates</w:t>
            </w:r>
            <w:r w:rsidR="7D52A5B7">
              <w:tab/>
            </w:r>
            <w:r w:rsidR="7D52A5B7">
              <w:fldChar w:fldCharType="begin"/>
            </w:r>
            <w:r w:rsidR="7D52A5B7">
              <w:instrText>PAGEREF _Toc1341224549 \h</w:instrText>
            </w:r>
            <w:r w:rsidR="7D52A5B7">
              <w:fldChar w:fldCharType="separate"/>
            </w:r>
            <w:r w:rsidRPr="68A9B764">
              <w:rPr>
                <w:rStyle w:val="Hyperlink"/>
              </w:rPr>
              <w:t>23</w:t>
            </w:r>
            <w:r w:rsidR="7D52A5B7">
              <w:fldChar w:fldCharType="end"/>
            </w:r>
          </w:hyperlink>
        </w:p>
        <w:p w14:paraId="3219D4B1" w14:textId="7FD00B35" w:rsidR="7D52A5B7" w:rsidRDefault="68A9B764" w:rsidP="7D52A5B7">
          <w:pPr>
            <w:pStyle w:val="TOC2"/>
            <w:tabs>
              <w:tab w:val="right" w:leader="dot" w:pos="9720"/>
            </w:tabs>
            <w:rPr>
              <w:rStyle w:val="Hyperlink"/>
            </w:rPr>
          </w:pPr>
          <w:hyperlink w:anchor="_Toc1154151876">
            <w:r w:rsidRPr="68A9B764">
              <w:rPr>
                <w:rStyle w:val="Hyperlink"/>
              </w:rPr>
              <w:t>Net Zero</w:t>
            </w:r>
            <w:r w:rsidR="7D52A5B7">
              <w:tab/>
            </w:r>
            <w:r w:rsidR="7D52A5B7">
              <w:fldChar w:fldCharType="begin"/>
            </w:r>
            <w:r w:rsidR="7D52A5B7">
              <w:instrText>PAGEREF _Toc1154151876 \h</w:instrText>
            </w:r>
            <w:r w:rsidR="7D52A5B7">
              <w:fldChar w:fldCharType="separate"/>
            </w:r>
            <w:r w:rsidRPr="68A9B764">
              <w:rPr>
                <w:rStyle w:val="Hyperlink"/>
              </w:rPr>
              <w:t>24</w:t>
            </w:r>
            <w:r w:rsidR="7D52A5B7">
              <w:fldChar w:fldCharType="end"/>
            </w:r>
          </w:hyperlink>
        </w:p>
        <w:p w14:paraId="74BC1D00" w14:textId="7061231C" w:rsidR="7D52A5B7" w:rsidRDefault="68A9B764" w:rsidP="7D52A5B7">
          <w:pPr>
            <w:pStyle w:val="TOC2"/>
            <w:tabs>
              <w:tab w:val="right" w:leader="dot" w:pos="9720"/>
            </w:tabs>
            <w:rPr>
              <w:rStyle w:val="Hyperlink"/>
            </w:rPr>
          </w:pPr>
          <w:hyperlink w:anchor="_Toc1036290901">
            <w:r w:rsidRPr="68A9B764">
              <w:rPr>
                <w:rStyle w:val="Hyperlink"/>
              </w:rPr>
              <w:t>Climate Resilience</w:t>
            </w:r>
            <w:r w:rsidR="7D52A5B7">
              <w:tab/>
            </w:r>
            <w:r w:rsidR="7D52A5B7">
              <w:fldChar w:fldCharType="begin"/>
            </w:r>
            <w:r w:rsidR="7D52A5B7">
              <w:instrText>PAGEREF _Toc1036290901 \h</w:instrText>
            </w:r>
            <w:r w:rsidR="7D52A5B7">
              <w:fldChar w:fldCharType="separate"/>
            </w:r>
            <w:r w:rsidRPr="68A9B764">
              <w:rPr>
                <w:rStyle w:val="Hyperlink"/>
              </w:rPr>
              <w:t>28</w:t>
            </w:r>
            <w:r w:rsidR="7D52A5B7">
              <w:fldChar w:fldCharType="end"/>
            </w:r>
          </w:hyperlink>
        </w:p>
        <w:p w14:paraId="637C25DA" w14:textId="684F8501" w:rsidR="7D52A5B7" w:rsidRDefault="68A9B764" w:rsidP="7D52A5B7">
          <w:pPr>
            <w:pStyle w:val="TOC2"/>
            <w:tabs>
              <w:tab w:val="right" w:leader="dot" w:pos="9720"/>
            </w:tabs>
            <w:rPr>
              <w:rStyle w:val="Hyperlink"/>
            </w:rPr>
          </w:pPr>
          <w:hyperlink w:anchor="_Toc306910089">
            <w:r w:rsidRPr="68A9B764">
              <w:rPr>
                <w:rStyle w:val="Hyperlink"/>
              </w:rPr>
              <w:t>Water Environment</w:t>
            </w:r>
            <w:r w:rsidR="7D52A5B7">
              <w:tab/>
            </w:r>
            <w:r w:rsidR="7D52A5B7">
              <w:fldChar w:fldCharType="begin"/>
            </w:r>
            <w:r w:rsidR="7D52A5B7">
              <w:instrText>PAGEREF _Toc306910089 \h</w:instrText>
            </w:r>
            <w:r w:rsidR="7D52A5B7">
              <w:fldChar w:fldCharType="separate"/>
            </w:r>
            <w:r w:rsidRPr="68A9B764">
              <w:rPr>
                <w:rStyle w:val="Hyperlink"/>
              </w:rPr>
              <w:t>34</w:t>
            </w:r>
            <w:r w:rsidR="7D52A5B7">
              <w:fldChar w:fldCharType="end"/>
            </w:r>
          </w:hyperlink>
        </w:p>
        <w:p w14:paraId="4EF71556" w14:textId="5C1626BE" w:rsidR="7D52A5B7" w:rsidRDefault="68A9B764" w:rsidP="7D52A5B7">
          <w:pPr>
            <w:pStyle w:val="TOC2"/>
            <w:tabs>
              <w:tab w:val="right" w:leader="dot" w:pos="9720"/>
            </w:tabs>
            <w:rPr>
              <w:rStyle w:val="Hyperlink"/>
            </w:rPr>
          </w:pPr>
          <w:hyperlink w:anchor="_Toc283097001">
            <w:r w:rsidRPr="68A9B764">
              <w:rPr>
                <w:rStyle w:val="Hyperlink"/>
              </w:rPr>
              <w:t>Resource Efficiency</w:t>
            </w:r>
            <w:r w:rsidR="7D52A5B7">
              <w:tab/>
            </w:r>
            <w:r w:rsidR="7D52A5B7">
              <w:fldChar w:fldCharType="begin"/>
            </w:r>
            <w:r w:rsidR="7D52A5B7">
              <w:instrText>PAGEREF _Toc283097001 \h</w:instrText>
            </w:r>
            <w:r w:rsidR="7D52A5B7">
              <w:fldChar w:fldCharType="separate"/>
            </w:r>
            <w:r w:rsidRPr="68A9B764">
              <w:rPr>
                <w:rStyle w:val="Hyperlink"/>
              </w:rPr>
              <w:t>40</w:t>
            </w:r>
            <w:r w:rsidR="7D52A5B7">
              <w:fldChar w:fldCharType="end"/>
            </w:r>
          </w:hyperlink>
        </w:p>
        <w:p w14:paraId="414C3C05" w14:textId="19DFD51F" w:rsidR="7D52A5B7" w:rsidRDefault="68A9B764" w:rsidP="7D52A5B7">
          <w:pPr>
            <w:pStyle w:val="TOC2"/>
            <w:tabs>
              <w:tab w:val="right" w:leader="dot" w:pos="9720"/>
            </w:tabs>
            <w:rPr>
              <w:rStyle w:val="Hyperlink"/>
            </w:rPr>
          </w:pPr>
          <w:hyperlink w:anchor="_Toc2094063106">
            <w:r w:rsidRPr="68A9B764">
              <w:rPr>
                <w:rStyle w:val="Hyperlink"/>
              </w:rPr>
              <w:t>Business Environmental Performance</w:t>
            </w:r>
            <w:r w:rsidR="7D52A5B7">
              <w:tab/>
            </w:r>
            <w:r w:rsidR="7D52A5B7">
              <w:fldChar w:fldCharType="begin"/>
            </w:r>
            <w:r w:rsidR="7D52A5B7">
              <w:instrText>PAGEREF _Toc2094063106 \h</w:instrText>
            </w:r>
            <w:r w:rsidR="7D52A5B7">
              <w:fldChar w:fldCharType="separate"/>
            </w:r>
            <w:r w:rsidRPr="68A9B764">
              <w:rPr>
                <w:rStyle w:val="Hyperlink"/>
              </w:rPr>
              <w:t>43</w:t>
            </w:r>
            <w:r w:rsidR="7D52A5B7">
              <w:fldChar w:fldCharType="end"/>
            </w:r>
          </w:hyperlink>
        </w:p>
        <w:p w14:paraId="53E4D530" w14:textId="5699F153" w:rsidR="7D52A5B7" w:rsidRDefault="68A9B764" w:rsidP="7D52A5B7">
          <w:pPr>
            <w:pStyle w:val="TOC2"/>
            <w:tabs>
              <w:tab w:val="right" w:leader="dot" w:pos="9720"/>
            </w:tabs>
            <w:rPr>
              <w:rStyle w:val="Hyperlink"/>
            </w:rPr>
          </w:pPr>
          <w:hyperlink w:anchor="_Toc245403216">
            <w:r w:rsidRPr="68A9B764">
              <w:rPr>
                <w:rStyle w:val="Hyperlink"/>
              </w:rPr>
              <w:t>Our Organisation</w:t>
            </w:r>
            <w:r w:rsidR="7D52A5B7">
              <w:tab/>
            </w:r>
            <w:r w:rsidR="7D52A5B7">
              <w:fldChar w:fldCharType="begin"/>
            </w:r>
            <w:r w:rsidR="7D52A5B7">
              <w:instrText>PAGEREF _Toc245403216 \h</w:instrText>
            </w:r>
            <w:r w:rsidR="7D52A5B7">
              <w:fldChar w:fldCharType="separate"/>
            </w:r>
            <w:r w:rsidRPr="68A9B764">
              <w:rPr>
                <w:rStyle w:val="Hyperlink"/>
              </w:rPr>
              <w:t>50</w:t>
            </w:r>
            <w:r w:rsidR="7D52A5B7">
              <w:fldChar w:fldCharType="end"/>
            </w:r>
          </w:hyperlink>
          <w:r w:rsidR="7D52A5B7">
            <w:fldChar w:fldCharType="end"/>
          </w:r>
        </w:p>
      </w:sdtContent>
    </w:sdt>
    <w:p w14:paraId="48E6E3DE" w14:textId="65C1F8F5" w:rsidR="00FA6A88" w:rsidRPr="00F349EA" w:rsidRDefault="00FA6A88" w:rsidP="00EA08B1">
      <w:pPr>
        <w:pStyle w:val="TOC1"/>
        <w:tabs>
          <w:tab w:val="left" w:pos="720"/>
          <w:tab w:val="right" w:leader="dot" w:pos="9730"/>
        </w:tabs>
        <w:rPr>
          <w:kern w:val="2"/>
          <w:lang w:eastAsia="en-GB"/>
          <w14:ligatures w14:val="standardContextual"/>
        </w:rPr>
      </w:pPr>
    </w:p>
    <w:p w14:paraId="2057611A" w14:textId="77777777" w:rsidR="000C6036" w:rsidRPr="00F349EA" w:rsidRDefault="000C6036" w:rsidP="004222B2">
      <w:pPr>
        <w:spacing w:line="240" w:lineRule="auto"/>
      </w:pPr>
    </w:p>
    <w:p w14:paraId="1969C7D8" w14:textId="77777777" w:rsidR="00613850" w:rsidRPr="00F349EA" w:rsidRDefault="00613850" w:rsidP="004222B2">
      <w:pPr>
        <w:spacing w:line="240" w:lineRule="auto"/>
        <w:rPr>
          <w:color w:val="6E7571" w:themeColor="text2"/>
        </w:rPr>
      </w:pPr>
    </w:p>
    <w:p w14:paraId="2FA4265F" w14:textId="77777777" w:rsidR="00613850" w:rsidRPr="00F349EA" w:rsidRDefault="00613850" w:rsidP="004222B2">
      <w:pPr>
        <w:spacing w:line="240" w:lineRule="auto"/>
        <w:rPr>
          <w:color w:val="6E7571" w:themeColor="text2"/>
        </w:rPr>
      </w:pPr>
    </w:p>
    <w:p w14:paraId="789293C1" w14:textId="77777777" w:rsidR="000C4C55" w:rsidRPr="00F349EA" w:rsidRDefault="000C4C55" w:rsidP="004222B2">
      <w:pPr>
        <w:spacing w:line="240" w:lineRule="auto"/>
        <w:rPr>
          <w:color w:val="6E7571" w:themeColor="text2"/>
        </w:rPr>
      </w:pPr>
    </w:p>
    <w:p w14:paraId="42092FF6" w14:textId="77777777" w:rsidR="000C4C55" w:rsidRPr="00F349EA" w:rsidRDefault="000C4C55" w:rsidP="004222B2">
      <w:pPr>
        <w:spacing w:line="240" w:lineRule="auto"/>
        <w:rPr>
          <w:color w:val="6E7571" w:themeColor="text2"/>
        </w:rPr>
      </w:pPr>
    </w:p>
    <w:p w14:paraId="100EBB3B" w14:textId="77777777" w:rsidR="000C4C55" w:rsidRPr="00F349EA" w:rsidRDefault="000C4C55" w:rsidP="004222B2">
      <w:pPr>
        <w:spacing w:line="240" w:lineRule="auto"/>
        <w:rPr>
          <w:color w:val="6E7571" w:themeColor="text2"/>
        </w:rPr>
      </w:pPr>
    </w:p>
    <w:p w14:paraId="0F16D569" w14:textId="77777777" w:rsidR="00EA08B1" w:rsidRPr="00F349EA" w:rsidRDefault="00EA08B1" w:rsidP="004222B2">
      <w:pPr>
        <w:spacing w:line="240" w:lineRule="auto"/>
        <w:rPr>
          <w:color w:val="6E7571" w:themeColor="text2"/>
        </w:rPr>
      </w:pPr>
    </w:p>
    <w:p w14:paraId="4AD9842D" w14:textId="77777777" w:rsidR="00EA08B1" w:rsidRPr="00F349EA" w:rsidRDefault="00EA08B1" w:rsidP="004222B2">
      <w:pPr>
        <w:spacing w:line="240" w:lineRule="auto"/>
        <w:rPr>
          <w:color w:val="6E7571" w:themeColor="text2"/>
        </w:rPr>
      </w:pPr>
    </w:p>
    <w:p w14:paraId="663BBE29" w14:textId="77777777" w:rsidR="00EA08B1" w:rsidRPr="00F349EA" w:rsidRDefault="00EA08B1" w:rsidP="004222B2">
      <w:pPr>
        <w:spacing w:line="240" w:lineRule="auto"/>
        <w:rPr>
          <w:color w:val="6E7571" w:themeColor="text2"/>
        </w:rPr>
      </w:pPr>
    </w:p>
    <w:p w14:paraId="66CBBCA1" w14:textId="77777777" w:rsidR="00EA08B1" w:rsidRPr="00F349EA" w:rsidRDefault="00EA08B1" w:rsidP="004222B2">
      <w:pPr>
        <w:spacing w:line="240" w:lineRule="auto"/>
        <w:rPr>
          <w:color w:val="6E7571" w:themeColor="text2"/>
        </w:rPr>
      </w:pPr>
    </w:p>
    <w:p w14:paraId="59EAE4BA" w14:textId="77777777" w:rsidR="00EA08B1" w:rsidRPr="00F349EA" w:rsidRDefault="00EA08B1" w:rsidP="004222B2">
      <w:pPr>
        <w:spacing w:line="240" w:lineRule="auto"/>
        <w:rPr>
          <w:color w:val="6E7571" w:themeColor="text2"/>
        </w:rPr>
      </w:pPr>
    </w:p>
    <w:p w14:paraId="26EA869E" w14:textId="77777777" w:rsidR="00EA08B1" w:rsidRPr="00F349EA" w:rsidRDefault="00EA08B1" w:rsidP="004222B2">
      <w:pPr>
        <w:spacing w:line="240" w:lineRule="auto"/>
        <w:rPr>
          <w:color w:val="6E7571" w:themeColor="text2"/>
        </w:rPr>
      </w:pPr>
    </w:p>
    <w:p w14:paraId="0C180925" w14:textId="77777777" w:rsidR="00EA08B1" w:rsidRPr="00F349EA" w:rsidRDefault="00EA08B1" w:rsidP="004222B2">
      <w:pPr>
        <w:spacing w:line="240" w:lineRule="auto"/>
        <w:rPr>
          <w:color w:val="6E7571" w:themeColor="text2"/>
        </w:rPr>
      </w:pPr>
    </w:p>
    <w:p w14:paraId="193E0EEB" w14:textId="77777777" w:rsidR="00EA08B1" w:rsidRPr="00F349EA" w:rsidRDefault="00EA08B1" w:rsidP="004222B2">
      <w:pPr>
        <w:spacing w:line="240" w:lineRule="auto"/>
        <w:rPr>
          <w:color w:val="6E7571" w:themeColor="text2"/>
        </w:rPr>
      </w:pPr>
    </w:p>
    <w:p w14:paraId="3257CF97" w14:textId="77777777" w:rsidR="00EA08B1" w:rsidRPr="00F349EA" w:rsidRDefault="00EA08B1" w:rsidP="004222B2">
      <w:pPr>
        <w:spacing w:line="240" w:lineRule="auto"/>
        <w:rPr>
          <w:color w:val="6E7571" w:themeColor="text2"/>
        </w:rPr>
      </w:pPr>
    </w:p>
    <w:p w14:paraId="077B10E0" w14:textId="77777777" w:rsidR="00EA08B1" w:rsidRPr="00F349EA" w:rsidRDefault="00EA08B1" w:rsidP="004222B2">
      <w:pPr>
        <w:spacing w:line="240" w:lineRule="auto"/>
        <w:rPr>
          <w:color w:val="6E7571" w:themeColor="text2"/>
        </w:rPr>
      </w:pPr>
    </w:p>
    <w:p w14:paraId="304BB048" w14:textId="3E844909" w:rsidR="00EA08B1" w:rsidRPr="00F349EA" w:rsidRDefault="00EA08B1" w:rsidP="00EA08B1">
      <w:pPr>
        <w:pStyle w:val="BodyText1"/>
        <w:spacing w:line="240" w:lineRule="auto"/>
        <w:rPr>
          <w:rStyle w:val="Hyperlink"/>
          <w:rFonts w:ascii="Arial" w:hAnsi="Arial" w:cs="Arial"/>
          <w:color w:val="016574"/>
          <w:u w:val="none"/>
        </w:rPr>
      </w:pPr>
      <w:r w:rsidRPr="00F349EA">
        <w:rPr>
          <w:rFonts w:ascii="Arial" w:hAnsi="Arial" w:cs="Arial"/>
          <w:sz w:val="32"/>
          <w:szCs w:val="32"/>
        </w:rPr>
        <w:lastRenderedPageBreak/>
        <w:t xml:space="preserve">If you would like this document in an accessible format, such as large print, audio recording or braille, please contact SEPA by emailing: </w:t>
      </w:r>
      <w:hyperlink r:id="rId13" w:history="1">
        <w:r w:rsidRPr="00F349EA">
          <w:rPr>
            <w:rStyle w:val="Hyperlink"/>
            <w:rFonts w:ascii="Arial" w:hAnsi="Arial" w:cs="Arial"/>
            <w:color w:val="016574"/>
            <w:sz w:val="32"/>
            <w:szCs w:val="32"/>
          </w:rPr>
          <w:t>equalities@sepa.org.uk</w:t>
        </w:r>
      </w:hyperlink>
      <w:r w:rsidR="00676698">
        <w:t>.</w:t>
      </w:r>
    </w:p>
    <w:p w14:paraId="62B67A4B" w14:textId="77777777" w:rsidR="00EA08B1" w:rsidRPr="00F349EA" w:rsidRDefault="00EA08B1" w:rsidP="00EA08B1">
      <w:pPr>
        <w:spacing w:line="240" w:lineRule="auto"/>
        <w:rPr>
          <w:rFonts w:ascii="Arial" w:hAnsi="Arial" w:cs="Arial"/>
          <w:color w:val="016574"/>
        </w:rPr>
      </w:pPr>
      <w:r w:rsidRPr="00F349EA">
        <w:rPr>
          <w:rFonts w:ascii="Arial" w:hAnsi="Arial" w:cs="Arial"/>
          <w:color w:val="016574"/>
        </w:rPr>
        <w:br w:type="page"/>
      </w:r>
    </w:p>
    <w:p w14:paraId="457E8C41" w14:textId="77777777" w:rsidR="00613850" w:rsidRPr="00F349EA" w:rsidRDefault="00613850" w:rsidP="004222B2">
      <w:pPr>
        <w:spacing w:line="240" w:lineRule="auto"/>
        <w:rPr>
          <w:color w:val="6E7571" w:themeColor="text2"/>
        </w:rPr>
      </w:pPr>
    </w:p>
    <w:p w14:paraId="374D95D2" w14:textId="06C90F0A" w:rsidR="00180554" w:rsidRPr="00F349EA" w:rsidRDefault="00FA7B5C" w:rsidP="000E7600">
      <w:pPr>
        <w:pStyle w:val="Heading1"/>
        <w:spacing w:after="240" w:line="240" w:lineRule="auto"/>
        <w:rPr>
          <w:sz w:val="48"/>
          <w:szCs w:val="48"/>
        </w:rPr>
      </w:pPr>
      <w:bookmarkStart w:id="7" w:name="_Toc1156487655"/>
      <w:r w:rsidRPr="68A9B764">
        <w:rPr>
          <w:sz w:val="48"/>
          <w:szCs w:val="48"/>
        </w:rPr>
        <w:t xml:space="preserve">1. </w:t>
      </w:r>
      <w:r>
        <w:tab/>
      </w:r>
      <w:r w:rsidR="00180554" w:rsidRPr="68A9B764">
        <w:rPr>
          <w:sz w:val="48"/>
          <w:szCs w:val="48"/>
        </w:rPr>
        <w:t xml:space="preserve">Executive </w:t>
      </w:r>
      <w:r w:rsidR="00150CAA" w:rsidRPr="68A9B764">
        <w:rPr>
          <w:sz w:val="48"/>
          <w:szCs w:val="48"/>
        </w:rPr>
        <w:t>S</w:t>
      </w:r>
      <w:r w:rsidR="00180554" w:rsidRPr="68A9B764">
        <w:rPr>
          <w:sz w:val="48"/>
          <w:szCs w:val="48"/>
        </w:rPr>
        <w:t>ummary</w:t>
      </w:r>
      <w:bookmarkEnd w:id="7"/>
    </w:p>
    <w:p w14:paraId="7F02B9EB" w14:textId="218D7F27" w:rsidR="00654198" w:rsidRPr="00F349EA" w:rsidRDefault="00DE25CA" w:rsidP="00BF3A1F">
      <w:pPr>
        <w:pStyle w:val="BodyText1"/>
        <w:spacing w:after="240"/>
      </w:pPr>
      <w:r w:rsidRPr="00F349EA">
        <w:t>This year</w:t>
      </w:r>
      <w:r w:rsidR="00AC3FAE" w:rsidRPr="00F349EA">
        <w:t>’</w:t>
      </w:r>
      <w:r w:rsidRPr="00F349EA">
        <w:t xml:space="preserve">s </w:t>
      </w:r>
      <w:hyperlink r:id="rId14" w:history="1">
        <w:r w:rsidR="00E35CEC" w:rsidRPr="00F349EA">
          <w:rPr>
            <w:rStyle w:val="Hyperlink"/>
          </w:rPr>
          <w:t>Annual Operating Plan</w:t>
        </w:r>
      </w:hyperlink>
      <w:r w:rsidR="00E35CEC" w:rsidRPr="00F349EA">
        <w:t xml:space="preserve"> </w:t>
      </w:r>
      <w:r w:rsidR="008C2DE5" w:rsidRPr="00F349EA">
        <w:t xml:space="preserve">includes </w:t>
      </w:r>
      <w:r w:rsidR="00636238" w:rsidRPr="00F349EA">
        <w:t xml:space="preserve">a suite of </w:t>
      </w:r>
      <w:r w:rsidR="00654198" w:rsidRPr="00F349EA">
        <w:t>performance measures aligned to our corporate plan priorities</w:t>
      </w:r>
      <w:r w:rsidR="003E4F29" w:rsidRPr="00F349EA">
        <w:t>. These</w:t>
      </w:r>
      <w:r w:rsidR="00A97E3C" w:rsidRPr="00F349EA">
        <w:t xml:space="preserve"> aim to</w:t>
      </w:r>
      <w:r w:rsidR="00654198" w:rsidRPr="00F349EA">
        <w:t xml:space="preserve"> measure how we are fulfilling our long-term mission of protecting Scotland’s environment and communities, as well as how we are performing as an organisation overall. </w:t>
      </w:r>
      <w:r w:rsidR="00A97E3C" w:rsidRPr="00F349EA">
        <w:t>Our measures</w:t>
      </w:r>
      <w:r w:rsidR="00654198" w:rsidRPr="00F349EA">
        <w:t xml:space="preserve"> include:</w:t>
      </w:r>
    </w:p>
    <w:p w14:paraId="57A1ECD9" w14:textId="0E412362" w:rsidR="00654198" w:rsidRPr="00F349EA" w:rsidRDefault="00654198" w:rsidP="00654198">
      <w:pPr>
        <w:pStyle w:val="BodyText1"/>
        <w:numPr>
          <w:ilvl w:val="0"/>
          <w:numId w:val="18"/>
        </w:numPr>
        <w:spacing w:after="240"/>
      </w:pPr>
      <w:r w:rsidRPr="00F349EA">
        <w:t>Annual objectives and key results (OKRs) which set out our clear, short-term areas of focus for us to target ambitious, measurable change and impact.</w:t>
      </w:r>
    </w:p>
    <w:p w14:paraId="65424677" w14:textId="1BD76751" w:rsidR="00636238" w:rsidRPr="00F349EA" w:rsidRDefault="00911D8F">
      <w:pPr>
        <w:pStyle w:val="BodyText1"/>
        <w:numPr>
          <w:ilvl w:val="0"/>
          <w:numId w:val="18"/>
        </w:numPr>
        <w:spacing w:after="240"/>
      </w:pPr>
      <w:r w:rsidRPr="00F349EA">
        <w:t>S</w:t>
      </w:r>
      <w:r w:rsidR="00636238" w:rsidRPr="00F349EA">
        <w:t>trategic and operational key performance indicators (KPIs)</w:t>
      </w:r>
      <w:r w:rsidR="00534AC2" w:rsidRPr="00F349EA">
        <w:t xml:space="preserve"> which provide </w:t>
      </w:r>
      <w:r w:rsidR="00CB10FC" w:rsidRPr="00F349EA">
        <w:t>a continuous view of our performance. </w:t>
      </w:r>
    </w:p>
    <w:p w14:paraId="3D09B9FC" w14:textId="6750BE1C" w:rsidR="006B0AB5" w:rsidRPr="00F349EA" w:rsidRDefault="008C2DE5" w:rsidP="001207F5">
      <w:pPr>
        <w:spacing w:before="160" w:after="240"/>
        <w:rPr>
          <w:rFonts w:ascii="Arial" w:hAnsi="Arial" w:cs="Arial"/>
        </w:rPr>
      </w:pPr>
      <w:r w:rsidRPr="00F349EA">
        <w:t xml:space="preserve">Each quarter </w:t>
      </w:r>
      <w:r w:rsidR="0063584A" w:rsidRPr="00F349EA">
        <w:t xml:space="preserve">we produce a report to </w:t>
      </w:r>
      <w:r w:rsidR="006B0AB5" w:rsidRPr="00F349EA">
        <w:t xml:space="preserve">explain how we are progressing with </w:t>
      </w:r>
      <w:r w:rsidR="00534AC2" w:rsidRPr="00F349EA">
        <w:t>our</w:t>
      </w:r>
      <w:r w:rsidR="006B0AB5" w:rsidRPr="00F349EA">
        <w:t xml:space="preserve"> measures.  </w:t>
      </w:r>
      <w:r w:rsidR="006B0AB5" w:rsidRPr="00F349EA">
        <w:rPr>
          <w:rFonts w:ascii="Arial" w:hAnsi="Arial" w:cs="Arial"/>
        </w:rPr>
        <w:t xml:space="preserve">This is the </w:t>
      </w:r>
      <w:r w:rsidR="005000EE" w:rsidRPr="00F349EA">
        <w:rPr>
          <w:rFonts w:ascii="Arial" w:hAnsi="Arial" w:cs="Arial"/>
        </w:rPr>
        <w:t>second</w:t>
      </w:r>
      <w:r w:rsidR="006B0AB5" w:rsidRPr="00F349EA">
        <w:rPr>
          <w:rFonts w:ascii="Arial" w:hAnsi="Arial" w:cs="Arial"/>
        </w:rPr>
        <w:t xml:space="preserve"> quarterly report</w:t>
      </w:r>
      <w:r w:rsidR="00756EE8" w:rsidRPr="00F349EA">
        <w:rPr>
          <w:rFonts w:ascii="Arial" w:hAnsi="Arial" w:cs="Arial"/>
        </w:rPr>
        <w:t xml:space="preserve"> covering the period </w:t>
      </w:r>
      <w:r w:rsidR="005000EE" w:rsidRPr="00F349EA">
        <w:rPr>
          <w:rFonts w:ascii="Arial" w:hAnsi="Arial" w:cs="Arial"/>
        </w:rPr>
        <w:t>July</w:t>
      </w:r>
      <w:r w:rsidR="00F9018D" w:rsidRPr="00F349EA">
        <w:rPr>
          <w:rFonts w:ascii="Arial" w:hAnsi="Arial" w:cs="Arial"/>
        </w:rPr>
        <w:t xml:space="preserve"> 2025 to </w:t>
      </w:r>
      <w:r w:rsidR="000447DB" w:rsidRPr="00F349EA">
        <w:rPr>
          <w:rFonts w:ascii="Arial" w:hAnsi="Arial" w:cs="Arial"/>
        </w:rPr>
        <w:t>September</w:t>
      </w:r>
      <w:r w:rsidR="00F9018D" w:rsidRPr="00F349EA">
        <w:rPr>
          <w:rFonts w:ascii="Arial" w:hAnsi="Arial" w:cs="Arial"/>
        </w:rPr>
        <w:t xml:space="preserve"> 2025</w:t>
      </w:r>
      <w:r w:rsidR="006B0AB5" w:rsidRPr="00F349EA">
        <w:rPr>
          <w:rFonts w:ascii="Arial" w:hAnsi="Arial" w:cs="Arial"/>
        </w:rPr>
        <w:t xml:space="preserve">. </w:t>
      </w:r>
    </w:p>
    <w:p w14:paraId="2268E5F7" w14:textId="4D43AEF6" w:rsidR="002B65CA" w:rsidRPr="00480E2E" w:rsidRDefault="00F408A2" w:rsidP="00480E2E">
      <w:pPr>
        <w:pStyle w:val="Heading2"/>
        <w:spacing w:before="120" w:after="120"/>
        <w:ind w:left="720" w:hanging="720"/>
      </w:pPr>
      <w:bookmarkStart w:id="8" w:name="_Toc908176002"/>
      <w:r>
        <w:t>Key highlights</w:t>
      </w:r>
      <w:bookmarkEnd w:id="8"/>
      <w:r>
        <w:t xml:space="preserve"> </w:t>
      </w:r>
    </w:p>
    <w:p w14:paraId="1E1E6BDB" w14:textId="77777777" w:rsidR="000D61F7" w:rsidRDefault="0087113E" w:rsidP="001207F5">
      <w:pPr>
        <w:spacing w:before="160" w:after="240"/>
        <w:rPr>
          <w:rFonts w:ascii="Arial" w:hAnsi="Arial" w:cs="Arial"/>
          <w:b/>
          <w:bCs/>
        </w:rPr>
      </w:pPr>
      <w:r w:rsidRPr="00F349EA">
        <w:rPr>
          <w:rFonts w:ascii="Arial" w:hAnsi="Arial" w:cs="Arial"/>
          <w:b/>
          <w:bCs/>
        </w:rPr>
        <w:t xml:space="preserve">Net zero </w:t>
      </w:r>
    </w:p>
    <w:p w14:paraId="0C499883" w14:textId="074A3F21" w:rsidR="0087113E" w:rsidRPr="000D61F7" w:rsidRDefault="00B50067" w:rsidP="000D61F7">
      <w:pPr>
        <w:pStyle w:val="paragraph"/>
        <w:numPr>
          <w:ilvl w:val="0"/>
          <w:numId w:val="41"/>
        </w:numPr>
        <w:spacing w:after="240" w:afterAutospacing="0" w:line="360" w:lineRule="auto"/>
        <w:textAlignment w:val="baseline"/>
      </w:pPr>
      <w:r w:rsidRPr="000D61F7">
        <w:t>We received 100% of requested energy efficiency data from energy intensive sites.</w:t>
      </w:r>
    </w:p>
    <w:p w14:paraId="4ED15EFE" w14:textId="77777777" w:rsidR="0037364D" w:rsidRPr="00081FD2" w:rsidRDefault="0037364D" w:rsidP="0037364D">
      <w:pPr>
        <w:pStyle w:val="paragraph"/>
        <w:numPr>
          <w:ilvl w:val="0"/>
          <w:numId w:val="41"/>
        </w:numPr>
        <w:spacing w:after="240" w:afterAutospacing="0" w:line="360" w:lineRule="auto"/>
        <w:textAlignment w:val="baseline"/>
      </w:pPr>
      <w:r w:rsidRPr="00081FD2">
        <w:t>Greenhouse gas emissions from all SEPA-regulated industrial facilities fell by 3.85% (</w:t>
      </w:r>
      <w:r w:rsidRPr="0026419D">
        <w:t xml:space="preserve">0.37 </w:t>
      </w:r>
      <w:proofErr w:type="spellStart"/>
      <w:r w:rsidRPr="0026419D">
        <w:t>megatonnes</w:t>
      </w:r>
      <w:proofErr w:type="spellEnd"/>
      <w:r w:rsidRPr="0026419D">
        <w:t xml:space="preserve"> carbon dioxide equivalent) (CO</w:t>
      </w:r>
      <w:r w:rsidRPr="00081FD2">
        <w:t>2</w:t>
      </w:r>
      <w:r w:rsidRPr="0026419D">
        <w:t xml:space="preserve">e), </w:t>
      </w:r>
      <w:r w:rsidRPr="00081FD2">
        <w:t>compared with 2023. This is continuing a long-term downward trend overall since 2007. The reduction is the equivalent of taking around 210,000 petrol cars off the road for a year.</w:t>
      </w:r>
    </w:p>
    <w:p w14:paraId="372D4A58" w14:textId="444B2B48" w:rsidR="003A7B76" w:rsidRPr="000D61F7" w:rsidRDefault="003A7B76" w:rsidP="000D61F7">
      <w:pPr>
        <w:pStyle w:val="paragraph"/>
        <w:numPr>
          <w:ilvl w:val="0"/>
          <w:numId w:val="41"/>
        </w:numPr>
        <w:spacing w:after="240" w:afterAutospacing="0" w:line="360" w:lineRule="auto"/>
        <w:textAlignment w:val="baseline"/>
      </w:pPr>
      <w:r w:rsidRPr="000D61F7">
        <w:t xml:space="preserve">We launched the Climate </w:t>
      </w:r>
      <w:r w:rsidR="00920D9F">
        <w:t>C</w:t>
      </w:r>
      <w:r w:rsidRPr="000D61F7">
        <w:t xml:space="preserve">hange </w:t>
      </w:r>
      <w:r w:rsidR="00920D9F">
        <w:t>I</w:t>
      </w:r>
      <w:r w:rsidRPr="000D61F7">
        <w:t xml:space="preserve">mpact </w:t>
      </w:r>
      <w:r w:rsidR="00920D9F">
        <w:t>A</w:t>
      </w:r>
      <w:r w:rsidRPr="000D61F7">
        <w:t xml:space="preserve">ssessment (CCIA) on time, a milestone due in Q2. This will be used to ensure climate impacts have been considered in relation to all strategic leadership decisions and regulated procurements. </w:t>
      </w:r>
    </w:p>
    <w:p w14:paraId="0B5DB59A" w14:textId="402B8890" w:rsidR="00081FD2" w:rsidRPr="00081FD2" w:rsidRDefault="00081FD2" w:rsidP="00081FD2">
      <w:pPr>
        <w:pStyle w:val="paragraph"/>
        <w:numPr>
          <w:ilvl w:val="0"/>
          <w:numId w:val="41"/>
        </w:numPr>
        <w:spacing w:after="240" w:afterAutospacing="0" w:line="360" w:lineRule="auto"/>
        <w:textAlignment w:val="baseline"/>
      </w:pPr>
      <w:r>
        <w:t xml:space="preserve">Our </w:t>
      </w:r>
      <w:r w:rsidRPr="00081FD2">
        <w:t xml:space="preserve">emissions from workspaces are down by 21% and from travel (excluding </w:t>
      </w:r>
      <w:r>
        <w:t>the Sir John Murray</w:t>
      </w:r>
      <w:r w:rsidRPr="00081FD2">
        <w:t xml:space="preserve">) are down by 11% against Q1 in our baseline year.  </w:t>
      </w:r>
      <w:r w:rsidR="005A51B5" w:rsidRPr="005A51B5">
        <w:t>We</w:t>
      </w:r>
      <w:r w:rsidR="003C46E9">
        <w:t xml:space="preserve"> also</w:t>
      </w:r>
      <w:r w:rsidR="005A51B5" w:rsidRPr="005A51B5">
        <w:t xml:space="preserve"> received delivery of </w:t>
      </w:r>
      <w:r w:rsidR="0081215E">
        <w:t xml:space="preserve">an </w:t>
      </w:r>
      <w:r w:rsidR="005A51B5" w:rsidRPr="005A51B5">
        <w:t xml:space="preserve">additional </w:t>
      </w:r>
      <w:r w:rsidR="0081215E">
        <w:t>electric vehicle (EV)</w:t>
      </w:r>
      <w:r w:rsidR="005A51B5" w:rsidRPr="005A51B5">
        <w:t xml:space="preserve"> in July 2025, bringing the total number of EVs in the </w:t>
      </w:r>
      <w:r w:rsidR="005A51B5">
        <w:t xml:space="preserve">SEPA owned or leased </w:t>
      </w:r>
      <w:r w:rsidR="005A51B5" w:rsidRPr="005A51B5">
        <w:t>fleet to 26.</w:t>
      </w:r>
    </w:p>
    <w:p w14:paraId="00EDD084" w14:textId="77777777" w:rsidR="0002403A" w:rsidRPr="0026419D" w:rsidRDefault="0002403A" w:rsidP="0002403A">
      <w:pPr>
        <w:spacing w:line="276" w:lineRule="auto"/>
        <w:textAlignment w:val="baseline"/>
        <w:rPr>
          <w:rFonts w:ascii="Arial" w:eastAsia="Times New Roman" w:hAnsi="Arial" w:cs="Arial"/>
          <w:lang w:eastAsia="en-GB"/>
        </w:rPr>
      </w:pPr>
    </w:p>
    <w:p w14:paraId="6E127FCF" w14:textId="77777777" w:rsidR="00A01FD2" w:rsidRPr="00F349EA" w:rsidRDefault="00E41F0C" w:rsidP="001207F5">
      <w:pPr>
        <w:spacing w:before="160" w:after="240"/>
        <w:rPr>
          <w:rFonts w:ascii="Arial" w:hAnsi="Arial" w:cs="Arial"/>
          <w:b/>
          <w:bCs/>
        </w:rPr>
      </w:pPr>
      <w:r w:rsidRPr="00F349EA">
        <w:rPr>
          <w:rFonts w:ascii="Arial" w:hAnsi="Arial" w:cs="Arial"/>
          <w:b/>
          <w:bCs/>
        </w:rPr>
        <w:lastRenderedPageBreak/>
        <w:t xml:space="preserve">Climate resilience </w:t>
      </w:r>
    </w:p>
    <w:p w14:paraId="58173321" w14:textId="57D0E115" w:rsidR="003E654C" w:rsidRPr="000D61F7" w:rsidRDefault="003E654C" w:rsidP="000D61F7">
      <w:pPr>
        <w:pStyle w:val="paragraph"/>
        <w:numPr>
          <w:ilvl w:val="0"/>
          <w:numId w:val="41"/>
        </w:numPr>
        <w:spacing w:after="240" w:afterAutospacing="0" w:line="360" w:lineRule="auto"/>
        <w:textAlignment w:val="baseline"/>
      </w:pPr>
      <w:r w:rsidRPr="000D61F7">
        <w:t>We</w:t>
      </w:r>
      <w:r w:rsidR="000D6DCF">
        <w:t xml:space="preserve"> have</w:t>
      </w:r>
      <w:r w:rsidRPr="000D61F7">
        <w:t xml:space="preserve"> completed the risk assessment database build to produce statistical output for the </w:t>
      </w:r>
      <w:r w:rsidR="00CB7661">
        <w:t>N</w:t>
      </w:r>
      <w:r w:rsidRPr="000D61F7">
        <w:t xml:space="preserve">ational </w:t>
      </w:r>
      <w:r w:rsidR="00CB7661">
        <w:t>F</w:t>
      </w:r>
      <w:r w:rsidRPr="000D61F7">
        <w:t xml:space="preserve">lood </w:t>
      </w:r>
      <w:r w:rsidR="00CB7661">
        <w:t>R</w:t>
      </w:r>
      <w:r w:rsidRPr="000D61F7">
        <w:t xml:space="preserve">isk </w:t>
      </w:r>
      <w:r w:rsidR="00CB7661">
        <w:t>A</w:t>
      </w:r>
      <w:r w:rsidRPr="000D61F7">
        <w:t>ssessment</w:t>
      </w:r>
      <w:r w:rsidR="00787656">
        <w:t>.</w:t>
      </w:r>
      <w:r w:rsidRPr="000D61F7">
        <w:t xml:space="preserve"> </w:t>
      </w:r>
    </w:p>
    <w:p w14:paraId="6D3E99B4" w14:textId="3EBCB7E7" w:rsidR="003E654C" w:rsidRPr="000D61F7" w:rsidRDefault="0095506F" w:rsidP="000D61F7">
      <w:pPr>
        <w:pStyle w:val="paragraph"/>
        <w:numPr>
          <w:ilvl w:val="0"/>
          <w:numId w:val="41"/>
        </w:numPr>
        <w:spacing w:after="240" w:afterAutospacing="0" w:line="360" w:lineRule="auto"/>
        <w:textAlignment w:val="baseline"/>
      </w:pPr>
      <w:r w:rsidRPr="000D61F7">
        <w:t>We responded to 9</w:t>
      </w:r>
      <w:r w:rsidR="00746789" w:rsidRPr="000D61F7">
        <w:t>6</w:t>
      </w:r>
      <w:r w:rsidRPr="000D61F7">
        <w:t>% of planning consultations within time</w:t>
      </w:r>
      <w:r w:rsidR="002701A2" w:rsidRPr="000D61F7">
        <w:t xml:space="preserve">, against an 80% target. </w:t>
      </w:r>
    </w:p>
    <w:p w14:paraId="12511BAE" w14:textId="04042539" w:rsidR="00682469" w:rsidRPr="00F349EA" w:rsidRDefault="00682469" w:rsidP="003A7B76">
      <w:pPr>
        <w:spacing w:before="160" w:after="240"/>
        <w:rPr>
          <w:rFonts w:ascii="Arial" w:hAnsi="Arial" w:cs="Arial"/>
          <w:b/>
          <w:bCs/>
        </w:rPr>
      </w:pPr>
      <w:r w:rsidRPr="00F349EA">
        <w:rPr>
          <w:rFonts w:ascii="Arial" w:hAnsi="Arial" w:cs="Arial"/>
          <w:b/>
          <w:bCs/>
        </w:rPr>
        <w:t>Resource Efficiency</w:t>
      </w:r>
    </w:p>
    <w:p w14:paraId="2021BF6A" w14:textId="5122D4D9" w:rsidR="00682469" w:rsidRPr="000D61F7" w:rsidRDefault="00682469" w:rsidP="000D61F7">
      <w:pPr>
        <w:pStyle w:val="paragraph"/>
        <w:numPr>
          <w:ilvl w:val="0"/>
          <w:numId w:val="41"/>
        </w:numPr>
        <w:spacing w:after="240" w:afterAutospacing="0" w:line="360" w:lineRule="auto"/>
        <w:textAlignment w:val="baseline"/>
      </w:pPr>
      <w:r w:rsidRPr="000D61F7">
        <w:t>We launched our baseline survey of Scotland’s businesses to assess awareness of the UK digital waste tracking service</w:t>
      </w:r>
      <w:r w:rsidR="00285953">
        <w:t>.</w:t>
      </w:r>
      <w:r w:rsidRPr="000D61F7">
        <w:t xml:space="preserve"> </w:t>
      </w:r>
    </w:p>
    <w:p w14:paraId="77A1377D" w14:textId="4C9F8E45" w:rsidR="003E654C" w:rsidRPr="00F349EA" w:rsidRDefault="00E41F0C" w:rsidP="003A7B76">
      <w:pPr>
        <w:spacing w:before="160" w:after="240"/>
        <w:rPr>
          <w:rFonts w:ascii="Arial" w:hAnsi="Arial" w:cs="Arial"/>
          <w:b/>
          <w:bCs/>
        </w:rPr>
      </w:pPr>
      <w:r w:rsidRPr="00F349EA">
        <w:rPr>
          <w:rFonts w:ascii="Arial" w:hAnsi="Arial" w:cs="Arial"/>
          <w:b/>
          <w:bCs/>
        </w:rPr>
        <w:t xml:space="preserve">Business </w:t>
      </w:r>
      <w:r w:rsidR="003E654C" w:rsidRPr="00F349EA">
        <w:rPr>
          <w:rFonts w:ascii="Arial" w:hAnsi="Arial" w:cs="Arial"/>
          <w:b/>
          <w:bCs/>
        </w:rPr>
        <w:t>E</w:t>
      </w:r>
      <w:r w:rsidRPr="00F349EA">
        <w:rPr>
          <w:rFonts w:ascii="Arial" w:hAnsi="Arial" w:cs="Arial"/>
          <w:b/>
          <w:bCs/>
        </w:rPr>
        <w:t xml:space="preserve">nvironmental </w:t>
      </w:r>
      <w:r w:rsidR="003E654C" w:rsidRPr="00F349EA">
        <w:rPr>
          <w:rFonts w:ascii="Arial" w:hAnsi="Arial" w:cs="Arial"/>
          <w:b/>
          <w:bCs/>
        </w:rPr>
        <w:t>P</w:t>
      </w:r>
      <w:r w:rsidRPr="00F349EA">
        <w:rPr>
          <w:rFonts w:ascii="Arial" w:hAnsi="Arial" w:cs="Arial"/>
          <w:b/>
          <w:bCs/>
        </w:rPr>
        <w:t>erformance</w:t>
      </w:r>
    </w:p>
    <w:p w14:paraId="1BB61FBD" w14:textId="749ACD96" w:rsidR="00AC4A27" w:rsidRPr="00F349EA" w:rsidRDefault="00157F5E" w:rsidP="00AC4A27">
      <w:pPr>
        <w:pStyle w:val="paragraph"/>
        <w:numPr>
          <w:ilvl w:val="0"/>
          <w:numId w:val="41"/>
        </w:numPr>
        <w:spacing w:after="240" w:afterAutospacing="0" w:line="360" w:lineRule="auto"/>
        <w:textAlignment w:val="baseline"/>
        <w:rPr>
          <w:rFonts w:cstheme="minorHAnsi"/>
          <w:color w:val="000000"/>
        </w:rPr>
      </w:pPr>
      <w:r>
        <w:t>We</w:t>
      </w:r>
      <w:r w:rsidR="00AC4A27" w:rsidRPr="00F349EA">
        <w:rPr>
          <w:rFonts w:cstheme="minorHAnsi"/>
          <w:bCs/>
          <w:color w:val="000000"/>
        </w:rPr>
        <w:t xml:space="preserve"> successfully completed</w:t>
      </w:r>
      <w:r w:rsidR="00AC4A27" w:rsidRPr="00F349EA">
        <w:rPr>
          <w:rFonts w:cstheme="minorHAnsi"/>
          <w:color w:val="000000"/>
        </w:rPr>
        <w:t xml:space="preserve"> an interventions framework to enhance our existing SEPA toolkit and improve partnership working</w:t>
      </w:r>
      <w:r w:rsidR="001673F0">
        <w:rPr>
          <w:rFonts w:cstheme="minorHAnsi"/>
          <w:color w:val="000000"/>
        </w:rPr>
        <w:t>.</w:t>
      </w:r>
    </w:p>
    <w:p w14:paraId="0C1C9AD3" w14:textId="5AFC95B3" w:rsidR="00AC4A27" w:rsidRPr="00F349EA" w:rsidRDefault="00DD651D" w:rsidP="00AC4A27">
      <w:pPr>
        <w:pStyle w:val="paragraph"/>
        <w:numPr>
          <w:ilvl w:val="0"/>
          <w:numId w:val="41"/>
        </w:numPr>
        <w:spacing w:after="240" w:afterAutospacing="0" w:line="360" w:lineRule="auto"/>
        <w:textAlignment w:val="baseline"/>
        <w:rPr>
          <w:color w:val="000000"/>
        </w:rPr>
      </w:pPr>
      <w:r w:rsidRPr="0BA11846">
        <w:rPr>
          <w:rFonts w:eastAsia="Times New Roman"/>
        </w:rPr>
        <w:t xml:space="preserve">We achieved </w:t>
      </w:r>
      <w:r w:rsidR="00A92A4F" w:rsidRPr="0BA11846">
        <w:rPr>
          <w:rFonts w:eastAsia="Times New Roman"/>
        </w:rPr>
        <w:t>our targets to reduce</w:t>
      </w:r>
      <w:r w:rsidRPr="0BA11846">
        <w:rPr>
          <w:rFonts w:eastAsia="Times New Roman"/>
        </w:rPr>
        <w:t xml:space="preserve"> the overall environmental risk score of identified illegal activities</w:t>
      </w:r>
      <w:r w:rsidR="00BC3498" w:rsidRPr="0BA11846">
        <w:rPr>
          <w:rFonts w:eastAsia="Times New Roman"/>
        </w:rPr>
        <w:t>, including high risk sites</w:t>
      </w:r>
      <w:r w:rsidR="00CB7661" w:rsidRPr="0BA11846">
        <w:rPr>
          <w:rFonts w:eastAsia="Times New Roman"/>
        </w:rPr>
        <w:t>,</w:t>
      </w:r>
      <w:r w:rsidR="00A92A4F" w:rsidRPr="0BA11846">
        <w:rPr>
          <w:rFonts w:eastAsia="Times New Roman"/>
        </w:rPr>
        <w:t xml:space="preserve"> </w:t>
      </w:r>
      <w:r w:rsidR="00AC4A27" w:rsidRPr="00F349EA">
        <w:rPr>
          <w:rFonts w:ascii="Arial" w:eastAsia="Times New Roman" w:hAnsi="Arial" w:cs="Arial"/>
        </w:rPr>
        <w:t xml:space="preserve">significantly earlier than planned - by Q2 instead of Q4. </w:t>
      </w:r>
      <w:bookmarkStart w:id="9" w:name="_Int_F0TkwZId"/>
      <w:r w:rsidR="00AC4A27" w:rsidRPr="00F349EA">
        <w:rPr>
          <w:rFonts w:ascii="Arial" w:eastAsia="Times New Roman" w:hAnsi="Arial" w:cs="Arial"/>
        </w:rPr>
        <w:t>In light of</w:t>
      </w:r>
      <w:bookmarkEnd w:id="9"/>
      <w:r w:rsidR="00AC4A27" w:rsidRPr="00F349EA">
        <w:rPr>
          <w:rFonts w:ascii="Arial" w:eastAsia="Times New Roman" w:hAnsi="Arial" w:cs="Arial"/>
        </w:rPr>
        <w:t xml:space="preserve"> this progress, new stretch targets will be introduced </w:t>
      </w:r>
      <w:r w:rsidR="008B0AFF">
        <w:rPr>
          <w:rFonts w:ascii="Arial" w:eastAsia="Times New Roman" w:hAnsi="Arial" w:cs="Arial"/>
        </w:rPr>
        <w:t xml:space="preserve">for Q3 onwards to </w:t>
      </w:r>
      <w:r w:rsidR="00AC4A27" w:rsidRPr="00F349EA">
        <w:rPr>
          <w:rFonts w:ascii="Arial" w:eastAsia="Times New Roman" w:hAnsi="Arial" w:cs="Arial"/>
        </w:rPr>
        <w:t>sustain momentum and drive further improvement.</w:t>
      </w:r>
    </w:p>
    <w:p w14:paraId="7A3D34F8" w14:textId="77777777" w:rsidR="001207F5" w:rsidRPr="00F349EA" w:rsidRDefault="0087113E" w:rsidP="003A7B76">
      <w:pPr>
        <w:pStyle w:val="paragraph"/>
        <w:spacing w:after="240" w:afterAutospacing="0" w:line="360" w:lineRule="auto"/>
        <w:textAlignment w:val="baseline"/>
        <w:rPr>
          <w:b/>
          <w:bCs/>
        </w:rPr>
      </w:pPr>
      <w:r w:rsidRPr="00F349EA">
        <w:rPr>
          <w:b/>
          <w:bCs/>
        </w:rPr>
        <w:t>Our organisation and transformation</w:t>
      </w:r>
    </w:p>
    <w:p w14:paraId="19423444" w14:textId="47217A77" w:rsidR="001E2612" w:rsidRPr="00897A79" w:rsidRDefault="001207F5" w:rsidP="00897A79">
      <w:pPr>
        <w:pStyle w:val="paragraph"/>
        <w:numPr>
          <w:ilvl w:val="0"/>
          <w:numId w:val="44"/>
        </w:numPr>
        <w:spacing w:after="240" w:afterAutospacing="0" w:line="360" w:lineRule="auto"/>
        <w:textAlignment w:val="baseline"/>
      </w:pPr>
      <w:r w:rsidRPr="00F349EA">
        <w:t>We achieved ou</w:t>
      </w:r>
      <w:r w:rsidR="00825565">
        <w:t>r</w:t>
      </w:r>
      <w:r w:rsidRPr="00F349EA">
        <w:t xml:space="preserve"> target of 50% of colleagues accessing leadership or personal development opportunities through e-learning, workshops and facilitated programmes, earlier than planned - Q2 instead of Q4.</w:t>
      </w:r>
    </w:p>
    <w:p w14:paraId="01699CC4" w14:textId="77777777" w:rsidR="00E27BDF" w:rsidRPr="00E27BDF" w:rsidRDefault="004302E4" w:rsidP="00897A79">
      <w:pPr>
        <w:pStyle w:val="paragraph"/>
        <w:numPr>
          <w:ilvl w:val="0"/>
          <w:numId w:val="44"/>
        </w:numPr>
        <w:spacing w:after="240" w:afterAutospacing="0" w:line="360" w:lineRule="auto"/>
        <w:textAlignment w:val="baseline"/>
      </w:pPr>
      <w:r>
        <w:rPr>
          <w:rFonts w:ascii="Arial" w:hAnsi="Arial" w:cs="Arial"/>
          <w:color w:val="000000"/>
        </w:rPr>
        <w:t>We are contin</w:t>
      </w:r>
      <w:r w:rsidR="00ED1592">
        <w:rPr>
          <w:rFonts w:ascii="Arial" w:hAnsi="Arial" w:cs="Arial"/>
          <w:color w:val="000000"/>
        </w:rPr>
        <w:t>uing to pay over</w:t>
      </w:r>
      <w:r w:rsidRPr="0026419D">
        <w:rPr>
          <w:rFonts w:ascii="Arial" w:hAnsi="Arial" w:cs="Arial"/>
          <w:color w:val="000000"/>
        </w:rPr>
        <w:t xml:space="preserve"> 90% of all supplier invoices within 10 working days.</w:t>
      </w:r>
    </w:p>
    <w:p w14:paraId="49CFF93F" w14:textId="4CFA43B4" w:rsidR="004302E4" w:rsidRPr="00835586" w:rsidRDefault="00E27BDF" w:rsidP="00897A79">
      <w:pPr>
        <w:pStyle w:val="paragraph"/>
        <w:numPr>
          <w:ilvl w:val="0"/>
          <w:numId w:val="44"/>
        </w:numPr>
        <w:spacing w:after="240" w:afterAutospacing="0" w:line="360" w:lineRule="auto"/>
        <w:textAlignment w:val="baseline"/>
      </w:pPr>
      <w:r w:rsidRPr="00E27BDF">
        <w:rPr>
          <w:rFonts w:ascii="Arial" w:hAnsi="Arial" w:cs="Arial"/>
          <w:color w:val="000000"/>
        </w:rPr>
        <w:t xml:space="preserve">Career role profiles have been fully </w:t>
      </w:r>
      <w:r w:rsidR="00AB2397" w:rsidRPr="00E27BDF">
        <w:rPr>
          <w:rFonts w:ascii="Arial" w:hAnsi="Arial" w:cs="Arial"/>
          <w:color w:val="000000"/>
        </w:rPr>
        <w:t>launched</w:t>
      </w:r>
      <w:r w:rsidR="00533EB5">
        <w:rPr>
          <w:rFonts w:ascii="Arial" w:hAnsi="Arial" w:cs="Arial"/>
          <w:color w:val="000000"/>
        </w:rPr>
        <w:t xml:space="preserve"> (</w:t>
      </w:r>
      <w:r w:rsidR="00533EB5" w:rsidRPr="000D61F7">
        <w:t>a milestone due in Q2</w:t>
      </w:r>
      <w:r w:rsidR="00533EB5">
        <w:t>)</w:t>
      </w:r>
      <w:r w:rsidR="00AB2397" w:rsidRPr="00E27BDF">
        <w:rPr>
          <w:rFonts w:ascii="Arial" w:hAnsi="Arial" w:cs="Arial"/>
          <w:color w:val="000000"/>
        </w:rPr>
        <w:t>,</w:t>
      </w:r>
      <w:r w:rsidRPr="00E27BDF">
        <w:rPr>
          <w:rFonts w:ascii="Arial" w:hAnsi="Arial" w:cs="Arial"/>
          <w:color w:val="000000"/>
        </w:rPr>
        <w:t xml:space="preserve"> and our new careers site is live. </w:t>
      </w:r>
      <w:r w:rsidR="008B423D">
        <w:rPr>
          <w:rFonts w:ascii="Arial" w:hAnsi="Arial" w:cs="Arial"/>
          <w:color w:val="000000"/>
        </w:rPr>
        <w:t xml:space="preserve">Progress continues to be made </w:t>
      </w:r>
      <w:r w:rsidR="006F46C6">
        <w:rPr>
          <w:rFonts w:ascii="Arial" w:hAnsi="Arial" w:cs="Arial"/>
          <w:color w:val="000000"/>
        </w:rPr>
        <w:t>on our</w:t>
      </w:r>
      <w:r w:rsidRPr="00E27BDF">
        <w:rPr>
          <w:rFonts w:ascii="Arial" w:hAnsi="Arial" w:cs="Arial"/>
          <w:color w:val="000000"/>
        </w:rPr>
        <w:t xml:space="preserve"> employer brand</w:t>
      </w:r>
      <w:r w:rsidR="00AB2397">
        <w:rPr>
          <w:rFonts w:ascii="Arial" w:hAnsi="Arial" w:cs="Arial"/>
          <w:color w:val="000000"/>
        </w:rPr>
        <w:t>,</w:t>
      </w:r>
      <w:r w:rsidRPr="00E27BDF">
        <w:rPr>
          <w:rFonts w:ascii="Arial" w:hAnsi="Arial" w:cs="Arial"/>
          <w:color w:val="000000"/>
        </w:rPr>
        <w:t xml:space="preserve"> integrat</w:t>
      </w:r>
      <w:r w:rsidR="00AB2397">
        <w:rPr>
          <w:rFonts w:ascii="Arial" w:hAnsi="Arial" w:cs="Arial"/>
          <w:color w:val="000000"/>
        </w:rPr>
        <w:t>ing</w:t>
      </w:r>
      <w:r w:rsidRPr="00E27BDF">
        <w:rPr>
          <w:rFonts w:ascii="Arial" w:hAnsi="Arial" w:cs="Arial"/>
          <w:color w:val="000000"/>
        </w:rPr>
        <w:t xml:space="preserve"> our </w:t>
      </w:r>
      <w:r w:rsidR="00AB2397">
        <w:rPr>
          <w:rFonts w:ascii="Arial" w:hAnsi="Arial" w:cs="Arial"/>
          <w:color w:val="000000"/>
        </w:rPr>
        <w:t>p</w:t>
      </w:r>
      <w:r w:rsidRPr="00E27BDF">
        <w:rPr>
          <w:rFonts w:ascii="Arial" w:hAnsi="Arial" w:cs="Arial"/>
          <w:color w:val="000000"/>
        </w:rPr>
        <w:t xml:space="preserve">assionately </w:t>
      </w:r>
      <w:r w:rsidR="00AB2397">
        <w:rPr>
          <w:rFonts w:ascii="Arial" w:hAnsi="Arial" w:cs="Arial"/>
          <w:color w:val="000000"/>
        </w:rPr>
        <w:t>p</w:t>
      </w:r>
      <w:r w:rsidRPr="00E27BDF">
        <w:rPr>
          <w:rFonts w:ascii="Arial" w:hAnsi="Arial" w:cs="Arial"/>
          <w:color w:val="000000"/>
        </w:rPr>
        <w:t xml:space="preserve">urposeful wording </w:t>
      </w:r>
      <w:r>
        <w:rPr>
          <w:rFonts w:ascii="Arial" w:hAnsi="Arial" w:cs="Arial"/>
          <w:color w:val="000000"/>
        </w:rPr>
        <w:t>i</w:t>
      </w:r>
      <w:r w:rsidRPr="00E27BDF">
        <w:rPr>
          <w:rFonts w:ascii="Arial" w:hAnsi="Arial" w:cs="Arial"/>
          <w:color w:val="000000"/>
        </w:rPr>
        <w:t>nto our online presence</w:t>
      </w:r>
      <w:r w:rsidR="00AB2397">
        <w:rPr>
          <w:rFonts w:ascii="Arial" w:hAnsi="Arial" w:cs="Arial"/>
          <w:color w:val="000000"/>
        </w:rPr>
        <w:t>.</w:t>
      </w:r>
    </w:p>
    <w:p w14:paraId="11849A3D" w14:textId="77777777" w:rsidR="00835586" w:rsidRDefault="00835586" w:rsidP="00835586">
      <w:pPr>
        <w:pStyle w:val="paragraph"/>
        <w:spacing w:after="240" w:afterAutospacing="0" w:line="360" w:lineRule="auto"/>
        <w:textAlignment w:val="baseline"/>
        <w:rPr>
          <w:rFonts w:ascii="Arial" w:hAnsi="Arial" w:cs="Arial"/>
          <w:color w:val="000000"/>
        </w:rPr>
      </w:pPr>
    </w:p>
    <w:p w14:paraId="40007F07" w14:textId="77777777" w:rsidR="00835586" w:rsidRPr="00897A79" w:rsidRDefault="00835586" w:rsidP="00835586">
      <w:pPr>
        <w:pStyle w:val="paragraph"/>
        <w:spacing w:after="240" w:afterAutospacing="0" w:line="360" w:lineRule="auto"/>
        <w:textAlignment w:val="baseline"/>
      </w:pPr>
    </w:p>
    <w:p w14:paraId="09AA83DD" w14:textId="04C51EFB" w:rsidR="001207F5" w:rsidRPr="00480E2E" w:rsidRDefault="001E2612" w:rsidP="00480E2E">
      <w:pPr>
        <w:pStyle w:val="Heading2"/>
        <w:spacing w:before="120" w:after="120"/>
        <w:ind w:left="720" w:hanging="720"/>
      </w:pPr>
      <w:bookmarkStart w:id="10" w:name="_Toc210206859"/>
      <w:r>
        <w:lastRenderedPageBreak/>
        <w:t>Exceptions and recovery</w:t>
      </w:r>
      <w:bookmarkEnd w:id="10"/>
    </w:p>
    <w:p w14:paraId="62AD53EC" w14:textId="1ED6B40D" w:rsidR="00AF508D" w:rsidRPr="00F349EA" w:rsidRDefault="00AF508D" w:rsidP="00AF508D">
      <w:pPr>
        <w:pStyle w:val="paragraph"/>
        <w:spacing w:after="240" w:afterAutospacing="0" w:line="360" w:lineRule="auto"/>
        <w:textAlignment w:val="baseline"/>
        <w:rPr>
          <w:b/>
          <w:bCs/>
        </w:rPr>
      </w:pPr>
      <w:r w:rsidRPr="00F349EA">
        <w:rPr>
          <w:b/>
          <w:bCs/>
        </w:rPr>
        <w:t>Net zero</w:t>
      </w:r>
    </w:p>
    <w:p w14:paraId="24ACB3BB" w14:textId="35EFE380" w:rsidR="00AF508D" w:rsidRPr="00F349EA" w:rsidRDefault="00AF508D" w:rsidP="00AF508D">
      <w:pPr>
        <w:pStyle w:val="paragraph"/>
        <w:numPr>
          <w:ilvl w:val="0"/>
          <w:numId w:val="44"/>
        </w:numPr>
        <w:spacing w:after="240" w:afterAutospacing="0" w:line="360" w:lineRule="auto"/>
        <w:textAlignment w:val="baseline"/>
      </w:pPr>
      <w:r w:rsidRPr="00F349EA">
        <w:t>Mileage of non-SEPA owned fleet vehicles has seen a 40% increase when comparing Q1 2024/25 to Q1 2025/26 data</w:t>
      </w:r>
      <w:r w:rsidR="006F607E">
        <w:t>. Therefore</w:t>
      </w:r>
      <w:r w:rsidR="001B06D9">
        <w:t>,</w:t>
      </w:r>
      <w:r w:rsidR="006F607E">
        <w:t xml:space="preserve"> </w:t>
      </w:r>
      <w:r w:rsidR="001B06D9">
        <w:t>we</w:t>
      </w:r>
      <w:r w:rsidR="006F607E">
        <w:t xml:space="preserve"> </w:t>
      </w:r>
      <w:r w:rsidR="00BF482F">
        <w:t xml:space="preserve">are </w:t>
      </w:r>
      <w:r w:rsidR="006F607E">
        <w:t>forecast</w:t>
      </w:r>
      <w:r w:rsidR="00BF482F">
        <w:t>ing</w:t>
      </w:r>
      <w:r w:rsidR="006F607E">
        <w:t xml:space="preserve"> </w:t>
      </w:r>
      <w:r w:rsidR="001B06D9">
        <w:t>that a</w:t>
      </w:r>
      <w:r w:rsidR="006F607E">
        <w:t xml:space="preserve"> </w:t>
      </w:r>
      <w:r w:rsidR="001B06D9">
        <w:t>reduction</w:t>
      </w:r>
      <w:r w:rsidR="006F607E">
        <w:t xml:space="preserve"> </w:t>
      </w:r>
      <w:r w:rsidR="001B06D9">
        <w:t xml:space="preserve">in </w:t>
      </w:r>
      <w:r w:rsidR="00B14321" w:rsidRPr="00B14321">
        <w:t>mileage of non-SEPA owned vehicles by 10%</w:t>
      </w:r>
      <w:r w:rsidR="001B06D9">
        <w:t xml:space="preserve"> will not be delivered</w:t>
      </w:r>
      <w:r w:rsidR="00121282">
        <w:t xml:space="preserve"> </w:t>
      </w:r>
      <w:r w:rsidR="0020301F">
        <w:t>in 2025/26</w:t>
      </w:r>
      <w:r w:rsidR="001B06D9">
        <w:t>.</w:t>
      </w:r>
      <w:r w:rsidR="00AC5C49" w:rsidRPr="00F349EA">
        <w:t xml:space="preserve"> </w:t>
      </w:r>
      <w:r w:rsidR="005E4E92" w:rsidRPr="00F349EA">
        <w:t>A c</w:t>
      </w:r>
      <w:r w:rsidRPr="00F349EA">
        <w:t xml:space="preserve">ross-organisation action plan </w:t>
      </w:r>
      <w:r w:rsidR="005E4E92" w:rsidRPr="00F349EA">
        <w:t xml:space="preserve">is </w:t>
      </w:r>
      <w:r w:rsidRPr="00F349EA">
        <w:t>being developed to address this</w:t>
      </w:r>
      <w:r w:rsidR="005E4E92" w:rsidRPr="00F349EA">
        <w:t>,</w:t>
      </w:r>
      <w:r w:rsidRPr="00F349EA">
        <w:t xml:space="preserve"> </w:t>
      </w:r>
      <w:r w:rsidR="00820DB1">
        <w:t xml:space="preserve">which </w:t>
      </w:r>
      <w:r w:rsidR="003E04DC">
        <w:t>includes</w:t>
      </w:r>
      <w:r w:rsidR="00C8600B">
        <w:t xml:space="preserve"> </w:t>
      </w:r>
      <w:r w:rsidR="00EE1B74">
        <w:t>p</w:t>
      </w:r>
      <w:r w:rsidRPr="00F349EA">
        <w:t>ortfolio/</w:t>
      </w:r>
      <w:r w:rsidR="000E3915">
        <w:t>t</w:t>
      </w:r>
      <w:r w:rsidRPr="00F349EA">
        <w:t>eam travel targets and fleet plans</w:t>
      </w:r>
      <w:r w:rsidR="005E4E92" w:rsidRPr="00F349EA">
        <w:t>,</w:t>
      </w:r>
      <w:r w:rsidRPr="00F349EA">
        <w:t xml:space="preserve"> </w:t>
      </w:r>
      <w:r w:rsidR="0065473F">
        <w:t xml:space="preserve">using newly introduced </w:t>
      </w:r>
      <w:r w:rsidR="009C4722">
        <w:t xml:space="preserve">telematics data to </w:t>
      </w:r>
      <w:r w:rsidR="0013110D">
        <w:t>more effectively</w:t>
      </w:r>
      <w:r w:rsidR="009C4722">
        <w:t xml:space="preserve"> locate</w:t>
      </w:r>
      <w:r w:rsidRPr="00F349EA">
        <w:t xml:space="preserve"> our fleet vehicles where needed</w:t>
      </w:r>
      <w:r w:rsidR="005E4E92" w:rsidRPr="00F349EA">
        <w:t>,</w:t>
      </w:r>
      <w:r w:rsidRPr="00F349EA">
        <w:t xml:space="preserve"> </w:t>
      </w:r>
      <w:r w:rsidR="0013110D">
        <w:t>emphasising expected</w:t>
      </w:r>
      <w:r w:rsidRPr="00F349EA">
        <w:t xml:space="preserve"> behaviours </w:t>
      </w:r>
      <w:r w:rsidR="0013110D">
        <w:t xml:space="preserve">through our </w:t>
      </w:r>
      <w:r w:rsidRPr="00F349EA">
        <w:t xml:space="preserve">travel hierarchy and </w:t>
      </w:r>
      <w:r w:rsidR="003A677E">
        <w:t xml:space="preserve">planning to review </w:t>
      </w:r>
      <w:r w:rsidR="00AE10E0">
        <w:t>p</w:t>
      </w:r>
      <w:r w:rsidRPr="00F349EA">
        <w:t xml:space="preserve">eople </w:t>
      </w:r>
      <w:r w:rsidR="00AE10E0">
        <w:t>p</w:t>
      </w:r>
      <w:r w:rsidRPr="00F349EA">
        <w:t>olic</w:t>
      </w:r>
      <w:r w:rsidR="003A677E">
        <w:t xml:space="preserve">ies </w:t>
      </w:r>
      <w:r w:rsidRPr="00F349EA">
        <w:t>later in 2026.</w:t>
      </w:r>
    </w:p>
    <w:p w14:paraId="59760010" w14:textId="72ADE2A0" w:rsidR="001E2612" w:rsidRPr="00F349EA" w:rsidRDefault="00AF508D" w:rsidP="00891C29">
      <w:pPr>
        <w:pStyle w:val="BodyText1"/>
        <w:spacing w:after="240"/>
        <w:jc w:val="both"/>
        <w:rPr>
          <w:b/>
          <w:bCs/>
        </w:rPr>
      </w:pPr>
      <w:r w:rsidRPr="00F349EA">
        <w:rPr>
          <w:b/>
          <w:bCs/>
        </w:rPr>
        <w:t>Water Environment</w:t>
      </w:r>
    </w:p>
    <w:p w14:paraId="445B5E35" w14:textId="1A048EE9" w:rsidR="00AC5C49" w:rsidRPr="00F349EA" w:rsidRDefault="00AC5C49" w:rsidP="00D94904">
      <w:pPr>
        <w:pStyle w:val="BodyText1"/>
        <w:numPr>
          <w:ilvl w:val="0"/>
          <w:numId w:val="44"/>
        </w:numPr>
        <w:spacing w:after="240"/>
        <w:rPr>
          <w:b/>
          <w:bCs/>
        </w:rPr>
      </w:pPr>
      <w:r>
        <w:t xml:space="preserve">There are risks around the delivery of the River Basin Management Plan (RBMP3) programme of actions to improve the water environment. These risks have been </w:t>
      </w:r>
      <w:r w:rsidR="1657A838">
        <w:t>highlighted</w:t>
      </w:r>
      <w:r>
        <w:t xml:space="preserve"> and delivery of RBMP3 targets has been discussed with the Corporate Leadership Team. Mitigation options are being considered</w:t>
      </w:r>
      <w:r w:rsidR="00C76E26">
        <w:t xml:space="preserve">. We are therefore forecasting partial delivery </w:t>
      </w:r>
      <w:r w:rsidR="00120A0E">
        <w:t>for Key Result</w:t>
      </w:r>
      <w:r w:rsidR="00981339">
        <w:t xml:space="preserve"> 5.3</w:t>
      </w:r>
      <w:r w:rsidR="00120A0E">
        <w:t xml:space="preserve"> -</w:t>
      </w:r>
      <w:r w:rsidR="00EA1614">
        <w:t xml:space="preserve"> 90% of our programme of actions for the water environment are delivered</w:t>
      </w:r>
      <w:r w:rsidR="00120A0E">
        <w:t>. We</w:t>
      </w:r>
      <w:r>
        <w:t xml:space="preserve"> are focusing on tracking progress across key stages in the RBMP3 programme for the remainder of 2025/26.</w:t>
      </w:r>
    </w:p>
    <w:p w14:paraId="7BBCFB01" w14:textId="6735F2BE" w:rsidR="00AF508D" w:rsidRPr="00F349EA" w:rsidRDefault="00AF508D" w:rsidP="00891C29">
      <w:pPr>
        <w:pStyle w:val="BodyText1"/>
        <w:spacing w:after="240"/>
        <w:jc w:val="both"/>
        <w:rPr>
          <w:b/>
          <w:bCs/>
        </w:rPr>
      </w:pPr>
      <w:r w:rsidRPr="00F349EA">
        <w:rPr>
          <w:b/>
          <w:bCs/>
        </w:rPr>
        <w:t>Resource Efficiency</w:t>
      </w:r>
    </w:p>
    <w:p w14:paraId="75A53F87" w14:textId="4CF322AC" w:rsidR="00AC5C49" w:rsidRPr="00D26580" w:rsidRDefault="00AC5C49" w:rsidP="00AC5C49">
      <w:pPr>
        <w:pStyle w:val="BodyText1"/>
        <w:numPr>
          <w:ilvl w:val="0"/>
          <w:numId w:val="44"/>
        </w:numPr>
        <w:spacing w:after="240"/>
        <w:jc w:val="both"/>
        <w:rPr>
          <w:b/>
          <w:bCs/>
        </w:rPr>
      </w:pPr>
      <w:r w:rsidRPr="00F349EA">
        <w:t xml:space="preserve">We are continuing to pursue key results in our preparations to support the 2026-2027 phase of the UK digital waste tracking service implementation by DEFRA and Scottish Government. This is an externally led, four-nations project run by DEFRA, and our confidence in delivery of this objective is influenced by the outcomes not entirely being within SEPA's control. </w:t>
      </w:r>
      <w:r w:rsidR="00FE1FDF">
        <w:t>We are forecasting partial delivery for</w:t>
      </w:r>
      <w:r w:rsidR="00D26580">
        <w:t xml:space="preserve"> the following key results:</w:t>
      </w:r>
    </w:p>
    <w:p w14:paraId="7D6DED7C" w14:textId="08877761" w:rsidR="00D26580" w:rsidRPr="00262CE2" w:rsidRDefault="002B3B29" w:rsidP="00D26580">
      <w:pPr>
        <w:pStyle w:val="BodyText1"/>
        <w:numPr>
          <w:ilvl w:val="1"/>
          <w:numId w:val="44"/>
        </w:numPr>
        <w:spacing w:after="240"/>
        <w:jc w:val="both"/>
      </w:pPr>
      <w:r w:rsidRPr="00262CE2">
        <w:t>50% of SEPA’s requirements are incorporated into the UK digital waste tracking service (by the DEFRA digital build team) and is ready for testing by SEPA users</w:t>
      </w:r>
      <w:r w:rsidR="001F0AAB">
        <w:t xml:space="preserve"> (KR</w:t>
      </w:r>
      <w:r w:rsidR="00C9799C">
        <w:t>7.2)</w:t>
      </w:r>
      <w:r w:rsidR="00755310">
        <w:t>.</w:t>
      </w:r>
    </w:p>
    <w:p w14:paraId="07B99E60" w14:textId="7F48E0D6" w:rsidR="002B3B29" w:rsidRPr="00262CE2" w:rsidRDefault="00262CE2" w:rsidP="00D26580">
      <w:pPr>
        <w:pStyle w:val="BodyText1"/>
        <w:numPr>
          <w:ilvl w:val="1"/>
          <w:numId w:val="44"/>
        </w:numPr>
        <w:spacing w:after="240"/>
        <w:jc w:val="both"/>
      </w:pPr>
      <w:r w:rsidRPr="00262CE2">
        <w:t>SEPA is ready to support the introduction of the UK Digital Service by DEFRA for Scotland’s users in 2026</w:t>
      </w:r>
      <w:r w:rsidR="00107976">
        <w:t xml:space="preserve"> (KR</w:t>
      </w:r>
      <w:r w:rsidR="00755310">
        <w:t>7.3).</w:t>
      </w:r>
    </w:p>
    <w:p w14:paraId="095899D2" w14:textId="3626012B" w:rsidR="00AF508D" w:rsidRPr="00F349EA" w:rsidRDefault="00AF508D" w:rsidP="00D94904">
      <w:pPr>
        <w:pStyle w:val="BodyText1"/>
        <w:spacing w:after="240"/>
        <w:rPr>
          <w:b/>
          <w:bCs/>
        </w:rPr>
      </w:pPr>
      <w:r w:rsidRPr="00F349EA">
        <w:rPr>
          <w:b/>
          <w:bCs/>
        </w:rPr>
        <w:lastRenderedPageBreak/>
        <w:t>Our Organisation</w:t>
      </w:r>
    </w:p>
    <w:p w14:paraId="3493DBC1" w14:textId="77777777" w:rsidR="008D23B4" w:rsidRDefault="007A76C5" w:rsidP="008D23B4">
      <w:pPr>
        <w:pStyle w:val="BodyText1"/>
        <w:numPr>
          <w:ilvl w:val="0"/>
          <w:numId w:val="44"/>
        </w:numPr>
        <w:spacing w:after="240"/>
      </w:pPr>
      <w:r w:rsidRPr="007A76C5">
        <w:t>We have made significant progress developing SEPA's first Customer Experience Strategy. This will set an ambitious direction to transform our customer contact and engagement, while also aiming to deliver improvements that will build towards a sustainable and adaptable service such as enhancing technology and digital capability, addressing immediate priorities, and embedding service standards.</w:t>
      </w:r>
    </w:p>
    <w:p w14:paraId="5136A2C4" w14:textId="77777777" w:rsidR="008D23B4" w:rsidRDefault="007A76C5" w:rsidP="008D23B4">
      <w:pPr>
        <w:pStyle w:val="BodyText1"/>
        <w:numPr>
          <w:ilvl w:val="0"/>
          <w:numId w:val="44"/>
        </w:numPr>
        <w:spacing w:after="240"/>
      </w:pPr>
      <w:r w:rsidRPr="007A76C5">
        <w:t>We have commissioned external customer research to inform our strategy development, the results of which are expected by the end of this financial year. It is important we use the findings to inform the new digital contact methods (KR10.1) as well as the target service level agreement timeframes (KR10.3), to ensure these are future proof. As a result, we have taken the decision to pause these for now and review for 2026/27. </w:t>
      </w:r>
    </w:p>
    <w:p w14:paraId="0DCEB3F3" w14:textId="01DE88E6" w:rsidR="007A76C5" w:rsidRPr="00F349EA" w:rsidRDefault="007A76C5" w:rsidP="008D23B4">
      <w:pPr>
        <w:pStyle w:val="BodyText1"/>
        <w:numPr>
          <w:ilvl w:val="0"/>
          <w:numId w:val="44"/>
        </w:numPr>
        <w:spacing w:after="240"/>
      </w:pPr>
      <w:r>
        <w:t xml:space="preserve">This decision is considered and carries no associated risks. In the interim, our current customer hub remains fully resourced and continues to provide robust and effective support to businesses and the public.  We will proceed with completing the platform tender process in preparation for this to be delivered going forwards. We will also look to progress Customer Service Standards implementation (KR10.2) (excluding the new digital channels) through a test and learn approach. We will aim to have these implemented by the end of Q4 to align with the broader programme </w:t>
      </w:r>
      <w:r w:rsidR="1E3344DB">
        <w:t>timeline and</w:t>
      </w:r>
      <w:r>
        <w:t xml:space="preserve"> ensure that they are informed by accurate operational data.</w:t>
      </w:r>
    </w:p>
    <w:p w14:paraId="4AB0AC12" w14:textId="1DBBAC56" w:rsidR="00CF0170" w:rsidRPr="007A0BBE" w:rsidRDefault="00D13965" w:rsidP="007A0BBE">
      <w:pPr>
        <w:pStyle w:val="BodyText1"/>
        <w:spacing w:after="240"/>
        <w:jc w:val="both"/>
        <w:rPr>
          <w:rFonts w:ascii="Arial" w:eastAsia="SimSun" w:hAnsi="Arial" w:cs="Arial"/>
          <w:kern w:val="1"/>
          <w:lang w:eastAsia="hi-IN" w:bidi="hi-IN"/>
        </w:rPr>
        <w:sectPr w:rsidR="00CF0170" w:rsidRPr="007A0BBE" w:rsidSect="00AB47A1">
          <w:headerReference w:type="even" r:id="rId15"/>
          <w:headerReference w:type="default" r:id="rId16"/>
          <w:footerReference w:type="even" r:id="rId17"/>
          <w:footerReference w:type="default" r:id="rId18"/>
          <w:headerReference w:type="first" r:id="rId19"/>
          <w:footerReference w:type="first" r:id="rId20"/>
          <w:pgSz w:w="11906" w:h="16838" w:code="9"/>
          <w:pgMar w:top="1440" w:right="1083" w:bottom="567" w:left="1083" w:header="567" w:footer="567" w:gutter="0"/>
          <w:pgNumType w:start="0"/>
          <w:cols w:space="708"/>
          <w:titlePg/>
          <w:docGrid w:linePitch="360"/>
        </w:sectPr>
      </w:pPr>
      <w:r w:rsidRPr="00F349EA">
        <w:t>We continue</w:t>
      </w:r>
      <w:r w:rsidR="003F0B14" w:rsidRPr="00F349EA">
        <w:t xml:space="preserve"> to </w:t>
      </w:r>
      <w:r w:rsidR="00917BA4" w:rsidRPr="00F349EA">
        <w:t>develop our</w:t>
      </w:r>
      <w:r w:rsidR="00AC5B0A" w:rsidRPr="00F349EA">
        <w:rPr>
          <w:rFonts w:ascii="Arial" w:eastAsia="SimSun" w:hAnsi="Arial" w:cs="Arial"/>
          <w:kern w:val="1"/>
          <w:lang w:eastAsia="hi-IN" w:bidi="hi-IN"/>
        </w:rPr>
        <w:t xml:space="preserve"> reporting mechanism</w:t>
      </w:r>
      <w:r w:rsidR="00AD60B0" w:rsidRPr="00F349EA">
        <w:rPr>
          <w:rFonts w:ascii="Arial" w:eastAsia="SimSun" w:hAnsi="Arial" w:cs="Arial"/>
          <w:kern w:val="1"/>
          <w:lang w:eastAsia="hi-IN" w:bidi="hi-IN"/>
        </w:rPr>
        <w:t>s</w:t>
      </w:r>
      <w:r w:rsidR="000F4E84" w:rsidRPr="00F349EA">
        <w:rPr>
          <w:rFonts w:ascii="Arial" w:eastAsia="SimSun" w:hAnsi="Arial" w:cs="Arial"/>
          <w:kern w:val="1"/>
          <w:lang w:eastAsia="hi-IN" w:bidi="hi-IN"/>
        </w:rPr>
        <w:t xml:space="preserve"> </w:t>
      </w:r>
      <w:r w:rsidR="00E964C5" w:rsidRPr="00F349EA">
        <w:rPr>
          <w:rFonts w:ascii="Arial" w:eastAsia="SimSun" w:hAnsi="Arial" w:cs="Arial"/>
          <w:kern w:val="1"/>
          <w:lang w:eastAsia="hi-IN" w:bidi="hi-IN"/>
        </w:rPr>
        <w:t xml:space="preserve">and style </w:t>
      </w:r>
      <w:r w:rsidR="000F4E84" w:rsidRPr="00F349EA">
        <w:rPr>
          <w:rFonts w:ascii="Arial" w:eastAsia="SimSun" w:hAnsi="Arial" w:cs="Arial"/>
          <w:kern w:val="1"/>
          <w:lang w:eastAsia="hi-IN" w:bidi="hi-IN"/>
        </w:rPr>
        <w:t xml:space="preserve">to enable effective scrutiny of </w:t>
      </w:r>
      <w:r w:rsidR="00FC6110" w:rsidRPr="00F349EA">
        <w:rPr>
          <w:rFonts w:ascii="Arial" w:eastAsia="SimSun" w:hAnsi="Arial" w:cs="Arial"/>
          <w:kern w:val="1"/>
          <w:lang w:eastAsia="hi-IN" w:bidi="hi-IN"/>
        </w:rPr>
        <w:t xml:space="preserve">our </w:t>
      </w:r>
      <w:r w:rsidR="000F4E84" w:rsidRPr="00F349EA">
        <w:rPr>
          <w:rFonts w:ascii="Arial" w:eastAsia="SimSun" w:hAnsi="Arial" w:cs="Arial"/>
          <w:kern w:val="1"/>
          <w:lang w:eastAsia="hi-IN" w:bidi="hi-IN"/>
        </w:rPr>
        <w:t>delivery</w:t>
      </w:r>
      <w:r w:rsidR="00F408A2" w:rsidRPr="00F349EA">
        <w:rPr>
          <w:rFonts w:ascii="Arial" w:eastAsia="SimSun" w:hAnsi="Arial" w:cs="Arial"/>
          <w:kern w:val="1"/>
          <w:lang w:eastAsia="hi-IN" w:bidi="hi-IN"/>
        </w:rPr>
        <w:t xml:space="preserve"> in the upcoming period. </w:t>
      </w:r>
      <w:bookmarkStart w:id="11" w:name="_Toc163654243"/>
      <w:bookmarkStart w:id="12" w:name="_Toc164867871"/>
    </w:p>
    <w:p w14:paraId="012EAE6E" w14:textId="359828EE" w:rsidR="00CC14A5" w:rsidRPr="00F349EA" w:rsidRDefault="4669FD0C" w:rsidP="00C02104">
      <w:pPr>
        <w:pStyle w:val="Heading1"/>
        <w:spacing w:after="240" w:line="240" w:lineRule="auto"/>
        <w:rPr>
          <w:sz w:val="48"/>
          <w:szCs w:val="48"/>
        </w:rPr>
      </w:pPr>
      <w:bookmarkStart w:id="13" w:name="_Toc1401122898"/>
      <w:r w:rsidRPr="68A9B764">
        <w:rPr>
          <w:sz w:val="48"/>
          <w:szCs w:val="48"/>
        </w:rPr>
        <w:lastRenderedPageBreak/>
        <w:t xml:space="preserve">2. </w:t>
      </w:r>
      <w:r>
        <w:tab/>
      </w:r>
      <w:r w:rsidR="16E84D52" w:rsidRPr="68A9B764">
        <w:rPr>
          <w:sz w:val="48"/>
          <w:szCs w:val="48"/>
        </w:rPr>
        <w:t xml:space="preserve">Performance </w:t>
      </w:r>
      <w:r w:rsidR="0989C4F2" w:rsidRPr="68A9B764">
        <w:rPr>
          <w:sz w:val="48"/>
          <w:szCs w:val="48"/>
        </w:rPr>
        <w:t>S</w:t>
      </w:r>
      <w:r w:rsidR="16E84D52" w:rsidRPr="68A9B764">
        <w:rPr>
          <w:sz w:val="48"/>
          <w:szCs w:val="48"/>
        </w:rPr>
        <w:t>ummary</w:t>
      </w:r>
      <w:bookmarkEnd w:id="11"/>
      <w:bookmarkEnd w:id="12"/>
      <w:bookmarkEnd w:id="13"/>
    </w:p>
    <w:p w14:paraId="067CEDDC" w14:textId="0235DE93" w:rsidR="00656A2C" w:rsidRPr="00F349EA" w:rsidRDefault="00703DBD" w:rsidP="00443742">
      <w:pPr>
        <w:spacing w:after="240"/>
      </w:pPr>
      <w:r w:rsidRPr="00F349EA">
        <w:t>This section provides a</w:t>
      </w:r>
      <w:r w:rsidR="00B7597B" w:rsidRPr="00F349EA">
        <w:t xml:space="preserve"> high</w:t>
      </w:r>
      <w:r w:rsidR="00AC48B6" w:rsidRPr="00F349EA">
        <w:t>-</w:t>
      </w:r>
      <w:r w:rsidR="00B7597B" w:rsidRPr="00F349EA">
        <w:t>level</w:t>
      </w:r>
      <w:r w:rsidR="00C02104" w:rsidRPr="00F349EA">
        <w:t>,</w:t>
      </w:r>
      <w:r w:rsidR="00815100" w:rsidRPr="00F349EA">
        <w:t xml:space="preserve"> visual</w:t>
      </w:r>
      <w:r w:rsidR="00B7597B" w:rsidRPr="00F349EA">
        <w:t xml:space="preserve"> summary of the </w:t>
      </w:r>
      <w:r w:rsidR="002E7F1F" w:rsidRPr="00F349EA">
        <w:t>status</w:t>
      </w:r>
      <w:r w:rsidR="00B7597B" w:rsidRPr="00F349EA">
        <w:t xml:space="preserve"> of each </w:t>
      </w:r>
      <w:r w:rsidR="00815100" w:rsidRPr="00F349EA">
        <w:t>OKR and KPI</w:t>
      </w:r>
      <w:r w:rsidR="002E7F1F" w:rsidRPr="00F349EA">
        <w:t xml:space="preserve"> </w:t>
      </w:r>
      <w:r w:rsidR="00B7597B" w:rsidRPr="00F349EA">
        <w:t xml:space="preserve">for quarter </w:t>
      </w:r>
      <w:r w:rsidR="00500520" w:rsidRPr="00F349EA">
        <w:t>one</w:t>
      </w:r>
      <w:r w:rsidR="00656A2C" w:rsidRPr="00F349EA">
        <w:t xml:space="preserve">. </w:t>
      </w:r>
    </w:p>
    <w:p w14:paraId="1B62025F" w14:textId="080CA2BC" w:rsidR="00647399" w:rsidRPr="00F349EA" w:rsidRDefault="00417355" w:rsidP="0075136D">
      <w:pPr>
        <w:spacing w:after="240" w:line="240" w:lineRule="auto"/>
        <w:rPr>
          <w:b/>
          <w:bCs/>
          <w:i/>
          <w:iCs/>
          <w:color w:val="016574"/>
        </w:rPr>
      </w:pPr>
      <w:r w:rsidRPr="725E89E8">
        <w:rPr>
          <w:b/>
          <w:i/>
          <w:color w:val="016574" w:themeColor="accent2"/>
        </w:rPr>
        <w:t xml:space="preserve">Figure 1: </w:t>
      </w:r>
      <w:r w:rsidR="004333FB" w:rsidRPr="725E89E8">
        <w:rPr>
          <w:b/>
          <w:i/>
          <w:color w:val="016574" w:themeColor="accent2"/>
        </w:rPr>
        <w:t xml:space="preserve">Overall </w:t>
      </w:r>
      <w:r w:rsidRPr="725E89E8">
        <w:rPr>
          <w:b/>
          <w:i/>
          <w:color w:val="016574" w:themeColor="accent2"/>
        </w:rPr>
        <w:t>OKRs by status as at Q</w:t>
      </w:r>
      <w:r w:rsidR="001B6996" w:rsidRPr="725E89E8">
        <w:rPr>
          <w:b/>
          <w:i/>
          <w:color w:val="016574" w:themeColor="accent2"/>
        </w:rPr>
        <w:t>2</w:t>
      </w:r>
      <w:r w:rsidR="00F4501A" w:rsidRPr="725E89E8">
        <w:rPr>
          <w:b/>
          <w:i/>
          <w:color w:val="016574" w:themeColor="accent2"/>
        </w:rPr>
        <w:t>.</w:t>
      </w:r>
      <w:r w:rsidR="689A4A09" w:rsidRPr="725E89E8">
        <w:rPr>
          <w:b/>
          <w:bCs/>
          <w:i/>
          <w:iCs/>
          <w:color w:val="016574" w:themeColor="accent2"/>
        </w:rPr>
        <w:t xml:space="preserve"> </w:t>
      </w:r>
      <w:r>
        <w:tab/>
      </w:r>
      <w:r>
        <w:tab/>
      </w:r>
      <w:r w:rsidR="00086DD3">
        <w:tab/>
      </w:r>
      <w:r w:rsidR="00086DD3">
        <w:tab/>
      </w:r>
      <w:r w:rsidR="00626477" w:rsidRPr="725E89E8">
        <w:rPr>
          <w:b/>
          <w:i/>
          <w:color w:val="016574" w:themeColor="accent2"/>
        </w:rPr>
        <w:t xml:space="preserve">   </w:t>
      </w:r>
      <w:r w:rsidR="00EA1875">
        <w:rPr>
          <w:b/>
          <w:i/>
          <w:color w:val="016574" w:themeColor="accent2"/>
        </w:rPr>
        <w:tab/>
      </w:r>
      <w:r w:rsidR="001D71AB">
        <w:rPr>
          <w:b/>
          <w:i/>
          <w:color w:val="016574" w:themeColor="accent2"/>
        </w:rPr>
        <w:tab/>
      </w:r>
      <w:r w:rsidRPr="725E89E8">
        <w:rPr>
          <w:b/>
          <w:i/>
          <w:color w:val="016574" w:themeColor="accent2"/>
        </w:rPr>
        <w:t xml:space="preserve">Figure 2: Breakdown of </w:t>
      </w:r>
      <w:r w:rsidR="004333FB" w:rsidRPr="725E89E8">
        <w:rPr>
          <w:b/>
          <w:i/>
          <w:color w:val="016574" w:themeColor="accent2"/>
        </w:rPr>
        <w:t xml:space="preserve">overall </w:t>
      </w:r>
      <w:r w:rsidRPr="725E89E8">
        <w:rPr>
          <w:b/>
          <w:i/>
          <w:color w:val="016574" w:themeColor="accent2"/>
        </w:rPr>
        <w:t>OKRs by status</w:t>
      </w:r>
      <w:r w:rsidR="00BD17B6" w:rsidRPr="725E89E8">
        <w:rPr>
          <w:b/>
          <w:i/>
          <w:color w:val="016574" w:themeColor="accent2"/>
        </w:rPr>
        <w:t xml:space="preserve"> and quarter</w:t>
      </w:r>
      <w:r w:rsidR="00F4501A" w:rsidRPr="725E89E8">
        <w:rPr>
          <w:b/>
          <w:i/>
          <w:color w:val="016574" w:themeColor="accent2"/>
        </w:rPr>
        <w:t>.</w:t>
      </w:r>
    </w:p>
    <w:p w14:paraId="02BC5B50" w14:textId="19AD2F05" w:rsidR="00BC039E" w:rsidRPr="00F349EA" w:rsidRDefault="0097577B" w:rsidP="0075136D">
      <w:pPr>
        <w:spacing w:after="240" w:line="240" w:lineRule="auto"/>
        <w:rPr>
          <w:b/>
          <w:bCs/>
          <w:i/>
          <w:iCs/>
        </w:rPr>
      </w:pPr>
      <w:r w:rsidRPr="00F349EA">
        <w:rPr>
          <w:noProof/>
        </w:rPr>
        <w:drawing>
          <wp:inline distT="0" distB="0" distL="0" distR="0" wp14:anchorId="6CAC6371" wp14:editId="054CF5CB">
            <wp:extent cx="5103628" cy="3375025"/>
            <wp:effectExtent l="0" t="0" r="1905" b="15875"/>
            <wp:docPr id="487491727" name="Chart 1" descr="Figure 1: Overall OKRs by status as at Q2. &#10;Graph shows a percentage break down of our 11 OKRs by their associated delivery status over each quarter. &#10;&#10;For Q2, this is noted as:&#10;18% delivering.&#10;55% progressing.&#10;9% no progression.&#10;18% not started.">
              <a:extLst xmlns:a="http://schemas.openxmlformats.org/drawingml/2006/main">
                <a:ext uri="{FF2B5EF4-FFF2-40B4-BE49-F238E27FC236}">
                  <a16:creationId xmlns:a16="http://schemas.microsoft.com/office/drawing/2014/main" id="{789253A6-4505-42A3-A553-5120E067DA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A46215" w:rsidRPr="00F349EA">
        <w:rPr>
          <w:b/>
          <w:bCs/>
          <w:i/>
          <w:iCs/>
          <w:noProof/>
        </w:rPr>
        <mc:AlternateContent>
          <mc:Choice Requires="wps">
            <w:drawing>
              <wp:anchor distT="45720" distB="45720" distL="114300" distR="114300" simplePos="0" relativeHeight="251658242" behindDoc="0" locked="0" layoutInCell="1" allowOverlap="1" wp14:anchorId="0A6E6797" wp14:editId="6FFB47AC">
                <wp:simplePos x="0" y="0"/>
                <wp:positionH relativeFrom="column">
                  <wp:posOffset>3590667</wp:posOffset>
                </wp:positionH>
                <wp:positionV relativeFrom="paragraph">
                  <wp:posOffset>2987059</wp:posOffset>
                </wp:positionV>
                <wp:extent cx="688490" cy="301214"/>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90" cy="301214"/>
                        </a:xfrm>
                        <a:prstGeom prst="rect">
                          <a:avLst/>
                        </a:prstGeom>
                        <a:noFill/>
                        <a:ln w="9525">
                          <a:noFill/>
                          <a:miter lim="800000"/>
                          <a:headEnd/>
                          <a:tailEnd/>
                        </a:ln>
                      </wps:spPr>
                      <wps:txbx>
                        <w:txbxContent>
                          <w:p w14:paraId="3EE4C18F" w14:textId="23DAC7A6" w:rsidR="00FE6E18" w:rsidRPr="00F349EA" w:rsidRDefault="00FE6E18">
                            <w:pPr>
                              <w:rPr>
                                <w:color w:val="808080" w:themeColor="background1" w:themeShade="80"/>
                              </w:rPr>
                            </w:pPr>
                            <w:r w:rsidRPr="00F349EA">
                              <w:rPr>
                                <w:color w:val="808080" w:themeColor="background1" w:themeShade="80"/>
                              </w:rPr>
                              <w:t>(N=11)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E6797" id="Text Box 2" o:spid="_x0000_s1027" type="#_x0000_t202" style="position:absolute;margin-left:282.75pt;margin-top:235.2pt;width:54.2pt;height:23.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" filled="f" stroked="f">
                <v:textbox>
                  <w:txbxContent>
                    <w:p w14:paraId="3EE4C18F" w14:textId="23DAC7A6" w:rsidR="00FE6E18" w:rsidRPr="00F349EA" w:rsidRDefault="00FE6E18">
                      <w:pPr>
                        <w:rPr>
                          <w:color w:val="808080" w:themeColor="background1" w:themeShade="80"/>
                        </w:rPr>
                      </w:pPr>
                      <w:r w:rsidRPr="00F349EA">
                        <w:rPr>
                          <w:color w:val="808080" w:themeColor="background1" w:themeShade="80"/>
                        </w:rPr>
                        <w:t>(N=11)</w:t>
                      </w:r>
                    </w:p>
                  </w:txbxContent>
                </v:textbox>
              </v:shape>
            </w:pict>
          </mc:Fallback>
        </mc:AlternateContent>
      </w:r>
      <w:r w:rsidR="009B6FDE" w:rsidRPr="00F349EA">
        <w:t xml:space="preserve"> </w:t>
      </w:r>
      <w:r w:rsidR="006250F2" w:rsidRPr="00F349EA">
        <w:rPr>
          <w:noProof/>
        </w:rPr>
        <w:drawing>
          <wp:inline distT="0" distB="0" distL="0" distR="0" wp14:anchorId="23F1A35E" wp14:editId="57D4BB1A">
            <wp:extent cx="8641025" cy="3378421"/>
            <wp:effectExtent l="0" t="0" r="8255" b="12700"/>
            <wp:docPr id="1078641986" name="Chart 1" descr="Figure 2: Breakdown of overall OKRs by status and quarter. &#10;Graph shows a numeric break down of our 11 OKRs by their associated delivery status across each quarter. For Q1, this is noted as:&#10;2 delivering.&#10;4 progressing.&#10;3 no progression.&#10;2 not started.&#10;&#10;For Q2, this is noted as:&#10;2 delivering.&#10;6 progressing.&#10;1 no progression.&#10;2 not started.">
              <a:extLst xmlns:a="http://schemas.openxmlformats.org/drawingml/2006/main">
                <a:ext uri="{FF2B5EF4-FFF2-40B4-BE49-F238E27FC236}">
                  <a16:creationId xmlns:a16="http://schemas.microsoft.com/office/drawing/2014/main" id="{90BBD272-D27B-4ECA-B823-DB09CE7757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74B8BCF" w14:textId="529A1CF9" w:rsidR="00CC2ABD" w:rsidRPr="00F349EA" w:rsidRDefault="00ED006B" w:rsidP="0075136D">
      <w:pPr>
        <w:spacing w:after="240" w:line="240" w:lineRule="auto"/>
        <w:rPr>
          <w:b/>
          <w:bCs/>
          <w:i/>
          <w:iCs/>
          <w:color w:val="016574"/>
        </w:rPr>
      </w:pPr>
      <w:r w:rsidRPr="06F3D0DF">
        <w:rPr>
          <w:color w:val="016574" w:themeColor="accent2"/>
        </w:rPr>
        <w:t xml:space="preserve"> </w:t>
      </w:r>
      <w:r w:rsidR="00E57D7E" w:rsidRPr="06F3D0DF">
        <w:rPr>
          <w:b/>
          <w:i/>
          <w:color w:val="016574" w:themeColor="accent2"/>
        </w:rPr>
        <w:t xml:space="preserve">Figure </w:t>
      </w:r>
      <w:r w:rsidR="00422C92" w:rsidRPr="06F3D0DF">
        <w:rPr>
          <w:b/>
          <w:i/>
          <w:color w:val="016574" w:themeColor="accent2"/>
        </w:rPr>
        <w:t>3</w:t>
      </w:r>
      <w:r w:rsidR="00E57D7E" w:rsidRPr="06F3D0DF">
        <w:rPr>
          <w:b/>
          <w:i/>
          <w:color w:val="016574" w:themeColor="accent2"/>
        </w:rPr>
        <w:t xml:space="preserve">: KPIs by status </w:t>
      </w:r>
      <w:r w:rsidR="00086DD3" w:rsidRPr="06F3D0DF">
        <w:rPr>
          <w:b/>
          <w:i/>
          <w:color w:val="016574" w:themeColor="accent2"/>
        </w:rPr>
        <w:t>as at Q</w:t>
      </w:r>
      <w:r w:rsidR="008B6E95" w:rsidRPr="06F3D0DF">
        <w:rPr>
          <w:b/>
          <w:i/>
          <w:color w:val="016574" w:themeColor="accent2"/>
        </w:rPr>
        <w:t>2</w:t>
      </w:r>
      <w:r w:rsidR="00F4501A" w:rsidRPr="06F3D0DF">
        <w:rPr>
          <w:b/>
          <w:i/>
          <w:color w:val="016574" w:themeColor="accent2"/>
        </w:rPr>
        <w:t>.</w:t>
      </w:r>
      <w:r w:rsidR="577F5C6B" w:rsidRPr="06F3D0DF">
        <w:rPr>
          <w:b/>
          <w:bCs/>
          <w:i/>
          <w:iCs/>
          <w:color w:val="016574" w:themeColor="accent2"/>
        </w:rPr>
        <w:t xml:space="preserve"> </w:t>
      </w:r>
      <w:r w:rsidR="00EA1875">
        <w:rPr>
          <w:b/>
          <w:bCs/>
          <w:i/>
          <w:iCs/>
          <w:color w:val="016574" w:themeColor="accent2"/>
        </w:rPr>
        <w:t xml:space="preserve">   </w:t>
      </w:r>
      <w:r w:rsidR="00086DD3">
        <w:tab/>
      </w:r>
      <w:r w:rsidR="00086DD3">
        <w:tab/>
      </w:r>
      <w:r w:rsidR="00086DD3">
        <w:tab/>
      </w:r>
      <w:r w:rsidR="00626477">
        <w:tab/>
      </w:r>
      <w:r w:rsidR="00626477" w:rsidRPr="06F3D0DF">
        <w:rPr>
          <w:b/>
          <w:i/>
          <w:color w:val="016574" w:themeColor="accent2"/>
        </w:rPr>
        <w:t xml:space="preserve">   </w:t>
      </w:r>
      <w:r w:rsidR="00EA1875">
        <w:rPr>
          <w:b/>
          <w:i/>
          <w:color w:val="016574" w:themeColor="accent2"/>
        </w:rPr>
        <w:tab/>
      </w:r>
      <w:r w:rsidR="00EA1875">
        <w:rPr>
          <w:b/>
          <w:i/>
          <w:color w:val="016574" w:themeColor="accent2"/>
        </w:rPr>
        <w:tab/>
      </w:r>
      <w:r w:rsidR="00EA1875">
        <w:rPr>
          <w:b/>
          <w:i/>
          <w:color w:val="016574" w:themeColor="accent2"/>
        </w:rPr>
        <w:tab/>
      </w:r>
      <w:r w:rsidR="00086DD3" w:rsidRPr="06F3D0DF">
        <w:rPr>
          <w:b/>
          <w:i/>
          <w:color w:val="016574" w:themeColor="accent2"/>
        </w:rPr>
        <w:t>Figure 4: Breakdown of KPIs by status and quarter</w:t>
      </w:r>
      <w:r w:rsidR="00F4501A" w:rsidRPr="06F3D0DF">
        <w:rPr>
          <w:b/>
          <w:i/>
          <w:color w:val="016574" w:themeColor="accent2"/>
        </w:rPr>
        <w:t>.</w:t>
      </w:r>
    </w:p>
    <w:p w14:paraId="74603689" w14:textId="63855238" w:rsidR="00C45A5A" w:rsidRPr="00F349EA" w:rsidRDefault="00A47ACF" w:rsidP="0075136D">
      <w:pPr>
        <w:spacing w:after="240" w:line="240" w:lineRule="auto"/>
      </w:pPr>
      <w:r>
        <w:rPr>
          <w:noProof/>
        </w:rPr>
        <w:drawing>
          <wp:inline distT="0" distB="0" distL="0" distR="0" wp14:anchorId="3E064258" wp14:editId="3EF28371">
            <wp:extent cx="5103495" cy="3533775"/>
            <wp:effectExtent l="0" t="0" r="1905" b="9525"/>
            <wp:docPr id="657123092" name="Chart 1" descr="Figure 3 shows KPIs by status as at Q2. ">
              <a:extLst xmlns:a="http://schemas.openxmlformats.org/drawingml/2006/main">
                <a:ext uri="{FF2B5EF4-FFF2-40B4-BE49-F238E27FC236}">
                  <a16:creationId xmlns:a16="http://schemas.microsoft.com/office/drawing/2014/main" id="{9EDF4C68-8590-45CA-B27B-1CB3E891DA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FD7E26" w:rsidRPr="00F349EA">
        <w:t xml:space="preserve"> </w:t>
      </w:r>
      <w:r w:rsidR="00B17774">
        <w:rPr>
          <w:noProof/>
        </w:rPr>
        <w:drawing>
          <wp:inline distT="0" distB="0" distL="0" distR="0" wp14:anchorId="0CB014B3" wp14:editId="45D34537">
            <wp:extent cx="8640445" cy="3526790"/>
            <wp:effectExtent l="0" t="0" r="8255" b="16510"/>
            <wp:docPr id="212698941" name="Chart 1" descr="Figure 4 shows a breakdown of KPIs by status and quarter.">
              <a:extLst xmlns:a="http://schemas.openxmlformats.org/drawingml/2006/main">
                <a:ext uri="{FF2B5EF4-FFF2-40B4-BE49-F238E27FC236}">
                  <a16:creationId xmlns:a16="http://schemas.microsoft.com/office/drawing/2014/main" id="{AE6307B1-1D8B-470E-B5A0-72227532C5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021E539" w14:textId="7D1B7315" w:rsidR="004B76EB" w:rsidRPr="00F349EA" w:rsidRDefault="004B76EB" w:rsidP="0075136D">
      <w:pPr>
        <w:spacing w:after="240" w:line="240" w:lineRule="auto"/>
      </w:pPr>
    </w:p>
    <w:p w14:paraId="78572D62" w14:textId="77777777" w:rsidR="0013517E" w:rsidRPr="00F349EA" w:rsidRDefault="0013517E" w:rsidP="0075136D">
      <w:pPr>
        <w:spacing w:after="240" w:line="240" w:lineRule="auto"/>
        <w:rPr>
          <w:b/>
          <w:bCs/>
        </w:rPr>
      </w:pPr>
    </w:p>
    <w:p w14:paraId="1379150C" w14:textId="5025F64D" w:rsidR="00C02104" w:rsidRPr="00F349EA" w:rsidRDefault="00C02104" w:rsidP="00C02104">
      <w:pPr>
        <w:pStyle w:val="Heading2"/>
        <w:spacing w:before="120" w:after="120"/>
        <w:ind w:left="720" w:hanging="720"/>
      </w:pPr>
      <w:bookmarkStart w:id="14" w:name="_Toc206390042"/>
      <w:bookmarkStart w:id="15" w:name="_Toc527849685"/>
      <w:r>
        <w:t xml:space="preserve">2.1 Annual </w:t>
      </w:r>
      <w:r w:rsidR="3480252F">
        <w:t>O</w:t>
      </w:r>
      <w:r>
        <w:t xml:space="preserve">bjectives and </w:t>
      </w:r>
      <w:r w:rsidR="13DA0ED1">
        <w:t>K</w:t>
      </w:r>
      <w:r>
        <w:t xml:space="preserve">ey </w:t>
      </w:r>
      <w:r w:rsidR="282FAE5C">
        <w:t>R</w:t>
      </w:r>
      <w:r>
        <w:t>esults (OKRs) – Progress and exception summary</w:t>
      </w:r>
      <w:bookmarkEnd w:id="14"/>
      <w:bookmarkEnd w:id="15"/>
    </w:p>
    <w:p w14:paraId="63260971" w14:textId="261C4EC7" w:rsidR="00955EBB" w:rsidRPr="00F349EA" w:rsidRDefault="00313CE8" w:rsidP="00955EBB">
      <w:pPr>
        <w:spacing w:after="120"/>
        <w:rPr>
          <w:szCs w:val="28"/>
        </w:rPr>
      </w:pPr>
      <w:r w:rsidRPr="00F349EA">
        <w:rPr>
          <w:szCs w:val="28"/>
        </w:rPr>
        <w:t xml:space="preserve">This section provides </w:t>
      </w:r>
      <w:r w:rsidR="00A907F8" w:rsidRPr="00F349EA">
        <w:rPr>
          <w:szCs w:val="28"/>
        </w:rPr>
        <w:t xml:space="preserve">a summary of </w:t>
      </w:r>
      <w:r w:rsidR="00230C1C" w:rsidRPr="00F349EA">
        <w:rPr>
          <w:szCs w:val="28"/>
        </w:rPr>
        <w:t xml:space="preserve">progress and any exception commentary </w:t>
      </w:r>
      <w:r w:rsidR="00035BDC" w:rsidRPr="00F349EA">
        <w:rPr>
          <w:szCs w:val="28"/>
        </w:rPr>
        <w:t>for our OKRs as at Q</w:t>
      </w:r>
      <w:r w:rsidR="00F76E20">
        <w:rPr>
          <w:szCs w:val="28"/>
        </w:rPr>
        <w:t>2</w:t>
      </w:r>
      <w:r w:rsidR="00035BDC" w:rsidRPr="00F349EA">
        <w:rPr>
          <w:szCs w:val="28"/>
        </w:rPr>
        <w:t>. T</w:t>
      </w:r>
      <w:r w:rsidR="00A536DC" w:rsidRPr="00F349EA">
        <w:rPr>
          <w:szCs w:val="28"/>
        </w:rPr>
        <w:t>able</w:t>
      </w:r>
      <w:r w:rsidR="00035BDC" w:rsidRPr="00F349EA">
        <w:rPr>
          <w:szCs w:val="28"/>
        </w:rPr>
        <w:t xml:space="preserve"> 1</w:t>
      </w:r>
      <w:r w:rsidR="00A536DC" w:rsidRPr="00F349EA">
        <w:rPr>
          <w:szCs w:val="28"/>
        </w:rPr>
        <w:t xml:space="preserve"> outlines the scoring </w:t>
      </w:r>
      <w:r w:rsidR="005210EA" w:rsidRPr="00F349EA">
        <w:rPr>
          <w:szCs w:val="28"/>
        </w:rPr>
        <w:t xml:space="preserve">matrix </w:t>
      </w:r>
      <w:r w:rsidR="005A45DC" w:rsidRPr="00F349EA">
        <w:rPr>
          <w:szCs w:val="28"/>
        </w:rPr>
        <w:t>applie</w:t>
      </w:r>
      <w:r w:rsidR="006F3AAA" w:rsidRPr="00F349EA">
        <w:rPr>
          <w:szCs w:val="28"/>
        </w:rPr>
        <w:t>d</w:t>
      </w:r>
      <w:r w:rsidR="005210EA" w:rsidRPr="00F349EA">
        <w:rPr>
          <w:szCs w:val="28"/>
        </w:rPr>
        <w:t xml:space="preserve">. </w:t>
      </w:r>
      <w:r w:rsidR="005F5504" w:rsidRPr="00F349EA">
        <w:rPr>
          <w:szCs w:val="28"/>
        </w:rPr>
        <w:t xml:space="preserve">We have also noted guidance to consider when reviewing the report. </w:t>
      </w:r>
    </w:p>
    <w:p w14:paraId="180506CF" w14:textId="3BD46543" w:rsidR="00035BDC" w:rsidRPr="00F349EA" w:rsidRDefault="00035BDC" w:rsidP="00955EBB">
      <w:pPr>
        <w:spacing w:after="120"/>
        <w:rPr>
          <w:szCs w:val="28"/>
        </w:rPr>
      </w:pPr>
      <w:r w:rsidRPr="00F349EA">
        <w:rPr>
          <w:b/>
          <w:bCs/>
          <w:i/>
          <w:iCs/>
          <w:color w:val="016574"/>
        </w:rPr>
        <w:t>Table 1: OKR scoring matri</w:t>
      </w:r>
      <w:r w:rsidR="00891D89" w:rsidRPr="00F349EA">
        <w:rPr>
          <w:b/>
          <w:bCs/>
          <w:i/>
          <w:iCs/>
          <w:color w:val="016574"/>
        </w:rPr>
        <w:t>x</w:t>
      </w:r>
    </w:p>
    <w:tbl>
      <w:tblPr>
        <w:tblStyle w:val="TableGrid"/>
        <w:tblW w:w="2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OKR Scoring Matrix"/>
        <w:tblDescription w:val="Outline of the scoring matrix applied to the OKRs. This includes the scoring range and the associated staus and description for each of the five options to record progress against delivery."/>
      </w:tblPr>
      <w:tblGrid>
        <w:gridCol w:w="2405"/>
        <w:gridCol w:w="1245"/>
        <w:gridCol w:w="16757"/>
      </w:tblGrid>
      <w:tr w:rsidR="00164531" w:rsidRPr="00F349EA" w14:paraId="11BAE2BC" w14:textId="77777777" w:rsidTr="00720A36">
        <w:trPr>
          <w:trHeight w:val="276"/>
        </w:trPr>
        <w:tc>
          <w:tcPr>
            <w:tcW w:w="2405" w:type="dxa"/>
            <w:shd w:val="clear" w:color="auto" w:fill="016574" w:themeFill="accent2"/>
          </w:tcPr>
          <w:p w14:paraId="4960D348" w14:textId="603454F8" w:rsidR="00164531" w:rsidRPr="00F349EA" w:rsidRDefault="00164531" w:rsidP="00164531">
            <w:pPr>
              <w:spacing w:before="60" w:after="60" w:line="240" w:lineRule="auto"/>
              <w:rPr>
                <w:b/>
                <w:bCs/>
                <w:color w:val="FFFFFF" w:themeColor="background1"/>
                <w:sz w:val="28"/>
                <w:szCs w:val="28"/>
                <w:lang w:val="en-GB"/>
              </w:rPr>
            </w:pPr>
            <w:r w:rsidRPr="00F349EA">
              <w:rPr>
                <w:b/>
                <w:bCs/>
                <w:color w:val="FFFFFF" w:themeColor="background1"/>
                <w:sz w:val="28"/>
                <w:szCs w:val="28"/>
                <w:lang w:val="en-GB"/>
              </w:rPr>
              <w:t>Scoring</w:t>
            </w:r>
          </w:p>
        </w:tc>
        <w:tc>
          <w:tcPr>
            <w:tcW w:w="1245" w:type="dxa"/>
            <w:shd w:val="clear" w:color="auto" w:fill="016574" w:themeFill="accent2"/>
          </w:tcPr>
          <w:p w14:paraId="2F97697A" w14:textId="7CF7CC2D" w:rsidR="00164531" w:rsidRPr="00F349EA" w:rsidRDefault="00164531" w:rsidP="00164531">
            <w:pPr>
              <w:spacing w:before="60" w:after="60" w:line="240" w:lineRule="auto"/>
              <w:rPr>
                <w:b/>
                <w:bCs/>
                <w:color w:val="FFFFFF" w:themeColor="background1"/>
                <w:sz w:val="28"/>
                <w:szCs w:val="28"/>
                <w:lang w:val="en-GB"/>
              </w:rPr>
            </w:pPr>
            <w:r w:rsidRPr="00F349EA">
              <w:rPr>
                <w:b/>
                <w:bCs/>
                <w:color w:val="FFFFFF" w:themeColor="background1"/>
                <w:sz w:val="28"/>
                <w:szCs w:val="28"/>
                <w:lang w:val="en-GB"/>
              </w:rPr>
              <w:t>Status</w:t>
            </w:r>
          </w:p>
        </w:tc>
        <w:tc>
          <w:tcPr>
            <w:tcW w:w="16757" w:type="dxa"/>
            <w:shd w:val="clear" w:color="auto" w:fill="016574" w:themeFill="accent2"/>
          </w:tcPr>
          <w:p w14:paraId="3A04686D" w14:textId="7E8B5202" w:rsidR="00164531" w:rsidRPr="00F349EA" w:rsidRDefault="00164531" w:rsidP="00164531">
            <w:pPr>
              <w:spacing w:before="60" w:after="60" w:line="240" w:lineRule="auto"/>
              <w:rPr>
                <w:b/>
                <w:bCs/>
                <w:color w:val="FFFFFF" w:themeColor="background1"/>
                <w:sz w:val="28"/>
                <w:szCs w:val="28"/>
                <w:lang w:val="en-GB"/>
              </w:rPr>
            </w:pPr>
            <w:r w:rsidRPr="00F349EA">
              <w:rPr>
                <w:b/>
                <w:bCs/>
                <w:color w:val="FFFFFF" w:themeColor="background1"/>
                <w:sz w:val="28"/>
                <w:szCs w:val="28"/>
                <w:lang w:val="en-GB"/>
              </w:rPr>
              <w:t>Description</w:t>
            </w:r>
          </w:p>
        </w:tc>
      </w:tr>
      <w:tr w:rsidR="00164531" w:rsidRPr="00F349EA" w14:paraId="5FBE53D9" w14:textId="77777777" w:rsidTr="00720A36">
        <w:trPr>
          <w:trHeight w:val="567"/>
        </w:trPr>
        <w:tc>
          <w:tcPr>
            <w:tcW w:w="2405" w:type="dxa"/>
            <w:vAlign w:val="center"/>
          </w:tcPr>
          <w:p w14:paraId="541C7C80" w14:textId="295D7A46" w:rsidR="00164531" w:rsidRPr="00F349EA" w:rsidRDefault="00164531" w:rsidP="00443742">
            <w:pPr>
              <w:textAlignment w:val="baseline"/>
              <w:rPr>
                <w:rFonts w:ascii="Arial" w:eastAsia="Times New Roman" w:hAnsi="Arial" w:cs="Arial"/>
                <w:lang w:val="en-GB" w:eastAsia="en-GB"/>
              </w:rPr>
            </w:pPr>
            <w:r w:rsidRPr="00F349EA">
              <w:rPr>
                <w:rFonts w:ascii="Arial" w:eastAsia="Times New Roman" w:hAnsi="Arial" w:cs="Arial"/>
                <w:lang w:val="en-GB" w:eastAsia="en-GB"/>
              </w:rPr>
              <w:t>0.70 to 1.00</w:t>
            </w:r>
          </w:p>
        </w:tc>
        <w:tc>
          <w:tcPr>
            <w:tcW w:w="1245" w:type="dxa"/>
            <w:vAlign w:val="center"/>
          </w:tcPr>
          <w:p w14:paraId="4998F80D" w14:textId="799363D1" w:rsidR="00164531" w:rsidRPr="00F349EA" w:rsidRDefault="00164531" w:rsidP="005118E6">
            <w:pPr>
              <w:jc w:val="center"/>
              <w:textAlignment w:val="baseline"/>
              <w:rPr>
                <w:rFonts w:ascii="Arial" w:eastAsia="Times New Roman" w:hAnsi="Arial" w:cs="Arial"/>
                <w:lang w:val="en-GB" w:eastAsia="en-GB"/>
              </w:rPr>
            </w:pPr>
            <w:r w:rsidRPr="0026419D">
              <w:rPr>
                <w:b/>
                <w:noProof/>
              </w:rPr>
              <w:drawing>
                <wp:inline distT="0" distB="0" distL="0" distR="0" wp14:anchorId="26694A7B" wp14:editId="53A1E868">
                  <wp:extent cx="360000" cy="360000"/>
                  <wp:effectExtent l="0" t="0" r="2540" b="2540"/>
                  <wp:docPr id="1807465100"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360000" cy="360000"/>
                          </a:xfrm>
                          <a:prstGeom prst="rect">
                            <a:avLst/>
                          </a:prstGeom>
                        </pic:spPr>
                      </pic:pic>
                    </a:graphicData>
                  </a:graphic>
                </wp:inline>
              </w:drawing>
            </w:r>
          </w:p>
        </w:tc>
        <w:tc>
          <w:tcPr>
            <w:tcW w:w="16757" w:type="dxa"/>
            <w:vAlign w:val="center"/>
          </w:tcPr>
          <w:p w14:paraId="3D908B0E" w14:textId="2A3C2556" w:rsidR="00164531" w:rsidRPr="00F349EA" w:rsidRDefault="00164531" w:rsidP="00443742">
            <w:pPr>
              <w:spacing w:before="60" w:after="60"/>
              <w:rPr>
                <w:lang w:val="en-GB"/>
              </w:rPr>
            </w:pPr>
            <w:r w:rsidRPr="00F349EA">
              <w:rPr>
                <w:rFonts w:ascii="Arial" w:eastAsia="Times New Roman" w:hAnsi="Arial" w:cs="Arial"/>
                <w:b/>
                <w:bCs/>
                <w:lang w:val="en-GB" w:eastAsia="en-GB"/>
              </w:rPr>
              <w:t>Delivering</w:t>
            </w:r>
            <w:r w:rsidRPr="00F349EA">
              <w:rPr>
                <w:lang w:val="en-GB"/>
              </w:rPr>
              <w:t xml:space="preserve"> – We are delivering </w:t>
            </w:r>
            <w:r w:rsidR="00371B35" w:rsidRPr="00F349EA">
              <w:rPr>
                <w:lang w:val="en-GB"/>
              </w:rPr>
              <w:t xml:space="preserve">or have delivered </w:t>
            </w:r>
            <w:r w:rsidRPr="00F349EA">
              <w:rPr>
                <w:lang w:val="en-GB"/>
              </w:rPr>
              <w:t xml:space="preserve">against </w:t>
            </w:r>
            <w:r w:rsidRPr="00F349EA">
              <w:rPr>
                <w:rFonts w:ascii="Arial" w:eastAsia="Times New Roman" w:hAnsi="Arial" w:cs="Arial"/>
                <w:lang w:val="en-GB" w:eastAsia="en-GB"/>
              </w:rPr>
              <w:t>our OKR measure this quarter.</w:t>
            </w:r>
          </w:p>
        </w:tc>
      </w:tr>
      <w:tr w:rsidR="00164531" w:rsidRPr="00F349EA" w14:paraId="60CC9676" w14:textId="77777777" w:rsidTr="00720A36">
        <w:trPr>
          <w:trHeight w:val="567"/>
        </w:trPr>
        <w:tc>
          <w:tcPr>
            <w:tcW w:w="2405" w:type="dxa"/>
            <w:vAlign w:val="center"/>
          </w:tcPr>
          <w:p w14:paraId="3BED4DED" w14:textId="7867C646" w:rsidR="00164531" w:rsidRPr="00F349EA" w:rsidRDefault="00164531" w:rsidP="00443742">
            <w:pPr>
              <w:textAlignment w:val="baseline"/>
              <w:rPr>
                <w:rFonts w:ascii="Arial" w:eastAsia="Times New Roman" w:hAnsi="Arial" w:cs="Arial"/>
                <w:lang w:val="en-GB" w:eastAsia="en-GB"/>
              </w:rPr>
            </w:pPr>
            <w:r w:rsidRPr="00F349EA">
              <w:rPr>
                <w:rFonts w:ascii="Arial" w:eastAsia="Times New Roman" w:hAnsi="Arial" w:cs="Arial"/>
                <w:lang w:val="en-GB" w:eastAsia="en-GB"/>
              </w:rPr>
              <w:t>0.31 to 0.69</w:t>
            </w:r>
          </w:p>
        </w:tc>
        <w:tc>
          <w:tcPr>
            <w:tcW w:w="1245" w:type="dxa"/>
            <w:vAlign w:val="center"/>
          </w:tcPr>
          <w:p w14:paraId="23A397CE" w14:textId="2F11A6B0" w:rsidR="00164531" w:rsidRPr="00F349EA" w:rsidRDefault="00164531" w:rsidP="005118E6">
            <w:pPr>
              <w:jc w:val="center"/>
              <w:textAlignment w:val="baseline"/>
              <w:rPr>
                <w:rFonts w:ascii="Arial" w:eastAsia="Times New Roman" w:hAnsi="Arial" w:cs="Arial"/>
                <w:lang w:val="en-GB" w:eastAsia="en-GB"/>
              </w:rPr>
            </w:pPr>
            <w:r w:rsidRPr="0026419D">
              <w:rPr>
                <w:b/>
                <w:noProof/>
              </w:rPr>
              <w:drawing>
                <wp:inline distT="0" distB="0" distL="0" distR="0" wp14:anchorId="53347EC9" wp14:editId="17507BE5">
                  <wp:extent cx="360000" cy="360000"/>
                  <wp:effectExtent l="0" t="0" r="2540" b="2540"/>
                  <wp:docPr id="568950558"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360000" cy="360000"/>
                          </a:xfrm>
                          <a:prstGeom prst="rect">
                            <a:avLst/>
                          </a:prstGeom>
                        </pic:spPr>
                      </pic:pic>
                    </a:graphicData>
                  </a:graphic>
                </wp:inline>
              </w:drawing>
            </w:r>
          </w:p>
        </w:tc>
        <w:tc>
          <w:tcPr>
            <w:tcW w:w="16757" w:type="dxa"/>
            <w:vAlign w:val="center"/>
          </w:tcPr>
          <w:p w14:paraId="6646E8D7" w14:textId="570B3953" w:rsidR="00164531" w:rsidRPr="00F349EA" w:rsidRDefault="00164531" w:rsidP="00443742">
            <w:pPr>
              <w:spacing w:before="60" w:after="60"/>
              <w:rPr>
                <w:lang w:val="en-GB"/>
              </w:rPr>
            </w:pPr>
            <w:r w:rsidRPr="00F349EA">
              <w:rPr>
                <w:rFonts w:ascii="Arial" w:eastAsia="Times New Roman" w:hAnsi="Arial" w:cs="Arial"/>
                <w:b/>
                <w:bCs/>
                <w:lang w:val="en-GB" w:eastAsia="en-GB"/>
              </w:rPr>
              <w:t>Progressing</w:t>
            </w:r>
            <w:r w:rsidRPr="00F349EA">
              <w:rPr>
                <w:lang w:val="en-GB"/>
              </w:rPr>
              <w:t xml:space="preserve"> – We are making measurable progress against </w:t>
            </w:r>
            <w:r w:rsidR="000033AE" w:rsidRPr="00F349EA">
              <w:rPr>
                <w:lang w:val="en-GB"/>
              </w:rPr>
              <w:t xml:space="preserve">delivery of </w:t>
            </w:r>
            <w:r w:rsidRPr="00F349EA">
              <w:rPr>
                <w:lang w:val="en-GB"/>
              </w:rPr>
              <w:t xml:space="preserve">our </w:t>
            </w:r>
            <w:r w:rsidRPr="00F349EA">
              <w:rPr>
                <w:rFonts w:ascii="Arial" w:eastAsia="Times New Roman" w:hAnsi="Arial" w:cs="Arial"/>
                <w:lang w:val="en-GB" w:eastAsia="en-GB"/>
              </w:rPr>
              <w:t>OKR measure this quarter</w:t>
            </w:r>
            <w:r w:rsidRPr="00F349EA">
              <w:rPr>
                <w:lang w:val="en-GB"/>
              </w:rPr>
              <w:t xml:space="preserve"> but </w:t>
            </w:r>
            <w:r w:rsidR="00A945A1" w:rsidRPr="00F349EA">
              <w:rPr>
                <w:lang w:val="en-GB"/>
              </w:rPr>
              <w:t>remain</w:t>
            </w:r>
            <w:r w:rsidRPr="00F349EA">
              <w:rPr>
                <w:lang w:val="en-GB"/>
              </w:rPr>
              <w:t xml:space="preserve"> short of our target.</w:t>
            </w:r>
          </w:p>
        </w:tc>
      </w:tr>
      <w:tr w:rsidR="00164531" w:rsidRPr="00F349EA" w14:paraId="697C4498" w14:textId="77777777" w:rsidTr="00720A36">
        <w:trPr>
          <w:trHeight w:val="567"/>
        </w:trPr>
        <w:tc>
          <w:tcPr>
            <w:tcW w:w="2405" w:type="dxa"/>
            <w:vAlign w:val="center"/>
          </w:tcPr>
          <w:p w14:paraId="05E980ED" w14:textId="3E06E3C9" w:rsidR="00164531" w:rsidRPr="00F349EA" w:rsidRDefault="00164531" w:rsidP="00443742">
            <w:pPr>
              <w:rPr>
                <w:rFonts w:ascii="Arial" w:eastAsia="Times New Roman" w:hAnsi="Arial" w:cs="Arial"/>
                <w:lang w:val="en-GB" w:eastAsia="en-GB"/>
              </w:rPr>
            </w:pPr>
            <w:r w:rsidRPr="00F349EA">
              <w:rPr>
                <w:rFonts w:ascii="Arial" w:eastAsia="Times New Roman" w:hAnsi="Arial" w:cs="Arial"/>
                <w:lang w:val="en-GB" w:eastAsia="en-GB"/>
              </w:rPr>
              <w:t>0.00 to 0.30</w:t>
            </w:r>
          </w:p>
        </w:tc>
        <w:tc>
          <w:tcPr>
            <w:tcW w:w="1245" w:type="dxa"/>
            <w:vAlign w:val="center"/>
          </w:tcPr>
          <w:p w14:paraId="23B50908" w14:textId="71C8703D" w:rsidR="00164531" w:rsidRPr="00F349EA" w:rsidRDefault="00164531" w:rsidP="005118E6">
            <w:pPr>
              <w:jc w:val="center"/>
              <w:rPr>
                <w:b/>
                <w:bCs/>
                <w:lang w:val="en-GB"/>
              </w:rPr>
            </w:pPr>
            <w:r w:rsidRPr="0026419D">
              <w:rPr>
                <w:b/>
                <w:noProof/>
              </w:rPr>
              <w:drawing>
                <wp:inline distT="0" distB="0" distL="0" distR="0" wp14:anchorId="3186C228" wp14:editId="62F6F7C9">
                  <wp:extent cx="360000" cy="360000"/>
                  <wp:effectExtent l="0" t="0" r="2540" b="2540"/>
                  <wp:docPr id="79209360" name="Graphic 26" descr="Icon of a circle badge with a flat horizontal line inside. Represents where we did not make  measurable progress towards out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9360" name="Graphic 26" descr="Icon of a circle badge with a flat horizontal line inside. Represents where we did not make  measurable progress towards out OKR measure this quarter."/>
                          <pic:cNvPicPr/>
                        </pic:nvPicPr>
                        <pic:blipFill>
                          <a:blip r:embed="rId29">
                            <a:extLst>
                              <a:ext uri="{96DAC541-7B7A-43D3-8B79-37D633B846F1}">
                                <asvg:svgBlip xmlns:asvg="http://schemas.microsoft.com/office/drawing/2016/SVG/main" r:embed="rId30"/>
                              </a:ext>
                            </a:extLst>
                          </a:blip>
                          <a:stretch>
                            <a:fillRect/>
                          </a:stretch>
                        </pic:blipFill>
                        <pic:spPr>
                          <a:xfrm>
                            <a:off x="0" y="0"/>
                            <a:ext cx="360000" cy="360000"/>
                          </a:xfrm>
                          <a:prstGeom prst="rect">
                            <a:avLst/>
                          </a:prstGeom>
                        </pic:spPr>
                      </pic:pic>
                    </a:graphicData>
                  </a:graphic>
                </wp:inline>
              </w:drawing>
            </w:r>
          </w:p>
        </w:tc>
        <w:tc>
          <w:tcPr>
            <w:tcW w:w="16757" w:type="dxa"/>
            <w:vAlign w:val="center"/>
          </w:tcPr>
          <w:p w14:paraId="3AEDBC72" w14:textId="25AA2745" w:rsidR="00164531" w:rsidRPr="00F349EA" w:rsidRDefault="00164531" w:rsidP="00443742">
            <w:pPr>
              <w:spacing w:before="60" w:after="60"/>
              <w:rPr>
                <w:lang w:val="en-GB"/>
              </w:rPr>
            </w:pPr>
            <w:r w:rsidRPr="00F349EA">
              <w:rPr>
                <w:rFonts w:ascii="Arial" w:eastAsia="Times New Roman" w:hAnsi="Arial" w:cs="Arial"/>
                <w:b/>
                <w:bCs/>
                <w:lang w:val="en-GB" w:eastAsia="en-GB"/>
              </w:rPr>
              <w:t>No progression</w:t>
            </w:r>
            <w:r w:rsidRPr="00F349EA">
              <w:rPr>
                <w:rFonts w:ascii="Arial" w:eastAsia="Times New Roman" w:hAnsi="Arial" w:cs="Arial"/>
                <w:lang w:val="en-GB" w:eastAsia="en-GB"/>
              </w:rPr>
              <w:t xml:space="preserve"> – We did not make </w:t>
            </w:r>
            <w:r w:rsidR="09A1E69E" w:rsidRPr="00F349EA">
              <w:rPr>
                <w:rFonts w:ascii="Arial" w:eastAsia="Times New Roman" w:hAnsi="Arial" w:cs="Arial"/>
                <w:lang w:val="en-GB" w:eastAsia="en-GB"/>
              </w:rPr>
              <w:t xml:space="preserve">significant </w:t>
            </w:r>
            <w:r w:rsidRPr="00F349EA">
              <w:rPr>
                <w:rFonts w:ascii="Arial" w:eastAsia="Times New Roman" w:hAnsi="Arial" w:cs="Arial"/>
                <w:lang w:val="en-GB" w:eastAsia="en-GB"/>
              </w:rPr>
              <w:t xml:space="preserve">measurable progress towards </w:t>
            </w:r>
            <w:r w:rsidR="000033AE" w:rsidRPr="00F349EA">
              <w:rPr>
                <w:rFonts w:ascii="Arial" w:eastAsia="Times New Roman" w:hAnsi="Arial" w:cs="Arial"/>
                <w:lang w:val="en-GB" w:eastAsia="en-GB"/>
              </w:rPr>
              <w:t xml:space="preserve">delivery of </w:t>
            </w:r>
            <w:r w:rsidRPr="00F349EA">
              <w:rPr>
                <w:rFonts w:ascii="Arial" w:eastAsia="Times New Roman" w:hAnsi="Arial" w:cs="Arial"/>
                <w:lang w:val="en-GB" w:eastAsia="en-GB"/>
              </w:rPr>
              <w:t>our OKR measure this quarter.</w:t>
            </w:r>
          </w:p>
        </w:tc>
      </w:tr>
      <w:tr w:rsidR="00164531" w:rsidRPr="00F349EA" w14:paraId="254830AC" w14:textId="77777777" w:rsidTr="00720A36">
        <w:trPr>
          <w:trHeight w:val="567"/>
        </w:trPr>
        <w:tc>
          <w:tcPr>
            <w:tcW w:w="2405" w:type="dxa"/>
            <w:vAlign w:val="center"/>
          </w:tcPr>
          <w:p w14:paraId="67E62717" w14:textId="7AACFB98" w:rsidR="00164531" w:rsidRPr="00F349EA" w:rsidRDefault="00164531" w:rsidP="00443742">
            <w:pPr>
              <w:textAlignment w:val="baseline"/>
              <w:rPr>
                <w:rFonts w:ascii="Arial" w:eastAsia="Times New Roman" w:hAnsi="Arial" w:cs="Arial"/>
                <w:szCs w:val="28"/>
                <w:lang w:val="en-GB" w:eastAsia="en-GB"/>
              </w:rPr>
            </w:pPr>
            <w:r w:rsidRPr="00F349EA">
              <w:rPr>
                <w:rFonts w:ascii="Arial" w:eastAsia="Times New Roman" w:hAnsi="Arial" w:cs="Arial"/>
                <w:szCs w:val="28"/>
                <w:lang w:val="en-GB" w:eastAsia="en-GB"/>
              </w:rPr>
              <w:t>Not applicable</w:t>
            </w:r>
          </w:p>
        </w:tc>
        <w:tc>
          <w:tcPr>
            <w:tcW w:w="1245" w:type="dxa"/>
            <w:vAlign w:val="center"/>
          </w:tcPr>
          <w:p w14:paraId="5F607B6B" w14:textId="59066F76" w:rsidR="00164531" w:rsidRPr="00F349EA" w:rsidRDefault="00164531" w:rsidP="005118E6">
            <w:pPr>
              <w:jc w:val="center"/>
              <w:textAlignment w:val="baseline"/>
              <w:rPr>
                <w:rFonts w:ascii="Arial" w:eastAsia="Times New Roman" w:hAnsi="Arial" w:cs="Arial"/>
                <w:szCs w:val="28"/>
                <w:lang w:val="en-GB" w:eastAsia="en-GB"/>
              </w:rPr>
            </w:pPr>
            <w:r w:rsidRPr="0026419D">
              <w:rPr>
                <w:b/>
                <w:noProof/>
              </w:rPr>
              <w:drawing>
                <wp:inline distT="0" distB="0" distL="0" distR="0" wp14:anchorId="66EEE824" wp14:editId="02A1CC31">
                  <wp:extent cx="360000" cy="360000"/>
                  <wp:effectExtent l="0" t="0" r="2540" b="2540"/>
                  <wp:docPr id="1728373149"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6757" w:type="dxa"/>
            <w:vAlign w:val="center"/>
          </w:tcPr>
          <w:p w14:paraId="1359C9F0" w14:textId="33C3BDE0" w:rsidR="00164531" w:rsidRPr="00F349EA" w:rsidRDefault="00164531" w:rsidP="00443742">
            <w:pPr>
              <w:spacing w:before="60" w:after="60"/>
              <w:rPr>
                <w:lang w:val="en-GB"/>
              </w:rPr>
            </w:pPr>
            <w:r w:rsidRPr="00F349EA">
              <w:rPr>
                <w:rFonts w:ascii="Arial" w:eastAsia="Times New Roman" w:hAnsi="Arial" w:cs="Arial"/>
                <w:b/>
                <w:bCs/>
                <w:szCs w:val="28"/>
                <w:lang w:val="en-GB" w:eastAsia="en-GB"/>
              </w:rPr>
              <w:t>Not started</w:t>
            </w:r>
            <w:r w:rsidRPr="00F349EA">
              <w:rPr>
                <w:rFonts w:ascii="Arial" w:eastAsia="Times New Roman" w:hAnsi="Arial" w:cs="Arial"/>
                <w:szCs w:val="28"/>
                <w:lang w:val="en-GB" w:eastAsia="en-GB"/>
              </w:rPr>
              <w:t xml:space="preserve"> – Activity has not yet started or is not yet due for our OKR measure this quarter.</w:t>
            </w:r>
          </w:p>
        </w:tc>
      </w:tr>
      <w:tr w:rsidR="00164531" w:rsidRPr="00F349EA" w14:paraId="53B987FD" w14:textId="77777777" w:rsidTr="00720A36">
        <w:trPr>
          <w:trHeight w:val="567"/>
        </w:trPr>
        <w:tc>
          <w:tcPr>
            <w:tcW w:w="2405" w:type="dxa"/>
            <w:vAlign w:val="center"/>
          </w:tcPr>
          <w:p w14:paraId="7F2B954F" w14:textId="7649994A" w:rsidR="00164531" w:rsidRPr="00F349EA" w:rsidRDefault="00164531" w:rsidP="00443742">
            <w:pPr>
              <w:rPr>
                <w:rFonts w:ascii="Arial" w:eastAsia="Times New Roman" w:hAnsi="Arial" w:cs="Arial"/>
                <w:szCs w:val="28"/>
                <w:lang w:val="en-GB" w:eastAsia="en-GB"/>
              </w:rPr>
            </w:pPr>
            <w:r w:rsidRPr="00F349EA">
              <w:rPr>
                <w:rFonts w:ascii="Arial" w:eastAsia="Times New Roman" w:hAnsi="Arial" w:cs="Arial"/>
                <w:szCs w:val="28"/>
                <w:lang w:val="en-GB" w:eastAsia="en-GB"/>
              </w:rPr>
              <w:t>Not applicable</w:t>
            </w:r>
          </w:p>
        </w:tc>
        <w:tc>
          <w:tcPr>
            <w:tcW w:w="1245" w:type="dxa"/>
            <w:vAlign w:val="center"/>
          </w:tcPr>
          <w:p w14:paraId="5D8004B5" w14:textId="764758D6" w:rsidR="00164531" w:rsidRPr="00F349EA" w:rsidRDefault="00164531" w:rsidP="005118E6">
            <w:pPr>
              <w:jc w:val="center"/>
              <w:rPr>
                <w:b/>
                <w:bCs/>
                <w:lang w:val="en-GB"/>
              </w:rPr>
            </w:pPr>
            <w:r w:rsidRPr="0026419D">
              <w:rPr>
                <w:b/>
                <w:noProof/>
              </w:rPr>
              <w:drawing>
                <wp:inline distT="0" distB="0" distL="0" distR="0" wp14:anchorId="2A27EFDF" wp14:editId="066C47DF">
                  <wp:extent cx="432000" cy="432000"/>
                  <wp:effectExtent l="0" t="0" r="0" b="0"/>
                  <wp:docPr id="173643512" name="Graphic 24" descr="Icon of a checkbox which has a tick with solid fill. Represents where an OKR measure is complete and the deadline for completion has 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3512" name="Graphic 24" descr="Icon of a checkbox which has a tick with solid fill. Represents where an OKR measure is complete and the deadline for completion has passed."/>
                          <pic:cNvPicPr/>
                        </pic:nvPicPr>
                        <pic:blipFill>
                          <a:blip r:embed="rId33">
                            <a:extLst>
                              <a:ext uri="{96DAC541-7B7A-43D3-8B79-37D633B846F1}">
                                <asvg:svgBlip xmlns:asvg="http://schemas.microsoft.com/office/drawing/2016/SVG/main" r:embed="rId34"/>
                              </a:ext>
                            </a:extLst>
                          </a:blip>
                          <a:stretch>
                            <a:fillRect/>
                          </a:stretch>
                        </pic:blipFill>
                        <pic:spPr>
                          <a:xfrm>
                            <a:off x="0" y="0"/>
                            <a:ext cx="432000" cy="432000"/>
                          </a:xfrm>
                          <a:prstGeom prst="rect">
                            <a:avLst/>
                          </a:prstGeom>
                        </pic:spPr>
                      </pic:pic>
                    </a:graphicData>
                  </a:graphic>
                </wp:inline>
              </w:drawing>
            </w:r>
          </w:p>
        </w:tc>
        <w:tc>
          <w:tcPr>
            <w:tcW w:w="16757" w:type="dxa"/>
            <w:vAlign w:val="center"/>
          </w:tcPr>
          <w:p w14:paraId="0050FF6B" w14:textId="1C2E77AA" w:rsidR="00164531" w:rsidRPr="00F349EA" w:rsidRDefault="00164531" w:rsidP="00443742">
            <w:pPr>
              <w:spacing w:before="60" w:after="60"/>
              <w:rPr>
                <w:lang w:val="en-GB"/>
              </w:rPr>
            </w:pPr>
            <w:r w:rsidRPr="00F349EA">
              <w:rPr>
                <w:b/>
                <w:bCs/>
                <w:lang w:val="en-GB"/>
              </w:rPr>
              <w:t>Complete</w:t>
            </w:r>
            <w:r w:rsidRPr="00F349EA">
              <w:rPr>
                <w:lang w:val="en-GB"/>
              </w:rPr>
              <w:t xml:space="preserve"> – The OKR measure is complete and the deadline for completion has passed.</w:t>
            </w:r>
          </w:p>
        </w:tc>
      </w:tr>
    </w:tbl>
    <w:p w14:paraId="18C16237" w14:textId="2EADA253" w:rsidR="00C65366" w:rsidRPr="00F349EA" w:rsidRDefault="00CB0A95" w:rsidP="00E01430">
      <w:pPr>
        <w:spacing w:before="240" w:after="120"/>
        <w:rPr>
          <w:b/>
          <w:bCs/>
          <w:color w:val="016574"/>
        </w:rPr>
      </w:pPr>
      <w:r w:rsidRPr="00F349EA">
        <w:rPr>
          <w:b/>
          <w:bCs/>
          <w:color w:val="016574"/>
        </w:rPr>
        <w:t xml:space="preserve">Key results and Objectives </w:t>
      </w:r>
      <w:r w:rsidR="00EE3987" w:rsidRPr="00F349EA">
        <w:rPr>
          <w:b/>
          <w:bCs/>
          <w:color w:val="016574"/>
        </w:rPr>
        <w:t xml:space="preserve">Scoring </w:t>
      </w:r>
      <w:r w:rsidR="00C65366" w:rsidRPr="00F349EA">
        <w:rPr>
          <w:b/>
          <w:bCs/>
          <w:color w:val="016574"/>
        </w:rPr>
        <w:t>Guidance</w:t>
      </w:r>
    </w:p>
    <w:p w14:paraId="4532AC2D" w14:textId="77777777" w:rsidR="001B10D8" w:rsidRPr="00F349EA" w:rsidRDefault="001B10D8" w:rsidP="001B10D8">
      <w:pPr>
        <w:spacing w:after="120"/>
        <w:rPr>
          <w:szCs w:val="28"/>
        </w:rPr>
      </w:pPr>
      <w:r w:rsidRPr="00F349EA">
        <w:rPr>
          <w:szCs w:val="28"/>
        </w:rPr>
        <w:t xml:space="preserve">When reviewing the OKRs scoring in the report, please consider the guidance below: </w:t>
      </w:r>
    </w:p>
    <w:p w14:paraId="0CD90423" w14:textId="06346CF6" w:rsidR="007E6F46" w:rsidRPr="00F349EA" w:rsidRDefault="007E4BD9" w:rsidP="007E6F46">
      <w:pPr>
        <w:spacing w:before="240" w:after="120"/>
        <w:rPr>
          <w:szCs w:val="28"/>
        </w:rPr>
      </w:pPr>
      <w:r w:rsidRPr="00F349EA">
        <w:rPr>
          <w:b/>
          <w:bCs/>
          <w:szCs w:val="28"/>
        </w:rPr>
        <w:t>Key results scores</w:t>
      </w:r>
      <w:r w:rsidRPr="00F349EA">
        <w:rPr>
          <w:szCs w:val="28"/>
        </w:rPr>
        <w:t xml:space="preserve"> </w:t>
      </w:r>
    </w:p>
    <w:p w14:paraId="5848B765" w14:textId="39870BB5" w:rsidR="007E6F46" w:rsidRPr="00F349EA" w:rsidRDefault="007E4BD9" w:rsidP="00073EFA">
      <w:pPr>
        <w:pStyle w:val="ListParagraph"/>
        <w:numPr>
          <w:ilvl w:val="0"/>
          <w:numId w:val="35"/>
        </w:numPr>
        <w:spacing w:after="120" w:line="360" w:lineRule="auto"/>
        <w:rPr>
          <w:sz w:val="24"/>
          <w:lang w:val="en-GB"/>
        </w:rPr>
      </w:pPr>
      <w:r w:rsidRPr="00F349EA">
        <w:rPr>
          <w:sz w:val="24"/>
          <w:lang w:val="en-GB"/>
        </w:rPr>
        <w:t>Key results are scored on a sliding scale between 0 and 1</w:t>
      </w:r>
      <w:r w:rsidR="00970DDC" w:rsidRPr="00F349EA">
        <w:rPr>
          <w:sz w:val="24"/>
          <w:lang w:val="en-GB"/>
        </w:rPr>
        <w:t xml:space="preserve">, with 1 representing 100% </w:t>
      </w:r>
      <w:r w:rsidR="007E6F46" w:rsidRPr="00F349EA">
        <w:rPr>
          <w:sz w:val="24"/>
          <w:lang w:val="en-GB"/>
        </w:rPr>
        <w:t>delivery</w:t>
      </w:r>
      <w:r w:rsidRPr="00F349EA">
        <w:rPr>
          <w:sz w:val="24"/>
          <w:lang w:val="en-GB"/>
        </w:rPr>
        <w:t xml:space="preserve">. </w:t>
      </w:r>
    </w:p>
    <w:p w14:paraId="27BDAD5C" w14:textId="482EFCE5" w:rsidR="007E6F46" w:rsidRPr="00F349EA" w:rsidRDefault="00E64838" w:rsidP="007E6F46">
      <w:pPr>
        <w:pStyle w:val="ListParagraph"/>
        <w:numPr>
          <w:ilvl w:val="0"/>
          <w:numId w:val="35"/>
        </w:numPr>
        <w:spacing w:before="240" w:after="120" w:line="360" w:lineRule="auto"/>
        <w:rPr>
          <w:sz w:val="24"/>
          <w:lang w:val="en-GB"/>
        </w:rPr>
      </w:pPr>
      <w:r w:rsidRPr="00F349EA">
        <w:rPr>
          <w:sz w:val="24"/>
          <w:lang w:val="en-GB"/>
        </w:rPr>
        <w:t>Key result s</w:t>
      </w:r>
      <w:r w:rsidR="007E4BD9" w:rsidRPr="00F349EA">
        <w:rPr>
          <w:sz w:val="24"/>
          <w:lang w:val="en-GB"/>
        </w:rPr>
        <w:t>cores are typically set to measure the desired outcomes, not actions or activity. The score therefore aims to show what has been delivered in the quarter in terms of quantifiable impact or change, not what activity may have been undertaken. As a result, a KR can be scored ‘0’ or N/A and still be on track for delivery by the due date. </w:t>
      </w:r>
    </w:p>
    <w:p w14:paraId="19F3D7DC" w14:textId="37153098" w:rsidR="007E4BD9" w:rsidRPr="00F349EA" w:rsidRDefault="00E75C42" w:rsidP="007E6F46">
      <w:pPr>
        <w:pStyle w:val="ListParagraph"/>
        <w:numPr>
          <w:ilvl w:val="0"/>
          <w:numId w:val="35"/>
        </w:numPr>
        <w:spacing w:before="240" w:after="120" w:line="360" w:lineRule="auto"/>
        <w:rPr>
          <w:sz w:val="24"/>
          <w:lang w:val="en-GB"/>
        </w:rPr>
      </w:pPr>
      <w:r w:rsidRPr="00F349EA">
        <w:rPr>
          <w:sz w:val="24"/>
          <w:lang w:val="en-GB"/>
        </w:rPr>
        <w:t xml:space="preserve">For example, </w:t>
      </w:r>
      <w:r w:rsidR="69C24AD7" w:rsidRPr="0BA11846">
        <w:rPr>
          <w:sz w:val="24"/>
          <w:lang w:val="en-GB"/>
        </w:rPr>
        <w:t>let us</w:t>
      </w:r>
      <w:r w:rsidR="00512FA9" w:rsidRPr="00F349EA">
        <w:rPr>
          <w:sz w:val="24"/>
          <w:lang w:val="en-GB"/>
        </w:rPr>
        <w:t xml:space="preserve"> assume</w:t>
      </w:r>
      <w:r w:rsidR="001B3FC0" w:rsidRPr="00F349EA">
        <w:rPr>
          <w:sz w:val="24"/>
          <w:lang w:val="en-GB"/>
        </w:rPr>
        <w:t xml:space="preserve"> we have a key result to ‘</w:t>
      </w:r>
      <w:r w:rsidR="001B3FC0" w:rsidRPr="00F349EA">
        <w:rPr>
          <w:i/>
          <w:iCs/>
          <w:sz w:val="24"/>
          <w:lang w:val="en-GB"/>
        </w:rPr>
        <w:t>Replace 1000 monitoring stations by Q1’</w:t>
      </w:r>
      <w:r w:rsidR="00512FA9" w:rsidRPr="00F349EA">
        <w:rPr>
          <w:sz w:val="24"/>
          <w:lang w:val="en-GB"/>
        </w:rPr>
        <w:t xml:space="preserve">. If we replace </w:t>
      </w:r>
      <w:r w:rsidR="00487875" w:rsidRPr="00F349EA">
        <w:rPr>
          <w:sz w:val="24"/>
          <w:lang w:val="en-GB"/>
        </w:rPr>
        <w:t xml:space="preserve">300 monitoring stations, </w:t>
      </w:r>
      <w:r w:rsidR="005F5504" w:rsidRPr="00F349EA">
        <w:rPr>
          <w:sz w:val="24"/>
          <w:lang w:val="en-GB"/>
        </w:rPr>
        <w:t>the key result would be scored as</w:t>
      </w:r>
      <w:r w:rsidR="00487875" w:rsidRPr="0BA11846">
        <w:rPr>
          <w:sz w:val="28"/>
          <w:szCs w:val="28"/>
          <w:lang w:val="en-GB"/>
        </w:rPr>
        <w:t xml:space="preserve"> </w:t>
      </w:r>
      <w:r w:rsidR="00487875" w:rsidRPr="0BA11846">
        <w:rPr>
          <w:sz w:val="24"/>
          <w:lang w:val="en-GB"/>
        </w:rPr>
        <w:t xml:space="preserve">0.3. </w:t>
      </w:r>
      <w:r w:rsidR="002455E2" w:rsidRPr="00F349EA">
        <w:rPr>
          <w:sz w:val="24"/>
          <w:lang w:val="en-GB"/>
        </w:rPr>
        <w:t>If we replace 950 monitoring stations, the key result would be scored as</w:t>
      </w:r>
      <w:r w:rsidR="002455E2" w:rsidRPr="0BA11846">
        <w:rPr>
          <w:sz w:val="28"/>
          <w:szCs w:val="28"/>
          <w:lang w:val="en-GB"/>
        </w:rPr>
        <w:t xml:space="preserve"> </w:t>
      </w:r>
      <w:r w:rsidR="002455E2" w:rsidRPr="0BA11846">
        <w:rPr>
          <w:sz w:val="24"/>
          <w:lang w:val="en-GB"/>
        </w:rPr>
        <w:t>0.95.</w:t>
      </w:r>
    </w:p>
    <w:p w14:paraId="137F583D" w14:textId="772C1D85" w:rsidR="00E916C7" w:rsidRPr="00F349EA" w:rsidRDefault="00E916C7" w:rsidP="007E6F46">
      <w:pPr>
        <w:pStyle w:val="ListParagraph"/>
        <w:numPr>
          <w:ilvl w:val="0"/>
          <w:numId w:val="35"/>
        </w:numPr>
        <w:spacing w:before="240" w:after="120" w:line="360" w:lineRule="auto"/>
        <w:rPr>
          <w:sz w:val="24"/>
          <w:szCs w:val="32"/>
          <w:lang w:val="en-GB"/>
        </w:rPr>
      </w:pPr>
      <w:r w:rsidRPr="00F349EA">
        <w:rPr>
          <w:sz w:val="24"/>
          <w:szCs w:val="32"/>
          <w:lang w:val="en-GB"/>
        </w:rPr>
        <w:t>As key results are</w:t>
      </w:r>
      <w:r w:rsidR="00BD44F9" w:rsidRPr="00F349EA">
        <w:rPr>
          <w:sz w:val="24"/>
          <w:szCs w:val="32"/>
          <w:lang w:val="en-GB"/>
        </w:rPr>
        <w:t xml:space="preserve"> designed to drive ambitious</w:t>
      </w:r>
      <w:r w:rsidR="00EC06F1" w:rsidRPr="00F349EA">
        <w:rPr>
          <w:sz w:val="24"/>
          <w:szCs w:val="32"/>
          <w:lang w:val="en-GB"/>
        </w:rPr>
        <w:t>,</w:t>
      </w:r>
      <w:r w:rsidR="00DD1D84" w:rsidRPr="00F349EA">
        <w:rPr>
          <w:sz w:val="24"/>
          <w:szCs w:val="32"/>
          <w:lang w:val="en-GB"/>
        </w:rPr>
        <w:t xml:space="preserve"> stretch goals with</w:t>
      </w:r>
      <w:r w:rsidR="00BD44F9" w:rsidRPr="00F349EA">
        <w:rPr>
          <w:sz w:val="24"/>
          <w:szCs w:val="32"/>
          <w:lang w:val="en-GB"/>
        </w:rPr>
        <w:t xml:space="preserve"> measurable change and impact</w:t>
      </w:r>
      <w:r w:rsidR="00DD1D84" w:rsidRPr="00F349EA">
        <w:rPr>
          <w:sz w:val="24"/>
          <w:szCs w:val="32"/>
          <w:lang w:val="en-GB"/>
        </w:rPr>
        <w:t>,</w:t>
      </w:r>
      <w:r w:rsidR="00BD44F9" w:rsidRPr="00F349EA">
        <w:rPr>
          <w:sz w:val="24"/>
          <w:szCs w:val="32"/>
          <w:lang w:val="en-GB"/>
        </w:rPr>
        <w:t xml:space="preserve"> any score over 0.70 is considered</w:t>
      </w:r>
      <w:r w:rsidR="00DD1D84" w:rsidRPr="00F349EA">
        <w:rPr>
          <w:sz w:val="24"/>
          <w:szCs w:val="32"/>
          <w:lang w:val="en-GB"/>
        </w:rPr>
        <w:t xml:space="preserve"> as delivering against the measure.</w:t>
      </w:r>
    </w:p>
    <w:p w14:paraId="38311C04" w14:textId="77777777" w:rsidR="007E6F46" w:rsidRPr="00F349EA" w:rsidRDefault="007E4BD9" w:rsidP="007E4BD9">
      <w:pPr>
        <w:spacing w:before="240" w:after="120"/>
        <w:rPr>
          <w:szCs w:val="28"/>
        </w:rPr>
      </w:pPr>
      <w:r w:rsidRPr="00F349EA">
        <w:rPr>
          <w:b/>
          <w:bCs/>
          <w:szCs w:val="28"/>
        </w:rPr>
        <w:t>Overall objective score</w:t>
      </w:r>
      <w:r w:rsidRPr="00F349EA">
        <w:rPr>
          <w:szCs w:val="28"/>
        </w:rPr>
        <w:t xml:space="preserve"> </w:t>
      </w:r>
    </w:p>
    <w:p w14:paraId="3687F46E" w14:textId="35DCC008" w:rsidR="007E6F46" w:rsidRPr="00F349EA" w:rsidRDefault="00287965" w:rsidP="00073EFA">
      <w:pPr>
        <w:pStyle w:val="ListParagraph"/>
        <w:numPr>
          <w:ilvl w:val="0"/>
          <w:numId w:val="35"/>
        </w:numPr>
        <w:spacing w:after="120" w:line="360" w:lineRule="auto"/>
        <w:rPr>
          <w:sz w:val="24"/>
          <w:szCs w:val="32"/>
          <w:lang w:val="en-GB"/>
        </w:rPr>
      </w:pPr>
      <w:r w:rsidRPr="00F349EA">
        <w:rPr>
          <w:sz w:val="24"/>
          <w:szCs w:val="32"/>
          <w:lang w:val="en-GB"/>
        </w:rPr>
        <w:t>An o</w:t>
      </w:r>
      <w:r w:rsidR="00E75C42" w:rsidRPr="00F349EA">
        <w:rPr>
          <w:sz w:val="24"/>
          <w:szCs w:val="32"/>
          <w:lang w:val="en-GB"/>
        </w:rPr>
        <w:t xml:space="preserve">verall objective score </w:t>
      </w:r>
      <w:r w:rsidR="007E4BD9" w:rsidRPr="00F349EA">
        <w:rPr>
          <w:sz w:val="24"/>
          <w:szCs w:val="32"/>
          <w:lang w:val="en-GB"/>
        </w:rPr>
        <w:t>equate</w:t>
      </w:r>
      <w:r w:rsidRPr="00F349EA">
        <w:rPr>
          <w:sz w:val="24"/>
          <w:szCs w:val="32"/>
          <w:lang w:val="en-GB"/>
        </w:rPr>
        <w:t>s</w:t>
      </w:r>
      <w:r w:rsidR="007E4BD9" w:rsidRPr="00F349EA">
        <w:rPr>
          <w:sz w:val="24"/>
          <w:szCs w:val="32"/>
          <w:lang w:val="en-GB"/>
        </w:rPr>
        <w:t xml:space="preserve"> to the cumulative score of each key result, divided by the number of relevant key results. </w:t>
      </w:r>
    </w:p>
    <w:p w14:paraId="3AACD502" w14:textId="36FD8831" w:rsidR="007E4BD9" w:rsidRPr="00F349EA" w:rsidRDefault="007E4BD9" w:rsidP="007E6F46">
      <w:pPr>
        <w:pStyle w:val="ListParagraph"/>
        <w:numPr>
          <w:ilvl w:val="0"/>
          <w:numId w:val="35"/>
        </w:numPr>
        <w:spacing w:before="240" w:after="120" w:line="360" w:lineRule="auto"/>
        <w:rPr>
          <w:sz w:val="24"/>
          <w:lang w:val="en-GB"/>
        </w:rPr>
      </w:pPr>
      <w:r w:rsidRPr="00F349EA">
        <w:rPr>
          <w:sz w:val="24"/>
          <w:lang w:val="en-GB"/>
        </w:rPr>
        <w:t xml:space="preserve">For example, assuming we have three KRs with scores provided, </w:t>
      </w:r>
      <w:r w:rsidR="00DB038A" w:rsidRPr="00F349EA">
        <w:rPr>
          <w:sz w:val="24"/>
          <w:lang w:val="en-GB"/>
        </w:rPr>
        <w:t>the calculation</w:t>
      </w:r>
      <w:r w:rsidRPr="00F349EA">
        <w:rPr>
          <w:sz w:val="24"/>
          <w:lang w:val="en-GB"/>
        </w:rPr>
        <w:t xml:space="preserve"> would be</w:t>
      </w:r>
      <w:r w:rsidR="00DB038A" w:rsidRPr="00F349EA">
        <w:rPr>
          <w:sz w:val="24"/>
          <w:lang w:val="en-GB"/>
        </w:rPr>
        <w:t xml:space="preserve"> </w:t>
      </w:r>
      <w:r w:rsidR="00287965" w:rsidRPr="00F349EA">
        <w:rPr>
          <w:sz w:val="24"/>
          <w:lang w:val="en-GB"/>
        </w:rPr>
        <w:t>‘</w:t>
      </w:r>
      <w:r w:rsidR="00DB038A" w:rsidRPr="00F349EA">
        <w:rPr>
          <w:sz w:val="24"/>
          <w:lang w:val="en-GB"/>
        </w:rPr>
        <w:t>KR</w:t>
      </w:r>
      <w:r w:rsidRPr="00F349EA">
        <w:rPr>
          <w:sz w:val="24"/>
          <w:lang w:val="en-GB"/>
        </w:rPr>
        <w:t>1</w:t>
      </w:r>
      <w:r w:rsidR="00E75C42" w:rsidRPr="00F349EA">
        <w:rPr>
          <w:sz w:val="24"/>
          <w:lang w:val="en-GB"/>
        </w:rPr>
        <w:t xml:space="preserve"> score</w:t>
      </w:r>
      <w:r w:rsidRPr="00F349EA">
        <w:rPr>
          <w:sz w:val="24"/>
          <w:lang w:val="en-GB"/>
        </w:rPr>
        <w:t xml:space="preserve"> + </w:t>
      </w:r>
      <w:r w:rsidR="00DB038A" w:rsidRPr="00F349EA">
        <w:rPr>
          <w:sz w:val="24"/>
          <w:lang w:val="en-GB"/>
        </w:rPr>
        <w:t>KR2</w:t>
      </w:r>
      <w:r w:rsidR="00E75C42" w:rsidRPr="00F349EA">
        <w:rPr>
          <w:sz w:val="24"/>
          <w:lang w:val="en-GB"/>
        </w:rPr>
        <w:t xml:space="preserve"> score</w:t>
      </w:r>
      <w:r w:rsidRPr="00F349EA">
        <w:rPr>
          <w:sz w:val="24"/>
          <w:lang w:val="en-GB"/>
        </w:rPr>
        <w:t xml:space="preserve"> + </w:t>
      </w:r>
      <w:r w:rsidR="00DB038A" w:rsidRPr="00F349EA">
        <w:rPr>
          <w:sz w:val="24"/>
          <w:lang w:val="en-GB"/>
        </w:rPr>
        <w:t>KR3</w:t>
      </w:r>
      <w:r w:rsidR="00E75C42" w:rsidRPr="00F349EA">
        <w:rPr>
          <w:sz w:val="24"/>
          <w:lang w:val="en-GB"/>
        </w:rPr>
        <w:t xml:space="preserve"> score</w:t>
      </w:r>
      <w:r w:rsidR="00287965" w:rsidRPr="00F349EA">
        <w:rPr>
          <w:sz w:val="24"/>
          <w:lang w:val="en-GB"/>
        </w:rPr>
        <w:t>’</w:t>
      </w:r>
      <w:r w:rsidR="00DB038A" w:rsidRPr="00F349EA">
        <w:rPr>
          <w:sz w:val="24"/>
          <w:lang w:val="en-GB"/>
        </w:rPr>
        <w:t xml:space="preserve"> divided by </w:t>
      </w:r>
      <w:r w:rsidR="00287965" w:rsidRPr="00F349EA">
        <w:rPr>
          <w:sz w:val="24"/>
          <w:lang w:val="en-GB"/>
        </w:rPr>
        <w:t>three</w:t>
      </w:r>
      <w:r w:rsidRPr="00F349EA">
        <w:rPr>
          <w:sz w:val="24"/>
          <w:lang w:val="en-GB"/>
        </w:rPr>
        <w:t xml:space="preserve"> = </w:t>
      </w:r>
      <w:r w:rsidR="00BB5896" w:rsidRPr="00F349EA">
        <w:rPr>
          <w:sz w:val="24"/>
          <w:lang w:val="en-GB"/>
        </w:rPr>
        <w:t>O</w:t>
      </w:r>
      <w:r w:rsidRPr="00F349EA">
        <w:rPr>
          <w:sz w:val="24"/>
          <w:lang w:val="en-GB"/>
        </w:rPr>
        <w:t xml:space="preserve">verall OKR score. If a key result is noted as not </w:t>
      </w:r>
      <w:r w:rsidR="00BB5896" w:rsidRPr="00F349EA">
        <w:rPr>
          <w:sz w:val="24"/>
          <w:lang w:val="en-GB"/>
        </w:rPr>
        <w:t>started</w:t>
      </w:r>
      <w:r w:rsidRPr="00F349EA">
        <w:rPr>
          <w:sz w:val="24"/>
          <w:lang w:val="en-GB"/>
        </w:rPr>
        <w:t xml:space="preserve">, this </w:t>
      </w:r>
      <w:r w:rsidR="1069B97A" w:rsidRPr="00F349EA">
        <w:rPr>
          <w:sz w:val="24"/>
          <w:lang w:val="en-GB"/>
        </w:rPr>
        <w:t>is not</w:t>
      </w:r>
      <w:r w:rsidRPr="00F349EA">
        <w:rPr>
          <w:sz w:val="24"/>
          <w:lang w:val="en-GB"/>
        </w:rPr>
        <w:t xml:space="preserve"> included in the cumulative calculation.</w:t>
      </w:r>
    </w:p>
    <w:p w14:paraId="43D570C8" w14:textId="16EAFE56" w:rsidR="00DD1D84" w:rsidRPr="00F349EA" w:rsidRDefault="00DD1D84" w:rsidP="6F74EC91">
      <w:pPr>
        <w:spacing w:after="120"/>
        <w:rPr>
          <w:b/>
          <w:i/>
          <w:color w:val="016574" w:themeColor="accent2"/>
        </w:rPr>
      </w:pPr>
    </w:p>
    <w:p w14:paraId="17FA0D4B" w14:textId="3083223A" w:rsidR="00DD1D84" w:rsidRPr="00F349EA" w:rsidRDefault="00DD1D84" w:rsidP="00212108">
      <w:pPr>
        <w:tabs>
          <w:tab w:val="left" w:pos="15626"/>
        </w:tabs>
        <w:spacing w:after="120"/>
        <w:rPr>
          <w:b/>
          <w:i/>
          <w:color w:val="016574" w:themeColor="accent2"/>
        </w:rPr>
      </w:pPr>
    </w:p>
    <w:p w14:paraId="09194C74" w14:textId="0415C4D2" w:rsidR="007434AF" w:rsidRPr="00F349EA" w:rsidRDefault="007434AF" w:rsidP="00955EBB">
      <w:pPr>
        <w:spacing w:after="120"/>
        <w:rPr>
          <w:szCs w:val="28"/>
        </w:rPr>
      </w:pPr>
      <w:r w:rsidRPr="00F349EA">
        <w:rPr>
          <w:b/>
          <w:bCs/>
          <w:i/>
          <w:iCs/>
          <w:color w:val="016574"/>
        </w:rPr>
        <w:lastRenderedPageBreak/>
        <w:t xml:space="preserve">Table 2: OKR </w:t>
      </w:r>
      <w:r w:rsidR="009B3470" w:rsidRPr="00F349EA">
        <w:rPr>
          <w:b/>
          <w:bCs/>
          <w:i/>
          <w:iCs/>
          <w:color w:val="016574"/>
        </w:rPr>
        <w:t>progress and e</w:t>
      </w:r>
      <w:r w:rsidR="00737DD5" w:rsidRPr="00F349EA">
        <w:rPr>
          <w:b/>
          <w:bCs/>
          <w:i/>
          <w:iCs/>
          <w:color w:val="016574"/>
        </w:rPr>
        <w:t>x</w:t>
      </w:r>
      <w:r w:rsidR="00E734F3" w:rsidRPr="00F349EA">
        <w:rPr>
          <w:b/>
          <w:bCs/>
          <w:i/>
          <w:iCs/>
          <w:color w:val="016574"/>
        </w:rPr>
        <w:t>c</w:t>
      </w:r>
      <w:r w:rsidR="00C70F98" w:rsidRPr="00F349EA">
        <w:rPr>
          <w:b/>
          <w:bCs/>
          <w:i/>
          <w:iCs/>
          <w:color w:val="016574"/>
        </w:rPr>
        <w:t>eption summary</w:t>
      </w:r>
    </w:p>
    <w:tbl>
      <w:tblPr>
        <w:tblW w:w="2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Table 2: OKR progress and exception summary"/>
        <w:tblDescription w:val="Summary for each of the eleven OKRs, including the OKR code, Corporate Plan priority, objectives and the associated Q1 and Q2 score, Q2 status, and Q2 exception commentary and annual forecast."/>
      </w:tblPr>
      <w:tblGrid>
        <w:gridCol w:w="1014"/>
        <w:gridCol w:w="1761"/>
        <w:gridCol w:w="6434"/>
        <w:gridCol w:w="1134"/>
        <w:gridCol w:w="1134"/>
        <w:gridCol w:w="992"/>
        <w:gridCol w:w="993"/>
        <w:gridCol w:w="1275"/>
        <w:gridCol w:w="5529"/>
        <w:gridCol w:w="1417"/>
      </w:tblGrid>
      <w:tr w:rsidR="00EE211C" w:rsidRPr="00F349EA" w14:paraId="5711599A" w14:textId="17064E5B" w:rsidTr="00D93C60">
        <w:trPr>
          <w:cantSplit/>
          <w:trHeight w:val="534"/>
          <w:tblHeader/>
        </w:trPr>
        <w:tc>
          <w:tcPr>
            <w:tcW w:w="1014" w:type="dxa"/>
            <w:tcBorders>
              <w:bottom w:val="single" w:sz="8" w:space="0" w:color="auto"/>
            </w:tcBorders>
            <w:shd w:val="clear" w:color="auto" w:fill="016574" w:themeFill="accent2"/>
          </w:tcPr>
          <w:p w14:paraId="48380A35" w14:textId="77777777" w:rsidR="00AF5229" w:rsidRPr="00F349EA" w:rsidRDefault="00AF5229" w:rsidP="005B56CB">
            <w:pPr>
              <w:spacing w:before="40" w:after="40" w:line="240" w:lineRule="auto"/>
              <w:textAlignment w:val="baseline"/>
              <w:rPr>
                <w:rFonts w:ascii="Arial" w:eastAsia="Times New Roman" w:hAnsi="Arial" w:cs="Arial"/>
                <w:b/>
                <w:bCs/>
                <w:color w:val="000000"/>
                <w:sz w:val="28"/>
                <w:szCs w:val="28"/>
                <w:lang w:eastAsia="en-GB"/>
              </w:rPr>
            </w:pPr>
            <w:r w:rsidRPr="00F349EA">
              <w:rPr>
                <w:rFonts w:ascii="Arial" w:eastAsia="Times New Roman" w:hAnsi="Arial" w:cs="Arial"/>
                <w:b/>
                <w:bCs/>
                <w:color w:val="FFFFFF" w:themeColor="background1"/>
                <w:sz w:val="28"/>
                <w:szCs w:val="28"/>
                <w:lang w:eastAsia="en-GB"/>
              </w:rPr>
              <w:t>Code</w:t>
            </w:r>
          </w:p>
        </w:tc>
        <w:tc>
          <w:tcPr>
            <w:tcW w:w="1761" w:type="dxa"/>
            <w:tcBorders>
              <w:bottom w:val="single" w:sz="8" w:space="0" w:color="auto"/>
            </w:tcBorders>
            <w:shd w:val="clear" w:color="auto" w:fill="016574" w:themeFill="accent2"/>
          </w:tcPr>
          <w:p w14:paraId="28EC817A" w14:textId="77777777" w:rsidR="00AF5229" w:rsidRPr="00F349EA" w:rsidRDefault="00AF5229" w:rsidP="005B56CB">
            <w:pPr>
              <w:spacing w:before="40" w:after="40" w:line="240" w:lineRule="auto"/>
              <w:textAlignment w:val="baseline"/>
              <w:rPr>
                <w:rFonts w:ascii="Arial" w:eastAsia="MS PGothic" w:hAnsi="Arial" w:cs="Arial"/>
                <w:b/>
                <w:bCs/>
                <w:color w:val="FFFFFF" w:themeColor="background1"/>
                <w:sz w:val="28"/>
                <w:szCs w:val="28"/>
              </w:rPr>
            </w:pPr>
            <w:r w:rsidRPr="00F349EA">
              <w:rPr>
                <w:rFonts w:ascii="Arial" w:eastAsia="MS PGothic" w:hAnsi="Arial" w:cs="Arial"/>
                <w:b/>
                <w:bCs/>
                <w:color w:val="FFFFFF" w:themeColor="background1"/>
                <w:sz w:val="28"/>
                <w:szCs w:val="28"/>
              </w:rPr>
              <w:t>Priority</w:t>
            </w:r>
          </w:p>
        </w:tc>
        <w:tc>
          <w:tcPr>
            <w:tcW w:w="6434" w:type="dxa"/>
            <w:tcBorders>
              <w:bottom w:val="single" w:sz="8" w:space="0" w:color="auto"/>
            </w:tcBorders>
            <w:shd w:val="clear" w:color="auto" w:fill="016574" w:themeFill="accent2"/>
          </w:tcPr>
          <w:p w14:paraId="142FE038" w14:textId="02F32591" w:rsidR="00AF5229" w:rsidRPr="00F349EA" w:rsidRDefault="00AF5229" w:rsidP="005B56CB">
            <w:pPr>
              <w:spacing w:before="40" w:after="40" w:line="240" w:lineRule="auto"/>
              <w:textAlignment w:val="baseline"/>
              <w:rPr>
                <w:rFonts w:ascii="Arial" w:eastAsia="Times New Roman" w:hAnsi="Arial" w:cs="Arial"/>
                <w:color w:val="000000"/>
                <w:sz w:val="28"/>
                <w:szCs w:val="28"/>
                <w:lang w:eastAsia="en-GB"/>
              </w:rPr>
            </w:pPr>
            <w:r w:rsidRPr="00F349EA">
              <w:rPr>
                <w:rFonts w:ascii="Arial" w:eastAsia="MS PGothic" w:hAnsi="Arial" w:cs="Arial"/>
                <w:b/>
                <w:bCs/>
                <w:color w:val="FFFFFF" w:themeColor="background1"/>
                <w:sz w:val="28"/>
                <w:szCs w:val="28"/>
              </w:rPr>
              <w:t>Objectives</w:t>
            </w:r>
          </w:p>
        </w:tc>
        <w:tc>
          <w:tcPr>
            <w:tcW w:w="1134" w:type="dxa"/>
            <w:tcBorders>
              <w:bottom w:val="single" w:sz="8" w:space="0" w:color="auto"/>
            </w:tcBorders>
            <w:shd w:val="clear" w:color="auto" w:fill="016574" w:themeFill="accent2"/>
          </w:tcPr>
          <w:p w14:paraId="10DE2D82" w14:textId="54765247" w:rsidR="00AF5229" w:rsidRPr="00F349EA" w:rsidRDefault="00AF5229" w:rsidP="005B56CB">
            <w:pPr>
              <w:spacing w:before="40" w:after="40"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 xml:space="preserve">Q1 </w:t>
            </w:r>
            <w:r w:rsidR="000E0D80">
              <w:rPr>
                <w:rFonts w:ascii="Arial" w:eastAsia="MS PGothic" w:hAnsi="Arial" w:cs="Arial"/>
                <w:b/>
                <w:bCs/>
                <w:color w:val="FFFFFF"/>
                <w:sz w:val="28"/>
                <w:szCs w:val="28"/>
              </w:rPr>
              <w:t>s</w:t>
            </w:r>
            <w:r w:rsidRPr="00F349EA">
              <w:rPr>
                <w:rFonts w:ascii="Arial" w:eastAsia="MS PGothic" w:hAnsi="Arial" w:cs="Arial"/>
                <w:b/>
                <w:bCs/>
                <w:color w:val="FFFFFF"/>
                <w:sz w:val="28"/>
                <w:szCs w:val="28"/>
              </w:rPr>
              <w:t>core</w:t>
            </w:r>
          </w:p>
        </w:tc>
        <w:tc>
          <w:tcPr>
            <w:tcW w:w="1134" w:type="dxa"/>
            <w:tcBorders>
              <w:bottom w:val="single" w:sz="8" w:space="0" w:color="auto"/>
            </w:tcBorders>
            <w:shd w:val="clear" w:color="auto" w:fill="016574" w:themeFill="accent2"/>
          </w:tcPr>
          <w:p w14:paraId="1EEB7625" w14:textId="46A8C1B4" w:rsidR="00AF5229" w:rsidRPr="00F349EA" w:rsidRDefault="00AF5229" w:rsidP="005B56CB">
            <w:pPr>
              <w:spacing w:before="40" w:after="40"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Q2 score</w:t>
            </w:r>
          </w:p>
        </w:tc>
        <w:tc>
          <w:tcPr>
            <w:tcW w:w="992" w:type="dxa"/>
            <w:tcBorders>
              <w:bottom w:val="single" w:sz="8" w:space="0" w:color="auto"/>
            </w:tcBorders>
            <w:shd w:val="clear" w:color="auto" w:fill="016574" w:themeFill="accent2"/>
          </w:tcPr>
          <w:p w14:paraId="00DCFBB8" w14:textId="390F12E6" w:rsidR="00AF5229" w:rsidRPr="00F349EA" w:rsidRDefault="00AF5229" w:rsidP="005B56CB">
            <w:pPr>
              <w:spacing w:before="40" w:after="40"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Q3 score</w:t>
            </w:r>
          </w:p>
        </w:tc>
        <w:tc>
          <w:tcPr>
            <w:tcW w:w="993" w:type="dxa"/>
            <w:tcBorders>
              <w:bottom w:val="single" w:sz="8" w:space="0" w:color="auto"/>
            </w:tcBorders>
            <w:shd w:val="clear" w:color="auto" w:fill="016574" w:themeFill="accent2"/>
          </w:tcPr>
          <w:p w14:paraId="0BB96EFB" w14:textId="45B21A3B" w:rsidR="00AF5229" w:rsidRPr="00F349EA" w:rsidRDefault="00AF5229" w:rsidP="005B56CB">
            <w:pPr>
              <w:spacing w:before="40" w:after="40"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Q4 score</w:t>
            </w:r>
          </w:p>
        </w:tc>
        <w:tc>
          <w:tcPr>
            <w:tcW w:w="1275" w:type="dxa"/>
            <w:tcBorders>
              <w:bottom w:val="single" w:sz="8" w:space="0" w:color="auto"/>
            </w:tcBorders>
            <w:shd w:val="clear" w:color="auto" w:fill="016574" w:themeFill="accent2"/>
          </w:tcPr>
          <w:p w14:paraId="63E35438" w14:textId="16580F24" w:rsidR="00AF5229" w:rsidRPr="00F349EA" w:rsidRDefault="00AF5229" w:rsidP="005B56CB">
            <w:pPr>
              <w:spacing w:before="40" w:after="40" w:line="240" w:lineRule="auto"/>
              <w:jc w:val="center"/>
              <w:textAlignment w:val="baseline"/>
              <w:rPr>
                <w:rFonts w:ascii="Arial" w:eastAsia="Times New Roman" w:hAnsi="Arial" w:cs="Arial"/>
                <w:color w:val="000000"/>
                <w:sz w:val="28"/>
                <w:szCs w:val="28"/>
                <w:lang w:eastAsia="en-GB"/>
              </w:rPr>
            </w:pPr>
            <w:r w:rsidRPr="00F349EA">
              <w:rPr>
                <w:rFonts w:ascii="Arial" w:eastAsia="MS PGothic" w:hAnsi="Arial" w:cs="Arial"/>
                <w:b/>
                <w:bCs/>
                <w:color w:val="FFFFFF"/>
                <w:sz w:val="28"/>
                <w:szCs w:val="28"/>
              </w:rPr>
              <w:t>Status</w:t>
            </w:r>
          </w:p>
        </w:tc>
        <w:tc>
          <w:tcPr>
            <w:tcW w:w="5529" w:type="dxa"/>
            <w:tcBorders>
              <w:bottom w:val="single" w:sz="8" w:space="0" w:color="auto"/>
            </w:tcBorders>
            <w:shd w:val="clear" w:color="auto" w:fill="016574" w:themeFill="accent2"/>
          </w:tcPr>
          <w:p w14:paraId="2322DBA9" w14:textId="1CDF44E5" w:rsidR="00AF5229" w:rsidRPr="00F349EA" w:rsidRDefault="00AF5229" w:rsidP="005B56CB">
            <w:pPr>
              <w:spacing w:before="40" w:after="40" w:line="240" w:lineRule="auto"/>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 xml:space="preserve">Q2 Exception </w:t>
            </w:r>
            <w:r w:rsidR="000E0D80">
              <w:rPr>
                <w:rFonts w:ascii="Arial" w:eastAsia="MS PGothic" w:hAnsi="Arial" w:cs="Arial"/>
                <w:b/>
                <w:bCs/>
                <w:color w:val="FFFFFF"/>
                <w:sz w:val="28"/>
                <w:szCs w:val="28"/>
              </w:rPr>
              <w:t>C</w:t>
            </w:r>
            <w:r w:rsidRPr="00F349EA">
              <w:rPr>
                <w:rFonts w:ascii="Arial" w:eastAsia="MS PGothic" w:hAnsi="Arial" w:cs="Arial"/>
                <w:b/>
                <w:bCs/>
                <w:color w:val="FFFFFF"/>
                <w:sz w:val="28"/>
                <w:szCs w:val="28"/>
              </w:rPr>
              <w:t>ommentary</w:t>
            </w:r>
          </w:p>
        </w:tc>
        <w:tc>
          <w:tcPr>
            <w:tcW w:w="1417" w:type="dxa"/>
            <w:tcBorders>
              <w:bottom w:val="single" w:sz="8" w:space="0" w:color="auto"/>
            </w:tcBorders>
            <w:shd w:val="clear" w:color="auto" w:fill="016574" w:themeFill="accent2"/>
          </w:tcPr>
          <w:p w14:paraId="0B51AAC7" w14:textId="31C39043" w:rsidR="00AF5229" w:rsidRPr="00F349EA" w:rsidRDefault="00AF5229" w:rsidP="005B56CB">
            <w:pPr>
              <w:spacing w:before="40" w:after="40" w:line="240" w:lineRule="auto"/>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 xml:space="preserve">Annual </w:t>
            </w:r>
            <w:r w:rsidR="000E0D80">
              <w:rPr>
                <w:rFonts w:ascii="Arial" w:eastAsia="MS PGothic" w:hAnsi="Arial" w:cs="Arial"/>
                <w:b/>
                <w:bCs/>
                <w:color w:val="FFFFFF"/>
                <w:sz w:val="28"/>
                <w:szCs w:val="28"/>
              </w:rPr>
              <w:t>F</w:t>
            </w:r>
            <w:r w:rsidRPr="00F349EA">
              <w:rPr>
                <w:rFonts w:ascii="Arial" w:eastAsia="MS PGothic" w:hAnsi="Arial" w:cs="Arial"/>
                <w:b/>
                <w:bCs/>
                <w:color w:val="FFFFFF"/>
                <w:sz w:val="28"/>
                <w:szCs w:val="28"/>
              </w:rPr>
              <w:t>orecast</w:t>
            </w:r>
          </w:p>
        </w:tc>
      </w:tr>
      <w:tr w:rsidR="00AF5229" w:rsidRPr="00F349EA" w14:paraId="23FA7BC0" w14:textId="29B62381" w:rsidTr="00D93C60">
        <w:tblPrEx>
          <w:tblCellMar>
            <w:left w:w="108" w:type="dxa"/>
            <w:right w:w="108" w:type="dxa"/>
          </w:tblCellMar>
        </w:tblPrEx>
        <w:trPr>
          <w:cantSplit/>
          <w:trHeight w:val="749"/>
        </w:trPr>
        <w:tc>
          <w:tcPr>
            <w:tcW w:w="1014" w:type="dxa"/>
            <w:tcBorders>
              <w:top w:val="single" w:sz="8" w:space="0" w:color="auto"/>
              <w:left w:val="single" w:sz="8" w:space="0" w:color="auto"/>
              <w:bottom w:val="single" w:sz="8" w:space="0" w:color="auto"/>
              <w:right w:val="single" w:sz="8" w:space="0" w:color="auto"/>
            </w:tcBorders>
            <w:vAlign w:val="center"/>
            <w:hideMark/>
          </w:tcPr>
          <w:p w14:paraId="4FA74375" w14:textId="5AE949BA"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NZ OKR1</w:t>
            </w:r>
          </w:p>
        </w:tc>
        <w:tc>
          <w:tcPr>
            <w:tcW w:w="1761" w:type="dxa"/>
            <w:tcBorders>
              <w:top w:val="single" w:sz="8" w:space="0" w:color="auto"/>
              <w:left w:val="single" w:sz="8" w:space="0" w:color="auto"/>
              <w:bottom w:val="single" w:sz="8" w:space="0" w:color="auto"/>
              <w:right w:val="single" w:sz="8" w:space="0" w:color="auto"/>
            </w:tcBorders>
            <w:vAlign w:val="center"/>
          </w:tcPr>
          <w:p w14:paraId="5ED3C987" w14:textId="77777777"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Net Zero</w:t>
            </w:r>
          </w:p>
        </w:tc>
        <w:tc>
          <w:tcPr>
            <w:tcW w:w="6434" w:type="dxa"/>
            <w:tcBorders>
              <w:top w:val="single" w:sz="8" w:space="0" w:color="auto"/>
              <w:left w:val="single" w:sz="8" w:space="0" w:color="auto"/>
              <w:bottom w:val="single" w:sz="8" w:space="0" w:color="auto"/>
              <w:right w:val="single" w:sz="8" w:space="0" w:color="auto"/>
            </w:tcBorders>
            <w:vAlign w:val="center"/>
          </w:tcPr>
          <w:p w14:paraId="7DE71AB4" w14:textId="5B3A7CF3" w:rsidR="00AF5229" w:rsidRPr="00F349EA" w:rsidRDefault="00AF5229" w:rsidP="005B56CB">
            <w:pPr>
              <w:textAlignment w:val="baseline"/>
              <w:rPr>
                <w:rFonts w:ascii="Arial" w:eastAsia="Times New Roman" w:hAnsi="Arial" w:cs="Arial"/>
                <w:lang w:eastAsia="en-GB"/>
              </w:rPr>
            </w:pPr>
            <w:r w:rsidRPr="00F349EA">
              <w:rPr>
                <w:rFonts w:ascii="Arial" w:hAnsi="Arial" w:cs="Arial"/>
              </w:rPr>
              <w:t>Develop our regulatory role with a more integrated approach to energy efficiency and industrial decarbonisation.</w:t>
            </w:r>
          </w:p>
        </w:tc>
        <w:tc>
          <w:tcPr>
            <w:tcW w:w="1134" w:type="dxa"/>
            <w:tcBorders>
              <w:top w:val="single" w:sz="8" w:space="0" w:color="auto"/>
              <w:left w:val="single" w:sz="8" w:space="0" w:color="auto"/>
              <w:bottom w:val="single" w:sz="8" w:space="0" w:color="auto"/>
              <w:right w:val="single" w:sz="8" w:space="0" w:color="auto"/>
            </w:tcBorders>
            <w:vAlign w:val="center"/>
          </w:tcPr>
          <w:p w14:paraId="2EA8B05E" w14:textId="7DBA162B" w:rsidR="00AF5229" w:rsidRPr="00F349EA" w:rsidRDefault="00AF5229" w:rsidP="005B56CB">
            <w:pPr>
              <w:jc w:val="center"/>
              <w:textAlignment w:val="baseline"/>
              <w:rPr>
                <w:rFonts w:asciiTheme="majorHAnsi" w:eastAsia="Times New Roman" w:hAnsiTheme="majorHAnsi" w:cstheme="majorHAnsi"/>
                <w:b/>
                <w:lang w:eastAsia="en-GB"/>
              </w:rPr>
            </w:pPr>
            <w:r w:rsidRPr="00F349EA">
              <w:rPr>
                <w:rFonts w:asciiTheme="majorHAnsi" w:eastAsia="Times New Roman" w:hAnsiTheme="majorHAnsi" w:cstheme="majorHAnsi"/>
                <w:b/>
                <w:bCs/>
                <w:lang w:eastAsia="en-GB"/>
              </w:rPr>
              <w:t>0</w:t>
            </w:r>
          </w:p>
        </w:tc>
        <w:tc>
          <w:tcPr>
            <w:tcW w:w="1134" w:type="dxa"/>
            <w:tcBorders>
              <w:top w:val="single" w:sz="8" w:space="0" w:color="auto"/>
              <w:left w:val="single" w:sz="8" w:space="0" w:color="auto"/>
              <w:bottom w:val="single" w:sz="8" w:space="0" w:color="auto"/>
              <w:right w:val="single" w:sz="8" w:space="0" w:color="auto"/>
            </w:tcBorders>
            <w:vAlign w:val="center"/>
          </w:tcPr>
          <w:p w14:paraId="5A5B4CCC" w14:textId="0B7DC434" w:rsidR="00AF5229" w:rsidRPr="00F349EA" w:rsidRDefault="00AF5229" w:rsidP="005B56CB">
            <w:pPr>
              <w:jc w:val="center"/>
              <w:textAlignment w:val="baseline"/>
              <w:rPr>
                <w:rFonts w:ascii="Arial" w:eastAsia="Times New Roman" w:hAnsi="Arial" w:cs="Arial"/>
                <w:b/>
                <w:lang w:eastAsia="en-GB"/>
              </w:rPr>
            </w:pPr>
            <w:r w:rsidRPr="00F349EA">
              <w:rPr>
                <w:rFonts w:ascii="Arial" w:eastAsia="Times New Roman" w:hAnsi="Arial" w:cs="Arial"/>
                <w:b/>
                <w:lang w:eastAsia="en-GB"/>
              </w:rPr>
              <w:t>0.66</w:t>
            </w:r>
          </w:p>
        </w:tc>
        <w:tc>
          <w:tcPr>
            <w:tcW w:w="992" w:type="dxa"/>
            <w:tcBorders>
              <w:top w:val="single" w:sz="8" w:space="0" w:color="auto"/>
              <w:left w:val="single" w:sz="8" w:space="0" w:color="auto"/>
              <w:bottom w:val="single" w:sz="8" w:space="0" w:color="auto"/>
              <w:right w:val="single" w:sz="8" w:space="0" w:color="auto"/>
            </w:tcBorders>
            <w:vAlign w:val="center"/>
          </w:tcPr>
          <w:p w14:paraId="60191D9A" w14:textId="12BEF672" w:rsidR="00AF5229" w:rsidRPr="00F349EA" w:rsidRDefault="00AF5229" w:rsidP="005B56CB">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993" w:type="dxa"/>
            <w:tcBorders>
              <w:top w:val="single" w:sz="8" w:space="0" w:color="auto"/>
              <w:left w:val="single" w:sz="8" w:space="0" w:color="auto"/>
              <w:bottom w:val="single" w:sz="8" w:space="0" w:color="auto"/>
              <w:right w:val="single" w:sz="8" w:space="0" w:color="auto"/>
            </w:tcBorders>
            <w:vAlign w:val="center"/>
          </w:tcPr>
          <w:p w14:paraId="25F8635A" w14:textId="43012B76" w:rsidR="00AF5229" w:rsidRPr="00F349EA" w:rsidRDefault="00AF5229" w:rsidP="005B56CB">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79DA0927" w14:textId="5E39A80C" w:rsidR="00AF5229" w:rsidRPr="00F349EA" w:rsidRDefault="00AF5229" w:rsidP="005B56CB">
            <w:pPr>
              <w:jc w:val="center"/>
              <w:textAlignment w:val="baseline"/>
              <w:rPr>
                <w:b/>
                <w:bCs/>
                <w:i/>
                <w:iCs/>
                <w:color w:val="016574" w:themeColor="accent2"/>
                <w:lang w:eastAsia="en-GB"/>
              </w:rPr>
            </w:pPr>
            <w:r w:rsidRPr="00F349EA">
              <w:rPr>
                <w:noProof/>
              </w:rPr>
              <w:drawing>
                <wp:inline distT="0" distB="0" distL="0" distR="0" wp14:anchorId="5B1951F1" wp14:editId="0E0F7EC8">
                  <wp:extent cx="463550" cy="463550"/>
                  <wp:effectExtent l="0" t="0" r="0" b="0"/>
                  <wp:docPr id="80256448"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463550" cy="463550"/>
                          </a:xfrm>
                          <a:prstGeom prst="rect">
                            <a:avLst/>
                          </a:prstGeom>
                        </pic:spPr>
                      </pic:pic>
                    </a:graphicData>
                  </a:graphic>
                </wp:inline>
              </w:drawing>
            </w:r>
          </w:p>
        </w:tc>
        <w:tc>
          <w:tcPr>
            <w:tcW w:w="5529" w:type="dxa"/>
            <w:tcBorders>
              <w:top w:val="single" w:sz="8" w:space="0" w:color="auto"/>
              <w:left w:val="single" w:sz="8" w:space="0" w:color="auto"/>
              <w:bottom w:val="single" w:sz="8" w:space="0" w:color="auto"/>
              <w:right w:val="single" w:sz="8" w:space="0" w:color="auto"/>
            </w:tcBorders>
            <w:vAlign w:val="center"/>
          </w:tcPr>
          <w:p w14:paraId="3C9E1368" w14:textId="421487B1"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Delivery on track. </w:t>
            </w:r>
          </w:p>
        </w:tc>
        <w:tc>
          <w:tcPr>
            <w:tcW w:w="1417" w:type="dxa"/>
            <w:tcBorders>
              <w:top w:val="single" w:sz="8" w:space="0" w:color="auto"/>
              <w:left w:val="single" w:sz="8" w:space="0" w:color="auto"/>
              <w:bottom w:val="single" w:sz="8" w:space="0" w:color="auto"/>
              <w:right w:val="single" w:sz="8" w:space="0" w:color="auto"/>
            </w:tcBorders>
            <w:vAlign w:val="center"/>
          </w:tcPr>
          <w:p w14:paraId="175B4889" w14:textId="0FCEFCBA" w:rsidR="00AF5229" w:rsidRPr="00F349EA" w:rsidRDefault="00AF5229" w:rsidP="006A7722">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Delivered</w:t>
            </w:r>
          </w:p>
        </w:tc>
      </w:tr>
      <w:tr w:rsidR="00AF5229" w:rsidRPr="00F349EA" w14:paraId="15C0E201" w14:textId="54F12C48" w:rsidTr="00D93C60">
        <w:trPr>
          <w:cantSplit/>
          <w:trHeight w:val="567"/>
        </w:trPr>
        <w:tc>
          <w:tcPr>
            <w:tcW w:w="1014" w:type="dxa"/>
            <w:tcBorders>
              <w:top w:val="single" w:sz="8" w:space="0" w:color="auto"/>
              <w:left w:val="single" w:sz="8" w:space="0" w:color="auto"/>
              <w:bottom w:val="single" w:sz="8" w:space="0" w:color="auto"/>
              <w:right w:val="single" w:sz="8" w:space="0" w:color="auto"/>
            </w:tcBorders>
            <w:vAlign w:val="center"/>
          </w:tcPr>
          <w:p w14:paraId="1FD9ADF2" w14:textId="42BE472D"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NZ OKR2</w:t>
            </w:r>
          </w:p>
        </w:tc>
        <w:tc>
          <w:tcPr>
            <w:tcW w:w="1761" w:type="dxa"/>
            <w:tcBorders>
              <w:top w:val="single" w:sz="8" w:space="0" w:color="auto"/>
              <w:left w:val="single" w:sz="8" w:space="0" w:color="auto"/>
              <w:bottom w:val="single" w:sz="8" w:space="0" w:color="auto"/>
              <w:right w:val="single" w:sz="8" w:space="0" w:color="auto"/>
            </w:tcBorders>
            <w:vAlign w:val="center"/>
          </w:tcPr>
          <w:p w14:paraId="7CF2E418" w14:textId="5512B3CA"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Net Zero</w:t>
            </w:r>
          </w:p>
        </w:tc>
        <w:tc>
          <w:tcPr>
            <w:tcW w:w="6434" w:type="dxa"/>
            <w:tcBorders>
              <w:top w:val="single" w:sz="8" w:space="0" w:color="auto"/>
              <w:left w:val="single" w:sz="8" w:space="0" w:color="auto"/>
              <w:bottom w:val="single" w:sz="8" w:space="0" w:color="auto"/>
              <w:right w:val="single" w:sz="8" w:space="0" w:color="auto"/>
            </w:tcBorders>
          </w:tcPr>
          <w:p w14:paraId="0D255BFE" w14:textId="2953B321" w:rsidR="00AF5229" w:rsidRPr="00F349EA" w:rsidRDefault="00AF5229" w:rsidP="005B56CB">
            <w:pPr>
              <w:textAlignment w:val="baseline"/>
              <w:rPr>
                <w:rFonts w:ascii="Arial" w:eastAsia="Times New Roman" w:hAnsi="Arial" w:cs="Arial"/>
                <w:lang w:eastAsia="en-GB"/>
              </w:rPr>
            </w:pPr>
            <w:r w:rsidRPr="00F349EA">
              <w:rPr>
                <w:rFonts w:ascii="Arial" w:hAnsi="Arial" w:cs="Arial"/>
              </w:rPr>
              <w:t>Transform our workspaces and fleet to minimise emissions, reduce costs and move to co-located workspaces by default and zero emissions fleet by 2030.</w:t>
            </w:r>
          </w:p>
        </w:tc>
        <w:tc>
          <w:tcPr>
            <w:tcW w:w="1134" w:type="dxa"/>
            <w:tcBorders>
              <w:top w:val="single" w:sz="8" w:space="0" w:color="auto"/>
              <w:left w:val="single" w:sz="8" w:space="0" w:color="auto"/>
              <w:bottom w:val="single" w:sz="8" w:space="0" w:color="auto"/>
              <w:right w:val="single" w:sz="8" w:space="0" w:color="auto"/>
            </w:tcBorders>
            <w:vAlign w:val="center"/>
          </w:tcPr>
          <w:p w14:paraId="6DC88AD7" w14:textId="7427FB6F" w:rsidR="00AF5229" w:rsidRPr="00F349EA" w:rsidRDefault="00AF5229" w:rsidP="005B56CB">
            <w:pPr>
              <w:jc w:val="center"/>
              <w:rPr>
                <w:rFonts w:asciiTheme="majorHAnsi" w:hAnsiTheme="majorHAnsi" w:cstheme="majorHAnsi"/>
                <w:b/>
                <w:color w:val="000000"/>
              </w:rPr>
            </w:pPr>
            <w:r w:rsidRPr="00F349EA">
              <w:rPr>
                <w:rFonts w:asciiTheme="majorHAnsi" w:eastAsia="Times New Roman" w:hAnsiTheme="majorHAnsi" w:cstheme="majorHAnsi"/>
                <w:b/>
                <w:bCs/>
                <w:lang w:eastAsia="en-GB"/>
              </w:rPr>
              <w:t>0.33</w:t>
            </w:r>
          </w:p>
        </w:tc>
        <w:tc>
          <w:tcPr>
            <w:tcW w:w="1134" w:type="dxa"/>
            <w:tcBorders>
              <w:top w:val="single" w:sz="8" w:space="0" w:color="auto"/>
              <w:left w:val="single" w:sz="8" w:space="0" w:color="auto"/>
              <w:bottom w:val="single" w:sz="8" w:space="0" w:color="auto"/>
              <w:right w:val="single" w:sz="8" w:space="0" w:color="auto"/>
            </w:tcBorders>
            <w:vAlign w:val="center"/>
          </w:tcPr>
          <w:p w14:paraId="11C42107" w14:textId="77497720" w:rsidR="00AF5229" w:rsidRPr="00F349EA" w:rsidRDefault="00AF5229" w:rsidP="005B56CB">
            <w:pPr>
              <w:jc w:val="center"/>
              <w:rPr>
                <w:rFonts w:asciiTheme="majorHAnsi" w:hAnsiTheme="majorHAnsi" w:cstheme="majorHAnsi"/>
                <w:b/>
                <w:bCs/>
                <w:color w:val="000000"/>
              </w:rPr>
            </w:pPr>
            <w:r w:rsidRPr="00F349EA">
              <w:rPr>
                <w:rFonts w:asciiTheme="majorHAnsi" w:hAnsiTheme="majorHAnsi" w:cstheme="majorHAnsi"/>
                <w:b/>
                <w:bCs/>
                <w:color w:val="000000"/>
              </w:rPr>
              <w:t>0.25</w:t>
            </w:r>
          </w:p>
        </w:tc>
        <w:tc>
          <w:tcPr>
            <w:tcW w:w="992" w:type="dxa"/>
            <w:tcBorders>
              <w:top w:val="single" w:sz="8" w:space="0" w:color="auto"/>
              <w:left w:val="single" w:sz="8" w:space="0" w:color="auto"/>
              <w:bottom w:val="single" w:sz="8" w:space="0" w:color="auto"/>
              <w:right w:val="single" w:sz="8" w:space="0" w:color="auto"/>
            </w:tcBorders>
            <w:vAlign w:val="center"/>
          </w:tcPr>
          <w:p w14:paraId="47DBF883" w14:textId="6AF1BD41" w:rsidR="00AF5229" w:rsidRPr="00F349EA" w:rsidRDefault="00AF5229" w:rsidP="005B56CB">
            <w:pPr>
              <w:jc w:val="center"/>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993" w:type="dxa"/>
            <w:tcBorders>
              <w:top w:val="single" w:sz="8" w:space="0" w:color="auto"/>
              <w:left w:val="single" w:sz="8" w:space="0" w:color="auto"/>
              <w:bottom w:val="single" w:sz="8" w:space="0" w:color="auto"/>
              <w:right w:val="single" w:sz="8" w:space="0" w:color="auto"/>
            </w:tcBorders>
            <w:vAlign w:val="center"/>
          </w:tcPr>
          <w:p w14:paraId="6D46C8B5" w14:textId="43498EE6" w:rsidR="00AF5229" w:rsidRPr="00F349EA" w:rsidRDefault="00AF5229" w:rsidP="005B56CB">
            <w:pPr>
              <w:jc w:val="center"/>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4F8EB2C0" w14:textId="31D1C76E" w:rsidR="00AF5229" w:rsidRPr="00F349EA" w:rsidRDefault="00AF5229" w:rsidP="005B56CB">
            <w:pPr>
              <w:jc w:val="center"/>
              <w:textAlignment w:val="baseline"/>
              <w:rPr>
                <w:b/>
                <w:i/>
                <w:color w:val="016574" w:themeColor="accent2"/>
                <w:lang w:eastAsia="en-GB"/>
              </w:rPr>
            </w:pPr>
            <w:r w:rsidRPr="00F349EA">
              <w:rPr>
                <w:noProof/>
              </w:rPr>
              <w:drawing>
                <wp:inline distT="0" distB="0" distL="0" distR="0" wp14:anchorId="27EDA2AB" wp14:editId="4562D742">
                  <wp:extent cx="444747" cy="444747"/>
                  <wp:effectExtent l="0" t="0" r="0" b="0"/>
                  <wp:docPr id="1404610168"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747" cy="444747"/>
                          </a:xfrm>
                          <a:prstGeom prst="rect">
                            <a:avLst/>
                          </a:prstGeom>
                        </pic:spPr>
                      </pic:pic>
                    </a:graphicData>
                  </a:graphic>
                </wp:inline>
              </w:drawing>
            </w:r>
          </w:p>
        </w:tc>
        <w:tc>
          <w:tcPr>
            <w:tcW w:w="5529" w:type="dxa"/>
            <w:tcBorders>
              <w:top w:val="single" w:sz="8" w:space="0" w:color="auto"/>
              <w:left w:val="single" w:sz="8" w:space="0" w:color="auto"/>
              <w:bottom w:val="single" w:sz="8" w:space="0" w:color="auto"/>
              <w:right w:val="single" w:sz="8" w:space="0" w:color="auto"/>
            </w:tcBorders>
            <w:vAlign w:val="center"/>
          </w:tcPr>
          <w:p w14:paraId="306C5847" w14:textId="62B00B9D" w:rsidR="00AF5229" w:rsidRPr="00F349EA" w:rsidRDefault="00A336B5" w:rsidP="005B56CB">
            <w:pPr>
              <w:textAlignment w:val="baseline"/>
              <w:rPr>
                <w:rFonts w:ascii="Arial" w:eastAsia="Times New Roman" w:hAnsi="Arial" w:cs="Arial"/>
                <w:lang w:eastAsia="en-GB"/>
              </w:rPr>
            </w:pPr>
            <w:r w:rsidRPr="00F349EA">
              <w:rPr>
                <w:rFonts w:ascii="Arial" w:eastAsia="Times New Roman" w:hAnsi="Arial" w:cs="Arial"/>
                <w:lang w:eastAsia="en-GB"/>
              </w:rPr>
              <w:t>We are on track for delivering three out of the four Key Results</w:t>
            </w:r>
            <w:r w:rsidR="006435D7" w:rsidRPr="00F349EA">
              <w:rPr>
                <w:rFonts w:ascii="Arial" w:eastAsia="Times New Roman" w:hAnsi="Arial" w:cs="Arial"/>
                <w:lang w:eastAsia="en-GB"/>
              </w:rPr>
              <w:t xml:space="preserve"> for this objective</w:t>
            </w:r>
            <w:r w:rsidR="00B20740" w:rsidRPr="00F349EA">
              <w:rPr>
                <w:rFonts w:ascii="Arial" w:eastAsia="Times New Roman" w:hAnsi="Arial" w:cs="Arial"/>
                <w:lang w:eastAsia="en-GB"/>
              </w:rPr>
              <w:t xml:space="preserve">, with significant progress made. </w:t>
            </w:r>
            <w:r w:rsidR="004950AE" w:rsidRPr="00F349EA">
              <w:rPr>
                <w:rFonts w:ascii="Arial" w:eastAsia="Times New Roman" w:hAnsi="Arial" w:cs="Arial"/>
                <w:lang w:eastAsia="en-GB"/>
              </w:rPr>
              <w:t xml:space="preserve">An action plan is to be implemented for </w:t>
            </w:r>
            <w:r w:rsidR="00B32601" w:rsidRPr="00F349EA">
              <w:rPr>
                <w:rFonts w:ascii="Arial" w:eastAsia="Times New Roman" w:hAnsi="Arial" w:cs="Arial"/>
                <w:lang w:eastAsia="en-GB"/>
              </w:rPr>
              <w:t>Key Result 2.3</w:t>
            </w:r>
            <w:r w:rsidR="00904CDD" w:rsidRPr="00F349EA">
              <w:rPr>
                <w:rFonts w:ascii="Arial" w:eastAsia="Times New Roman" w:hAnsi="Arial" w:cs="Arial"/>
                <w:lang w:eastAsia="en-GB"/>
              </w:rPr>
              <w:t>.</w:t>
            </w:r>
          </w:p>
        </w:tc>
        <w:tc>
          <w:tcPr>
            <w:tcW w:w="1417" w:type="dxa"/>
            <w:tcBorders>
              <w:top w:val="single" w:sz="8" w:space="0" w:color="auto"/>
              <w:left w:val="single" w:sz="8" w:space="0" w:color="auto"/>
              <w:bottom w:val="single" w:sz="8" w:space="0" w:color="auto"/>
              <w:right w:val="single" w:sz="8" w:space="0" w:color="auto"/>
            </w:tcBorders>
            <w:vAlign w:val="center"/>
          </w:tcPr>
          <w:p w14:paraId="47835E2E" w14:textId="0ABA6DD3" w:rsidR="00AF5229" w:rsidRPr="00F349EA" w:rsidRDefault="00AF5229" w:rsidP="006A7722">
            <w:pPr>
              <w:jc w:val="center"/>
              <w:textAlignment w:val="baseline"/>
              <w:rPr>
                <w:rFonts w:ascii="Arial" w:eastAsia="Times New Roman" w:hAnsi="Arial" w:cs="Arial"/>
                <w:lang w:eastAsia="en-GB"/>
              </w:rPr>
            </w:pPr>
            <w:r w:rsidRPr="00F349EA">
              <w:rPr>
                <w:rFonts w:ascii="Arial" w:eastAsia="Times New Roman" w:hAnsi="Arial" w:cs="Arial"/>
                <w:szCs w:val="28"/>
                <w:lang w:eastAsia="en-GB"/>
              </w:rPr>
              <w:t>Partial Delivery</w:t>
            </w:r>
          </w:p>
        </w:tc>
      </w:tr>
      <w:tr w:rsidR="00AF5229" w:rsidRPr="00F349EA" w14:paraId="61107C6E" w14:textId="1B2AEFEF" w:rsidTr="00D93C60">
        <w:trPr>
          <w:cantSplit/>
          <w:trHeight w:val="409"/>
        </w:trPr>
        <w:tc>
          <w:tcPr>
            <w:tcW w:w="1014" w:type="dxa"/>
            <w:tcBorders>
              <w:top w:val="single" w:sz="8" w:space="0" w:color="auto"/>
              <w:left w:val="single" w:sz="8" w:space="0" w:color="auto"/>
              <w:bottom w:val="single" w:sz="8" w:space="0" w:color="auto"/>
              <w:right w:val="single" w:sz="8" w:space="0" w:color="auto"/>
            </w:tcBorders>
            <w:vAlign w:val="center"/>
          </w:tcPr>
          <w:p w14:paraId="555A20ED" w14:textId="18BD64B0"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CR OKR3</w:t>
            </w:r>
          </w:p>
        </w:tc>
        <w:tc>
          <w:tcPr>
            <w:tcW w:w="1761" w:type="dxa"/>
            <w:tcBorders>
              <w:top w:val="single" w:sz="8" w:space="0" w:color="auto"/>
              <w:left w:val="single" w:sz="8" w:space="0" w:color="auto"/>
              <w:bottom w:val="single" w:sz="8" w:space="0" w:color="auto"/>
              <w:right w:val="single" w:sz="8" w:space="0" w:color="auto"/>
            </w:tcBorders>
            <w:vAlign w:val="center"/>
          </w:tcPr>
          <w:p w14:paraId="7DAE1A4B" w14:textId="2A2D2ADE"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Climate Resilience</w:t>
            </w:r>
          </w:p>
        </w:tc>
        <w:tc>
          <w:tcPr>
            <w:tcW w:w="6434" w:type="dxa"/>
            <w:tcBorders>
              <w:top w:val="single" w:sz="8" w:space="0" w:color="auto"/>
              <w:left w:val="single" w:sz="8" w:space="0" w:color="auto"/>
              <w:bottom w:val="single" w:sz="8" w:space="0" w:color="auto"/>
              <w:right w:val="single" w:sz="8" w:space="0" w:color="auto"/>
            </w:tcBorders>
            <w:vAlign w:val="center"/>
          </w:tcPr>
          <w:p w14:paraId="1B33B0E0" w14:textId="2706FD43" w:rsidR="00AF5229" w:rsidRPr="00F349EA" w:rsidRDefault="00AF5229" w:rsidP="005B56CB">
            <w:pPr>
              <w:rPr>
                <w:rFonts w:ascii="Arial" w:hAnsi="Arial" w:cs="Arial"/>
              </w:rPr>
            </w:pPr>
            <w:r w:rsidRPr="00F349EA">
              <w:rPr>
                <w:rFonts w:ascii="Arial" w:hAnsi="Arial" w:cs="Arial"/>
              </w:rPr>
              <w:t>Improve awareness and understanding of flood and drought risk, including implications of climate change, to support effective decision making</w:t>
            </w:r>
            <w:r w:rsidR="00F76E20">
              <w:rPr>
                <w:rFonts w:ascii="Arial" w:hAnsi="Arial" w:cs="Arial"/>
              </w:rPr>
              <w:t>.</w:t>
            </w:r>
          </w:p>
        </w:tc>
        <w:tc>
          <w:tcPr>
            <w:tcW w:w="1134" w:type="dxa"/>
            <w:tcBorders>
              <w:top w:val="single" w:sz="8" w:space="0" w:color="auto"/>
              <w:left w:val="single" w:sz="8" w:space="0" w:color="auto"/>
              <w:bottom w:val="single" w:sz="8" w:space="0" w:color="auto"/>
              <w:right w:val="single" w:sz="8" w:space="0" w:color="auto"/>
            </w:tcBorders>
            <w:vAlign w:val="center"/>
          </w:tcPr>
          <w:p w14:paraId="30C75510" w14:textId="2CC68481" w:rsidR="00AF5229" w:rsidRPr="00F349EA" w:rsidRDefault="00AF5229" w:rsidP="005B56CB">
            <w:pPr>
              <w:jc w:val="center"/>
              <w:textAlignment w:val="baseline"/>
              <w:rPr>
                <w:rFonts w:asciiTheme="majorHAnsi" w:hAnsiTheme="majorHAnsi" w:cstheme="majorHAnsi"/>
                <w:b/>
                <w:color w:val="000000"/>
              </w:rPr>
            </w:pPr>
            <w:r w:rsidRPr="00F349EA">
              <w:rPr>
                <w:rFonts w:asciiTheme="majorHAnsi" w:eastAsia="Times New Roman" w:hAnsiTheme="majorHAnsi" w:cstheme="majorHAnsi"/>
                <w:b/>
                <w:bCs/>
                <w:lang w:eastAsia="en-GB"/>
              </w:rPr>
              <w:t>0.80</w:t>
            </w:r>
          </w:p>
        </w:tc>
        <w:tc>
          <w:tcPr>
            <w:tcW w:w="1134" w:type="dxa"/>
            <w:tcBorders>
              <w:top w:val="single" w:sz="8" w:space="0" w:color="auto"/>
              <w:left w:val="single" w:sz="8" w:space="0" w:color="auto"/>
              <w:bottom w:val="single" w:sz="8" w:space="0" w:color="auto"/>
              <w:right w:val="single" w:sz="8" w:space="0" w:color="auto"/>
            </w:tcBorders>
            <w:vAlign w:val="center"/>
          </w:tcPr>
          <w:p w14:paraId="291BEC3D" w14:textId="1317F95D" w:rsidR="00AF5229" w:rsidRPr="00F349EA" w:rsidRDefault="00AF5229" w:rsidP="005B56CB">
            <w:pPr>
              <w:jc w:val="center"/>
              <w:textAlignment w:val="baseline"/>
              <w:rPr>
                <w:rFonts w:asciiTheme="majorHAnsi" w:hAnsiTheme="majorHAnsi" w:cstheme="majorHAnsi"/>
                <w:b/>
                <w:bCs/>
                <w:color w:val="000000"/>
              </w:rPr>
            </w:pPr>
            <w:r w:rsidRPr="00F349EA">
              <w:rPr>
                <w:rFonts w:asciiTheme="majorHAnsi" w:hAnsiTheme="majorHAnsi" w:cstheme="majorHAnsi"/>
                <w:b/>
                <w:bCs/>
                <w:color w:val="000000"/>
              </w:rPr>
              <w:t>0.9</w:t>
            </w:r>
            <w:r w:rsidR="00062E21" w:rsidRPr="00F349EA">
              <w:rPr>
                <w:rFonts w:asciiTheme="majorHAnsi" w:hAnsiTheme="majorHAnsi" w:cstheme="majorHAnsi"/>
                <w:b/>
                <w:bCs/>
                <w:color w:val="000000"/>
              </w:rPr>
              <w:t>0</w:t>
            </w:r>
          </w:p>
        </w:tc>
        <w:tc>
          <w:tcPr>
            <w:tcW w:w="992" w:type="dxa"/>
            <w:tcBorders>
              <w:top w:val="single" w:sz="8" w:space="0" w:color="auto"/>
              <w:left w:val="single" w:sz="8" w:space="0" w:color="auto"/>
              <w:bottom w:val="single" w:sz="8" w:space="0" w:color="auto"/>
              <w:right w:val="single" w:sz="8" w:space="0" w:color="auto"/>
            </w:tcBorders>
            <w:vAlign w:val="center"/>
          </w:tcPr>
          <w:p w14:paraId="3DDCB2E3" w14:textId="0ED6D1AF" w:rsidR="00AF5229" w:rsidRPr="00F349EA" w:rsidRDefault="00AF5229" w:rsidP="005B56CB">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993" w:type="dxa"/>
            <w:tcBorders>
              <w:top w:val="single" w:sz="8" w:space="0" w:color="auto"/>
              <w:left w:val="single" w:sz="8" w:space="0" w:color="auto"/>
              <w:bottom w:val="single" w:sz="8" w:space="0" w:color="auto"/>
              <w:right w:val="single" w:sz="8" w:space="0" w:color="auto"/>
            </w:tcBorders>
            <w:vAlign w:val="center"/>
          </w:tcPr>
          <w:p w14:paraId="29153E25" w14:textId="6F186238" w:rsidR="00AF5229" w:rsidRPr="00F349EA" w:rsidRDefault="00AF5229" w:rsidP="005B56CB">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2EFDD0D5" w14:textId="2B6F9403" w:rsidR="00AF5229" w:rsidRPr="00F349EA" w:rsidRDefault="00AF5229" w:rsidP="005B56CB">
            <w:pPr>
              <w:jc w:val="center"/>
              <w:textAlignment w:val="baseline"/>
              <w:rPr>
                <w:rFonts w:ascii="Arial" w:eastAsia="Times New Roman" w:hAnsi="Arial" w:cs="Arial"/>
                <w:lang w:eastAsia="en-GB"/>
              </w:rPr>
            </w:pPr>
            <w:r w:rsidRPr="00F349EA">
              <w:rPr>
                <w:b/>
                <w:bCs/>
                <w:noProof/>
              </w:rPr>
              <w:drawing>
                <wp:anchor distT="0" distB="0" distL="114300" distR="114300" simplePos="0" relativeHeight="251658243" behindDoc="0" locked="0" layoutInCell="1" allowOverlap="1" wp14:anchorId="728DEEFC" wp14:editId="274F3EEF">
                  <wp:simplePos x="0" y="0"/>
                  <wp:positionH relativeFrom="column">
                    <wp:posOffset>152400</wp:posOffset>
                  </wp:positionH>
                  <wp:positionV relativeFrom="paragraph">
                    <wp:posOffset>41910</wp:posOffset>
                  </wp:positionV>
                  <wp:extent cx="463550" cy="463550"/>
                  <wp:effectExtent l="0" t="0" r="0" b="0"/>
                  <wp:wrapNone/>
                  <wp:docPr id="1539588854"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550" cy="463550"/>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tcBorders>
              <w:top w:val="single" w:sz="8" w:space="0" w:color="auto"/>
              <w:left w:val="single" w:sz="8" w:space="0" w:color="auto"/>
              <w:bottom w:val="single" w:sz="8" w:space="0" w:color="auto"/>
              <w:right w:val="single" w:sz="8" w:space="0" w:color="auto"/>
            </w:tcBorders>
            <w:vAlign w:val="center"/>
          </w:tcPr>
          <w:p w14:paraId="5A41487B" w14:textId="28A657A9"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Delivery on track. </w:t>
            </w:r>
          </w:p>
        </w:tc>
        <w:tc>
          <w:tcPr>
            <w:tcW w:w="1417" w:type="dxa"/>
            <w:tcBorders>
              <w:top w:val="single" w:sz="8" w:space="0" w:color="auto"/>
              <w:left w:val="single" w:sz="8" w:space="0" w:color="auto"/>
              <w:bottom w:val="single" w:sz="8" w:space="0" w:color="auto"/>
              <w:right w:val="single" w:sz="8" w:space="0" w:color="auto"/>
            </w:tcBorders>
            <w:vAlign w:val="center"/>
          </w:tcPr>
          <w:p w14:paraId="5BC00945" w14:textId="77777777" w:rsidR="00AF5229" w:rsidRPr="00F349EA" w:rsidRDefault="00AF5229" w:rsidP="006A7722">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Delivered</w:t>
            </w:r>
          </w:p>
          <w:p w14:paraId="15866D01" w14:textId="0051C35A" w:rsidR="00AF5229" w:rsidRPr="00F349EA" w:rsidRDefault="00AF5229" w:rsidP="006A7722">
            <w:pPr>
              <w:jc w:val="center"/>
              <w:textAlignment w:val="baseline"/>
              <w:rPr>
                <w:rFonts w:ascii="Arial" w:eastAsia="Times New Roman" w:hAnsi="Arial" w:cs="Arial"/>
                <w:lang w:eastAsia="en-GB"/>
              </w:rPr>
            </w:pPr>
          </w:p>
        </w:tc>
      </w:tr>
      <w:tr w:rsidR="00AF5229" w:rsidRPr="00F349EA" w14:paraId="692D36DE" w14:textId="2947761D" w:rsidTr="00D93C60">
        <w:trPr>
          <w:cantSplit/>
          <w:trHeight w:val="409"/>
        </w:trPr>
        <w:tc>
          <w:tcPr>
            <w:tcW w:w="1014" w:type="dxa"/>
            <w:tcBorders>
              <w:top w:val="single" w:sz="8" w:space="0" w:color="auto"/>
              <w:left w:val="single" w:sz="8" w:space="0" w:color="auto"/>
              <w:bottom w:val="single" w:sz="8" w:space="0" w:color="auto"/>
              <w:right w:val="single" w:sz="8" w:space="0" w:color="auto"/>
            </w:tcBorders>
            <w:vAlign w:val="center"/>
          </w:tcPr>
          <w:p w14:paraId="01C69BF8" w14:textId="09E3EF99"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CR OKR4</w:t>
            </w:r>
          </w:p>
        </w:tc>
        <w:tc>
          <w:tcPr>
            <w:tcW w:w="1761" w:type="dxa"/>
            <w:tcBorders>
              <w:top w:val="single" w:sz="8" w:space="0" w:color="auto"/>
              <w:left w:val="single" w:sz="8" w:space="0" w:color="auto"/>
              <w:bottom w:val="single" w:sz="8" w:space="0" w:color="auto"/>
              <w:right w:val="single" w:sz="8" w:space="0" w:color="auto"/>
            </w:tcBorders>
            <w:vAlign w:val="center"/>
          </w:tcPr>
          <w:p w14:paraId="3B5A23E1" w14:textId="456B377E"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Climate Resilience</w:t>
            </w:r>
          </w:p>
        </w:tc>
        <w:tc>
          <w:tcPr>
            <w:tcW w:w="6434" w:type="dxa"/>
            <w:tcBorders>
              <w:top w:val="single" w:sz="8" w:space="0" w:color="auto"/>
              <w:left w:val="single" w:sz="8" w:space="0" w:color="auto"/>
              <w:bottom w:val="single" w:sz="8" w:space="0" w:color="auto"/>
              <w:right w:val="single" w:sz="8" w:space="0" w:color="auto"/>
            </w:tcBorders>
            <w:vAlign w:val="center"/>
          </w:tcPr>
          <w:p w14:paraId="0C1F3DB8" w14:textId="522ECC6E"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Ensure effective and resilient flood services which are designed to meet future requirements</w:t>
            </w:r>
            <w:r w:rsidR="00F76E20">
              <w:rPr>
                <w:rFonts w:ascii="Arial" w:eastAsia="Times New Roman" w:hAnsi="Arial" w:cs="Arial"/>
                <w:lang w:eastAsia="en-GB"/>
              </w:rPr>
              <w:t>.</w:t>
            </w:r>
          </w:p>
        </w:tc>
        <w:tc>
          <w:tcPr>
            <w:tcW w:w="1134" w:type="dxa"/>
            <w:tcBorders>
              <w:top w:val="single" w:sz="8" w:space="0" w:color="auto"/>
              <w:left w:val="single" w:sz="8" w:space="0" w:color="auto"/>
              <w:bottom w:val="single" w:sz="8" w:space="0" w:color="auto"/>
              <w:right w:val="single" w:sz="8" w:space="0" w:color="auto"/>
            </w:tcBorders>
            <w:vAlign w:val="center"/>
          </w:tcPr>
          <w:p w14:paraId="24F51EE2" w14:textId="412E28D6" w:rsidR="00AF5229" w:rsidRPr="00F349EA" w:rsidRDefault="00AF5229" w:rsidP="005B56CB">
            <w:pPr>
              <w:jc w:val="center"/>
              <w:textAlignment w:val="baseline"/>
              <w:rPr>
                <w:rFonts w:asciiTheme="majorHAnsi" w:hAnsiTheme="majorHAnsi" w:cstheme="majorHAnsi"/>
                <w:b/>
                <w:color w:val="000000"/>
              </w:rPr>
            </w:pPr>
            <w:r w:rsidRPr="00F349EA">
              <w:rPr>
                <w:rFonts w:asciiTheme="majorHAnsi" w:eastAsia="Times New Roman" w:hAnsiTheme="majorHAnsi" w:cstheme="majorHAnsi"/>
                <w:b/>
                <w:bCs/>
                <w:lang w:eastAsia="en-GB"/>
              </w:rPr>
              <w:t>0.50</w:t>
            </w:r>
          </w:p>
        </w:tc>
        <w:tc>
          <w:tcPr>
            <w:tcW w:w="1134" w:type="dxa"/>
            <w:tcBorders>
              <w:top w:val="single" w:sz="8" w:space="0" w:color="auto"/>
              <w:left w:val="single" w:sz="8" w:space="0" w:color="auto"/>
              <w:bottom w:val="single" w:sz="8" w:space="0" w:color="auto"/>
              <w:right w:val="single" w:sz="8" w:space="0" w:color="auto"/>
            </w:tcBorders>
            <w:vAlign w:val="center"/>
          </w:tcPr>
          <w:p w14:paraId="6DF3F1D2" w14:textId="396B93E5" w:rsidR="00AF5229" w:rsidRPr="00F349EA" w:rsidRDefault="00AF5229" w:rsidP="005B56CB">
            <w:pPr>
              <w:jc w:val="center"/>
              <w:textAlignment w:val="baseline"/>
              <w:rPr>
                <w:rFonts w:asciiTheme="majorHAnsi" w:hAnsiTheme="majorHAnsi" w:cstheme="majorHAnsi"/>
                <w:b/>
                <w:bCs/>
                <w:color w:val="000000"/>
              </w:rPr>
            </w:pPr>
            <w:r w:rsidRPr="00F349EA">
              <w:rPr>
                <w:rFonts w:asciiTheme="majorHAnsi" w:hAnsiTheme="majorHAnsi" w:cstheme="majorHAnsi"/>
                <w:b/>
                <w:bCs/>
                <w:color w:val="000000"/>
              </w:rPr>
              <w:t>0.50</w:t>
            </w:r>
          </w:p>
        </w:tc>
        <w:tc>
          <w:tcPr>
            <w:tcW w:w="992" w:type="dxa"/>
            <w:tcBorders>
              <w:top w:val="single" w:sz="8" w:space="0" w:color="auto"/>
              <w:left w:val="single" w:sz="8" w:space="0" w:color="auto"/>
              <w:bottom w:val="single" w:sz="8" w:space="0" w:color="auto"/>
              <w:right w:val="single" w:sz="8" w:space="0" w:color="auto"/>
            </w:tcBorders>
            <w:vAlign w:val="center"/>
          </w:tcPr>
          <w:p w14:paraId="3AA191E6" w14:textId="6B529402" w:rsidR="00AF5229" w:rsidRPr="00F349EA" w:rsidRDefault="00AF5229" w:rsidP="005B56CB">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993" w:type="dxa"/>
            <w:tcBorders>
              <w:top w:val="single" w:sz="8" w:space="0" w:color="auto"/>
              <w:left w:val="single" w:sz="8" w:space="0" w:color="auto"/>
              <w:bottom w:val="single" w:sz="8" w:space="0" w:color="auto"/>
              <w:right w:val="single" w:sz="8" w:space="0" w:color="auto"/>
            </w:tcBorders>
            <w:vAlign w:val="center"/>
          </w:tcPr>
          <w:p w14:paraId="258F7132" w14:textId="0A5CA65B" w:rsidR="00AF5229" w:rsidRPr="00F349EA" w:rsidRDefault="00AF5229" w:rsidP="005B56CB">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0AF64B3B" w14:textId="39972953" w:rsidR="00AF5229" w:rsidRPr="00F349EA" w:rsidRDefault="00AF5229" w:rsidP="005B56CB">
            <w:pPr>
              <w:jc w:val="center"/>
              <w:textAlignment w:val="baseline"/>
              <w:rPr>
                <w:rFonts w:ascii="Arial" w:eastAsia="Times New Roman" w:hAnsi="Arial" w:cs="Arial"/>
                <w:lang w:eastAsia="en-GB"/>
              </w:rPr>
            </w:pPr>
            <w:r w:rsidRPr="00F349EA">
              <w:rPr>
                <w:noProof/>
              </w:rPr>
              <w:drawing>
                <wp:inline distT="0" distB="0" distL="0" distR="0" wp14:anchorId="77192087" wp14:editId="1A01D0E8">
                  <wp:extent cx="463550" cy="463550"/>
                  <wp:effectExtent l="0" t="0" r="0" b="0"/>
                  <wp:docPr id="1607495521"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463550" cy="463550"/>
                          </a:xfrm>
                          <a:prstGeom prst="rect">
                            <a:avLst/>
                          </a:prstGeom>
                        </pic:spPr>
                      </pic:pic>
                    </a:graphicData>
                  </a:graphic>
                </wp:inline>
              </w:drawing>
            </w:r>
          </w:p>
        </w:tc>
        <w:tc>
          <w:tcPr>
            <w:tcW w:w="5529" w:type="dxa"/>
            <w:tcBorders>
              <w:top w:val="single" w:sz="8" w:space="0" w:color="auto"/>
              <w:left w:val="single" w:sz="8" w:space="0" w:color="auto"/>
              <w:bottom w:val="single" w:sz="8" w:space="0" w:color="auto"/>
              <w:right w:val="single" w:sz="8" w:space="0" w:color="auto"/>
            </w:tcBorders>
            <w:vAlign w:val="center"/>
          </w:tcPr>
          <w:p w14:paraId="25B0D586" w14:textId="107DB761"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Delivery on track. </w:t>
            </w:r>
          </w:p>
        </w:tc>
        <w:tc>
          <w:tcPr>
            <w:tcW w:w="1417" w:type="dxa"/>
            <w:tcBorders>
              <w:top w:val="single" w:sz="8" w:space="0" w:color="auto"/>
              <w:left w:val="single" w:sz="8" w:space="0" w:color="auto"/>
              <w:bottom w:val="single" w:sz="8" w:space="0" w:color="auto"/>
              <w:right w:val="single" w:sz="8" w:space="0" w:color="auto"/>
            </w:tcBorders>
            <w:vAlign w:val="center"/>
          </w:tcPr>
          <w:p w14:paraId="0BFC4D46" w14:textId="37B14613" w:rsidR="00AF5229" w:rsidRPr="00F349EA" w:rsidRDefault="00AF5229" w:rsidP="006A7722">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Delivered</w:t>
            </w:r>
          </w:p>
        </w:tc>
      </w:tr>
      <w:tr w:rsidR="00AF5229" w:rsidRPr="00F349EA" w14:paraId="29E40543" w14:textId="54F71257" w:rsidTr="00D93C60">
        <w:trPr>
          <w:cantSplit/>
          <w:trHeight w:val="409"/>
        </w:trPr>
        <w:tc>
          <w:tcPr>
            <w:tcW w:w="1014" w:type="dxa"/>
            <w:tcBorders>
              <w:top w:val="single" w:sz="8" w:space="0" w:color="auto"/>
              <w:left w:val="single" w:sz="8" w:space="0" w:color="auto"/>
              <w:bottom w:val="single" w:sz="8" w:space="0" w:color="auto"/>
              <w:right w:val="single" w:sz="8" w:space="0" w:color="auto"/>
            </w:tcBorders>
            <w:vAlign w:val="center"/>
          </w:tcPr>
          <w:p w14:paraId="4F3D2A6E" w14:textId="5C77BB05"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WE OKR5</w:t>
            </w:r>
          </w:p>
        </w:tc>
        <w:tc>
          <w:tcPr>
            <w:tcW w:w="1761" w:type="dxa"/>
            <w:tcBorders>
              <w:top w:val="single" w:sz="8" w:space="0" w:color="auto"/>
              <w:left w:val="single" w:sz="8" w:space="0" w:color="auto"/>
              <w:bottom w:val="single" w:sz="8" w:space="0" w:color="auto"/>
              <w:right w:val="single" w:sz="8" w:space="0" w:color="auto"/>
            </w:tcBorders>
            <w:vAlign w:val="center"/>
          </w:tcPr>
          <w:p w14:paraId="78919912" w14:textId="0C7201B7"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Water Environment</w:t>
            </w:r>
          </w:p>
        </w:tc>
        <w:tc>
          <w:tcPr>
            <w:tcW w:w="6434" w:type="dxa"/>
            <w:tcBorders>
              <w:top w:val="single" w:sz="8" w:space="0" w:color="auto"/>
              <w:left w:val="single" w:sz="8" w:space="0" w:color="auto"/>
              <w:bottom w:val="single" w:sz="8" w:space="0" w:color="auto"/>
              <w:right w:val="single" w:sz="8" w:space="0" w:color="auto"/>
            </w:tcBorders>
            <w:vAlign w:val="center"/>
          </w:tcPr>
          <w:p w14:paraId="04AA42F3" w14:textId="23AFD762" w:rsidR="00AF5229" w:rsidRPr="00F349EA" w:rsidRDefault="00AF5229" w:rsidP="005B56CB">
            <w:pPr>
              <w:textAlignment w:val="baseline"/>
              <w:rPr>
                <w:rFonts w:ascii="Arial" w:eastAsia="Times New Roman" w:hAnsi="Arial" w:cs="Arial"/>
                <w:lang w:eastAsia="en-GB"/>
              </w:rPr>
            </w:pPr>
            <w:r w:rsidRPr="00F349EA">
              <w:rPr>
                <w:rFonts w:cstheme="minorHAnsi"/>
              </w:rPr>
              <w:t xml:space="preserve">Deliver </w:t>
            </w:r>
            <w:r w:rsidR="00F76E20">
              <w:rPr>
                <w:rFonts w:cstheme="minorHAnsi"/>
              </w:rPr>
              <w:t>R</w:t>
            </w:r>
            <w:r w:rsidRPr="00F349EA">
              <w:rPr>
                <w:rFonts w:cstheme="minorHAnsi"/>
              </w:rPr>
              <w:t xml:space="preserve">iver </w:t>
            </w:r>
            <w:r w:rsidR="00F76E20">
              <w:rPr>
                <w:rFonts w:cstheme="minorHAnsi"/>
              </w:rPr>
              <w:t>B</w:t>
            </w:r>
            <w:r w:rsidRPr="00F349EA">
              <w:rPr>
                <w:rFonts w:cstheme="minorHAnsi"/>
              </w:rPr>
              <w:t xml:space="preserve">asin </w:t>
            </w:r>
            <w:r w:rsidR="00F76E20">
              <w:rPr>
                <w:rFonts w:cstheme="minorHAnsi"/>
              </w:rPr>
              <w:t>M</w:t>
            </w:r>
            <w:r w:rsidRPr="00F349EA">
              <w:rPr>
                <w:rFonts w:cstheme="minorHAnsi"/>
              </w:rPr>
              <w:t xml:space="preserve">anagement </w:t>
            </w:r>
            <w:r w:rsidR="00F76E20">
              <w:rPr>
                <w:rFonts w:cstheme="minorHAnsi"/>
              </w:rPr>
              <w:t>P</w:t>
            </w:r>
            <w:r w:rsidRPr="00F349EA">
              <w:rPr>
                <w:rFonts w:cstheme="minorHAnsi"/>
              </w:rPr>
              <w:t>lan programme of actions to improve the water environment</w:t>
            </w:r>
            <w:r w:rsidR="00F76E20">
              <w:rPr>
                <w:rFonts w:cstheme="minorHAnsi"/>
              </w:rPr>
              <w:t>.</w:t>
            </w:r>
          </w:p>
        </w:tc>
        <w:tc>
          <w:tcPr>
            <w:tcW w:w="1134" w:type="dxa"/>
            <w:tcBorders>
              <w:top w:val="single" w:sz="8" w:space="0" w:color="auto"/>
              <w:left w:val="single" w:sz="8" w:space="0" w:color="auto"/>
              <w:bottom w:val="single" w:sz="8" w:space="0" w:color="auto"/>
              <w:right w:val="single" w:sz="8" w:space="0" w:color="auto"/>
            </w:tcBorders>
            <w:vAlign w:val="center"/>
          </w:tcPr>
          <w:p w14:paraId="2CAC9868" w14:textId="3BF2F067" w:rsidR="00AF5229" w:rsidRPr="00F349EA" w:rsidRDefault="00AF5229" w:rsidP="005B56CB">
            <w:pPr>
              <w:jc w:val="center"/>
              <w:textAlignment w:val="baseline"/>
              <w:rPr>
                <w:rFonts w:asciiTheme="majorHAnsi" w:hAnsiTheme="majorHAnsi" w:cstheme="majorHAnsi"/>
                <w:b/>
                <w:color w:val="000000"/>
              </w:rPr>
            </w:pPr>
            <w:r w:rsidRPr="00F349EA">
              <w:rPr>
                <w:rFonts w:asciiTheme="majorHAnsi" w:hAnsiTheme="majorHAnsi" w:cstheme="majorHAnsi"/>
                <w:b/>
                <w:color w:val="000000"/>
              </w:rPr>
              <w:t>0.35</w:t>
            </w:r>
          </w:p>
        </w:tc>
        <w:tc>
          <w:tcPr>
            <w:tcW w:w="1134" w:type="dxa"/>
            <w:tcBorders>
              <w:top w:val="single" w:sz="8" w:space="0" w:color="auto"/>
              <w:left w:val="single" w:sz="8" w:space="0" w:color="auto"/>
              <w:bottom w:val="single" w:sz="8" w:space="0" w:color="auto"/>
              <w:right w:val="single" w:sz="8" w:space="0" w:color="auto"/>
            </w:tcBorders>
            <w:vAlign w:val="center"/>
          </w:tcPr>
          <w:p w14:paraId="17FE9F09" w14:textId="511989AC" w:rsidR="00AF5229" w:rsidRPr="00F349EA" w:rsidRDefault="007F0A96" w:rsidP="005B56CB">
            <w:pPr>
              <w:jc w:val="center"/>
              <w:textAlignment w:val="baseline"/>
              <w:rPr>
                <w:rFonts w:asciiTheme="majorHAnsi" w:hAnsiTheme="majorHAnsi" w:cstheme="majorHAnsi"/>
                <w:b/>
                <w:bCs/>
                <w:color w:val="000000"/>
              </w:rPr>
            </w:pPr>
            <w:r w:rsidRPr="00F349EA">
              <w:rPr>
                <w:rFonts w:asciiTheme="majorHAnsi" w:hAnsiTheme="majorHAnsi" w:cstheme="majorHAnsi"/>
                <w:b/>
                <w:bCs/>
                <w:color w:val="000000"/>
              </w:rPr>
              <w:t>0.47</w:t>
            </w:r>
          </w:p>
        </w:tc>
        <w:tc>
          <w:tcPr>
            <w:tcW w:w="992" w:type="dxa"/>
            <w:tcBorders>
              <w:top w:val="single" w:sz="8" w:space="0" w:color="auto"/>
              <w:left w:val="single" w:sz="8" w:space="0" w:color="auto"/>
              <w:bottom w:val="single" w:sz="8" w:space="0" w:color="auto"/>
              <w:right w:val="single" w:sz="8" w:space="0" w:color="auto"/>
            </w:tcBorders>
            <w:vAlign w:val="center"/>
          </w:tcPr>
          <w:p w14:paraId="2939FBF7" w14:textId="4FBAD27C" w:rsidR="00AF5229" w:rsidRPr="00F349EA" w:rsidRDefault="00AF5229" w:rsidP="005B56CB">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993" w:type="dxa"/>
            <w:tcBorders>
              <w:top w:val="single" w:sz="8" w:space="0" w:color="auto"/>
              <w:left w:val="single" w:sz="8" w:space="0" w:color="auto"/>
              <w:bottom w:val="single" w:sz="8" w:space="0" w:color="auto"/>
              <w:right w:val="single" w:sz="8" w:space="0" w:color="auto"/>
            </w:tcBorders>
            <w:vAlign w:val="center"/>
          </w:tcPr>
          <w:p w14:paraId="12D71E0D" w14:textId="57AECB38" w:rsidR="00AF5229" w:rsidRPr="00F349EA" w:rsidRDefault="00AF5229" w:rsidP="005B56CB">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61A88DEC" w14:textId="300A0F0E" w:rsidR="00AF5229" w:rsidRPr="00F349EA" w:rsidRDefault="00AF5229" w:rsidP="005B56CB">
            <w:pPr>
              <w:jc w:val="center"/>
              <w:textAlignment w:val="baseline"/>
              <w:rPr>
                <w:rFonts w:ascii="Arial" w:eastAsia="Times New Roman" w:hAnsi="Arial" w:cs="Arial"/>
                <w:lang w:eastAsia="en-GB"/>
              </w:rPr>
            </w:pPr>
            <w:r w:rsidRPr="00F349EA">
              <w:rPr>
                <w:noProof/>
              </w:rPr>
              <w:drawing>
                <wp:inline distT="0" distB="0" distL="0" distR="0" wp14:anchorId="0CF066AD" wp14:editId="7D9FC579">
                  <wp:extent cx="463550" cy="463550"/>
                  <wp:effectExtent l="0" t="0" r="0" b="0"/>
                  <wp:docPr id="2031289239"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463550" cy="463550"/>
                          </a:xfrm>
                          <a:prstGeom prst="rect">
                            <a:avLst/>
                          </a:prstGeom>
                        </pic:spPr>
                      </pic:pic>
                    </a:graphicData>
                  </a:graphic>
                </wp:inline>
              </w:drawing>
            </w:r>
          </w:p>
        </w:tc>
        <w:tc>
          <w:tcPr>
            <w:tcW w:w="5529" w:type="dxa"/>
            <w:tcBorders>
              <w:top w:val="single" w:sz="8" w:space="0" w:color="auto"/>
              <w:left w:val="single" w:sz="8" w:space="0" w:color="auto"/>
              <w:bottom w:val="single" w:sz="8" w:space="0" w:color="auto"/>
              <w:right w:val="single" w:sz="8" w:space="0" w:color="auto"/>
            </w:tcBorders>
            <w:vAlign w:val="center"/>
          </w:tcPr>
          <w:p w14:paraId="1A596F3A" w14:textId="3B0B53CF" w:rsidR="00AF5229" w:rsidRPr="00F349EA" w:rsidRDefault="00EE1F3C" w:rsidP="005B56CB">
            <w:pPr>
              <w:textAlignment w:val="baseline"/>
              <w:rPr>
                <w:rFonts w:ascii="Arial" w:eastAsia="Times New Roman" w:hAnsi="Arial" w:cs="Arial"/>
                <w:lang w:eastAsia="en-GB"/>
              </w:rPr>
            </w:pPr>
            <w:r w:rsidRPr="00F349EA">
              <w:rPr>
                <w:rFonts w:ascii="Arial" w:eastAsia="Times New Roman" w:hAnsi="Arial" w:cs="Arial"/>
                <w:lang w:eastAsia="en-GB"/>
              </w:rPr>
              <w:t>We are on track for delivering three of the four Key Results for this objective</w:t>
            </w:r>
            <w:r w:rsidR="0065491F" w:rsidRPr="00F349EA">
              <w:rPr>
                <w:rFonts w:ascii="Arial" w:eastAsia="Times New Roman" w:hAnsi="Arial" w:cs="Arial"/>
                <w:lang w:eastAsia="en-GB"/>
              </w:rPr>
              <w:t>.</w:t>
            </w:r>
          </w:p>
        </w:tc>
        <w:tc>
          <w:tcPr>
            <w:tcW w:w="1417" w:type="dxa"/>
            <w:tcBorders>
              <w:top w:val="single" w:sz="8" w:space="0" w:color="auto"/>
              <w:left w:val="single" w:sz="8" w:space="0" w:color="auto"/>
              <w:bottom w:val="single" w:sz="8" w:space="0" w:color="auto"/>
              <w:right w:val="single" w:sz="8" w:space="0" w:color="auto"/>
            </w:tcBorders>
            <w:vAlign w:val="center"/>
          </w:tcPr>
          <w:p w14:paraId="740CCB66" w14:textId="54C581E8" w:rsidR="00AF5229" w:rsidRPr="00F349EA" w:rsidRDefault="00AF5229" w:rsidP="006A7722">
            <w:pPr>
              <w:jc w:val="center"/>
              <w:textAlignment w:val="baseline"/>
              <w:rPr>
                <w:rFonts w:ascii="Arial" w:eastAsia="Times New Roman" w:hAnsi="Arial" w:cs="Arial"/>
                <w:lang w:eastAsia="en-GB"/>
              </w:rPr>
            </w:pPr>
            <w:r w:rsidRPr="00F349EA">
              <w:rPr>
                <w:rFonts w:asciiTheme="majorHAnsi" w:eastAsia="Times New Roman" w:hAnsiTheme="majorHAnsi" w:cstheme="majorHAnsi"/>
                <w:lang w:eastAsia="en-GB"/>
              </w:rPr>
              <w:t>Partial Delivery</w:t>
            </w:r>
          </w:p>
        </w:tc>
      </w:tr>
      <w:tr w:rsidR="00AF5229" w:rsidRPr="00F349EA" w14:paraId="089146CE" w14:textId="41DE5B6F" w:rsidTr="00D93C60">
        <w:tblPrEx>
          <w:tblCellMar>
            <w:left w:w="108" w:type="dxa"/>
            <w:right w:w="108" w:type="dxa"/>
          </w:tblCellMar>
        </w:tblPrEx>
        <w:trPr>
          <w:cantSplit/>
          <w:trHeight w:val="624"/>
        </w:trPr>
        <w:tc>
          <w:tcPr>
            <w:tcW w:w="1014" w:type="dxa"/>
            <w:tcBorders>
              <w:top w:val="single" w:sz="8" w:space="0" w:color="auto"/>
              <w:left w:val="single" w:sz="8" w:space="0" w:color="auto"/>
              <w:bottom w:val="single" w:sz="8" w:space="0" w:color="auto"/>
              <w:right w:val="single" w:sz="8" w:space="0" w:color="auto"/>
            </w:tcBorders>
            <w:vAlign w:val="center"/>
          </w:tcPr>
          <w:p w14:paraId="06E96B05" w14:textId="59B83CB2"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WE OKR6</w:t>
            </w:r>
          </w:p>
        </w:tc>
        <w:tc>
          <w:tcPr>
            <w:tcW w:w="1761" w:type="dxa"/>
            <w:tcBorders>
              <w:top w:val="single" w:sz="8" w:space="0" w:color="auto"/>
              <w:left w:val="single" w:sz="8" w:space="0" w:color="auto"/>
              <w:bottom w:val="single" w:sz="8" w:space="0" w:color="auto"/>
              <w:right w:val="single" w:sz="8" w:space="0" w:color="auto"/>
            </w:tcBorders>
            <w:vAlign w:val="center"/>
          </w:tcPr>
          <w:p w14:paraId="43BB5F8E" w14:textId="3875A3BD"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Water Environment</w:t>
            </w:r>
          </w:p>
        </w:tc>
        <w:tc>
          <w:tcPr>
            <w:tcW w:w="6434" w:type="dxa"/>
            <w:tcBorders>
              <w:top w:val="single" w:sz="8" w:space="0" w:color="auto"/>
              <w:left w:val="single" w:sz="8" w:space="0" w:color="auto"/>
              <w:bottom w:val="single" w:sz="8" w:space="0" w:color="auto"/>
              <w:right w:val="single" w:sz="8" w:space="0" w:color="auto"/>
            </w:tcBorders>
            <w:vAlign w:val="center"/>
          </w:tcPr>
          <w:p w14:paraId="064DA208" w14:textId="1C78A105" w:rsidR="00AF5229" w:rsidRPr="00F349EA" w:rsidRDefault="00AF5229" w:rsidP="005B56CB">
            <w:pPr>
              <w:textAlignment w:val="baseline"/>
              <w:rPr>
                <w:rFonts w:ascii="Arial" w:eastAsia="Times New Roman" w:hAnsi="Arial" w:cs="Arial"/>
                <w:lang w:eastAsia="en-GB"/>
              </w:rPr>
            </w:pPr>
            <w:r w:rsidRPr="00F349EA">
              <w:rPr>
                <w:rFonts w:cstheme="minorHAnsi"/>
              </w:rPr>
              <w:t>Prepare for future cycles of river basin management planning.</w:t>
            </w:r>
          </w:p>
        </w:tc>
        <w:tc>
          <w:tcPr>
            <w:tcW w:w="1134" w:type="dxa"/>
            <w:tcBorders>
              <w:top w:val="single" w:sz="8" w:space="0" w:color="auto"/>
              <w:left w:val="single" w:sz="8" w:space="0" w:color="auto"/>
              <w:bottom w:val="single" w:sz="8" w:space="0" w:color="auto"/>
              <w:right w:val="single" w:sz="8" w:space="0" w:color="auto"/>
            </w:tcBorders>
            <w:vAlign w:val="center"/>
          </w:tcPr>
          <w:p w14:paraId="1114DCBB" w14:textId="51E99644" w:rsidR="00AF5229" w:rsidRPr="00F349EA" w:rsidRDefault="00AF5229" w:rsidP="005B56CB">
            <w:pPr>
              <w:jc w:val="center"/>
              <w:textAlignment w:val="baseline"/>
              <w:rPr>
                <w:rFonts w:asciiTheme="majorHAnsi" w:hAnsiTheme="majorHAnsi" w:cstheme="majorHAnsi"/>
                <w:b/>
                <w:color w:val="000000"/>
              </w:rPr>
            </w:pPr>
            <w:r w:rsidRPr="00F349EA">
              <w:rPr>
                <w:rFonts w:asciiTheme="majorHAnsi" w:eastAsia="Times New Roman" w:hAnsiTheme="majorHAnsi" w:cstheme="majorHAnsi"/>
                <w:b/>
                <w:lang w:eastAsia="en-GB"/>
              </w:rPr>
              <w:t>N/A</w:t>
            </w:r>
          </w:p>
        </w:tc>
        <w:tc>
          <w:tcPr>
            <w:tcW w:w="1134" w:type="dxa"/>
            <w:tcBorders>
              <w:top w:val="single" w:sz="8" w:space="0" w:color="auto"/>
              <w:left w:val="single" w:sz="8" w:space="0" w:color="auto"/>
              <w:bottom w:val="single" w:sz="8" w:space="0" w:color="auto"/>
              <w:right w:val="single" w:sz="8" w:space="0" w:color="auto"/>
            </w:tcBorders>
            <w:vAlign w:val="center"/>
          </w:tcPr>
          <w:p w14:paraId="03DF5E1E" w14:textId="69BA1CD6" w:rsidR="00AF5229" w:rsidRPr="00F349EA" w:rsidRDefault="00AF5229" w:rsidP="005B56CB">
            <w:pPr>
              <w:jc w:val="center"/>
              <w:textAlignment w:val="baseline"/>
              <w:rPr>
                <w:rFonts w:asciiTheme="majorHAnsi" w:hAnsiTheme="majorHAnsi" w:cstheme="majorHAnsi"/>
                <w:b/>
                <w:bCs/>
                <w:color w:val="000000"/>
              </w:rPr>
            </w:pPr>
            <w:r w:rsidRPr="00F349EA">
              <w:rPr>
                <w:rFonts w:asciiTheme="majorHAnsi" w:hAnsiTheme="majorHAnsi" w:cstheme="majorHAnsi"/>
                <w:b/>
                <w:bCs/>
                <w:color w:val="000000"/>
              </w:rPr>
              <w:t>N/A</w:t>
            </w:r>
          </w:p>
        </w:tc>
        <w:tc>
          <w:tcPr>
            <w:tcW w:w="992" w:type="dxa"/>
            <w:tcBorders>
              <w:top w:val="single" w:sz="8" w:space="0" w:color="auto"/>
              <w:left w:val="single" w:sz="8" w:space="0" w:color="auto"/>
              <w:bottom w:val="single" w:sz="8" w:space="0" w:color="auto"/>
              <w:right w:val="single" w:sz="8" w:space="0" w:color="auto"/>
            </w:tcBorders>
            <w:vAlign w:val="center"/>
          </w:tcPr>
          <w:p w14:paraId="4C489DCB" w14:textId="227940CE" w:rsidR="00AF5229" w:rsidRPr="00F349EA" w:rsidRDefault="00AF5229" w:rsidP="005B56CB">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993" w:type="dxa"/>
            <w:tcBorders>
              <w:top w:val="single" w:sz="8" w:space="0" w:color="auto"/>
              <w:left w:val="single" w:sz="8" w:space="0" w:color="auto"/>
              <w:bottom w:val="single" w:sz="8" w:space="0" w:color="auto"/>
              <w:right w:val="single" w:sz="8" w:space="0" w:color="auto"/>
            </w:tcBorders>
            <w:vAlign w:val="center"/>
          </w:tcPr>
          <w:p w14:paraId="6B4DBF68" w14:textId="499B7B3F" w:rsidR="00AF5229" w:rsidRPr="00F349EA" w:rsidRDefault="00AF5229" w:rsidP="005B56CB">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20B4E2F5" w14:textId="4EDEE613" w:rsidR="00AF5229" w:rsidRPr="00F349EA" w:rsidRDefault="00AF5229" w:rsidP="005B56CB">
            <w:pPr>
              <w:jc w:val="center"/>
              <w:textAlignment w:val="baseline"/>
              <w:rPr>
                <w:rFonts w:ascii="Arial" w:eastAsia="Times New Roman" w:hAnsi="Arial" w:cs="Arial"/>
                <w:lang w:eastAsia="en-GB"/>
              </w:rPr>
            </w:pPr>
            <w:r w:rsidRPr="00F349EA">
              <w:rPr>
                <w:noProof/>
              </w:rPr>
              <w:drawing>
                <wp:anchor distT="0" distB="0" distL="114300" distR="114300" simplePos="0" relativeHeight="251658244" behindDoc="0" locked="0" layoutInCell="1" allowOverlap="1" wp14:anchorId="582D557F" wp14:editId="6F6A3D39">
                  <wp:simplePos x="0" y="0"/>
                  <wp:positionH relativeFrom="column">
                    <wp:posOffset>138430</wp:posOffset>
                  </wp:positionH>
                  <wp:positionV relativeFrom="paragraph">
                    <wp:posOffset>10795</wp:posOffset>
                  </wp:positionV>
                  <wp:extent cx="473075" cy="481330"/>
                  <wp:effectExtent l="0" t="0" r="0" b="0"/>
                  <wp:wrapNone/>
                  <wp:docPr id="1305862496" name="Graphic 1" descr="Icon of a clock with solid fill. Represents where activity has not yet started or is not yet due for our OKR measure this quarter.">
                    <a:extLst xmlns:a="http://schemas.openxmlformats.org/drawingml/2006/main">
                      <a:ext uri="{FF2B5EF4-FFF2-40B4-BE49-F238E27FC236}">
                        <a16:creationId xmlns:a16="http://schemas.microsoft.com/office/drawing/2014/main" id="{F6195A3D-0A47-951A-680C-13B48190FE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Icon of a clock with solid fill. Represents where activity has not yet started or is not yet due for our OKR measure this quarter.">
                            <a:extLst>
                              <a:ext uri="{FF2B5EF4-FFF2-40B4-BE49-F238E27FC236}">
                                <a16:creationId xmlns:a16="http://schemas.microsoft.com/office/drawing/2014/main" id="{F6195A3D-0A47-951A-680C-13B48190FED4}"/>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0" y="0"/>
                            <a:ext cx="473075" cy="481330"/>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tcBorders>
              <w:top w:val="single" w:sz="8" w:space="0" w:color="auto"/>
              <w:left w:val="single" w:sz="8" w:space="0" w:color="auto"/>
              <w:bottom w:val="single" w:sz="8" w:space="0" w:color="auto"/>
              <w:right w:val="single" w:sz="8" w:space="0" w:color="auto"/>
            </w:tcBorders>
            <w:vAlign w:val="center"/>
          </w:tcPr>
          <w:p w14:paraId="56739350" w14:textId="4ECB54F3"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 xml:space="preserve">Delivery on track. All </w:t>
            </w:r>
            <w:r w:rsidR="00F738E8">
              <w:rPr>
                <w:rFonts w:ascii="Arial" w:eastAsia="Times New Roman" w:hAnsi="Arial" w:cs="Arial"/>
                <w:lang w:eastAsia="en-GB"/>
              </w:rPr>
              <w:t>K</w:t>
            </w:r>
            <w:r w:rsidRPr="00F349EA">
              <w:rPr>
                <w:rFonts w:ascii="Arial" w:eastAsia="Times New Roman" w:hAnsi="Arial" w:cs="Arial"/>
                <w:lang w:eastAsia="en-GB"/>
              </w:rPr>
              <w:t xml:space="preserve">ey </w:t>
            </w:r>
            <w:r w:rsidR="00F738E8">
              <w:rPr>
                <w:rFonts w:ascii="Arial" w:eastAsia="Times New Roman" w:hAnsi="Arial" w:cs="Arial"/>
                <w:lang w:eastAsia="en-GB"/>
              </w:rPr>
              <w:t>R</w:t>
            </w:r>
            <w:r w:rsidRPr="00F349EA">
              <w:rPr>
                <w:rFonts w:ascii="Arial" w:eastAsia="Times New Roman" w:hAnsi="Arial" w:cs="Arial"/>
                <w:lang w:eastAsia="en-GB"/>
              </w:rPr>
              <w:t>esults due from Q3 onwards. </w:t>
            </w:r>
          </w:p>
        </w:tc>
        <w:tc>
          <w:tcPr>
            <w:tcW w:w="1417" w:type="dxa"/>
            <w:tcBorders>
              <w:top w:val="single" w:sz="8" w:space="0" w:color="auto"/>
              <w:left w:val="single" w:sz="8" w:space="0" w:color="auto"/>
              <w:bottom w:val="single" w:sz="8" w:space="0" w:color="auto"/>
              <w:right w:val="single" w:sz="8" w:space="0" w:color="auto"/>
            </w:tcBorders>
            <w:vAlign w:val="center"/>
          </w:tcPr>
          <w:p w14:paraId="2AE75AC0" w14:textId="465DB00F" w:rsidR="00AF5229" w:rsidRPr="00F349EA" w:rsidRDefault="00AF5229" w:rsidP="006A7722">
            <w:pPr>
              <w:jc w:val="center"/>
              <w:textAlignment w:val="baseline"/>
              <w:rPr>
                <w:rFonts w:ascii="Arial" w:eastAsia="Times New Roman" w:hAnsi="Arial" w:cs="Arial"/>
                <w:lang w:eastAsia="en-GB"/>
              </w:rPr>
            </w:pPr>
            <w:r w:rsidRPr="00F349EA">
              <w:rPr>
                <w:rFonts w:asciiTheme="majorHAnsi" w:eastAsia="Times New Roman" w:hAnsiTheme="majorHAnsi" w:cstheme="majorHAnsi"/>
                <w:lang w:eastAsia="en-GB"/>
              </w:rPr>
              <w:t>Delivered</w:t>
            </w:r>
          </w:p>
        </w:tc>
      </w:tr>
      <w:tr w:rsidR="00AF5229" w:rsidRPr="00F349EA" w14:paraId="2BE68571" w14:textId="354AF0D7" w:rsidTr="00D93C60">
        <w:trPr>
          <w:cantSplit/>
          <w:trHeight w:val="409"/>
        </w:trPr>
        <w:tc>
          <w:tcPr>
            <w:tcW w:w="1014" w:type="dxa"/>
            <w:tcBorders>
              <w:top w:val="single" w:sz="8" w:space="0" w:color="auto"/>
              <w:left w:val="single" w:sz="8" w:space="0" w:color="auto"/>
              <w:bottom w:val="single" w:sz="8" w:space="0" w:color="auto"/>
              <w:right w:val="single" w:sz="8" w:space="0" w:color="auto"/>
            </w:tcBorders>
            <w:vAlign w:val="center"/>
          </w:tcPr>
          <w:p w14:paraId="7C4A3F6B" w14:textId="1997C8FB"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RE OKR7</w:t>
            </w:r>
          </w:p>
        </w:tc>
        <w:tc>
          <w:tcPr>
            <w:tcW w:w="1761" w:type="dxa"/>
            <w:tcBorders>
              <w:top w:val="single" w:sz="8" w:space="0" w:color="auto"/>
              <w:left w:val="single" w:sz="8" w:space="0" w:color="auto"/>
              <w:bottom w:val="single" w:sz="8" w:space="0" w:color="auto"/>
              <w:right w:val="single" w:sz="8" w:space="0" w:color="auto"/>
            </w:tcBorders>
            <w:vAlign w:val="center"/>
          </w:tcPr>
          <w:p w14:paraId="476FE9A3" w14:textId="2782BB25"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Resource Efficiency</w:t>
            </w:r>
          </w:p>
        </w:tc>
        <w:tc>
          <w:tcPr>
            <w:tcW w:w="6434" w:type="dxa"/>
            <w:tcBorders>
              <w:top w:val="single" w:sz="8" w:space="0" w:color="auto"/>
              <w:left w:val="single" w:sz="8" w:space="0" w:color="auto"/>
              <w:bottom w:val="single" w:sz="8" w:space="0" w:color="auto"/>
              <w:right w:val="single" w:sz="8" w:space="0" w:color="auto"/>
            </w:tcBorders>
            <w:vAlign w:val="center"/>
          </w:tcPr>
          <w:p w14:paraId="2B62FAE4" w14:textId="61A711CA" w:rsidR="00AF5229" w:rsidRPr="00F349EA" w:rsidRDefault="00AF5229" w:rsidP="005B56CB">
            <w:pPr>
              <w:textAlignment w:val="baseline"/>
              <w:rPr>
                <w:rFonts w:ascii="Arial" w:eastAsia="Times New Roman" w:hAnsi="Arial" w:cs="Arial"/>
                <w:lang w:eastAsia="en-GB"/>
              </w:rPr>
            </w:pPr>
            <w:r w:rsidRPr="00F349EA">
              <w:t>Prepare to support the 2026-2027 phase of the UK digital waste tracking service implementation by DEFRA and Scottish Government.</w:t>
            </w:r>
          </w:p>
        </w:tc>
        <w:tc>
          <w:tcPr>
            <w:tcW w:w="1134" w:type="dxa"/>
            <w:tcBorders>
              <w:top w:val="single" w:sz="8" w:space="0" w:color="auto"/>
              <w:left w:val="single" w:sz="8" w:space="0" w:color="auto"/>
              <w:bottom w:val="single" w:sz="8" w:space="0" w:color="auto"/>
              <w:right w:val="single" w:sz="8" w:space="0" w:color="auto"/>
            </w:tcBorders>
            <w:vAlign w:val="center"/>
          </w:tcPr>
          <w:p w14:paraId="59343F93" w14:textId="2E561A36" w:rsidR="00AF5229" w:rsidRPr="00F349EA" w:rsidRDefault="00AF5229" w:rsidP="005B56CB">
            <w:pPr>
              <w:jc w:val="center"/>
              <w:textAlignment w:val="baseline"/>
              <w:rPr>
                <w:rFonts w:asciiTheme="majorHAnsi" w:hAnsiTheme="majorHAnsi" w:cstheme="majorHAnsi"/>
                <w:b/>
                <w:color w:val="000000"/>
              </w:rPr>
            </w:pPr>
            <w:r w:rsidRPr="00F349EA">
              <w:rPr>
                <w:rFonts w:asciiTheme="majorHAnsi" w:eastAsia="Times New Roman" w:hAnsiTheme="majorHAnsi" w:cstheme="majorHAnsi"/>
                <w:b/>
                <w:bCs/>
                <w:lang w:eastAsia="en-GB"/>
              </w:rPr>
              <w:t>0</w:t>
            </w:r>
          </w:p>
        </w:tc>
        <w:tc>
          <w:tcPr>
            <w:tcW w:w="1134" w:type="dxa"/>
            <w:tcBorders>
              <w:top w:val="single" w:sz="8" w:space="0" w:color="auto"/>
              <w:left w:val="single" w:sz="8" w:space="0" w:color="auto"/>
              <w:bottom w:val="single" w:sz="8" w:space="0" w:color="auto"/>
              <w:right w:val="single" w:sz="8" w:space="0" w:color="auto"/>
            </w:tcBorders>
            <w:vAlign w:val="center"/>
          </w:tcPr>
          <w:p w14:paraId="7DE8CC20" w14:textId="54577AB9" w:rsidR="00AF5229" w:rsidRPr="00F349EA" w:rsidRDefault="00AF5229" w:rsidP="005B56CB">
            <w:pPr>
              <w:jc w:val="center"/>
              <w:textAlignment w:val="baseline"/>
              <w:rPr>
                <w:rFonts w:asciiTheme="majorHAnsi" w:hAnsiTheme="majorHAnsi" w:cstheme="majorHAnsi"/>
                <w:b/>
                <w:bCs/>
                <w:color w:val="000000"/>
              </w:rPr>
            </w:pPr>
            <w:r w:rsidRPr="00F349EA">
              <w:rPr>
                <w:rFonts w:asciiTheme="majorHAnsi" w:hAnsiTheme="majorHAnsi" w:cstheme="majorHAnsi"/>
                <w:b/>
                <w:bCs/>
                <w:color w:val="000000"/>
              </w:rPr>
              <w:t>0.5</w:t>
            </w:r>
            <w:r w:rsidR="00207F39" w:rsidRPr="00F349EA">
              <w:rPr>
                <w:rFonts w:asciiTheme="majorHAnsi" w:hAnsiTheme="majorHAnsi" w:cstheme="majorHAnsi"/>
                <w:b/>
                <w:bCs/>
                <w:color w:val="000000"/>
              </w:rPr>
              <w:t>0</w:t>
            </w:r>
          </w:p>
        </w:tc>
        <w:tc>
          <w:tcPr>
            <w:tcW w:w="992" w:type="dxa"/>
            <w:tcBorders>
              <w:top w:val="single" w:sz="8" w:space="0" w:color="auto"/>
              <w:left w:val="single" w:sz="8" w:space="0" w:color="auto"/>
              <w:bottom w:val="single" w:sz="8" w:space="0" w:color="auto"/>
              <w:right w:val="single" w:sz="8" w:space="0" w:color="auto"/>
            </w:tcBorders>
            <w:vAlign w:val="center"/>
          </w:tcPr>
          <w:p w14:paraId="6900D0D7" w14:textId="1BA632A5" w:rsidR="00AF5229" w:rsidRPr="00F349EA" w:rsidRDefault="00AF5229" w:rsidP="005B56CB">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993" w:type="dxa"/>
            <w:tcBorders>
              <w:top w:val="single" w:sz="8" w:space="0" w:color="auto"/>
              <w:left w:val="single" w:sz="8" w:space="0" w:color="auto"/>
              <w:bottom w:val="single" w:sz="8" w:space="0" w:color="auto"/>
              <w:right w:val="single" w:sz="8" w:space="0" w:color="auto"/>
            </w:tcBorders>
            <w:vAlign w:val="center"/>
          </w:tcPr>
          <w:p w14:paraId="0F3FCD28" w14:textId="3DE5C30D" w:rsidR="00AF5229" w:rsidRPr="00F349EA" w:rsidRDefault="00AF5229" w:rsidP="005B56CB">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1DAE2038" w14:textId="36DEFBD9" w:rsidR="00AF5229" w:rsidRPr="00F349EA" w:rsidRDefault="00AF5229" w:rsidP="005B56CB">
            <w:pPr>
              <w:jc w:val="center"/>
              <w:textAlignment w:val="baseline"/>
              <w:rPr>
                <w:rFonts w:ascii="Arial" w:eastAsia="Times New Roman" w:hAnsi="Arial" w:cs="Arial"/>
                <w:lang w:eastAsia="en-GB"/>
              </w:rPr>
            </w:pPr>
            <w:r w:rsidRPr="00F349EA">
              <w:rPr>
                <w:noProof/>
              </w:rPr>
              <w:drawing>
                <wp:inline distT="0" distB="0" distL="0" distR="0" wp14:anchorId="23707492" wp14:editId="2C34DC7B">
                  <wp:extent cx="463550" cy="463550"/>
                  <wp:effectExtent l="0" t="0" r="0" b="0"/>
                  <wp:docPr id="1187390453"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463550" cy="463550"/>
                          </a:xfrm>
                          <a:prstGeom prst="rect">
                            <a:avLst/>
                          </a:prstGeom>
                        </pic:spPr>
                      </pic:pic>
                    </a:graphicData>
                  </a:graphic>
                </wp:inline>
              </w:drawing>
            </w:r>
          </w:p>
        </w:tc>
        <w:tc>
          <w:tcPr>
            <w:tcW w:w="5529" w:type="dxa"/>
            <w:tcBorders>
              <w:top w:val="single" w:sz="8" w:space="0" w:color="auto"/>
              <w:left w:val="single" w:sz="8" w:space="0" w:color="auto"/>
              <w:bottom w:val="single" w:sz="8" w:space="0" w:color="auto"/>
              <w:right w:val="single" w:sz="8" w:space="0" w:color="auto"/>
            </w:tcBorders>
            <w:vAlign w:val="center"/>
          </w:tcPr>
          <w:p w14:paraId="3C16D006" w14:textId="2F0A5929" w:rsidR="00AF5229" w:rsidRPr="00F349EA" w:rsidRDefault="00AF5229" w:rsidP="005B56CB">
            <w:pPr>
              <w:textAlignment w:val="baseline"/>
              <w:rPr>
                <w:rFonts w:ascii="Arial" w:eastAsia="Times New Roman" w:hAnsi="Arial" w:cs="Arial"/>
                <w:lang w:eastAsia="en-GB"/>
              </w:rPr>
            </w:pPr>
            <w:r w:rsidRPr="00F349EA">
              <w:rPr>
                <w:rFonts w:ascii="Arial" w:eastAsia="Times New Roman" w:hAnsi="Arial" w:cs="Arial"/>
                <w:lang w:eastAsia="en-GB"/>
              </w:rPr>
              <w:t>We are on track for delivering areas within our control. </w:t>
            </w:r>
            <w:r w:rsidRPr="0026419D">
              <w:rPr>
                <w:rFonts w:ascii="Arial" w:eastAsia="Times New Roman" w:hAnsi="Arial" w:cs="Arial"/>
                <w:lang w:eastAsia="en-GB"/>
              </w:rPr>
              <w:t>We continu</w:t>
            </w:r>
            <w:r w:rsidR="00AD6A17">
              <w:rPr>
                <w:rFonts w:ascii="Arial" w:eastAsia="Times New Roman" w:hAnsi="Arial" w:cs="Arial"/>
                <w:lang w:eastAsia="en-GB"/>
              </w:rPr>
              <w:t>e</w:t>
            </w:r>
            <w:r w:rsidRPr="00F349EA">
              <w:rPr>
                <w:rFonts w:ascii="Arial" w:eastAsia="Times New Roman" w:hAnsi="Arial" w:cs="Arial"/>
                <w:lang w:eastAsia="en-GB"/>
              </w:rPr>
              <w:t xml:space="preserve"> to pursue </w:t>
            </w:r>
            <w:r w:rsidRPr="00F349EA">
              <w:rPr>
                <w:lang w:eastAsia="en-GB"/>
              </w:rPr>
              <w:t>clarity from DEFRA’s digital build</w:t>
            </w:r>
            <w:r w:rsidRPr="00F349EA">
              <w:t xml:space="preserve"> t</w:t>
            </w:r>
            <w:r w:rsidRPr="00F349EA">
              <w:rPr>
                <w:lang w:eastAsia="en-GB"/>
              </w:rPr>
              <w:t>eam regarding SEPA’s requirements and what will be delivered by Q4. Until</w:t>
            </w:r>
            <w:r w:rsidRPr="00F349EA">
              <w:rPr>
                <w:rFonts w:ascii="Arial" w:eastAsia="Times New Roman" w:hAnsi="Arial" w:cs="Arial"/>
                <w:lang w:eastAsia="en-GB"/>
              </w:rPr>
              <w:t xml:space="preserve"> this is received, we are forecasting partial delivery</w:t>
            </w:r>
            <w:r w:rsidRPr="0026419D">
              <w:rPr>
                <w:rFonts w:ascii="Arial" w:eastAsia="Times New Roman" w:hAnsi="Arial" w:cs="Arial"/>
                <w:lang w:eastAsia="en-GB"/>
              </w:rPr>
              <w:t>. </w:t>
            </w:r>
          </w:p>
        </w:tc>
        <w:tc>
          <w:tcPr>
            <w:tcW w:w="1417" w:type="dxa"/>
            <w:tcBorders>
              <w:top w:val="single" w:sz="8" w:space="0" w:color="auto"/>
              <w:left w:val="single" w:sz="8" w:space="0" w:color="auto"/>
              <w:bottom w:val="single" w:sz="8" w:space="0" w:color="auto"/>
              <w:right w:val="single" w:sz="8" w:space="0" w:color="auto"/>
            </w:tcBorders>
            <w:vAlign w:val="center"/>
          </w:tcPr>
          <w:p w14:paraId="52373B30" w14:textId="58576FB1" w:rsidR="00AF5229" w:rsidRPr="00F349EA" w:rsidRDefault="00AF5229" w:rsidP="006A7722">
            <w:pPr>
              <w:jc w:val="center"/>
              <w:textAlignment w:val="baseline"/>
              <w:rPr>
                <w:rFonts w:ascii="Arial" w:eastAsia="Times New Roman" w:hAnsi="Arial" w:cs="Arial"/>
                <w:lang w:eastAsia="en-GB"/>
              </w:rPr>
            </w:pPr>
            <w:r w:rsidRPr="00F349EA">
              <w:rPr>
                <w:rFonts w:asciiTheme="majorHAnsi" w:eastAsia="Times New Roman" w:hAnsiTheme="majorHAnsi" w:cstheme="majorHAnsi"/>
                <w:lang w:eastAsia="en-GB"/>
              </w:rPr>
              <w:t>Partial Delivery</w:t>
            </w:r>
          </w:p>
        </w:tc>
      </w:tr>
      <w:tr w:rsidR="00197D0F" w:rsidRPr="00F349EA" w14:paraId="119B2E75" w14:textId="5602DCA0" w:rsidTr="00D93C60">
        <w:trPr>
          <w:cantSplit/>
          <w:trHeight w:val="397"/>
        </w:trPr>
        <w:tc>
          <w:tcPr>
            <w:tcW w:w="1014" w:type="dxa"/>
            <w:tcBorders>
              <w:top w:val="single" w:sz="8" w:space="0" w:color="auto"/>
              <w:left w:val="single" w:sz="8" w:space="0" w:color="auto"/>
              <w:bottom w:val="single" w:sz="8" w:space="0" w:color="auto"/>
              <w:right w:val="single" w:sz="8" w:space="0" w:color="auto"/>
            </w:tcBorders>
            <w:vAlign w:val="center"/>
          </w:tcPr>
          <w:p w14:paraId="4AEA5307" w14:textId="1F7172D7" w:rsidR="00197D0F" w:rsidRPr="00F349EA" w:rsidRDefault="00197D0F" w:rsidP="00197D0F">
            <w:pPr>
              <w:textAlignment w:val="baseline"/>
              <w:rPr>
                <w:rFonts w:ascii="Arial" w:eastAsia="Times New Roman" w:hAnsi="Arial" w:cs="Arial"/>
                <w:lang w:eastAsia="en-GB"/>
              </w:rPr>
            </w:pPr>
            <w:r w:rsidRPr="00F349EA">
              <w:rPr>
                <w:rFonts w:ascii="Arial" w:eastAsia="Times New Roman" w:hAnsi="Arial" w:cs="Arial"/>
                <w:lang w:eastAsia="en-GB"/>
              </w:rPr>
              <w:lastRenderedPageBreak/>
              <w:t>BEP OKR8</w:t>
            </w:r>
          </w:p>
        </w:tc>
        <w:tc>
          <w:tcPr>
            <w:tcW w:w="1761" w:type="dxa"/>
            <w:tcBorders>
              <w:top w:val="single" w:sz="8" w:space="0" w:color="auto"/>
              <w:left w:val="single" w:sz="8" w:space="0" w:color="auto"/>
              <w:bottom w:val="single" w:sz="8" w:space="0" w:color="auto"/>
              <w:right w:val="single" w:sz="8" w:space="0" w:color="auto"/>
            </w:tcBorders>
            <w:vAlign w:val="center"/>
          </w:tcPr>
          <w:p w14:paraId="1A80140E" w14:textId="1777C9FE" w:rsidR="00197D0F" w:rsidRPr="00F349EA" w:rsidRDefault="00197D0F" w:rsidP="00197D0F">
            <w:pPr>
              <w:textAlignment w:val="baseline"/>
              <w:rPr>
                <w:rFonts w:ascii="Arial" w:eastAsia="Times New Roman" w:hAnsi="Arial" w:cs="Arial"/>
                <w:lang w:eastAsia="en-GB"/>
              </w:rPr>
            </w:pPr>
            <w:r w:rsidRPr="00F349EA">
              <w:rPr>
                <w:rFonts w:ascii="Arial" w:eastAsia="Times New Roman" w:hAnsi="Arial" w:cs="Arial"/>
                <w:lang w:eastAsia="en-GB"/>
              </w:rPr>
              <w:t xml:space="preserve">Business </w:t>
            </w:r>
            <w:r w:rsidR="007F5AB3">
              <w:rPr>
                <w:rFonts w:ascii="Arial" w:eastAsia="Times New Roman" w:hAnsi="Arial" w:cs="Arial"/>
                <w:lang w:eastAsia="en-GB"/>
              </w:rPr>
              <w:t>E</w:t>
            </w:r>
            <w:r w:rsidRPr="00F349EA">
              <w:rPr>
                <w:rFonts w:ascii="Arial" w:eastAsia="Times New Roman" w:hAnsi="Arial" w:cs="Arial"/>
                <w:lang w:eastAsia="en-GB"/>
              </w:rPr>
              <w:t xml:space="preserve">nvironmental </w:t>
            </w:r>
            <w:r w:rsidR="007F5AB3">
              <w:rPr>
                <w:rFonts w:ascii="Arial" w:eastAsia="Times New Roman" w:hAnsi="Arial" w:cs="Arial"/>
                <w:lang w:eastAsia="en-GB"/>
              </w:rPr>
              <w:t>P</w:t>
            </w:r>
            <w:r w:rsidRPr="00F349EA">
              <w:rPr>
                <w:rFonts w:ascii="Arial" w:eastAsia="Times New Roman" w:hAnsi="Arial" w:cs="Arial"/>
                <w:lang w:eastAsia="en-GB"/>
              </w:rPr>
              <w:t>erformance</w:t>
            </w:r>
          </w:p>
        </w:tc>
        <w:tc>
          <w:tcPr>
            <w:tcW w:w="6434" w:type="dxa"/>
            <w:tcBorders>
              <w:top w:val="single" w:sz="8" w:space="0" w:color="auto"/>
              <w:left w:val="single" w:sz="8" w:space="0" w:color="auto"/>
              <w:bottom w:val="single" w:sz="8" w:space="0" w:color="auto"/>
              <w:right w:val="single" w:sz="8" w:space="0" w:color="auto"/>
            </w:tcBorders>
            <w:vAlign w:val="center"/>
          </w:tcPr>
          <w:p w14:paraId="3E8E0EC4" w14:textId="5ECCC52B" w:rsidR="00197D0F" w:rsidRPr="00F349EA" w:rsidRDefault="00197D0F" w:rsidP="00197D0F">
            <w:pPr>
              <w:rPr>
                <w:rFonts w:ascii="Arial" w:hAnsi="Arial" w:cs="Arial"/>
              </w:rPr>
            </w:pPr>
            <w:r w:rsidRPr="00F349EA">
              <w:rPr>
                <w:rFonts w:ascii="Arial" w:hAnsi="Arial" w:cs="Arial"/>
              </w:rPr>
              <w:t>Ensure key stakeholders are engaged and informed on the necessary preparations required for compliance with the Biodegradable Municipal Waste (BMW) Landfill ban.</w:t>
            </w:r>
          </w:p>
        </w:tc>
        <w:tc>
          <w:tcPr>
            <w:tcW w:w="1134" w:type="dxa"/>
            <w:tcBorders>
              <w:top w:val="single" w:sz="8" w:space="0" w:color="auto"/>
              <w:left w:val="single" w:sz="8" w:space="0" w:color="auto"/>
              <w:bottom w:val="single" w:sz="8" w:space="0" w:color="auto"/>
              <w:right w:val="single" w:sz="8" w:space="0" w:color="auto"/>
            </w:tcBorders>
            <w:vAlign w:val="center"/>
          </w:tcPr>
          <w:p w14:paraId="05496AEF" w14:textId="205E037D" w:rsidR="00197D0F" w:rsidRPr="00F349EA" w:rsidRDefault="00197D0F" w:rsidP="00197D0F">
            <w:pPr>
              <w:jc w:val="center"/>
              <w:textAlignment w:val="baseline"/>
              <w:rPr>
                <w:rFonts w:asciiTheme="majorHAnsi" w:hAnsiTheme="majorHAnsi" w:cstheme="majorHAnsi"/>
                <w:b/>
                <w:color w:val="000000"/>
              </w:rPr>
            </w:pPr>
            <w:r w:rsidRPr="00F349EA">
              <w:rPr>
                <w:rFonts w:asciiTheme="majorHAnsi" w:eastAsia="Times New Roman" w:hAnsiTheme="majorHAnsi" w:cstheme="majorHAnsi"/>
                <w:b/>
                <w:lang w:eastAsia="en-GB"/>
              </w:rPr>
              <w:t>0.33</w:t>
            </w:r>
          </w:p>
        </w:tc>
        <w:tc>
          <w:tcPr>
            <w:tcW w:w="1134" w:type="dxa"/>
            <w:tcBorders>
              <w:top w:val="single" w:sz="8" w:space="0" w:color="auto"/>
              <w:left w:val="single" w:sz="8" w:space="0" w:color="auto"/>
              <w:bottom w:val="single" w:sz="8" w:space="0" w:color="auto"/>
              <w:right w:val="single" w:sz="8" w:space="0" w:color="auto"/>
            </w:tcBorders>
            <w:vAlign w:val="center"/>
          </w:tcPr>
          <w:p w14:paraId="509A57FC" w14:textId="0CF92E0E" w:rsidR="00197D0F" w:rsidRPr="00F349EA" w:rsidRDefault="00197D0F" w:rsidP="00197D0F">
            <w:pPr>
              <w:jc w:val="center"/>
              <w:textAlignment w:val="baseline"/>
              <w:rPr>
                <w:rFonts w:asciiTheme="majorHAnsi" w:hAnsiTheme="majorHAnsi" w:cstheme="majorHAnsi"/>
                <w:b/>
                <w:bCs/>
                <w:color w:val="000000"/>
              </w:rPr>
            </w:pPr>
            <w:r w:rsidRPr="00F349EA">
              <w:rPr>
                <w:rFonts w:asciiTheme="majorHAnsi" w:hAnsiTheme="majorHAnsi" w:cstheme="majorHAnsi"/>
                <w:b/>
                <w:bCs/>
                <w:color w:val="000000"/>
              </w:rPr>
              <w:t>0.33</w:t>
            </w:r>
          </w:p>
        </w:tc>
        <w:tc>
          <w:tcPr>
            <w:tcW w:w="992" w:type="dxa"/>
            <w:tcBorders>
              <w:top w:val="single" w:sz="8" w:space="0" w:color="auto"/>
              <w:left w:val="single" w:sz="8" w:space="0" w:color="auto"/>
              <w:bottom w:val="single" w:sz="8" w:space="0" w:color="auto"/>
              <w:right w:val="single" w:sz="8" w:space="0" w:color="auto"/>
            </w:tcBorders>
            <w:vAlign w:val="center"/>
          </w:tcPr>
          <w:p w14:paraId="78520751" w14:textId="03D4A3D0" w:rsidR="00197D0F" w:rsidRPr="00F349EA" w:rsidRDefault="00197D0F" w:rsidP="00197D0F">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993" w:type="dxa"/>
            <w:tcBorders>
              <w:top w:val="single" w:sz="8" w:space="0" w:color="auto"/>
              <w:left w:val="single" w:sz="8" w:space="0" w:color="auto"/>
              <w:bottom w:val="single" w:sz="8" w:space="0" w:color="auto"/>
              <w:right w:val="single" w:sz="8" w:space="0" w:color="auto"/>
            </w:tcBorders>
            <w:vAlign w:val="center"/>
          </w:tcPr>
          <w:p w14:paraId="6AD93916" w14:textId="15ABAE9B" w:rsidR="00197D0F" w:rsidRPr="00F349EA" w:rsidRDefault="00197D0F" w:rsidP="00197D0F">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2A6FF090" w14:textId="5E3BC269" w:rsidR="00197D0F" w:rsidRPr="00F349EA" w:rsidRDefault="00197D0F" w:rsidP="00197D0F">
            <w:pPr>
              <w:jc w:val="center"/>
              <w:textAlignment w:val="baseline"/>
              <w:rPr>
                <w:rFonts w:ascii="Arial" w:eastAsia="Times New Roman" w:hAnsi="Arial" w:cs="Arial"/>
                <w:lang w:eastAsia="en-GB"/>
              </w:rPr>
            </w:pPr>
            <w:r w:rsidRPr="00F349EA">
              <w:rPr>
                <w:noProof/>
              </w:rPr>
              <w:drawing>
                <wp:inline distT="0" distB="0" distL="0" distR="0" wp14:anchorId="359E2BDC" wp14:editId="1005581D">
                  <wp:extent cx="463550" cy="463550"/>
                  <wp:effectExtent l="0" t="0" r="0" b="0"/>
                  <wp:docPr id="1147543857"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463550" cy="463550"/>
                          </a:xfrm>
                          <a:prstGeom prst="rect">
                            <a:avLst/>
                          </a:prstGeom>
                        </pic:spPr>
                      </pic:pic>
                    </a:graphicData>
                  </a:graphic>
                </wp:inline>
              </w:drawing>
            </w:r>
          </w:p>
        </w:tc>
        <w:tc>
          <w:tcPr>
            <w:tcW w:w="5529" w:type="dxa"/>
            <w:tcBorders>
              <w:top w:val="single" w:sz="8" w:space="0" w:color="auto"/>
              <w:left w:val="single" w:sz="8" w:space="0" w:color="auto"/>
              <w:bottom w:val="single" w:sz="8" w:space="0" w:color="auto"/>
              <w:right w:val="single" w:sz="8" w:space="0" w:color="auto"/>
            </w:tcBorders>
            <w:vAlign w:val="center"/>
          </w:tcPr>
          <w:p w14:paraId="236C89A0" w14:textId="5A33AED7" w:rsidR="00197D0F" w:rsidRPr="00F349EA" w:rsidRDefault="00C970A4" w:rsidP="00197D0F">
            <w:r w:rsidRPr="00F349EA">
              <w:t xml:space="preserve">We remain on track with our preparations. Discussions between the Scottish Government and industry on readiness and the Energy from Waste </w:t>
            </w:r>
            <w:r w:rsidR="000022F1" w:rsidRPr="00F349EA">
              <w:t xml:space="preserve">(EfW) </w:t>
            </w:r>
            <w:r w:rsidRPr="00F349EA">
              <w:t>capacity gap are ongoing. Clarity on any potential amendments to the ban, aimed at addressing this gap, is expected from the Scottish Government by the end of October.</w:t>
            </w:r>
          </w:p>
        </w:tc>
        <w:tc>
          <w:tcPr>
            <w:tcW w:w="1417" w:type="dxa"/>
            <w:tcBorders>
              <w:top w:val="single" w:sz="8" w:space="0" w:color="auto"/>
              <w:left w:val="single" w:sz="8" w:space="0" w:color="auto"/>
              <w:bottom w:val="single" w:sz="8" w:space="0" w:color="auto"/>
              <w:right w:val="single" w:sz="8" w:space="0" w:color="auto"/>
            </w:tcBorders>
            <w:vAlign w:val="center"/>
          </w:tcPr>
          <w:p w14:paraId="15E87347" w14:textId="41D5074F" w:rsidR="00197D0F" w:rsidRPr="00F349EA" w:rsidRDefault="00197D0F" w:rsidP="00D837EF">
            <w:pPr>
              <w:jc w:val="center"/>
              <w:textAlignment w:val="baseline"/>
              <w:rPr>
                <w:rFonts w:ascii="Arial" w:eastAsia="Times New Roman" w:hAnsi="Arial" w:cs="Arial"/>
                <w:lang w:eastAsia="en-GB"/>
              </w:rPr>
            </w:pPr>
            <w:r w:rsidRPr="00F349EA">
              <w:rPr>
                <w:rFonts w:asciiTheme="majorHAnsi" w:eastAsia="Times New Roman" w:hAnsiTheme="majorHAnsi" w:cstheme="majorHAnsi"/>
                <w:lang w:eastAsia="en-GB"/>
              </w:rPr>
              <w:t>Delivered</w:t>
            </w:r>
          </w:p>
        </w:tc>
      </w:tr>
      <w:tr w:rsidR="00197D0F" w:rsidRPr="00F349EA" w14:paraId="200BEE65" w14:textId="7501957C" w:rsidTr="00D93C60">
        <w:trPr>
          <w:cantSplit/>
          <w:trHeight w:val="409"/>
        </w:trPr>
        <w:tc>
          <w:tcPr>
            <w:tcW w:w="1014" w:type="dxa"/>
            <w:tcBorders>
              <w:top w:val="single" w:sz="8" w:space="0" w:color="auto"/>
              <w:left w:val="single" w:sz="8" w:space="0" w:color="auto"/>
              <w:bottom w:val="single" w:sz="8" w:space="0" w:color="auto"/>
              <w:right w:val="single" w:sz="8" w:space="0" w:color="auto"/>
            </w:tcBorders>
            <w:vAlign w:val="center"/>
          </w:tcPr>
          <w:p w14:paraId="5181EA26" w14:textId="474B71E8" w:rsidR="00197D0F" w:rsidRPr="00F349EA" w:rsidRDefault="00197D0F" w:rsidP="00197D0F">
            <w:pPr>
              <w:textAlignment w:val="baseline"/>
              <w:rPr>
                <w:rFonts w:ascii="Arial" w:eastAsia="Times New Roman" w:hAnsi="Arial" w:cs="Arial"/>
                <w:lang w:eastAsia="en-GB"/>
              </w:rPr>
            </w:pPr>
            <w:r w:rsidRPr="00F349EA">
              <w:rPr>
                <w:rFonts w:ascii="Arial" w:eastAsia="Times New Roman" w:hAnsi="Arial" w:cs="Arial"/>
                <w:lang w:eastAsia="en-GB"/>
              </w:rPr>
              <w:t>BEP OKR9</w:t>
            </w:r>
          </w:p>
        </w:tc>
        <w:tc>
          <w:tcPr>
            <w:tcW w:w="1761" w:type="dxa"/>
            <w:tcBorders>
              <w:top w:val="single" w:sz="8" w:space="0" w:color="auto"/>
              <w:left w:val="single" w:sz="8" w:space="0" w:color="auto"/>
              <w:bottom w:val="single" w:sz="8" w:space="0" w:color="auto"/>
              <w:right w:val="single" w:sz="8" w:space="0" w:color="auto"/>
            </w:tcBorders>
            <w:vAlign w:val="center"/>
          </w:tcPr>
          <w:p w14:paraId="00009B0F" w14:textId="37115C17" w:rsidR="00197D0F" w:rsidRPr="00F349EA" w:rsidRDefault="00197D0F" w:rsidP="00197D0F">
            <w:pPr>
              <w:textAlignment w:val="baseline"/>
              <w:rPr>
                <w:rFonts w:ascii="Arial" w:eastAsia="Times New Roman" w:hAnsi="Arial" w:cs="Arial"/>
                <w:lang w:eastAsia="en-GB"/>
              </w:rPr>
            </w:pPr>
            <w:r w:rsidRPr="00F349EA">
              <w:rPr>
                <w:rFonts w:ascii="Arial" w:eastAsia="Times New Roman" w:hAnsi="Arial" w:cs="Arial"/>
                <w:lang w:eastAsia="en-GB"/>
              </w:rPr>
              <w:t xml:space="preserve">Business </w:t>
            </w:r>
            <w:r w:rsidR="007F5AB3">
              <w:rPr>
                <w:rFonts w:ascii="Arial" w:eastAsia="Times New Roman" w:hAnsi="Arial" w:cs="Arial"/>
                <w:lang w:eastAsia="en-GB"/>
              </w:rPr>
              <w:t>E</w:t>
            </w:r>
            <w:r w:rsidRPr="00F349EA">
              <w:rPr>
                <w:rFonts w:ascii="Arial" w:eastAsia="Times New Roman" w:hAnsi="Arial" w:cs="Arial"/>
                <w:lang w:eastAsia="en-GB"/>
              </w:rPr>
              <w:t xml:space="preserve">nvironmental </w:t>
            </w:r>
            <w:r w:rsidR="007F5AB3">
              <w:rPr>
                <w:rFonts w:ascii="Arial" w:eastAsia="Times New Roman" w:hAnsi="Arial" w:cs="Arial"/>
                <w:lang w:eastAsia="en-GB"/>
              </w:rPr>
              <w:t>P</w:t>
            </w:r>
            <w:r w:rsidRPr="00F349EA">
              <w:rPr>
                <w:rFonts w:ascii="Arial" w:eastAsia="Times New Roman" w:hAnsi="Arial" w:cs="Arial"/>
                <w:lang w:eastAsia="en-GB"/>
              </w:rPr>
              <w:t>erformance</w:t>
            </w:r>
          </w:p>
        </w:tc>
        <w:tc>
          <w:tcPr>
            <w:tcW w:w="6434" w:type="dxa"/>
            <w:tcBorders>
              <w:top w:val="single" w:sz="8" w:space="0" w:color="auto"/>
              <w:left w:val="single" w:sz="8" w:space="0" w:color="auto"/>
              <w:bottom w:val="single" w:sz="8" w:space="0" w:color="auto"/>
              <w:right w:val="single" w:sz="8" w:space="0" w:color="auto"/>
            </w:tcBorders>
            <w:vAlign w:val="center"/>
          </w:tcPr>
          <w:p w14:paraId="32494D77" w14:textId="15FAD4A5" w:rsidR="00197D0F" w:rsidRPr="00F349EA" w:rsidRDefault="00197D0F" w:rsidP="00197D0F">
            <w:pPr>
              <w:rPr>
                <w:rFonts w:ascii="Arial" w:hAnsi="Arial" w:cs="Arial"/>
              </w:rPr>
            </w:pPr>
            <w:r w:rsidRPr="00F349EA">
              <w:rPr>
                <w:rFonts w:ascii="Arial" w:hAnsi="Arial" w:cs="Arial"/>
              </w:rPr>
              <w:t>Tackle environmental crime using interventions approach.</w:t>
            </w:r>
          </w:p>
        </w:tc>
        <w:tc>
          <w:tcPr>
            <w:tcW w:w="1134" w:type="dxa"/>
            <w:tcBorders>
              <w:top w:val="single" w:sz="8" w:space="0" w:color="auto"/>
              <w:left w:val="single" w:sz="8" w:space="0" w:color="auto"/>
              <w:bottom w:val="single" w:sz="8" w:space="0" w:color="auto"/>
              <w:right w:val="single" w:sz="8" w:space="0" w:color="auto"/>
            </w:tcBorders>
            <w:vAlign w:val="center"/>
          </w:tcPr>
          <w:p w14:paraId="798EB197" w14:textId="02DA7E54" w:rsidR="00197D0F" w:rsidRPr="00F349EA" w:rsidRDefault="00197D0F" w:rsidP="00197D0F">
            <w:pPr>
              <w:jc w:val="center"/>
              <w:textAlignment w:val="baseline"/>
              <w:rPr>
                <w:rFonts w:asciiTheme="majorHAnsi" w:hAnsiTheme="majorHAnsi" w:cstheme="majorHAnsi"/>
                <w:b/>
                <w:color w:val="000000"/>
              </w:rPr>
            </w:pPr>
            <w:r w:rsidRPr="00F349EA">
              <w:rPr>
                <w:rFonts w:asciiTheme="majorHAnsi" w:eastAsia="Times New Roman" w:hAnsiTheme="majorHAnsi" w:cstheme="majorHAnsi"/>
                <w:b/>
                <w:lang w:eastAsia="en-GB"/>
              </w:rPr>
              <w:t>0.13</w:t>
            </w:r>
          </w:p>
        </w:tc>
        <w:tc>
          <w:tcPr>
            <w:tcW w:w="1134" w:type="dxa"/>
            <w:tcBorders>
              <w:top w:val="single" w:sz="8" w:space="0" w:color="auto"/>
              <w:left w:val="single" w:sz="8" w:space="0" w:color="auto"/>
              <w:bottom w:val="single" w:sz="8" w:space="0" w:color="auto"/>
              <w:right w:val="single" w:sz="8" w:space="0" w:color="auto"/>
            </w:tcBorders>
            <w:vAlign w:val="center"/>
          </w:tcPr>
          <w:p w14:paraId="5C5731A5" w14:textId="2B78F7F3" w:rsidR="00197D0F" w:rsidRPr="00F349EA" w:rsidRDefault="00197D0F" w:rsidP="00197D0F">
            <w:pPr>
              <w:jc w:val="center"/>
              <w:textAlignment w:val="baseline"/>
              <w:rPr>
                <w:rFonts w:asciiTheme="majorHAnsi" w:hAnsiTheme="majorHAnsi" w:cstheme="majorHAnsi"/>
                <w:b/>
                <w:bCs/>
                <w:color w:val="000000"/>
              </w:rPr>
            </w:pPr>
            <w:r w:rsidRPr="00F349EA">
              <w:rPr>
                <w:rFonts w:asciiTheme="majorHAnsi" w:hAnsiTheme="majorHAnsi" w:cstheme="majorHAnsi"/>
                <w:b/>
                <w:bCs/>
                <w:color w:val="000000"/>
              </w:rPr>
              <w:t>1</w:t>
            </w:r>
          </w:p>
        </w:tc>
        <w:tc>
          <w:tcPr>
            <w:tcW w:w="992" w:type="dxa"/>
            <w:tcBorders>
              <w:top w:val="single" w:sz="8" w:space="0" w:color="auto"/>
              <w:left w:val="single" w:sz="8" w:space="0" w:color="auto"/>
              <w:bottom w:val="single" w:sz="8" w:space="0" w:color="auto"/>
              <w:right w:val="single" w:sz="8" w:space="0" w:color="auto"/>
            </w:tcBorders>
            <w:vAlign w:val="center"/>
          </w:tcPr>
          <w:p w14:paraId="3C8FC082" w14:textId="2F588461" w:rsidR="00197D0F" w:rsidRPr="00F349EA" w:rsidRDefault="00197D0F" w:rsidP="00197D0F">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993" w:type="dxa"/>
            <w:tcBorders>
              <w:top w:val="single" w:sz="8" w:space="0" w:color="auto"/>
              <w:left w:val="single" w:sz="8" w:space="0" w:color="auto"/>
              <w:bottom w:val="single" w:sz="8" w:space="0" w:color="auto"/>
              <w:right w:val="single" w:sz="8" w:space="0" w:color="auto"/>
            </w:tcBorders>
            <w:vAlign w:val="center"/>
          </w:tcPr>
          <w:p w14:paraId="412D9EDB" w14:textId="038C2FC4" w:rsidR="00197D0F" w:rsidRPr="00F349EA" w:rsidRDefault="00197D0F" w:rsidP="00197D0F">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0E3409E8" w14:textId="12032623" w:rsidR="00197D0F" w:rsidRPr="00F349EA" w:rsidRDefault="00197D0F" w:rsidP="00197D0F">
            <w:pPr>
              <w:jc w:val="center"/>
              <w:textAlignment w:val="baseline"/>
              <w:rPr>
                <w:rFonts w:ascii="Arial" w:eastAsia="Times New Roman" w:hAnsi="Arial" w:cs="Arial"/>
                <w:lang w:eastAsia="en-GB"/>
              </w:rPr>
            </w:pPr>
            <w:r w:rsidRPr="00F349EA">
              <w:rPr>
                <w:b/>
                <w:bCs/>
                <w:noProof/>
              </w:rPr>
              <w:drawing>
                <wp:anchor distT="0" distB="0" distL="114300" distR="114300" simplePos="0" relativeHeight="251658245" behindDoc="0" locked="0" layoutInCell="1" allowOverlap="1" wp14:anchorId="1DDAC510" wp14:editId="27744DC9">
                  <wp:simplePos x="0" y="0"/>
                  <wp:positionH relativeFrom="column">
                    <wp:posOffset>109220</wp:posOffset>
                  </wp:positionH>
                  <wp:positionV relativeFrom="paragraph">
                    <wp:posOffset>20320</wp:posOffset>
                  </wp:positionV>
                  <wp:extent cx="463550" cy="463550"/>
                  <wp:effectExtent l="0" t="0" r="0" b="0"/>
                  <wp:wrapNone/>
                  <wp:docPr id="1190806979"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550" cy="463550"/>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tcBorders>
              <w:top w:val="single" w:sz="8" w:space="0" w:color="auto"/>
              <w:left w:val="single" w:sz="8" w:space="0" w:color="auto"/>
              <w:bottom w:val="single" w:sz="8" w:space="0" w:color="auto"/>
              <w:right w:val="single" w:sz="8" w:space="0" w:color="auto"/>
            </w:tcBorders>
            <w:vAlign w:val="center"/>
          </w:tcPr>
          <w:p w14:paraId="7D6CD4A8" w14:textId="08A500C1" w:rsidR="00197D0F" w:rsidRPr="00F349EA" w:rsidRDefault="003A4F77" w:rsidP="00197D0F">
            <w:pPr>
              <w:textAlignment w:val="baseline"/>
              <w:rPr>
                <w:rFonts w:ascii="Arial" w:eastAsia="Times New Roman" w:hAnsi="Arial" w:cs="Arial"/>
                <w:lang w:eastAsia="en-GB"/>
              </w:rPr>
            </w:pPr>
            <w:r w:rsidRPr="00F349EA">
              <w:rPr>
                <w:rFonts w:ascii="Arial" w:eastAsia="Times New Roman" w:hAnsi="Arial" w:cs="Arial"/>
                <w:lang w:eastAsia="en-GB"/>
              </w:rPr>
              <w:t xml:space="preserve">The targets for </w:t>
            </w:r>
            <w:r w:rsidR="0013538F" w:rsidRPr="00F349EA">
              <w:rPr>
                <w:rFonts w:ascii="Arial" w:eastAsia="Times New Roman" w:hAnsi="Arial" w:cs="Arial"/>
                <w:lang w:eastAsia="en-GB"/>
              </w:rPr>
              <w:t>K</w:t>
            </w:r>
            <w:r w:rsidRPr="00F349EA">
              <w:rPr>
                <w:rFonts w:ascii="Arial" w:eastAsia="Times New Roman" w:hAnsi="Arial" w:cs="Arial"/>
                <w:lang w:eastAsia="en-GB"/>
              </w:rPr>
              <w:t xml:space="preserve">ey </w:t>
            </w:r>
            <w:r w:rsidR="0013538F" w:rsidRPr="00F349EA">
              <w:rPr>
                <w:rFonts w:ascii="Arial" w:eastAsia="Times New Roman" w:hAnsi="Arial" w:cs="Arial"/>
                <w:lang w:eastAsia="en-GB"/>
              </w:rPr>
              <w:t>R</w:t>
            </w:r>
            <w:r w:rsidRPr="00F349EA">
              <w:rPr>
                <w:rFonts w:ascii="Arial" w:eastAsia="Times New Roman" w:hAnsi="Arial" w:cs="Arial"/>
                <w:lang w:eastAsia="en-GB"/>
              </w:rPr>
              <w:t>esults 9.1</w:t>
            </w:r>
            <w:r w:rsidR="001D2EBD" w:rsidRPr="00F349EA">
              <w:rPr>
                <w:rFonts w:ascii="Arial" w:eastAsia="Times New Roman" w:hAnsi="Arial" w:cs="Arial"/>
                <w:lang w:eastAsia="en-GB"/>
              </w:rPr>
              <w:t xml:space="preserve"> to </w:t>
            </w:r>
            <w:r w:rsidRPr="00F349EA">
              <w:rPr>
                <w:rFonts w:ascii="Arial" w:eastAsia="Times New Roman" w:hAnsi="Arial" w:cs="Arial"/>
                <w:lang w:eastAsia="en-GB"/>
              </w:rPr>
              <w:t>9</w:t>
            </w:r>
            <w:r w:rsidR="001D2EBD" w:rsidRPr="00F349EA">
              <w:rPr>
                <w:rFonts w:ascii="Arial" w:eastAsia="Times New Roman" w:hAnsi="Arial" w:cs="Arial"/>
                <w:lang w:eastAsia="en-GB"/>
              </w:rPr>
              <w:t xml:space="preserve">.3 have already been reached. </w:t>
            </w:r>
            <w:r w:rsidR="00BF5DC2" w:rsidRPr="00F349EA">
              <w:rPr>
                <w:rFonts w:ascii="Arial" w:eastAsia="Times New Roman" w:hAnsi="Arial" w:cs="Arial"/>
                <w:lang w:eastAsia="en-GB"/>
              </w:rPr>
              <w:t>New stretch targets are to be implemented</w:t>
            </w:r>
            <w:r w:rsidR="00C82F14">
              <w:rPr>
                <w:rFonts w:ascii="Arial" w:eastAsia="Times New Roman" w:hAnsi="Arial" w:cs="Arial"/>
                <w:lang w:eastAsia="en-GB"/>
              </w:rPr>
              <w:t xml:space="preserve"> from Q3</w:t>
            </w:r>
            <w:r w:rsidR="00BF5DC2" w:rsidRPr="0026419D">
              <w:rPr>
                <w:rFonts w:ascii="Arial" w:eastAsia="Times New Roman" w:hAnsi="Arial" w:cs="Arial"/>
                <w:lang w:eastAsia="en-GB"/>
              </w:rPr>
              <w:t>.</w:t>
            </w:r>
            <w:r w:rsidR="00BF5DC2" w:rsidRPr="00F349EA">
              <w:rPr>
                <w:rFonts w:ascii="Arial" w:eastAsia="Times New Roman" w:hAnsi="Arial" w:cs="Arial"/>
                <w:lang w:eastAsia="en-GB"/>
              </w:rPr>
              <w:t xml:space="preserve"> </w:t>
            </w:r>
            <w:r w:rsidR="0013538F" w:rsidRPr="00F349EA">
              <w:rPr>
                <w:rFonts w:ascii="Arial" w:eastAsia="Times New Roman" w:hAnsi="Arial" w:cs="Arial"/>
                <w:lang w:eastAsia="en-GB"/>
              </w:rPr>
              <w:t xml:space="preserve">Key </w:t>
            </w:r>
            <w:r w:rsidR="00DD3622" w:rsidRPr="00F349EA">
              <w:rPr>
                <w:rFonts w:ascii="Arial" w:eastAsia="Times New Roman" w:hAnsi="Arial" w:cs="Arial"/>
                <w:lang w:eastAsia="en-GB"/>
              </w:rPr>
              <w:t>R</w:t>
            </w:r>
            <w:r w:rsidR="0013538F" w:rsidRPr="00F349EA">
              <w:rPr>
                <w:rFonts w:ascii="Arial" w:eastAsia="Times New Roman" w:hAnsi="Arial" w:cs="Arial"/>
                <w:lang w:eastAsia="en-GB"/>
              </w:rPr>
              <w:t>esult 9.4 is not due to be delivered until Q4.</w:t>
            </w:r>
          </w:p>
        </w:tc>
        <w:tc>
          <w:tcPr>
            <w:tcW w:w="1417" w:type="dxa"/>
            <w:tcBorders>
              <w:top w:val="single" w:sz="8" w:space="0" w:color="auto"/>
              <w:left w:val="single" w:sz="8" w:space="0" w:color="auto"/>
              <w:bottom w:val="single" w:sz="8" w:space="0" w:color="auto"/>
              <w:right w:val="single" w:sz="8" w:space="0" w:color="auto"/>
            </w:tcBorders>
            <w:vAlign w:val="center"/>
          </w:tcPr>
          <w:p w14:paraId="532726E5" w14:textId="06DCF070" w:rsidR="00197D0F" w:rsidRPr="00F349EA" w:rsidRDefault="00197D0F" w:rsidP="00D837EF">
            <w:pPr>
              <w:jc w:val="center"/>
              <w:textAlignment w:val="baseline"/>
              <w:rPr>
                <w:rFonts w:ascii="Arial" w:eastAsia="Times New Roman" w:hAnsi="Arial" w:cs="Arial"/>
                <w:lang w:eastAsia="en-GB"/>
              </w:rPr>
            </w:pPr>
            <w:r w:rsidRPr="00F349EA">
              <w:rPr>
                <w:rFonts w:ascii="Arial" w:eastAsia="Times New Roman" w:hAnsi="Arial" w:cs="Arial"/>
                <w:szCs w:val="28"/>
                <w:lang w:eastAsia="en-GB"/>
              </w:rPr>
              <w:t>Delivered</w:t>
            </w:r>
          </w:p>
        </w:tc>
      </w:tr>
      <w:tr w:rsidR="00EE211C" w:rsidRPr="00F349EA" w14:paraId="727A0FBB" w14:textId="29DB0AA4" w:rsidTr="00D93C60">
        <w:trPr>
          <w:cantSplit/>
          <w:trHeight w:val="409"/>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F48B0A" w14:textId="3F84AE15" w:rsidR="00197D0F" w:rsidRPr="00F349EA" w:rsidRDefault="00197D0F" w:rsidP="00197D0F">
            <w:pPr>
              <w:textAlignment w:val="baseline"/>
              <w:rPr>
                <w:rFonts w:ascii="Arial" w:eastAsia="Times New Roman" w:hAnsi="Arial" w:cs="Arial"/>
                <w:lang w:eastAsia="en-GB"/>
              </w:rPr>
            </w:pPr>
            <w:r w:rsidRPr="00F349EA">
              <w:rPr>
                <w:rFonts w:ascii="Arial" w:eastAsia="Times New Roman" w:hAnsi="Arial" w:cs="Arial"/>
                <w:lang w:eastAsia="en-GB"/>
              </w:rPr>
              <w:t>OO OKR10</w:t>
            </w:r>
          </w:p>
        </w:tc>
        <w:tc>
          <w:tcPr>
            <w:tcW w:w="176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86C2F8" w14:textId="1371F96C" w:rsidR="00197D0F" w:rsidRPr="00F349EA" w:rsidRDefault="00197D0F" w:rsidP="00197D0F">
            <w:pPr>
              <w:textAlignment w:val="baseline"/>
              <w:rPr>
                <w:rFonts w:ascii="Arial" w:eastAsia="Times New Roman" w:hAnsi="Arial" w:cs="Arial"/>
                <w:lang w:eastAsia="en-GB"/>
              </w:rPr>
            </w:pPr>
            <w:r w:rsidRPr="00F349EA">
              <w:rPr>
                <w:rFonts w:ascii="Arial" w:eastAsia="Times New Roman" w:hAnsi="Arial" w:cs="Arial"/>
                <w:lang w:eastAsia="en-GB"/>
              </w:rPr>
              <w:t>Our Organisation</w:t>
            </w:r>
          </w:p>
        </w:tc>
        <w:tc>
          <w:tcPr>
            <w:tcW w:w="64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F270BF" w14:textId="2AF224CD" w:rsidR="00197D0F" w:rsidRPr="00F349EA" w:rsidRDefault="00197D0F" w:rsidP="00197D0F">
            <w:pPr>
              <w:rPr>
                <w:rFonts w:ascii="Arial" w:hAnsi="Arial" w:cs="Arial"/>
              </w:rPr>
            </w:pPr>
            <w:r w:rsidRPr="00F349EA">
              <w:rPr>
                <w:rFonts w:ascii="Arial" w:hAnsi="Arial" w:cs="Arial"/>
              </w:rPr>
              <w:t>Introduce effective digital public contact services for customers</w:t>
            </w:r>
            <w:r w:rsidR="000E0D80">
              <w:rPr>
                <w:rFonts w:ascii="Arial" w:hAnsi="Arial" w:cs="Arial"/>
              </w:rPr>
              <w:t>.</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C900C8" w14:textId="2C189F3A" w:rsidR="00197D0F" w:rsidRPr="00F349EA" w:rsidRDefault="00197D0F" w:rsidP="00197D0F">
            <w:pPr>
              <w:jc w:val="center"/>
              <w:textAlignment w:val="baseline"/>
              <w:rPr>
                <w:rFonts w:asciiTheme="majorHAnsi" w:hAnsiTheme="majorHAnsi" w:cstheme="majorHAnsi"/>
                <w:b/>
                <w:color w:val="000000"/>
              </w:rPr>
            </w:pPr>
            <w:r w:rsidRPr="00F349EA">
              <w:rPr>
                <w:rFonts w:asciiTheme="majorHAnsi" w:eastAsia="Times New Roman" w:hAnsiTheme="majorHAnsi" w:cstheme="majorHAnsi"/>
                <w:b/>
                <w:lang w:eastAsia="en-GB"/>
              </w:rPr>
              <w:t>N/A</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AA440B" w14:textId="13C976A8" w:rsidR="00197D0F" w:rsidRPr="00F349EA" w:rsidRDefault="00197D0F" w:rsidP="00197D0F">
            <w:pPr>
              <w:jc w:val="center"/>
              <w:textAlignment w:val="baseline"/>
              <w:rPr>
                <w:rFonts w:asciiTheme="majorHAnsi" w:hAnsiTheme="majorHAnsi" w:cstheme="majorHAnsi"/>
                <w:b/>
                <w:bCs/>
                <w:color w:val="000000"/>
              </w:rPr>
            </w:pPr>
            <w:r w:rsidRPr="00F349EA">
              <w:rPr>
                <w:rFonts w:asciiTheme="majorHAnsi" w:hAnsiTheme="majorHAnsi" w:cstheme="majorHAnsi"/>
                <w:b/>
                <w:bCs/>
                <w:color w:val="000000"/>
              </w:rPr>
              <w:t>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844572" w14:textId="72397A88" w:rsidR="00197D0F" w:rsidRPr="00F349EA" w:rsidRDefault="00197D0F" w:rsidP="00197D0F">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99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DC2241" w14:textId="0BF4BAD8" w:rsidR="00197D0F" w:rsidRPr="00F349EA" w:rsidRDefault="00197D0F" w:rsidP="00197D0F">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E1B13C5" w14:textId="2B606FDE" w:rsidR="00197D0F" w:rsidRPr="00F349EA" w:rsidRDefault="00197D0F" w:rsidP="00197D0F">
            <w:pPr>
              <w:jc w:val="center"/>
              <w:textAlignment w:val="baseline"/>
              <w:rPr>
                <w:rFonts w:ascii="Arial" w:eastAsia="Times New Roman" w:hAnsi="Arial" w:cs="Arial"/>
                <w:lang w:eastAsia="en-GB"/>
              </w:rPr>
            </w:pPr>
            <w:r w:rsidRPr="00F349EA">
              <w:rPr>
                <w:noProof/>
              </w:rPr>
              <w:drawing>
                <wp:anchor distT="0" distB="0" distL="114300" distR="114300" simplePos="0" relativeHeight="251658246" behindDoc="0" locked="0" layoutInCell="1" allowOverlap="1" wp14:anchorId="2DB0534B" wp14:editId="639B5D53">
                  <wp:simplePos x="0" y="0"/>
                  <wp:positionH relativeFrom="column">
                    <wp:posOffset>101600</wp:posOffset>
                  </wp:positionH>
                  <wp:positionV relativeFrom="paragraph">
                    <wp:posOffset>-8890</wp:posOffset>
                  </wp:positionV>
                  <wp:extent cx="473075" cy="481330"/>
                  <wp:effectExtent l="0" t="0" r="0" b="0"/>
                  <wp:wrapNone/>
                  <wp:docPr id="1140829983" name="Graphic 1" descr="Icon of a clock with solid fill. Represents where activity has not yet started or is not yet due for our OKR measure this quarter.">
                    <a:extLst xmlns:a="http://schemas.openxmlformats.org/drawingml/2006/main">
                      <a:ext uri="{FF2B5EF4-FFF2-40B4-BE49-F238E27FC236}">
                        <a16:creationId xmlns:a16="http://schemas.microsoft.com/office/drawing/2014/main" id="{F6195A3D-0A47-951A-680C-13B48190FE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Icon of a clock with solid fill. Represents where activity has not yet started or is not yet due for our OKR measure this quarter.">
                            <a:extLst>
                              <a:ext uri="{FF2B5EF4-FFF2-40B4-BE49-F238E27FC236}">
                                <a16:creationId xmlns:a16="http://schemas.microsoft.com/office/drawing/2014/main" id="{F6195A3D-0A47-951A-680C-13B48190FED4}"/>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0" y="0"/>
                            <a:ext cx="473075" cy="481330"/>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D24595" w14:textId="7B84A13D" w:rsidR="000D0068" w:rsidRPr="00F349EA" w:rsidRDefault="00911D28" w:rsidP="00E0571E">
            <w:pPr>
              <w:textAlignment w:val="baseline"/>
              <w:rPr>
                <w:rFonts w:ascii="Arial" w:eastAsia="Times New Roman" w:hAnsi="Arial" w:cs="Arial"/>
                <w:lang w:eastAsia="en-GB"/>
              </w:rPr>
            </w:pPr>
            <w:r>
              <w:rPr>
                <w:rFonts w:ascii="Arial" w:eastAsia="Times New Roman" w:hAnsi="Arial" w:cs="Arial"/>
                <w:lang w:eastAsia="en-GB"/>
              </w:rPr>
              <w:t xml:space="preserve">We are </w:t>
            </w:r>
            <w:r w:rsidR="008736B0">
              <w:rPr>
                <w:rFonts w:ascii="Arial" w:eastAsia="Times New Roman" w:hAnsi="Arial" w:cs="Arial"/>
                <w:lang w:eastAsia="en-GB"/>
              </w:rPr>
              <w:t>a</w:t>
            </w:r>
            <w:r>
              <w:rPr>
                <w:rFonts w:ascii="Arial" w:eastAsia="Times New Roman" w:hAnsi="Arial" w:cs="Arial"/>
                <w:lang w:eastAsia="en-GB"/>
              </w:rPr>
              <w:t xml:space="preserve">waiting </w:t>
            </w:r>
            <w:r w:rsidR="00A10C19">
              <w:rPr>
                <w:rFonts w:ascii="Arial" w:eastAsia="Times New Roman" w:hAnsi="Arial" w:cs="Arial"/>
                <w:lang w:eastAsia="en-GB"/>
              </w:rPr>
              <w:t xml:space="preserve">results from </w:t>
            </w:r>
            <w:r w:rsidR="00780FC4" w:rsidRPr="00780FC4">
              <w:rPr>
                <w:rFonts w:ascii="Arial" w:eastAsia="Times New Roman" w:hAnsi="Arial" w:cs="Arial"/>
                <w:lang w:eastAsia="en-GB"/>
              </w:rPr>
              <w:t>external</w:t>
            </w:r>
            <w:r w:rsidR="00A569DB">
              <w:rPr>
                <w:rFonts w:ascii="Arial" w:eastAsia="Times New Roman" w:hAnsi="Arial" w:cs="Arial"/>
                <w:lang w:eastAsia="en-GB"/>
              </w:rPr>
              <w:t xml:space="preserve">ly </w:t>
            </w:r>
            <w:r w:rsidR="00936F81">
              <w:rPr>
                <w:rFonts w:ascii="Arial" w:eastAsia="Times New Roman" w:hAnsi="Arial" w:cs="Arial"/>
                <w:lang w:eastAsia="en-GB"/>
              </w:rPr>
              <w:t xml:space="preserve">commissioned </w:t>
            </w:r>
            <w:r w:rsidR="00780FC4" w:rsidRPr="00780FC4">
              <w:rPr>
                <w:rFonts w:ascii="Arial" w:eastAsia="Times New Roman" w:hAnsi="Arial" w:cs="Arial"/>
                <w:lang w:eastAsia="en-GB"/>
              </w:rPr>
              <w:t>customer research to inform our strategy development</w:t>
            </w:r>
            <w:r w:rsidR="00E231C8">
              <w:rPr>
                <w:rFonts w:ascii="Arial" w:eastAsia="Times New Roman" w:hAnsi="Arial" w:cs="Arial"/>
                <w:lang w:eastAsia="en-GB"/>
              </w:rPr>
              <w:t xml:space="preserve">, </w:t>
            </w:r>
            <w:r w:rsidR="00253EE8">
              <w:rPr>
                <w:rFonts w:ascii="Arial" w:eastAsia="Times New Roman" w:hAnsi="Arial" w:cs="Arial"/>
                <w:lang w:eastAsia="en-GB"/>
              </w:rPr>
              <w:t xml:space="preserve">which </w:t>
            </w:r>
            <w:r w:rsidR="008E1A75">
              <w:rPr>
                <w:rFonts w:ascii="Arial" w:eastAsia="Times New Roman" w:hAnsi="Arial" w:cs="Arial"/>
                <w:lang w:eastAsia="en-GB"/>
              </w:rPr>
              <w:t xml:space="preserve">is expected </w:t>
            </w:r>
            <w:r w:rsidR="004319B2">
              <w:rPr>
                <w:rFonts w:ascii="Arial" w:eastAsia="Times New Roman" w:hAnsi="Arial" w:cs="Arial"/>
                <w:lang w:eastAsia="en-GB"/>
              </w:rPr>
              <w:t xml:space="preserve">by the end of this financial year. </w:t>
            </w:r>
            <w:r w:rsidR="00C371C3" w:rsidRPr="00C371C3">
              <w:rPr>
                <w:rFonts w:ascii="Arial" w:eastAsia="Times New Roman" w:hAnsi="Arial" w:cs="Arial"/>
                <w:lang w:eastAsia="en-GB"/>
              </w:rPr>
              <w:t xml:space="preserve">It is important we use the findings to inform </w:t>
            </w:r>
            <w:r w:rsidR="00C371C3" w:rsidRPr="00C371C3">
              <w:rPr>
                <w:rFonts w:ascii="Arial" w:eastAsia="Times New Roman" w:hAnsi="Arial" w:cs="Arial"/>
                <w:i/>
                <w:iCs/>
                <w:lang w:eastAsia="en-GB"/>
              </w:rPr>
              <w:t>the new digital contact methods</w:t>
            </w:r>
            <w:r w:rsidR="00C371C3" w:rsidRPr="00C371C3">
              <w:rPr>
                <w:rFonts w:ascii="Arial" w:eastAsia="Times New Roman" w:hAnsi="Arial" w:cs="Arial"/>
                <w:lang w:eastAsia="en-GB"/>
              </w:rPr>
              <w:t xml:space="preserve"> (KR10.1) as well as the </w:t>
            </w:r>
            <w:r w:rsidR="00C371C3" w:rsidRPr="00C371C3">
              <w:rPr>
                <w:rFonts w:ascii="Arial" w:eastAsia="Times New Roman" w:hAnsi="Arial" w:cs="Arial"/>
                <w:i/>
                <w:iCs/>
                <w:lang w:eastAsia="en-GB"/>
              </w:rPr>
              <w:t xml:space="preserve">target service level agreement timeframes </w:t>
            </w:r>
            <w:r w:rsidR="00C371C3" w:rsidRPr="00C371C3">
              <w:rPr>
                <w:rFonts w:ascii="Arial" w:eastAsia="Times New Roman" w:hAnsi="Arial" w:cs="Arial"/>
                <w:lang w:eastAsia="en-GB"/>
              </w:rPr>
              <w:t xml:space="preserve">(KR10.3), to ensure these are future proof. </w:t>
            </w:r>
            <w:r w:rsidR="00A8154E" w:rsidRPr="00A8154E">
              <w:rPr>
                <w:rFonts w:ascii="Arial" w:eastAsia="Times New Roman" w:hAnsi="Arial" w:cs="Arial"/>
                <w:lang w:eastAsia="en-GB"/>
              </w:rPr>
              <w:t>As a result, we have decided to pause these for now and review them for 2026/27</w:t>
            </w:r>
            <w:r w:rsidR="002A5AD6">
              <w:rPr>
                <w:rFonts w:ascii="Arial" w:eastAsia="Times New Roman" w:hAnsi="Arial" w:cs="Arial"/>
                <w:lang w:eastAsia="en-GB"/>
              </w:rPr>
              <w:t>.</w:t>
            </w:r>
            <w:r w:rsidR="00D94904">
              <w:rPr>
                <w:rFonts w:ascii="Arial" w:eastAsia="Times New Roman" w:hAnsi="Arial" w:cs="Arial"/>
                <w:lang w:eastAsia="en-GB"/>
              </w:rPr>
              <w:t xml:space="preserve"> </w:t>
            </w:r>
            <w:r w:rsidR="008736B0" w:rsidRPr="008736B0">
              <w:rPr>
                <w:rFonts w:ascii="Arial" w:eastAsia="Times New Roman" w:hAnsi="Arial" w:cs="Arial"/>
                <w:lang w:eastAsia="en-GB"/>
              </w:rPr>
              <w:t xml:space="preserve">We </w:t>
            </w:r>
            <w:r w:rsidR="008736B0">
              <w:rPr>
                <w:rFonts w:ascii="Arial" w:eastAsia="Times New Roman" w:hAnsi="Arial" w:cs="Arial"/>
                <w:lang w:eastAsia="en-GB"/>
              </w:rPr>
              <w:t xml:space="preserve">continue to </w:t>
            </w:r>
            <w:r w:rsidR="008736B0" w:rsidRPr="008736B0">
              <w:rPr>
                <w:rFonts w:ascii="Arial" w:eastAsia="Times New Roman" w:hAnsi="Arial" w:cs="Arial"/>
                <w:lang w:eastAsia="en-GB"/>
              </w:rPr>
              <w:t xml:space="preserve">progress </w:t>
            </w:r>
            <w:r w:rsidR="008736B0" w:rsidRPr="008736B0">
              <w:rPr>
                <w:rFonts w:ascii="Arial" w:eastAsia="Times New Roman" w:hAnsi="Arial" w:cs="Arial"/>
                <w:i/>
                <w:iCs/>
                <w:lang w:eastAsia="en-GB"/>
              </w:rPr>
              <w:t>Customer Service</w:t>
            </w:r>
            <w:r w:rsidR="008736B0">
              <w:rPr>
                <w:rFonts w:ascii="Arial" w:eastAsia="Times New Roman" w:hAnsi="Arial" w:cs="Arial"/>
                <w:i/>
                <w:iCs/>
                <w:lang w:eastAsia="en-GB"/>
              </w:rPr>
              <w:t xml:space="preserve"> </w:t>
            </w:r>
            <w:r w:rsidR="008736B0" w:rsidRPr="008736B0">
              <w:rPr>
                <w:rFonts w:ascii="Arial" w:eastAsia="Times New Roman" w:hAnsi="Arial" w:cs="Arial"/>
                <w:i/>
                <w:iCs/>
                <w:lang w:eastAsia="en-GB"/>
              </w:rPr>
              <w:t>Standards implementation</w:t>
            </w:r>
            <w:r w:rsidR="008736B0" w:rsidRPr="008736B0">
              <w:rPr>
                <w:rFonts w:ascii="Arial" w:eastAsia="Times New Roman" w:hAnsi="Arial" w:cs="Arial"/>
                <w:lang w:eastAsia="en-GB"/>
              </w:rPr>
              <w:t> (KR10.2) (excluding the new digital channels) </w:t>
            </w:r>
            <w:r w:rsidR="00751EDA" w:rsidRPr="00751EDA">
              <w:rPr>
                <w:rFonts w:ascii="Arial" w:eastAsia="Times New Roman" w:hAnsi="Arial" w:cs="Arial"/>
                <w:lang w:eastAsia="en-GB"/>
              </w:rPr>
              <w:t>and now aim to have these in place by the end of Q4 to align with the broader programme timeline.</w:t>
            </w:r>
          </w:p>
        </w:tc>
        <w:tc>
          <w:tcPr>
            <w:tcW w:w="141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C436E0" w14:textId="75AE0423" w:rsidR="00197D0F" w:rsidRPr="00F349EA" w:rsidRDefault="00197D0F" w:rsidP="0029265D">
            <w:pPr>
              <w:jc w:val="center"/>
              <w:textAlignment w:val="baseline"/>
              <w:rPr>
                <w:rFonts w:ascii="Arial" w:eastAsia="Times New Roman" w:hAnsi="Arial" w:cs="Arial"/>
                <w:lang w:eastAsia="en-GB"/>
              </w:rPr>
            </w:pPr>
            <w:r w:rsidRPr="00F349EA">
              <w:rPr>
                <w:rFonts w:asciiTheme="majorHAnsi" w:eastAsia="Times New Roman" w:hAnsiTheme="majorHAnsi" w:cstheme="majorHAnsi"/>
                <w:lang w:eastAsia="en-GB"/>
              </w:rPr>
              <w:t xml:space="preserve">Partial </w:t>
            </w:r>
            <w:r w:rsidR="0029265D">
              <w:rPr>
                <w:rFonts w:asciiTheme="majorHAnsi" w:eastAsia="Times New Roman" w:hAnsiTheme="majorHAnsi" w:cstheme="majorHAnsi"/>
                <w:lang w:eastAsia="en-GB"/>
              </w:rPr>
              <w:t>D</w:t>
            </w:r>
            <w:r w:rsidRPr="00F349EA">
              <w:rPr>
                <w:rFonts w:asciiTheme="majorHAnsi" w:eastAsia="Times New Roman" w:hAnsiTheme="majorHAnsi" w:cstheme="majorHAnsi"/>
                <w:lang w:eastAsia="en-GB"/>
              </w:rPr>
              <w:t>elivery</w:t>
            </w:r>
          </w:p>
        </w:tc>
      </w:tr>
      <w:tr w:rsidR="00197D0F" w:rsidRPr="00F349EA" w14:paraId="6CFD8FA0" w14:textId="10FE9482" w:rsidTr="00D93C60">
        <w:tblPrEx>
          <w:tblCellMar>
            <w:left w:w="108" w:type="dxa"/>
            <w:right w:w="108" w:type="dxa"/>
          </w:tblCellMar>
        </w:tblPrEx>
        <w:trPr>
          <w:cantSplit/>
          <w:trHeight w:val="409"/>
        </w:trPr>
        <w:tc>
          <w:tcPr>
            <w:tcW w:w="1014" w:type="dxa"/>
            <w:tcBorders>
              <w:top w:val="single" w:sz="8" w:space="0" w:color="auto"/>
              <w:left w:val="single" w:sz="8" w:space="0" w:color="auto"/>
              <w:bottom w:val="single" w:sz="8" w:space="0" w:color="auto"/>
              <w:right w:val="single" w:sz="8" w:space="0" w:color="auto"/>
            </w:tcBorders>
            <w:vAlign w:val="center"/>
          </w:tcPr>
          <w:p w14:paraId="0456D095" w14:textId="0275F6CD" w:rsidR="00197D0F" w:rsidRPr="00F349EA" w:rsidRDefault="00197D0F" w:rsidP="00197D0F">
            <w:pPr>
              <w:textAlignment w:val="baseline"/>
              <w:rPr>
                <w:rFonts w:ascii="Arial" w:eastAsia="Times New Roman" w:hAnsi="Arial" w:cs="Arial"/>
                <w:lang w:eastAsia="en-GB"/>
              </w:rPr>
            </w:pPr>
            <w:r w:rsidRPr="00F349EA">
              <w:rPr>
                <w:rFonts w:ascii="Arial" w:eastAsia="Times New Roman" w:hAnsi="Arial" w:cs="Arial"/>
                <w:lang w:eastAsia="en-GB"/>
              </w:rPr>
              <w:t>OO OKR11</w:t>
            </w:r>
          </w:p>
        </w:tc>
        <w:tc>
          <w:tcPr>
            <w:tcW w:w="1761" w:type="dxa"/>
            <w:tcBorders>
              <w:top w:val="single" w:sz="8" w:space="0" w:color="auto"/>
              <w:left w:val="single" w:sz="8" w:space="0" w:color="auto"/>
              <w:bottom w:val="single" w:sz="8" w:space="0" w:color="auto"/>
              <w:right w:val="single" w:sz="8" w:space="0" w:color="auto"/>
            </w:tcBorders>
            <w:vAlign w:val="center"/>
          </w:tcPr>
          <w:p w14:paraId="118CA6D1" w14:textId="61F12FC2" w:rsidR="00197D0F" w:rsidRPr="00F349EA" w:rsidRDefault="00197D0F" w:rsidP="00197D0F">
            <w:pPr>
              <w:textAlignment w:val="baseline"/>
              <w:rPr>
                <w:rFonts w:ascii="Arial" w:eastAsia="Times New Roman" w:hAnsi="Arial" w:cs="Arial"/>
                <w:lang w:eastAsia="en-GB"/>
              </w:rPr>
            </w:pPr>
            <w:r w:rsidRPr="00F349EA">
              <w:rPr>
                <w:rFonts w:ascii="Arial" w:eastAsia="Times New Roman" w:hAnsi="Arial" w:cs="Arial"/>
                <w:lang w:eastAsia="en-GB"/>
              </w:rPr>
              <w:t>Our Organisation</w:t>
            </w:r>
          </w:p>
        </w:tc>
        <w:tc>
          <w:tcPr>
            <w:tcW w:w="6434" w:type="dxa"/>
            <w:tcBorders>
              <w:top w:val="single" w:sz="8" w:space="0" w:color="auto"/>
              <w:left w:val="single" w:sz="8" w:space="0" w:color="auto"/>
              <w:bottom w:val="single" w:sz="8" w:space="0" w:color="auto"/>
              <w:right w:val="single" w:sz="8" w:space="0" w:color="auto"/>
            </w:tcBorders>
          </w:tcPr>
          <w:p w14:paraId="5BE86CBA" w14:textId="250AD09F" w:rsidR="00197D0F" w:rsidRPr="00F349EA" w:rsidRDefault="00197D0F" w:rsidP="00197D0F">
            <w:pPr>
              <w:rPr>
                <w:rFonts w:ascii="Arial" w:hAnsi="Arial" w:cs="Arial"/>
              </w:rPr>
            </w:pPr>
            <w:r w:rsidRPr="00F349EA">
              <w:rPr>
                <w:rFonts w:ascii="Arial" w:hAnsi="Arial" w:cs="Arial"/>
              </w:rPr>
              <w:t>Deliver our People Strategy to build a safe, welcoming and high performing environment which empowers our people to be purposeful, professional and passionate</w:t>
            </w:r>
            <w:r w:rsidR="000E0D80">
              <w:rPr>
                <w:rFonts w:ascii="Arial" w:hAnsi="Arial" w:cs="Arial"/>
              </w:rPr>
              <w:t>.</w:t>
            </w:r>
          </w:p>
        </w:tc>
        <w:tc>
          <w:tcPr>
            <w:tcW w:w="1134" w:type="dxa"/>
            <w:tcBorders>
              <w:top w:val="single" w:sz="8" w:space="0" w:color="auto"/>
              <w:left w:val="single" w:sz="8" w:space="0" w:color="auto"/>
              <w:bottom w:val="single" w:sz="8" w:space="0" w:color="auto"/>
              <w:right w:val="single" w:sz="8" w:space="0" w:color="auto"/>
            </w:tcBorders>
            <w:vAlign w:val="center"/>
          </w:tcPr>
          <w:p w14:paraId="371829ED" w14:textId="50959C07" w:rsidR="00197D0F" w:rsidRPr="00F349EA" w:rsidRDefault="00197D0F" w:rsidP="00197D0F">
            <w:pPr>
              <w:jc w:val="center"/>
              <w:textAlignment w:val="baseline"/>
              <w:rPr>
                <w:rFonts w:asciiTheme="majorHAnsi" w:hAnsiTheme="majorHAnsi" w:cstheme="majorHAnsi"/>
                <w:b/>
                <w:color w:val="000000"/>
              </w:rPr>
            </w:pPr>
            <w:r w:rsidRPr="00F349EA">
              <w:rPr>
                <w:rFonts w:asciiTheme="majorHAnsi" w:eastAsia="Times New Roman" w:hAnsiTheme="majorHAnsi" w:cstheme="majorHAnsi"/>
                <w:b/>
                <w:lang w:eastAsia="en-GB"/>
              </w:rPr>
              <w:t>0.58</w:t>
            </w:r>
          </w:p>
        </w:tc>
        <w:tc>
          <w:tcPr>
            <w:tcW w:w="1134" w:type="dxa"/>
            <w:tcBorders>
              <w:top w:val="single" w:sz="8" w:space="0" w:color="auto"/>
              <w:left w:val="single" w:sz="8" w:space="0" w:color="auto"/>
              <w:bottom w:val="single" w:sz="8" w:space="0" w:color="auto"/>
              <w:right w:val="single" w:sz="8" w:space="0" w:color="auto"/>
            </w:tcBorders>
            <w:vAlign w:val="center"/>
          </w:tcPr>
          <w:p w14:paraId="3FC7897D" w14:textId="217BC5A6" w:rsidR="00197D0F" w:rsidRPr="00F349EA" w:rsidRDefault="003B5C99" w:rsidP="00197D0F">
            <w:pPr>
              <w:jc w:val="center"/>
              <w:textAlignment w:val="baseline"/>
              <w:rPr>
                <w:rFonts w:asciiTheme="majorHAnsi" w:hAnsiTheme="majorHAnsi" w:cstheme="majorHAnsi"/>
                <w:b/>
                <w:bCs/>
                <w:color w:val="000000"/>
              </w:rPr>
            </w:pPr>
            <w:r w:rsidRPr="00F349EA">
              <w:rPr>
                <w:rFonts w:asciiTheme="majorHAnsi" w:hAnsiTheme="majorHAnsi" w:cstheme="majorHAnsi"/>
                <w:b/>
                <w:bCs/>
                <w:color w:val="000000"/>
              </w:rPr>
              <w:t>0.66</w:t>
            </w:r>
          </w:p>
        </w:tc>
        <w:tc>
          <w:tcPr>
            <w:tcW w:w="992" w:type="dxa"/>
            <w:tcBorders>
              <w:top w:val="single" w:sz="8" w:space="0" w:color="auto"/>
              <w:left w:val="single" w:sz="8" w:space="0" w:color="auto"/>
              <w:bottom w:val="single" w:sz="8" w:space="0" w:color="auto"/>
              <w:right w:val="single" w:sz="8" w:space="0" w:color="auto"/>
            </w:tcBorders>
            <w:vAlign w:val="center"/>
          </w:tcPr>
          <w:p w14:paraId="2C6E01B3" w14:textId="7A7B56D1" w:rsidR="00197D0F" w:rsidRPr="00F349EA" w:rsidRDefault="00197D0F" w:rsidP="00197D0F">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993" w:type="dxa"/>
            <w:tcBorders>
              <w:top w:val="single" w:sz="8" w:space="0" w:color="auto"/>
              <w:left w:val="single" w:sz="8" w:space="0" w:color="auto"/>
              <w:bottom w:val="single" w:sz="8" w:space="0" w:color="auto"/>
              <w:right w:val="single" w:sz="8" w:space="0" w:color="auto"/>
            </w:tcBorders>
            <w:vAlign w:val="center"/>
          </w:tcPr>
          <w:p w14:paraId="7E9FFC60" w14:textId="713ED8A6" w:rsidR="00197D0F" w:rsidRPr="00F349EA" w:rsidRDefault="00197D0F" w:rsidP="00197D0F">
            <w:pPr>
              <w:jc w:val="center"/>
              <w:textAlignment w:val="baseline"/>
              <w:rPr>
                <w:rFonts w:asciiTheme="majorHAnsi" w:hAnsiTheme="majorHAnsi" w:cstheme="majorHAnsi"/>
                <w:b/>
                <w:bCs/>
                <w:color w:val="000000"/>
              </w:rPr>
            </w:pPr>
            <w:r w:rsidRPr="00F349EA">
              <w:rPr>
                <w:rFonts w:asciiTheme="majorHAnsi" w:eastAsia="Times New Roman" w:hAnsiTheme="majorHAnsi" w:cstheme="majorHAnsi"/>
                <w:lang w:eastAsia="en-GB"/>
              </w:rPr>
              <w:t>-</w:t>
            </w:r>
          </w:p>
        </w:tc>
        <w:tc>
          <w:tcPr>
            <w:tcW w:w="1275" w:type="dxa"/>
            <w:tcBorders>
              <w:top w:val="single" w:sz="8" w:space="0" w:color="auto"/>
              <w:left w:val="single" w:sz="8" w:space="0" w:color="auto"/>
              <w:bottom w:val="single" w:sz="8" w:space="0" w:color="auto"/>
              <w:right w:val="single" w:sz="8" w:space="0" w:color="auto"/>
            </w:tcBorders>
            <w:vAlign w:val="center"/>
          </w:tcPr>
          <w:p w14:paraId="5AA1E2CA" w14:textId="4F99FFEE" w:rsidR="00197D0F" w:rsidRPr="00F349EA" w:rsidRDefault="00EE6504" w:rsidP="00197D0F">
            <w:pPr>
              <w:jc w:val="center"/>
              <w:textAlignment w:val="baseline"/>
              <w:rPr>
                <w:rFonts w:ascii="Arial" w:eastAsia="Times New Roman" w:hAnsi="Arial" w:cs="Arial"/>
                <w:lang w:eastAsia="en-GB"/>
              </w:rPr>
            </w:pPr>
            <w:r w:rsidRPr="00F349EA">
              <w:rPr>
                <w:noProof/>
              </w:rPr>
              <w:drawing>
                <wp:inline distT="0" distB="0" distL="0" distR="0" wp14:anchorId="61FC36BC" wp14:editId="23CCAC01">
                  <wp:extent cx="463550" cy="463550"/>
                  <wp:effectExtent l="0" t="0" r="0" b="0"/>
                  <wp:docPr id="1535831842"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463550" cy="463550"/>
                          </a:xfrm>
                          <a:prstGeom prst="rect">
                            <a:avLst/>
                          </a:prstGeom>
                        </pic:spPr>
                      </pic:pic>
                    </a:graphicData>
                  </a:graphic>
                </wp:inline>
              </w:drawing>
            </w:r>
          </w:p>
        </w:tc>
        <w:tc>
          <w:tcPr>
            <w:tcW w:w="5529" w:type="dxa"/>
            <w:tcBorders>
              <w:top w:val="single" w:sz="8" w:space="0" w:color="auto"/>
              <w:left w:val="single" w:sz="8" w:space="0" w:color="auto"/>
              <w:bottom w:val="single" w:sz="8" w:space="0" w:color="auto"/>
              <w:right w:val="single" w:sz="8" w:space="0" w:color="auto"/>
            </w:tcBorders>
            <w:vAlign w:val="center"/>
          </w:tcPr>
          <w:p w14:paraId="0F86393A" w14:textId="585370B1" w:rsidR="00197D0F" w:rsidRPr="00F349EA" w:rsidRDefault="00261DC6" w:rsidP="00197D0F">
            <w:pPr>
              <w:textAlignment w:val="baseline"/>
              <w:rPr>
                <w:rFonts w:ascii="Arial" w:eastAsia="Times New Roman" w:hAnsi="Arial" w:cs="Arial"/>
                <w:lang w:eastAsia="en-GB"/>
              </w:rPr>
            </w:pPr>
            <w:r w:rsidRPr="00F349EA">
              <w:rPr>
                <w:rFonts w:ascii="Arial" w:eastAsia="Times New Roman" w:hAnsi="Arial" w:cs="Arial"/>
                <w:lang w:eastAsia="en-GB"/>
              </w:rPr>
              <w:t>Delivery on track. </w:t>
            </w:r>
          </w:p>
        </w:tc>
        <w:tc>
          <w:tcPr>
            <w:tcW w:w="1417" w:type="dxa"/>
            <w:tcBorders>
              <w:top w:val="single" w:sz="8" w:space="0" w:color="auto"/>
              <w:left w:val="single" w:sz="8" w:space="0" w:color="auto"/>
              <w:bottom w:val="single" w:sz="8" w:space="0" w:color="auto"/>
              <w:right w:val="single" w:sz="8" w:space="0" w:color="auto"/>
            </w:tcBorders>
            <w:vAlign w:val="center"/>
          </w:tcPr>
          <w:p w14:paraId="2B4E1161" w14:textId="61549E33" w:rsidR="00197D0F" w:rsidRPr="00F349EA" w:rsidRDefault="00197D0F" w:rsidP="00197D0F">
            <w:pPr>
              <w:textAlignment w:val="baseline"/>
              <w:rPr>
                <w:rFonts w:ascii="Arial" w:eastAsia="Times New Roman" w:hAnsi="Arial" w:cs="Arial"/>
                <w:szCs w:val="28"/>
                <w:lang w:eastAsia="en-GB"/>
              </w:rPr>
            </w:pPr>
            <w:r w:rsidRPr="00F349EA">
              <w:rPr>
                <w:rFonts w:ascii="Arial" w:eastAsia="Times New Roman" w:hAnsi="Arial" w:cs="Arial"/>
                <w:szCs w:val="28"/>
                <w:lang w:eastAsia="en-GB"/>
              </w:rPr>
              <w:t>Delivered</w:t>
            </w:r>
          </w:p>
        </w:tc>
      </w:tr>
    </w:tbl>
    <w:p w14:paraId="15285F41" w14:textId="77777777" w:rsidR="00800F29" w:rsidRPr="00F349EA" w:rsidRDefault="00800F29" w:rsidP="004222B2">
      <w:pPr>
        <w:spacing w:line="240" w:lineRule="auto"/>
        <w:rPr>
          <w:b/>
          <w:bCs/>
        </w:rPr>
      </w:pPr>
    </w:p>
    <w:p w14:paraId="2A5DE0B9" w14:textId="7B7F26DD" w:rsidR="00813683" w:rsidRPr="00F349EA" w:rsidRDefault="005F4871" w:rsidP="009D3B0A">
      <w:pPr>
        <w:pStyle w:val="Heading2"/>
        <w:spacing w:before="0" w:after="120"/>
        <w:ind w:left="720" w:hanging="720"/>
      </w:pPr>
      <w:bookmarkStart w:id="16" w:name="_Toc206390043"/>
      <w:bookmarkStart w:id="17" w:name="_Toc1560554380"/>
      <w:r>
        <w:lastRenderedPageBreak/>
        <w:t>2.2 Key strategic and operational performance indicators</w:t>
      </w:r>
      <w:r w:rsidR="00C02104">
        <w:t xml:space="preserve"> – Progress and exception summary</w:t>
      </w:r>
      <w:bookmarkEnd w:id="16"/>
      <w:bookmarkEnd w:id="17"/>
    </w:p>
    <w:p w14:paraId="469A205B" w14:textId="7CF02FE5" w:rsidR="005F4871" w:rsidRPr="00F349EA" w:rsidRDefault="00813683" w:rsidP="00813683">
      <w:pPr>
        <w:spacing w:line="240" w:lineRule="auto"/>
      </w:pPr>
      <w:r w:rsidRPr="00F349EA">
        <w:t xml:space="preserve">A high-level summary of the progress of each </w:t>
      </w:r>
      <w:r w:rsidR="00C85AC8" w:rsidRPr="00F349EA">
        <w:t>key performance indicator aligned to our corporate plan priorities f</w:t>
      </w:r>
      <w:r w:rsidRPr="00F349EA">
        <w:t xml:space="preserve">or </w:t>
      </w:r>
      <w:r w:rsidR="000E0D80">
        <w:t>quarter two</w:t>
      </w:r>
      <w:r w:rsidRPr="00F349EA">
        <w:t xml:space="preserve"> is below. </w:t>
      </w:r>
    </w:p>
    <w:p w14:paraId="4BCACA0A" w14:textId="77777777" w:rsidR="00645204" w:rsidRPr="00F349EA" w:rsidRDefault="00645204" w:rsidP="00813683">
      <w:pPr>
        <w:spacing w:line="240" w:lineRule="auto"/>
      </w:pPr>
    </w:p>
    <w:p w14:paraId="5003F29C" w14:textId="43BE62A7" w:rsidR="00650025" w:rsidRPr="00F349EA" w:rsidRDefault="00645204" w:rsidP="00645204">
      <w:pPr>
        <w:spacing w:after="120"/>
      </w:pPr>
      <w:r w:rsidRPr="00F349EA">
        <w:rPr>
          <w:b/>
          <w:bCs/>
          <w:i/>
          <w:iCs/>
          <w:color w:val="016574"/>
        </w:rPr>
        <w:t>Table 3: KPI progress and exception summary</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13" w:type="dxa"/>
          <w:bottom w:w="170" w:type="dxa"/>
          <w:right w:w="113" w:type="dxa"/>
        </w:tblCellMar>
        <w:tblLook w:val="04A0" w:firstRow="1" w:lastRow="0" w:firstColumn="1" w:lastColumn="0" w:noHBand="0" w:noVBand="1"/>
        <w:tblCaption w:val="Table 3: KPI progress and exception summary"/>
        <w:tblDescription w:val="Summary for each of the 40 KPIs; detailing the KPI code, Corporate Plan priority, Performance indicator and trajectory, Measure type, Baseline, Target and the associated Q2 result, Q2 status, Q2 commentary and Annual forecast."/>
      </w:tblPr>
      <w:tblGrid>
        <w:gridCol w:w="985"/>
        <w:gridCol w:w="1844"/>
        <w:gridCol w:w="3546"/>
        <w:gridCol w:w="1698"/>
        <w:gridCol w:w="2127"/>
        <w:gridCol w:w="2410"/>
        <w:gridCol w:w="1844"/>
        <w:gridCol w:w="1702"/>
        <w:gridCol w:w="4537"/>
        <w:gridCol w:w="1415"/>
      </w:tblGrid>
      <w:tr w:rsidR="00B2335A" w:rsidRPr="00F349EA" w14:paraId="07CEB085" w14:textId="6B0D728F" w:rsidTr="1901DC8B">
        <w:trPr>
          <w:cantSplit/>
          <w:trHeight w:val="312"/>
          <w:tblHeader/>
        </w:trPr>
        <w:tc>
          <w:tcPr>
            <w:tcW w:w="223" w:type="pct"/>
            <w:tcBorders>
              <w:bottom w:val="single" w:sz="8" w:space="0" w:color="auto"/>
            </w:tcBorders>
            <w:shd w:val="clear" w:color="auto" w:fill="016574" w:themeFill="accent2"/>
          </w:tcPr>
          <w:p w14:paraId="57DBBDEE" w14:textId="760369D0" w:rsidR="00F36988" w:rsidRPr="00F349EA" w:rsidRDefault="00F36988" w:rsidP="000E50DE">
            <w:pPr>
              <w:spacing w:line="240" w:lineRule="auto"/>
              <w:jc w:val="center"/>
              <w:textAlignment w:val="baseline"/>
              <w:rPr>
                <w:rFonts w:ascii="Arial" w:eastAsia="Times New Roman" w:hAnsi="Arial" w:cs="Arial"/>
                <w:b/>
                <w:bCs/>
                <w:color w:val="000000"/>
                <w:lang w:eastAsia="en-GB"/>
              </w:rPr>
            </w:pPr>
            <w:r w:rsidRPr="00F349EA">
              <w:rPr>
                <w:rFonts w:ascii="Arial" w:eastAsia="Times New Roman" w:hAnsi="Arial" w:cs="Arial"/>
                <w:b/>
                <w:bCs/>
                <w:color w:val="FFFFFF" w:themeColor="background1"/>
                <w:sz w:val="28"/>
                <w:szCs w:val="28"/>
                <w:lang w:eastAsia="en-GB"/>
              </w:rPr>
              <w:t>Code</w:t>
            </w:r>
          </w:p>
        </w:tc>
        <w:tc>
          <w:tcPr>
            <w:tcW w:w="417" w:type="pct"/>
            <w:tcBorders>
              <w:bottom w:val="single" w:sz="8" w:space="0" w:color="auto"/>
            </w:tcBorders>
            <w:shd w:val="clear" w:color="auto" w:fill="016574" w:themeFill="accent2"/>
          </w:tcPr>
          <w:p w14:paraId="24123EFC" w14:textId="77777777" w:rsidR="00F36988" w:rsidRPr="00F349EA" w:rsidRDefault="00F36988" w:rsidP="000E50DE">
            <w:pPr>
              <w:spacing w:line="240" w:lineRule="auto"/>
              <w:jc w:val="center"/>
              <w:textAlignment w:val="baseline"/>
              <w:rPr>
                <w:rFonts w:ascii="Arial" w:eastAsia="MS PGothic" w:hAnsi="Arial" w:cs="Arial"/>
                <w:b/>
                <w:bCs/>
                <w:color w:val="FFFFFF" w:themeColor="background1"/>
                <w:sz w:val="28"/>
                <w:szCs w:val="28"/>
              </w:rPr>
            </w:pPr>
            <w:r w:rsidRPr="00F349EA">
              <w:rPr>
                <w:rFonts w:ascii="Arial" w:eastAsia="MS PGothic" w:hAnsi="Arial" w:cs="Arial"/>
                <w:b/>
                <w:bCs/>
                <w:color w:val="FFFFFF" w:themeColor="background1"/>
                <w:sz w:val="28"/>
                <w:szCs w:val="28"/>
              </w:rPr>
              <w:t>Priority</w:t>
            </w:r>
          </w:p>
        </w:tc>
        <w:tc>
          <w:tcPr>
            <w:tcW w:w="802" w:type="pct"/>
            <w:tcBorders>
              <w:bottom w:val="single" w:sz="8" w:space="0" w:color="auto"/>
            </w:tcBorders>
            <w:shd w:val="clear" w:color="auto" w:fill="016574" w:themeFill="accent2"/>
          </w:tcPr>
          <w:p w14:paraId="09E89588" w14:textId="7C38B844" w:rsidR="00F36988" w:rsidRPr="00F349EA" w:rsidRDefault="00F36988" w:rsidP="00B2335A">
            <w:pPr>
              <w:spacing w:line="240" w:lineRule="auto"/>
              <w:textAlignment w:val="baseline"/>
              <w:rPr>
                <w:rFonts w:ascii="Arial" w:eastAsia="Times New Roman" w:hAnsi="Arial" w:cs="Arial"/>
                <w:color w:val="000000"/>
                <w:sz w:val="28"/>
                <w:szCs w:val="28"/>
                <w:lang w:eastAsia="en-GB"/>
              </w:rPr>
            </w:pPr>
            <w:r w:rsidRPr="00F349EA">
              <w:rPr>
                <w:rFonts w:ascii="Arial" w:eastAsia="MS PGothic" w:hAnsi="Arial" w:cs="Arial"/>
                <w:b/>
                <w:bCs/>
                <w:color w:val="FFFFFF" w:themeColor="background1"/>
                <w:sz w:val="28"/>
                <w:szCs w:val="28"/>
              </w:rPr>
              <w:t xml:space="preserve">Performance Indicator and </w:t>
            </w:r>
            <w:r w:rsidR="000E0D80">
              <w:rPr>
                <w:rFonts w:ascii="Arial" w:eastAsia="MS PGothic" w:hAnsi="Arial" w:cs="Arial"/>
                <w:b/>
                <w:bCs/>
                <w:color w:val="FFFFFF" w:themeColor="background1"/>
                <w:sz w:val="28"/>
                <w:szCs w:val="28"/>
              </w:rPr>
              <w:t>T</w:t>
            </w:r>
            <w:r w:rsidRPr="00F349EA">
              <w:rPr>
                <w:rFonts w:ascii="Arial" w:eastAsia="MS PGothic" w:hAnsi="Arial" w:cs="Arial"/>
                <w:b/>
                <w:bCs/>
                <w:color w:val="FFFFFF" w:themeColor="background1"/>
                <w:sz w:val="28"/>
                <w:szCs w:val="28"/>
              </w:rPr>
              <w:t>rajectory</w:t>
            </w:r>
          </w:p>
        </w:tc>
        <w:tc>
          <w:tcPr>
            <w:tcW w:w="384" w:type="pct"/>
            <w:tcBorders>
              <w:bottom w:val="single" w:sz="8" w:space="0" w:color="auto"/>
            </w:tcBorders>
            <w:shd w:val="clear" w:color="auto" w:fill="016574" w:themeFill="accent2"/>
          </w:tcPr>
          <w:p w14:paraId="4EB2481E" w14:textId="0118940E" w:rsidR="00F36988" w:rsidRPr="00F349EA" w:rsidRDefault="00F36988" w:rsidP="000E50DE">
            <w:pPr>
              <w:spacing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Measure Type</w:t>
            </w:r>
          </w:p>
        </w:tc>
        <w:tc>
          <w:tcPr>
            <w:tcW w:w="481" w:type="pct"/>
            <w:tcBorders>
              <w:bottom w:val="single" w:sz="8" w:space="0" w:color="auto"/>
            </w:tcBorders>
            <w:shd w:val="clear" w:color="auto" w:fill="016574" w:themeFill="accent2"/>
          </w:tcPr>
          <w:p w14:paraId="7DCB2865" w14:textId="1B76E0AB" w:rsidR="00F36988" w:rsidRPr="00F349EA" w:rsidRDefault="00F36988" w:rsidP="000E50DE">
            <w:pPr>
              <w:spacing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Baseline</w:t>
            </w:r>
          </w:p>
        </w:tc>
        <w:tc>
          <w:tcPr>
            <w:tcW w:w="545" w:type="pct"/>
            <w:tcBorders>
              <w:bottom w:val="single" w:sz="8" w:space="0" w:color="auto"/>
            </w:tcBorders>
            <w:shd w:val="clear" w:color="auto" w:fill="016574" w:themeFill="accent2"/>
          </w:tcPr>
          <w:p w14:paraId="4A454A5E" w14:textId="331B5135" w:rsidR="00F36988" w:rsidRPr="00F349EA" w:rsidRDefault="00F36988" w:rsidP="000E50DE">
            <w:pPr>
              <w:spacing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Target</w:t>
            </w:r>
          </w:p>
        </w:tc>
        <w:tc>
          <w:tcPr>
            <w:tcW w:w="417" w:type="pct"/>
            <w:tcBorders>
              <w:bottom w:val="single" w:sz="8" w:space="0" w:color="auto"/>
            </w:tcBorders>
            <w:shd w:val="clear" w:color="auto" w:fill="016574" w:themeFill="accent2"/>
          </w:tcPr>
          <w:p w14:paraId="3ABD3608" w14:textId="154490C9" w:rsidR="00F36988" w:rsidRPr="00F349EA" w:rsidRDefault="00F36988" w:rsidP="000E50DE">
            <w:pPr>
              <w:spacing w:line="240" w:lineRule="auto"/>
              <w:jc w:val="center"/>
              <w:textAlignment w:val="baseline"/>
              <w:rPr>
                <w:rFonts w:ascii="Arial" w:eastAsia="Times New Roman" w:hAnsi="Arial" w:cs="Arial"/>
                <w:color w:val="000000"/>
                <w:sz w:val="28"/>
                <w:szCs w:val="28"/>
                <w:lang w:eastAsia="en-GB"/>
              </w:rPr>
            </w:pPr>
            <w:r w:rsidRPr="00F349EA">
              <w:rPr>
                <w:rFonts w:ascii="Arial" w:eastAsia="MS PGothic" w:hAnsi="Arial" w:cs="Arial"/>
                <w:b/>
                <w:bCs/>
                <w:color w:val="FFFFFF"/>
                <w:sz w:val="28"/>
                <w:szCs w:val="28"/>
              </w:rPr>
              <w:t>Q</w:t>
            </w:r>
            <w:r w:rsidR="00270EC3" w:rsidRPr="00F349EA">
              <w:rPr>
                <w:rFonts w:ascii="Arial" w:eastAsia="MS PGothic" w:hAnsi="Arial" w:cs="Arial"/>
                <w:b/>
                <w:bCs/>
                <w:color w:val="FFFFFF"/>
                <w:sz w:val="28"/>
                <w:szCs w:val="28"/>
              </w:rPr>
              <w:t>2</w:t>
            </w:r>
            <w:r w:rsidR="004C42B2" w:rsidRPr="00F349EA">
              <w:rPr>
                <w:rFonts w:ascii="Arial" w:eastAsia="MS PGothic" w:hAnsi="Arial" w:cs="Arial"/>
                <w:b/>
                <w:bCs/>
                <w:color w:val="FFFFFF"/>
                <w:sz w:val="28"/>
                <w:szCs w:val="28"/>
              </w:rPr>
              <w:t xml:space="preserve"> </w:t>
            </w:r>
            <w:r w:rsidR="000E0D80">
              <w:rPr>
                <w:rFonts w:ascii="Arial" w:eastAsia="MS PGothic" w:hAnsi="Arial" w:cs="Arial"/>
                <w:b/>
                <w:bCs/>
                <w:color w:val="FFFFFF"/>
                <w:sz w:val="28"/>
                <w:szCs w:val="28"/>
              </w:rPr>
              <w:t>R</w:t>
            </w:r>
            <w:r w:rsidR="004C42B2" w:rsidRPr="00F349EA">
              <w:rPr>
                <w:rFonts w:ascii="Arial" w:eastAsia="MS PGothic" w:hAnsi="Arial" w:cs="Arial"/>
                <w:b/>
                <w:bCs/>
                <w:color w:val="FFFFFF"/>
                <w:sz w:val="28"/>
                <w:szCs w:val="28"/>
              </w:rPr>
              <w:t>esult</w:t>
            </w:r>
          </w:p>
        </w:tc>
        <w:tc>
          <w:tcPr>
            <w:tcW w:w="385" w:type="pct"/>
            <w:tcBorders>
              <w:bottom w:val="single" w:sz="8" w:space="0" w:color="auto"/>
            </w:tcBorders>
            <w:shd w:val="clear" w:color="auto" w:fill="016574" w:themeFill="accent2"/>
          </w:tcPr>
          <w:p w14:paraId="51919018" w14:textId="0FD37FBB" w:rsidR="00F36988" w:rsidRPr="00F349EA" w:rsidRDefault="00F36988" w:rsidP="000E50DE">
            <w:pPr>
              <w:spacing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Q</w:t>
            </w:r>
            <w:r w:rsidR="00270EC3" w:rsidRPr="00F349EA">
              <w:rPr>
                <w:rFonts w:ascii="Arial" w:eastAsia="MS PGothic" w:hAnsi="Arial" w:cs="Arial"/>
                <w:b/>
                <w:bCs/>
                <w:color w:val="FFFFFF"/>
                <w:sz w:val="28"/>
                <w:szCs w:val="28"/>
              </w:rPr>
              <w:t>2</w:t>
            </w:r>
            <w:r w:rsidRPr="00F349EA">
              <w:rPr>
                <w:rFonts w:ascii="Arial" w:eastAsia="MS PGothic" w:hAnsi="Arial" w:cs="Arial"/>
                <w:b/>
                <w:bCs/>
                <w:color w:val="FFFFFF"/>
                <w:sz w:val="28"/>
                <w:szCs w:val="28"/>
              </w:rPr>
              <w:t xml:space="preserve"> Status</w:t>
            </w:r>
          </w:p>
        </w:tc>
        <w:tc>
          <w:tcPr>
            <w:tcW w:w="1026" w:type="pct"/>
            <w:tcBorders>
              <w:bottom w:val="single" w:sz="8" w:space="0" w:color="auto"/>
            </w:tcBorders>
            <w:shd w:val="clear" w:color="auto" w:fill="016574" w:themeFill="accent2"/>
          </w:tcPr>
          <w:p w14:paraId="4B037232" w14:textId="35C1BD65" w:rsidR="00F36988" w:rsidRPr="00F349EA" w:rsidRDefault="00F36988" w:rsidP="000E50DE">
            <w:pPr>
              <w:spacing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Q</w:t>
            </w:r>
            <w:r w:rsidR="00270EC3" w:rsidRPr="00F349EA">
              <w:rPr>
                <w:rFonts w:ascii="Arial" w:eastAsia="MS PGothic" w:hAnsi="Arial" w:cs="Arial"/>
                <w:b/>
                <w:bCs/>
                <w:color w:val="FFFFFF"/>
                <w:sz w:val="28"/>
                <w:szCs w:val="28"/>
              </w:rPr>
              <w:t xml:space="preserve">2 </w:t>
            </w:r>
            <w:r w:rsidRPr="00F349EA">
              <w:rPr>
                <w:rFonts w:ascii="Arial" w:eastAsia="MS PGothic" w:hAnsi="Arial" w:cs="Arial"/>
                <w:b/>
                <w:bCs/>
                <w:color w:val="FFFFFF"/>
                <w:sz w:val="28"/>
                <w:szCs w:val="28"/>
              </w:rPr>
              <w:t>Commentary</w:t>
            </w:r>
          </w:p>
        </w:tc>
        <w:tc>
          <w:tcPr>
            <w:tcW w:w="320" w:type="pct"/>
            <w:tcBorders>
              <w:bottom w:val="single" w:sz="8" w:space="0" w:color="auto"/>
            </w:tcBorders>
            <w:shd w:val="clear" w:color="auto" w:fill="016574" w:themeFill="accent2"/>
          </w:tcPr>
          <w:p w14:paraId="7DF0D394" w14:textId="17A5C0CD" w:rsidR="00F36988" w:rsidRPr="00F349EA" w:rsidRDefault="00F36988" w:rsidP="000E50DE">
            <w:pPr>
              <w:spacing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 xml:space="preserve">Annual </w:t>
            </w:r>
            <w:r w:rsidR="000E0D80">
              <w:rPr>
                <w:rFonts w:ascii="Arial" w:eastAsia="MS PGothic" w:hAnsi="Arial" w:cs="Arial"/>
                <w:b/>
                <w:bCs/>
                <w:color w:val="FFFFFF"/>
                <w:sz w:val="28"/>
                <w:szCs w:val="28"/>
              </w:rPr>
              <w:t>F</w:t>
            </w:r>
            <w:r w:rsidRPr="00F349EA">
              <w:rPr>
                <w:rFonts w:ascii="Arial" w:eastAsia="MS PGothic" w:hAnsi="Arial" w:cs="Arial"/>
                <w:b/>
                <w:bCs/>
                <w:color w:val="FFFFFF"/>
                <w:sz w:val="28"/>
                <w:szCs w:val="28"/>
              </w:rPr>
              <w:t>orecast</w:t>
            </w:r>
          </w:p>
        </w:tc>
      </w:tr>
      <w:tr w:rsidR="00B2335A" w:rsidRPr="00F349EA" w14:paraId="4835B0CA" w14:textId="044583A6" w:rsidTr="1901DC8B">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1F56891A" w14:textId="2396D0C6" w:rsidR="00F36988" w:rsidRPr="00F349EA" w:rsidRDefault="00F36988"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NZ01</w:t>
            </w:r>
          </w:p>
        </w:tc>
        <w:tc>
          <w:tcPr>
            <w:tcW w:w="417" w:type="pct"/>
            <w:tcBorders>
              <w:top w:val="single" w:sz="8" w:space="0" w:color="auto"/>
              <w:left w:val="single" w:sz="8" w:space="0" w:color="auto"/>
              <w:bottom w:val="single" w:sz="8" w:space="0" w:color="auto"/>
              <w:right w:val="single" w:sz="8" w:space="0" w:color="auto"/>
            </w:tcBorders>
          </w:tcPr>
          <w:p w14:paraId="55D6796B" w14:textId="77777777" w:rsidR="00F36988" w:rsidRPr="00F349EA" w:rsidRDefault="00F36988"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Net Zero</w:t>
            </w:r>
          </w:p>
        </w:tc>
        <w:tc>
          <w:tcPr>
            <w:tcW w:w="802" w:type="pct"/>
            <w:tcBorders>
              <w:top w:val="single" w:sz="8" w:space="0" w:color="auto"/>
              <w:left w:val="single" w:sz="8" w:space="0" w:color="auto"/>
              <w:bottom w:val="single" w:sz="8" w:space="0" w:color="auto"/>
              <w:right w:val="single" w:sz="8" w:space="0" w:color="auto"/>
            </w:tcBorders>
          </w:tcPr>
          <w:p w14:paraId="4481550B" w14:textId="77777777" w:rsidR="00F36988" w:rsidRPr="00F349EA" w:rsidRDefault="00F36988"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Annual greenhouse gas emissions in the </w:t>
            </w:r>
            <w:hyperlink r:id="rId35" w:history="1">
              <w:r w:rsidRPr="00F349EA">
                <w:rPr>
                  <w:rFonts w:ascii="Arial" w:eastAsia="MS PGothic" w:hAnsi="Arial" w:cs="Arial"/>
                  <w:color w:val="016574"/>
                  <w:u w:val="single"/>
                  <w:lang w:eastAsia="en-GB"/>
                </w:rPr>
                <w:t>Scottish Pollutant Release Inventory</w:t>
              </w:r>
            </w:hyperlink>
            <w:r w:rsidRPr="00F349EA">
              <w:rPr>
                <w:rFonts w:ascii="Arial" w:eastAsia="Times New Roman" w:hAnsi="Arial" w:cs="Arial"/>
                <w:lang w:eastAsia="en-GB"/>
              </w:rPr>
              <w:t xml:space="preserve">– Reducing </w:t>
            </w:r>
            <w:r w:rsidRPr="00F349EA">
              <w:rPr>
                <w:rStyle w:val="FootnoteReference"/>
                <w:rFonts w:ascii="Arial" w:eastAsia="Times New Roman" w:hAnsi="Arial" w:cs="Arial"/>
                <w:lang w:eastAsia="en-GB"/>
              </w:rPr>
              <w:footnoteReference w:id="2"/>
            </w:r>
          </w:p>
        </w:tc>
        <w:tc>
          <w:tcPr>
            <w:tcW w:w="384" w:type="pct"/>
            <w:tcBorders>
              <w:top w:val="single" w:sz="8" w:space="0" w:color="auto"/>
              <w:left w:val="single" w:sz="8" w:space="0" w:color="auto"/>
              <w:bottom w:val="single" w:sz="8" w:space="0" w:color="auto"/>
              <w:right w:val="single" w:sz="8" w:space="0" w:color="auto"/>
            </w:tcBorders>
          </w:tcPr>
          <w:p w14:paraId="0E6C98CA" w14:textId="16350281" w:rsidR="00F36988" w:rsidRPr="00F349EA" w:rsidRDefault="00F36988" w:rsidP="004405DF">
            <w:pPr>
              <w:spacing w:line="276" w:lineRule="auto"/>
              <w:textAlignment w:val="baseline"/>
              <w:rPr>
                <w:rFonts w:ascii="Arial" w:eastAsia="Times New Roman" w:hAnsi="Arial" w:cs="Arial"/>
                <w:lang w:eastAsia="en-GB"/>
              </w:rPr>
            </w:pPr>
            <w:r w:rsidRPr="00F349EA">
              <w:rPr>
                <w:rFonts w:ascii="Arial" w:hAnsi="Arial" w:cs="Arial"/>
                <w:color w:val="000000"/>
              </w:rPr>
              <w:t>Strategic – Indirect influence</w:t>
            </w:r>
          </w:p>
        </w:tc>
        <w:tc>
          <w:tcPr>
            <w:tcW w:w="481" w:type="pct"/>
            <w:tcBorders>
              <w:top w:val="single" w:sz="8" w:space="0" w:color="auto"/>
              <w:left w:val="single" w:sz="8" w:space="0" w:color="auto"/>
              <w:bottom w:val="single" w:sz="8" w:space="0" w:color="auto"/>
              <w:right w:val="single" w:sz="8" w:space="0" w:color="auto"/>
            </w:tcBorders>
          </w:tcPr>
          <w:p w14:paraId="70413054" w14:textId="39D1BC6B" w:rsidR="00F36988" w:rsidRPr="00F349EA" w:rsidRDefault="00A14730"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Baseline provided from 2007</w:t>
            </w:r>
            <w:r w:rsidR="00BD6D45" w:rsidRPr="00F349EA">
              <w:rPr>
                <w:rFonts w:ascii="Arial" w:eastAsia="Times New Roman" w:hAnsi="Arial" w:cs="Arial"/>
                <w:lang w:eastAsia="en-GB"/>
              </w:rPr>
              <w:t xml:space="preserve"> </w:t>
            </w:r>
            <w:r w:rsidR="00564830">
              <w:rPr>
                <w:rFonts w:ascii="Arial" w:eastAsia="Times New Roman" w:hAnsi="Arial" w:cs="Arial"/>
                <w:lang w:eastAsia="en-GB"/>
              </w:rPr>
              <w:t>Scottish Poll</w:t>
            </w:r>
            <w:r w:rsidR="00457FE3">
              <w:rPr>
                <w:rFonts w:ascii="Arial" w:eastAsia="Times New Roman" w:hAnsi="Arial" w:cs="Arial"/>
                <w:lang w:eastAsia="en-GB"/>
              </w:rPr>
              <w:t xml:space="preserve">utant </w:t>
            </w:r>
            <w:r w:rsidR="00B62383">
              <w:rPr>
                <w:rFonts w:ascii="Arial" w:eastAsia="Times New Roman" w:hAnsi="Arial" w:cs="Arial"/>
                <w:lang w:eastAsia="en-GB"/>
              </w:rPr>
              <w:t>Release Inventory (</w:t>
            </w:r>
            <w:r w:rsidR="003E57F8" w:rsidRPr="00F349EA">
              <w:rPr>
                <w:rFonts w:ascii="Arial" w:eastAsia="Times New Roman" w:hAnsi="Arial" w:cs="Arial"/>
                <w:lang w:eastAsia="en-GB"/>
              </w:rPr>
              <w:t>SPRI</w:t>
            </w:r>
            <w:r w:rsidR="00B62383">
              <w:rPr>
                <w:rFonts w:ascii="Arial" w:eastAsia="Times New Roman" w:hAnsi="Arial" w:cs="Arial"/>
                <w:lang w:eastAsia="en-GB"/>
              </w:rPr>
              <w:t>)</w:t>
            </w:r>
            <w:r w:rsidR="003E57F8" w:rsidRPr="00F349EA">
              <w:rPr>
                <w:rFonts w:ascii="Arial" w:eastAsia="Times New Roman" w:hAnsi="Arial" w:cs="Arial"/>
                <w:lang w:eastAsia="en-GB"/>
              </w:rPr>
              <w:t xml:space="preserve"> </w:t>
            </w:r>
          </w:p>
        </w:tc>
        <w:tc>
          <w:tcPr>
            <w:tcW w:w="545" w:type="pct"/>
            <w:tcBorders>
              <w:top w:val="single" w:sz="8" w:space="0" w:color="auto"/>
              <w:left w:val="single" w:sz="8" w:space="0" w:color="auto"/>
              <w:bottom w:val="single" w:sz="8" w:space="0" w:color="auto"/>
              <w:right w:val="single" w:sz="8" w:space="0" w:color="auto"/>
            </w:tcBorders>
          </w:tcPr>
          <w:p w14:paraId="18FFB882" w14:textId="77777777" w:rsidR="00F36988" w:rsidRPr="00F349EA" w:rsidRDefault="003173BC" w:rsidP="00347E7D">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P</w:t>
            </w:r>
            <w:r w:rsidR="00B77C51" w:rsidRPr="00F349EA">
              <w:rPr>
                <w:rFonts w:ascii="Arial" w:eastAsia="Times New Roman" w:hAnsi="Arial" w:cs="Arial"/>
                <w:lang w:eastAsia="en-GB"/>
              </w:rPr>
              <w:t>ublish SPRI on time and in accordance with the Code of Practice</w:t>
            </w:r>
            <w:r w:rsidR="00B00DE3" w:rsidRPr="00F349EA">
              <w:rPr>
                <w:rFonts w:ascii="Arial" w:eastAsia="Times New Roman" w:hAnsi="Arial" w:cs="Arial"/>
                <w:lang w:eastAsia="en-GB"/>
              </w:rPr>
              <w:t xml:space="preserve"> – SEPA responsibility</w:t>
            </w:r>
            <w:r w:rsidR="00B77C51" w:rsidRPr="00F349EA">
              <w:rPr>
                <w:rFonts w:ascii="Arial" w:eastAsia="Times New Roman" w:hAnsi="Arial" w:cs="Arial"/>
                <w:lang w:eastAsia="en-GB"/>
              </w:rPr>
              <w:t>.</w:t>
            </w:r>
          </w:p>
          <w:p w14:paraId="743A0BCC" w14:textId="77777777" w:rsidR="00E175D0" w:rsidRPr="00F349EA" w:rsidRDefault="00E175D0" w:rsidP="00347E7D">
            <w:pPr>
              <w:spacing w:line="276" w:lineRule="auto"/>
              <w:textAlignment w:val="baseline"/>
              <w:rPr>
                <w:rFonts w:ascii="Arial" w:eastAsia="Times New Roman" w:hAnsi="Arial" w:cs="Arial"/>
                <w:lang w:eastAsia="en-GB"/>
              </w:rPr>
            </w:pPr>
          </w:p>
          <w:p w14:paraId="0EC188E6" w14:textId="03E1351D" w:rsidR="00F36988" w:rsidRPr="00F349EA" w:rsidRDefault="003173BC" w:rsidP="00347E7D">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Reduce annual greenhouse gas emissions </w:t>
            </w:r>
            <w:r w:rsidR="00B00DE3" w:rsidRPr="00F349EA">
              <w:rPr>
                <w:rFonts w:ascii="Arial" w:eastAsia="Times New Roman" w:hAnsi="Arial" w:cs="Arial"/>
                <w:lang w:eastAsia="en-GB"/>
              </w:rPr>
              <w:t xml:space="preserve">– </w:t>
            </w:r>
            <w:r w:rsidR="00FC4962" w:rsidRPr="00F349EA">
              <w:rPr>
                <w:rFonts w:ascii="Arial" w:eastAsia="Times New Roman" w:hAnsi="Arial" w:cs="Arial"/>
                <w:lang w:eastAsia="en-GB"/>
              </w:rPr>
              <w:t>N</w:t>
            </w:r>
            <w:r w:rsidR="00B00DE3" w:rsidRPr="00F349EA">
              <w:rPr>
                <w:rFonts w:ascii="Arial" w:eastAsia="Times New Roman" w:hAnsi="Arial" w:cs="Arial"/>
                <w:lang w:eastAsia="en-GB"/>
              </w:rPr>
              <w:t xml:space="preserve">ational </w:t>
            </w:r>
            <w:r w:rsidR="00325869" w:rsidRPr="00F349EA">
              <w:rPr>
                <w:rFonts w:ascii="Arial" w:eastAsia="Times New Roman" w:hAnsi="Arial" w:cs="Arial"/>
                <w:lang w:eastAsia="en-GB"/>
              </w:rPr>
              <w:t>outcome</w:t>
            </w:r>
            <w:r w:rsidR="00347E7D" w:rsidRPr="00F349EA">
              <w:rPr>
                <w:rFonts w:ascii="Arial" w:eastAsia="Times New Roman" w:hAnsi="Arial" w:cs="Arial"/>
                <w:lang w:eastAsia="en-GB"/>
              </w:rPr>
              <w:t xml:space="preserve"> for Scotland,</w:t>
            </w:r>
            <w:r w:rsidR="00325869" w:rsidRPr="00F349EA">
              <w:rPr>
                <w:rFonts w:ascii="Arial" w:eastAsia="Times New Roman" w:hAnsi="Arial" w:cs="Arial"/>
                <w:lang w:eastAsia="en-GB"/>
              </w:rPr>
              <w:t xml:space="preserve"> SEPA plays a contributing role</w:t>
            </w:r>
            <w:r w:rsidR="00B00DE3" w:rsidRPr="00F349EA">
              <w:rPr>
                <w:rFonts w:ascii="Arial" w:eastAsia="Times New Roman" w:hAnsi="Arial" w:cs="Arial"/>
                <w:lang w:eastAsia="en-GB"/>
              </w:rPr>
              <w:t xml:space="preserve">. </w:t>
            </w:r>
          </w:p>
        </w:tc>
        <w:tc>
          <w:tcPr>
            <w:tcW w:w="417" w:type="pct"/>
            <w:tcBorders>
              <w:top w:val="single" w:sz="8" w:space="0" w:color="auto"/>
              <w:left w:val="single" w:sz="8" w:space="0" w:color="auto"/>
              <w:bottom w:val="single" w:sz="8" w:space="0" w:color="auto"/>
              <w:right w:val="single" w:sz="8" w:space="0" w:color="auto"/>
            </w:tcBorders>
          </w:tcPr>
          <w:p w14:paraId="7235DE29" w14:textId="2E41723F" w:rsidR="002D30C8" w:rsidRPr="00F349EA" w:rsidRDefault="00651A45" w:rsidP="004405DF">
            <w:pPr>
              <w:spacing w:line="276" w:lineRule="auto"/>
              <w:textAlignment w:val="baseline"/>
              <w:rPr>
                <w:rFonts w:ascii="Arial" w:eastAsia="Times New Roman" w:hAnsi="Arial" w:cs="Arial"/>
                <w:lang w:eastAsia="en-GB"/>
              </w:rPr>
            </w:pPr>
            <w:hyperlink r:id="rId36" w:history="1">
              <w:r w:rsidRPr="0026419D">
                <w:rPr>
                  <w:rStyle w:val="Hyperlink"/>
                </w:rPr>
                <w:t>2024 SPRI data</w:t>
              </w:r>
            </w:hyperlink>
            <w:r w:rsidRPr="0026419D">
              <w:t xml:space="preserve"> </w:t>
            </w:r>
            <w:r w:rsidRPr="0026419D">
              <w:rPr>
                <w:rFonts w:ascii="Arial" w:eastAsia="Times New Roman" w:hAnsi="Arial" w:cs="Arial"/>
                <w:lang w:eastAsia="en-GB"/>
              </w:rPr>
              <w:t>published on time on 30 September 2025.</w:t>
            </w:r>
            <w:r>
              <w:rPr>
                <w:rFonts w:ascii="Arial" w:eastAsia="Times New Roman" w:hAnsi="Arial" w:cs="Arial"/>
                <w:lang w:eastAsia="en-GB"/>
              </w:rPr>
              <w:t xml:space="preserve"> </w:t>
            </w:r>
          </w:p>
          <w:p w14:paraId="73203A82" w14:textId="77777777" w:rsidR="00651A45" w:rsidRPr="0026419D" w:rsidRDefault="00651A45" w:rsidP="004405DF">
            <w:pPr>
              <w:spacing w:line="276" w:lineRule="auto"/>
              <w:textAlignment w:val="baseline"/>
              <w:rPr>
                <w:rFonts w:ascii="Arial" w:eastAsia="Times New Roman" w:hAnsi="Arial" w:cs="Arial"/>
                <w:lang w:eastAsia="en-GB"/>
              </w:rPr>
            </w:pPr>
          </w:p>
          <w:p w14:paraId="59C02655" w14:textId="47A4DCC8" w:rsidR="002D30C8" w:rsidRPr="00F349EA" w:rsidRDefault="001D2937"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3.85% </w:t>
            </w:r>
            <w:r w:rsidR="00A5497B" w:rsidRPr="00F349EA">
              <w:rPr>
                <w:rFonts w:ascii="Arial" w:eastAsia="Times New Roman" w:hAnsi="Arial" w:cs="Arial"/>
                <w:lang w:eastAsia="en-GB"/>
              </w:rPr>
              <w:t>reduction in greenhouse gas emissions.</w:t>
            </w:r>
          </w:p>
          <w:p w14:paraId="71BC2245" w14:textId="77777777" w:rsidR="002D30C8" w:rsidRPr="00F349EA" w:rsidRDefault="002D30C8" w:rsidP="004405DF">
            <w:pPr>
              <w:spacing w:line="276" w:lineRule="auto"/>
              <w:textAlignment w:val="baseline"/>
              <w:rPr>
                <w:rFonts w:ascii="Arial" w:eastAsia="Times New Roman" w:hAnsi="Arial" w:cs="Arial"/>
                <w:lang w:eastAsia="en-GB"/>
              </w:rPr>
            </w:pPr>
          </w:p>
          <w:p w14:paraId="30A86BA0" w14:textId="2E588337" w:rsidR="00F36988" w:rsidRPr="00F349EA" w:rsidRDefault="00F36988" w:rsidP="004405DF">
            <w:pPr>
              <w:spacing w:line="276" w:lineRule="auto"/>
              <w:textAlignment w:val="baseline"/>
              <w:rPr>
                <w:rFonts w:ascii="Arial" w:eastAsia="Times New Roman" w:hAnsi="Arial" w:cs="Arial"/>
                <w:lang w:eastAsia="en-GB"/>
              </w:rPr>
            </w:pPr>
          </w:p>
        </w:tc>
        <w:tc>
          <w:tcPr>
            <w:tcW w:w="385" w:type="pct"/>
            <w:tcBorders>
              <w:top w:val="single" w:sz="8" w:space="0" w:color="auto"/>
              <w:left w:val="single" w:sz="8" w:space="0" w:color="auto"/>
              <w:bottom w:val="single" w:sz="8" w:space="0" w:color="auto"/>
              <w:right w:val="single" w:sz="8" w:space="0" w:color="auto"/>
            </w:tcBorders>
          </w:tcPr>
          <w:p w14:paraId="010E68E0" w14:textId="70123A06" w:rsidR="00F36988" w:rsidRPr="00F349EA" w:rsidRDefault="00E827F9"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Achieved</w:t>
            </w:r>
          </w:p>
        </w:tc>
        <w:tc>
          <w:tcPr>
            <w:tcW w:w="1026" w:type="pct"/>
            <w:tcBorders>
              <w:top w:val="single" w:sz="8" w:space="0" w:color="auto"/>
              <w:left w:val="single" w:sz="8" w:space="0" w:color="auto"/>
              <w:bottom w:val="single" w:sz="8" w:space="0" w:color="auto"/>
              <w:right w:val="single" w:sz="8" w:space="0" w:color="auto"/>
            </w:tcBorders>
          </w:tcPr>
          <w:p w14:paraId="0EB8F414" w14:textId="66948F58" w:rsidR="00733A83" w:rsidRDefault="009065AC" w:rsidP="00733A83">
            <w:pPr>
              <w:spacing w:line="276" w:lineRule="auto"/>
              <w:textAlignment w:val="baseline"/>
              <w:rPr>
                <w:rFonts w:ascii="Arial" w:eastAsia="Times New Roman" w:hAnsi="Arial" w:cs="Arial"/>
                <w:lang w:eastAsia="en-GB"/>
              </w:rPr>
            </w:pPr>
            <w:r w:rsidRPr="0026419D">
              <w:rPr>
                <w:rFonts w:ascii="Arial" w:eastAsia="Times New Roman" w:hAnsi="Arial" w:cs="Arial"/>
                <w:lang w:eastAsia="en-GB"/>
              </w:rPr>
              <w:t xml:space="preserve">Greenhouse gas emissions from all SEPA-regulated industrial facilities fell by 3.85% </w:t>
            </w:r>
            <w:r w:rsidR="002308F0" w:rsidRPr="0026419D">
              <w:rPr>
                <w:rFonts w:ascii="Arial" w:eastAsia="Times New Roman" w:hAnsi="Arial" w:cs="Arial"/>
                <w:lang w:eastAsia="en-GB"/>
              </w:rPr>
              <w:t>(</w:t>
            </w:r>
            <w:r w:rsidR="008F6795" w:rsidRPr="0026419D">
              <w:t xml:space="preserve">0.37 </w:t>
            </w:r>
            <w:proofErr w:type="spellStart"/>
            <w:r w:rsidR="008F6795" w:rsidRPr="0026419D">
              <w:t>megatonnes</w:t>
            </w:r>
            <w:proofErr w:type="spellEnd"/>
            <w:r w:rsidR="008F6795" w:rsidRPr="0026419D">
              <w:t xml:space="preserve"> carbon dioxide equivalent)</w:t>
            </w:r>
            <w:r w:rsidR="006658EA" w:rsidRPr="0026419D">
              <w:t xml:space="preserve"> (CO</w:t>
            </w:r>
            <w:r w:rsidR="006658EA" w:rsidRPr="0026419D">
              <w:rPr>
                <w:vertAlign w:val="subscript"/>
              </w:rPr>
              <w:t>2</w:t>
            </w:r>
            <w:r w:rsidR="006658EA" w:rsidRPr="0026419D">
              <w:t>e</w:t>
            </w:r>
            <w:r w:rsidR="008F6795" w:rsidRPr="0026419D">
              <w:t xml:space="preserve">), </w:t>
            </w:r>
            <w:r w:rsidRPr="0026419D">
              <w:rPr>
                <w:rFonts w:ascii="Arial" w:eastAsia="Times New Roman" w:hAnsi="Arial" w:cs="Arial"/>
                <w:lang w:eastAsia="en-GB"/>
              </w:rPr>
              <w:t>compared with 2023</w:t>
            </w:r>
            <w:r w:rsidR="00860C3D">
              <w:rPr>
                <w:rFonts w:ascii="Arial" w:eastAsia="Times New Roman" w:hAnsi="Arial" w:cs="Arial"/>
                <w:lang w:eastAsia="en-GB"/>
              </w:rPr>
              <w:t>. This is</w:t>
            </w:r>
            <w:r w:rsidRPr="0026419D">
              <w:rPr>
                <w:rFonts w:ascii="Arial" w:eastAsia="Times New Roman" w:hAnsi="Arial" w:cs="Arial"/>
                <w:lang w:eastAsia="en-GB"/>
              </w:rPr>
              <w:t xml:space="preserve"> </w:t>
            </w:r>
            <w:r w:rsidR="006658EA" w:rsidRPr="0026419D">
              <w:rPr>
                <w:rFonts w:ascii="Arial" w:eastAsia="Times New Roman" w:hAnsi="Arial" w:cs="Arial"/>
                <w:lang w:eastAsia="en-GB"/>
              </w:rPr>
              <w:t>continuing a long-term downward trend</w:t>
            </w:r>
            <w:r w:rsidR="00167C10" w:rsidRPr="0026419D">
              <w:rPr>
                <w:rFonts w:ascii="Arial" w:eastAsia="Times New Roman" w:hAnsi="Arial" w:cs="Arial"/>
                <w:lang w:eastAsia="en-GB"/>
              </w:rPr>
              <w:t xml:space="preserve"> overall since 2007</w:t>
            </w:r>
            <w:r w:rsidRPr="0026419D">
              <w:rPr>
                <w:rFonts w:ascii="Arial" w:eastAsia="Times New Roman" w:hAnsi="Arial" w:cs="Arial"/>
                <w:lang w:eastAsia="en-GB"/>
              </w:rPr>
              <w:t>.</w:t>
            </w:r>
            <w:r w:rsidR="00733A83">
              <w:rPr>
                <w:rFonts w:ascii="Arial" w:eastAsia="Times New Roman" w:hAnsi="Arial" w:cs="Arial"/>
                <w:lang w:eastAsia="en-GB"/>
              </w:rPr>
              <w:t xml:space="preserve"> </w:t>
            </w:r>
          </w:p>
          <w:p w14:paraId="3B8A2D8D" w14:textId="77777777" w:rsidR="001A2583" w:rsidRPr="00F349EA" w:rsidRDefault="001A2583" w:rsidP="004405DF">
            <w:pPr>
              <w:spacing w:line="276" w:lineRule="auto"/>
              <w:textAlignment w:val="baseline"/>
              <w:rPr>
                <w:rFonts w:ascii="Arial" w:eastAsia="Times New Roman" w:hAnsi="Arial" w:cs="Arial"/>
                <w:lang w:eastAsia="en-GB"/>
              </w:rPr>
            </w:pPr>
          </w:p>
          <w:p w14:paraId="712690E1" w14:textId="70FA0811" w:rsidR="00F36988" w:rsidRPr="00F349EA" w:rsidRDefault="009065AC"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The energy sector remained the highest emitting sector, with 38.6% of total industrial greenhouse gas emissions.</w:t>
            </w:r>
            <w:r w:rsidR="00D662FA" w:rsidRPr="00F349EA">
              <w:rPr>
                <w:rFonts w:ascii="Arial" w:eastAsia="Times New Roman" w:hAnsi="Arial" w:cs="Arial"/>
                <w:lang w:eastAsia="en-GB"/>
              </w:rPr>
              <w:t xml:space="preserve"> However, energy sector emissions fell by 7.4% from 2023 to 2024 </w:t>
            </w:r>
            <w:bookmarkStart w:id="18" w:name="_Int_HfNDMHHb"/>
            <w:r w:rsidR="00D662FA" w:rsidRPr="00F349EA">
              <w:rPr>
                <w:rFonts w:ascii="Arial" w:eastAsia="Times New Roman" w:hAnsi="Arial" w:cs="Arial"/>
                <w:lang w:eastAsia="en-GB"/>
              </w:rPr>
              <w:t>largely due to</w:t>
            </w:r>
            <w:bookmarkEnd w:id="18"/>
            <w:r w:rsidR="00D662FA" w:rsidRPr="00F349EA">
              <w:rPr>
                <w:rFonts w:ascii="Arial" w:eastAsia="Times New Roman" w:hAnsi="Arial" w:cs="Arial"/>
                <w:lang w:eastAsia="en-GB"/>
              </w:rPr>
              <w:t xml:space="preserve"> changes in production outputs.</w:t>
            </w:r>
          </w:p>
        </w:tc>
        <w:tc>
          <w:tcPr>
            <w:tcW w:w="320" w:type="pct"/>
            <w:tcBorders>
              <w:top w:val="single" w:sz="8" w:space="0" w:color="auto"/>
              <w:left w:val="single" w:sz="8" w:space="0" w:color="auto"/>
              <w:bottom w:val="single" w:sz="8" w:space="0" w:color="auto"/>
              <w:right w:val="single" w:sz="8" w:space="0" w:color="auto"/>
            </w:tcBorders>
          </w:tcPr>
          <w:p w14:paraId="79D83052" w14:textId="2D201E50" w:rsidR="00F36988" w:rsidRPr="00F349EA" w:rsidRDefault="00F36988" w:rsidP="004405DF">
            <w:pPr>
              <w:spacing w:line="276" w:lineRule="auto"/>
              <w:jc w:val="center"/>
              <w:textAlignment w:val="baseline"/>
              <w:rPr>
                <w:rFonts w:ascii="Arial" w:eastAsia="Times New Roman" w:hAnsi="Arial" w:cs="Arial"/>
                <w:lang w:eastAsia="en-GB"/>
              </w:rPr>
            </w:pPr>
            <w:r w:rsidRPr="00F349EA">
              <w:rPr>
                <w:rFonts w:ascii="Arial" w:eastAsia="Times New Roman" w:hAnsi="Arial" w:cs="Arial"/>
                <w:lang w:eastAsia="en-GB"/>
              </w:rPr>
              <w:t>Achieved</w:t>
            </w:r>
          </w:p>
        </w:tc>
      </w:tr>
      <w:tr w:rsidR="00B2335A" w:rsidRPr="00F349EA" w14:paraId="37736DF7" w14:textId="2FB98096" w:rsidTr="1901DC8B">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4ECC2327" w14:textId="373FCCF1" w:rsidR="009A64BC" w:rsidRPr="00F349EA" w:rsidRDefault="009A64BC"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NZ02</w:t>
            </w:r>
          </w:p>
        </w:tc>
        <w:tc>
          <w:tcPr>
            <w:tcW w:w="417" w:type="pct"/>
            <w:tcBorders>
              <w:top w:val="single" w:sz="8" w:space="0" w:color="auto"/>
              <w:left w:val="single" w:sz="8" w:space="0" w:color="auto"/>
              <w:bottom w:val="single" w:sz="8" w:space="0" w:color="auto"/>
              <w:right w:val="single" w:sz="8" w:space="0" w:color="auto"/>
            </w:tcBorders>
          </w:tcPr>
          <w:p w14:paraId="086D6CFB" w14:textId="77777777" w:rsidR="009A64BC" w:rsidRPr="00F349EA" w:rsidRDefault="009A64BC" w:rsidP="004405DF">
            <w:pPr>
              <w:tabs>
                <w:tab w:val="left" w:pos="3660"/>
              </w:tabs>
              <w:spacing w:line="276" w:lineRule="auto"/>
              <w:textAlignment w:val="baseline"/>
              <w:rPr>
                <w:rFonts w:ascii="Arial" w:eastAsia="Times New Roman" w:hAnsi="Arial" w:cs="Arial"/>
                <w:lang w:eastAsia="en-GB"/>
              </w:rPr>
            </w:pPr>
            <w:r w:rsidRPr="00F349EA">
              <w:rPr>
                <w:rFonts w:ascii="Arial" w:hAnsi="Arial" w:cs="Arial"/>
              </w:rPr>
              <w:t>Net Zero</w:t>
            </w:r>
          </w:p>
        </w:tc>
        <w:tc>
          <w:tcPr>
            <w:tcW w:w="802" w:type="pct"/>
            <w:tcBorders>
              <w:top w:val="single" w:sz="8" w:space="0" w:color="auto"/>
              <w:left w:val="single" w:sz="8" w:space="0" w:color="auto"/>
              <w:bottom w:val="single" w:sz="8" w:space="0" w:color="auto"/>
              <w:right w:val="single" w:sz="8" w:space="0" w:color="auto"/>
            </w:tcBorders>
          </w:tcPr>
          <w:p w14:paraId="715465A6" w14:textId="77777777" w:rsidR="009A64BC" w:rsidRPr="00F349EA" w:rsidRDefault="009A64BC" w:rsidP="004405DF">
            <w:pPr>
              <w:tabs>
                <w:tab w:val="left" w:pos="3660"/>
              </w:tabs>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Annual reports of </w:t>
            </w:r>
            <w:hyperlink r:id="rId37" w:history="1">
              <w:r w:rsidRPr="00F349EA">
                <w:rPr>
                  <w:rFonts w:ascii="Arial" w:eastAsia="Times New Roman" w:hAnsi="Arial" w:cs="Arial"/>
                  <w:color w:val="016574"/>
                  <w:u w:val="single"/>
                </w:rPr>
                <w:t>greenhouse gas emission by SEPA</w:t>
              </w:r>
            </w:hyperlink>
            <w:r w:rsidRPr="00F349EA">
              <w:rPr>
                <w:rFonts w:ascii="Arial" w:eastAsia="Times New Roman" w:hAnsi="Arial" w:cs="Arial"/>
                <w:color w:val="000000"/>
              </w:rPr>
              <w:t xml:space="preserve"> </w:t>
            </w:r>
            <w:r w:rsidRPr="00F349EA">
              <w:rPr>
                <w:rFonts w:ascii="Arial" w:eastAsia="Times New Roman" w:hAnsi="Arial" w:cs="Arial"/>
                <w:lang w:eastAsia="en-GB"/>
              </w:rPr>
              <w:t>- Reducing</w:t>
            </w:r>
          </w:p>
        </w:tc>
        <w:tc>
          <w:tcPr>
            <w:tcW w:w="384" w:type="pct"/>
            <w:tcBorders>
              <w:top w:val="single" w:sz="8" w:space="0" w:color="auto"/>
              <w:left w:val="single" w:sz="8" w:space="0" w:color="auto"/>
              <w:bottom w:val="single" w:sz="8" w:space="0" w:color="auto"/>
              <w:right w:val="single" w:sz="8" w:space="0" w:color="auto"/>
            </w:tcBorders>
          </w:tcPr>
          <w:p w14:paraId="37E81DF2" w14:textId="2AF72DA4" w:rsidR="009A64BC" w:rsidRPr="00F349EA" w:rsidRDefault="009A64BC" w:rsidP="004405DF">
            <w:pPr>
              <w:spacing w:line="276" w:lineRule="auto"/>
              <w:textAlignment w:val="baseline"/>
              <w:rPr>
                <w:rFonts w:ascii="Arial" w:eastAsia="Times New Roman" w:hAnsi="Arial" w:cs="Arial"/>
                <w:lang w:eastAsia="en-GB"/>
              </w:rPr>
            </w:pPr>
            <w:r w:rsidRPr="00F349EA">
              <w:rPr>
                <w:rFonts w:ascii="Arial" w:hAnsi="Arial" w:cs="Arial"/>
                <w:color w:val="000000"/>
              </w:rPr>
              <w:t>Strategic – Direct Control</w:t>
            </w:r>
          </w:p>
        </w:tc>
        <w:tc>
          <w:tcPr>
            <w:tcW w:w="481" w:type="pct"/>
            <w:tcBorders>
              <w:top w:val="single" w:sz="8" w:space="0" w:color="auto"/>
              <w:left w:val="single" w:sz="8" w:space="0" w:color="auto"/>
              <w:bottom w:val="single" w:sz="8" w:space="0" w:color="auto"/>
              <w:right w:val="single" w:sz="8" w:space="0" w:color="auto"/>
            </w:tcBorders>
          </w:tcPr>
          <w:p w14:paraId="083BB7AE" w14:textId="3CB665BC" w:rsidR="009A64BC" w:rsidRPr="00F349EA" w:rsidRDefault="009A64BC"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1742 tCO2e in 2022/23</w:t>
            </w:r>
          </w:p>
        </w:tc>
        <w:tc>
          <w:tcPr>
            <w:tcW w:w="545" w:type="pct"/>
            <w:tcBorders>
              <w:top w:val="single" w:sz="8" w:space="0" w:color="auto"/>
              <w:left w:val="single" w:sz="8" w:space="0" w:color="auto"/>
              <w:bottom w:val="single" w:sz="8" w:space="0" w:color="auto"/>
              <w:right w:val="single" w:sz="8" w:space="0" w:color="auto"/>
            </w:tcBorders>
          </w:tcPr>
          <w:p w14:paraId="38264DEE" w14:textId="616E84BB" w:rsidR="009A64BC" w:rsidRPr="00F349EA" w:rsidRDefault="009A64BC" w:rsidP="004405DF">
            <w:pPr>
              <w:spacing w:line="276" w:lineRule="auto"/>
              <w:textAlignment w:val="baseline"/>
              <w:rPr>
                <w:rFonts w:ascii="Arial" w:eastAsia="Times New Roman" w:hAnsi="Arial" w:cs="Arial"/>
                <w:lang w:eastAsia="en-GB"/>
              </w:rPr>
            </w:pPr>
            <w:r w:rsidRPr="00F349EA">
              <w:t>Reduce direct emissions by 15% by March 2026</w:t>
            </w:r>
            <w:r w:rsidR="00EE63E5" w:rsidRPr="00F349EA">
              <w:t xml:space="preserve"> - </w:t>
            </w:r>
            <w:r w:rsidRPr="00F349EA">
              <w:t>Target: 1481 tCO2e</w:t>
            </w:r>
            <w:r w:rsidR="00EE63E5" w:rsidRPr="00F349EA">
              <w:t>.</w:t>
            </w:r>
          </w:p>
        </w:tc>
        <w:tc>
          <w:tcPr>
            <w:tcW w:w="417" w:type="pct"/>
            <w:tcBorders>
              <w:top w:val="single" w:sz="8" w:space="0" w:color="auto"/>
              <w:left w:val="single" w:sz="8" w:space="0" w:color="auto"/>
              <w:bottom w:val="single" w:sz="8" w:space="0" w:color="auto"/>
              <w:right w:val="single" w:sz="8" w:space="0" w:color="auto"/>
            </w:tcBorders>
          </w:tcPr>
          <w:p w14:paraId="4DCC7363" w14:textId="55E6998B" w:rsidR="009A64BC" w:rsidRPr="00F349EA" w:rsidRDefault="00A25A64"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506.8 tCO2e</w:t>
            </w:r>
          </w:p>
        </w:tc>
        <w:tc>
          <w:tcPr>
            <w:tcW w:w="385" w:type="pct"/>
            <w:tcBorders>
              <w:top w:val="single" w:sz="8" w:space="0" w:color="auto"/>
              <w:left w:val="single" w:sz="8" w:space="0" w:color="auto"/>
              <w:bottom w:val="single" w:sz="8" w:space="0" w:color="auto"/>
              <w:right w:val="single" w:sz="8" w:space="0" w:color="auto"/>
            </w:tcBorders>
          </w:tcPr>
          <w:p w14:paraId="00CE253F" w14:textId="3209C231" w:rsidR="009A64BC" w:rsidRPr="00F349EA" w:rsidRDefault="00593817"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Partially Achieving</w:t>
            </w:r>
          </w:p>
        </w:tc>
        <w:tc>
          <w:tcPr>
            <w:tcW w:w="1026" w:type="pct"/>
            <w:tcBorders>
              <w:top w:val="single" w:sz="8" w:space="0" w:color="auto"/>
              <w:left w:val="single" w:sz="8" w:space="0" w:color="auto"/>
              <w:bottom w:val="single" w:sz="8" w:space="0" w:color="auto"/>
              <w:right w:val="single" w:sz="8" w:space="0" w:color="auto"/>
            </w:tcBorders>
          </w:tcPr>
          <w:p w14:paraId="2799E130" w14:textId="6A7C62A6" w:rsidR="006A793C" w:rsidRPr="00F349EA" w:rsidRDefault="004B6C9E" w:rsidP="00FD4A1C">
            <w:pPr>
              <w:spacing w:line="276" w:lineRule="auto"/>
              <w:jc w:val="both"/>
              <w:textAlignment w:val="baseline"/>
              <w:rPr>
                <w:rFonts w:ascii="Arial" w:eastAsia="Times New Roman" w:hAnsi="Arial" w:cs="Arial"/>
                <w:lang w:eastAsia="en-GB"/>
              </w:rPr>
            </w:pPr>
            <w:r w:rsidRPr="00F349EA">
              <w:rPr>
                <w:rFonts w:ascii="Arial" w:eastAsia="Times New Roman" w:hAnsi="Arial" w:cs="Arial"/>
                <w:lang w:eastAsia="en-GB"/>
              </w:rPr>
              <w:t xml:space="preserve">Progress against this KPI is reported one quarter in arrears. Total emissions </w:t>
            </w:r>
            <w:r w:rsidR="00BB0790" w:rsidRPr="00F349EA">
              <w:rPr>
                <w:rFonts w:ascii="Arial" w:eastAsia="Times New Roman" w:hAnsi="Arial" w:cs="Arial"/>
                <w:lang w:eastAsia="en-GB"/>
              </w:rPr>
              <w:t>in Q1</w:t>
            </w:r>
            <w:r w:rsidRPr="00F349EA">
              <w:rPr>
                <w:rFonts w:ascii="Arial" w:eastAsia="Times New Roman" w:hAnsi="Arial" w:cs="Arial"/>
                <w:lang w:eastAsia="en-GB"/>
              </w:rPr>
              <w:t xml:space="preserve"> were 506.8 tCO2e. This represents a</w:t>
            </w:r>
            <w:r w:rsidR="00A70C5A" w:rsidRPr="00F349EA">
              <w:rPr>
                <w:rFonts w:ascii="Arial" w:eastAsia="Times New Roman" w:hAnsi="Arial" w:cs="Arial"/>
                <w:lang w:eastAsia="en-GB"/>
              </w:rPr>
              <w:t xml:space="preserve"> 9.3%</w:t>
            </w:r>
            <w:r w:rsidRPr="00F349EA">
              <w:rPr>
                <w:rFonts w:ascii="Arial" w:eastAsia="Times New Roman" w:hAnsi="Arial" w:cs="Arial"/>
                <w:lang w:eastAsia="en-GB"/>
              </w:rPr>
              <w:t xml:space="preserve"> increase in our total emissions against our </w:t>
            </w:r>
            <w:r w:rsidR="00FD4A1C" w:rsidRPr="00F349EA">
              <w:rPr>
                <w:rFonts w:ascii="Arial" w:eastAsia="Times New Roman" w:hAnsi="Arial" w:cs="Arial"/>
                <w:lang w:eastAsia="en-GB"/>
              </w:rPr>
              <w:t xml:space="preserve">Q1 </w:t>
            </w:r>
            <w:r w:rsidR="006D72AC" w:rsidRPr="00F349EA">
              <w:rPr>
                <w:rFonts w:ascii="Arial" w:eastAsia="Times New Roman" w:hAnsi="Arial" w:cs="Arial"/>
                <w:lang w:eastAsia="en-GB"/>
              </w:rPr>
              <w:t xml:space="preserve">2022/23 </w:t>
            </w:r>
            <w:r w:rsidRPr="00F349EA">
              <w:rPr>
                <w:rFonts w:ascii="Arial" w:eastAsia="Times New Roman" w:hAnsi="Arial" w:cs="Arial"/>
                <w:lang w:eastAsia="en-GB"/>
              </w:rPr>
              <w:t>baseline</w:t>
            </w:r>
            <w:r w:rsidR="00F9485C" w:rsidRPr="00F349EA">
              <w:rPr>
                <w:rFonts w:ascii="Arial" w:eastAsia="Times New Roman" w:hAnsi="Arial" w:cs="Arial"/>
                <w:lang w:eastAsia="en-GB"/>
              </w:rPr>
              <w:t>.</w:t>
            </w:r>
          </w:p>
          <w:p w14:paraId="798364E8" w14:textId="77777777" w:rsidR="006A793C" w:rsidRPr="00F349EA" w:rsidRDefault="006A793C" w:rsidP="004B6C9E">
            <w:pPr>
              <w:spacing w:line="276" w:lineRule="auto"/>
              <w:textAlignment w:val="baseline"/>
              <w:rPr>
                <w:rFonts w:ascii="Arial" w:eastAsia="Times New Roman" w:hAnsi="Arial" w:cs="Arial"/>
                <w:lang w:eastAsia="en-GB"/>
              </w:rPr>
            </w:pPr>
          </w:p>
          <w:p w14:paraId="71FF45D5" w14:textId="1A0A781E" w:rsidR="009A64BC" w:rsidRPr="00F349EA" w:rsidRDefault="004B6C9E" w:rsidP="00421FC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Th</w:t>
            </w:r>
            <w:r w:rsidR="00E77A35" w:rsidRPr="00F349EA">
              <w:rPr>
                <w:rFonts w:ascii="Arial" w:eastAsia="Times New Roman" w:hAnsi="Arial" w:cs="Arial"/>
                <w:lang w:eastAsia="en-GB"/>
              </w:rPr>
              <w:t>is result</w:t>
            </w:r>
            <w:r w:rsidR="00421FC4" w:rsidRPr="00F349EA">
              <w:rPr>
                <w:rFonts w:ascii="Arial" w:eastAsia="Times New Roman" w:hAnsi="Arial" w:cs="Arial"/>
                <w:lang w:eastAsia="en-GB"/>
              </w:rPr>
              <w:t xml:space="preserve"> is entirely due to increase in emissions from the Sir John Murray (SJM) survey vessel which travelled to Hull for a refit during this time</w:t>
            </w:r>
            <w:r w:rsidRPr="00F349EA">
              <w:rPr>
                <w:rFonts w:ascii="Arial" w:eastAsia="Times New Roman" w:hAnsi="Arial" w:cs="Arial"/>
                <w:lang w:eastAsia="en-GB"/>
              </w:rPr>
              <w:t xml:space="preserve">. </w:t>
            </w:r>
            <w:r w:rsidR="004D4FD5">
              <w:rPr>
                <w:rFonts w:ascii="Arial" w:eastAsia="Times New Roman" w:hAnsi="Arial" w:cs="Arial"/>
                <w:lang w:eastAsia="en-GB"/>
              </w:rPr>
              <w:t>SJM em</w:t>
            </w:r>
            <w:r w:rsidR="00E77A35" w:rsidRPr="0026419D">
              <w:rPr>
                <w:rFonts w:ascii="Arial" w:eastAsia="Times New Roman" w:hAnsi="Arial" w:cs="Arial"/>
                <w:lang w:eastAsia="en-GB"/>
              </w:rPr>
              <w:t xml:space="preserve">issions </w:t>
            </w:r>
            <w:r w:rsidR="0047688A" w:rsidRPr="00F349EA">
              <w:rPr>
                <w:rFonts w:ascii="Arial" w:eastAsia="Times New Roman" w:hAnsi="Arial" w:cs="Arial"/>
                <w:lang w:eastAsia="en-GB"/>
              </w:rPr>
              <w:t>were</w:t>
            </w:r>
            <w:r w:rsidR="00E77A35" w:rsidRPr="00F349EA">
              <w:rPr>
                <w:rFonts w:ascii="Arial" w:eastAsia="Times New Roman" w:hAnsi="Arial" w:cs="Arial"/>
                <w:lang w:eastAsia="en-GB"/>
              </w:rPr>
              <w:t xml:space="preserve"> 172 tCO2e </w:t>
            </w:r>
            <w:r w:rsidR="0047688A" w:rsidRPr="00F349EA">
              <w:rPr>
                <w:rFonts w:ascii="Arial" w:eastAsia="Times New Roman" w:hAnsi="Arial" w:cs="Arial"/>
                <w:lang w:eastAsia="en-GB"/>
              </w:rPr>
              <w:t xml:space="preserve">in Q1 this year </w:t>
            </w:r>
            <w:r w:rsidR="00DF1BAF" w:rsidRPr="00F349EA">
              <w:rPr>
                <w:rFonts w:ascii="Arial" w:eastAsia="Times New Roman" w:hAnsi="Arial" w:cs="Arial"/>
                <w:lang w:eastAsia="en-GB"/>
              </w:rPr>
              <w:t xml:space="preserve">compared to </w:t>
            </w:r>
            <w:r w:rsidR="004E258A" w:rsidRPr="00F349EA">
              <w:rPr>
                <w:rFonts w:ascii="Arial" w:eastAsia="Times New Roman" w:hAnsi="Arial" w:cs="Arial"/>
                <w:lang w:eastAsia="en-GB"/>
              </w:rPr>
              <w:t xml:space="preserve">54.49 tCO2e </w:t>
            </w:r>
            <w:r w:rsidR="00A11A91">
              <w:rPr>
                <w:rFonts w:ascii="Arial" w:eastAsia="Times New Roman" w:hAnsi="Arial" w:cs="Arial"/>
                <w:lang w:eastAsia="en-GB"/>
              </w:rPr>
              <w:t>Q1</w:t>
            </w:r>
            <w:r w:rsidR="004E258A" w:rsidRPr="00F349EA">
              <w:rPr>
                <w:rFonts w:ascii="Arial" w:eastAsia="Times New Roman" w:hAnsi="Arial" w:cs="Arial"/>
                <w:lang w:eastAsia="en-GB"/>
              </w:rPr>
              <w:t xml:space="preserve"> baseline</w:t>
            </w:r>
            <w:r w:rsidR="004E258A" w:rsidRPr="0026419D">
              <w:rPr>
                <w:rFonts w:ascii="Arial" w:eastAsia="Times New Roman" w:hAnsi="Arial" w:cs="Arial"/>
                <w:lang w:eastAsia="en-GB"/>
              </w:rPr>
              <w:t>.</w:t>
            </w:r>
            <w:r w:rsidR="004E258A" w:rsidRPr="00F349EA">
              <w:rPr>
                <w:rFonts w:ascii="Arial" w:eastAsia="Times New Roman" w:hAnsi="Arial" w:cs="Arial"/>
                <w:lang w:eastAsia="en-GB"/>
              </w:rPr>
              <w:t xml:space="preserve"> </w:t>
            </w:r>
            <w:r w:rsidR="00733A83">
              <w:rPr>
                <w:rFonts w:ascii="Arial" w:eastAsia="Times New Roman" w:hAnsi="Arial" w:cs="Arial"/>
                <w:lang w:eastAsia="en-GB"/>
              </w:rPr>
              <w:t xml:space="preserve"> </w:t>
            </w:r>
            <w:r w:rsidR="00E27E58" w:rsidRPr="00F349EA">
              <w:rPr>
                <w:rFonts w:ascii="Arial" w:eastAsia="Times New Roman" w:hAnsi="Arial" w:cs="Arial"/>
                <w:lang w:eastAsia="en-GB"/>
              </w:rPr>
              <w:t xml:space="preserve">The increased emissions from </w:t>
            </w:r>
            <w:r w:rsidR="00F5654C" w:rsidRPr="00F349EA">
              <w:rPr>
                <w:rFonts w:ascii="Arial" w:eastAsia="Times New Roman" w:hAnsi="Arial" w:cs="Arial"/>
                <w:lang w:eastAsia="en-GB"/>
              </w:rPr>
              <w:t>SJM</w:t>
            </w:r>
            <w:r w:rsidR="00421FC4" w:rsidRPr="00F349EA">
              <w:rPr>
                <w:rFonts w:ascii="Arial" w:eastAsia="Times New Roman" w:hAnsi="Arial" w:cs="Arial"/>
                <w:lang w:eastAsia="en-GB"/>
              </w:rPr>
              <w:t xml:space="preserve"> masks positive performance in other areas</w:t>
            </w:r>
            <w:r w:rsidR="00A11A91">
              <w:rPr>
                <w:rFonts w:ascii="Arial" w:eastAsia="Times New Roman" w:hAnsi="Arial" w:cs="Arial"/>
                <w:lang w:eastAsia="en-GB"/>
              </w:rPr>
              <w:t>. E</w:t>
            </w:r>
            <w:r w:rsidR="00421FC4" w:rsidRPr="0026419D">
              <w:rPr>
                <w:rFonts w:ascii="Arial" w:eastAsia="Times New Roman" w:hAnsi="Arial" w:cs="Arial"/>
                <w:lang w:eastAsia="en-GB"/>
              </w:rPr>
              <w:t>missions</w:t>
            </w:r>
            <w:r w:rsidR="00421FC4" w:rsidRPr="00F349EA">
              <w:rPr>
                <w:rFonts w:ascii="Arial" w:eastAsia="Times New Roman" w:hAnsi="Arial" w:cs="Arial"/>
                <w:lang w:eastAsia="en-GB"/>
              </w:rPr>
              <w:t xml:space="preserve"> from workspaces are down by 21% and from travel (excluding SJM) are down by 11% against Q1 in our baseline year.  </w:t>
            </w:r>
          </w:p>
        </w:tc>
        <w:tc>
          <w:tcPr>
            <w:tcW w:w="320" w:type="pct"/>
            <w:tcBorders>
              <w:top w:val="single" w:sz="8" w:space="0" w:color="auto"/>
              <w:left w:val="single" w:sz="8" w:space="0" w:color="auto"/>
              <w:bottom w:val="single" w:sz="8" w:space="0" w:color="auto"/>
              <w:right w:val="single" w:sz="8" w:space="0" w:color="auto"/>
            </w:tcBorders>
          </w:tcPr>
          <w:p w14:paraId="7A86D527" w14:textId="1BA673DE" w:rsidR="009A64BC" w:rsidRPr="00F349EA" w:rsidRDefault="00421FC4" w:rsidP="004405DF">
            <w:pPr>
              <w:spacing w:line="276" w:lineRule="auto"/>
              <w:jc w:val="center"/>
              <w:textAlignment w:val="baseline"/>
              <w:rPr>
                <w:rFonts w:ascii="Arial" w:eastAsia="Times New Roman" w:hAnsi="Arial" w:cs="Arial"/>
                <w:lang w:eastAsia="en-GB"/>
              </w:rPr>
            </w:pPr>
            <w:r w:rsidRPr="00F349EA">
              <w:rPr>
                <w:rFonts w:ascii="Arial" w:eastAsia="Times New Roman" w:hAnsi="Arial" w:cs="Arial"/>
                <w:lang w:eastAsia="en-GB"/>
              </w:rPr>
              <w:t>Parti</w:t>
            </w:r>
            <w:r w:rsidR="00593817" w:rsidRPr="00F349EA">
              <w:rPr>
                <w:rFonts w:ascii="Arial" w:eastAsia="Times New Roman" w:hAnsi="Arial" w:cs="Arial"/>
                <w:lang w:eastAsia="en-GB"/>
              </w:rPr>
              <w:t>ally Achieved</w:t>
            </w:r>
          </w:p>
        </w:tc>
      </w:tr>
      <w:tr w:rsidR="00B2335A" w:rsidRPr="00F349EA" w14:paraId="47827F64" w14:textId="77777777" w:rsidTr="1901DC8B">
        <w:trPr>
          <w:cantSplit/>
          <w:trHeight w:val="510"/>
        </w:trPr>
        <w:tc>
          <w:tcPr>
            <w:tcW w:w="223" w:type="pct"/>
            <w:tcBorders>
              <w:top w:val="single" w:sz="8" w:space="0" w:color="auto"/>
              <w:left w:val="single" w:sz="8" w:space="0" w:color="auto"/>
              <w:bottom w:val="single" w:sz="8" w:space="0" w:color="auto"/>
              <w:right w:val="single" w:sz="8" w:space="0" w:color="auto"/>
            </w:tcBorders>
          </w:tcPr>
          <w:p w14:paraId="73A5C503" w14:textId="255CEFB6" w:rsidR="009A64BC" w:rsidRPr="00F349EA" w:rsidRDefault="009A64BC" w:rsidP="004405DF">
            <w:pPr>
              <w:spacing w:line="276" w:lineRule="auto"/>
              <w:textAlignment w:val="baseline"/>
              <w:rPr>
                <w:rFonts w:ascii="Arial" w:eastAsia="Times New Roman" w:hAnsi="Arial" w:cs="Arial"/>
                <w:color w:val="000000"/>
                <w:lang w:eastAsia="en-GB"/>
              </w:rPr>
            </w:pPr>
            <w:r w:rsidRPr="00F349EA">
              <w:rPr>
                <w:rFonts w:ascii="Arial" w:eastAsia="Times New Roman" w:hAnsi="Arial" w:cs="Arial"/>
                <w:color w:val="000000"/>
                <w:lang w:eastAsia="en-GB"/>
              </w:rPr>
              <w:lastRenderedPageBreak/>
              <w:t>NZ03</w:t>
            </w:r>
          </w:p>
        </w:tc>
        <w:tc>
          <w:tcPr>
            <w:tcW w:w="417" w:type="pct"/>
            <w:tcBorders>
              <w:top w:val="single" w:sz="8" w:space="0" w:color="auto"/>
              <w:left w:val="single" w:sz="8" w:space="0" w:color="auto"/>
              <w:bottom w:val="single" w:sz="8" w:space="0" w:color="auto"/>
              <w:right w:val="single" w:sz="8" w:space="0" w:color="auto"/>
            </w:tcBorders>
          </w:tcPr>
          <w:p w14:paraId="39840963" w14:textId="5FDF2A93" w:rsidR="009A64BC" w:rsidRPr="00F349EA" w:rsidRDefault="009A64BC" w:rsidP="004405DF">
            <w:pPr>
              <w:tabs>
                <w:tab w:val="left" w:pos="3660"/>
              </w:tabs>
              <w:spacing w:line="276" w:lineRule="auto"/>
              <w:textAlignment w:val="baseline"/>
              <w:rPr>
                <w:rFonts w:ascii="Arial" w:hAnsi="Arial" w:cs="Arial"/>
              </w:rPr>
            </w:pPr>
            <w:r w:rsidRPr="00F349EA">
              <w:rPr>
                <w:rFonts w:ascii="Arial" w:eastAsia="Times New Roman" w:hAnsi="Arial" w:cs="Arial"/>
                <w:lang w:eastAsia="en-GB"/>
              </w:rPr>
              <w:t>Net Zero</w:t>
            </w:r>
          </w:p>
        </w:tc>
        <w:tc>
          <w:tcPr>
            <w:tcW w:w="802" w:type="pct"/>
            <w:tcBorders>
              <w:top w:val="single" w:sz="8" w:space="0" w:color="auto"/>
              <w:left w:val="single" w:sz="8" w:space="0" w:color="auto"/>
              <w:bottom w:val="single" w:sz="8" w:space="0" w:color="auto"/>
              <w:right w:val="single" w:sz="8" w:space="0" w:color="auto"/>
            </w:tcBorders>
          </w:tcPr>
          <w:p w14:paraId="6B534B32" w14:textId="7ED9F8FB" w:rsidR="009A64BC" w:rsidRPr="00F349EA" w:rsidRDefault="009A64BC" w:rsidP="004405DF">
            <w:pPr>
              <w:spacing w:after="80" w:line="276" w:lineRule="auto"/>
              <w:ind w:right="465"/>
              <w:rPr>
                <w:rFonts w:ascii="Arial" w:eastAsiaTheme="minorHAnsi" w:hAnsi="Arial" w:cs="Arial"/>
              </w:rPr>
            </w:pPr>
            <w:r w:rsidRPr="00F349EA">
              <w:rPr>
                <w:rFonts w:ascii="Arial" w:hAnsi="Arial" w:cs="Arial"/>
              </w:rPr>
              <w:t xml:space="preserve">Percentage of vehicles in SEPA fleet that </w:t>
            </w:r>
            <w:r w:rsidR="008D1BAB">
              <w:rPr>
                <w:rFonts w:ascii="Arial" w:hAnsi="Arial" w:cs="Arial"/>
              </w:rPr>
              <w:t xml:space="preserve">are </w:t>
            </w:r>
            <w:r w:rsidR="004F5B2D" w:rsidRPr="00F349EA">
              <w:rPr>
                <w:rFonts w:ascii="Arial" w:hAnsi="Arial" w:cs="Arial"/>
              </w:rPr>
              <w:t>zero</w:t>
            </w:r>
            <w:r w:rsidRPr="00F349EA">
              <w:rPr>
                <w:rFonts w:ascii="Arial" w:hAnsi="Arial" w:cs="Arial"/>
              </w:rPr>
              <w:t xml:space="preserve"> emissions - Increasing</w:t>
            </w:r>
          </w:p>
        </w:tc>
        <w:tc>
          <w:tcPr>
            <w:tcW w:w="384" w:type="pct"/>
            <w:tcBorders>
              <w:top w:val="single" w:sz="8" w:space="0" w:color="auto"/>
              <w:left w:val="single" w:sz="8" w:space="0" w:color="auto"/>
              <w:bottom w:val="single" w:sz="8" w:space="0" w:color="auto"/>
              <w:right w:val="single" w:sz="8" w:space="0" w:color="auto"/>
            </w:tcBorders>
          </w:tcPr>
          <w:p w14:paraId="30A7420D" w14:textId="2552E63D" w:rsidR="009A64BC" w:rsidRPr="00F349EA" w:rsidRDefault="009A64BC" w:rsidP="004405DF">
            <w:pPr>
              <w:spacing w:line="276" w:lineRule="auto"/>
              <w:textAlignment w:val="baseline"/>
              <w:rPr>
                <w:rFonts w:ascii="Arial" w:eastAsia="Times New Roman" w:hAnsi="Arial" w:cs="Arial"/>
                <w:lang w:eastAsia="en-GB"/>
              </w:rPr>
            </w:pPr>
            <w:r w:rsidRPr="00F349EA">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4BC53CB3" w14:textId="602623B3" w:rsidR="009A64BC" w:rsidRPr="00F349EA" w:rsidRDefault="009A64BC"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25 </w:t>
            </w:r>
            <w:r w:rsidR="0909E85A" w:rsidRPr="2A4CF836">
              <w:rPr>
                <w:rFonts w:ascii="Arial" w:eastAsia="Times New Roman" w:hAnsi="Arial" w:cs="Arial"/>
                <w:lang w:eastAsia="en-GB"/>
              </w:rPr>
              <w:t>EVs</w:t>
            </w:r>
            <w:r w:rsidRPr="00F349EA">
              <w:rPr>
                <w:rFonts w:ascii="Arial" w:eastAsia="Times New Roman" w:hAnsi="Arial" w:cs="Arial"/>
                <w:lang w:eastAsia="en-GB"/>
              </w:rPr>
              <w:t xml:space="preserve"> in SEPA’s fleet as of 1 April 2025</w:t>
            </w:r>
          </w:p>
        </w:tc>
        <w:tc>
          <w:tcPr>
            <w:tcW w:w="545" w:type="pct"/>
            <w:tcBorders>
              <w:top w:val="single" w:sz="8" w:space="0" w:color="auto"/>
              <w:left w:val="single" w:sz="8" w:space="0" w:color="auto"/>
              <w:bottom w:val="single" w:sz="8" w:space="0" w:color="auto"/>
              <w:right w:val="single" w:sz="8" w:space="0" w:color="auto"/>
            </w:tcBorders>
          </w:tcPr>
          <w:p w14:paraId="339BC534" w14:textId="3AF71EB3" w:rsidR="009A64BC" w:rsidRPr="00F349EA" w:rsidRDefault="009A64BC"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26 </w:t>
            </w:r>
            <w:r w:rsidR="004B6C9E" w:rsidRPr="00F349EA">
              <w:rPr>
                <w:rFonts w:ascii="Arial" w:eastAsia="Times New Roman" w:hAnsi="Arial" w:cs="Arial"/>
                <w:lang w:eastAsia="en-GB"/>
              </w:rPr>
              <w:t>EVs</w:t>
            </w:r>
            <w:r w:rsidRPr="00F349EA">
              <w:rPr>
                <w:rFonts w:ascii="Arial" w:eastAsia="Times New Roman" w:hAnsi="Arial" w:cs="Arial"/>
                <w:lang w:eastAsia="en-GB"/>
              </w:rPr>
              <w:t xml:space="preserve"> in SEPA fleet as a minimum by 31 March 2026</w:t>
            </w:r>
          </w:p>
        </w:tc>
        <w:tc>
          <w:tcPr>
            <w:tcW w:w="417" w:type="pct"/>
            <w:tcBorders>
              <w:top w:val="single" w:sz="8" w:space="0" w:color="auto"/>
              <w:left w:val="single" w:sz="8" w:space="0" w:color="auto"/>
              <w:bottom w:val="single" w:sz="8" w:space="0" w:color="auto"/>
              <w:right w:val="single" w:sz="8" w:space="0" w:color="auto"/>
            </w:tcBorders>
          </w:tcPr>
          <w:p w14:paraId="7578A0BE" w14:textId="4ED776D8" w:rsidR="009A64BC" w:rsidRPr="00F349EA" w:rsidRDefault="00D337FF"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26 EVs</w:t>
            </w:r>
          </w:p>
        </w:tc>
        <w:tc>
          <w:tcPr>
            <w:tcW w:w="385" w:type="pct"/>
            <w:tcBorders>
              <w:top w:val="single" w:sz="8" w:space="0" w:color="auto"/>
              <w:left w:val="single" w:sz="8" w:space="0" w:color="auto"/>
              <w:bottom w:val="single" w:sz="8" w:space="0" w:color="auto"/>
              <w:right w:val="single" w:sz="8" w:space="0" w:color="auto"/>
            </w:tcBorders>
          </w:tcPr>
          <w:p w14:paraId="53F7FC1F" w14:textId="07BAD12C" w:rsidR="009A64BC" w:rsidRPr="00F349EA" w:rsidRDefault="001623E4"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Achieved</w:t>
            </w:r>
          </w:p>
        </w:tc>
        <w:tc>
          <w:tcPr>
            <w:tcW w:w="1026" w:type="pct"/>
            <w:tcBorders>
              <w:top w:val="single" w:sz="8" w:space="0" w:color="auto"/>
              <w:left w:val="single" w:sz="8" w:space="0" w:color="auto"/>
              <w:bottom w:val="single" w:sz="8" w:space="0" w:color="auto"/>
              <w:right w:val="single" w:sz="8" w:space="0" w:color="auto"/>
            </w:tcBorders>
          </w:tcPr>
          <w:p w14:paraId="4EDDFABE" w14:textId="36DDBF32" w:rsidR="009A64BC" w:rsidRPr="00F349EA" w:rsidRDefault="009D2E6F" w:rsidP="00725C79">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We received </w:t>
            </w:r>
            <w:r w:rsidR="00136294" w:rsidRPr="00F349EA">
              <w:rPr>
                <w:rFonts w:ascii="Arial" w:eastAsia="Times New Roman" w:hAnsi="Arial" w:cs="Arial"/>
                <w:lang w:eastAsia="en-GB"/>
              </w:rPr>
              <w:t xml:space="preserve">delivery of </w:t>
            </w:r>
            <w:r w:rsidR="008D1BAB">
              <w:rPr>
                <w:rFonts w:ascii="Arial" w:eastAsia="Times New Roman" w:hAnsi="Arial" w:cs="Arial"/>
                <w:lang w:eastAsia="en-GB"/>
              </w:rPr>
              <w:t xml:space="preserve">an </w:t>
            </w:r>
            <w:r w:rsidR="005938D7" w:rsidRPr="00F349EA">
              <w:rPr>
                <w:rFonts w:ascii="Arial" w:eastAsia="Times New Roman" w:hAnsi="Arial" w:cs="Arial"/>
                <w:lang w:eastAsia="en-GB"/>
              </w:rPr>
              <w:t>additional</w:t>
            </w:r>
            <w:r w:rsidR="004B6C9E" w:rsidRPr="00F349EA">
              <w:rPr>
                <w:rFonts w:ascii="Arial" w:eastAsia="Times New Roman" w:hAnsi="Arial" w:cs="Arial"/>
                <w:lang w:eastAsia="en-GB"/>
              </w:rPr>
              <w:t xml:space="preserve"> </w:t>
            </w:r>
            <w:r w:rsidR="00A129D9">
              <w:rPr>
                <w:rFonts w:ascii="Arial" w:eastAsia="Times New Roman" w:hAnsi="Arial" w:cs="Arial"/>
                <w:lang w:eastAsia="en-GB"/>
              </w:rPr>
              <w:t>electric vehicle (</w:t>
            </w:r>
            <w:r w:rsidR="004B6C9E" w:rsidRPr="00F349EA">
              <w:rPr>
                <w:rFonts w:ascii="Arial" w:eastAsia="Times New Roman" w:hAnsi="Arial" w:cs="Arial"/>
                <w:lang w:eastAsia="en-GB"/>
              </w:rPr>
              <w:t>EV</w:t>
            </w:r>
            <w:r w:rsidR="00A129D9">
              <w:rPr>
                <w:rFonts w:ascii="Arial" w:eastAsia="Times New Roman" w:hAnsi="Arial" w:cs="Arial"/>
                <w:lang w:eastAsia="en-GB"/>
              </w:rPr>
              <w:t>)</w:t>
            </w:r>
            <w:r w:rsidR="00152FD0" w:rsidRPr="00F349EA">
              <w:rPr>
                <w:rFonts w:ascii="Arial" w:eastAsia="Times New Roman" w:hAnsi="Arial" w:cs="Arial"/>
                <w:lang w:eastAsia="en-GB"/>
              </w:rPr>
              <w:t xml:space="preserve"> in July 2025, bringing the total number of EVs in the fleet to 26.</w:t>
            </w:r>
            <w:r w:rsidR="005938D7" w:rsidRPr="00F349EA">
              <w:rPr>
                <w:rFonts w:ascii="Arial" w:eastAsia="Times New Roman" w:hAnsi="Arial" w:cs="Arial"/>
                <w:lang w:eastAsia="en-GB"/>
              </w:rPr>
              <w:t xml:space="preserve"> </w:t>
            </w:r>
          </w:p>
        </w:tc>
        <w:tc>
          <w:tcPr>
            <w:tcW w:w="320" w:type="pct"/>
            <w:tcBorders>
              <w:top w:val="single" w:sz="8" w:space="0" w:color="auto"/>
              <w:left w:val="single" w:sz="8" w:space="0" w:color="auto"/>
              <w:bottom w:val="single" w:sz="8" w:space="0" w:color="auto"/>
              <w:right w:val="single" w:sz="8" w:space="0" w:color="auto"/>
            </w:tcBorders>
          </w:tcPr>
          <w:p w14:paraId="2FBB824D" w14:textId="1323BCDF" w:rsidR="009A64BC" w:rsidRPr="00F349EA" w:rsidRDefault="009A64BC" w:rsidP="004405DF">
            <w:pPr>
              <w:spacing w:line="276" w:lineRule="auto"/>
              <w:jc w:val="center"/>
              <w:textAlignment w:val="baseline"/>
              <w:rPr>
                <w:rFonts w:ascii="Arial" w:eastAsia="Times New Roman" w:hAnsi="Arial" w:cs="Arial"/>
                <w:lang w:eastAsia="en-GB"/>
              </w:rPr>
            </w:pPr>
            <w:r w:rsidRPr="00F349EA">
              <w:rPr>
                <w:rFonts w:ascii="Arial" w:eastAsia="Times New Roman" w:hAnsi="Arial" w:cs="Arial"/>
                <w:lang w:eastAsia="en-GB"/>
              </w:rPr>
              <w:t>Achieved</w:t>
            </w:r>
          </w:p>
        </w:tc>
      </w:tr>
      <w:tr w:rsidR="00B2335A" w:rsidRPr="00F349EA" w14:paraId="44694A93" w14:textId="77777777" w:rsidTr="1901DC8B">
        <w:trPr>
          <w:cantSplit/>
          <w:trHeight w:val="510"/>
        </w:trPr>
        <w:tc>
          <w:tcPr>
            <w:tcW w:w="223" w:type="pct"/>
            <w:tcBorders>
              <w:top w:val="single" w:sz="8" w:space="0" w:color="auto"/>
              <w:left w:val="single" w:sz="8" w:space="0" w:color="auto"/>
              <w:bottom w:val="single" w:sz="8" w:space="0" w:color="auto"/>
              <w:right w:val="single" w:sz="8" w:space="0" w:color="auto"/>
            </w:tcBorders>
          </w:tcPr>
          <w:p w14:paraId="3A1EE80F" w14:textId="060E9738" w:rsidR="009A64BC" w:rsidRPr="00F349EA" w:rsidRDefault="009A64BC" w:rsidP="004405DF">
            <w:pPr>
              <w:spacing w:line="276" w:lineRule="auto"/>
              <w:textAlignment w:val="baseline"/>
              <w:rPr>
                <w:rFonts w:ascii="Arial" w:eastAsia="Times New Roman" w:hAnsi="Arial" w:cs="Arial"/>
                <w:color w:val="000000"/>
                <w:lang w:eastAsia="en-GB"/>
              </w:rPr>
            </w:pPr>
            <w:r w:rsidRPr="00F349EA">
              <w:rPr>
                <w:rFonts w:ascii="Arial" w:eastAsia="Times New Roman" w:hAnsi="Arial" w:cs="Arial"/>
                <w:color w:val="000000"/>
                <w:lang w:eastAsia="en-GB"/>
              </w:rPr>
              <w:t>NZ04</w:t>
            </w:r>
          </w:p>
        </w:tc>
        <w:tc>
          <w:tcPr>
            <w:tcW w:w="417" w:type="pct"/>
            <w:tcBorders>
              <w:top w:val="single" w:sz="8" w:space="0" w:color="auto"/>
              <w:left w:val="single" w:sz="8" w:space="0" w:color="auto"/>
              <w:bottom w:val="single" w:sz="8" w:space="0" w:color="auto"/>
              <w:right w:val="single" w:sz="8" w:space="0" w:color="auto"/>
            </w:tcBorders>
          </w:tcPr>
          <w:p w14:paraId="4EB95539" w14:textId="0F7139CC" w:rsidR="009A64BC" w:rsidRPr="00F349EA" w:rsidRDefault="009A64BC" w:rsidP="004405DF">
            <w:pPr>
              <w:tabs>
                <w:tab w:val="left" w:pos="3660"/>
              </w:tabs>
              <w:spacing w:line="276" w:lineRule="auto"/>
              <w:textAlignment w:val="baseline"/>
              <w:rPr>
                <w:rFonts w:ascii="Arial" w:hAnsi="Arial" w:cs="Arial"/>
              </w:rPr>
            </w:pPr>
            <w:r w:rsidRPr="00F349EA">
              <w:rPr>
                <w:rFonts w:ascii="Arial" w:hAnsi="Arial" w:cs="Arial"/>
              </w:rPr>
              <w:t>Net Zero</w:t>
            </w:r>
          </w:p>
        </w:tc>
        <w:tc>
          <w:tcPr>
            <w:tcW w:w="802" w:type="pct"/>
            <w:tcBorders>
              <w:top w:val="single" w:sz="8" w:space="0" w:color="auto"/>
              <w:left w:val="single" w:sz="8" w:space="0" w:color="auto"/>
              <w:bottom w:val="single" w:sz="8" w:space="0" w:color="auto"/>
              <w:right w:val="single" w:sz="8" w:space="0" w:color="auto"/>
            </w:tcBorders>
          </w:tcPr>
          <w:p w14:paraId="3022F994" w14:textId="60F6089A" w:rsidR="009A64BC" w:rsidRPr="00F349EA" w:rsidRDefault="009A64BC" w:rsidP="004405DF">
            <w:pPr>
              <w:tabs>
                <w:tab w:val="left" w:pos="3660"/>
              </w:tabs>
              <w:spacing w:line="276" w:lineRule="auto"/>
              <w:textAlignment w:val="baseline"/>
              <w:rPr>
                <w:rFonts w:ascii="Arial" w:eastAsia="Times New Roman" w:hAnsi="Arial" w:cs="Arial"/>
                <w:lang w:eastAsia="en-GB"/>
              </w:rPr>
            </w:pPr>
            <w:r w:rsidRPr="00F349EA">
              <w:rPr>
                <w:rFonts w:ascii="Arial" w:hAnsi="Arial" w:cs="Arial"/>
              </w:rPr>
              <w:t>Number of SEPA solely owned or leased buildings - Reducing</w:t>
            </w:r>
          </w:p>
        </w:tc>
        <w:tc>
          <w:tcPr>
            <w:tcW w:w="384" w:type="pct"/>
            <w:tcBorders>
              <w:top w:val="single" w:sz="8" w:space="0" w:color="auto"/>
              <w:left w:val="single" w:sz="8" w:space="0" w:color="auto"/>
              <w:bottom w:val="single" w:sz="8" w:space="0" w:color="auto"/>
              <w:right w:val="single" w:sz="8" w:space="0" w:color="auto"/>
            </w:tcBorders>
          </w:tcPr>
          <w:p w14:paraId="44C427C5" w14:textId="5D2EE6DD" w:rsidR="009A64BC" w:rsidRPr="00F349EA" w:rsidRDefault="009A64BC" w:rsidP="004405DF">
            <w:pPr>
              <w:spacing w:line="276" w:lineRule="auto"/>
              <w:textAlignment w:val="baseline"/>
              <w:rPr>
                <w:rFonts w:ascii="Arial" w:eastAsia="Times New Roman" w:hAnsi="Arial" w:cs="Arial"/>
                <w:lang w:eastAsia="en-GB"/>
              </w:rPr>
            </w:pPr>
            <w:r w:rsidRPr="00F349EA">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6083D5C2" w14:textId="425E89F2" w:rsidR="009A64BC" w:rsidRPr="00F349EA" w:rsidRDefault="009A64BC"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11 buildings solely owned or leased by SEPA as of 1 April 2025</w:t>
            </w:r>
          </w:p>
        </w:tc>
        <w:tc>
          <w:tcPr>
            <w:tcW w:w="545" w:type="pct"/>
            <w:tcBorders>
              <w:top w:val="single" w:sz="8" w:space="0" w:color="auto"/>
              <w:left w:val="single" w:sz="8" w:space="0" w:color="auto"/>
              <w:bottom w:val="single" w:sz="8" w:space="0" w:color="auto"/>
              <w:right w:val="single" w:sz="8" w:space="0" w:color="auto"/>
            </w:tcBorders>
          </w:tcPr>
          <w:p w14:paraId="34E5DBF1" w14:textId="36DD4173" w:rsidR="009A64BC" w:rsidRPr="00F349EA" w:rsidRDefault="009A64BC"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Reduction of 2 workspaces per annum.</w:t>
            </w:r>
          </w:p>
        </w:tc>
        <w:tc>
          <w:tcPr>
            <w:tcW w:w="417" w:type="pct"/>
            <w:tcBorders>
              <w:top w:val="single" w:sz="8" w:space="0" w:color="auto"/>
              <w:left w:val="single" w:sz="8" w:space="0" w:color="auto"/>
              <w:bottom w:val="single" w:sz="8" w:space="0" w:color="auto"/>
              <w:right w:val="single" w:sz="8" w:space="0" w:color="auto"/>
            </w:tcBorders>
          </w:tcPr>
          <w:p w14:paraId="48CD8166" w14:textId="1585A8A0" w:rsidR="009A64BC" w:rsidRPr="00F349EA" w:rsidRDefault="003B7A94"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11</w:t>
            </w:r>
          </w:p>
        </w:tc>
        <w:tc>
          <w:tcPr>
            <w:tcW w:w="385" w:type="pct"/>
            <w:tcBorders>
              <w:top w:val="single" w:sz="8" w:space="0" w:color="auto"/>
              <w:left w:val="single" w:sz="8" w:space="0" w:color="auto"/>
              <w:bottom w:val="single" w:sz="8" w:space="0" w:color="auto"/>
              <w:right w:val="single" w:sz="8" w:space="0" w:color="auto"/>
            </w:tcBorders>
          </w:tcPr>
          <w:p w14:paraId="2F58C803" w14:textId="2171B82E" w:rsidR="009A64BC" w:rsidRPr="00F349EA" w:rsidRDefault="00F160EE"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Partially Achieving</w:t>
            </w:r>
          </w:p>
        </w:tc>
        <w:tc>
          <w:tcPr>
            <w:tcW w:w="1026" w:type="pct"/>
            <w:tcBorders>
              <w:top w:val="single" w:sz="8" w:space="0" w:color="auto"/>
              <w:left w:val="single" w:sz="8" w:space="0" w:color="auto"/>
              <w:bottom w:val="single" w:sz="8" w:space="0" w:color="auto"/>
              <w:right w:val="single" w:sz="8" w:space="0" w:color="auto"/>
            </w:tcBorders>
          </w:tcPr>
          <w:p w14:paraId="787F7F8B" w14:textId="4B0DA797" w:rsidR="009A64BC" w:rsidRPr="00F349EA" w:rsidRDefault="00510683" w:rsidP="004405D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We</w:t>
            </w:r>
            <w:r w:rsidR="00CB0049" w:rsidRPr="00F349EA">
              <w:rPr>
                <w:rFonts w:ascii="Arial" w:eastAsia="Times New Roman" w:hAnsi="Arial" w:cs="Arial"/>
                <w:lang w:eastAsia="en-GB"/>
              </w:rPr>
              <w:t xml:space="preserve"> have made positive progress to</w:t>
            </w:r>
            <w:r w:rsidR="008F6BAE" w:rsidRPr="00F349EA">
              <w:rPr>
                <w:rFonts w:ascii="Arial" w:eastAsia="Times New Roman" w:hAnsi="Arial" w:cs="Arial"/>
                <w:lang w:eastAsia="en-GB"/>
              </w:rPr>
              <w:t xml:space="preserve"> exit two workspaces</w:t>
            </w:r>
            <w:r w:rsidR="00D95BBC" w:rsidRPr="00F349EA">
              <w:rPr>
                <w:rFonts w:ascii="Arial" w:eastAsia="Times New Roman" w:hAnsi="Arial" w:cs="Arial"/>
                <w:lang w:eastAsia="en-GB"/>
              </w:rPr>
              <w:t xml:space="preserve"> earlier than anticipated. We </w:t>
            </w:r>
            <w:r w:rsidR="00BF1781" w:rsidRPr="00F349EA">
              <w:rPr>
                <w:rFonts w:ascii="Arial" w:eastAsia="Times New Roman" w:hAnsi="Arial" w:cs="Arial"/>
                <w:lang w:eastAsia="en-GB"/>
              </w:rPr>
              <w:t>expect</w:t>
            </w:r>
            <w:r w:rsidR="00152FD0" w:rsidRPr="00F349EA">
              <w:rPr>
                <w:rFonts w:ascii="Arial" w:eastAsia="Times New Roman" w:hAnsi="Arial" w:cs="Arial"/>
                <w:lang w:eastAsia="en-GB"/>
              </w:rPr>
              <w:t xml:space="preserve"> to achieve </w:t>
            </w:r>
            <w:r w:rsidR="00E26813">
              <w:rPr>
                <w:rFonts w:ascii="Arial" w:eastAsia="Times New Roman" w:hAnsi="Arial" w:cs="Arial"/>
                <w:lang w:eastAsia="en-GB"/>
              </w:rPr>
              <w:t xml:space="preserve">this </w:t>
            </w:r>
            <w:r w:rsidR="00152FD0" w:rsidRPr="00F349EA">
              <w:rPr>
                <w:rFonts w:ascii="Arial" w:eastAsia="Times New Roman" w:hAnsi="Arial" w:cs="Arial"/>
                <w:lang w:eastAsia="en-GB"/>
              </w:rPr>
              <w:t xml:space="preserve">KPI </w:t>
            </w:r>
            <w:r w:rsidR="00BF1781" w:rsidRPr="00F349EA">
              <w:rPr>
                <w:rFonts w:ascii="Arial" w:eastAsia="Times New Roman" w:hAnsi="Arial" w:cs="Arial"/>
                <w:lang w:eastAsia="en-GB"/>
              </w:rPr>
              <w:t>target</w:t>
            </w:r>
            <w:r w:rsidR="00152FD0" w:rsidRPr="00F349EA">
              <w:rPr>
                <w:rFonts w:ascii="Arial" w:eastAsia="Times New Roman" w:hAnsi="Arial" w:cs="Arial"/>
                <w:lang w:eastAsia="en-GB"/>
              </w:rPr>
              <w:t xml:space="preserve"> in Q3.</w:t>
            </w:r>
            <w:r w:rsidR="00BF1781" w:rsidRPr="00F349EA">
              <w:rPr>
                <w:rFonts w:ascii="Arial" w:eastAsia="Times New Roman" w:hAnsi="Arial" w:cs="Arial"/>
                <w:lang w:eastAsia="en-GB"/>
              </w:rPr>
              <w:t xml:space="preserve"> </w:t>
            </w:r>
          </w:p>
        </w:tc>
        <w:tc>
          <w:tcPr>
            <w:tcW w:w="320" w:type="pct"/>
            <w:tcBorders>
              <w:top w:val="single" w:sz="8" w:space="0" w:color="auto"/>
              <w:left w:val="single" w:sz="8" w:space="0" w:color="auto"/>
              <w:bottom w:val="single" w:sz="8" w:space="0" w:color="auto"/>
              <w:right w:val="single" w:sz="8" w:space="0" w:color="auto"/>
            </w:tcBorders>
          </w:tcPr>
          <w:p w14:paraId="0EEA0FB5" w14:textId="6981875A" w:rsidR="009A64BC" w:rsidRPr="00F349EA" w:rsidRDefault="009A64BC" w:rsidP="004405DF">
            <w:pPr>
              <w:spacing w:line="276" w:lineRule="auto"/>
              <w:jc w:val="center"/>
              <w:textAlignment w:val="baseline"/>
              <w:rPr>
                <w:rFonts w:ascii="Arial" w:eastAsia="Times New Roman" w:hAnsi="Arial" w:cs="Arial"/>
                <w:lang w:eastAsia="en-GB"/>
              </w:rPr>
            </w:pPr>
            <w:r w:rsidRPr="00F349EA">
              <w:rPr>
                <w:rFonts w:ascii="Arial" w:eastAsia="Times New Roman" w:hAnsi="Arial" w:cs="Arial"/>
                <w:lang w:eastAsia="en-GB"/>
              </w:rPr>
              <w:t>Achieved</w:t>
            </w:r>
          </w:p>
        </w:tc>
      </w:tr>
      <w:tr w:rsidR="00940144" w:rsidRPr="00F349EA" w14:paraId="68A343EA" w14:textId="330B1B5D" w:rsidTr="1901DC8B">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624E5DC4" w14:textId="7C8FD566" w:rsidR="00940144" w:rsidRPr="00F349EA" w:rsidRDefault="00940144" w:rsidP="00940144">
            <w:pPr>
              <w:spacing w:line="276" w:lineRule="auto"/>
              <w:textAlignment w:val="baseline"/>
              <w:rPr>
                <w:rFonts w:ascii="Arial" w:hAnsi="Arial" w:cs="Arial"/>
              </w:rPr>
            </w:pPr>
            <w:r w:rsidRPr="00F349EA">
              <w:rPr>
                <w:rFonts w:ascii="Arial" w:hAnsi="Arial" w:cs="Arial"/>
              </w:rPr>
              <w:t>CR01</w:t>
            </w:r>
          </w:p>
        </w:tc>
        <w:tc>
          <w:tcPr>
            <w:tcW w:w="417" w:type="pct"/>
            <w:tcBorders>
              <w:top w:val="single" w:sz="8" w:space="0" w:color="auto"/>
              <w:left w:val="single" w:sz="8" w:space="0" w:color="auto"/>
              <w:bottom w:val="single" w:sz="8" w:space="0" w:color="auto"/>
              <w:right w:val="single" w:sz="8" w:space="0" w:color="auto"/>
            </w:tcBorders>
          </w:tcPr>
          <w:p w14:paraId="73701B84" w14:textId="0BB681F1" w:rsidR="00940144" w:rsidRPr="00F349EA" w:rsidRDefault="00940144" w:rsidP="00940144">
            <w:pPr>
              <w:spacing w:line="276" w:lineRule="auto"/>
              <w:textAlignment w:val="baseline"/>
              <w:rPr>
                <w:rFonts w:ascii="Arial" w:hAnsi="Arial" w:cs="Arial"/>
              </w:rPr>
            </w:pPr>
            <w:r w:rsidRPr="00F349EA">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5D01E97C" w14:textId="3B4BB01C" w:rsidR="00940144" w:rsidRPr="00F349EA" w:rsidRDefault="00940144" w:rsidP="00940144">
            <w:pPr>
              <w:spacing w:line="276" w:lineRule="auto"/>
              <w:textAlignment w:val="baseline"/>
              <w:rPr>
                <w:rFonts w:ascii="Arial" w:hAnsi="Arial" w:cs="Arial"/>
              </w:rPr>
            </w:pPr>
            <w:r w:rsidRPr="00F349EA">
              <w:rPr>
                <w:rFonts w:ascii="Arial" w:hAnsi="Arial" w:cs="Arial"/>
              </w:rPr>
              <w:t>Number of flood warnings and alerts issued by SEPA - Maintain</w:t>
            </w:r>
            <w:r w:rsidR="001914C8">
              <w:rPr>
                <w:rFonts w:ascii="Arial" w:hAnsi="Arial" w:cs="Arial"/>
              </w:rPr>
              <w:t>ing</w:t>
            </w:r>
          </w:p>
        </w:tc>
        <w:tc>
          <w:tcPr>
            <w:tcW w:w="384" w:type="pct"/>
            <w:tcBorders>
              <w:top w:val="single" w:sz="8" w:space="0" w:color="auto"/>
              <w:left w:val="single" w:sz="8" w:space="0" w:color="auto"/>
              <w:bottom w:val="single" w:sz="8" w:space="0" w:color="auto"/>
              <w:right w:val="single" w:sz="8" w:space="0" w:color="auto"/>
            </w:tcBorders>
          </w:tcPr>
          <w:p w14:paraId="1733FFEF" w14:textId="39DE033F"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hAnsi="Arial" w:cs="Arial"/>
                <w:color w:val="000000"/>
              </w:rPr>
              <w:t>Strategic – Direct control</w:t>
            </w:r>
          </w:p>
        </w:tc>
        <w:tc>
          <w:tcPr>
            <w:tcW w:w="481" w:type="pct"/>
            <w:tcBorders>
              <w:top w:val="single" w:sz="8" w:space="0" w:color="auto"/>
              <w:left w:val="single" w:sz="8" w:space="0" w:color="auto"/>
              <w:bottom w:val="single" w:sz="8" w:space="0" w:color="auto"/>
              <w:right w:val="single" w:sz="8" w:space="0" w:color="auto"/>
            </w:tcBorders>
          </w:tcPr>
          <w:p w14:paraId="010B423E" w14:textId="7847FB0B"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Average number of alerts (244) and warnings (342) issued on an annual basis calculated over the last 14 financial years.</w:t>
            </w:r>
          </w:p>
        </w:tc>
        <w:tc>
          <w:tcPr>
            <w:tcW w:w="545" w:type="pct"/>
            <w:tcBorders>
              <w:top w:val="single" w:sz="8" w:space="0" w:color="auto"/>
              <w:left w:val="single" w:sz="8" w:space="0" w:color="auto"/>
              <w:bottom w:val="single" w:sz="8" w:space="0" w:color="auto"/>
              <w:right w:val="single" w:sz="8" w:space="0" w:color="auto"/>
            </w:tcBorders>
          </w:tcPr>
          <w:p w14:paraId="4A405C37" w14:textId="0A9A1637"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Maintain - The number of reports and warnings is dependent on the duration of a flood event and associated conditions.</w:t>
            </w:r>
          </w:p>
        </w:tc>
        <w:tc>
          <w:tcPr>
            <w:tcW w:w="417" w:type="pct"/>
            <w:tcBorders>
              <w:top w:val="single" w:sz="8" w:space="0" w:color="auto"/>
              <w:left w:val="single" w:sz="8" w:space="0" w:color="auto"/>
              <w:bottom w:val="single" w:sz="8" w:space="0" w:color="auto"/>
              <w:right w:val="single" w:sz="8" w:space="0" w:color="auto"/>
            </w:tcBorders>
          </w:tcPr>
          <w:p w14:paraId="52796601" w14:textId="77777777" w:rsidR="003B7A94" w:rsidRPr="00F349EA" w:rsidRDefault="003B7A94" w:rsidP="00E421F6">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66 regional flood alerts </w:t>
            </w:r>
          </w:p>
          <w:p w14:paraId="58B76F33" w14:textId="77777777" w:rsidR="003B7A94" w:rsidRPr="00F349EA" w:rsidRDefault="003B7A94" w:rsidP="00E421F6">
            <w:pPr>
              <w:spacing w:line="276" w:lineRule="auto"/>
              <w:textAlignment w:val="baseline"/>
              <w:rPr>
                <w:rFonts w:ascii="Arial" w:eastAsia="Times New Roman" w:hAnsi="Arial" w:cs="Arial"/>
                <w:lang w:eastAsia="en-GB"/>
              </w:rPr>
            </w:pPr>
          </w:p>
          <w:p w14:paraId="2D672280" w14:textId="164B1027" w:rsidR="00940144" w:rsidRPr="00F349EA" w:rsidRDefault="003B7A9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25 local flood warnings.</w:t>
            </w:r>
          </w:p>
        </w:tc>
        <w:tc>
          <w:tcPr>
            <w:tcW w:w="385" w:type="pct"/>
            <w:tcBorders>
              <w:top w:val="single" w:sz="8" w:space="0" w:color="auto"/>
              <w:left w:val="single" w:sz="8" w:space="0" w:color="auto"/>
              <w:bottom w:val="single" w:sz="8" w:space="0" w:color="auto"/>
              <w:right w:val="single" w:sz="8" w:space="0" w:color="auto"/>
            </w:tcBorders>
          </w:tcPr>
          <w:p w14:paraId="34530C8B" w14:textId="2E22CF84"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Achieving</w:t>
            </w:r>
          </w:p>
        </w:tc>
        <w:tc>
          <w:tcPr>
            <w:tcW w:w="1026" w:type="pct"/>
            <w:tcBorders>
              <w:top w:val="single" w:sz="8" w:space="0" w:color="auto"/>
              <w:left w:val="single" w:sz="8" w:space="0" w:color="auto"/>
              <w:bottom w:val="single" w:sz="8" w:space="0" w:color="auto"/>
              <w:right w:val="single" w:sz="8" w:space="0" w:color="auto"/>
            </w:tcBorders>
          </w:tcPr>
          <w:p w14:paraId="4F7220C4" w14:textId="19C428CE" w:rsidR="00940144" w:rsidRPr="00F349EA" w:rsidRDefault="00C47CB1" w:rsidP="008B094D">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Cumulative total for the year is 84 regional flood alerts and 28 local flood warnings.</w:t>
            </w:r>
            <w:r w:rsidR="001B1DD6" w:rsidRPr="00F349EA">
              <w:rPr>
                <w:rFonts w:ascii="Arial" w:eastAsia="Times New Roman" w:hAnsi="Arial" w:cs="Arial"/>
                <w:lang w:eastAsia="en-GB"/>
              </w:rPr>
              <w:t xml:space="preserve"> </w:t>
            </w:r>
            <w:r w:rsidR="008B094D" w:rsidRPr="00F349EA">
              <w:rPr>
                <w:rFonts w:ascii="Arial" w:eastAsia="Times New Roman" w:hAnsi="Arial" w:cs="Arial"/>
                <w:lang w:eastAsia="en-GB"/>
              </w:rPr>
              <w:t xml:space="preserve">The period was marked by several periods of localised heavy intense rainfall resulting in localised flooding impacts, for example in Perthshire and Scottish </w:t>
            </w:r>
            <w:r w:rsidR="00363FD5" w:rsidRPr="00F349EA">
              <w:rPr>
                <w:rFonts w:ascii="Arial" w:eastAsia="Times New Roman" w:hAnsi="Arial" w:cs="Arial"/>
                <w:lang w:eastAsia="en-GB"/>
              </w:rPr>
              <w:t>Borders</w:t>
            </w:r>
            <w:r w:rsidR="008B094D" w:rsidRPr="00F349EA">
              <w:rPr>
                <w:rFonts w:ascii="Arial" w:eastAsia="Times New Roman" w:hAnsi="Arial" w:cs="Arial"/>
                <w:lang w:eastAsia="en-GB"/>
              </w:rPr>
              <w:t xml:space="preserve"> on 22-25 July. There was also a coastal event during Storm Floris on 3-5 August affecting </w:t>
            </w:r>
            <w:bookmarkStart w:id="19" w:name="_Int_O3n6rNXt"/>
            <w:r w:rsidR="008B094D" w:rsidRPr="00F349EA">
              <w:rPr>
                <w:rFonts w:ascii="Arial" w:eastAsia="Times New Roman" w:hAnsi="Arial" w:cs="Arial"/>
                <w:lang w:eastAsia="en-GB"/>
              </w:rPr>
              <w:t>mainly the</w:t>
            </w:r>
            <w:bookmarkEnd w:id="19"/>
            <w:r w:rsidR="008B094D" w:rsidRPr="00F349EA">
              <w:rPr>
                <w:rFonts w:ascii="Arial" w:eastAsia="Times New Roman" w:hAnsi="Arial" w:cs="Arial"/>
                <w:lang w:eastAsia="en-GB"/>
              </w:rPr>
              <w:t xml:space="preserve"> north and west of Scotland.</w:t>
            </w:r>
          </w:p>
        </w:tc>
        <w:tc>
          <w:tcPr>
            <w:tcW w:w="320" w:type="pct"/>
            <w:tcBorders>
              <w:top w:val="single" w:sz="8" w:space="0" w:color="auto"/>
              <w:left w:val="single" w:sz="8" w:space="0" w:color="auto"/>
              <w:bottom w:val="single" w:sz="8" w:space="0" w:color="auto"/>
              <w:right w:val="single" w:sz="8" w:space="0" w:color="auto"/>
            </w:tcBorders>
          </w:tcPr>
          <w:p w14:paraId="73940302" w14:textId="102BA5E5" w:rsidR="00940144" w:rsidRPr="00F349EA" w:rsidRDefault="00940144" w:rsidP="00940144">
            <w:pPr>
              <w:spacing w:line="276" w:lineRule="auto"/>
              <w:jc w:val="center"/>
              <w:textAlignment w:val="baseline"/>
              <w:rPr>
                <w:rFonts w:ascii="Arial" w:eastAsia="Times New Roman" w:hAnsi="Arial" w:cs="Arial"/>
                <w:lang w:eastAsia="en-GB"/>
              </w:rPr>
            </w:pPr>
            <w:r w:rsidRPr="00F349EA">
              <w:rPr>
                <w:rFonts w:ascii="Arial" w:eastAsia="Times New Roman" w:hAnsi="Arial" w:cs="Arial"/>
                <w:lang w:eastAsia="en-GB"/>
              </w:rPr>
              <w:t>Achieved</w:t>
            </w:r>
          </w:p>
          <w:p w14:paraId="4C25860B" w14:textId="33F90726" w:rsidR="00940144" w:rsidRPr="00F349EA" w:rsidRDefault="00940144" w:rsidP="00940144">
            <w:pPr>
              <w:spacing w:line="276" w:lineRule="auto"/>
              <w:jc w:val="center"/>
              <w:textAlignment w:val="baseline"/>
              <w:rPr>
                <w:rFonts w:ascii="Arial" w:eastAsia="Times New Roman" w:hAnsi="Arial" w:cs="Arial"/>
                <w:lang w:eastAsia="en-GB"/>
              </w:rPr>
            </w:pPr>
          </w:p>
        </w:tc>
      </w:tr>
      <w:tr w:rsidR="00940144" w:rsidRPr="00F349EA" w14:paraId="5BFB73E7" w14:textId="4C188470" w:rsidTr="1901DC8B">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5A7169C8" w14:textId="6A01AC95" w:rsidR="00940144" w:rsidRPr="00F349EA" w:rsidRDefault="00940144" w:rsidP="00940144">
            <w:pPr>
              <w:spacing w:line="276" w:lineRule="auto"/>
              <w:textAlignment w:val="baseline"/>
              <w:rPr>
                <w:rFonts w:ascii="Arial" w:hAnsi="Arial" w:cs="Arial"/>
              </w:rPr>
            </w:pPr>
            <w:r w:rsidRPr="00F349EA">
              <w:rPr>
                <w:rFonts w:ascii="Arial" w:hAnsi="Arial" w:cs="Arial"/>
              </w:rPr>
              <w:t>CR02</w:t>
            </w:r>
          </w:p>
        </w:tc>
        <w:tc>
          <w:tcPr>
            <w:tcW w:w="417" w:type="pct"/>
            <w:tcBorders>
              <w:top w:val="single" w:sz="8" w:space="0" w:color="auto"/>
              <w:left w:val="single" w:sz="8" w:space="0" w:color="auto"/>
              <w:bottom w:val="single" w:sz="8" w:space="0" w:color="auto"/>
              <w:right w:val="single" w:sz="8" w:space="0" w:color="auto"/>
            </w:tcBorders>
          </w:tcPr>
          <w:p w14:paraId="4BF40E93" w14:textId="7EB37591" w:rsidR="00940144" w:rsidRPr="00F349EA" w:rsidRDefault="00940144" w:rsidP="00940144">
            <w:pPr>
              <w:spacing w:line="276" w:lineRule="auto"/>
              <w:textAlignment w:val="baseline"/>
              <w:rPr>
                <w:rFonts w:ascii="Arial" w:hAnsi="Arial" w:cs="Arial"/>
              </w:rPr>
            </w:pPr>
            <w:r w:rsidRPr="00F349EA">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659308E9" w14:textId="30879568" w:rsidR="00940144" w:rsidRPr="00F349EA" w:rsidRDefault="00940144" w:rsidP="00940144">
            <w:pPr>
              <w:spacing w:line="276" w:lineRule="auto"/>
              <w:textAlignment w:val="baseline"/>
              <w:rPr>
                <w:rFonts w:ascii="Arial" w:hAnsi="Arial" w:cs="Arial"/>
              </w:rPr>
            </w:pPr>
            <w:r w:rsidRPr="00F349EA">
              <w:rPr>
                <w:rFonts w:ascii="Arial" w:hAnsi="Arial" w:cs="Arial"/>
              </w:rPr>
              <w:t>Number of water scarcity warnings and alerts issued by SEPA - Maintain</w:t>
            </w:r>
            <w:r w:rsidR="001914C8">
              <w:rPr>
                <w:rFonts w:ascii="Arial" w:hAnsi="Arial" w:cs="Arial"/>
              </w:rPr>
              <w:t>ing</w:t>
            </w:r>
          </w:p>
        </w:tc>
        <w:tc>
          <w:tcPr>
            <w:tcW w:w="384" w:type="pct"/>
            <w:tcBorders>
              <w:top w:val="single" w:sz="8" w:space="0" w:color="auto"/>
              <w:left w:val="single" w:sz="8" w:space="0" w:color="auto"/>
              <w:bottom w:val="single" w:sz="8" w:space="0" w:color="auto"/>
              <w:right w:val="single" w:sz="8" w:space="0" w:color="auto"/>
            </w:tcBorders>
          </w:tcPr>
          <w:p w14:paraId="0A4475E5" w14:textId="665D06E2"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hAnsi="Arial" w:cs="Arial"/>
                <w:color w:val="000000"/>
              </w:rPr>
              <w:t>Strategic – Direct control</w:t>
            </w:r>
          </w:p>
        </w:tc>
        <w:tc>
          <w:tcPr>
            <w:tcW w:w="481" w:type="pct"/>
            <w:tcBorders>
              <w:top w:val="single" w:sz="8" w:space="0" w:color="auto"/>
              <w:left w:val="single" w:sz="8" w:space="0" w:color="auto"/>
              <w:bottom w:val="single" w:sz="8" w:space="0" w:color="auto"/>
              <w:right w:val="single" w:sz="8" w:space="0" w:color="auto"/>
            </w:tcBorders>
          </w:tcPr>
          <w:p w14:paraId="1B6C5790" w14:textId="77777777"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23 x weekly water scarcity reports</w:t>
            </w:r>
          </w:p>
          <w:p w14:paraId="7A71512E" w14:textId="65713787"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1 x autumn water </w:t>
            </w:r>
            <w:r w:rsidR="003B7A94" w:rsidRPr="00F349EA">
              <w:rPr>
                <w:rFonts w:ascii="Arial" w:eastAsia="Times New Roman" w:hAnsi="Arial" w:cs="Arial"/>
                <w:lang w:eastAsia="en-GB"/>
              </w:rPr>
              <w:t xml:space="preserve">and </w:t>
            </w:r>
            <w:r w:rsidRPr="00F349EA">
              <w:rPr>
                <w:rFonts w:ascii="Arial" w:eastAsia="Times New Roman" w:hAnsi="Arial" w:cs="Arial"/>
                <w:lang w:eastAsia="en-GB"/>
              </w:rPr>
              <w:t>1 x winter water situation report.</w:t>
            </w:r>
          </w:p>
          <w:p w14:paraId="7997146B" w14:textId="77777777" w:rsidR="009E29E4" w:rsidRPr="00F349EA" w:rsidRDefault="009E29E4" w:rsidP="00E421F6">
            <w:pPr>
              <w:spacing w:line="276" w:lineRule="auto"/>
              <w:textAlignment w:val="baseline"/>
              <w:rPr>
                <w:rFonts w:ascii="Arial" w:eastAsia="Times New Roman" w:hAnsi="Arial" w:cs="Arial"/>
                <w:lang w:eastAsia="en-GB"/>
              </w:rPr>
            </w:pPr>
          </w:p>
          <w:p w14:paraId="39AF3F8B" w14:textId="77777777" w:rsidR="00CB3EF0"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914 normal conditions. </w:t>
            </w:r>
          </w:p>
          <w:p w14:paraId="24761435" w14:textId="77777777" w:rsidR="00CB3EF0"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152 early warning. </w:t>
            </w:r>
          </w:p>
          <w:p w14:paraId="3EEF77C6" w14:textId="77777777" w:rsidR="00CB3EF0"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12 </w:t>
            </w:r>
            <w:bookmarkStart w:id="20" w:name="_Int_xsagSwaB"/>
            <w:r w:rsidRPr="00F349EA">
              <w:rPr>
                <w:rFonts w:ascii="Arial" w:eastAsia="Times New Roman" w:hAnsi="Arial" w:cs="Arial"/>
                <w:lang w:eastAsia="en-GB"/>
              </w:rPr>
              <w:t>alert</w:t>
            </w:r>
            <w:bookmarkEnd w:id="20"/>
            <w:r w:rsidRPr="00F349EA">
              <w:rPr>
                <w:rFonts w:ascii="Arial" w:eastAsia="Times New Roman" w:hAnsi="Arial" w:cs="Arial"/>
                <w:lang w:eastAsia="en-GB"/>
              </w:rPr>
              <w:t xml:space="preserve">. </w:t>
            </w:r>
          </w:p>
          <w:p w14:paraId="46AA5DB4" w14:textId="77777777" w:rsidR="00CB3EF0"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1 moderate scarcity. </w:t>
            </w:r>
          </w:p>
          <w:p w14:paraId="40F46B4A" w14:textId="49430025"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Nil significant scarcity</w:t>
            </w:r>
            <w:r w:rsidR="00A60A2B">
              <w:rPr>
                <w:rFonts w:ascii="Arial" w:eastAsia="Times New Roman" w:hAnsi="Arial" w:cs="Arial"/>
                <w:lang w:eastAsia="en-GB"/>
              </w:rPr>
              <w:t>.</w:t>
            </w:r>
          </w:p>
        </w:tc>
        <w:tc>
          <w:tcPr>
            <w:tcW w:w="545" w:type="pct"/>
            <w:tcBorders>
              <w:top w:val="single" w:sz="8" w:space="0" w:color="auto"/>
              <w:left w:val="single" w:sz="8" w:space="0" w:color="auto"/>
              <w:bottom w:val="single" w:sz="8" w:space="0" w:color="auto"/>
              <w:right w:val="single" w:sz="8" w:space="0" w:color="auto"/>
            </w:tcBorders>
          </w:tcPr>
          <w:p w14:paraId="0A71A949" w14:textId="4B1B5C9A"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Maintain - The number of reports and alerts/ warnings is dependent on the duration of a water scarcity event and associated conditions.</w:t>
            </w:r>
          </w:p>
        </w:tc>
        <w:tc>
          <w:tcPr>
            <w:tcW w:w="417" w:type="pct"/>
            <w:tcBorders>
              <w:top w:val="single" w:sz="8" w:space="0" w:color="auto"/>
              <w:left w:val="single" w:sz="8" w:space="0" w:color="auto"/>
              <w:bottom w:val="single" w:sz="8" w:space="0" w:color="auto"/>
              <w:right w:val="single" w:sz="8" w:space="0" w:color="auto"/>
            </w:tcBorders>
          </w:tcPr>
          <w:p w14:paraId="1E438650" w14:textId="508343CF" w:rsidR="007C0A27" w:rsidRPr="00F349EA" w:rsidRDefault="007C0A27" w:rsidP="007C0A2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13 weekly reports issued. </w:t>
            </w:r>
          </w:p>
          <w:p w14:paraId="1F8472EC" w14:textId="77777777" w:rsidR="007C0A27" w:rsidRPr="00F349EA" w:rsidRDefault="007C0A27" w:rsidP="007C0A2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w:t>
            </w:r>
          </w:p>
          <w:p w14:paraId="00FA2CB4" w14:textId="51B457E8" w:rsidR="000E63A7" w:rsidRPr="00F349EA" w:rsidRDefault="002B20CE" w:rsidP="007C0A2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312</w:t>
            </w:r>
            <w:r w:rsidR="007C0A27" w:rsidRPr="00F349EA">
              <w:rPr>
                <w:rFonts w:ascii="Arial" w:eastAsia="Times New Roman" w:hAnsi="Arial" w:cs="Arial"/>
                <w:lang w:eastAsia="en-GB"/>
              </w:rPr>
              <w:t> </w:t>
            </w:r>
            <w:bookmarkStart w:id="21" w:name="_Int_rzkWmOVm"/>
            <w:r w:rsidR="007C0A27" w:rsidRPr="00F349EA">
              <w:rPr>
                <w:rFonts w:ascii="Arial" w:eastAsia="Times New Roman" w:hAnsi="Arial" w:cs="Arial"/>
                <w:lang w:eastAsia="en-GB"/>
              </w:rPr>
              <w:t>normal</w:t>
            </w:r>
            <w:bookmarkEnd w:id="21"/>
          </w:p>
          <w:p w14:paraId="373982A1" w14:textId="3C53BDE6" w:rsidR="007C0A27" w:rsidRPr="00F349EA" w:rsidRDefault="00A60A2B" w:rsidP="007C0A27">
            <w:pPr>
              <w:spacing w:line="276" w:lineRule="auto"/>
              <w:textAlignment w:val="baseline"/>
              <w:rPr>
                <w:rFonts w:ascii="Arial" w:eastAsia="Times New Roman" w:hAnsi="Arial" w:cs="Arial"/>
                <w:lang w:eastAsia="en-GB"/>
              </w:rPr>
            </w:pPr>
            <w:r>
              <w:rPr>
                <w:rFonts w:ascii="Arial" w:eastAsia="Times New Roman" w:hAnsi="Arial" w:cs="Arial"/>
                <w:lang w:eastAsia="en-GB"/>
              </w:rPr>
              <w:t>c</w:t>
            </w:r>
            <w:r w:rsidR="00FA1470" w:rsidRPr="00F349EA">
              <w:rPr>
                <w:rFonts w:ascii="Arial" w:eastAsia="Times New Roman" w:hAnsi="Arial" w:cs="Arial"/>
                <w:lang w:eastAsia="en-GB"/>
              </w:rPr>
              <w:t>onditions</w:t>
            </w:r>
            <w:r>
              <w:rPr>
                <w:rFonts w:ascii="Arial" w:eastAsia="Times New Roman" w:hAnsi="Arial" w:cs="Arial"/>
                <w:lang w:eastAsia="en-GB"/>
              </w:rPr>
              <w:t>.</w:t>
            </w:r>
          </w:p>
          <w:p w14:paraId="34552B7D" w14:textId="146C8D0A" w:rsidR="007C0A27" w:rsidRPr="00F349EA" w:rsidRDefault="002B20CE" w:rsidP="007C0A2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118</w:t>
            </w:r>
            <w:r w:rsidR="007C0A27" w:rsidRPr="00F349EA">
              <w:rPr>
                <w:rFonts w:ascii="Arial" w:eastAsia="Times New Roman" w:hAnsi="Arial" w:cs="Arial"/>
                <w:lang w:eastAsia="en-GB"/>
              </w:rPr>
              <w:t xml:space="preserve"> early warning</w:t>
            </w:r>
            <w:r w:rsidR="00A60A2B">
              <w:rPr>
                <w:rFonts w:ascii="Arial" w:eastAsia="Times New Roman" w:hAnsi="Arial" w:cs="Arial"/>
                <w:lang w:eastAsia="en-GB"/>
              </w:rPr>
              <w:t>.</w:t>
            </w:r>
            <w:r w:rsidR="007C0A27" w:rsidRPr="00F349EA">
              <w:rPr>
                <w:rFonts w:ascii="Arial" w:eastAsia="Times New Roman" w:hAnsi="Arial" w:cs="Arial"/>
                <w:lang w:eastAsia="en-GB"/>
              </w:rPr>
              <w:t> </w:t>
            </w:r>
          </w:p>
          <w:p w14:paraId="42721B73" w14:textId="0A8110C2" w:rsidR="007C0A27" w:rsidRPr="00F349EA" w:rsidRDefault="002B20CE" w:rsidP="007C0A2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64</w:t>
            </w:r>
            <w:r w:rsidR="007C0A27" w:rsidRPr="00F349EA">
              <w:rPr>
                <w:rFonts w:ascii="Arial" w:eastAsia="Times New Roman" w:hAnsi="Arial" w:cs="Arial"/>
                <w:lang w:eastAsia="en-GB"/>
              </w:rPr>
              <w:t> </w:t>
            </w:r>
            <w:bookmarkStart w:id="22" w:name="_Int_xG2SxFbJ"/>
            <w:r w:rsidR="007C0A27" w:rsidRPr="00F349EA">
              <w:rPr>
                <w:rFonts w:ascii="Arial" w:eastAsia="Times New Roman" w:hAnsi="Arial" w:cs="Arial"/>
                <w:lang w:eastAsia="en-GB"/>
              </w:rPr>
              <w:t>alert</w:t>
            </w:r>
            <w:bookmarkEnd w:id="22"/>
            <w:r w:rsidR="00A60A2B">
              <w:rPr>
                <w:rFonts w:ascii="Arial" w:eastAsia="Times New Roman" w:hAnsi="Arial" w:cs="Arial"/>
                <w:lang w:eastAsia="en-GB"/>
              </w:rPr>
              <w:t>.</w:t>
            </w:r>
          </w:p>
          <w:p w14:paraId="2E93D7BB" w14:textId="2DFC75E1" w:rsidR="007C0A27" w:rsidRPr="00F349EA" w:rsidRDefault="002B20CE" w:rsidP="007C0A2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101</w:t>
            </w:r>
            <w:r w:rsidR="007C0A27" w:rsidRPr="00F349EA">
              <w:rPr>
                <w:rFonts w:ascii="Arial" w:eastAsia="Times New Roman" w:hAnsi="Arial" w:cs="Arial"/>
                <w:lang w:eastAsia="en-GB"/>
              </w:rPr>
              <w:t> </w:t>
            </w:r>
            <w:bookmarkStart w:id="23" w:name="_Int_XQGqDp89"/>
            <w:r w:rsidR="007C0A27" w:rsidRPr="00F349EA">
              <w:rPr>
                <w:rFonts w:ascii="Arial" w:eastAsia="Times New Roman" w:hAnsi="Arial" w:cs="Arial"/>
                <w:lang w:eastAsia="en-GB"/>
              </w:rPr>
              <w:t>moderate</w:t>
            </w:r>
            <w:bookmarkEnd w:id="23"/>
            <w:r w:rsidR="007C0A27" w:rsidRPr="00F349EA">
              <w:rPr>
                <w:rFonts w:ascii="Arial" w:eastAsia="Times New Roman" w:hAnsi="Arial" w:cs="Arial"/>
                <w:lang w:eastAsia="en-GB"/>
              </w:rPr>
              <w:t>. </w:t>
            </w:r>
          </w:p>
          <w:p w14:paraId="78C7E950" w14:textId="6D928003" w:rsidR="007C0A27" w:rsidRPr="00F349EA" w:rsidRDefault="002B20CE" w:rsidP="007C0A2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49</w:t>
            </w:r>
            <w:r w:rsidR="007C0A27" w:rsidRPr="00F349EA">
              <w:rPr>
                <w:rFonts w:ascii="Arial" w:eastAsia="Times New Roman" w:hAnsi="Arial" w:cs="Arial"/>
                <w:lang w:eastAsia="en-GB"/>
              </w:rPr>
              <w:t xml:space="preserve"> significant</w:t>
            </w:r>
            <w:r w:rsidR="00D65045" w:rsidRPr="00F349EA">
              <w:rPr>
                <w:rFonts w:ascii="Arial" w:eastAsia="Times New Roman" w:hAnsi="Arial" w:cs="Arial"/>
                <w:lang w:eastAsia="en-GB"/>
              </w:rPr>
              <w:t xml:space="preserve"> </w:t>
            </w:r>
            <w:bookmarkStart w:id="24" w:name="_Int_AZDKppJW"/>
            <w:r w:rsidR="00D65045" w:rsidRPr="00F349EA">
              <w:rPr>
                <w:rFonts w:ascii="Arial" w:eastAsia="Times New Roman" w:hAnsi="Arial" w:cs="Arial"/>
                <w:lang w:eastAsia="en-GB"/>
              </w:rPr>
              <w:t>scarcity</w:t>
            </w:r>
            <w:bookmarkEnd w:id="24"/>
            <w:r w:rsidR="007C0A27" w:rsidRPr="00F349EA">
              <w:rPr>
                <w:rFonts w:ascii="Arial" w:eastAsia="Times New Roman" w:hAnsi="Arial" w:cs="Arial"/>
                <w:lang w:eastAsia="en-GB"/>
              </w:rPr>
              <w:t>.</w:t>
            </w:r>
          </w:p>
          <w:p w14:paraId="54C9C79B" w14:textId="000361EF" w:rsidR="00940144" w:rsidRPr="00F349EA" w:rsidRDefault="00940144" w:rsidP="00940144">
            <w:pPr>
              <w:spacing w:line="276" w:lineRule="auto"/>
              <w:textAlignment w:val="baseline"/>
              <w:rPr>
                <w:rFonts w:ascii="Arial" w:eastAsia="Times New Roman" w:hAnsi="Arial" w:cs="Arial"/>
                <w:lang w:eastAsia="en-GB"/>
              </w:rPr>
            </w:pPr>
          </w:p>
        </w:tc>
        <w:tc>
          <w:tcPr>
            <w:tcW w:w="385" w:type="pct"/>
            <w:tcBorders>
              <w:top w:val="single" w:sz="8" w:space="0" w:color="auto"/>
              <w:left w:val="single" w:sz="8" w:space="0" w:color="auto"/>
              <w:bottom w:val="single" w:sz="8" w:space="0" w:color="auto"/>
              <w:right w:val="single" w:sz="8" w:space="0" w:color="auto"/>
            </w:tcBorders>
          </w:tcPr>
          <w:p w14:paraId="55070BDA" w14:textId="208926B8" w:rsidR="00940144" w:rsidRPr="00F349EA" w:rsidRDefault="008B094D"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Achieving</w:t>
            </w:r>
          </w:p>
        </w:tc>
        <w:tc>
          <w:tcPr>
            <w:tcW w:w="1026" w:type="pct"/>
            <w:tcBorders>
              <w:top w:val="single" w:sz="8" w:space="0" w:color="auto"/>
              <w:left w:val="single" w:sz="8" w:space="0" w:color="auto"/>
              <w:bottom w:val="single" w:sz="8" w:space="0" w:color="auto"/>
              <w:right w:val="single" w:sz="8" w:space="0" w:color="auto"/>
            </w:tcBorders>
          </w:tcPr>
          <w:p w14:paraId="29ED5D2B" w14:textId="22CF8156" w:rsidR="00E421F6" w:rsidRPr="00F349EA" w:rsidRDefault="00AE7F5D" w:rsidP="00E421F6">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Cumulative total for the year is </w:t>
            </w:r>
            <w:r w:rsidR="00831A7E" w:rsidRPr="00F349EA">
              <w:rPr>
                <w:rFonts w:ascii="Arial" w:eastAsia="Times New Roman" w:hAnsi="Arial" w:cs="Arial"/>
                <w:lang w:eastAsia="en-GB"/>
              </w:rPr>
              <w:t>24</w:t>
            </w:r>
            <w:r w:rsidR="008B094D" w:rsidRPr="00F349EA">
              <w:rPr>
                <w:rFonts w:ascii="Arial" w:eastAsia="Times New Roman" w:hAnsi="Arial" w:cs="Arial"/>
                <w:lang w:eastAsia="en-GB"/>
              </w:rPr>
              <w:t xml:space="preserve"> weekly reports issued: with the following break down on water scarcity levels: </w:t>
            </w:r>
            <w:r w:rsidR="00667906" w:rsidRPr="00F349EA">
              <w:rPr>
                <w:rFonts w:ascii="Arial" w:eastAsia="Times New Roman" w:hAnsi="Arial" w:cs="Arial"/>
                <w:lang w:eastAsia="en-GB"/>
              </w:rPr>
              <w:t>382</w:t>
            </w:r>
            <w:r w:rsidR="008B094D" w:rsidRPr="00F349EA">
              <w:rPr>
                <w:rFonts w:ascii="Arial" w:eastAsia="Times New Roman" w:hAnsi="Arial" w:cs="Arial"/>
                <w:lang w:eastAsia="en-GB"/>
              </w:rPr>
              <w:t xml:space="preserve"> Normal, </w:t>
            </w:r>
            <w:r w:rsidR="00F300A1" w:rsidRPr="00F349EA">
              <w:rPr>
                <w:rFonts w:ascii="Arial" w:eastAsia="Times New Roman" w:hAnsi="Arial" w:cs="Arial"/>
                <w:lang w:eastAsia="en-GB"/>
              </w:rPr>
              <w:t>328</w:t>
            </w:r>
            <w:r w:rsidR="008B094D" w:rsidRPr="00F349EA">
              <w:rPr>
                <w:rFonts w:ascii="Arial" w:eastAsia="Times New Roman" w:hAnsi="Arial" w:cs="Arial"/>
                <w:lang w:eastAsia="en-GB"/>
              </w:rPr>
              <w:t xml:space="preserve"> Early Warning, </w:t>
            </w:r>
            <w:r w:rsidR="00F300A1" w:rsidRPr="00F349EA">
              <w:rPr>
                <w:rFonts w:ascii="Arial" w:eastAsia="Times New Roman" w:hAnsi="Arial" w:cs="Arial"/>
                <w:lang w:eastAsia="en-GB"/>
              </w:rPr>
              <w:t>223</w:t>
            </w:r>
            <w:r w:rsidR="008B094D" w:rsidRPr="00F349EA">
              <w:rPr>
                <w:rFonts w:ascii="Arial" w:eastAsia="Times New Roman" w:hAnsi="Arial" w:cs="Arial"/>
                <w:lang w:eastAsia="en-GB"/>
              </w:rPr>
              <w:t xml:space="preserve"> Alert, </w:t>
            </w:r>
            <w:r w:rsidRPr="00F349EA">
              <w:rPr>
                <w:rFonts w:ascii="Arial" w:eastAsia="Times New Roman" w:hAnsi="Arial" w:cs="Arial"/>
                <w:lang w:eastAsia="en-GB"/>
              </w:rPr>
              <w:t>179</w:t>
            </w:r>
            <w:r w:rsidR="008B094D" w:rsidRPr="00F349EA">
              <w:rPr>
                <w:rFonts w:ascii="Arial" w:eastAsia="Times New Roman" w:hAnsi="Arial" w:cs="Arial"/>
                <w:lang w:eastAsia="en-GB"/>
              </w:rPr>
              <w:t xml:space="preserve"> Moderate, </w:t>
            </w:r>
            <w:r w:rsidRPr="00F349EA">
              <w:rPr>
                <w:rFonts w:ascii="Arial" w:eastAsia="Times New Roman" w:hAnsi="Arial" w:cs="Arial"/>
                <w:lang w:eastAsia="en-GB"/>
              </w:rPr>
              <w:t>50</w:t>
            </w:r>
            <w:r w:rsidR="008B094D" w:rsidRPr="00F349EA">
              <w:rPr>
                <w:rFonts w:ascii="Arial" w:eastAsia="Times New Roman" w:hAnsi="Arial" w:cs="Arial"/>
                <w:lang w:eastAsia="en-GB"/>
              </w:rPr>
              <w:t xml:space="preserve"> Significant</w:t>
            </w:r>
            <w:r w:rsidR="00E421F6" w:rsidRPr="00F349EA">
              <w:rPr>
                <w:rFonts w:ascii="Arial" w:eastAsia="Times New Roman" w:hAnsi="Arial" w:cs="Arial"/>
                <w:lang w:eastAsia="en-GB"/>
              </w:rPr>
              <w:t xml:space="preserve">. </w:t>
            </w:r>
          </w:p>
          <w:p w14:paraId="56D18C80" w14:textId="77777777" w:rsidR="000857F5" w:rsidRPr="00F349EA" w:rsidRDefault="000857F5" w:rsidP="00E421F6">
            <w:pPr>
              <w:spacing w:line="276" w:lineRule="auto"/>
              <w:textAlignment w:val="baseline"/>
              <w:rPr>
                <w:rFonts w:ascii="Arial" w:eastAsia="Times New Roman" w:hAnsi="Arial" w:cs="Arial"/>
                <w:lang w:eastAsia="en-GB"/>
              </w:rPr>
            </w:pPr>
          </w:p>
          <w:p w14:paraId="678C9418" w14:textId="273227FC" w:rsidR="00940144" w:rsidRPr="00F349EA" w:rsidRDefault="000857F5"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There continued to be an increase in the number of warnings and alerts because of prolonged conditions associated with water scarcity. </w:t>
            </w:r>
            <w:r w:rsidR="008B094D" w:rsidRPr="00F349EA">
              <w:rPr>
                <w:rFonts w:ascii="Arial" w:eastAsia="Times New Roman" w:hAnsi="Arial" w:cs="Arial"/>
                <w:lang w:eastAsia="en-GB"/>
              </w:rPr>
              <w:t xml:space="preserve">Parts of the east coast have been at </w:t>
            </w:r>
            <w:r w:rsidR="005C0891" w:rsidRPr="00F349EA">
              <w:rPr>
                <w:rFonts w:ascii="Arial" w:eastAsia="Times New Roman" w:hAnsi="Arial" w:cs="Arial"/>
                <w:lang w:eastAsia="en-GB"/>
              </w:rPr>
              <w:t>significant</w:t>
            </w:r>
            <w:r w:rsidR="008B094D" w:rsidRPr="00F349EA">
              <w:rPr>
                <w:rFonts w:ascii="Arial" w:eastAsia="Times New Roman" w:hAnsi="Arial" w:cs="Arial"/>
                <w:lang w:eastAsia="en-GB"/>
              </w:rPr>
              <w:t xml:space="preserve"> alert level across the whole period.</w:t>
            </w:r>
          </w:p>
        </w:tc>
        <w:tc>
          <w:tcPr>
            <w:tcW w:w="320" w:type="pct"/>
            <w:tcBorders>
              <w:top w:val="single" w:sz="8" w:space="0" w:color="auto"/>
              <w:left w:val="single" w:sz="8" w:space="0" w:color="auto"/>
              <w:bottom w:val="single" w:sz="8" w:space="0" w:color="auto"/>
              <w:right w:val="single" w:sz="8" w:space="0" w:color="auto"/>
            </w:tcBorders>
          </w:tcPr>
          <w:p w14:paraId="218D279B" w14:textId="77777777" w:rsidR="00940144" w:rsidRPr="00F349EA" w:rsidRDefault="00940144" w:rsidP="00940144">
            <w:pPr>
              <w:spacing w:line="276" w:lineRule="auto"/>
              <w:jc w:val="center"/>
              <w:textAlignment w:val="baseline"/>
              <w:rPr>
                <w:rFonts w:ascii="Arial" w:eastAsia="Times New Roman" w:hAnsi="Arial" w:cs="Arial"/>
                <w:lang w:eastAsia="en-GB"/>
              </w:rPr>
            </w:pPr>
            <w:r w:rsidRPr="00F349EA">
              <w:rPr>
                <w:rFonts w:ascii="Arial" w:eastAsia="Times New Roman" w:hAnsi="Arial" w:cs="Arial"/>
                <w:lang w:eastAsia="en-GB"/>
              </w:rPr>
              <w:t>Achieved</w:t>
            </w:r>
          </w:p>
          <w:p w14:paraId="639DA5CF" w14:textId="4AAE7361" w:rsidR="00940144" w:rsidRPr="00F349EA" w:rsidRDefault="00940144" w:rsidP="00940144">
            <w:pPr>
              <w:spacing w:line="276" w:lineRule="auto"/>
              <w:jc w:val="center"/>
              <w:textAlignment w:val="baseline"/>
              <w:rPr>
                <w:rFonts w:ascii="Arial" w:eastAsia="Times New Roman" w:hAnsi="Arial" w:cs="Arial"/>
                <w:lang w:eastAsia="en-GB"/>
              </w:rPr>
            </w:pPr>
          </w:p>
        </w:tc>
      </w:tr>
      <w:tr w:rsidR="00940144" w:rsidRPr="00F349EA" w14:paraId="48E01DBE" w14:textId="6BEF8D99" w:rsidTr="1901DC8B">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589A42A7" w14:textId="6250F13E" w:rsidR="00940144" w:rsidRPr="00F349EA" w:rsidRDefault="00940144" w:rsidP="00940144">
            <w:pPr>
              <w:spacing w:line="276" w:lineRule="auto"/>
              <w:textAlignment w:val="baseline"/>
              <w:rPr>
                <w:rFonts w:ascii="Arial" w:hAnsi="Arial" w:cs="Arial"/>
              </w:rPr>
            </w:pPr>
            <w:r w:rsidRPr="00F349EA">
              <w:rPr>
                <w:rFonts w:ascii="Arial" w:hAnsi="Arial" w:cs="Arial"/>
              </w:rPr>
              <w:lastRenderedPageBreak/>
              <w:t>CR03</w:t>
            </w:r>
          </w:p>
        </w:tc>
        <w:tc>
          <w:tcPr>
            <w:tcW w:w="417" w:type="pct"/>
            <w:tcBorders>
              <w:top w:val="single" w:sz="8" w:space="0" w:color="auto"/>
              <w:left w:val="single" w:sz="8" w:space="0" w:color="auto"/>
              <w:bottom w:val="single" w:sz="8" w:space="0" w:color="auto"/>
              <w:right w:val="single" w:sz="8" w:space="0" w:color="auto"/>
            </w:tcBorders>
          </w:tcPr>
          <w:p w14:paraId="30FBE36D" w14:textId="7EDB243D" w:rsidR="00940144" w:rsidRPr="00F349EA" w:rsidRDefault="00940144" w:rsidP="00940144">
            <w:pPr>
              <w:spacing w:line="276" w:lineRule="auto"/>
              <w:textAlignment w:val="baseline"/>
              <w:rPr>
                <w:rFonts w:ascii="Arial" w:hAnsi="Arial" w:cs="Arial"/>
              </w:rPr>
            </w:pPr>
            <w:r w:rsidRPr="00F349EA">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0F9E4FF0" w14:textId="64FC9E16" w:rsidR="00940144" w:rsidRPr="00F349EA" w:rsidRDefault="00940144" w:rsidP="00940144">
            <w:pPr>
              <w:spacing w:line="276" w:lineRule="auto"/>
              <w:textAlignment w:val="baseline"/>
              <w:rPr>
                <w:rFonts w:ascii="Arial" w:hAnsi="Arial" w:cs="Arial"/>
              </w:rPr>
            </w:pPr>
            <w:r w:rsidRPr="00F349EA">
              <w:rPr>
                <w:rFonts w:ascii="Arial" w:hAnsi="Arial" w:cs="Arial"/>
              </w:rPr>
              <w:t>Percentage of daily Flood Guidance Statements and Scottish Flood Forecasts issued on time ​- Maintaining</w:t>
            </w:r>
          </w:p>
        </w:tc>
        <w:tc>
          <w:tcPr>
            <w:tcW w:w="384" w:type="pct"/>
            <w:tcBorders>
              <w:top w:val="single" w:sz="8" w:space="0" w:color="auto"/>
              <w:left w:val="single" w:sz="8" w:space="0" w:color="auto"/>
              <w:bottom w:val="single" w:sz="8" w:space="0" w:color="auto"/>
              <w:right w:val="single" w:sz="8" w:space="0" w:color="auto"/>
            </w:tcBorders>
          </w:tcPr>
          <w:p w14:paraId="1749D83D" w14:textId="39D34178"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5FBBA9A9" w14:textId="77777777"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2023/24</w:t>
            </w:r>
          </w:p>
          <w:p w14:paraId="3D688F76" w14:textId="77777777"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84% by 10:30</w:t>
            </w:r>
          </w:p>
          <w:p w14:paraId="22FFFC2F" w14:textId="6F547E40"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98% by 11:00</w:t>
            </w:r>
          </w:p>
        </w:tc>
        <w:tc>
          <w:tcPr>
            <w:tcW w:w="545" w:type="pct"/>
            <w:tcBorders>
              <w:top w:val="single" w:sz="8" w:space="0" w:color="auto"/>
              <w:left w:val="single" w:sz="8" w:space="0" w:color="auto"/>
              <w:bottom w:val="single" w:sz="8" w:space="0" w:color="auto"/>
              <w:right w:val="single" w:sz="8" w:space="0" w:color="auto"/>
            </w:tcBorders>
          </w:tcPr>
          <w:p w14:paraId="2EFAA57C" w14:textId="6AF3663C"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At least 84% of Flood Guidance Statements are issued by 10:30am and 98% by 11:00am. The Scottish Flood Forecast is published at the same time.</w:t>
            </w:r>
          </w:p>
        </w:tc>
        <w:tc>
          <w:tcPr>
            <w:tcW w:w="417" w:type="pct"/>
            <w:tcBorders>
              <w:top w:val="single" w:sz="8" w:space="0" w:color="auto"/>
              <w:left w:val="single" w:sz="8" w:space="0" w:color="auto"/>
              <w:bottom w:val="single" w:sz="8" w:space="0" w:color="auto"/>
              <w:right w:val="single" w:sz="8" w:space="0" w:color="auto"/>
            </w:tcBorders>
          </w:tcPr>
          <w:p w14:paraId="3F655834" w14:textId="0A4CA613" w:rsidR="009573B0" w:rsidRPr="00F349EA" w:rsidRDefault="00BD00F8" w:rsidP="00BD00F8">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91.3% of the Flood Guidance Statements were issued by 10:30</w:t>
            </w:r>
            <w:r w:rsidR="00CE7C7B" w:rsidRPr="00F349EA">
              <w:rPr>
                <w:rFonts w:ascii="Arial" w:eastAsia="Times New Roman" w:hAnsi="Arial" w:cs="Arial"/>
                <w:lang w:eastAsia="en-GB"/>
              </w:rPr>
              <w:t xml:space="preserve">. </w:t>
            </w:r>
          </w:p>
          <w:p w14:paraId="476D5845" w14:textId="0456698E" w:rsidR="00940144" w:rsidRPr="00F349EA" w:rsidRDefault="00BD00F8"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100% of Flood Guidance Statements were issued by 11:00</w:t>
            </w:r>
          </w:p>
        </w:tc>
        <w:tc>
          <w:tcPr>
            <w:tcW w:w="385" w:type="pct"/>
            <w:tcBorders>
              <w:top w:val="single" w:sz="8" w:space="0" w:color="auto"/>
              <w:left w:val="single" w:sz="8" w:space="0" w:color="auto"/>
              <w:bottom w:val="single" w:sz="8" w:space="0" w:color="auto"/>
              <w:right w:val="single" w:sz="8" w:space="0" w:color="auto"/>
            </w:tcBorders>
          </w:tcPr>
          <w:p w14:paraId="3DA671B2" w14:textId="459928F6" w:rsidR="00940144" w:rsidRPr="00F349EA" w:rsidRDefault="00C23D3F"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Achieving</w:t>
            </w:r>
          </w:p>
        </w:tc>
        <w:tc>
          <w:tcPr>
            <w:tcW w:w="1026" w:type="pct"/>
            <w:tcBorders>
              <w:top w:val="single" w:sz="8" w:space="0" w:color="auto"/>
              <w:left w:val="single" w:sz="8" w:space="0" w:color="auto"/>
              <w:bottom w:val="single" w:sz="8" w:space="0" w:color="auto"/>
              <w:right w:val="single" w:sz="8" w:space="0" w:color="auto"/>
            </w:tcBorders>
          </w:tcPr>
          <w:p w14:paraId="575047E6" w14:textId="4E4DE20D" w:rsidR="00940144" w:rsidRPr="00F349EA" w:rsidRDefault="009B4097" w:rsidP="00C23D3F">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C</w:t>
            </w:r>
            <w:r w:rsidR="00EB6565" w:rsidRPr="00F349EA">
              <w:rPr>
                <w:rFonts w:ascii="Arial" w:eastAsia="Times New Roman" w:hAnsi="Arial" w:cs="Arial"/>
                <w:lang w:eastAsia="en-GB"/>
              </w:rPr>
              <w:t>umulative p</w:t>
            </w:r>
            <w:r w:rsidR="00630D1B" w:rsidRPr="00F349EA">
              <w:rPr>
                <w:rFonts w:ascii="Arial" w:eastAsia="Times New Roman" w:hAnsi="Arial" w:cs="Arial"/>
                <w:lang w:eastAsia="en-GB"/>
              </w:rPr>
              <w:t xml:space="preserve">rogress at Q2 ahead of </w:t>
            </w:r>
            <w:r w:rsidR="00614A98" w:rsidRPr="00F349EA">
              <w:rPr>
                <w:rFonts w:ascii="Arial" w:eastAsia="Times New Roman" w:hAnsi="Arial" w:cs="Arial"/>
                <w:lang w:eastAsia="en-GB"/>
              </w:rPr>
              <w:t>target</w:t>
            </w:r>
            <w:r w:rsidR="00EB0FB9" w:rsidRPr="00F349EA">
              <w:rPr>
                <w:rFonts w:ascii="Arial" w:eastAsia="Times New Roman" w:hAnsi="Arial" w:cs="Arial"/>
                <w:lang w:eastAsia="en-GB"/>
              </w:rPr>
              <w:t>:</w:t>
            </w:r>
          </w:p>
          <w:p w14:paraId="5051777F" w14:textId="77777777" w:rsidR="00974BA9" w:rsidRPr="00F349EA" w:rsidRDefault="00974BA9" w:rsidP="00C23D3F">
            <w:pPr>
              <w:spacing w:line="276" w:lineRule="auto"/>
              <w:textAlignment w:val="baseline"/>
              <w:rPr>
                <w:rFonts w:ascii="Arial" w:eastAsia="Times New Roman" w:hAnsi="Arial" w:cs="Arial"/>
                <w:lang w:eastAsia="en-GB"/>
              </w:rPr>
            </w:pPr>
          </w:p>
          <w:p w14:paraId="27D07E69" w14:textId="17FF01CE" w:rsidR="00974BA9" w:rsidRPr="00F349EA" w:rsidRDefault="003C0784" w:rsidP="00C23D3F">
            <w:pPr>
              <w:pStyle w:val="ListParagraph"/>
              <w:numPr>
                <w:ilvl w:val="0"/>
                <w:numId w:val="36"/>
              </w:numPr>
              <w:spacing w:line="276" w:lineRule="auto"/>
              <w:textAlignment w:val="baseline"/>
              <w:rPr>
                <w:rFonts w:ascii="Arial" w:eastAsia="Times New Roman" w:hAnsi="Arial" w:cs="Arial"/>
                <w:sz w:val="24"/>
                <w:szCs w:val="28"/>
                <w:lang w:val="en-GB" w:eastAsia="en-GB"/>
              </w:rPr>
            </w:pPr>
            <w:r w:rsidRPr="00F349EA">
              <w:rPr>
                <w:rFonts w:ascii="Arial" w:eastAsia="Times New Roman" w:hAnsi="Arial" w:cs="Arial"/>
                <w:sz w:val="24"/>
                <w:szCs w:val="28"/>
                <w:lang w:val="en-GB" w:eastAsia="en-GB"/>
              </w:rPr>
              <w:t xml:space="preserve">93.4% </w:t>
            </w:r>
            <w:r w:rsidR="009D789E" w:rsidRPr="00F349EA">
              <w:rPr>
                <w:rFonts w:ascii="Arial" w:eastAsia="Times New Roman" w:hAnsi="Arial" w:cs="Arial"/>
                <w:sz w:val="24"/>
                <w:szCs w:val="28"/>
                <w:lang w:val="en-GB" w:eastAsia="en-GB"/>
              </w:rPr>
              <w:t>Flood Guidance Statements issued by 10:30</w:t>
            </w:r>
          </w:p>
          <w:p w14:paraId="21C6DA61" w14:textId="3FD6724D" w:rsidR="00FC797E" w:rsidRPr="00F349EA" w:rsidRDefault="003A2814" w:rsidP="00EB0FB9">
            <w:pPr>
              <w:pStyle w:val="ListParagraph"/>
              <w:numPr>
                <w:ilvl w:val="0"/>
                <w:numId w:val="36"/>
              </w:numPr>
              <w:spacing w:line="276" w:lineRule="auto"/>
              <w:textAlignment w:val="baseline"/>
              <w:rPr>
                <w:rFonts w:ascii="Arial" w:eastAsia="Times New Roman" w:hAnsi="Arial" w:cs="Arial"/>
                <w:sz w:val="24"/>
                <w:szCs w:val="28"/>
                <w:lang w:val="en-GB" w:eastAsia="en-GB"/>
              </w:rPr>
            </w:pPr>
            <w:r w:rsidRPr="00F349EA">
              <w:rPr>
                <w:rFonts w:ascii="Arial" w:eastAsia="Times New Roman" w:hAnsi="Arial" w:cs="Arial"/>
                <w:sz w:val="24"/>
                <w:szCs w:val="28"/>
                <w:lang w:val="en-GB" w:eastAsia="en-GB"/>
              </w:rPr>
              <w:t>99.5%</w:t>
            </w:r>
            <w:r w:rsidR="009D789E" w:rsidRPr="00F349EA">
              <w:rPr>
                <w:rFonts w:ascii="Arial" w:eastAsia="Times New Roman" w:hAnsi="Arial" w:cs="Arial"/>
                <w:sz w:val="24"/>
                <w:szCs w:val="28"/>
                <w:lang w:val="en-GB" w:eastAsia="en-GB"/>
              </w:rPr>
              <w:t xml:space="preserve"> Flood Guidance Statements were issued by 11:00</w:t>
            </w:r>
          </w:p>
          <w:p w14:paraId="4AEEE8EE" w14:textId="53E63058" w:rsidR="003C0784" w:rsidRPr="00F349EA" w:rsidRDefault="003C0784" w:rsidP="001F1830">
            <w:pPr>
              <w:spacing w:line="276" w:lineRule="auto"/>
              <w:textAlignment w:val="baseline"/>
              <w:rPr>
                <w:rFonts w:ascii="Arial" w:eastAsia="Times New Roman" w:hAnsi="Arial" w:cs="Arial"/>
                <w:lang w:eastAsia="en-GB"/>
              </w:rPr>
            </w:pPr>
          </w:p>
        </w:tc>
        <w:tc>
          <w:tcPr>
            <w:tcW w:w="320" w:type="pct"/>
            <w:tcBorders>
              <w:top w:val="single" w:sz="8" w:space="0" w:color="auto"/>
              <w:left w:val="single" w:sz="8" w:space="0" w:color="auto"/>
              <w:bottom w:val="single" w:sz="8" w:space="0" w:color="auto"/>
              <w:right w:val="single" w:sz="8" w:space="0" w:color="auto"/>
            </w:tcBorders>
          </w:tcPr>
          <w:p w14:paraId="3C13AB57" w14:textId="6D80D94A" w:rsidR="00940144" w:rsidRPr="00F349EA" w:rsidRDefault="00940144" w:rsidP="00940144">
            <w:pPr>
              <w:spacing w:line="276" w:lineRule="auto"/>
              <w:jc w:val="center"/>
              <w:textAlignment w:val="baseline"/>
              <w:rPr>
                <w:rFonts w:ascii="Arial" w:eastAsia="Times New Roman" w:hAnsi="Arial" w:cs="Arial"/>
                <w:lang w:eastAsia="en-GB"/>
              </w:rPr>
            </w:pPr>
            <w:r w:rsidRPr="00F349EA">
              <w:rPr>
                <w:rFonts w:ascii="Arial" w:eastAsia="Times New Roman" w:hAnsi="Arial" w:cs="Arial"/>
                <w:lang w:eastAsia="en-GB"/>
              </w:rPr>
              <w:t>Achieved</w:t>
            </w:r>
          </w:p>
          <w:p w14:paraId="60182330" w14:textId="5D804D88" w:rsidR="00940144" w:rsidRPr="00F349EA" w:rsidRDefault="00940144" w:rsidP="00940144">
            <w:pPr>
              <w:spacing w:line="276" w:lineRule="auto"/>
              <w:jc w:val="center"/>
              <w:textAlignment w:val="baseline"/>
              <w:rPr>
                <w:rFonts w:ascii="Arial" w:eastAsia="Times New Roman" w:hAnsi="Arial" w:cs="Arial"/>
                <w:lang w:eastAsia="en-GB"/>
              </w:rPr>
            </w:pPr>
          </w:p>
        </w:tc>
      </w:tr>
      <w:tr w:rsidR="00940144" w:rsidRPr="00F349EA" w14:paraId="6CD37AE4" w14:textId="489565AF" w:rsidTr="1901DC8B">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58E1D139" w14:textId="78441A6F" w:rsidR="00940144" w:rsidRPr="00F349EA" w:rsidRDefault="00940144" w:rsidP="00940144">
            <w:pPr>
              <w:spacing w:line="276" w:lineRule="auto"/>
              <w:textAlignment w:val="baseline"/>
              <w:rPr>
                <w:rFonts w:ascii="Arial" w:hAnsi="Arial" w:cs="Arial"/>
              </w:rPr>
            </w:pPr>
            <w:r w:rsidRPr="00F349EA">
              <w:rPr>
                <w:rFonts w:ascii="Arial" w:hAnsi="Arial" w:cs="Arial"/>
              </w:rPr>
              <w:t>CR04</w:t>
            </w:r>
          </w:p>
        </w:tc>
        <w:tc>
          <w:tcPr>
            <w:tcW w:w="417" w:type="pct"/>
            <w:tcBorders>
              <w:top w:val="single" w:sz="8" w:space="0" w:color="auto"/>
              <w:left w:val="single" w:sz="8" w:space="0" w:color="auto"/>
              <w:bottom w:val="single" w:sz="8" w:space="0" w:color="auto"/>
              <w:right w:val="single" w:sz="8" w:space="0" w:color="auto"/>
            </w:tcBorders>
          </w:tcPr>
          <w:p w14:paraId="6A245152" w14:textId="720C19DC" w:rsidR="00940144" w:rsidRPr="00F349EA" w:rsidRDefault="00940144" w:rsidP="00940144">
            <w:pPr>
              <w:spacing w:line="276" w:lineRule="auto"/>
              <w:textAlignment w:val="baseline"/>
              <w:rPr>
                <w:rFonts w:ascii="Arial" w:hAnsi="Arial" w:cs="Arial"/>
              </w:rPr>
            </w:pPr>
            <w:r w:rsidRPr="00F349EA">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051742BB" w14:textId="516AAEB6" w:rsidR="00940144" w:rsidRPr="00F349EA" w:rsidRDefault="00940144" w:rsidP="00940144">
            <w:pPr>
              <w:spacing w:line="276" w:lineRule="auto"/>
              <w:rPr>
                <w:rFonts w:ascii="Arial" w:hAnsi="Arial" w:cs="Arial"/>
              </w:rPr>
            </w:pPr>
            <w:r w:rsidRPr="00F349EA">
              <w:rPr>
                <w:rFonts w:ascii="Arial" w:hAnsi="Arial" w:cs="Arial"/>
              </w:rPr>
              <w:t>Percentage of water scarcity warnings and alerts issued on time - Maintaining</w:t>
            </w:r>
          </w:p>
        </w:tc>
        <w:tc>
          <w:tcPr>
            <w:tcW w:w="384" w:type="pct"/>
            <w:tcBorders>
              <w:top w:val="single" w:sz="8" w:space="0" w:color="auto"/>
              <w:left w:val="single" w:sz="8" w:space="0" w:color="auto"/>
              <w:bottom w:val="single" w:sz="8" w:space="0" w:color="auto"/>
              <w:right w:val="single" w:sz="8" w:space="0" w:color="auto"/>
            </w:tcBorders>
          </w:tcPr>
          <w:p w14:paraId="70262845" w14:textId="7FDC19B5"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2429A96D" w14:textId="1B86E672"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No baseline, first year of reporting. 2025/26 will establish the baseline.</w:t>
            </w:r>
          </w:p>
        </w:tc>
        <w:tc>
          <w:tcPr>
            <w:tcW w:w="545" w:type="pct"/>
            <w:tcBorders>
              <w:top w:val="single" w:sz="8" w:space="0" w:color="auto"/>
              <w:left w:val="single" w:sz="8" w:space="0" w:color="auto"/>
              <w:bottom w:val="single" w:sz="8" w:space="0" w:color="auto"/>
              <w:right w:val="single" w:sz="8" w:space="0" w:color="auto"/>
            </w:tcBorders>
          </w:tcPr>
          <w:p w14:paraId="23872983" w14:textId="38A0A744"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Water Scarcity reports published on Thursdays by 15:00.</w:t>
            </w:r>
          </w:p>
          <w:p w14:paraId="4B348B54" w14:textId="740B7BC4"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100% of messages to abstractors </w:t>
            </w:r>
            <w:bookmarkStart w:id="25" w:name="_Int_62tex9so"/>
            <w:r w:rsidRPr="00F349EA">
              <w:rPr>
                <w:rFonts w:ascii="Arial" w:eastAsia="Times New Roman" w:hAnsi="Arial" w:cs="Arial"/>
                <w:lang w:eastAsia="en-GB"/>
              </w:rPr>
              <w:t>as a result of</w:t>
            </w:r>
            <w:bookmarkEnd w:id="25"/>
            <w:r w:rsidRPr="00F349EA">
              <w:rPr>
                <w:rFonts w:ascii="Arial" w:eastAsia="Times New Roman" w:hAnsi="Arial" w:cs="Arial"/>
                <w:lang w:eastAsia="en-GB"/>
              </w:rPr>
              <w:t xml:space="preserve"> changes to locations status in relation to Water Scarcity </w:t>
            </w:r>
            <w:r w:rsidRPr="00F349EA">
              <w:t>level</w:t>
            </w:r>
            <w:r w:rsidRPr="00F349EA">
              <w:rPr>
                <w:rFonts w:ascii="Arial" w:eastAsia="Times New Roman" w:hAnsi="Arial" w:cs="Arial"/>
                <w:lang w:eastAsia="en-GB"/>
              </w:rPr>
              <w:t xml:space="preserve"> sent by Friday 15:00.</w:t>
            </w:r>
          </w:p>
        </w:tc>
        <w:tc>
          <w:tcPr>
            <w:tcW w:w="417" w:type="pct"/>
            <w:tcBorders>
              <w:top w:val="single" w:sz="8" w:space="0" w:color="auto"/>
              <w:left w:val="single" w:sz="8" w:space="0" w:color="auto"/>
              <w:bottom w:val="single" w:sz="8" w:space="0" w:color="auto"/>
              <w:right w:val="single" w:sz="8" w:space="0" w:color="auto"/>
            </w:tcBorders>
          </w:tcPr>
          <w:p w14:paraId="6867AFE3" w14:textId="425964FA" w:rsidR="00940144" w:rsidRPr="00F349EA" w:rsidRDefault="00A87FF2"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100%</w:t>
            </w:r>
            <w:r w:rsidR="00EB11AC" w:rsidRPr="00F349EA">
              <w:rPr>
                <w:rFonts w:ascii="Arial" w:eastAsia="Times New Roman" w:hAnsi="Arial" w:cs="Arial"/>
                <w:lang w:eastAsia="en-GB"/>
              </w:rPr>
              <w:t xml:space="preserve"> </w:t>
            </w:r>
          </w:p>
        </w:tc>
        <w:tc>
          <w:tcPr>
            <w:tcW w:w="385" w:type="pct"/>
            <w:tcBorders>
              <w:top w:val="single" w:sz="8" w:space="0" w:color="auto"/>
              <w:left w:val="single" w:sz="8" w:space="0" w:color="auto"/>
              <w:bottom w:val="single" w:sz="8" w:space="0" w:color="auto"/>
              <w:right w:val="single" w:sz="8" w:space="0" w:color="auto"/>
            </w:tcBorders>
          </w:tcPr>
          <w:p w14:paraId="08198588" w14:textId="1FC55264" w:rsidR="00940144" w:rsidRPr="00F349EA" w:rsidRDefault="00C23D3F"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Achieving</w:t>
            </w:r>
          </w:p>
        </w:tc>
        <w:tc>
          <w:tcPr>
            <w:tcW w:w="1026" w:type="pct"/>
            <w:tcBorders>
              <w:top w:val="single" w:sz="8" w:space="0" w:color="auto"/>
              <w:left w:val="single" w:sz="8" w:space="0" w:color="auto"/>
              <w:bottom w:val="single" w:sz="8" w:space="0" w:color="auto"/>
              <w:right w:val="single" w:sz="8" w:space="0" w:color="auto"/>
            </w:tcBorders>
          </w:tcPr>
          <w:p w14:paraId="1ECC5351" w14:textId="59BF711B" w:rsidR="00940144" w:rsidRPr="00F349EA" w:rsidRDefault="00402349"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100% performance maintained from Q1. </w:t>
            </w:r>
            <w:r w:rsidR="00CA1411" w:rsidRPr="00F349EA">
              <w:rPr>
                <w:rFonts w:ascii="Arial" w:eastAsia="Times New Roman" w:hAnsi="Arial" w:cs="Arial"/>
                <w:lang w:eastAsia="en-GB"/>
              </w:rPr>
              <w:t xml:space="preserve">All identified authorisation holders whose activities are affected by water scarcity and who have supplied up to date contact information to SEPA, received the appropriate Water Scarcity level advice within 24 hours of the Water Scarcity Report being made public. All new and reviewed contact details are updated as required. </w:t>
            </w:r>
          </w:p>
          <w:p w14:paraId="7815AA25" w14:textId="77777777" w:rsidR="000C7BB8" w:rsidRPr="00F349EA" w:rsidRDefault="000C7BB8"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Total number of communications sent:</w:t>
            </w:r>
          </w:p>
          <w:p w14:paraId="4E706EBF" w14:textId="77777777" w:rsidR="00292872" w:rsidRPr="00F349EA" w:rsidRDefault="000C7BB8" w:rsidP="00292872">
            <w:pPr>
              <w:pStyle w:val="ListParagraph"/>
              <w:numPr>
                <w:ilvl w:val="0"/>
                <w:numId w:val="39"/>
              </w:numPr>
              <w:spacing w:line="276" w:lineRule="auto"/>
              <w:textAlignment w:val="baseline"/>
              <w:rPr>
                <w:rFonts w:ascii="Arial" w:eastAsia="Times New Roman" w:hAnsi="Arial" w:cs="Arial"/>
                <w:sz w:val="24"/>
                <w:szCs w:val="28"/>
                <w:lang w:val="en-GB" w:eastAsia="en-GB"/>
              </w:rPr>
            </w:pPr>
            <w:r w:rsidRPr="00F349EA">
              <w:rPr>
                <w:rFonts w:ascii="Arial" w:eastAsia="Times New Roman" w:hAnsi="Arial" w:cs="Arial"/>
                <w:sz w:val="24"/>
                <w:szCs w:val="28"/>
                <w:lang w:val="en-GB" w:eastAsia="en-GB"/>
              </w:rPr>
              <w:t xml:space="preserve">Q1: </w:t>
            </w:r>
            <w:r w:rsidR="00F83BFE" w:rsidRPr="00F349EA">
              <w:rPr>
                <w:rFonts w:ascii="Arial" w:eastAsia="Times New Roman" w:hAnsi="Arial" w:cs="Arial"/>
                <w:sz w:val="24"/>
                <w:szCs w:val="28"/>
                <w:lang w:val="en-GB" w:eastAsia="en-GB"/>
              </w:rPr>
              <w:t>5960</w:t>
            </w:r>
          </w:p>
          <w:p w14:paraId="25B7B8A1" w14:textId="28834164" w:rsidR="00F83BFE" w:rsidRPr="00F349EA" w:rsidRDefault="00F83BFE" w:rsidP="00292872">
            <w:pPr>
              <w:pStyle w:val="ListParagraph"/>
              <w:numPr>
                <w:ilvl w:val="0"/>
                <w:numId w:val="39"/>
              </w:numPr>
              <w:spacing w:line="276" w:lineRule="auto"/>
              <w:textAlignment w:val="baseline"/>
              <w:rPr>
                <w:rFonts w:ascii="Arial" w:eastAsia="Times New Roman" w:hAnsi="Arial" w:cs="Arial"/>
                <w:lang w:val="en-GB" w:eastAsia="en-GB"/>
              </w:rPr>
            </w:pPr>
            <w:r w:rsidRPr="00F349EA">
              <w:rPr>
                <w:rFonts w:ascii="Arial" w:eastAsia="Times New Roman" w:hAnsi="Arial" w:cs="Arial"/>
                <w:sz w:val="24"/>
                <w:szCs w:val="28"/>
                <w:lang w:val="en-GB" w:eastAsia="en-GB"/>
              </w:rPr>
              <w:t>Q2: 4900</w:t>
            </w:r>
          </w:p>
        </w:tc>
        <w:tc>
          <w:tcPr>
            <w:tcW w:w="320" w:type="pct"/>
            <w:tcBorders>
              <w:top w:val="single" w:sz="8" w:space="0" w:color="auto"/>
              <w:left w:val="single" w:sz="8" w:space="0" w:color="auto"/>
              <w:bottom w:val="single" w:sz="8" w:space="0" w:color="auto"/>
              <w:right w:val="single" w:sz="8" w:space="0" w:color="auto"/>
            </w:tcBorders>
          </w:tcPr>
          <w:p w14:paraId="0EBAF0D1" w14:textId="77777777" w:rsidR="00940144" w:rsidRPr="00F349EA" w:rsidRDefault="00940144" w:rsidP="00940144">
            <w:pPr>
              <w:spacing w:line="276" w:lineRule="auto"/>
              <w:jc w:val="center"/>
              <w:textAlignment w:val="baseline"/>
              <w:rPr>
                <w:rFonts w:ascii="Arial" w:eastAsia="Times New Roman" w:hAnsi="Arial" w:cs="Arial"/>
                <w:lang w:eastAsia="en-GB"/>
              </w:rPr>
            </w:pPr>
            <w:r w:rsidRPr="00F349EA">
              <w:rPr>
                <w:rFonts w:ascii="Arial" w:eastAsia="Times New Roman" w:hAnsi="Arial" w:cs="Arial"/>
                <w:lang w:eastAsia="en-GB"/>
              </w:rPr>
              <w:t>Achieved</w:t>
            </w:r>
          </w:p>
          <w:p w14:paraId="266AC64A" w14:textId="12562AF7" w:rsidR="00940144" w:rsidRPr="00F349EA" w:rsidRDefault="00940144" w:rsidP="00940144">
            <w:pPr>
              <w:spacing w:line="276" w:lineRule="auto"/>
              <w:jc w:val="center"/>
              <w:textAlignment w:val="baseline"/>
              <w:rPr>
                <w:rFonts w:ascii="Arial" w:eastAsia="Times New Roman" w:hAnsi="Arial" w:cs="Arial"/>
                <w:lang w:eastAsia="en-GB"/>
              </w:rPr>
            </w:pPr>
          </w:p>
        </w:tc>
      </w:tr>
      <w:tr w:rsidR="00940144" w:rsidRPr="00F349EA" w14:paraId="35B03B5F" w14:textId="2D87B6BE" w:rsidTr="1901DC8B">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081E7E75" w14:textId="6B1C9DE4" w:rsidR="00940144" w:rsidRPr="00F349EA" w:rsidRDefault="00940144" w:rsidP="00940144">
            <w:pPr>
              <w:spacing w:line="276" w:lineRule="auto"/>
              <w:textAlignment w:val="baseline"/>
              <w:rPr>
                <w:rFonts w:ascii="Arial" w:hAnsi="Arial" w:cs="Arial"/>
              </w:rPr>
            </w:pPr>
            <w:r w:rsidRPr="00F349EA">
              <w:rPr>
                <w:rFonts w:ascii="Arial" w:hAnsi="Arial" w:cs="Arial"/>
              </w:rPr>
              <w:t>CR05</w:t>
            </w:r>
          </w:p>
        </w:tc>
        <w:tc>
          <w:tcPr>
            <w:tcW w:w="417" w:type="pct"/>
            <w:tcBorders>
              <w:top w:val="single" w:sz="8" w:space="0" w:color="auto"/>
              <w:left w:val="single" w:sz="8" w:space="0" w:color="auto"/>
              <w:bottom w:val="single" w:sz="8" w:space="0" w:color="auto"/>
              <w:right w:val="single" w:sz="8" w:space="0" w:color="auto"/>
            </w:tcBorders>
          </w:tcPr>
          <w:p w14:paraId="14E60B46" w14:textId="52DCC350" w:rsidR="00940144" w:rsidRPr="00F349EA" w:rsidRDefault="00940144" w:rsidP="00940144">
            <w:pPr>
              <w:spacing w:line="276" w:lineRule="auto"/>
              <w:textAlignment w:val="baseline"/>
              <w:rPr>
                <w:rFonts w:ascii="Arial" w:hAnsi="Arial" w:cs="Arial"/>
              </w:rPr>
            </w:pPr>
            <w:r w:rsidRPr="00F349EA">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5942B464" w14:textId="1AF070E9" w:rsidR="00940144" w:rsidRPr="00F349EA" w:rsidRDefault="00940144" w:rsidP="00940144">
            <w:pPr>
              <w:spacing w:line="276" w:lineRule="auto"/>
              <w:textAlignment w:val="baseline"/>
              <w:rPr>
                <w:rFonts w:ascii="Arial" w:hAnsi="Arial" w:cs="Arial"/>
              </w:rPr>
            </w:pPr>
            <w:r w:rsidRPr="00F349EA">
              <w:rPr>
                <w:rFonts w:ascii="Arial" w:hAnsi="Arial" w:cs="Arial"/>
              </w:rPr>
              <w:t>Number of people accessing flood warning information on SEPA’s website ​- Maintaining</w:t>
            </w:r>
          </w:p>
        </w:tc>
        <w:tc>
          <w:tcPr>
            <w:tcW w:w="384" w:type="pct"/>
            <w:tcBorders>
              <w:top w:val="single" w:sz="8" w:space="0" w:color="auto"/>
              <w:left w:val="single" w:sz="8" w:space="0" w:color="auto"/>
              <w:bottom w:val="single" w:sz="8" w:space="0" w:color="auto"/>
              <w:right w:val="single" w:sz="8" w:space="0" w:color="auto"/>
            </w:tcBorders>
          </w:tcPr>
          <w:p w14:paraId="18B3214A" w14:textId="6681D5B8"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104CA448" w14:textId="5E471F10"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896,038 annual users accessing SEPA flood forecasting and warning services web pages.</w:t>
            </w:r>
          </w:p>
          <w:p w14:paraId="164B455E" w14:textId="664CACFE"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Baseline derived using data from 1 January 2024 – 31 December 2024</w:t>
            </w:r>
          </w:p>
        </w:tc>
        <w:tc>
          <w:tcPr>
            <w:tcW w:w="545" w:type="pct"/>
            <w:tcBorders>
              <w:top w:val="single" w:sz="8" w:space="0" w:color="auto"/>
              <w:left w:val="single" w:sz="8" w:space="0" w:color="auto"/>
              <w:bottom w:val="single" w:sz="8" w:space="0" w:color="auto"/>
              <w:right w:val="single" w:sz="8" w:space="0" w:color="auto"/>
            </w:tcBorders>
          </w:tcPr>
          <w:p w14:paraId="52C26CF3" w14:textId="32FA3507"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Maintaining – The number of users will be dependent on the duration of a flood event and associated conditions.</w:t>
            </w:r>
          </w:p>
        </w:tc>
        <w:tc>
          <w:tcPr>
            <w:tcW w:w="417" w:type="pct"/>
            <w:tcBorders>
              <w:top w:val="single" w:sz="8" w:space="0" w:color="auto"/>
              <w:left w:val="single" w:sz="8" w:space="0" w:color="auto"/>
              <w:bottom w:val="single" w:sz="8" w:space="0" w:color="auto"/>
              <w:right w:val="single" w:sz="8" w:space="0" w:color="auto"/>
            </w:tcBorders>
          </w:tcPr>
          <w:p w14:paraId="6F0F36A5" w14:textId="1614FAA4" w:rsidR="00940144" w:rsidRPr="00F349EA" w:rsidRDefault="004F10F0"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110,631 views</w:t>
            </w:r>
          </w:p>
        </w:tc>
        <w:tc>
          <w:tcPr>
            <w:tcW w:w="385" w:type="pct"/>
            <w:tcBorders>
              <w:top w:val="single" w:sz="8" w:space="0" w:color="auto"/>
              <w:left w:val="single" w:sz="8" w:space="0" w:color="auto"/>
              <w:bottom w:val="single" w:sz="8" w:space="0" w:color="auto"/>
              <w:right w:val="single" w:sz="8" w:space="0" w:color="auto"/>
            </w:tcBorders>
          </w:tcPr>
          <w:p w14:paraId="239BD381" w14:textId="48913642" w:rsidR="00940144" w:rsidRPr="00F349EA" w:rsidRDefault="00E32BC5"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Partially Achieving</w:t>
            </w:r>
          </w:p>
        </w:tc>
        <w:tc>
          <w:tcPr>
            <w:tcW w:w="1026" w:type="pct"/>
            <w:tcBorders>
              <w:top w:val="single" w:sz="8" w:space="0" w:color="auto"/>
              <w:left w:val="single" w:sz="8" w:space="0" w:color="auto"/>
              <w:bottom w:val="single" w:sz="8" w:space="0" w:color="auto"/>
              <w:right w:val="single" w:sz="8" w:space="0" w:color="auto"/>
            </w:tcBorders>
          </w:tcPr>
          <w:p w14:paraId="1EEA7F61" w14:textId="63167E97" w:rsidR="00CA06E2" w:rsidRPr="00F349EA" w:rsidRDefault="00BC1552" w:rsidP="00E421F6">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Cumulative total for year is 169,864 views</w:t>
            </w:r>
            <w:r w:rsidR="002C7105" w:rsidRPr="00F349EA">
              <w:rPr>
                <w:rFonts w:ascii="Arial" w:eastAsia="Times New Roman" w:hAnsi="Arial" w:cs="Arial"/>
                <w:lang w:eastAsia="en-GB"/>
              </w:rPr>
              <w:t xml:space="preserve"> of SEPA flood forecasting and warning services web pages</w:t>
            </w:r>
            <w:r w:rsidRPr="00F349EA">
              <w:rPr>
                <w:rFonts w:ascii="Arial" w:eastAsia="Times New Roman" w:hAnsi="Arial" w:cs="Arial"/>
                <w:lang w:eastAsia="en-GB"/>
              </w:rPr>
              <w:t xml:space="preserve">. </w:t>
            </w:r>
          </w:p>
          <w:p w14:paraId="2A704C21" w14:textId="77777777" w:rsidR="00CA06E2" w:rsidRPr="00F349EA" w:rsidRDefault="00CA06E2" w:rsidP="00E421F6">
            <w:pPr>
              <w:spacing w:line="276" w:lineRule="auto"/>
              <w:textAlignment w:val="baseline"/>
              <w:rPr>
                <w:rFonts w:ascii="Arial" w:eastAsia="Times New Roman" w:hAnsi="Arial" w:cs="Arial"/>
                <w:lang w:eastAsia="en-GB"/>
              </w:rPr>
            </w:pPr>
          </w:p>
          <w:p w14:paraId="47A0719F" w14:textId="73405F1B" w:rsidR="00940144" w:rsidRPr="00F349EA" w:rsidRDefault="002C7105" w:rsidP="00E32BC5">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Q2 result is</w:t>
            </w:r>
            <w:r w:rsidR="00E32BC5" w:rsidRPr="00F349EA">
              <w:rPr>
                <w:rFonts w:ascii="Arial" w:eastAsia="Times New Roman" w:hAnsi="Arial" w:cs="Arial"/>
                <w:lang w:eastAsia="en-GB"/>
              </w:rPr>
              <w:t xml:space="preserve"> </w:t>
            </w:r>
            <w:bookmarkStart w:id="26" w:name="_Int_NQunCUMO"/>
            <w:r w:rsidR="00E32BC5" w:rsidRPr="00F349EA">
              <w:rPr>
                <w:rFonts w:ascii="Arial" w:eastAsia="Times New Roman" w:hAnsi="Arial" w:cs="Arial"/>
                <w:lang w:eastAsia="en-GB"/>
              </w:rPr>
              <w:t>nearly double</w:t>
            </w:r>
            <w:bookmarkEnd w:id="26"/>
            <w:r w:rsidR="00E32BC5" w:rsidRPr="00F349EA">
              <w:rPr>
                <w:rFonts w:ascii="Arial" w:eastAsia="Times New Roman" w:hAnsi="Arial" w:cs="Arial"/>
                <w:lang w:eastAsia="en-GB"/>
              </w:rPr>
              <w:t xml:space="preserve"> compared to </w:t>
            </w:r>
            <w:r w:rsidRPr="00F349EA">
              <w:rPr>
                <w:rFonts w:ascii="Arial" w:eastAsia="Times New Roman" w:hAnsi="Arial" w:cs="Arial"/>
                <w:lang w:eastAsia="en-GB"/>
              </w:rPr>
              <w:t>Q</w:t>
            </w:r>
            <w:r w:rsidR="00E421F6" w:rsidRPr="00F349EA">
              <w:rPr>
                <w:rFonts w:ascii="Arial" w:eastAsia="Times New Roman" w:hAnsi="Arial" w:cs="Arial"/>
                <w:lang w:eastAsia="en-GB"/>
              </w:rPr>
              <w:t>1</w:t>
            </w:r>
            <w:r w:rsidR="00E32BC5" w:rsidRPr="00F349EA">
              <w:rPr>
                <w:rFonts w:ascii="Arial" w:eastAsia="Times New Roman" w:hAnsi="Arial" w:cs="Arial"/>
                <w:lang w:eastAsia="en-GB"/>
              </w:rPr>
              <w:t xml:space="preserve"> but </w:t>
            </w:r>
            <w:r w:rsidRPr="00F349EA">
              <w:rPr>
                <w:rFonts w:ascii="Arial" w:eastAsia="Times New Roman" w:hAnsi="Arial" w:cs="Arial"/>
                <w:lang w:eastAsia="en-GB"/>
              </w:rPr>
              <w:t xml:space="preserve">remains </w:t>
            </w:r>
            <w:r w:rsidR="00883955" w:rsidRPr="00F349EA">
              <w:rPr>
                <w:rFonts w:ascii="Arial" w:eastAsia="Times New Roman" w:hAnsi="Arial" w:cs="Arial"/>
                <w:lang w:eastAsia="en-GB"/>
              </w:rPr>
              <w:t xml:space="preserve">significantly </w:t>
            </w:r>
            <w:r w:rsidR="00F93F24" w:rsidRPr="00F349EA">
              <w:rPr>
                <w:rFonts w:ascii="Arial" w:eastAsia="Times New Roman" w:hAnsi="Arial" w:cs="Arial"/>
                <w:lang w:eastAsia="en-GB"/>
              </w:rPr>
              <w:t>lower compared</w:t>
            </w:r>
            <w:r w:rsidR="00E32BC5" w:rsidRPr="00F349EA">
              <w:rPr>
                <w:rFonts w:ascii="Arial" w:eastAsia="Times New Roman" w:hAnsi="Arial" w:cs="Arial"/>
                <w:lang w:eastAsia="en-GB"/>
              </w:rPr>
              <w:t xml:space="preserve"> to last year’s </w:t>
            </w:r>
            <w:r w:rsidR="00476775" w:rsidRPr="00F349EA">
              <w:rPr>
                <w:rFonts w:ascii="Arial" w:eastAsia="Times New Roman" w:hAnsi="Arial" w:cs="Arial"/>
                <w:lang w:eastAsia="en-GB"/>
              </w:rPr>
              <w:t>annual total</w:t>
            </w:r>
            <w:r w:rsidR="00E32BC5" w:rsidRPr="00F349EA">
              <w:rPr>
                <w:rFonts w:ascii="Arial" w:eastAsia="Times New Roman" w:hAnsi="Arial" w:cs="Arial"/>
                <w:lang w:eastAsia="en-GB"/>
              </w:rPr>
              <w:t xml:space="preserve"> (12.3</w:t>
            </w:r>
            <w:r w:rsidR="00E421F6" w:rsidRPr="00F349EA">
              <w:rPr>
                <w:rFonts w:ascii="Arial" w:eastAsia="Times New Roman" w:hAnsi="Arial" w:cs="Arial"/>
                <w:lang w:eastAsia="en-GB"/>
              </w:rPr>
              <w:t>%)</w:t>
            </w:r>
            <w:r w:rsidR="005B56DC" w:rsidRPr="00F349EA">
              <w:rPr>
                <w:rFonts w:ascii="Arial" w:eastAsia="Times New Roman" w:hAnsi="Arial" w:cs="Arial"/>
                <w:lang w:eastAsia="en-GB"/>
              </w:rPr>
              <w:t xml:space="preserve">. Lower views </w:t>
            </w:r>
            <w:bookmarkStart w:id="27" w:name="_Int_VA3rzhbv"/>
            <w:r w:rsidR="00613463" w:rsidRPr="00F349EA">
              <w:rPr>
                <w:rFonts w:ascii="Arial" w:eastAsia="Times New Roman" w:hAnsi="Arial" w:cs="Arial"/>
                <w:lang w:eastAsia="en-GB"/>
              </w:rPr>
              <w:t>likely</w:t>
            </w:r>
            <w:r w:rsidR="00E32BC5" w:rsidRPr="00F349EA">
              <w:rPr>
                <w:rFonts w:ascii="Arial" w:eastAsia="Times New Roman" w:hAnsi="Arial" w:cs="Arial"/>
                <w:lang w:eastAsia="en-GB"/>
              </w:rPr>
              <w:t xml:space="preserve"> due to</w:t>
            </w:r>
            <w:bookmarkEnd w:id="27"/>
            <w:r w:rsidR="00E32BC5" w:rsidRPr="00F349EA">
              <w:rPr>
                <w:rFonts w:ascii="Arial" w:eastAsia="Times New Roman" w:hAnsi="Arial" w:cs="Arial"/>
                <w:lang w:eastAsia="en-GB"/>
              </w:rPr>
              <w:t xml:space="preserve"> the </w:t>
            </w:r>
            <w:bookmarkStart w:id="28" w:name="_Int_xIEmGY3K"/>
            <w:r w:rsidR="00E32BC5" w:rsidRPr="00F349EA">
              <w:rPr>
                <w:rFonts w:ascii="Arial" w:eastAsia="Times New Roman" w:hAnsi="Arial" w:cs="Arial"/>
                <w:lang w:eastAsia="en-GB"/>
              </w:rPr>
              <w:t>relatively limited</w:t>
            </w:r>
            <w:bookmarkEnd w:id="28"/>
            <w:r w:rsidR="00E32BC5" w:rsidRPr="00F349EA">
              <w:rPr>
                <w:rFonts w:ascii="Arial" w:eastAsia="Times New Roman" w:hAnsi="Arial" w:cs="Arial"/>
                <w:lang w:eastAsia="en-GB"/>
              </w:rPr>
              <w:t xml:space="preserve"> flood warning </w:t>
            </w:r>
            <w:r w:rsidR="00F93F24" w:rsidRPr="00F349EA">
              <w:rPr>
                <w:rFonts w:ascii="Arial" w:eastAsia="Times New Roman" w:hAnsi="Arial" w:cs="Arial"/>
                <w:lang w:eastAsia="en-GB"/>
              </w:rPr>
              <w:t>activity during</w:t>
            </w:r>
            <w:r w:rsidR="00E32BC5" w:rsidRPr="00F349EA">
              <w:rPr>
                <w:rFonts w:ascii="Arial" w:eastAsia="Times New Roman" w:hAnsi="Arial" w:cs="Arial"/>
                <w:lang w:eastAsia="en-GB"/>
              </w:rPr>
              <w:t xml:space="preserve"> the quarter (see CR01), so limited incentive for people to </w:t>
            </w:r>
            <w:r w:rsidR="00D90DC5" w:rsidRPr="00F349EA">
              <w:rPr>
                <w:rFonts w:ascii="Arial" w:eastAsia="Times New Roman" w:hAnsi="Arial" w:cs="Arial"/>
                <w:lang w:eastAsia="en-GB"/>
              </w:rPr>
              <w:t>seek</w:t>
            </w:r>
            <w:r w:rsidR="00E32BC5" w:rsidRPr="00F349EA">
              <w:rPr>
                <w:rFonts w:ascii="Arial" w:eastAsia="Times New Roman" w:hAnsi="Arial" w:cs="Arial"/>
                <w:lang w:eastAsia="en-GB"/>
              </w:rPr>
              <w:t xml:space="preserve"> our information.</w:t>
            </w:r>
          </w:p>
        </w:tc>
        <w:tc>
          <w:tcPr>
            <w:tcW w:w="320" w:type="pct"/>
            <w:tcBorders>
              <w:top w:val="single" w:sz="8" w:space="0" w:color="auto"/>
              <w:left w:val="single" w:sz="8" w:space="0" w:color="auto"/>
              <w:bottom w:val="single" w:sz="8" w:space="0" w:color="auto"/>
              <w:right w:val="single" w:sz="8" w:space="0" w:color="auto"/>
            </w:tcBorders>
          </w:tcPr>
          <w:p w14:paraId="23D16AED" w14:textId="77777777" w:rsidR="00940144" w:rsidRPr="00F349EA" w:rsidRDefault="00940144" w:rsidP="00940144">
            <w:pPr>
              <w:spacing w:line="276" w:lineRule="auto"/>
              <w:jc w:val="center"/>
              <w:textAlignment w:val="baseline"/>
              <w:rPr>
                <w:rFonts w:ascii="Arial" w:eastAsia="Times New Roman" w:hAnsi="Arial" w:cs="Arial"/>
                <w:lang w:eastAsia="en-GB"/>
              </w:rPr>
            </w:pPr>
            <w:r w:rsidRPr="00F349EA">
              <w:rPr>
                <w:rFonts w:ascii="Arial" w:eastAsia="Times New Roman" w:hAnsi="Arial" w:cs="Arial"/>
                <w:lang w:eastAsia="en-GB"/>
              </w:rPr>
              <w:t>Achieved</w:t>
            </w:r>
          </w:p>
          <w:p w14:paraId="4A7A5776" w14:textId="295B04BC" w:rsidR="00940144" w:rsidRPr="00F349EA" w:rsidRDefault="00940144" w:rsidP="00940144">
            <w:pPr>
              <w:spacing w:line="276" w:lineRule="auto"/>
              <w:jc w:val="center"/>
              <w:textAlignment w:val="baseline"/>
              <w:rPr>
                <w:rFonts w:ascii="Arial" w:eastAsia="Times New Roman" w:hAnsi="Arial" w:cs="Arial"/>
                <w:lang w:eastAsia="en-GB"/>
              </w:rPr>
            </w:pPr>
          </w:p>
        </w:tc>
      </w:tr>
      <w:tr w:rsidR="00940144" w:rsidRPr="00F349EA" w14:paraId="2228BB75" w14:textId="76D6E32D" w:rsidTr="1901DC8B">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44E286D9" w14:textId="2B5967B0" w:rsidR="00940144" w:rsidRPr="00F349EA" w:rsidRDefault="00940144" w:rsidP="00940144">
            <w:pPr>
              <w:spacing w:line="276" w:lineRule="auto"/>
              <w:textAlignment w:val="baseline"/>
              <w:rPr>
                <w:rFonts w:ascii="Arial" w:hAnsi="Arial" w:cs="Arial"/>
              </w:rPr>
            </w:pPr>
            <w:r w:rsidRPr="00F349EA">
              <w:rPr>
                <w:rFonts w:ascii="Arial" w:hAnsi="Arial" w:cs="Arial"/>
              </w:rPr>
              <w:lastRenderedPageBreak/>
              <w:t>CR06</w:t>
            </w:r>
          </w:p>
        </w:tc>
        <w:tc>
          <w:tcPr>
            <w:tcW w:w="417" w:type="pct"/>
            <w:tcBorders>
              <w:top w:val="single" w:sz="8" w:space="0" w:color="auto"/>
              <w:left w:val="single" w:sz="8" w:space="0" w:color="auto"/>
              <w:bottom w:val="single" w:sz="8" w:space="0" w:color="auto"/>
              <w:right w:val="single" w:sz="8" w:space="0" w:color="auto"/>
            </w:tcBorders>
          </w:tcPr>
          <w:p w14:paraId="415C1CC8" w14:textId="29BC2A67" w:rsidR="00940144" w:rsidRPr="00F349EA" w:rsidRDefault="00940144" w:rsidP="00940144">
            <w:pPr>
              <w:spacing w:line="276" w:lineRule="auto"/>
              <w:textAlignment w:val="baseline"/>
              <w:rPr>
                <w:rFonts w:ascii="Arial" w:hAnsi="Arial" w:cs="Arial"/>
              </w:rPr>
            </w:pPr>
            <w:r w:rsidRPr="00F349EA">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09EC6A6B" w14:textId="0BD4A597" w:rsidR="00940144" w:rsidRPr="00F349EA" w:rsidRDefault="00940144" w:rsidP="00940144">
            <w:pPr>
              <w:spacing w:line="276" w:lineRule="auto"/>
              <w:textAlignment w:val="baseline"/>
              <w:rPr>
                <w:rFonts w:ascii="Arial" w:hAnsi="Arial" w:cs="Arial"/>
              </w:rPr>
            </w:pPr>
            <w:r w:rsidRPr="00F349EA">
              <w:rPr>
                <w:rFonts w:ascii="Arial" w:hAnsi="Arial" w:cs="Arial"/>
              </w:rPr>
              <w:t>Percentage of new developments approved in accordance with SEPA's advice on flood risk – Maintaining</w:t>
            </w:r>
          </w:p>
        </w:tc>
        <w:tc>
          <w:tcPr>
            <w:tcW w:w="384" w:type="pct"/>
            <w:tcBorders>
              <w:top w:val="single" w:sz="8" w:space="0" w:color="auto"/>
              <w:left w:val="single" w:sz="8" w:space="0" w:color="auto"/>
              <w:bottom w:val="single" w:sz="8" w:space="0" w:color="auto"/>
              <w:right w:val="single" w:sz="8" w:space="0" w:color="auto"/>
            </w:tcBorders>
          </w:tcPr>
          <w:p w14:paraId="4F1246DE" w14:textId="725EDCEF"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hAnsi="Arial" w:cs="Arial"/>
                <w:color w:val="000000"/>
              </w:rPr>
              <w:t>Strategic – Direct Influence</w:t>
            </w:r>
          </w:p>
        </w:tc>
        <w:tc>
          <w:tcPr>
            <w:tcW w:w="481" w:type="pct"/>
            <w:tcBorders>
              <w:top w:val="single" w:sz="8" w:space="0" w:color="auto"/>
              <w:left w:val="single" w:sz="8" w:space="0" w:color="auto"/>
              <w:bottom w:val="single" w:sz="8" w:space="0" w:color="auto"/>
              <w:right w:val="single" w:sz="8" w:space="0" w:color="auto"/>
            </w:tcBorders>
          </w:tcPr>
          <w:p w14:paraId="0A6DC89C" w14:textId="6177BF6B"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98.4% 2024/25 baseline.</w:t>
            </w:r>
          </w:p>
          <w:p w14:paraId="091D3FFE" w14:textId="34E46AF3"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1478 consultations on 946 separate planning applications. </w:t>
            </w:r>
          </w:p>
        </w:tc>
        <w:tc>
          <w:tcPr>
            <w:tcW w:w="545" w:type="pct"/>
            <w:tcBorders>
              <w:top w:val="single" w:sz="8" w:space="0" w:color="auto"/>
              <w:left w:val="single" w:sz="8" w:space="0" w:color="auto"/>
              <w:bottom w:val="single" w:sz="8" w:space="0" w:color="auto"/>
              <w:right w:val="single" w:sz="8" w:space="0" w:color="auto"/>
            </w:tcBorders>
          </w:tcPr>
          <w:p w14:paraId="4F51C61A" w14:textId="7EAC3F12"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Maintain &gt;95%, recognising that exceptions may occur.</w:t>
            </w:r>
          </w:p>
        </w:tc>
        <w:tc>
          <w:tcPr>
            <w:tcW w:w="417" w:type="pct"/>
            <w:tcBorders>
              <w:top w:val="single" w:sz="8" w:space="0" w:color="auto"/>
              <w:left w:val="single" w:sz="8" w:space="0" w:color="auto"/>
              <w:bottom w:val="single" w:sz="8" w:space="0" w:color="auto"/>
              <w:right w:val="single" w:sz="8" w:space="0" w:color="auto"/>
            </w:tcBorders>
          </w:tcPr>
          <w:p w14:paraId="4DBB368E" w14:textId="7F2DCF08" w:rsidR="00940144" w:rsidRPr="00F349EA" w:rsidRDefault="00C74049"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97.3%</w:t>
            </w:r>
            <w:r w:rsidR="00EA658E" w:rsidRPr="00F349EA">
              <w:rPr>
                <w:rFonts w:ascii="Arial" w:eastAsia="Times New Roman" w:hAnsi="Arial" w:cs="Arial"/>
                <w:lang w:eastAsia="en-GB"/>
              </w:rPr>
              <w:t xml:space="preserve"> of 292 consultations</w:t>
            </w:r>
          </w:p>
        </w:tc>
        <w:tc>
          <w:tcPr>
            <w:tcW w:w="385" w:type="pct"/>
            <w:tcBorders>
              <w:top w:val="single" w:sz="8" w:space="0" w:color="auto"/>
              <w:left w:val="single" w:sz="8" w:space="0" w:color="auto"/>
              <w:bottom w:val="single" w:sz="8" w:space="0" w:color="auto"/>
              <w:right w:val="single" w:sz="8" w:space="0" w:color="auto"/>
            </w:tcBorders>
          </w:tcPr>
          <w:p w14:paraId="0B09502D" w14:textId="6FF684D1" w:rsidR="00940144" w:rsidRPr="00F349EA" w:rsidRDefault="00C23D3F"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Achieving</w:t>
            </w:r>
          </w:p>
        </w:tc>
        <w:tc>
          <w:tcPr>
            <w:tcW w:w="1026" w:type="pct"/>
            <w:tcBorders>
              <w:top w:val="single" w:sz="8" w:space="0" w:color="auto"/>
              <w:left w:val="single" w:sz="8" w:space="0" w:color="auto"/>
              <w:bottom w:val="single" w:sz="8" w:space="0" w:color="auto"/>
              <w:right w:val="single" w:sz="8" w:space="0" w:color="auto"/>
            </w:tcBorders>
          </w:tcPr>
          <w:p w14:paraId="4E1300BC" w14:textId="77777777" w:rsidR="00940144" w:rsidRPr="00F349EA" w:rsidRDefault="00E421F6"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Eight</w:t>
            </w:r>
            <w:r w:rsidR="0046346B" w:rsidRPr="00F349EA">
              <w:rPr>
                <w:rFonts w:ascii="Arial" w:eastAsia="Times New Roman" w:hAnsi="Arial" w:cs="Arial"/>
                <w:lang w:eastAsia="en-GB"/>
              </w:rPr>
              <w:t xml:space="preserve"> developments were approved against SEPA’s advice this quarter, following notification to Scottish Ministers.</w:t>
            </w:r>
          </w:p>
          <w:p w14:paraId="652CAE59" w14:textId="77777777" w:rsidR="009C0849" w:rsidRPr="00F349EA" w:rsidRDefault="009C0849" w:rsidP="00940144">
            <w:pPr>
              <w:spacing w:line="276" w:lineRule="auto"/>
              <w:textAlignment w:val="baseline"/>
              <w:rPr>
                <w:rFonts w:ascii="Arial" w:eastAsia="Times New Roman" w:hAnsi="Arial" w:cs="Arial"/>
                <w:lang w:eastAsia="en-GB"/>
              </w:rPr>
            </w:pPr>
          </w:p>
          <w:p w14:paraId="33EBF9D2" w14:textId="01FD8BBC" w:rsidR="00DC5181" w:rsidRPr="00F349EA" w:rsidRDefault="00DC5181" w:rsidP="00DC5181">
            <w:pPr>
              <w:spacing w:line="240" w:lineRule="auto"/>
              <w:rPr>
                <w:rFonts w:cstheme="minorHAnsi"/>
                <w:color w:val="000000"/>
              </w:rPr>
            </w:pPr>
            <w:r w:rsidRPr="00F349EA">
              <w:rPr>
                <w:rFonts w:ascii="Arial" w:eastAsia="Times New Roman" w:hAnsi="Arial" w:cs="Arial"/>
                <w:lang w:eastAsia="en-GB"/>
              </w:rPr>
              <w:t>Cumulative</w:t>
            </w:r>
            <w:r w:rsidRPr="00F349EA">
              <w:rPr>
                <w:rFonts w:ascii="Arial" w:hAnsi="Arial" w:cs="Arial"/>
                <w:lang w:eastAsia="en-GB"/>
              </w:rPr>
              <w:t xml:space="preserve"> Q1 and Q2</w:t>
            </w:r>
            <w:r w:rsidR="0097404E">
              <w:rPr>
                <w:rFonts w:ascii="Arial" w:hAnsi="Arial" w:cs="Arial"/>
                <w:lang w:eastAsia="en-GB"/>
              </w:rPr>
              <w:t xml:space="preserve"> performance</w:t>
            </w:r>
            <w:r w:rsidRPr="00F349EA">
              <w:rPr>
                <w:rFonts w:ascii="Arial" w:hAnsi="Arial" w:cs="Arial"/>
                <w:lang w:eastAsia="en-GB"/>
              </w:rPr>
              <w:t>:</w:t>
            </w:r>
          </w:p>
          <w:p w14:paraId="55612E6E" w14:textId="6A932A4B" w:rsidR="009C0849" w:rsidRPr="00F349EA" w:rsidRDefault="002F68AB"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98.02%</w:t>
            </w:r>
          </w:p>
        </w:tc>
        <w:tc>
          <w:tcPr>
            <w:tcW w:w="320" w:type="pct"/>
            <w:tcBorders>
              <w:top w:val="single" w:sz="8" w:space="0" w:color="auto"/>
              <w:left w:val="single" w:sz="8" w:space="0" w:color="auto"/>
              <w:bottom w:val="single" w:sz="8" w:space="0" w:color="auto"/>
              <w:right w:val="single" w:sz="8" w:space="0" w:color="auto"/>
            </w:tcBorders>
          </w:tcPr>
          <w:p w14:paraId="60C39EF0" w14:textId="77777777" w:rsidR="00940144" w:rsidRPr="00F349EA" w:rsidRDefault="00940144" w:rsidP="00940144">
            <w:pPr>
              <w:spacing w:line="276" w:lineRule="auto"/>
              <w:jc w:val="center"/>
              <w:textAlignment w:val="baseline"/>
              <w:rPr>
                <w:rFonts w:ascii="Arial" w:eastAsia="Times New Roman" w:hAnsi="Arial" w:cs="Arial"/>
                <w:lang w:eastAsia="en-GB"/>
              </w:rPr>
            </w:pPr>
            <w:r w:rsidRPr="00F349EA">
              <w:rPr>
                <w:rFonts w:ascii="Arial" w:eastAsia="Times New Roman" w:hAnsi="Arial" w:cs="Arial"/>
                <w:lang w:eastAsia="en-GB"/>
              </w:rPr>
              <w:t>Achieved</w:t>
            </w:r>
          </w:p>
          <w:p w14:paraId="2CD62C09" w14:textId="01276E6B" w:rsidR="00940144" w:rsidRPr="00F349EA" w:rsidRDefault="00940144" w:rsidP="00940144">
            <w:pPr>
              <w:spacing w:line="276" w:lineRule="auto"/>
              <w:jc w:val="center"/>
              <w:textAlignment w:val="baseline"/>
              <w:rPr>
                <w:rFonts w:ascii="Arial" w:eastAsia="Times New Roman" w:hAnsi="Arial" w:cs="Arial"/>
                <w:lang w:eastAsia="en-GB"/>
              </w:rPr>
            </w:pPr>
          </w:p>
        </w:tc>
      </w:tr>
      <w:tr w:rsidR="00940144" w:rsidRPr="00F349EA" w14:paraId="71AB81B3" w14:textId="2C8DA59B" w:rsidTr="1901DC8B">
        <w:trPr>
          <w:cantSplit/>
          <w:trHeight w:val="510"/>
        </w:trPr>
        <w:tc>
          <w:tcPr>
            <w:tcW w:w="223" w:type="pct"/>
            <w:tcBorders>
              <w:top w:val="single" w:sz="8" w:space="0" w:color="auto"/>
              <w:left w:val="single" w:sz="8" w:space="0" w:color="auto"/>
              <w:bottom w:val="single" w:sz="8" w:space="0" w:color="auto"/>
              <w:right w:val="single" w:sz="8" w:space="0" w:color="auto"/>
            </w:tcBorders>
          </w:tcPr>
          <w:p w14:paraId="0FAC3121" w14:textId="2C45BC69" w:rsidR="00940144" w:rsidRPr="00F349EA" w:rsidRDefault="00940144" w:rsidP="00940144">
            <w:pPr>
              <w:spacing w:line="276" w:lineRule="auto"/>
              <w:textAlignment w:val="baseline"/>
              <w:rPr>
                <w:rFonts w:ascii="Arial" w:hAnsi="Arial" w:cs="Arial"/>
              </w:rPr>
            </w:pPr>
            <w:r w:rsidRPr="00F349EA">
              <w:rPr>
                <w:rFonts w:ascii="Arial" w:hAnsi="Arial" w:cs="Arial"/>
              </w:rPr>
              <w:t>CR07</w:t>
            </w:r>
          </w:p>
        </w:tc>
        <w:tc>
          <w:tcPr>
            <w:tcW w:w="417" w:type="pct"/>
            <w:tcBorders>
              <w:top w:val="single" w:sz="8" w:space="0" w:color="auto"/>
              <w:left w:val="single" w:sz="8" w:space="0" w:color="auto"/>
              <w:bottom w:val="single" w:sz="8" w:space="0" w:color="auto"/>
              <w:right w:val="single" w:sz="8" w:space="0" w:color="auto"/>
            </w:tcBorders>
          </w:tcPr>
          <w:p w14:paraId="5BE56640" w14:textId="31FDB7B9" w:rsidR="00940144" w:rsidRPr="00F349EA" w:rsidRDefault="00940144" w:rsidP="00940144">
            <w:pPr>
              <w:spacing w:line="276" w:lineRule="auto"/>
              <w:textAlignment w:val="baseline"/>
              <w:rPr>
                <w:rFonts w:ascii="Arial" w:hAnsi="Arial" w:cs="Arial"/>
              </w:rPr>
            </w:pPr>
            <w:r w:rsidRPr="00F349EA">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6570DB21" w14:textId="30AA5DDB" w:rsidR="00940144" w:rsidRPr="00F349EA" w:rsidRDefault="00940144" w:rsidP="00940144">
            <w:pPr>
              <w:spacing w:line="276" w:lineRule="auto"/>
              <w:textAlignment w:val="baseline"/>
              <w:rPr>
                <w:rFonts w:ascii="Arial" w:hAnsi="Arial" w:cs="Arial"/>
              </w:rPr>
            </w:pPr>
            <w:r w:rsidRPr="00F349EA">
              <w:rPr>
                <w:rFonts w:ascii="Arial" w:hAnsi="Arial" w:cs="Arial"/>
              </w:rPr>
              <w:t>Percentage of responses to planning consultations within time​ - Increasing</w:t>
            </w:r>
          </w:p>
        </w:tc>
        <w:tc>
          <w:tcPr>
            <w:tcW w:w="384" w:type="pct"/>
            <w:tcBorders>
              <w:top w:val="single" w:sz="8" w:space="0" w:color="auto"/>
              <w:left w:val="single" w:sz="8" w:space="0" w:color="auto"/>
              <w:bottom w:val="single" w:sz="8" w:space="0" w:color="auto"/>
              <w:right w:val="single" w:sz="8" w:space="0" w:color="auto"/>
            </w:tcBorders>
          </w:tcPr>
          <w:p w14:paraId="31F52C91" w14:textId="3ABBFC7D"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6613A2A9" w14:textId="77777777"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70%</w:t>
            </w:r>
          </w:p>
          <w:p w14:paraId="264BA036" w14:textId="1A541DDD"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2023/24 baseline</w:t>
            </w:r>
          </w:p>
        </w:tc>
        <w:tc>
          <w:tcPr>
            <w:tcW w:w="545" w:type="pct"/>
            <w:tcBorders>
              <w:top w:val="single" w:sz="8" w:space="0" w:color="auto"/>
              <w:left w:val="single" w:sz="8" w:space="0" w:color="auto"/>
              <w:bottom w:val="single" w:sz="8" w:space="0" w:color="auto"/>
              <w:right w:val="single" w:sz="8" w:space="0" w:color="auto"/>
            </w:tcBorders>
          </w:tcPr>
          <w:p w14:paraId="7D8FAE2C" w14:textId="35A531BA"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Increase the percentage of consultations responded to within time to over 80%.</w:t>
            </w:r>
          </w:p>
        </w:tc>
        <w:tc>
          <w:tcPr>
            <w:tcW w:w="417" w:type="pct"/>
            <w:tcBorders>
              <w:top w:val="single" w:sz="8" w:space="0" w:color="auto"/>
              <w:left w:val="single" w:sz="8" w:space="0" w:color="auto"/>
              <w:bottom w:val="single" w:sz="8" w:space="0" w:color="auto"/>
              <w:right w:val="single" w:sz="8" w:space="0" w:color="auto"/>
            </w:tcBorders>
          </w:tcPr>
          <w:p w14:paraId="35935EE0" w14:textId="791B3A68" w:rsidR="00940144" w:rsidRPr="00F349EA" w:rsidRDefault="00253F58"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91.4</w:t>
            </w:r>
            <w:r w:rsidR="00DD7568" w:rsidRPr="00F349EA">
              <w:rPr>
                <w:rFonts w:ascii="Arial" w:eastAsia="Times New Roman" w:hAnsi="Arial" w:cs="Arial"/>
                <w:lang w:eastAsia="en-GB"/>
              </w:rPr>
              <w:t>%</w:t>
            </w:r>
          </w:p>
        </w:tc>
        <w:tc>
          <w:tcPr>
            <w:tcW w:w="385" w:type="pct"/>
            <w:tcBorders>
              <w:top w:val="single" w:sz="8" w:space="0" w:color="auto"/>
              <w:left w:val="single" w:sz="8" w:space="0" w:color="auto"/>
              <w:bottom w:val="single" w:sz="8" w:space="0" w:color="auto"/>
              <w:right w:val="single" w:sz="8" w:space="0" w:color="auto"/>
            </w:tcBorders>
          </w:tcPr>
          <w:p w14:paraId="26F80F31" w14:textId="5F52327F" w:rsidR="00940144" w:rsidRPr="00F349EA" w:rsidRDefault="00C23D3F"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Achieving</w:t>
            </w:r>
          </w:p>
        </w:tc>
        <w:tc>
          <w:tcPr>
            <w:tcW w:w="1026" w:type="pct"/>
            <w:tcBorders>
              <w:top w:val="single" w:sz="8" w:space="0" w:color="auto"/>
              <w:left w:val="single" w:sz="8" w:space="0" w:color="auto"/>
              <w:bottom w:val="single" w:sz="8" w:space="0" w:color="auto"/>
              <w:right w:val="single" w:sz="8" w:space="0" w:color="auto"/>
            </w:tcBorders>
          </w:tcPr>
          <w:p w14:paraId="2ADCA046" w14:textId="77777777" w:rsidR="0097404E" w:rsidRDefault="00757FF7"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Performance for Q2 is 91.4%. </w:t>
            </w:r>
            <w:r w:rsidR="00465893" w:rsidRPr="00F349EA">
              <w:rPr>
                <w:rFonts w:ascii="Arial" w:eastAsia="Times New Roman" w:hAnsi="Arial" w:cs="Arial"/>
                <w:lang w:eastAsia="en-GB"/>
              </w:rPr>
              <w:t>We responded to</w:t>
            </w:r>
            <w:r w:rsidR="0046346B" w:rsidRPr="00F349EA">
              <w:rPr>
                <w:rFonts w:ascii="Arial" w:eastAsia="Times New Roman" w:hAnsi="Arial" w:cs="Arial"/>
                <w:lang w:eastAsia="en-GB"/>
              </w:rPr>
              <w:t xml:space="preserve"> </w:t>
            </w:r>
            <w:r w:rsidR="0015582A" w:rsidRPr="00F349EA">
              <w:rPr>
                <w:rFonts w:ascii="Arial" w:eastAsia="Times New Roman" w:hAnsi="Arial" w:cs="Arial"/>
                <w:lang w:eastAsia="en-GB"/>
              </w:rPr>
              <w:t>522</w:t>
            </w:r>
            <w:r w:rsidR="0046346B" w:rsidRPr="00F349EA">
              <w:rPr>
                <w:rFonts w:ascii="Arial" w:eastAsia="Times New Roman" w:hAnsi="Arial" w:cs="Arial"/>
                <w:lang w:eastAsia="en-GB"/>
              </w:rPr>
              <w:t xml:space="preserve"> </w:t>
            </w:r>
            <w:r w:rsidR="00465893" w:rsidRPr="00F349EA">
              <w:rPr>
                <w:rFonts w:ascii="Arial" w:eastAsia="Times New Roman" w:hAnsi="Arial" w:cs="Arial"/>
                <w:lang w:eastAsia="en-GB"/>
              </w:rPr>
              <w:t>planning consultations</w:t>
            </w:r>
            <w:r w:rsidR="0046346B" w:rsidRPr="00F349EA">
              <w:rPr>
                <w:rFonts w:ascii="Arial" w:eastAsia="Times New Roman" w:hAnsi="Arial" w:cs="Arial"/>
                <w:lang w:eastAsia="en-GB"/>
              </w:rPr>
              <w:t xml:space="preserve"> on time</w:t>
            </w:r>
            <w:r w:rsidR="00EE18A8" w:rsidRPr="00F349EA">
              <w:rPr>
                <w:rFonts w:ascii="Arial" w:eastAsia="Times New Roman" w:hAnsi="Arial" w:cs="Arial"/>
                <w:lang w:eastAsia="en-GB"/>
              </w:rPr>
              <w:t xml:space="preserve"> with</w:t>
            </w:r>
            <w:r w:rsidR="0046346B" w:rsidRPr="00F349EA">
              <w:rPr>
                <w:rFonts w:ascii="Arial" w:eastAsia="Times New Roman" w:hAnsi="Arial" w:cs="Arial"/>
                <w:lang w:eastAsia="en-GB"/>
              </w:rPr>
              <w:t xml:space="preserve"> </w:t>
            </w:r>
            <w:r w:rsidR="00FA58E5" w:rsidRPr="00F349EA">
              <w:rPr>
                <w:rFonts w:ascii="Arial" w:eastAsia="Times New Roman" w:hAnsi="Arial" w:cs="Arial"/>
                <w:lang w:eastAsia="en-GB"/>
              </w:rPr>
              <w:t>49</w:t>
            </w:r>
            <w:r w:rsidR="0046346B" w:rsidRPr="00F349EA">
              <w:rPr>
                <w:rFonts w:ascii="Arial" w:eastAsia="Times New Roman" w:hAnsi="Arial" w:cs="Arial"/>
                <w:lang w:eastAsia="en-GB"/>
              </w:rPr>
              <w:t xml:space="preserve"> responses beyond time.</w:t>
            </w:r>
          </w:p>
          <w:p w14:paraId="1857301E" w14:textId="613AE128" w:rsidR="00FA58E5" w:rsidRPr="00F349EA" w:rsidRDefault="00650441"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 </w:t>
            </w:r>
          </w:p>
          <w:p w14:paraId="7F2D9F66" w14:textId="0CC0F31A" w:rsidR="00B94378" w:rsidRPr="00F349EA" w:rsidRDefault="007864DB" w:rsidP="00650441">
            <w:pPr>
              <w:spacing w:line="240" w:lineRule="auto"/>
              <w:rPr>
                <w:rFonts w:ascii="Arial" w:eastAsia="Times New Roman" w:hAnsi="Arial" w:cs="Arial"/>
                <w:lang w:eastAsia="en-GB"/>
              </w:rPr>
            </w:pPr>
            <w:r w:rsidRPr="00F349EA">
              <w:rPr>
                <w:rFonts w:ascii="Arial" w:eastAsia="Times New Roman" w:hAnsi="Arial" w:cs="Arial"/>
                <w:lang w:eastAsia="en-GB"/>
              </w:rPr>
              <w:t xml:space="preserve">Cumulative </w:t>
            </w:r>
            <w:r w:rsidR="0097404E">
              <w:rPr>
                <w:rFonts w:ascii="Arial" w:eastAsia="Times New Roman" w:hAnsi="Arial" w:cs="Arial"/>
                <w:lang w:eastAsia="en-GB"/>
              </w:rPr>
              <w:t xml:space="preserve">Q1 and Q2 </w:t>
            </w:r>
            <w:r w:rsidR="00650441" w:rsidRPr="00F349EA">
              <w:rPr>
                <w:rFonts w:ascii="Arial" w:eastAsia="Times New Roman" w:hAnsi="Arial" w:cs="Arial"/>
                <w:lang w:eastAsia="en-GB"/>
              </w:rPr>
              <w:t xml:space="preserve">performance </w:t>
            </w:r>
            <w:r w:rsidR="00715538" w:rsidRPr="00F349EA">
              <w:rPr>
                <w:rFonts w:ascii="Arial" w:eastAsia="Times New Roman" w:hAnsi="Arial" w:cs="Arial"/>
                <w:lang w:eastAsia="en-GB"/>
              </w:rPr>
              <w:t>to date</w:t>
            </w:r>
            <w:r w:rsidR="00825651" w:rsidRPr="00F349EA">
              <w:rPr>
                <w:rFonts w:ascii="Arial" w:hAnsi="Arial" w:cs="Arial"/>
                <w:lang w:eastAsia="en-GB"/>
              </w:rPr>
              <w:t xml:space="preserve"> is </w:t>
            </w:r>
            <w:r w:rsidR="00CD621C" w:rsidRPr="00F349EA">
              <w:rPr>
                <w:rFonts w:ascii="Arial" w:eastAsia="Times New Roman" w:hAnsi="Arial" w:cs="Arial"/>
                <w:lang w:eastAsia="en-GB"/>
              </w:rPr>
              <w:t>8</w:t>
            </w:r>
            <w:r w:rsidR="002114A2" w:rsidRPr="00F349EA">
              <w:rPr>
                <w:rFonts w:ascii="Arial" w:eastAsia="Times New Roman" w:hAnsi="Arial" w:cs="Arial"/>
                <w:lang w:eastAsia="en-GB"/>
              </w:rPr>
              <w:t>7.5</w:t>
            </w:r>
            <w:r w:rsidR="00CD621C" w:rsidRPr="00F349EA">
              <w:rPr>
                <w:rFonts w:ascii="Arial" w:eastAsia="Times New Roman" w:hAnsi="Arial" w:cs="Arial"/>
                <w:lang w:eastAsia="en-GB"/>
              </w:rPr>
              <w:t>%</w:t>
            </w:r>
            <w:r w:rsidR="00825651" w:rsidRPr="00F349EA">
              <w:rPr>
                <w:rFonts w:ascii="Arial" w:eastAsia="Times New Roman" w:hAnsi="Arial" w:cs="Arial"/>
                <w:lang w:eastAsia="en-GB"/>
              </w:rPr>
              <w:t xml:space="preserve">. </w:t>
            </w:r>
            <w:r w:rsidR="00002DCD" w:rsidRPr="00F349EA">
              <w:rPr>
                <w:rFonts w:ascii="Arial" w:eastAsia="Times New Roman" w:hAnsi="Arial" w:cs="Arial"/>
                <w:lang w:eastAsia="en-GB"/>
              </w:rPr>
              <w:t>1158 on time</w:t>
            </w:r>
            <w:r w:rsidR="00B42F9A" w:rsidRPr="00F349EA">
              <w:rPr>
                <w:rFonts w:ascii="Arial" w:eastAsia="Times New Roman" w:hAnsi="Arial" w:cs="Arial"/>
                <w:lang w:eastAsia="en-GB"/>
              </w:rPr>
              <w:t xml:space="preserve">, 145 </w:t>
            </w:r>
            <w:r w:rsidR="00B94378" w:rsidRPr="00F349EA">
              <w:rPr>
                <w:rFonts w:ascii="Arial" w:eastAsia="Times New Roman" w:hAnsi="Arial" w:cs="Arial"/>
                <w:lang w:eastAsia="en-GB"/>
              </w:rPr>
              <w:t>beyond time.</w:t>
            </w:r>
          </w:p>
          <w:p w14:paraId="7B584218" w14:textId="77777777" w:rsidR="00473DDB" w:rsidRPr="00F349EA" w:rsidRDefault="00473DDB" w:rsidP="00940144">
            <w:pPr>
              <w:spacing w:line="276" w:lineRule="auto"/>
              <w:textAlignment w:val="baseline"/>
              <w:rPr>
                <w:rFonts w:ascii="Arial" w:eastAsia="Times New Roman" w:hAnsi="Arial" w:cs="Arial"/>
                <w:lang w:eastAsia="en-GB"/>
              </w:rPr>
            </w:pPr>
          </w:p>
          <w:p w14:paraId="40B726DD" w14:textId="2D6AC7E0" w:rsidR="00B94378" w:rsidRPr="00F349EA" w:rsidRDefault="00EE18A8"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Please note </w:t>
            </w:r>
            <w:r w:rsidR="009E6FD5" w:rsidRPr="00F349EA">
              <w:rPr>
                <w:rFonts w:ascii="Arial" w:eastAsia="Times New Roman" w:hAnsi="Arial" w:cs="Arial"/>
                <w:lang w:eastAsia="en-GB"/>
              </w:rPr>
              <w:t xml:space="preserve">there was an error </w:t>
            </w:r>
            <w:r w:rsidR="00B35F57" w:rsidRPr="00F349EA">
              <w:rPr>
                <w:rFonts w:ascii="Arial" w:eastAsia="Times New Roman" w:hAnsi="Arial" w:cs="Arial"/>
                <w:lang w:eastAsia="en-GB"/>
              </w:rPr>
              <w:t xml:space="preserve">in the </w:t>
            </w:r>
            <w:r w:rsidR="00473DDB" w:rsidRPr="00F349EA">
              <w:rPr>
                <w:rFonts w:ascii="Arial" w:eastAsia="Times New Roman" w:hAnsi="Arial" w:cs="Arial"/>
                <w:lang w:eastAsia="en-GB"/>
              </w:rPr>
              <w:t xml:space="preserve">previously reported </w:t>
            </w:r>
            <w:r w:rsidR="00B35F57" w:rsidRPr="00F349EA">
              <w:rPr>
                <w:rFonts w:ascii="Arial" w:eastAsia="Times New Roman" w:hAnsi="Arial" w:cs="Arial"/>
                <w:lang w:eastAsia="en-GB"/>
              </w:rPr>
              <w:t>Q1 figure</w:t>
            </w:r>
            <w:r w:rsidR="00D00E31" w:rsidRPr="00F349EA">
              <w:rPr>
                <w:rFonts w:ascii="Arial" w:eastAsia="Times New Roman" w:hAnsi="Arial" w:cs="Arial"/>
                <w:lang w:eastAsia="en-GB"/>
              </w:rPr>
              <w:t xml:space="preserve"> of 90%. This was</w:t>
            </w:r>
            <w:r w:rsidR="00F77699" w:rsidRPr="00F349EA">
              <w:rPr>
                <w:rFonts w:ascii="Arial" w:eastAsia="Times New Roman" w:hAnsi="Arial" w:cs="Arial"/>
                <w:lang w:eastAsia="en-GB"/>
              </w:rPr>
              <w:t xml:space="preserve"> due to auditing underlying data and</w:t>
            </w:r>
            <w:r w:rsidR="00B35F57" w:rsidRPr="00F349EA">
              <w:rPr>
                <w:rFonts w:ascii="Arial" w:eastAsia="Times New Roman" w:hAnsi="Arial" w:cs="Arial"/>
                <w:lang w:eastAsia="en-GB"/>
              </w:rPr>
              <w:t xml:space="preserve"> </w:t>
            </w:r>
            <w:r w:rsidR="00BB120B" w:rsidRPr="00F349EA">
              <w:rPr>
                <w:rFonts w:ascii="Arial" w:eastAsia="Times New Roman" w:hAnsi="Arial" w:cs="Arial"/>
                <w:lang w:eastAsia="en-GB"/>
              </w:rPr>
              <w:t xml:space="preserve">determining some information had not been completed. </w:t>
            </w:r>
            <w:r w:rsidR="00D00E31" w:rsidRPr="00F349EA">
              <w:rPr>
                <w:rFonts w:ascii="Arial" w:eastAsia="Times New Roman" w:hAnsi="Arial" w:cs="Arial"/>
                <w:lang w:eastAsia="en-GB"/>
              </w:rPr>
              <w:t xml:space="preserve">The revised figure </w:t>
            </w:r>
            <w:r w:rsidR="00473DDB" w:rsidRPr="00F349EA">
              <w:rPr>
                <w:rFonts w:ascii="Arial" w:eastAsia="Times New Roman" w:hAnsi="Arial" w:cs="Arial"/>
                <w:lang w:eastAsia="en-GB"/>
              </w:rPr>
              <w:t xml:space="preserve">for Q1 </w:t>
            </w:r>
            <w:r w:rsidR="00D00E31" w:rsidRPr="00F349EA">
              <w:rPr>
                <w:rFonts w:ascii="Arial" w:eastAsia="Times New Roman" w:hAnsi="Arial" w:cs="Arial"/>
                <w:lang w:eastAsia="en-GB"/>
              </w:rPr>
              <w:t xml:space="preserve">is </w:t>
            </w:r>
            <w:r w:rsidR="00435ABA" w:rsidRPr="00F349EA">
              <w:rPr>
                <w:rFonts w:ascii="Arial" w:eastAsia="Times New Roman" w:hAnsi="Arial" w:cs="Arial"/>
                <w:lang w:eastAsia="en-GB"/>
              </w:rPr>
              <w:t>86.9%. 636 consultations on time, 96 beyond time.</w:t>
            </w:r>
            <w:r w:rsidR="00195267" w:rsidRPr="00F349EA">
              <w:rPr>
                <w:rFonts w:ascii="Arial" w:eastAsia="Times New Roman" w:hAnsi="Arial" w:cs="Arial"/>
                <w:lang w:eastAsia="en-GB"/>
              </w:rPr>
              <w:t xml:space="preserve"> </w:t>
            </w:r>
          </w:p>
        </w:tc>
        <w:tc>
          <w:tcPr>
            <w:tcW w:w="320" w:type="pct"/>
            <w:tcBorders>
              <w:top w:val="single" w:sz="8" w:space="0" w:color="auto"/>
              <w:left w:val="single" w:sz="8" w:space="0" w:color="auto"/>
              <w:bottom w:val="single" w:sz="8" w:space="0" w:color="auto"/>
              <w:right w:val="single" w:sz="8" w:space="0" w:color="auto"/>
            </w:tcBorders>
          </w:tcPr>
          <w:p w14:paraId="7432E708" w14:textId="77777777" w:rsidR="00940144" w:rsidRPr="00F349EA" w:rsidRDefault="00940144" w:rsidP="00940144">
            <w:pPr>
              <w:spacing w:line="276" w:lineRule="auto"/>
              <w:jc w:val="center"/>
              <w:textAlignment w:val="baseline"/>
              <w:rPr>
                <w:rFonts w:ascii="Arial" w:eastAsia="Times New Roman" w:hAnsi="Arial" w:cs="Arial"/>
                <w:lang w:eastAsia="en-GB"/>
              </w:rPr>
            </w:pPr>
            <w:r w:rsidRPr="00F349EA">
              <w:rPr>
                <w:rFonts w:ascii="Arial" w:eastAsia="Times New Roman" w:hAnsi="Arial" w:cs="Arial"/>
                <w:lang w:eastAsia="en-GB"/>
              </w:rPr>
              <w:t>Achieved</w:t>
            </w:r>
          </w:p>
          <w:p w14:paraId="5116E9F3" w14:textId="0651338A" w:rsidR="00940144" w:rsidRPr="00F349EA" w:rsidRDefault="00940144" w:rsidP="00940144">
            <w:pPr>
              <w:spacing w:line="276" w:lineRule="auto"/>
              <w:jc w:val="center"/>
              <w:textAlignment w:val="baseline"/>
              <w:rPr>
                <w:rFonts w:ascii="Arial" w:eastAsia="Times New Roman" w:hAnsi="Arial" w:cs="Arial"/>
                <w:lang w:eastAsia="en-GB"/>
              </w:rPr>
            </w:pPr>
          </w:p>
        </w:tc>
      </w:tr>
      <w:tr w:rsidR="00940144" w:rsidRPr="00F349EA" w14:paraId="4E8A31F2" w14:textId="40C24BE3" w:rsidTr="1901DC8B">
        <w:trPr>
          <w:cantSplit/>
          <w:trHeight w:val="510"/>
        </w:trPr>
        <w:tc>
          <w:tcPr>
            <w:tcW w:w="223" w:type="pct"/>
            <w:tcBorders>
              <w:top w:val="single" w:sz="8" w:space="0" w:color="auto"/>
              <w:left w:val="single" w:sz="8" w:space="0" w:color="auto"/>
              <w:bottom w:val="single" w:sz="4" w:space="0" w:color="auto"/>
              <w:right w:val="single" w:sz="8" w:space="0" w:color="auto"/>
            </w:tcBorders>
          </w:tcPr>
          <w:p w14:paraId="5B9BB76C" w14:textId="18BCAAB9" w:rsidR="00940144" w:rsidRPr="00F349EA" w:rsidRDefault="00940144" w:rsidP="00940144">
            <w:pPr>
              <w:spacing w:line="276" w:lineRule="auto"/>
              <w:textAlignment w:val="baseline"/>
              <w:rPr>
                <w:rFonts w:ascii="Arial" w:hAnsi="Arial" w:cs="Arial"/>
              </w:rPr>
            </w:pPr>
            <w:r w:rsidRPr="00F349EA">
              <w:rPr>
                <w:rFonts w:ascii="Arial" w:hAnsi="Arial" w:cs="Arial"/>
              </w:rPr>
              <w:lastRenderedPageBreak/>
              <w:t>CR08</w:t>
            </w:r>
          </w:p>
        </w:tc>
        <w:tc>
          <w:tcPr>
            <w:tcW w:w="417" w:type="pct"/>
            <w:tcBorders>
              <w:top w:val="single" w:sz="8" w:space="0" w:color="auto"/>
              <w:left w:val="single" w:sz="8" w:space="0" w:color="auto"/>
              <w:bottom w:val="single" w:sz="4" w:space="0" w:color="auto"/>
              <w:right w:val="single" w:sz="8" w:space="0" w:color="auto"/>
            </w:tcBorders>
          </w:tcPr>
          <w:p w14:paraId="7FD88CC3" w14:textId="05FD302E" w:rsidR="00940144" w:rsidRPr="00F349EA" w:rsidRDefault="00940144" w:rsidP="00940144">
            <w:pPr>
              <w:spacing w:line="276" w:lineRule="auto"/>
              <w:textAlignment w:val="baseline"/>
              <w:rPr>
                <w:rFonts w:ascii="Arial" w:hAnsi="Arial" w:cs="Arial"/>
              </w:rPr>
            </w:pPr>
            <w:r w:rsidRPr="00F349EA">
              <w:rPr>
                <w:rFonts w:ascii="Arial" w:hAnsi="Arial" w:cs="Arial"/>
              </w:rPr>
              <w:t>Climate Resilience</w:t>
            </w:r>
          </w:p>
        </w:tc>
        <w:tc>
          <w:tcPr>
            <w:tcW w:w="802" w:type="pct"/>
            <w:tcBorders>
              <w:top w:val="single" w:sz="8" w:space="0" w:color="auto"/>
              <w:left w:val="single" w:sz="8" w:space="0" w:color="auto"/>
              <w:bottom w:val="single" w:sz="4" w:space="0" w:color="auto"/>
              <w:right w:val="single" w:sz="8" w:space="0" w:color="auto"/>
            </w:tcBorders>
          </w:tcPr>
          <w:p w14:paraId="716B4242" w14:textId="64BB4E18"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hAnsi="Arial" w:cs="Arial"/>
              </w:rPr>
              <w:t xml:space="preserve">Number of people registered to Floodline to receive flood alerts and warnings – Increasing </w:t>
            </w:r>
          </w:p>
        </w:tc>
        <w:tc>
          <w:tcPr>
            <w:tcW w:w="384" w:type="pct"/>
            <w:tcBorders>
              <w:top w:val="single" w:sz="8" w:space="0" w:color="auto"/>
              <w:left w:val="single" w:sz="8" w:space="0" w:color="auto"/>
              <w:bottom w:val="single" w:sz="4" w:space="0" w:color="auto"/>
              <w:right w:val="single" w:sz="8" w:space="0" w:color="auto"/>
            </w:tcBorders>
          </w:tcPr>
          <w:p w14:paraId="248809BD" w14:textId="559EB081"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hAnsi="Arial" w:cs="Arial"/>
              </w:rPr>
              <w:t xml:space="preserve">Operational </w:t>
            </w:r>
            <w:r w:rsidRPr="00F349EA">
              <w:rPr>
                <w:rFonts w:ascii="Arial" w:hAnsi="Arial" w:cs="Arial"/>
                <w:color w:val="000000"/>
              </w:rPr>
              <w:t>– Direct Influence</w:t>
            </w:r>
          </w:p>
        </w:tc>
        <w:tc>
          <w:tcPr>
            <w:tcW w:w="481" w:type="pct"/>
            <w:tcBorders>
              <w:top w:val="single" w:sz="4" w:space="0" w:color="auto"/>
              <w:left w:val="single" w:sz="4" w:space="0" w:color="auto"/>
              <w:bottom w:val="single" w:sz="4" w:space="0" w:color="auto"/>
              <w:right w:val="single" w:sz="4" w:space="0" w:color="auto"/>
            </w:tcBorders>
          </w:tcPr>
          <w:p w14:paraId="770D3D34" w14:textId="00AFCF28"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hAnsi="Arial" w:cs="Arial"/>
                <w:color w:val="000000"/>
              </w:rPr>
              <w:t>41,992 registrations at the end of March 2025</w:t>
            </w:r>
          </w:p>
        </w:tc>
        <w:tc>
          <w:tcPr>
            <w:tcW w:w="545" w:type="pct"/>
            <w:tcBorders>
              <w:top w:val="single" w:sz="4" w:space="0" w:color="auto"/>
              <w:left w:val="single" w:sz="4" w:space="0" w:color="auto"/>
              <w:bottom w:val="single" w:sz="4" w:space="0" w:color="auto"/>
              <w:right w:val="single" w:sz="4" w:space="0" w:color="auto"/>
            </w:tcBorders>
          </w:tcPr>
          <w:p w14:paraId="46BB140F" w14:textId="40C1AB70" w:rsidR="00940144" w:rsidRPr="00F349EA" w:rsidRDefault="00940144" w:rsidP="00940144">
            <w:pPr>
              <w:spacing w:line="276" w:lineRule="auto"/>
              <w:textAlignment w:val="baseline"/>
              <w:rPr>
                <w:rFonts w:ascii="Arial" w:eastAsia="Times New Roman" w:hAnsi="Arial" w:cs="Arial"/>
                <w:lang w:eastAsia="en-GB"/>
              </w:rPr>
            </w:pPr>
            <w:r w:rsidRPr="00F349EA">
              <w:rPr>
                <w:rFonts w:ascii="Arial" w:hAnsi="Arial" w:cs="Arial"/>
                <w:color w:val="000000"/>
              </w:rPr>
              <w:t>An increase from 41,992 registrations by the end of March 2026</w:t>
            </w:r>
          </w:p>
        </w:tc>
        <w:tc>
          <w:tcPr>
            <w:tcW w:w="417" w:type="pct"/>
            <w:tcBorders>
              <w:top w:val="single" w:sz="8" w:space="0" w:color="auto"/>
              <w:left w:val="single" w:sz="8" w:space="0" w:color="auto"/>
              <w:bottom w:val="single" w:sz="4" w:space="0" w:color="auto"/>
              <w:right w:val="single" w:sz="8" w:space="0" w:color="auto"/>
            </w:tcBorders>
          </w:tcPr>
          <w:p w14:paraId="3AD9BF3C" w14:textId="2FA554E9" w:rsidR="00940144" w:rsidRPr="00F349EA" w:rsidRDefault="00F0393C"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41,770 registrations</w:t>
            </w:r>
          </w:p>
        </w:tc>
        <w:tc>
          <w:tcPr>
            <w:tcW w:w="385" w:type="pct"/>
            <w:tcBorders>
              <w:top w:val="single" w:sz="4" w:space="0" w:color="auto"/>
              <w:left w:val="single" w:sz="4" w:space="0" w:color="auto"/>
              <w:bottom w:val="single" w:sz="4" w:space="0" w:color="auto"/>
              <w:right w:val="single" w:sz="4" w:space="0" w:color="auto"/>
            </w:tcBorders>
          </w:tcPr>
          <w:p w14:paraId="280941C6" w14:textId="02BDAA9E" w:rsidR="00940144" w:rsidRPr="00F349EA" w:rsidRDefault="0046346B" w:rsidP="00940144">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Partially </w:t>
            </w:r>
            <w:r w:rsidR="000E4397" w:rsidRPr="00F349EA">
              <w:rPr>
                <w:rFonts w:ascii="Arial" w:eastAsia="Times New Roman" w:hAnsi="Arial" w:cs="Arial"/>
                <w:lang w:eastAsia="en-GB"/>
              </w:rPr>
              <w:t>Achieving</w:t>
            </w:r>
          </w:p>
        </w:tc>
        <w:tc>
          <w:tcPr>
            <w:tcW w:w="1026" w:type="pct"/>
            <w:tcBorders>
              <w:top w:val="single" w:sz="4" w:space="0" w:color="auto"/>
              <w:left w:val="single" w:sz="4" w:space="0" w:color="auto"/>
              <w:bottom w:val="single" w:sz="4" w:space="0" w:color="auto"/>
              <w:right w:val="single" w:sz="4" w:space="0" w:color="auto"/>
            </w:tcBorders>
          </w:tcPr>
          <w:p w14:paraId="32B3C9AB" w14:textId="77777777" w:rsidR="00C649F9" w:rsidRDefault="00C649F9" w:rsidP="00C649F9">
            <w:pPr>
              <w:spacing w:line="276" w:lineRule="auto"/>
              <w:textAlignment w:val="baseline"/>
              <w:rPr>
                <w:rFonts w:ascii="Arial" w:eastAsia="Times New Roman" w:hAnsi="Arial" w:cs="Arial"/>
                <w:lang w:eastAsia="en-GB"/>
              </w:rPr>
            </w:pPr>
            <w:r w:rsidRPr="00C649F9">
              <w:rPr>
                <w:rFonts w:ascii="Arial" w:eastAsia="Times New Roman" w:hAnsi="Arial" w:cs="Arial"/>
                <w:lang w:eastAsia="en-GB"/>
              </w:rPr>
              <w:t xml:space="preserve">We had a net increase of 6 registrations to Floodline compared to Q1. 521 new registrations offset with 515 </w:t>
            </w:r>
            <w:proofErr w:type="spellStart"/>
            <w:r w:rsidRPr="00C649F9">
              <w:rPr>
                <w:rFonts w:ascii="Arial" w:eastAsia="Times New Roman" w:hAnsi="Arial" w:cs="Arial"/>
                <w:lang w:eastAsia="en-GB"/>
              </w:rPr>
              <w:t>deregistrations</w:t>
            </w:r>
            <w:proofErr w:type="spellEnd"/>
            <w:r w:rsidRPr="00C649F9">
              <w:rPr>
                <w:rFonts w:ascii="Arial" w:eastAsia="Times New Roman" w:hAnsi="Arial" w:cs="Arial"/>
                <w:lang w:eastAsia="en-GB"/>
              </w:rPr>
              <w:t>. We know that new registrations are usually highly correlated to significant flood events which thankfully have been limited so far this year but are more likely as we move into the winter months.</w:t>
            </w:r>
          </w:p>
          <w:p w14:paraId="000ADC84" w14:textId="77777777" w:rsidR="00C649F9" w:rsidRPr="00C649F9" w:rsidRDefault="00C649F9" w:rsidP="00C649F9">
            <w:pPr>
              <w:spacing w:line="276" w:lineRule="auto"/>
              <w:textAlignment w:val="baseline"/>
              <w:rPr>
                <w:rFonts w:ascii="Arial" w:eastAsia="Times New Roman" w:hAnsi="Arial" w:cs="Arial"/>
                <w:lang w:eastAsia="en-GB"/>
              </w:rPr>
            </w:pPr>
          </w:p>
          <w:p w14:paraId="73ADB837" w14:textId="0E908677" w:rsidR="00940144" w:rsidRPr="00F349EA" w:rsidRDefault="003B6FD9" w:rsidP="00626110">
            <w:pPr>
              <w:spacing w:line="276" w:lineRule="auto"/>
              <w:textAlignment w:val="baseline"/>
              <w:rPr>
                <w:rFonts w:ascii="Arial" w:eastAsia="Times New Roman" w:hAnsi="Arial" w:cs="Arial"/>
                <w:lang w:eastAsia="en-GB"/>
              </w:rPr>
            </w:pPr>
            <w:r>
              <w:rPr>
                <w:rFonts w:ascii="Arial" w:eastAsia="Times New Roman" w:hAnsi="Arial" w:cs="Arial"/>
                <w:lang w:eastAsia="en-GB"/>
              </w:rPr>
              <w:t>From Q3</w:t>
            </w:r>
            <w:r w:rsidR="00C649F9" w:rsidRPr="00C649F9">
              <w:rPr>
                <w:rFonts w:ascii="Arial" w:eastAsia="Times New Roman" w:hAnsi="Arial" w:cs="Arial"/>
                <w:lang w:eastAsia="en-GB"/>
              </w:rPr>
              <w:t>, we are planning to promote the Floodline service for “winter readiness” across SEPA channels including our newsletter, social media, media releases and internally. We will also send an annual reminder message to existing customers to confirm that their details are up to date. We would expect to see a net increase in registrations in the second half of the year.</w:t>
            </w:r>
          </w:p>
        </w:tc>
        <w:tc>
          <w:tcPr>
            <w:tcW w:w="320" w:type="pct"/>
            <w:tcBorders>
              <w:top w:val="single" w:sz="8" w:space="0" w:color="auto"/>
              <w:left w:val="single" w:sz="8" w:space="0" w:color="auto"/>
              <w:bottom w:val="single" w:sz="4" w:space="0" w:color="auto"/>
              <w:right w:val="single" w:sz="8" w:space="0" w:color="auto"/>
            </w:tcBorders>
          </w:tcPr>
          <w:p w14:paraId="78E62984" w14:textId="7FCF1CFC" w:rsidR="00940144" w:rsidRPr="00F349EA" w:rsidRDefault="00626110" w:rsidP="00940144">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 xml:space="preserve">Partially </w:t>
            </w:r>
            <w:r w:rsidR="00940144" w:rsidRPr="00F349EA">
              <w:rPr>
                <w:rFonts w:ascii="Arial" w:eastAsia="Times New Roman" w:hAnsi="Arial" w:cs="Arial"/>
                <w:lang w:eastAsia="en-GB"/>
              </w:rPr>
              <w:t>Achieved</w:t>
            </w:r>
          </w:p>
        </w:tc>
      </w:tr>
      <w:tr w:rsidR="000E4397" w:rsidRPr="00F349EA" w14:paraId="3C3F203F" w14:textId="6274AF0B" w:rsidTr="1901DC8B">
        <w:trPr>
          <w:cantSplit/>
          <w:trHeight w:val="510"/>
        </w:trPr>
        <w:tc>
          <w:tcPr>
            <w:tcW w:w="223" w:type="pct"/>
            <w:tcBorders>
              <w:top w:val="single" w:sz="4" w:space="0" w:color="auto"/>
              <w:left w:val="single" w:sz="4" w:space="0" w:color="auto"/>
              <w:bottom w:val="single" w:sz="4" w:space="0" w:color="auto"/>
              <w:right w:val="single" w:sz="4" w:space="0" w:color="auto"/>
            </w:tcBorders>
          </w:tcPr>
          <w:p w14:paraId="26AADFE4" w14:textId="0C015C43" w:rsidR="000E4397" w:rsidRPr="00F349EA" w:rsidRDefault="000E4397" w:rsidP="000E4397">
            <w:pPr>
              <w:spacing w:line="276" w:lineRule="auto"/>
              <w:textAlignment w:val="baseline"/>
              <w:rPr>
                <w:rFonts w:ascii="Arial" w:hAnsi="Arial" w:cs="Arial"/>
              </w:rPr>
            </w:pPr>
            <w:r w:rsidRPr="00F349EA">
              <w:rPr>
                <w:rFonts w:ascii="Arial" w:hAnsi="Arial" w:cs="Arial"/>
              </w:rPr>
              <w:t>WE01</w:t>
            </w:r>
          </w:p>
        </w:tc>
        <w:tc>
          <w:tcPr>
            <w:tcW w:w="417" w:type="pct"/>
            <w:tcBorders>
              <w:top w:val="single" w:sz="4" w:space="0" w:color="auto"/>
              <w:left w:val="single" w:sz="4" w:space="0" w:color="auto"/>
              <w:bottom w:val="single" w:sz="4" w:space="0" w:color="auto"/>
              <w:right w:val="single" w:sz="4" w:space="0" w:color="auto"/>
            </w:tcBorders>
          </w:tcPr>
          <w:p w14:paraId="045BF28B" w14:textId="2B3D240C" w:rsidR="000E4397" w:rsidRPr="00F349EA" w:rsidRDefault="000E4397" w:rsidP="000E4397">
            <w:pPr>
              <w:spacing w:line="276" w:lineRule="auto"/>
              <w:textAlignment w:val="baseline"/>
              <w:rPr>
                <w:rFonts w:ascii="Arial" w:hAnsi="Arial" w:cs="Arial"/>
              </w:rPr>
            </w:pPr>
            <w:r w:rsidRPr="00F349EA">
              <w:rPr>
                <w:rFonts w:ascii="Arial" w:hAnsi="Arial" w:cs="Arial"/>
              </w:rPr>
              <w:t>Water Environment</w:t>
            </w:r>
          </w:p>
        </w:tc>
        <w:tc>
          <w:tcPr>
            <w:tcW w:w="802" w:type="pct"/>
            <w:tcBorders>
              <w:top w:val="single" w:sz="4" w:space="0" w:color="auto"/>
              <w:left w:val="single" w:sz="4" w:space="0" w:color="auto"/>
              <w:bottom w:val="single" w:sz="4" w:space="0" w:color="auto"/>
              <w:right w:val="single" w:sz="4" w:space="0" w:color="auto"/>
            </w:tcBorders>
          </w:tcPr>
          <w:p w14:paraId="49C42BF8" w14:textId="639CB28E" w:rsidR="000E4397" w:rsidRPr="00F349EA" w:rsidRDefault="000E4397" w:rsidP="000E4397">
            <w:pPr>
              <w:spacing w:line="276" w:lineRule="auto"/>
              <w:textAlignment w:val="baseline"/>
              <w:rPr>
                <w:rFonts w:ascii="Arial" w:eastAsia="Times New Roman" w:hAnsi="Arial" w:cs="Arial"/>
                <w:lang w:eastAsia="en-GB"/>
              </w:rPr>
            </w:pPr>
            <w:hyperlink r:id="rId38" w:history="1">
              <w:r w:rsidRPr="00F349EA">
                <w:rPr>
                  <w:rFonts w:ascii="Arial" w:eastAsia="MS PGothic" w:hAnsi="Arial" w:cs="Arial"/>
                  <w:color w:val="016574"/>
                  <w:u w:val="single"/>
                </w:rPr>
                <w:t>Classification of water bodies</w:t>
              </w:r>
            </w:hyperlink>
            <w:r w:rsidRPr="00F349EA">
              <w:rPr>
                <w:rFonts w:ascii="Arial" w:hAnsi="Arial" w:cs="Arial"/>
              </w:rPr>
              <w:t xml:space="preserve"> </w:t>
            </w:r>
            <w:r w:rsidRPr="00F349EA">
              <w:rPr>
                <w:rFonts w:ascii="Arial" w:eastAsia="Times New Roman" w:hAnsi="Arial" w:cs="Arial"/>
                <w:lang w:eastAsia="en-GB"/>
              </w:rPr>
              <w:t>across Scotland - Increasing</w:t>
            </w:r>
            <w:r w:rsidRPr="00F349EA">
              <w:rPr>
                <w:rStyle w:val="FootnoteReference"/>
                <w:rFonts w:ascii="Arial" w:eastAsia="Times New Roman" w:hAnsi="Arial" w:cs="Arial"/>
                <w:lang w:eastAsia="en-GB"/>
              </w:rPr>
              <w:footnoteReference w:id="3"/>
            </w:r>
          </w:p>
        </w:tc>
        <w:tc>
          <w:tcPr>
            <w:tcW w:w="384" w:type="pct"/>
            <w:tcBorders>
              <w:top w:val="single" w:sz="4" w:space="0" w:color="auto"/>
              <w:left w:val="single" w:sz="4" w:space="0" w:color="auto"/>
              <w:bottom w:val="single" w:sz="4" w:space="0" w:color="auto"/>
              <w:right w:val="single" w:sz="4" w:space="0" w:color="auto"/>
            </w:tcBorders>
          </w:tcPr>
          <w:p w14:paraId="706944D9" w14:textId="02394982"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color w:val="000000"/>
              </w:rPr>
              <w:t>Strategic – Direct Influence</w:t>
            </w:r>
          </w:p>
        </w:tc>
        <w:tc>
          <w:tcPr>
            <w:tcW w:w="481" w:type="pct"/>
            <w:tcBorders>
              <w:top w:val="single" w:sz="4" w:space="0" w:color="auto"/>
              <w:left w:val="single" w:sz="4" w:space="0" w:color="auto"/>
              <w:bottom w:val="single" w:sz="4" w:space="0" w:color="auto"/>
              <w:right w:val="single" w:sz="4" w:space="0" w:color="auto"/>
            </w:tcBorders>
          </w:tcPr>
          <w:p w14:paraId="7D370E6B" w14:textId="07850195"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rPr>
              <w:t xml:space="preserve">2020 data (start of third RBMP) </w:t>
            </w:r>
            <w:r w:rsidRPr="00F349EA">
              <w:rPr>
                <w:rFonts w:ascii="Arial" w:hAnsi="Arial" w:cs="Arial"/>
              </w:rPr>
              <w:br/>
            </w:r>
            <w:r w:rsidRPr="00F349EA">
              <w:rPr>
                <w:rFonts w:ascii="Arial" w:hAnsi="Arial" w:cs="Arial"/>
              </w:rPr>
              <w:br/>
              <w:t xml:space="preserve">Good or better overall condition = 66% </w:t>
            </w:r>
          </w:p>
        </w:tc>
        <w:tc>
          <w:tcPr>
            <w:tcW w:w="545" w:type="pct"/>
            <w:tcBorders>
              <w:top w:val="single" w:sz="4" w:space="0" w:color="auto"/>
              <w:left w:val="single" w:sz="4" w:space="0" w:color="auto"/>
              <w:bottom w:val="single" w:sz="4" w:space="0" w:color="auto"/>
              <w:right w:val="single" w:sz="4" w:space="0" w:color="auto"/>
            </w:tcBorders>
          </w:tcPr>
          <w:p w14:paraId="392CD0E1" w14:textId="2C71B737" w:rsidR="000E4397" w:rsidRPr="00F349EA" w:rsidRDefault="000E4397" w:rsidP="000E4397">
            <w:pPr>
              <w:spacing w:line="276" w:lineRule="auto"/>
              <w:textAlignment w:val="baseline"/>
              <w:rPr>
                <w:rFonts w:ascii="Arial" w:hAnsi="Arial" w:cs="Arial"/>
                <w:color w:val="000000"/>
              </w:rPr>
            </w:pPr>
            <w:r w:rsidRPr="00F349EA">
              <w:rPr>
                <w:rFonts w:ascii="Arial" w:eastAsia="Times New Roman" w:hAnsi="Arial" w:cs="Arial"/>
                <w:lang w:eastAsia="en-GB"/>
              </w:rPr>
              <w:t>National outcome for Scotland and SEPA plays a contributing role</w:t>
            </w:r>
            <w:r w:rsidRPr="00F349EA">
              <w:rPr>
                <w:rFonts w:ascii="Arial" w:hAnsi="Arial" w:cs="Arial"/>
                <w:color w:val="000000"/>
              </w:rPr>
              <w:t xml:space="preserve"> </w:t>
            </w:r>
          </w:p>
          <w:p w14:paraId="0EBDDEE1" w14:textId="0E671B89" w:rsidR="000E4397" w:rsidRPr="00F349EA" w:rsidRDefault="000E4397" w:rsidP="000E4397">
            <w:pPr>
              <w:spacing w:line="276" w:lineRule="auto"/>
              <w:textAlignment w:val="baseline"/>
              <w:rPr>
                <w:rFonts w:ascii="Arial" w:hAnsi="Arial" w:cs="Arial"/>
                <w:color w:val="000000"/>
              </w:rPr>
            </w:pPr>
            <w:r w:rsidRPr="00F349EA">
              <w:rPr>
                <w:rFonts w:ascii="Arial" w:hAnsi="Arial" w:cs="Arial"/>
                <w:color w:val="000000"/>
              </w:rPr>
              <w:t xml:space="preserve">As set out in RBMP3: Good or better overall condition = 81% by 2027  </w:t>
            </w:r>
          </w:p>
        </w:tc>
        <w:tc>
          <w:tcPr>
            <w:tcW w:w="417" w:type="pct"/>
            <w:tcBorders>
              <w:top w:val="single" w:sz="4" w:space="0" w:color="auto"/>
              <w:left w:val="single" w:sz="4" w:space="0" w:color="auto"/>
              <w:bottom w:val="single" w:sz="4" w:space="0" w:color="auto"/>
              <w:right w:val="single" w:sz="4" w:space="0" w:color="auto"/>
            </w:tcBorders>
          </w:tcPr>
          <w:p w14:paraId="05D7A0C4" w14:textId="34782E5E" w:rsidR="000E4397" w:rsidRPr="00F349EA" w:rsidRDefault="0004733C"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Not Applicable</w:t>
            </w:r>
          </w:p>
        </w:tc>
        <w:tc>
          <w:tcPr>
            <w:tcW w:w="385" w:type="pct"/>
            <w:tcBorders>
              <w:top w:val="single" w:sz="4" w:space="0" w:color="auto"/>
              <w:left w:val="single" w:sz="4" w:space="0" w:color="auto"/>
              <w:bottom w:val="single" w:sz="4" w:space="0" w:color="auto"/>
              <w:right w:val="single" w:sz="4" w:space="0" w:color="auto"/>
            </w:tcBorders>
          </w:tcPr>
          <w:p w14:paraId="486E8D51" w14:textId="4F9CCDFD" w:rsidR="000E4397" w:rsidRPr="00F349EA" w:rsidRDefault="0004733C"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Not Applicable</w:t>
            </w:r>
          </w:p>
        </w:tc>
        <w:tc>
          <w:tcPr>
            <w:tcW w:w="1026" w:type="pct"/>
            <w:tcBorders>
              <w:top w:val="single" w:sz="4" w:space="0" w:color="auto"/>
              <w:left w:val="single" w:sz="4" w:space="0" w:color="auto"/>
              <w:bottom w:val="single" w:sz="4" w:space="0" w:color="auto"/>
              <w:right w:val="single" w:sz="4" w:space="0" w:color="auto"/>
            </w:tcBorders>
          </w:tcPr>
          <w:p w14:paraId="20BFE9E1" w14:textId="47901BF9" w:rsidR="000E4397" w:rsidRPr="00F349EA" w:rsidRDefault="00793434" w:rsidP="00793434">
            <w:pPr>
              <w:spacing w:line="276" w:lineRule="auto"/>
              <w:textAlignment w:val="baseline"/>
              <w:rPr>
                <w:rFonts w:eastAsia="Times New Roman" w:cstheme="minorHAnsi"/>
                <w:lang w:eastAsia="en-GB"/>
              </w:rPr>
            </w:pPr>
            <w:r w:rsidRPr="00F349EA">
              <w:rPr>
                <w:rFonts w:cstheme="minorHAnsi"/>
                <w:color w:val="000000"/>
              </w:rPr>
              <w:t>This figure will be available when Classification 2024 is released. This is on track, and the report is in the final stages of governance review.</w:t>
            </w:r>
          </w:p>
        </w:tc>
        <w:tc>
          <w:tcPr>
            <w:tcW w:w="320" w:type="pct"/>
            <w:tcBorders>
              <w:top w:val="single" w:sz="4" w:space="0" w:color="auto"/>
              <w:left w:val="single" w:sz="4" w:space="0" w:color="auto"/>
              <w:bottom w:val="single" w:sz="4" w:space="0" w:color="auto"/>
              <w:right w:val="single" w:sz="4" w:space="0" w:color="auto"/>
            </w:tcBorders>
          </w:tcPr>
          <w:p w14:paraId="316C286A" w14:textId="6235ABDA" w:rsidR="000E4397" w:rsidRPr="00F349EA" w:rsidRDefault="000E4397" w:rsidP="00D548C0">
            <w:pPr>
              <w:spacing w:line="276" w:lineRule="auto"/>
              <w:jc w:val="center"/>
              <w:textAlignment w:val="baseline"/>
              <w:rPr>
                <w:rFonts w:ascii="Arial" w:eastAsia="Times New Roman" w:hAnsi="Arial" w:cs="Arial"/>
                <w:lang w:eastAsia="en-GB"/>
              </w:rPr>
            </w:pPr>
            <w:r w:rsidRPr="00F349EA">
              <w:rPr>
                <w:rFonts w:ascii="Arial" w:hAnsi="Arial" w:cs="Arial"/>
                <w:color w:val="000000"/>
              </w:rPr>
              <w:t>Achieved</w:t>
            </w:r>
          </w:p>
        </w:tc>
      </w:tr>
      <w:tr w:rsidR="000E4397" w:rsidRPr="00F349EA" w14:paraId="1DA1B53E" w14:textId="003D042E" w:rsidTr="1901DC8B">
        <w:trPr>
          <w:cantSplit/>
          <w:trHeight w:val="510"/>
        </w:trPr>
        <w:tc>
          <w:tcPr>
            <w:tcW w:w="223" w:type="pct"/>
            <w:tcBorders>
              <w:top w:val="single" w:sz="4" w:space="0" w:color="auto"/>
              <w:left w:val="single" w:sz="8" w:space="0" w:color="auto"/>
              <w:bottom w:val="single" w:sz="8" w:space="0" w:color="auto"/>
              <w:right w:val="single" w:sz="8" w:space="0" w:color="auto"/>
            </w:tcBorders>
          </w:tcPr>
          <w:p w14:paraId="5CC4EEB2" w14:textId="4555C1EA" w:rsidR="000E4397" w:rsidRPr="00F349EA" w:rsidRDefault="000E4397" w:rsidP="000E4397">
            <w:pPr>
              <w:spacing w:line="276" w:lineRule="auto"/>
              <w:textAlignment w:val="baseline"/>
              <w:rPr>
                <w:rFonts w:ascii="Arial" w:hAnsi="Arial" w:cs="Arial"/>
              </w:rPr>
            </w:pPr>
            <w:r w:rsidRPr="00F349EA">
              <w:rPr>
                <w:rFonts w:ascii="Arial" w:hAnsi="Arial" w:cs="Arial"/>
              </w:rPr>
              <w:t>WE02</w:t>
            </w:r>
          </w:p>
        </w:tc>
        <w:tc>
          <w:tcPr>
            <w:tcW w:w="417" w:type="pct"/>
            <w:tcBorders>
              <w:top w:val="single" w:sz="4" w:space="0" w:color="auto"/>
              <w:left w:val="single" w:sz="8" w:space="0" w:color="auto"/>
              <w:bottom w:val="single" w:sz="8" w:space="0" w:color="auto"/>
              <w:right w:val="single" w:sz="8" w:space="0" w:color="auto"/>
            </w:tcBorders>
          </w:tcPr>
          <w:p w14:paraId="0A060C64" w14:textId="571D21C3" w:rsidR="000E4397" w:rsidRPr="00F349EA" w:rsidRDefault="000E4397" w:rsidP="000E4397">
            <w:pPr>
              <w:spacing w:line="276" w:lineRule="auto"/>
              <w:textAlignment w:val="baseline"/>
              <w:rPr>
                <w:rFonts w:ascii="Arial" w:hAnsi="Arial" w:cs="Arial"/>
              </w:rPr>
            </w:pPr>
            <w:r w:rsidRPr="00F349EA">
              <w:rPr>
                <w:rFonts w:ascii="Arial" w:hAnsi="Arial" w:cs="Arial"/>
              </w:rPr>
              <w:t>Water Environment</w:t>
            </w:r>
          </w:p>
        </w:tc>
        <w:tc>
          <w:tcPr>
            <w:tcW w:w="802" w:type="pct"/>
            <w:tcBorders>
              <w:top w:val="single" w:sz="4" w:space="0" w:color="auto"/>
              <w:left w:val="single" w:sz="8" w:space="0" w:color="auto"/>
              <w:bottom w:val="single" w:sz="8" w:space="0" w:color="auto"/>
              <w:right w:val="single" w:sz="8" w:space="0" w:color="auto"/>
            </w:tcBorders>
          </w:tcPr>
          <w:p w14:paraId="5B81BBFA" w14:textId="5E2A1D69" w:rsidR="000E4397" w:rsidRPr="00F349EA" w:rsidRDefault="000E4397" w:rsidP="000E4397">
            <w:pPr>
              <w:spacing w:line="276" w:lineRule="auto"/>
              <w:textAlignment w:val="baseline"/>
              <w:rPr>
                <w:rFonts w:ascii="Arial" w:hAnsi="Arial" w:cs="Arial"/>
              </w:rPr>
            </w:pPr>
            <w:r w:rsidRPr="00F349EA">
              <w:rPr>
                <w:rFonts w:ascii="Arial" w:hAnsi="Arial" w:cs="Arial"/>
              </w:rPr>
              <w:t xml:space="preserve">Number of water bodies at High, Good, Moderate, Poor or Bad status/potential​ for water quality. – Improvement </w:t>
            </w:r>
          </w:p>
        </w:tc>
        <w:tc>
          <w:tcPr>
            <w:tcW w:w="384" w:type="pct"/>
            <w:tcBorders>
              <w:top w:val="single" w:sz="4" w:space="0" w:color="auto"/>
              <w:left w:val="single" w:sz="8" w:space="0" w:color="auto"/>
              <w:bottom w:val="single" w:sz="8" w:space="0" w:color="auto"/>
              <w:right w:val="single" w:sz="8" w:space="0" w:color="auto"/>
            </w:tcBorders>
          </w:tcPr>
          <w:p w14:paraId="58F8579B" w14:textId="799BACCB"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color w:val="000000"/>
              </w:rPr>
              <w:t>Strategic – Direct Influence</w:t>
            </w:r>
          </w:p>
        </w:tc>
        <w:tc>
          <w:tcPr>
            <w:tcW w:w="481" w:type="pct"/>
            <w:tcBorders>
              <w:top w:val="single" w:sz="4" w:space="0" w:color="auto"/>
              <w:left w:val="single" w:sz="4" w:space="0" w:color="auto"/>
              <w:bottom w:val="single" w:sz="4" w:space="0" w:color="auto"/>
              <w:right w:val="single" w:sz="4" w:space="0" w:color="auto"/>
            </w:tcBorders>
          </w:tcPr>
          <w:p w14:paraId="6C170B9E" w14:textId="2FE3F769"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rPr>
              <w:t xml:space="preserve">2020 data (start of third RBMP) </w:t>
            </w:r>
            <w:r w:rsidRPr="00F349EA">
              <w:rPr>
                <w:rFonts w:ascii="Arial" w:hAnsi="Arial" w:cs="Arial"/>
              </w:rPr>
              <w:br/>
            </w:r>
            <w:r w:rsidRPr="00F349EA">
              <w:rPr>
                <w:rFonts w:ascii="Arial" w:hAnsi="Arial" w:cs="Arial"/>
              </w:rPr>
              <w:br/>
              <w:t>Good or better overall condition = 87%</w:t>
            </w:r>
          </w:p>
        </w:tc>
        <w:tc>
          <w:tcPr>
            <w:tcW w:w="545" w:type="pct"/>
            <w:tcBorders>
              <w:top w:val="single" w:sz="4" w:space="0" w:color="auto"/>
              <w:left w:val="single" w:sz="4" w:space="0" w:color="auto"/>
              <w:bottom w:val="single" w:sz="4" w:space="0" w:color="auto"/>
              <w:right w:val="single" w:sz="4" w:space="0" w:color="auto"/>
            </w:tcBorders>
          </w:tcPr>
          <w:p w14:paraId="5897BB18" w14:textId="2B1C10B0"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color w:val="000000"/>
              </w:rPr>
              <w:t xml:space="preserve">As set out in RBMP3: Good or better overall condition = 92% by 2027  </w:t>
            </w:r>
          </w:p>
        </w:tc>
        <w:tc>
          <w:tcPr>
            <w:tcW w:w="417" w:type="pct"/>
            <w:tcBorders>
              <w:top w:val="single" w:sz="4" w:space="0" w:color="auto"/>
              <w:left w:val="single" w:sz="8" w:space="0" w:color="auto"/>
              <w:bottom w:val="single" w:sz="8" w:space="0" w:color="auto"/>
              <w:right w:val="single" w:sz="8" w:space="0" w:color="auto"/>
            </w:tcBorders>
          </w:tcPr>
          <w:p w14:paraId="1B155D1C" w14:textId="74A05B45" w:rsidR="000E4397" w:rsidRPr="00F349EA" w:rsidRDefault="0004733C"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Not Applicable</w:t>
            </w:r>
          </w:p>
        </w:tc>
        <w:tc>
          <w:tcPr>
            <w:tcW w:w="385" w:type="pct"/>
            <w:tcBorders>
              <w:top w:val="single" w:sz="4" w:space="0" w:color="auto"/>
              <w:left w:val="single" w:sz="4" w:space="0" w:color="auto"/>
              <w:bottom w:val="single" w:sz="4" w:space="0" w:color="auto"/>
              <w:right w:val="single" w:sz="4" w:space="0" w:color="auto"/>
            </w:tcBorders>
          </w:tcPr>
          <w:p w14:paraId="344BDC68" w14:textId="4378580D" w:rsidR="000E4397" w:rsidRPr="00F349EA" w:rsidRDefault="0004733C"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Not Applicable</w:t>
            </w:r>
          </w:p>
        </w:tc>
        <w:tc>
          <w:tcPr>
            <w:tcW w:w="1026" w:type="pct"/>
            <w:tcBorders>
              <w:top w:val="nil"/>
              <w:left w:val="single" w:sz="4" w:space="0" w:color="auto"/>
              <w:bottom w:val="single" w:sz="4" w:space="0" w:color="auto"/>
              <w:right w:val="single" w:sz="4" w:space="0" w:color="auto"/>
            </w:tcBorders>
          </w:tcPr>
          <w:p w14:paraId="55288F7A" w14:textId="6BA7BF47" w:rsidR="000E4397" w:rsidRPr="00F349EA" w:rsidRDefault="000E4397" w:rsidP="00793434">
            <w:pPr>
              <w:spacing w:line="276" w:lineRule="auto"/>
              <w:textAlignment w:val="baseline"/>
              <w:rPr>
                <w:rFonts w:eastAsia="Times New Roman" w:cstheme="minorHAnsi"/>
                <w:lang w:eastAsia="en-GB"/>
              </w:rPr>
            </w:pPr>
            <w:r w:rsidRPr="00F349EA">
              <w:rPr>
                <w:rFonts w:cstheme="minorHAnsi"/>
                <w:color w:val="000000"/>
              </w:rPr>
              <w:t>This figure will be available when Classification 2024 is released. This is on track, and the report is in the final stages of governance review.</w:t>
            </w:r>
          </w:p>
        </w:tc>
        <w:tc>
          <w:tcPr>
            <w:tcW w:w="320" w:type="pct"/>
            <w:tcBorders>
              <w:top w:val="single" w:sz="4" w:space="0" w:color="auto"/>
              <w:left w:val="single" w:sz="4" w:space="0" w:color="auto"/>
              <w:bottom w:val="single" w:sz="4" w:space="0" w:color="auto"/>
              <w:right w:val="single" w:sz="4" w:space="0" w:color="auto"/>
            </w:tcBorders>
          </w:tcPr>
          <w:p w14:paraId="3FD613AE" w14:textId="0D055B74" w:rsidR="000E4397" w:rsidRPr="00F349EA" w:rsidRDefault="000E4397" w:rsidP="00D548C0">
            <w:pPr>
              <w:spacing w:line="276" w:lineRule="auto"/>
              <w:jc w:val="center"/>
              <w:textAlignment w:val="baseline"/>
              <w:rPr>
                <w:rFonts w:ascii="Arial" w:eastAsia="Times New Roman" w:hAnsi="Arial" w:cs="Arial"/>
                <w:lang w:eastAsia="en-GB"/>
              </w:rPr>
            </w:pPr>
            <w:r w:rsidRPr="00F349EA">
              <w:rPr>
                <w:rFonts w:ascii="Arial" w:hAnsi="Arial" w:cs="Arial"/>
                <w:color w:val="000000"/>
              </w:rPr>
              <w:t>Achieved</w:t>
            </w:r>
          </w:p>
        </w:tc>
      </w:tr>
      <w:tr w:rsidR="000E4397" w:rsidRPr="00F349EA" w14:paraId="4FF951CB" w14:textId="77777777" w:rsidTr="1901DC8B">
        <w:trPr>
          <w:cantSplit/>
          <w:trHeight w:val="510"/>
        </w:trPr>
        <w:tc>
          <w:tcPr>
            <w:tcW w:w="223" w:type="pct"/>
            <w:tcBorders>
              <w:top w:val="single" w:sz="8" w:space="0" w:color="auto"/>
              <w:left w:val="single" w:sz="8" w:space="0" w:color="auto"/>
              <w:bottom w:val="single" w:sz="8" w:space="0" w:color="auto"/>
              <w:right w:val="single" w:sz="8" w:space="0" w:color="auto"/>
            </w:tcBorders>
          </w:tcPr>
          <w:p w14:paraId="20771AEE" w14:textId="046E5720" w:rsidR="000E4397" w:rsidRPr="00F349EA" w:rsidRDefault="000E4397" w:rsidP="000E4397">
            <w:pPr>
              <w:spacing w:line="276" w:lineRule="auto"/>
              <w:textAlignment w:val="baseline"/>
              <w:rPr>
                <w:rFonts w:ascii="Arial" w:hAnsi="Arial" w:cs="Arial"/>
              </w:rPr>
            </w:pPr>
            <w:r w:rsidRPr="00F349EA">
              <w:rPr>
                <w:rFonts w:ascii="Arial" w:hAnsi="Arial" w:cs="Arial"/>
              </w:rPr>
              <w:lastRenderedPageBreak/>
              <w:t>WE03</w:t>
            </w:r>
          </w:p>
        </w:tc>
        <w:tc>
          <w:tcPr>
            <w:tcW w:w="417" w:type="pct"/>
            <w:tcBorders>
              <w:top w:val="single" w:sz="8" w:space="0" w:color="auto"/>
              <w:left w:val="single" w:sz="8" w:space="0" w:color="auto"/>
              <w:bottom w:val="single" w:sz="8" w:space="0" w:color="auto"/>
              <w:right w:val="single" w:sz="8" w:space="0" w:color="auto"/>
            </w:tcBorders>
          </w:tcPr>
          <w:p w14:paraId="1450E452" w14:textId="617C9C20" w:rsidR="000E4397" w:rsidRPr="00F349EA" w:rsidRDefault="000E4397" w:rsidP="000E4397">
            <w:pPr>
              <w:spacing w:line="276" w:lineRule="auto"/>
              <w:textAlignment w:val="baseline"/>
              <w:rPr>
                <w:rFonts w:ascii="Arial" w:hAnsi="Arial" w:cs="Arial"/>
              </w:rPr>
            </w:pPr>
            <w:r w:rsidRPr="00F349EA">
              <w:rPr>
                <w:rFonts w:ascii="Arial" w:hAnsi="Arial" w:cs="Arial"/>
              </w:rPr>
              <w:t>Water Environment</w:t>
            </w:r>
          </w:p>
        </w:tc>
        <w:tc>
          <w:tcPr>
            <w:tcW w:w="802" w:type="pct"/>
            <w:tcBorders>
              <w:top w:val="single" w:sz="8" w:space="0" w:color="auto"/>
              <w:left w:val="single" w:sz="8" w:space="0" w:color="auto"/>
              <w:bottom w:val="single" w:sz="8" w:space="0" w:color="auto"/>
              <w:right w:val="single" w:sz="8" w:space="0" w:color="auto"/>
            </w:tcBorders>
          </w:tcPr>
          <w:p w14:paraId="7E53D8AE" w14:textId="10B72FD8" w:rsidR="000E4397" w:rsidRPr="00F349EA" w:rsidRDefault="000E4397" w:rsidP="000E4397">
            <w:pPr>
              <w:spacing w:line="276" w:lineRule="auto"/>
              <w:textAlignment w:val="baseline"/>
              <w:rPr>
                <w:rFonts w:ascii="Arial" w:hAnsi="Arial" w:cs="Arial"/>
              </w:rPr>
            </w:pPr>
            <w:r w:rsidRPr="00F349EA">
              <w:rPr>
                <w:rFonts w:ascii="Arial" w:hAnsi="Arial" w:cs="Arial"/>
              </w:rPr>
              <w:t>Number of water bodies at High, Good, Moderate, Poor or Bad status/potential​ for water flows and levels – Improvement</w:t>
            </w:r>
          </w:p>
        </w:tc>
        <w:tc>
          <w:tcPr>
            <w:tcW w:w="384" w:type="pct"/>
            <w:tcBorders>
              <w:top w:val="single" w:sz="8" w:space="0" w:color="auto"/>
              <w:left w:val="single" w:sz="8" w:space="0" w:color="auto"/>
              <w:bottom w:val="single" w:sz="8" w:space="0" w:color="auto"/>
              <w:right w:val="single" w:sz="8" w:space="0" w:color="auto"/>
            </w:tcBorders>
          </w:tcPr>
          <w:p w14:paraId="71AC8292" w14:textId="3AA84E07"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color w:val="000000"/>
              </w:rPr>
              <w:t>Strategic – Direct Influence</w:t>
            </w:r>
          </w:p>
        </w:tc>
        <w:tc>
          <w:tcPr>
            <w:tcW w:w="481" w:type="pct"/>
            <w:tcBorders>
              <w:top w:val="nil"/>
              <w:left w:val="single" w:sz="4" w:space="0" w:color="auto"/>
              <w:bottom w:val="single" w:sz="4" w:space="0" w:color="auto"/>
              <w:right w:val="single" w:sz="4" w:space="0" w:color="auto"/>
            </w:tcBorders>
          </w:tcPr>
          <w:p w14:paraId="0E66B945" w14:textId="5F72CE9A"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rPr>
              <w:t>2020 data (start of third RBMP). Good or better overall condition = 90%</w:t>
            </w:r>
          </w:p>
        </w:tc>
        <w:tc>
          <w:tcPr>
            <w:tcW w:w="545" w:type="pct"/>
            <w:tcBorders>
              <w:top w:val="nil"/>
              <w:left w:val="single" w:sz="4" w:space="0" w:color="auto"/>
              <w:bottom w:val="single" w:sz="4" w:space="0" w:color="auto"/>
              <w:right w:val="single" w:sz="4" w:space="0" w:color="auto"/>
            </w:tcBorders>
          </w:tcPr>
          <w:p w14:paraId="067B4A62" w14:textId="46D68139"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color w:val="000000"/>
              </w:rPr>
              <w:t xml:space="preserve">As set out in RBMP3: Good or better overall condition = 96% by 2027  </w:t>
            </w:r>
          </w:p>
        </w:tc>
        <w:tc>
          <w:tcPr>
            <w:tcW w:w="417" w:type="pct"/>
            <w:tcBorders>
              <w:top w:val="single" w:sz="8" w:space="0" w:color="auto"/>
              <w:left w:val="single" w:sz="8" w:space="0" w:color="auto"/>
              <w:bottom w:val="single" w:sz="8" w:space="0" w:color="auto"/>
              <w:right w:val="single" w:sz="8" w:space="0" w:color="auto"/>
            </w:tcBorders>
          </w:tcPr>
          <w:p w14:paraId="021A0285" w14:textId="2442D14B" w:rsidR="000E4397" w:rsidRPr="00F349EA" w:rsidRDefault="00062789"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Not Applicable</w:t>
            </w:r>
          </w:p>
        </w:tc>
        <w:tc>
          <w:tcPr>
            <w:tcW w:w="385" w:type="pct"/>
            <w:tcBorders>
              <w:top w:val="single" w:sz="4" w:space="0" w:color="auto"/>
              <w:left w:val="single" w:sz="4" w:space="0" w:color="auto"/>
              <w:bottom w:val="single" w:sz="4" w:space="0" w:color="auto"/>
              <w:right w:val="single" w:sz="4" w:space="0" w:color="auto"/>
            </w:tcBorders>
          </w:tcPr>
          <w:p w14:paraId="33946E39" w14:textId="3C99CFBE" w:rsidR="000E4397" w:rsidRPr="00F349EA" w:rsidRDefault="00062789"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Not Applicable</w:t>
            </w:r>
          </w:p>
        </w:tc>
        <w:tc>
          <w:tcPr>
            <w:tcW w:w="1026" w:type="pct"/>
            <w:tcBorders>
              <w:top w:val="nil"/>
              <w:left w:val="single" w:sz="4" w:space="0" w:color="auto"/>
              <w:bottom w:val="single" w:sz="4" w:space="0" w:color="auto"/>
              <w:right w:val="single" w:sz="4" w:space="0" w:color="auto"/>
            </w:tcBorders>
          </w:tcPr>
          <w:p w14:paraId="3ADF55F3" w14:textId="1D61FFA8" w:rsidR="000E4397" w:rsidRPr="00F349EA" w:rsidRDefault="000E4397" w:rsidP="00D548C0">
            <w:pPr>
              <w:spacing w:line="276" w:lineRule="auto"/>
              <w:textAlignment w:val="baseline"/>
              <w:rPr>
                <w:rFonts w:eastAsia="Times New Roman" w:cstheme="minorHAnsi"/>
                <w:lang w:eastAsia="en-GB"/>
              </w:rPr>
            </w:pPr>
            <w:r w:rsidRPr="00F349EA">
              <w:rPr>
                <w:rFonts w:cstheme="minorHAnsi"/>
                <w:color w:val="000000"/>
              </w:rPr>
              <w:t>This figure will be available when Classification 2024 is released. This is on track, and the report is in the final stages of governance review.</w:t>
            </w:r>
          </w:p>
        </w:tc>
        <w:tc>
          <w:tcPr>
            <w:tcW w:w="320" w:type="pct"/>
            <w:tcBorders>
              <w:top w:val="nil"/>
              <w:left w:val="single" w:sz="4" w:space="0" w:color="auto"/>
              <w:bottom w:val="single" w:sz="4" w:space="0" w:color="auto"/>
              <w:right w:val="single" w:sz="4" w:space="0" w:color="auto"/>
            </w:tcBorders>
          </w:tcPr>
          <w:p w14:paraId="24F11682" w14:textId="7F14ED3F" w:rsidR="000E4397" w:rsidRPr="00F349EA" w:rsidRDefault="000E4397" w:rsidP="00D548C0">
            <w:pPr>
              <w:spacing w:line="276" w:lineRule="auto"/>
              <w:jc w:val="center"/>
              <w:textAlignment w:val="baseline"/>
              <w:rPr>
                <w:rFonts w:ascii="Arial" w:eastAsia="Times New Roman" w:hAnsi="Arial" w:cs="Arial"/>
                <w:lang w:eastAsia="en-GB"/>
              </w:rPr>
            </w:pPr>
            <w:r w:rsidRPr="00F349EA">
              <w:rPr>
                <w:rFonts w:ascii="Arial" w:hAnsi="Arial" w:cs="Arial"/>
                <w:color w:val="000000"/>
              </w:rPr>
              <w:t>Achieved</w:t>
            </w:r>
          </w:p>
        </w:tc>
      </w:tr>
      <w:tr w:rsidR="000E4397" w:rsidRPr="00F349EA" w14:paraId="1868F06B" w14:textId="77777777" w:rsidTr="1901DC8B">
        <w:trPr>
          <w:cantSplit/>
          <w:trHeight w:val="510"/>
        </w:trPr>
        <w:tc>
          <w:tcPr>
            <w:tcW w:w="223" w:type="pct"/>
            <w:tcBorders>
              <w:top w:val="single" w:sz="8" w:space="0" w:color="auto"/>
              <w:left w:val="single" w:sz="8" w:space="0" w:color="auto"/>
              <w:bottom w:val="single" w:sz="4" w:space="0" w:color="auto"/>
              <w:right w:val="single" w:sz="8" w:space="0" w:color="auto"/>
            </w:tcBorders>
          </w:tcPr>
          <w:p w14:paraId="0A1067E6" w14:textId="0183004E" w:rsidR="000E4397" w:rsidRPr="00F349EA" w:rsidRDefault="000E4397" w:rsidP="000E4397">
            <w:pPr>
              <w:spacing w:line="276" w:lineRule="auto"/>
              <w:textAlignment w:val="baseline"/>
              <w:rPr>
                <w:rFonts w:ascii="Arial" w:hAnsi="Arial" w:cs="Arial"/>
              </w:rPr>
            </w:pPr>
            <w:r w:rsidRPr="00F349EA">
              <w:rPr>
                <w:rFonts w:ascii="Arial" w:hAnsi="Arial" w:cs="Arial"/>
              </w:rPr>
              <w:t>WE04</w:t>
            </w:r>
          </w:p>
        </w:tc>
        <w:tc>
          <w:tcPr>
            <w:tcW w:w="417" w:type="pct"/>
            <w:tcBorders>
              <w:top w:val="single" w:sz="8" w:space="0" w:color="auto"/>
              <w:left w:val="single" w:sz="8" w:space="0" w:color="auto"/>
              <w:bottom w:val="single" w:sz="4" w:space="0" w:color="auto"/>
              <w:right w:val="single" w:sz="8" w:space="0" w:color="auto"/>
            </w:tcBorders>
          </w:tcPr>
          <w:p w14:paraId="326E96B5" w14:textId="794FCBD3" w:rsidR="000E4397" w:rsidRPr="00F349EA" w:rsidRDefault="000E4397" w:rsidP="000E4397">
            <w:pPr>
              <w:spacing w:line="276" w:lineRule="auto"/>
              <w:textAlignment w:val="baseline"/>
              <w:rPr>
                <w:rFonts w:ascii="Arial" w:hAnsi="Arial" w:cs="Arial"/>
              </w:rPr>
            </w:pPr>
            <w:r w:rsidRPr="00F349EA">
              <w:rPr>
                <w:rFonts w:ascii="Arial" w:hAnsi="Arial" w:cs="Arial"/>
              </w:rPr>
              <w:t>Water Environment</w:t>
            </w:r>
          </w:p>
        </w:tc>
        <w:tc>
          <w:tcPr>
            <w:tcW w:w="802" w:type="pct"/>
            <w:tcBorders>
              <w:top w:val="single" w:sz="8" w:space="0" w:color="auto"/>
              <w:left w:val="single" w:sz="8" w:space="0" w:color="auto"/>
              <w:bottom w:val="single" w:sz="4" w:space="0" w:color="auto"/>
              <w:right w:val="single" w:sz="8" w:space="0" w:color="auto"/>
            </w:tcBorders>
          </w:tcPr>
          <w:p w14:paraId="5798616A" w14:textId="14F8D7CF" w:rsidR="000E4397" w:rsidRPr="00F349EA" w:rsidRDefault="000E4397" w:rsidP="000E4397">
            <w:pPr>
              <w:spacing w:line="276" w:lineRule="auto"/>
              <w:textAlignment w:val="baseline"/>
              <w:rPr>
                <w:rFonts w:ascii="Arial" w:hAnsi="Arial" w:cs="Arial"/>
              </w:rPr>
            </w:pPr>
            <w:r w:rsidRPr="00F349EA">
              <w:rPr>
                <w:rFonts w:ascii="Arial" w:hAnsi="Arial" w:cs="Arial"/>
              </w:rPr>
              <w:t>Number of surface water bodies at High, Good, Moderate, Poor or Bad status/potential​ for physical condition. – Improvement</w:t>
            </w:r>
          </w:p>
        </w:tc>
        <w:tc>
          <w:tcPr>
            <w:tcW w:w="384" w:type="pct"/>
            <w:tcBorders>
              <w:top w:val="single" w:sz="8" w:space="0" w:color="auto"/>
              <w:left w:val="single" w:sz="8" w:space="0" w:color="auto"/>
              <w:bottom w:val="single" w:sz="4" w:space="0" w:color="auto"/>
              <w:right w:val="single" w:sz="8" w:space="0" w:color="auto"/>
            </w:tcBorders>
          </w:tcPr>
          <w:p w14:paraId="0BDDFA2D" w14:textId="13466B8D"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color w:val="000000"/>
              </w:rPr>
              <w:t>Strategic – Direct Influence</w:t>
            </w:r>
          </w:p>
        </w:tc>
        <w:tc>
          <w:tcPr>
            <w:tcW w:w="481" w:type="pct"/>
            <w:tcBorders>
              <w:top w:val="nil"/>
              <w:left w:val="single" w:sz="4" w:space="0" w:color="auto"/>
              <w:bottom w:val="single" w:sz="4" w:space="0" w:color="auto"/>
              <w:right w:val="single" w:sz="4" w:space="0" w:color="auto"/>
            </w:tcBorders>
          </w:tcPr>
          <w:p w14:paraId="73C55C9D" w14:textId="33B66FA3"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rPr>
              <w:t>2020 data (start of third RBMP). Good or better overall condition = 90%</w:t>
            </w:r>
          </w:p>
        </w:tc>
        <w:tc>
          <w:tcPr>
            <w:tcW w:w="545" w:type="pct"/>
            <w:tcBorders>
              <w:top w:val="nil"/>
              <w:left w:val="single" w:sz="4" w:space="0" w:color="auto"/>
              <w:bottom w:val="single" w:sz="4" w:space="0" w:color="auto"/>
              <w:right w:val="single" w:sz="4" w:space="0" w:color="auto"/>
            </w:tcBorders>
          </w:tcPr>
          <w:p w14:paraId="1D09EE86" w14:textId="57C97C27"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color w:val="000000"/>
              </w:rPr>
              <w:t xml:space="preserve">As set out in RBMP3: Good or better overall condition = 92% by 2027  </w:t>
            </w:r>
          </w:p>
        </w:tc>
        <w:tc>
          <w:tcPr>
            <w:tcW w:w="417" w:type="pct"/>
            <w:tcBorders>
              <w:top w:val="single" w:sz="8" w:space="0" w:color="auto"/>
              <w:left w:val="single" w:sz="8" w:space="0" w:color="auto"/>
              <w:bottom w:val="single" w:sz="4" w:space="0" w:color="auto"/>
              <w:right w:val="single" w:sz="8" w:space="0" w:color="auto"/>
            </w:tcBorders>
          </w:tcPr>
          <w:p w14:paraId="5DD33B94" w14:textId="73C374A0" w:rsidR="000E4397" w:rsidRPr="00F349EA" w:rsidRDefault="00062789"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Not Applicable</w:t>
            </w:r>
          </w:p>
        </w:tc>
        <w:tc>
          <w:tcPr>
            <w:tcW w:w="385" w:type="pct"/>
            <w:tcBorders>
              <w:top w:val="single" w:sz="4" w:space="0" w:color="auto"/>
              <w:left w:val="single" w:sz="4" w:space="0" w:color="auto"/>
              <w:bottom w:val="single" w:sz="4" w:space="0" w:color="auto"/>
              <w:right w:val="single" w:sz="4" w:space="0" w:color="auto"/>
            </w:tcBorders>
          </w:tcPr>
          <w:p w14:paraId="118BF898" w14:textId="31CCAD8B" w:rsidR="000E4397" w:rsidRPr="00F349EA" w:rsidRDefault="00062789"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Not Applicable</w:t>
            </w:r>
          </w:p>
        </w:tc>
        <w:tc>
          <w:tcPr>
            <w:tcW w:w="1026" w:type="pct"/>
            <w:tcBorders>
              <w:top w:val="nil"/>
              <w:left w:val="single" w:sz="4" w:space="0" w:color="auto"/>
              <w:bottom w:val="single" w:sz="4" w:space="0" w:color="auto"/>
              <w:right w:val="single" w:sz="4" w:space="0" w:color="auto"/>
            </w:tcBorders>
          </w:tcPr>
          <w:p w14:paraId="0BA1958E" w14:textId="5399830E" w:rsidR="000E4397" w:rsidRPr="00F349EA" w:rsidRDefault="000E4397" w:rsidP="00D548C0">
            <w:pPr>
              <w:spacing w:line="276" w:lineRule="auto"/>
              <w:textAlignment w:val="baseline"/>
              <w:rPr>
                <w:rFonts w:eastAsia="Times New Roman" w:cstheme="minorHAnsi"/>
                <w:lang w:eastAsia="en-GB"/>
              </w:rPr>
            </w:pPr>
            <w:r w:rsidRPr="00F349EA">
              <w:rPr>
                <w:rFonts w:cstheme="minorHAnsi"/>
                <w:color w:val="000000"/>
              </w:rPr>
              <w:t>This figure will be available when Classification 2024 is released. This is on track, and the report is in the final stages of governance review.</w:t>
            </w:r>
          </w:p>
        </w:tc>
        <w:tc>
          <w:tcPr>
            <w:tcW w:w="320" w:type="pct"/>
            <w:tcBorders>
              <w:top w:val="single" w:sz="4" w:space="0" w:color="auto"/>
              <w:left w:val="single" w:sz="4" w:space="0" w:color="auto"/>
              <w:bottom w:val="single" w:sz="4" w:space="0" w:color="auto"/>
              <w:right w:val="single" w:sz="4" w:space="0" w:color="auto"/>
            </w:tcBorders>
          </w:tcPr>
          <w:p w14:paraId="50F31491" w14:textId="7D3B9AB4" w:rsidR="000E4397" w:rsidRPr="00F349EA" w:rsidRDefault="000E4397" w:rsidP="00D548C0">
            <w:pPr>
              <w:spacing w:line="276" w:lineRule="auto"/>
              <w:jc w:val="center"/>
              <w:textAlignment w:val="baseline"/>
              <w:rPr>
                <w:rFonts w:ascii="Arial" w:eastAsia="Times New Roman" w:hAnsi="Arial" w:cs="Arial"/>
                <w:lang w:eastAsia="en-GB"/>
              </w:rPr>
            </w:pPr>
            <w:r w:rsidRPr="00F349EA">
              <w:rPr>
                <w:rFonts w:ascii="Arial" w:hAnsi="Arial" w:cs="Arial"/>
                <w:color w:val="000000"/>
              </w:rPr>
              <w:t>Achieved</w:t>
            </w:r>
          </w:p>
        </w:tc>
      </w:tr>
      <w:tr w:rsidR="000E4397" w:rsidRPr="00F349EA" w14:paraId="3ABD58A0" w14:textId="77777777" w:rsidTr="1901DC8B">
        <w:trPr>
          <w:cantSplit/>
          <w:trHeight w:val="510"/>
        </w:trPr>
        <w:tc>
          <w:tcPr>
            <w:tcW w:w="223" w:type="pct"/>
            <w:tcBorders>
              <w:top w:val="single" w:sz="4" w:space="0" w:color="auto"/>
              <w:left w:val="single" w:sz="4" w:space="0" w:color="auto"/>
              <w:bottom w:val="single" w:sz="4" w:space="0" w:color="auto"/>
              <w:right w:val="single" w:sz="4" w:space="0" w:color="auto"/>
            </w:tcBorders>
          </w:tcPr>
          <w:p w14:paraId="094783AA" w14:textId="391E4807" w:rsidR="000E4397" w:rsidRPr="00F349EA" w:rsidRDefault="000E4397" w:rsidP="000E4397">
            <w:pPr>
              <w:spacing w:line="276" w:lineRule="auto"/>
              <w:textAlignment w:val="baseline"/>
              <w:rPr>
                <w:rFonts w:ascii="Arial" w:hAnsi="Arial" w:cs="Arial"/>
              </w:rPr>
            </w:pPr>
            <w:r w:rsidRPr="00F349EA">
              <w:rPr>
                <w:rFonts w:ascii="Arial" w:hAnsi="Arial" w:cs="Arial"/>
              </w:rPr>
              <w:t>WE05</w:t>
            </w:r>
          </w:p>
        </w:tc>
        <w:tc>
          <w:tcPr>
            <w:tcW w:w="417" w:type="pct"/>
            <w:tcBorders>
              <w:top w:val="single" w:sz="4" w:space="0" w:color="auto"/>
              <w:left w:val="single" w:sz="4" w:space="0" w:color="auto"/>
              <w:bottom w:val="single" w:sz="4" w:space="0" w:color="auto"/>
              <w:right w:val="single" w:sz="4" w:space="0" w:color="auto"/>
            </w:tcBorders>
          </w:tcPr>
          <w:p w14:paraId="1792CF07" w14:textId="6CC4658E" w:rsidR="000E4397" w:rsidRPr="00F349EA" w:rsidRDefault="000E4397" w:rsidP="000E4397">
            <w:pPr>
              <w:spacing w:line="276" w:lineRule="auto"/>
              <w:textAlignment w:val="baseline"/>
              <w:rPr>
                <w:rFonts w:ascii="Arial" w:hAnsi="Arial" w:cs="Arial"/>
              </w:rPr>
            </w:pPr>
            <w:r w:rsidRPr="00F349EA">
              <w:rPr>
                <w:rFonts w:ascii="Arial" w:hAnsi="Arial" w:cs="Arial"/>
              </w:rPr>
              <w:t>Water Environment</w:t>
            </w:r>
          </w:p>
        </w:tc>
        <w:tc>
          <w:tcPr>
            <w:tcW w:w="802" w:type="pct"/>
            <w:tcBorders>
              <w:top w:val="single" w:sz="4" w:space="0" w:color="auto"/>
              <w:left w:val="single" w:sz="4" w:space="0" w:color="auto"/>
              <w:bottom w:val="single" w:sz="4" w:space="0" w:color="auto"/>
              <w:right w:val="single" w:sz="4" w:space="0" w:color="auto"/>
            </w:tcBorders>
          </w:tcPr>
          <w:p w14:paraId="761CF0D8" w14:textId="297BDBD8" w:rsidR="000E4397" w:rsidRPr="00F349EA" w:rsidRDefault="000E4397" w:rsidP="000E4397">
            <w:pPr>
              <w:spacing w:line="276" w:lineRule="auto"/>
              <w:textAlignment w:val="baseline"/>
              <w:rPr>
                <w:rFonts w:ascii="Arial" w:hAnsi="Arial" w:cs="Arial"/>
              </w:rPr>
            </w:pPr>
            <w:r w:rsidRPr="00F349EA">
              <w:rPr>
                <w:rFonts w:ascii="Arial" w:hAnsi="Arial" w:cs="Arial"/>
              </w:rPr>
              <w:t>Number of surface water bodies at High, Good, Moderate, Poor or Bad status/potential​ for fish migration – Improvement</w:t>
            </w:r>
          </w:p>
        </w:tc>
        <w:tc>
          <w:tcPr>
            <w:tcW w:w="384" w:type="pct"/>
            <w:tcBorders>
              <w:top w:val="single" w:sz="4" w:space="0" w:color="auto"/>
              <w:left w:val="single" w:sz="4" w:space="0" w:color="auto"/>
              <w:bottom w:val="single" w:sz="4" w:space="0" w:color="auto"/>
              <w:right w:val="single" w:sz="4" w:space="0" w:color="auto"/>
            </w:tcBorders>
          </w:tcPr>
          <w:p w14:paraId="4F507C3D" w14:textId="5B1BA637"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color w:val="000000"/>
              </w:rPr>
              <w:t>Strategic – Direct Influence</w:t>
            </w:r>
          </w:p>
        </w:tc>
        <w:tc>
          <w:tcPr>
            <w:tcW w:w="481" w:type="pct"/>
            <w:tcBorders>
              <w:top w:val="single" w:sz="4" w:space="0" w:color="auto"/>
              <w:left w:val="single" w:sz="4" w:space="0" w:color="auto"/>
              <w:bottom w:val="single" w:sz="4" w:space="0" w:color="auto"/>
              <w:right w:val="single" w:sz="4" w:space="0" w:color="auto"/>
            </w:tcBorders>
          </w:tcPr>
          <w:p w14:paraId="56EFD8FA" w14:textId="1B5F5C3E"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rPr>
              <w:t>2020 data (start of third RBMP). Good or better overall condition = 88%</w:t>
            </w:r>
          </w:p>
        </w:tc>
        <w:tc>
          <w:tcPr>
            <w:tcW w:w="545" w:type="pct"/>
            <w:tcBorders>
              <w:top w:val="single" w:sz="4" w:space="0" w:color="auto"/>
              <w:left w:val="single" w:sz="4" w:space="0" w:color="auto"/>
              <w:bottom w:val="single" w:sz="4" w:space="0" w:color="auto"/>
              <w:right w:val="single" w:sz="4" w:space="0" w:color="auto"/>
            </w:tcBorders>
          </w:tcPr>
          <w:p w14:paraId="609CC36E" w14:textId="6BA2C622"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color w:val="000000"/>
              </w:rPr>
              <w:t xml:space="preserve">As set out in RBMP3: Good or better overall condition = 99% by 2027  </w:t>
            </w:r>
          </w:p>
        </w:tc>
        <w:tc>
          <w:tcPr>
            <w:tcW w:w="417" w:type="pct"/>
            <w:tcBorders>
              <w:top w:val="single" w:sz="4" w:space="0" w:color="auto"/>
              <w:left w:val="single" w:sz="4" w:space="0" w:color="auto"/>
              <w:bottom w:val="single" w:sz="4" w:space="0" w:color="auto"/>
              <w:right w:val="single" w:sz="4" w:space="0" w:color="auto"/>
            </w:tcBorders>
          </w:tcPr>
          <w:p w14:paraId="5DBB0E0B" w14:textId="142A7249" w:rsidR="000E4397" w:rsidRPr="00F349EA" w:rsidRDefault="00062789"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Not Applicable</w:t>
            </w:r>
          </w:p>
        </w:tc>
        <w:tc>
          <w:tcPr>
            <w:tcW w:w="385" w:type="pct"/>
            <w:tcBorders>
              <w:top w:val="single" w:sz="4" w:space="0" w:color="auto"/>
              <w:left w:val="single" w:sz="4" w:space="0" w:color="auto"/>
              <w:bottom w:val="single" w:sz="4" w:space="0" w:color="auto"/>
              <w:right w:val="single" w:sz="4" w:space="0" w:color="auto"/>
            </w:tcBorders>
          </w:tcPr>
          <w:p w14:paraId="51E169F6" w14:textId="2D03121F" w:rsidR="000E4397" w:rsidRPr="00F349EA" w:rsidRDefault="00062789"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Not Applicable</w:t>
            </w:r>
          </w:p>
        </w:tc>
        <w:tc>
          <w:tcPr>
            <w:tcW w:w="1026" w:type="pct"/>
            <w:tcBorders>
              <w:top w:val="nil"/>
              <w:left w:val="single" w:sz="4" w:space="0" w:color="auto"/>
              <w:bottom w:val="single" w:sz="4" w:space="0" w:color="auto"/>
              <w:right w:val="single" w:sz="4" w:space="0" w:color="auto"/>
            </w:tcBorders>
          </w:tcPr>
          <w:p w14:paraId="6C16ACB0" w14:textId="4345A4AD" w:rsidR="000E4397" w:rsidRPr="00F349EA" w:rsidRDefault="000E4397" w:rsidP="00C32884">
            <w:pPr>
              <w:spacing w:line="276" w:lineRule="auto"/>
              <w:textAlignment w:val="baseline"/>
              <w:rPr>
                <w:rFonts w:eastAsia="Times New Roman" w:cstheme="minorHAnsi"/>
                <w:lang w:eastAsia="en-GB"/>
              </w:rPr>
            </w:pPr>
            <w:r w:rsidRPr="00F349EA">
              <w:rPr>
                <w:rFonts w:cstheme="minorHAnsi"/>
                <w:color w:val="000000"/>
              </w:rPr>
              <w:t>This figure will be available when Classification 2024 is released. This is on track, and the report is in the final stages of governance review.</w:t>
            </w:r>
          </w:p>
        </w:tc>
        <w:tc>
          <w:tcPr>
            <w:tcW w:w="320" w:type="pct"/>
            <w:tcBorders>
              <w:top w:val="single" w:sz="4" w:space="0" w:color="auto"/>
              <w:left w:val="single" w:sz="4" w:space="0" w:color="auto"/>
              <w:bottom w:val="single" w:sz="4" w:space="0" w:color="auto"/>
              <w:right w:val="single" w:sz="4" w:space="0" w:color="auto"/>
            </w:tcBorders>
          </w:tcPr>
          <w:p w14:paraId="3CEBBCF8" w14:textId="1FC712DE" w:rsidR="000E4397" w:rsidRPr="00F349EA" w:rsidRDefault="000E4397" w:rsidP="000E4397">
            <w:pPr>
              <w:spacing w:line="276" w:lineRule="auto"/>
              <w:jc w:val="center"/>
              <w:textAlignment w:val="baseline"/>
              <w:rPr>
                <w:rFonts w:ascii="Arial" w:eastAsia="Times New Roman" w:hAnsi="Arial" w:cs="Arial"/>
                <w:lang w:eastAsia="en-GB"/>
              </w:rPr>
            </w:pPr>
            <w:r w:rsidRPr="00F349EA">
              <w:rPr>
                <w:rFonts w:ascii="Arial" w:hAnsi="Arial" w:cs="Arial"/>
                <w:color w:val="000000"/>
              </w:rPr>
              <w:t>Achieved</w:t>
            </w:r>
          </w:p>
        </w:tc>
      </w:tr>
      <w:tr w:rsidR="00312056" w:rsidRPr="00F349EA" w14:paraId="3BBCC96D" w14:textId="77777777" w:rsidTr="1901DC8B">
        <w:trPr>
          <w:cantSplit/>
          <w:trHeight w:val="510"/>
        </w:trPr>
        <w:tc>
          <w:tcPr>
            <w:tcW w:w="223" w:type="pct"/>
            <w:tcBorders>
              <w:top w:val="single" w:sz="4" w:space="0" w:color="auto"/>
              <w:left w:val="single" w:sz="4" w:space="0" w:color="auto"/>
              <w:bottom w:val="single" w:sz="4" w:space="0" w:color="auto"/>
              <w:right w:val="single" w:sz="4" w:space="0" w:color="auto"/>
            </w:tcBorders>
          </w:tcPr>
          <w:p w14:paraId="6BCD4754" w14:textId="48BCFF71" w:rsidR="00312056" w:rsidRPr="00F349EA" w:rsidRDefault="00312056" w:rsidP="00312056">
            <w:pPr>
              <w:spacing w:line="276" w:lineRule="auto"/>
              <w:textAlignment w:val="baseline"/>
              <w:rPr>
                <w:rFonts w:ascii="Arial" w:hAnsi="Arial" w:cs="Arial"/>
              </w:rPr>
            </w:pPr>
            <w:r w:rsidRPr="00F349EA">
              <w:rPr>
                <w:rFonts w:ascii="Arial" w:hAnsi="Arial" w:cs="Arial"/>
              </w:rPr>
              <w:t>WE06</w:t>
            </w:r>
          </w:p>
        </w:tc>
        <w:tc>
          <w:tcPr>
            <w:tcW w:w="417" w:type="pct"/>
            <w:tcBorders>
              <w:top w:val="single" w:sz="4" w:space="0" w:color="auto"/>
              <w:left w:val="single" w:sz="4" w:space="0" w:color="auto"/>
              <w:bottom w:val="single" w:sz="4" w:space="0" w:color="auto"/>
              <w:right w:val="single" w:sz="4" w:space="0" w:color="auto"/>
            </w:tcBorders>
          </w:tcPr>
          <w:p w14:paraId="3D365A27" w14:textId="48C1DFB2" w:rsidR="00312056" w:rsidRPr="00F349EA" w:rsidRDefault="00312056" w:rsidP="00312056">
            <w:pPr>
              <w:spacing w:line="276" w:lineRule="auto"/>
              <w:textAlignment w:val="baseline"/>
              <w:rPr>
                <w:rFonts w:ascii="Arial" w:hAnsi="Arial" w:cs="Arial"/>
              </w:rPr>
            </w:pPr>
            <w:r w:rsidRPr="00F349EA">
              <w:rPr>
                <w:rFonts w:ascii="Arial" w:hAnsi="Arial" w:cs="Arial"/>
              </w:rPr>
              <w:t>Water Environment</w:t>
            </w:r>
          </w:p>
        </w:tc>
        <w:tc>
          <w:tcPr>
            <w:tcW w:w="802" w:type="pct"/>
            <w:tcBorders>
              <w:top w:val="single" w:sz="4" w:space="0" w:color="auto"/>
              <w:left w:val="single" w:sz="4" w:space="0" w:color="auto"/>
              <w:bottom w:val="single" w:sz="4" w:space="0" w:color="auto"/>
              <w:right w:val="single" w:sz="4" w:space="0" w:color="auto"/>
            </w:tcBorders>
          </w:tcPr>
          <w:p w14:paraId="692D4EBA" w14:textId="0FADB76D" w:rsidR="00312056" w:rsidRPr="00F349EA" w:rsidRDefault="00312056" w:rsidP="00312056">
            <w:pPr>
              <w:spacing w:line="276" w:lineRule="auto"/>
              <w:textAlignment w:val="baseline"/>
              <w:rPr>
                <w:rFonts w:ascii="Arial" w:hAnsi="Arial" w:cs="Arial"/>
              </w:rPr>
            </w:pPr>
            <w:r w:rsidRPr="00F349EA">
              <w:rPr>
                <w:rFonts w:ascii="Arial" w:hAnsi="Arial" w:cs="Arial"/>
              </w:rPr>
              <w:t>Percentage of bathing waters meeting excellent, good, or sufficient quality standards​– Improvement</w:t>
            </w:r>
          </w:p>
        </w:tc>
        <w:tc>
          <w:tcPr>
            <w:tcW w:w="384" w:type="pct"/>
            <w:tcBorders>
              <w:top w:val="single" w:sz="4" w:space="0" w:color="auto"/>
              <w:left w:val="single" w:sz="4" w:space="0" w:color="auto"/>
              <w:bottom w:val="single" w:sz="4" w:space="0" w:color="auto"/>
              <w:right w:val="single" w:sz="4" w:space="0" w:color="auto"/>
            </w:tcBorders>
          </w:tcPr>
          <w:p w14:paraId="0A321721" w14:textId="6460F533" w:rsidR="00312056" w:rsidRPr="00F349EA" w:rsidRDefault="00312056" w:rsidP="00312056">
            <w:pPr>
              <w:spacing w:line="276" w:lineRule="auto"/>
              <w:textAlignment w:val="baseline"/>
              <w:rPr>
                <w:rFonts w:ascii="Arial" w:eastAsia="Times New Roman" w:hAnsi="Arial" w:cs="Arial"/>
                <w:lang w:eastAsia="en-GB"/>
              </w:rPr>
            </w:pPr>
            <w:r w:rsidRPr="00F349EA">
              <w:rPr>
                <w:rFonts w:ascii="Arial" w:hAnsi="Arial" w:cs="Arial"/>
                <w:color w:val="000000"/>
              </w:rPr>
              <w:t>Strategic – Direct Influence</w:t>
            </w:r>
          </w:p>
        </w:tc>
        <w:tc>
          <w:tcPr>
            <w:tcW w:w="481" w:type="pct"/>
            <w:tcBorders>
              <w:top w:val="single" w:sz="4" w:space="0" w:color="auto"/>
              <w:left w:val="single" w:sz="4" w:space="0" w:color="auto"/>
              <w:bottom w:val="single" w:sz="4" w:space="0" w:color="auto"/>
              <w:right w:val="single" w:sz="4" w:space="0" w:color="auto"/>
            </w:tcBorders>
          </w:tcPr>
          <w:p w14:paraId="7CBAF4B9" w14:textId="1E54903E" w:rsidR="00312056" w:rsidRPr="00F349EA" w:rsidRDefault="00312056" w:rsidP="00312056">
            <w:pPr>
              <w:spacing w:line="276" w:lineRule="auto"/>
              <w:textAlignment w:val="baseline"/>
              <w:rPr>
                <w:rFonts w:ascii="Arial" w:eastAsia="Times New Roman" w:hAnsi="Arial" w:cs="Arial"/>
                <w:lang w:eastAsia="en-GB"/>
              </w:rPr>
            </w:pPr>
            <w:r w:rsidRPr="00F349EA">
              <w:rPr>
                <w:rFonts w:ascii="Arial" w:hAnsi="Arial" w:cs="Arial"/>
              </w:rPr>
              <w:t xml:space="preserve">2024/2025 baseline classification </w:t>
            </w:r>
            <w:r w:rsidRPr="00F349EA">
              <w:rPr>
                <w:rFonts w:ascii="Arial" w:hAnsi="Arial" w:cs="Arial"/>
              </w:rPr>
              <w:br/>
            </w:r>
            <w:r w:rsidRPr="00F349EA">
              <w:rPr>
                <w:rFonts w:ascii="Arial" w:hAnsi="Arial" w:cs="Arial"/>
              </w:rPr>
              <w:br/>
              <w:t xml:space="preserve">89 bathing waters with 96.6% sufficient or better </w:t>
            </w:r>
          </w:p>
        </w:tc>
        <w:tc>
          <w:tcPr>
            <w:tcW w:w="545" w:type="pct"/>
            <w:tcBorders>
              <w:top w:val="single" w:sz="4" w:space="0" w:color="auto"/>
              <w:left w:val="single" w:sz="4" w:space="0" w:color="auto"/>
              <w:bottom w:val="single" w:sz="4" w:space="0" w:color="auto"/>
              <w:right w:val="single" w:sz="4" w:space="0" w:color="auto"/>
            </w:tcBorders>
          </w:tcPr>
          <w:p w14:paraId="5A719906" w14:textId="6815EB8E" w:rsidR="00312056" w:rsidRPr="00F349EA" w:rsidRDefault="00312056" w:rsidP="00312056">
            <w:pPr>
              <w:spacing w:line="276" w:lineRule="auto"/>
              <w:textAlignment w:val="baseline"/>
              <w:rPr>
                <w:rFonts w:ascii="Arial" w:eastAsia="Times New Roman" w:hAnsi="Arial" w:cs="Arial"/>
                <w:lang w:eastAsia="en-GB"/>
              </w:rPr>
            </w:pPr>
            <w:r w:rsidRPr="00F349EA">
              <w:rPr>
                <w:rFonts w:ascii="Arial" w:hAnsi="Arial" w:cs="Arial"/>
                <w:color w:val="000000"/>
              </w:rPr>
              <w:t>Achieving - the percentage of bathing waters at excellent, good and sufficient classifications to meet or exceed the baseline percentage.</w:t>
            </w:r>
          </w:p>
        </w:tc>
        <w:tc>
          <w:tcPr>
            <w:tcW w:w="417" w:type="pct"/>
            <w:tcBorders>
              <w:top w:val="single" w:sz="4" w:space="0" w:color="auto"/>
              <w:left w:val="single" w:sz="4" w:space="0" w:color="auto"/>
              <w:bottom w:val="single" w:sz="4" w:space="0" w:color="auto"/>
              <w:right w:val="single" w:sz="4" w:space="0" w:color="auto"/>
            </w:tcBorders>
          </w:tcPr>
          <w:p w14:paraId="3EAE137F" w14:textId="64457EA8" w:rsidR="00312056" w:rsidRPr="00F349EA" w:rsidRDefault="00312056" w:rsidP="00312056">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Not Applicable</w:t>
            </w:r>
          </w:p>
        </w:tc>
        <w:tc>
          <w:tcPr>
            <w:tcW w:w="385" w:type="pct"/>
            <w:tcBorders>
              <w:top w:val="single" w:sz="4" w:space="0" w:color="auto"/>
              <w:left w:val="single" w:sz="4" w:space="0" w:color="auto"/>
              <w:bottom w:val="single" w:sz="4" w:space="0" w:color="auto"/>
              <w:right w:val="single" w:sz="4" w:space="0" w:color="auto"/>
            </w:tcBorders>
          </w:tcPr>
          <w:p w14:paraId="0F954B67" w14:textId="27E2B3E6" w:rsidR="00312056" w:rsidRPr="00F349EA" w:rsidRDefault="00312056" w:rsidP="00312056">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Not Applicable</w:t>
            </w:r>
          </w:p>
        </w:tc>
        <w:tc>
          <w:tcPr>
            <w:tcW w:w="1026" w:type="pct"/>
            <w:tcBorders>
              <w:top w:val="nil"/>
              <w:left w:val="single" w:sz="4" w:space="0" w:color="auto"/>
              <w:bottom w:val="single" w:sz="8" w:space="0" w:color="auto"/>
              <w:right w:val="single" w:sz="4" w:space="0" w:color="auto"/>
            </w:tcBorders>
          </w:tcPr>
          <w:p w14:paraId="372EC60E" w14:textId="7A297387" w:rsidR="00312056" w:rsidRPr="00F349EA" w:rsidRDefault="00312056" w:rsidP="00C32884">
            <w:pPr>
              <w:spacing w:line="276" w:lineRule="auto"/>
              <w:textAlignment w:val="baseline"/>
              <w:rPr>
                <w:rFonts w:eastAsia="Times New Roman" w:cstheme="minorHAnsi"/>
                <w:lang w:eastAsia="en-GB"/>
              </w:rPr>
            </w:pPr>
            <w:r w:rsidRPr="00F349EA">
              <w:rPr>
                <w:rFonts w:cstheme="minorHAnsi"/>
                <w:color w:val="000000"/>
              </w:rPr>
              <w:t>The 2025/2026 bathing water classifications have now been calculated and will be available for public release on 18 November 2025. There are no red flags currently that indicate a serious degradation.</w:t>
            </w:r>
          </w:p>
        </w:tc>
        <w:tc>
          <w:tcPr>
            <w:tcW w:w="320" w:type="pct"/>
            <w:tcBorders>
              <w:top w:val="single" w:sz="4" w:space="0" w:color="auto"/>
              <w:left w:val="single" w:sz="4" w:space="0" w:color="auto"/>
              <w:bottom w:val="single" w:sz="4" w:space="0" w:color="auto"/>
              <w:right w:val="single" w:sz="4" w:space="0" w:color="auto"/>
            </w:tcBorders>
          </w:tcPr>
          <w:p w14:paraId="1870D58A" w14:textId="2A22B528" w:rsidR="00312056" w:rsidRPr="00F349EA" w:rsidRDefault="00312056" w:rsidP="00312056">
            <w:pPr>
              <w:spacing w:line="276" w:lineRule="auto"/>
              <w:jc w:val="center"/>
              <w:textAlignment w:val="baseline"/>
              <w:rPr>
                <w:rFonts w:ascii="Arial" w:eastAsia="Times New Roman" w:hAnsi="Arial" w:cs="Arial"/>
                <w:lang w:eastAsia="en-GB"/>
              </w:rPr>
            </w:pPr>
            <w:r w:rsidRPr="00F349EA">
              <w:rPr>
                <w:rFonts w:ascii="Arial" w:hAnsi="Arial" w:cs="Arial"/>
                <w:color w:val="000000"/>
              </w:rPr>
              <w:t>Achieved</w:t>
            </w:r>
          </w:p>
        </w:tc>
      </w:tr>
      <w:tr w:rsidR="00312056" w:rsidRPr="00F349EA" w14:paraId="508069AC" w14:textId="77777777" w:rsidTr="1901DC8B">
        <w:trPr>
          <w:cantSplit/>
          <w:trHeight w:val="510"/>
        </w:trPr>
        <w:tc>
          <w:tcPr>
            <w:tcW w:w="223" w:type="pct"/>
            <w:tcBorders>
              <w:top w:val="single" w:sz="4" w:space="0" w:color="auto"/>
              <w:left w:val="single" w:sz="8" w:space="0" w:color="auto"/>
              <w:bottom w:val="single" w:sz="8" w:space="0" w:color="auto"/>
              <w:right w:val="single" w:sz="8" w:space="0" w:color="auto"/>
            </w:tcBorders>
          </w:tcPr>
          <w:p w14:paraId="3CF7FA63" w14:textId="54611D85" w:rsidR="00312056" w:rsidRPr="00F349EA" w:rsidRDefault="00312056" w:rsidP="00312056">
            <w:pPr>
              <w:spacing w:line="276" w:lineRule="auto"/>
              <w:textAlignment w:val="baseline"/>
              <w:rPr>
                <w:rFonts w:ascii="Arial" w:hAnsi="Arial" w:cs="Arial"/>
              </w:rPr>
            </w:pPr>
            <w:r w:rsidRPr="00F349EA">
              <w:rPr>
                <w:rFonts w:ascii="Arial" w:hAnsi="Arial" w:cs="Arial"/>
              </w:rPr>
              <w:lastRenderedPageBreak/>
              <w:t>RE01</w:t>
            </w:r>
          </w:p>
        </w:tc>
        <w:tc>
          <w:tcPr>
            <w:tcW w:w="417" w:type="pct"/>
            <w:tcBorders>
              <w:top w:val="single" w:sz="4" w:space="0" w:color="auto"/>
              <w:left w:val="single" w:sz="8" w:space="0" w:color="auto"/>
              <w:bottom w:val="single" w:sz="8" w:space="0" w:color="auto"/>
              <w:right w:val="single" w:sz="8" w:space="0" w:color="auto"/>
            </w:tcBorders>
          </w:tcPr>
          <w:p w14:paraId="104D8B9F" w14:textId="1CA3BEB9" w:rsidR="00312056" w:rsidRPr="00F349EA" w:rsidRDefault="00312056" w:rsidP="00312056">
            <w:pPr>
              <w:spacing w:line="276" w:lineRule="auto"/>
              <w:textAlignment w:val="baseline"/>
              <w:rPr>
                <w:rFonts w:ascii="Arial" w:hAnsi="Arial" w:cs="Arial"/>
              </w:rPr>
            </w:pPr>
            <w:r w:rsidRPr="00F349EA">
              <w:rPr>
                <w:rFonts w:ascii="Arial" w:hAnsi="Arial" w:cs="Arial"/>
              </w:rPr>
              <w:t>Resource Efficiency</w:t>
            </w:r>
          </w:p>
        </w:tc>
        <w:tc>
          <w:tcPr>
            <w:tcW w:w="802" w:type="pct"/>
            <w:tcBorders>
              <w:top w:val="single" w:sz="4" w:space="0" w:color="auto"/>
              <w:left w:val="single" w:sz="8" w:space="0" w:color="auto"/>
              <w:bottom w:val="single" w:sz="8" w:space="0" w:color="auto"/>
              <w:right w:val="single" w:sz="8" w:space="0" w:color="auto"/>
            </w:tcBorders>
          </w:tcPr>
          <w:p w14:paraId="09F21C92" w14:textId="7CDBDB79" w:rsidR="00312056" w:rsidRPr="00F349EA" w:rsidRDefault="00312056" w:rsidP="00312056">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Rates of waste to landfill in annual </w:t>
            </w:r>
            <w:hyperlink r:id="rId39" w:history="1">
              <w:r w:rsidRPr="00F349EA">
                <w:rPr>
                  <w:rFonts w:ascii="Arial" w:eastAsia="MS PGothic" w:hAnsi="Arial" w:cs="Arial"/>
                  <w:color w:val="016574"/>
                  <w:u w:val="single"/>
                </w:rPr>
                <w:t>Scottish household waste data</w:t>
              </w:r>
            </w:hyperlink>
            <w:r w:rsidRPr="00F349EA">
              <w:rPr>
                <w:rFonts w:ascii="Arial" w:eastAsia="MS PGothic" w:hAnsi="Arial" w:cs="Arial"/>
              </w:rPr>
              <w:t xml:space="preserve"> </w:t>
            </w:r>
            <w:r w:rsidRPr="00F349EA">
              <w:rPr>
                <w:rFonts w:ascii="Arial" w:eastAsia="Times New Roman" w:hAnsi="Arial" w:cs="Arial"/>
                <w:lang w:eastAsia="en-GB"/>
              </w:rPr>
              <w:t>- Reducing</w:t>
            </w:r>
            <w:r w:rsidRPr="00F349EA">
              <w:rPr>
                <w:rStyle w:val="FootnoteReference"/>
                <w:rFonts w:ascii="Arial" w:eastAsia="Times New Roman" w:hAnsi="Arial" w:cs="Arial"/>
                <w:lang w:eastAsia="en-GB"/>
              </w:rPr>
              <w:footnoteReference w:id="4"/>
            </w:r>
          </w:p>
        </w:tc>
        <w:tc>
          <w:tcPr>
            <w:tcW w:w="384" w:type="pct"/>
            <w:tcBorders>
              <w:top w:val="single" w:sz="4" w:space="0" w:color="auto"/>
              <w:left w:val="single" w:sz="8" w:space="0" w:color="auto"/>
              <w:bottom w:val="single" w:sz="8" w:space="0" w:color="auto"/>
              <w:right w:val="single" w:sz="8" w:space="0" w:color="auto"/>
            </w:tcBorders>
          </w:tcPr>
          <w:p w14:paraId="283EBD4B" w14:textId="07B6C17D" w:rsidR="00312056" w:rsidRPr="00F349EA" w:rsidRDefault="00312056" w:rsidP="00312056">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Strategic – Indirect influence</w:t>
            </w:r>
          </w:p>
        </w:tc>
        <w:tc>
          <w:tcPr>
            <w:tcW w:w="481" w:type="pct"/>
            <w:tcBorders>
              <w:top w:val="single" w:sz="4" w:space="0" w:color="auto"/>
              <w:left w:val="single" w:sz="4" w:space="0" w:color="auto"/>
              <w:bottom w:val="single" w:sz="8" w:space="0" w:color="auto"/>
              <w:right w:val="single" w:sz="4" w:space="0" w:color="auto"/>
            </w:tcBorders>
          </w:tcPr>
          <w:p w14:paraId="083CFF30" w14:textId="52C387FF" w:rsidR="00312056" w:rsidRPr="00F349EA" w:rsidRDefault="00312056" w:rsidP="00312056">
            <w:pPr>
              <w:spacing w:line="276" w:lineRule="auto"/>
              <w:textAlignment w:val="baseline"/>
              <w:rPr>
                <w:rFonts w:ascii="Arial" w:eastAsia="Times New Roman" w:hAnsi="Arial" w:cs="Arial"/>
                <w:lang w:eastAsia="en-GB"/>
              </w:rPr>
            </w:pPr>
            <w:r w:rsidRPr="00F349EA">
              <w:rPr>
                <w:rFonts w:ascii="Arial" w:hAnsi="Arial" w:cs="Arial"/>
              </w:rPr>
              <w:t>2011 data (1.45 million tonnes of Scottish household waste landfilled)</w:t>
            </w:r>
          </w:p>
        </w:tc>
        <w:tc>
          <w:tcPr>
            <w:tcW w:w="545" w:type="pct"/>
            <w:tcBorders>
              <w:top w:val="single" w:sz="4" w:space="0" w:color="auto"/>
              <w:left w:val="single" w:sz="4" w:space="0" w:color="auto"/>
              <w:bottom w:val="single" w:sz="8" w:space="0" w:color="auto"/>
              <w:right w:val="single" w:sz="4" w:space="0" w:color="auto"/>
            </w:tcBorders>
          </w:tcPr>
          <w:p w14:paraId="0DD85BD9" w14:textId="5A5CFDD9" w:rsidR="00312056" w:rsidRPr="00F349EA" w:rsidRDefault="00312056" w:rsidP="00312056">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Rates of waste to landfill to decrease – National outcome for Scotland and SEPA plays a contributing role. </w:t>
            </w:r>
          </w:p>
          <w:p w14:paraId="40484EA7" w14:textId="77777777" w:rsidR="00312056" w:rsidRPr="00F349EA" w:rsidRDefault="00312056" w:rsidP="00312056">
            <w:pPr>
              <w:spacing w:line="276" w:lineRule="auto"/>
              <w:textAlignment w:val="baseline"/>
              <w:rPr>
                <w:rFonts w:ascii="Arial" w:eastAsia="Times New Roman" w:hAnsi="Arial" w:cs="Arial"/>
                <w:lang w:eastAsia="en-GB"/>
              </w:rPr>
            </w:pPr>
          </w:p>
          <w:p w14:paraId="08D810C2" w14:textId="45FA4830" w:rsidR="00312056" w:rsidRPr="00F349EA" w:rsidRDefault="003B6FD9" w:rsidP="00312056">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Publish </w:t>
            </w:r>
            <w:r w:rsidRPr="00F349EA">
              <w:rPr>
                <w:rFonts w:ascii="Arial" w:hAnsi="Arial" w:cs="Arial"/>
                <w:color w:val="000000"/>
              </w:rPr>
              <w:t xml:space="preserve">Scottish household waste data </w:t>
            </w:r>
            <w:r w:rsidRPr="00F349EA">
              <w:rPr>
                <w:rFonts w:ascii="Arial" w:eastAsia="Times New Roman" w:hAnsi="Arial" w:cs="Arial"/>
                <w:lang w:eastAsia="en-GB"/>
              </w:rPr>
              <w:t>on time and in accordance with the Code of Practice – SEPA responsibility.</w:t>
            </w:r>
          </w:p>
        </w:tc>
        <w:tc>
          <w:tcPr>
            <w:tcW w:w="417" w:type="pct"/>
            <w:tcBorders>
              <w:top w:val="single" w:sz="4" w:space="0" w:color="auto"/>
              <w:left w:val="single" w:sz="8" w:space="0" w:color="auto"/>
              <w:bottom w:val="single" w:sz="8" w:space="0" w:color="auto"/>
              <w:right w:val="single" w:sz="8" w:space="0" w:color="auto"/>
            </w:tcBorders>
          </w:tcPr>
          <w:p w14:paraId="09F0BF31" w14:textId="232FBC87" w:rsidR="00312056" w:rsidRPr="00F349EA" w:rsidRDefault="00312056" w:rsidP="00312056">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Not Applicable</w:t>
            </w:r>
          </w:p>
        </w:tc>
        <w:tc>
          <w:tcPr>
            <w:tcW w:w="385" w:type="pct"/>
            <w:tcBorders>
              <w:top w:val="single" w:sz="4" w:space="0" w:color="auto"/>
              <w:left w:val="single" w:sz="4" w:space="0" w:color="auto"/>
              <w:bottom w:val="single" w:sz="8" w:space="0" w:color="auto"/>
              <w:right w:val="single" w:sz="4" w:space="0" w:color="auto"/>
            </w:tcBorders>
          </w:tcPr>
          <w:p w14:paraId="68838258" w14:textId="7CD424EC" w:rsidR="00312056" w:rsidRPr="00F349EA" w:rsidRDefault="00312056" w:rsidP="00312056">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Not Applicable</w:t>
            </w:r>
          </w:p>
        </w:tc>
        <w:tc>
          <w:tcPr>
            <w:tcW w:w="1026" w:type="pct"/>
            <w:tcBorders>
              <w:top w:val="single" w:sz="4" w:space="0" w:color="auto"/>
              <w:left w:val="single" w:sz="4" w:space="0" w:color="auto"/>
              <w:bottom w:val="single" w:sz="4" w:space="0" w:color="auto"/>
              <w:right w:val="single" w:sz="4" w:space="0" w:color="auto"/>
            </w:tcBorders>
          </w:tcPr>
          <w:p w14:paraId="73E35F37" w14:textId="2C7626E6" w:rsidR="00312056" w:rsidRPr="00F349EA" w:rsidRDefault="00312056" w:rsidP="00312056">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All work currently on track for the publication date of the 2024 Official Statistics report on 28 October 2025. Pre-release of the Official Statistics was issued on time on 21 October 2025.</w:t>
            </w:r>
          </w:p>
        </w:tc>
        <w:tc>
          <w:tcPr>
            <w:tcW w:w="320" w:type="pct"/>
            <w:tcBorders>
              <w:top w:val="single" w:sz="4" w:space="0" w:color="auto"/>
              <w:left w:val="single" w:sz="4" w:space="0" w:color="auto"/>
              <w:bottom w:val="single" w:sz="8" w:space="0" w:color="auto"/>
              <w:right w:val="single" w:sz="4" w:space="0" w:color="auto"/>
            </w:tcBorders>
          </w:tcPr>
          <w:p w14:paraId="74C8A575" w14:textId="7AC27BC1" w:rsidR="00312056" w:rsidRPr="00F349EA" w:rsidRDefault="00312056" w:rsidP="00312056">
            <w:pPr>
              <w:spacing w:line="276" w:lineRule="auto"/>
              <w:jc w:val="center"/>
              <w:textAlignment w:val="baseline"/>
              <w:rPr>
                <w:rFonts w:ascii="Arial" w:eastAsia="Times New Roman" w:hAnsi="Arial" w:cs="Arial"/>
                <w:lang w:eastAsia="en-GB"/>
              </w:rPr>
            </w:pPr>
            <w:r w:rsidRPr="00F349EA">
              <w:rPr>
                <w:rFonts w:ascii="Arial" w:hAnsi="Arial" w:cs="Arial"/>
                <w:color w:val="000000"/>
              </w:rPr>
              <w:t>Achieved</w:t>
            </w:r>
          </w:p>
        </w:tc>
      </w:tr>
      <w:tr w:rsidR="000E4397" w:rsidRPr="00F349EA" w14:paraId="159A5417" w14:textId="77777777" w:rsidTr="1901DC8B">
        <w:trPr>
          <w:cantSplit/>
          <w:trHeight w:val="510"/>
        </w:trPr>
        <w:tc>
          <w:tcPr>
            <w:tcW w:w="223" w:type="pct"/>
            <w:tcBorders>
              <w:top w:val="single" w:sz="8" w:space="0" w:color="auto"/>
              <w:left w:val="single" w:sz="8" w:space="0" w:color="auto"/>
              <w:bottom w:val="single" w:sz="8" w:space="0" w:color="auto"/>
              <w:right w:val="single" w:sz="8" w:space="0" w:color="auto"/>
            </w:tcBorders>
            <w:shd w:val="clear" w:color="auto" w:fill="FFFFFF" w:themeFill="background1"/>
          </w:tcPr>
          <w:p w14:paraId="3344321E" w14:textId="50D883B1" w:rsidR="000E4397" w:rsidRPr="00F349EA" w:rsidRDefault="000E4397" w:rsidP="000E4397">
            <w:pPr>
              <w:spacing w:line="276" w:lineRule="auto"/>
              <w:textAlignment w:val="baseline"/>
              <w:rPr>
                <w:rFonts w:ascii="Arial" w:hAnsi="Arial" w:cs="Arial"/>
              </w:rPr>
            </w:pPr>
            <w:r w:rsidRPr="00F349EA">
              <w:rPr>
                <w:rFonts w:ascii="Arial" w:hAnsi="Arial" w:cs="Arial"/>
              </w:rPr>
              <w:t>BEP01</w:t>
            </w:r>
          </w:p>
        </w:tc>
        <w:tc>
          <w:tcPr>
            <w:tcW w:w="417" w:type="pct"/>
            <w:tcBorders>
              <w:top w:val="single" w:sz="8" w:space="0" w:color="auto"/>
              <w:left w:val="single" w:sz="8" w:space="0" w:color="auto"/>
              <w:bottom w:val="single" w:sz="8" w:space="0" w:color="auto"/>
              <w:right w:val="single" w:sz="8" w:space="0" w:color="auto"/>
            </w:tcBorders>
            <w:shd w:val="clear" w:color="auto" w:fill="FFFFFF" w:themeFill="background1"/>
          </w:tcPr>
          <w:p w14:paraId="5A436A3C" w14:textId="1D40F7E4" w:rsidR="000E4397" w:rsidRPr="00F349EA" w:rsidRDefault="000E4397" w:rsidP="000E4397">
            <w:pPr>
              <w:spacing w:line="276" w:lineRule="auto"/>
              <w:textAlignment w:val="baseline"/>
              <w:rPr>
                <w:rFonts w:ascii="Arial" w:hAnsi="Arial" w:cs="Arial"/>
              </w:rPr>
            </w:pPr>
            <w:r w:rsidRPr="00F349EA">
              <w:rPr>
                <w:rFonts w:ascii="Arial" w:hAnsi="Arial" w:cs="Arial"/>
              </w:rPr>
              <w:t>Business Environmental Performance</w:t>
            </w:r>
          </w:p>
        </w:tc>
        <w:tc>
          <w:tcPr>
            <w:tcW w:w="802" w:type="pct"/>
            <w:tcBorders>
              <w:top w:val="single" w:sz="8" w:space="0" w:color="auto"/>
              <w:left w:val="single" w:sz="8" w:space="0" w:color="auto"/>
              <w:bottom w:val="single" w:sz="8" w:space="0" w:color="auto"/>
              <w:right w:val="single" w:sz="8" w:space="0" w:color="auto"/>
            </w:tcBorders>
            <w:shd w:val="clear" w:color="auto" w:fill="FFFFFF" w:themeFill="background1"/>
          </w:tcPr>
          <w:p w14:paraId="674F689F" w14:textId="5745F844" w:rsidR="000E4397" w:rsidRPr="00F349EA" w:rsidRDefault="000E4397" w:rsidP="000E4397">
            <w:pPr>
              <w:spacing w:line="276" w:lineRule="auto"/>
              <w:textAlignment w:val="baseline"/>
              <w:rPr>
                <w:rFonts w:ascii="Arial" w:hAnsi="Arial" w:cs="Arial"/>
              </w:rPr>
            </w:pPr>
            <w:r w:rsidRPr="00F349EA">
              <w:rPr>
                <w:rFonts w:ascii="Arial" w:hAnsi="Arial" w:cs="Arial"/>
              </w:rPr>
              <w:t xml:space="preserve">Number of successful interventions per year – Increasing </w:t>
            </w:r>
          </w:p>
        </w:tc>
        <w:tc>
          <w:tcPr>
            <w:tcW w:w="384" w:type="pct"/>
            <w:tcBorders>
              <w:top w:val="single" w:sz="8" w:space="0" w:color="auto"/>
              <w:left w:val="single" w:sz="8" w:space="0" w:color="auto"/>
              <w:bottom w:val="single" w:sz="8" w:space="0" w:color="auto"/>
              <w:right w:val="single" w:sz="8" w:space="0" w:color="auto"/>
            </w:tcBorders>
            <w:shd w:val="clear" w:color="auto" w:fill="FFFFFF" w:themeFill="background1"/>
          </w:tcPr>
          <w:p w14:paraId="6C6D7A05" w14:textId="6F5198D6"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color w:val="000000"/>
              </w:rPr>
              <w:t>Strategic – Direct Influence</w:t>
            </w:r>
          </w:p>
        </w:tc>
        <w:tc>
          <w:tcPr>
            <w:tcW w:w="481" w:type="pct"/>
            <w:tcBorders>
              <w:top w:val="nil"/>
              <w:left w:val="single" w:sz="4" w:space="0" w:color="auto"/>
              <w:bottom w:val="single" w:sz="4" w:space="0" w:color="auto"/>
              <w:right w:val="single" w:sz="4" w:space="0" w:color="auto"/>
            </w:tcBorders>
            <w:shd w:val="clear" w:color="auto" w:fill="FFFFFF" w:themeFill="background1"/>
          </w:tcPr>
          <w:p w14:paraId="28DAF9B7" w14:textId="5D7B114B"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rPr>
              <w:t xml:space="preserve">2024/25 baseline: 167 interventions. </w:t>
            </w:r>
          </w:p>
        </w:tc>
        <w:tc>
          <w:tcPr>
            <w:tcW w:w="545" w:type="pct"/>
            <w:tcBorders>
              <w:top w:val="nil"/>
              <w:left w:val="single" w:sz="4" w:space="0" w:color="auto"/>
              <w:bottom w:val="single" w:sz="4" w:space="0" w:color="auto"/>
              <w:right w:val="single" w:sz="4" w:space="0" w:color="auto"/>
            </w:tcBorders>
            <w:shd w:val="clear" w:color="auto" w:fill="FFFFFF" w:themeFill="background1"/>
          </w:tcPr>
          <w:p w14:paraId="5D196287" w14:textId="390BAAA7"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color w:val="000000"/>
              </w:rPr>
              <w:t>Increasing number of interventions</w:t>
            </w:r>
          </w:p>
        </w:tc>
        <w:tc>
          <w:tcPr>
            <w:tcW w:w="417" w:type="pct"/>
            <w:tcBorders>
              <w:top w:val="single" w:sz="8" w:space="0" w:color="auto"/>
              <w:left w:val="single" w:sz="8" w:space="0" w:color="auto"/>
              <w:bottom w:val="single" w:sz="8" w:space="0" w:color="auto"/>
              <w:right w:val="single" w:sz="8" w:space="0" w:color="auto"/>
            </w:tcBorders>
            <w:shd w:val="clear" w:color="auto" w:fill="FFFFFF" w:themeFill="background1"/>
          </w:tcPr>
          <w:p w14:paraId="3EEEFEFD" w14:textId="48C6DA4E" w:rsidR="000E4397" w:rsidRPr="00F349EA" w:rsidRDefault="00571280" w:rsidP="000E4397">
            <w:pPr>
              <w:spacing w:line="276" w:lineRule="auto"/>
              <w:textAlignment w:val="baseline"/>
              <w:rPr>
                <w:rFonts w:ascii="Arial" w:eastAsia="Times New Roman" w:hAnsi="Arial" w:cs="Arial"/>
                <w:lang w:eastAsia="en-GB"/>
              </w:rPr>
            </w:pPr>
            <w:r>
              <w:rPr>
                <w:rFonts w:ascii="Arial" w:eastAsia="Times New Roman" w:hAnsi="Arial" w:cs="Arial"/>
                <w:lang w:eastAsia="en-GB"/>
              </w:rPr>
              <w:t xml:space="preserve">48 </w:t>
            </w:r>
            <w:r w:rsidR="0047357D" w:rsidRPr="00F349EA">
              <w:rPr>
                <w:rFonts w:ascii="Arial" w:eastAsia="Times New Roman" w:hAnsi="Arial" w:cs="Arial"/>
                <w:lang w:eastAsia="en-GB"/>
              </w:rPr>
              <w:t>interventions</w:t>
            </w:r>
          </w:p>
        </w:tc>
        <w:tc>
          <w:tcPr>
            <w:tcW w:w="385" w:type="pct"/>
            <w:tcBorders>
              <w:top w:val="nil"/>
              <w:left w:val="single" w:sz="4" w:space="0" w:color="auto"/>
              <w:bottom w:val="single" w:sz="4" w:space="0" w:color="auto"/>
              <w:right w:val="single" w:sz="4" w:space="0" w:color="auto"/>
            </w:tcBorders>
            <w:shd w:val="clear" w:color="auto" w:fill="FFFFFF" w:themeFill="background1"/>
          </w:tcPr>
          <w:p w14:paraId="31A6B9C7" w14:textId="155E0EF9"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Achieving</w:t>
            </w:r>
          </w:p>
        </w:tc>
        <w:tc>
          <w:tcPr>
            <w:tcW w:w="1026" w:type="pct"/>
            <w:tcBorders>
              <w:top w:val="nil"/>
              <w:left w:val="single" w:sz="4" w:space="0" w:color="auto"/>
              <w:bottom w:val="single" w:sz="4" w:space="0" w:color="auto"/>
              <w:right w:val="single" w:sz="4" w:space="0" w:color="auto"/>
            </w:tcBorders>
            <w:shd w:val="clear" w:color="auto" w:fill="FFFFFF" w:themeFill="background1"/>
          </w:tcPr>
          <w:p w14:paraId="0BD0C7FD" w14:textId="2E2B7770" w:rsidR="00B019B7" w:rsidRPr="00F349EA" w:rsidRDefault="00B019B7"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Total of 12</w:t>
            </w:r>
            <w:r w:rsidR="00571280">
              <w:rPr>
                <w:rFonts w:ascii="Arial" w:eastAsia="Times New Roman" w:hAnsi="Arial" w:cs="Arial"/>
                <w:lang w:eastAsia="en-GB"/>
              </w:rPr>
              <w:t>5</w:t>
            </w:r>
            <w:r w:rsidRPr="00F349EA">
              <w:rPr>
                <w:rFonts w:ascii="Arial" w:eastAsia="Times New Roman" w:hAnsi="Arial" w:cs="Arial"/>
                <w:lang w:eastAsia="en-GB"/>
              </w:rPr>
              <w:t xml:space="preserve"> interventions by Q2:</w:t>
            </w:r>
          </w:p>
          <w:p w14:paraId="5FB89580" w14:textId="441A8276" w:rsidR="00ED22D2" w:rsidRPr="00F349EA" w:rsidRDefault="00D90C78" w:rsidP="00B019B7">
            <w:pPr>
              <w:pStyle w:val="ListParagraph"/>
              <w:numPr>
                <w:ilvl w:val="0"/>
                <w:numId w:val="37"/>
              </w:numPr>
              <w:spacing w:line="276" w:lineRule="auto"/>
              <w:textAlignment w:val="baseline"/>
              <w:rPr>
                <w:rFonts w:ascii="Arial" w:eastAsia="Times New Roman" w:hAnsi="Arial" w:cs="Arial"/>
                <w:sz w:val="24"/>
                <w:szCs w:val="28"/>
                <w:lang w:val="en-GB" w:eastAsia="en-GB"/>
              </w:rPr>
            </w:pPr>
            <w:r w:rsidRPr="00F349EA">
              <w:rPr>
                <w:rFonts w:ascii="Arial" w:eastAsia="Times New Roman" w:hAnsi="Arial" w:cs="Arial"/>
                <w:sz w:val="24"/>
                <w:szCs w:val="28"/>
                <w:lang w:val="en-GB" w:eastAsia="en-GB"/>
              </w:rPr>
              <w:t xml:space="preserve">Q1 – </w:t>
            </w:r>
            <w:r w:rsidR="001A67B9">
              <w:rPr>
                <w:rFonts w:ascii="Arial" w:eastAsia="Times New Roman" w:hAnsi="Arial" w:cs="Arial"/>
                <w:sz w:val="24"/>
                <w:szCs w:val="28"/>
                <w:lang w:val="en-GB" w:eastAsia="en-GB"/>
              </w:rPr>
              <w:t>77</w:t>
            </w:r>
            <w:r w:rsidRPr="00F349EA">
              <w:rPr>
                <w:rFonts w:ascii="Arial" w:eastAsia="Times New Roman" w:hAnsi="Arial" w:cs="Arial"/>
                <w:sz w:val="24"/>
                <w:szCs w:val="28"/>
                <w:lang w:val="en-GB" w:eastAsia="en-GB"/>
              </w:rPr>
              <w:t xml:space="preserve"> interventions.</w:t>
            </w:r>
          </w:p>
          <w:p w14:paraId="0D837C9E" w14:textId="75EA13B9" w:rsidR="00D90C78" w:rsidRPr="00F349EA" w:rsidRDefault="00D90C78" w:rsidP="00B019B7">
            <w:pPr>
              <w:pStyle w:val="ListParagraph"/>
              <w:numPr>
                <w:ilvl w:val="0"/>
                <w:numId w:val="37"/>
              </w:numPr>
              <w:spacing w:line="276" w:lineRule="auto"/>
              <w:textAlignment w:val="baseline"/>
              <w:rPr>
                <w:rFonts w:ascii="Arial" w:eastAsia="Times New Roman" w:hAnsi="Arial" w:cs="Arial"/>
                <w:sz w:val="24"/>
                <w:szCs w:val="28"/>
                <w:lang w:val="en-GB" w:eastAsia="en-GB"/>
              </w:rPr>
            </w:pPr>
            <w:r w:rsidRPr="00F349EA">
              <w:rPr>
                <w:rFonts w:ascii="Arial" w:eastAsia="Times New Roman" w:hAnsi="Arial" w:cs="Arial"/>
                <w:sz w:val="24"/>
                <w:szCs w:val="28"/>
                <w:lang w:val="en-GB" w:eastAsia="en-GB"/>
              </w:rPr>
              <w:t xml:space="preserve">Q2 – </w:t>
            </w:r>
            <w:r w:rsidR="001A67B9">
              <w:rPr>
                <w:rFonts w:ascii="Arial" w:eastAsia="Times New Roman" w:hAnsi="Arial" w:cs="Arial"/>
                <w:sz w:val="24"/>
                <w:szCs w:val="28"/>
                <w:lang w:val="en-GB" w:eastAsia="en-GB"/>
              </w:rPr>
              <w:t>48</w:t>
            </w:r>
            <w:r w:rsidRPr="00F349EA">
              <w:rPr>
                <w:rFonts w:ascii="Arial" w:eastAsia="Times New Roman" w:hAnsi="Arial" w:cs="Arial"/>
                <w:sz w:val="24"/>
                <w:szCs w:val="28"/>
                <w:lang w:val="en-GB" w:eastAsia="en-GB"/>
              </w:rPr>
              <w:t xml:space="preserve"> interventions</w:t>
            </w:r>
          </w:p>
          <w:p w14:paraId="4BF48151" w14:textId="77777777" w:rsidR="00ED22D2" w:rsidRPr="00F349EA" w:rsidRDefault="00ED22D2" w:rsidP="000E4397">
            <w:pPr>
              <w:spacing w:line="276" w:lineRule="auto"/>
              <w:textAlignment w:val="baseline"/>
              <w:rPr>
                <w:rFonts w:ascii="Arial" w:eastAsia="Times New Roman" w:hAnsi="Arial" w:cs="Arial"/>
                <w:lang w:eastAsia="en-GB"/>
              </w:rPr>
            </w:pPr>
          </w:p>
          <w:p w14:paraId="71B8FC69" w14:textId="6F8D8F1D" w:rsidR="000E4397" w:rsidRPr="00F349EA" w:rsidRDefault="00F720E3"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We have increased the number of interventions in comparison to</w:t>
            </w:r>
            <w:r w:rsidR="00F02728" w:rsidRPr="00F349EA">
              <w:rPr>
                <w:rFonts w:ascii="Arial" w:eastAsia="Times New Roman" w:hAnsi="Arial" w:cs="Arial"/>
                <w:lang w:eastAsia="en-GB"/>
              </w:rPr>
              <w:t xml:space="preserve"> Q2 </w:t>
            </w:r>
            <w:r w:rsidR="001A5C66" w:rsidRPr="00F349EA">
              <w:rPr>
                <w:rFonts w:ascii="Arial" w:eastAsia="Times New Roman" w:hAnsi="Arial" w:cs="Arial"/>
                <w:lang w:eastAsia="en-GB"/>
              </w:rPr>
              <w:t>20</w:t>
            </w:r>
            <w:r w:rsidR="00F02728" w:rsidRPr="00F349EA">
              <w:rPr>
                <w:rFonts w:ascii="Arial" w:eastAsia="Times New Roman" w:hAnsi="Arial" w:cs="Arial"/>
                <w:lang w:eastAsia="en-GB"/>
              </w:rPr>
              <w:t>2</w:t>
            </w:r>
            <w:r w:rsidR="00B53F6E" w:rsidRPr="00F349EA">
              <w:rPr>
                <w:rFonts w:ascii="Arial" w:eastAsia="Times New Roman" w:hAnsi="Arial" w:cs="Arial"/>
                <w:lang w:eastAsia="en-GB"/>
              </w:rPr>
              <w:t>4</w:t>
            </w:r>
            <w:r w:rsidR="00F02728" w:rsidRPr="00F349EA">
              <w:rPr>
                <w:rFonts w:ascii="Arial" w:eastAsia="Times New Roman" w:hAnsi="Arial" w:cs="Arial"/>
                <w:lang w:eastAsia="en-GB"/>
              </w:rPr>
              <w:t>-</w:t>
            </w:r>
            <w:r w:rsidR="001A5C66" w:rsidRPr="00F349EA">
              <w:rPr>
                <w:rFonts w:ascii="Arial" w:eastAsia="Times New Roman" w:hAnsi="Arial" w:cs="Arial"/>
                <w:lang w:eastAsia="en-GB"/>
              </w:rPr>
              <w:t>20</w:t>
            </w:r>
            <w:r w:rsidR="00F02728" w:rsidRPr="00F349EA">
              <w:rPr>
                <w:rFonts w:ascii="Arial" w:eastAsia="Times New Roman" w:hAnsi="Arial" w:cs="Arial"/>
                <w:lang w:eastAsia="en-GB"/>
              </w:rPr>
              <w:t xml:space="preserve">25 </w:t>
            </w:r>
            <w:r w:rsidRPr="00F349EA">
              <w:rPr>
                <w:rFonts w:ascii="Arial" w:eastAsia="Times New Roman" w:hAnsi="Arial" w:cs="Arial"/>
                <w:lang w:eastAsia="en-GB"/>
              </w:rPr>
              <w:t>(</w:t>
            </w:r>
            <w:r w:rsidR="00F02728" w:rsidRPr="00F349EA">
              <w:rPr>
                <w:rFonts w:ascii="Arial" w:eastAsia="Times New Roman" w:hAnsi="Arial" w:cs="Arial"/>
                <w:lang w:eastAsia="en-GB"/>
              </w:rPr>
              <w:t>106 interventions</w:t>
            </w:r>
            <w:r w:rsidRPr="00F349EA">
              <w:rPr>
                <w:rFonts w:ascii="Arial" w:eastAsia="Times New Roman" w:hAnsi="Arial" w:cs="Arial"/>
                <w:lang w:eastAsia="en-GB"/>
              </w:rPr>
              <w:t>).</w:t>
            </w:r>
            <w:r w:rsidR="00F02728" w:rsidRPr="00F349EA">
              <w:rPr>
                <w:rFonts w:ascii="Arial" w:eastAsia="Times New Roman" w:hAnsi="Arial" w:cs="Arial"/>
                <w:lang w:eastAsia="en-GB"/>
              </w:rPr>
              <w:t xml:space="preserve"> </w:t>
            </w:r>
            <w:r w:rsidR="00C10F2E" w:rsidRPr="00F349EA">
              <w:rPr>
                <w:rFonts w:ascii="Arial" w:eastAsia="Times New Roman" w:hAnsi="Arial" w:cs="Arial"/>
                <w:lang w:eastAsia="en-GB"/>
              </w:rPr>
              <w:t>We expect this</w:t>
            </w:r>
            <w:r w:rsidR="00F02728" w:rsidRPr="00F349EA">
              <w:rPr>
                <w:rFonts w:ascii="Arial" w:eastAsia="Times New Roman" w:hAnsi="Arial" w:cs="Arial"/>
                <w:lang w:eastAsia="en-GB"/>
              </w:rPr>
              <w:t xml:space="preserve"> will increase </w:t>
            </w:r>
            <w:r w:rsidR="008B4E76" w:rsidRPr="00F349EA">
              <w:rPr>
                <w:rFonts w:ascii="Arial" w:eastAsia="Times New Roman" w:hAnsi="Arial" w:cs="Arial"/>
                <w:lang w:eastAsia="en-GB"/>
              </w:rPr>
              <w:t>further</w:t>
            </w:r>
            <w:r w:rsidR="00F02728" w:rsidRPr="00F349EA">
              <w:rPr>
                <w:rFonts w:ascii="Arial" w:eastAsia="Times New Roman" w:hAnsi="Arial" w:cs="Arial"/>
                <w:lang w:eastAsia="en-GB"/>
              </w:rPr>
              <w:t xml:space="preserve"> as the interventions framework is implemented by end of Q4.</w:t>
            </w:r>
          </w:p>
        </w:tc>
        <w:tc>
          <w:tcPr>
            <w:tcW w:w="320" w:type="pct"/>
            <w:tcBorders>
              <w:top w:val="nil"/>
              <w:left w:val="single" w:sz="4" w:space="0" w:color="auto"/>
              <w:bottom w:val="single" w:sz="4" w:space="0" w:color="auto"/>
              <w:right w:val="single" w:sz="4" w:space="0" w:color="auto"/>
            </w:tcBorders>
            <w:shd w:val="clear" w:color="auto" w:fill="FFFFFF" w:themeFill="background1"/>
          </w:tcPr>
          <w:p w14:paraId="60B83371" w14:textId="76D7BB94" w:rsidR="000E4397" w:rsidRPr="00F349EA" w:rsidRDefault="000E4397" w:rsidP="000E4397">
            <w:pPr>
              <w:spacing w:line="276" w:lineRule="auto"/>
              <w:jc w:val="center"/>
              <w:textAlignment w:val="baseline"/>
              <w:rPr>
                <w:rFonts w:ascii="Arial" w:eastAsia="Times New Roman" w:hAnsi="Arial" w:cs="Arial"/>
                <w:lang w:eastAsia="en-GB"/>
              </w:rPr>
            </w:pPr>
            <w:r w:rsidRPr="00F349EA">
              <w:rPr>
                <w:rFonts w:ascii="Arial" w:hAnsi="Arial" w:cs="Arial"/>
                <w:color w:val="000000"/>
              </w:rPr>
              <w:t>Achieved</w:t>
            </w:r>
          </w:p>
        </w:tc>
      </w:tr>
      <w:tr w:rsidR="000E4397" w:rsidRPr="00F349EA" w14:paraId="719FD74A" w14:textId="77777777" w:rsidTr="1901DC8B">
        <w:trPr>
          <w:cantSplit/>
          <w:trHeight w:val="510"/>
        </w:trPr>
        <w:tc>
          <w:tcPr>
            <w:tcW w:w="223" w:type="pct"/>
            <w:tcBorders>
              <w:top w:val="single" w:sz="8" w:space="0" w:color="auto"/>
              <w:left w:val="single" w:sz="8" w:space="0" w:color="auto"/>
              <w:bottom w:val="single" w:sz="8" w:space="0" w:color="auto"/>
              <w:right w:val="single" w:sz="8" w:space="0" w:color="auto"/>
            </w:tcBorders>
          </w:tcPr>
          <w:p w14:paraId="4FC771A0" w14:textId="6072B074" w:rsidR="000E4397" w:rsidRPr="00F349EA" w:rsidRDefault="000E4397" w:rsidP="000E4397">
            <w:pPr>
              <w:spacing w:line="276" w:lineRule="auto"/>
              <w:textAlignment w:val="baseline"/>
              <w:rPr>
                <w:rFonts w:ascii="Arial" w:hAnsi="Arial" w:cs="Arial"/>
              </w:rPr>
            </w:pPr>
            <w:r w:rsidRPr="00F349EA">
              <w:rPr>
                <w:rFonts w:ascii="Arial" w:hAnsi="Arial" w:cs="Arial"/>
              </w:rPr>
              <w:t>BEP02</w:t>
            </w:r>
          </w:p>
        </w:tc>
        <w:tc>
          <w:tcPr>
            <w:tcW w:w="417" w:type="pct"/>
            <w:tcBorders>
              <w:top w:val="single" w:sz="8" w:space="0" w:color="auto"/>
              <w:left w:val="single" w:sz="8" w:space="0" w:color="auto"/>
              <w:bottom w:val="single" w:sz="8" w:space="0" w:color="auto"/>
              <w:right w:val="single" w:sz="8" w:space="0" w:color="auto"/>
            </w:tcBorders>
          </w:tcPr>
          <w:p w14:paraId="315EF3D9" w14:textId="2AE84F0C" w:rsidR="000E4397" w:rsidRPr="00F349EA" w:rsidRDefault="000E4397" w:rsidP="000E4397">
            <w:pPr>
              <w:spacing w:line="276" w:lineRule="auto"/>
              <w:textAlignment w:val="baseline"/>
              <w:rPr>
                <w:rFonts w:ascii="Arial" w:hAnsi="Arial" w:cs="Arial"/>
              </w:rPr>
            </w:pPr>
            <w:r w:rsidRPr="00F349EA">
              <w:rPr>
                <w:rFonts w:ascii="Arial" w:hAnsi="Arial" w:cs="Arial"/>
              </w:rPr>
              <w:t>Business Environmental Performance</w:t>
            </w:r>
          </w:p>
        </w:tc>
        <w:tc>
          <w:tcPr>
            <w:tcW w:w="802" w:type="pct"/>
            <w:tcBorders>
              <w:top w:val="single" w:sz="8" w:space="0" w:color="auto"/>
              <w:left w:val="single" w:sz="8" w:space="0" w:color="auto"/>
              <w:bottom w:val="single" w:sz="8" w:space="0" w:color="auto"/>
              <w:right w:val="single" w:sz="8" w:space="0" w:color="auto"/>
            </w:tcBorders>
          </w:tcPr>
          <w:p w14:paraId="22BD94D0" w14:textId="292DF9F1" w:rsidR="000E4397" w:rsidRPr="00F349EA" w:rsidRDefault="000E4397" w:rsidP="000E4397">
            <w:pPr>
              <w:spacing w:line="276" w:lineRule="auto"/>
              <w:textAlignment w:val="baseline"/>
              <w:rPr>
                <w:rFonts w:ascii="Arial" w:hAnsi="Arial" w:cs="Arial"/>
              </w:rPr>
            </w:pPr>
            <w:r w:rsidRPr="00F349EA">
              <w:rPr>
                <w:rFonts w:ascii="Arial" w:hAnsi="Arial" w:cs="Arial"/>
              </w:rPr>
              <w:t xml:space="preserve">Percentage of environmental monitoring statutory reports published by the scheduled date – Maintaining </w:t>
            </w:r>
          </w:p>
        </w:tc>
        <w:tc>
          <w:tcPr>
            <w:tcW w:w="384" w:type="pct"/>
            <w:tcBorders>
              <w:top w:val="single" w:sz="8" w:space="0" w:color="auto"/>
              <w:left w:val="single" w:sz="8" w:space="0" w:color="auto"/>
              <w:bottom w:val="single" w:sz="8" w:space="0" w:color="auto"/>
              <w:right w:val="single" w:sz="8" w:space="0" w:color="auto"/>
            </w:tcBorders>
          </w:tcPr>
          <w:p w14:paraId="5E02C641" w14:textId="32BD9699"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color w:val="000000"/>
              </w:rPr>
              <w:t>Operational – Direct control</w:t>
            </w:r>
          </w:p>
        </w:tc>
        <w:tc>
          <w:tcPr>
            <w:tcW w:w="481" w:type="pct"/>
            <w:tcBorders>
              <w:top w:val="nil"/>
              <w:left w:val="single" w:sz="4" w:space="0" w:color="auto"/>
              <w:bottom w:val="single" w:sz="4" w:space="0" w:color="auto"/>
              <w:right w:val="single" w:sz="4" w:space="0" w:color="auto"/>
            </w:tcBorders>
          </w:tcPr>
          <w:p w14:paraId="0FA9FA2B" w14:textId="64435725"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rPr>
              <w:t>2024/25 baseline – 100% Four out of four on-time publication rate from the previous year.</w:t>
            </w:r>
          </w:p>
        </w:tc>
        <w:tc>
          <w:tcPr>
            <w:tcW w:w="545" w:type="pct"/>
            <w:tcBorders>
              <w:top w:val="nil"/>
              <w:left w:val="single" w:sz="4" w:space="0" w:color="auto"/>
              <w:bottom w:val="single" w:sz="4" w:space="0" w:color="auto"/>
              <w:right w:val="single" w:sz="4" w:space="0" w:color="auto"/>
            </w:tcBorders>
          </w:tcPr>
          <w:p w14:paraId="7943E5CF" w14:textId="08B0FA16" w:rsidR="000E4397" w:rsidRPr="00F349EA" w:rsidRDefault="00A832FE" w:rsidP="000E4397">
            <w:pPr>
              <w:spacing w:line="276" w:lineRule="auto"/>
              <w:textAlignment w:val="baseline"/>
              <w:rPr>
                <w:rFonts w:ascii="Arial" w:eastAsia="Times New Roman" w:hAnsi="Arial" w:cs="Arial"/>
                <w:lang w:eastAsia="en-GB"/>
              </w:rPr>
            </w:pPr>
            <w:r w:rsidRPr="00A832FE">
              <w:rPr>
                <w:rFonts w:ascii="Arial" w:hAnsi="Arial" w:cs="Arial"/>
                <w:color w:val="000000"/>
              </w:rPr>
              <w:t>100% - Four out of four reports published on-time</w:t>
            </w:r>
          </w:p>
        </w:tc>
        <w:tc>
          <w:tcPr>
            <w:tcW w:w="417" w:type="pct"/>
            <w:tcBorders>
              <w:top w:val="single" w:sz="8" w:space="0" w:color="auto"/>
              <w:left w:val="single" w:sz="8" w:space="0" w:color="auto"/>
              <w:bottom w:val="single" w:sz="8" w:space="0" w:color="auto"/>
              <w:right w:val="single" w:sz="8" w:space="0" w:color="auto"/>
            </w:tcBorders>
          </w:tcPr>
          <w:p w14:paraId="2B7C8B86" w14:textId="7C9D6EAB" w:rsidR="000E4397" w:rsidRPr="00F349EA" w:rsidRDefault="00C413C2" w:rsidP="000E4397">
            <w:pPr>
              <w:spacing w:line="276" w:lineRule="auto"/>
              <w:textAlignment w:val="baseline"/>
              <w:rPr>
                <w:rFonts w:ascii="Arial" w:eastAsia="Times New Roman" w:hAnsi="Arial" w:cs="Arial"/>
                <w:lang w:eastAsia="en-GB"/>
              </w:rPr>
            </w:pPr>
            <w:r>
              <w:rPr>
                <w:rFonts w:ascii="Arial" w:eastAsia="Times New Roman" w:hAnsi="Arial" w:cs="Arial"/>
                <w:lang w:eastAsia="en-GB"/>
              </w:rPr>
              <w:t>N</w:t>
            </w:r>
            <w:r w:rsidRPr="00C413C2">
              <w:rPr>
                <w:rFonts w:ascii="Arial" w:eastAsia="Times New Roman" w:hAnsi="Arial" w:cs="Arial"/>
                <w:lang w:eastAsia="en-GB"/>
              </w:rPr>
              <w:t>o reports published this quarter.</w:t>
            </w:r>
          </w:p>
        </w:tc>
        <w:tc>
          <w:tcPr>
            <w:tcW w:w="385" w:type="pct"/>
            <w:tcBorders>
              <w:top w:val="single" w:sz="4" w:space="0" w:color="auto"/>
              <w:left w:val="single" w:sz="4" w:space="0" w:color="auto"/>
              <w:bottom w:val="single" w:sz="4" w:space="0" w:color="auto"/>
              <w:right w:val="single" w:sz="4" w:space="0" w:color="auto"/>
            </w:tcBorders>
          </w:tcPr>
          <w:p w14:paraId="2360F487" w14:textId="5471113D"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Achieving</w:t>
            </w:r>
          </w:p>
        </w:tc>
        <w:tc>
          <w:tcPr>
            <w:tcW w:w="1026" w:type="pct"/>
            <w:tcBorders>
              <w:top w:val="nil"/>
              <w:left w:val="single" w:sz="4" w:space="0" w:color="auto"/>
              <w:bottom w:val="single" w:sz="4" w:space="0" w:color="auto"/>
              <w:right w:val="single" w:sz="4" w:space="0" w:color="auto"/>
            </w:tcBorders>
          </w:tcPr>
          <w:p w14:paraId="3EB5DE18" w14:textId="77777777" w:rsidR="00213D11" w:rsidRDefault="00F02728"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Reports progressing. Annual Bathing Water and Water environment Classifications report</w:t>
            </w:r>
            <w:r w:rsidR="00CD57E5" w:rsidRPr="00F349EA">
              <w:rPr>
                <w:rFonts w:ascii="Arial" w:eastAsia="Times New Roman" w:hAnsi="Arial" w:cs="Arial"/>
                <w:lang w:eastAsia="en-GB"/>
              </w:rPr>
              <w:t>s</w:t>
            </w:r>
            <w:r w:rsidRPr="00F349EA">
              <w:rPr>
                <w:rFonts w:ascii="Arial" w:eastAsia="Times New Roman" w:hAnsi="Arial" w:cs="Arial"/>
                <w:lang w:eastAsia="en-GB"/>
              </w:rPr>
              <w:t xml:space="preserve"> are expected to be published in </w:t>
            </w:r>
            <w:r w:rsidR="006E1563">
              <w:rPr>
                <w:rFonts w:ascii="Arial" w:eastAsia="Times New Roman" w:hAnsi="Arial" w:cs="Arial"/>
                <w:lang w:eastAsia="en-GB"/>
              </w:rPr>
              <w:t>Q3</w:t>
            </w:r>
            <w:r w:rsidRPr="00F349EA">
              <w:rPr>
                <w:rFonts w:ascii="Arial" w:eastAsia="Times New Roman" w:hAnsi="Arial" w:cs="Arial"/>
                <w:lang w:eastAsia="en-GB"/>
              </w:rPr>
              <w:t xml:space="preserve">. </w:t>
            </w:r>
          </w:p>
          <w:p w14:paraId="64015A56" w14:textId="744604BE" w:rsidR="000E4397" w:rsidRPr="00F349EA" w:rsidRDefault="00F02728"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The </w:t>
            </w:r>
            <w:r w:rsidR="00CD536A" w:rsidRPr="00F349EA">
              <w:rPr>
                <w:rFonts w:ascii="Arial" w:eastAsia="Times New Roman" w:hAnsi="Arial" w:cs="Arial"/>
                <w:lang w:eastAsia="en-GB"/>
              </w:rPr>
              <w:t>two</w:t>
            </w:r>
            <w:r w:rsidRPr="00F349EA">
              <w:rPr>
                <w:rFonts w:ascii="Arial" w:eastAsia="Times New Roman" w:hAnsi="Arial" w:cs="Arial"/>
                <w:lang w:eastAsia="en-GB"/>
              </w:rPr>
              <w:t xml:space="preserve"> Bathing Waters statutory reports were </w:t>
            </w:r>
            <w:r w:rsidR="00A609E3">
              <w:rPr>
                <w:rFonts w:ascii="Arial" w:eastAsia="Times New Roman" w:hAnsi="Arial" w:cs="Arial"/>
                <w:lang w:eastAsia="en-GB"/>
              </w:rPr>
              <w:t>published</w:t>
            </w:r>
            <w:r w:rsidRPr="00F349EA">
              <w:rPr>
                <w:rFonts w:ascii="Arial" w:eastAsia="Times New Roman" w:hAnsi="Arial" w:cs="Arial"/>
                <w:lang w:eastAsia="en-GB"/>
              </w:rPr>
              <w:t xml:space="preserve"> on time </w:t>
            </w:r>
            <w:r w:rsidR="00213D11">
              <w:rPr>
                <w:rFonts w:ascii="Arial" w:eastAsia="Times New Roman" w:hAnsi="Arial" w:cs="Arial"/>
                <w:lang w:eastAsia="en-GB"/>
              </w:rPr>
              <w:t>during Q1</w:t>
            </w:r>
            <w:r w:rsidRPr="00F349EA">
              <w:rPr>
                <w:rFonts w:ascii="Arial" w:eastAsia="Times New Roman" w:hAnsi="Arial" w:cs="Arial"/>
                <w:lang w:eastAsia="en-GB"/>
              </w:rPr>
              <w:t xml:space="preserve"> for the 2025 bathing water season (Bathing Water profiles and Bathing Waters locations details)</w:t>
            </w:r>
            <w:r w:rsidR="28B5EBB3" w:rsidRPr="0DA884C4">
              <w:rPr>
                <w:rFonts w:ascii="Arial" w:eastAsia="Times New Roman" w:hAnsi="Arial" w:cs="Arial"/>
                <w:lang w:eastAsia="en-GB"/>
              </w:rPr>
              <w:t xml:space="preserve"> but</w:t>
            </w:r>
            <w:r w:rsidR="00ED4418">
              <w:rPr>
                <w:rFonts w:ascii="Arial" w:eastAsia="Times New Roman" w:hAnsi="Arial" w:cs="Arial"/>
                <w:lang w:eastAsia="en-GB"/>
              </w:rPr>
              <w:t xml:space="preserve"> not reported</w:t>
            </w:r>
            <w:r w:rsidR="00A65007">
              <w:rPr>
                <w:rFonts w:ascii="Arial" w:eastAsia="Times New Roman" w:hAnsi="Arial" w:cs="Arial"/>
                <w:lang w:eastAsia="en-GB"/>
              </w:rPr>
              <w:t>.</w:t>
            </w:r>
          </w:p>
        </w:tc>
        <w:tc>
          <w:tcPr>
            <w:tcW w:w="320" w:type="pct"/>
            <w:tcBorders>
              <w:top w:val="nil"/>
              <w:left w:val="single" w:sz="4" w:space="0" w:color="auto"/>
              <w:bottom w:val="single" w:sz="4" w:space="0" w:color="auto"/>
              <w:right w:val="single" w:sz="4" w:space="0" w:color="auto"/>
            </w:tcBorders>
          </w:tcPr>
          <w:p w14:paraId="22F37A19" w14:textId="001A77C6" w:rsidR="000E4397" w:rsidRPr="00F349EA" w:rsidRDefault="000E4397" w:rsidP="000E4397">
            <w:pPr>
              <w:spacing w:line="276" w:lineRule="auto"/>
              <w:jc w:val="center"/>
              <w:textAlignment w:val="baseline"/>
              <w:rPr>
                <w:rFonts w:ascii="Arial" w:eastAsia="Times New Roman" w:hAnsi="Arial" w:cs="Arial"/>
                <w:lang w:eastAsia="en-GB"/>
              </w:rPr>
            </w:pPr>
            <w:r w:rsidRPr="00F349EA">
              <w:rPr>
                <w:rFonts w:ascii="Arial" w:hAnsi="Arial" w:cs="Arial"/>
                <w:color w:val="000000"/>
              </w:rPr>
              <w:t>Achieved</w:t>
            </w:r>
          </w:p>
        </w:tc>
      </w:tr>
      <w:tr w:rsidR="000E4397" w:rsidRPr="00F349EA" w14:paraId="7159904F" w14:textId="77777777" w:rsidTr="1901DC8B">
        <w:trPr>
          <w:cantSplit/>
          <w:trHeight w:val="510"/>
        </w:trPr>
        <w:tc>
          <w:tcPr>
            <w:tcW w:w="223" w:type="pct"/>
            <w:tcBorders>
              <w:top w:val="single" w:sz="8" w:space="0" w:color="auto"/>
              <w:left w:val="single" w:sz="8" w:space="0" w:color="auto"/>
              <w:bottom w:val="single" w:sz="8" w:space="0" w:color="auto"/>
              <w:right w:val="single" w:sz="8" w:space="0" w:color="auto"/>
            </w:tcBorders>
          </w:tcPr>
          <w:p w14:paraId="2D274F65" w14:textId="2D2D5155" w:rsidR="000E4397" w:rsidRPr="00F349EA" w:rsidRDefault="000E4397" w:rsidP="000E4397">
            <w:pPr>
              <w:spacing w:line="276" w:lineRule="auto"/>
              <w:textAlignment w:val="baseline"/>
              <w:rPr>
                <w:rFonts w:ascii="Arial" w:hAnsi="Arial" w:cs="Arial"/>
              </w:rPr>
            </w:pPr>
            <w:r w:rsidRPr="00F349EA">
              <w:rPr>
                <w:rFonts w:ascii="Arial" w:hAnsi="Arial" w:cs="Arial"/>
              </w:rPr>
              <w:lastRenderedPageBreak/>
              <w:t>BEP03</w:t>
            </w:r>
          </w:p>
        </w:tc>
        <w:tc>
          <w:tcPr>
            <w:tcW w:w="417" w:type="pct"/>
            <w:tcBorders>
              <w:top w:val="single" w:sz="8" w:space="0" w:color="auto"/>
              <w:left w:val="single" w:sz="8" w:space="0" w:color="auto"/>
              <w:bottom w:val="single" w:sz="8" w:space="0" w:color="auto"/>
              <w:right w:val="single" w:sz="8" w:space="0" w:color="auto"/>
            </w:tcBorders>
          </w:tcPr>
          <w:p w14:paraId="581DA1F8" w14:textId="3E95F8C7" w:rsidR="000E4397" w:rsidRPr="00F349EA" w:rsidRDefault="000E4397" w:rsidP="000E4397">
            <w:pPr>
              <w:spacing w:line="276" w:lineRule="auto"/>
              <w:textAlignment w:val="baseline"/>
              <w:rPr>
                <w:rFonts w:ascii="Arial" w:hAnsi="Arial" w:cs="Arial"/>
              </w:rPr>
            </w:pPr>
            <w:r w:rsidRPr="00F349EA">
              <w:rPr>
                <w:rFonts w:ascii="Arial" w:hAnsi="Arial" w:cs="Arial"/>
              </w:rPr>
              <w:t>Business Environmental Performance</w:t>
            </w:r>
          </w:p>
        </w:tc>
        <w:tc>
          <w:tcPr>
            <w:tcW w:w="802" w:type="pct"/>
            <w:tcBorders>
              <w:top w:val="single" w:sz="8" w:space="0" w:color="auto"/>
              <w:left w:val="single" w:sz="8" w:space="0" w:color="auto"/>
              <w:bottom w:val="single" w:sz="8" w:space="0" w:color="auto"/>
              <w:right w:val="single" w:sz="8" w:space="0" w:color="auto"/>
            </w:tcBorders>
          </w:tcPr>
          <w:p w14:paraId="03DB7D7D" w14:textId="02DD1DA3" w:rsidR="000E4397" w:rsidRPr="00F349EA" w:rsidRDefault="000E4397" w:rsidP="000E4397">
            <w:pPr>
              <w:spacing w:line="276" w:lineRule="auto"/>
              <w:textAlignment w:val="baseline"/>
              <w:rPr>
                <w:rFonts w:ascii="Arial" w:hAnsi="Arial" w:cs="Arial"/>
              </w:rPr>
            </w:pPr>
            <w:r w:rsidRPr="00F349EA">
              <w:rPr>
                <w:rFonts w:ascii="Arial" w:hAnsi="Arial" w:cs="Arial"/>
              </w:rPr>
              <w:t xml:space="preserve">Percentage of statutory reviews completed – Increasing </w:t>
            </w:r>
          </w:p>
        </w:tc>
        <w:tc>
          <w:tcPr>
            <w:tcW w:w="384" w:type="pct"/>
            <w:tcBorders>
              <w:top w:val="single" w:sz="8" w:space="0" w:color="auto"/>
              <w:left w:val="single" w:sz="8" w:space="0" w:color="auto"/>
              <w:bottom w:val="single" w:sz="8" w:space="0" w:color="auto"/>
              <w:right w:val="single" w:sz="8" w:space="0" w:color="auto"/>
            </w:tcBorders>
          </w:tcPr>
          <w:p w14:paraId="1669E873" w14:textId="7D9884EA"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color w:val="000000"/>
              </w:rPr>
              <w:t>Operational – Direct control</w:t>
            </w:r>
          </w:p>
        </w:tc>
        <w:tc>
          <w:tcPr>
            <w:tcW w:w="481" w:type="pct"/>
            <w:tcBorders>
              <w:top w:val="nil"/>
              <w:left w:val="single" w:sz="4" w:space="0" w:color="auto"/>
              <w:bottom w:val="single" w:sz="4" w:space="0" w:color="auto"/>
              <w:right w:val="single" w:sz="4" w:space="0" w:color="auto"/>
            </w:tcBorders>
          </w:tcPr>
          <w:p w14:paraId="6C29B51D" w14:textId="5E769F24" w:rsidR="000E4397" w:rsidRPr="00F349EA" w:rsidRDefault="000E4397" w:rsidP="000E4397">
            <w:pPr>
              <w:spacing w:line="276" w:lineRule="auto"/>
              <w:textAlignment w:val="baseline"/>
              <w:rPr>
                <w:rFonts w:ascii="Arial" w:hAnsi="Arial" w:cs="Arial"/>
              </w:rPr>
            </w:pPr>
            <w:r w:rsidRPr="00F349EA">
              <w:rPr>
                <w:rFonts w:ascii="Arial" w:hAnsi="Arial" w:cs="Arial"/>
              </w:rPr>
              <w:t>2024/25 baseline 31%</w:t>
            </w:r>
            <w:r w:rsidRPr="00F349EA">
              <w:rPr>
                <w:rFonts w:ascii="Arial" w:hAnsi="Arial" w:cs="Arial"/>
              </w:rPr>
              <w:br/>
            </w:r>
          </w:p>
        </w:tc>
        <w:tc>
          <w:tcPr>
            <w:tcW w:w="545" w:type="pct"/>
            <w:tcBorders>
              <w:top w:val="nil"/>
              <w:left w:val="single" w:sz="4" w:space="0" w:color="auto"/>
              <w:bottom w:val="single" w:sz="4" w:space="0" w:color="auto"/>
              <w:right w:val="single" w:sz="4" w:space="0" w:color="auto"/>
            </w:tcBorders>
          </w:tcPr>
          <w:p w14:paraId="073C6ACF" w14:textId="3AE212E2"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color w:val="000000"/>
              </w:rPr>
              <w:t>80% of in scope planned permit reviews and variations by year end (</w:t>
            </w:r>
            <w:r w:rsidRPr="00F349EA">
              <w:rPr>
                <w:rFonts w:ascii="Arial" w:hAnsi="Arial" w:cs="Arial"/>
                <w:lang w:eastAsia="en-GB"/>
              </w:rPr>
              <w:t xml:space="preserve">39 </w:t>
            </w:r>
            <w:r w:rsidR="003C4B33">
              <w:rPr>
                <w:rFonts w:ascii="Arial" w:hAnsi="Arial" w:cs="Arial"/>
                <w:lang w:eastAsia="en-GB"/>
              </w:rPr>
              <w:t>Best Avail</w:t>
            </w:r>
            <w:r w:rsidR="00C562E4">
              <w:rPr>
                <w:rFonts w:ascii="Arial" w:hAnsi="Arial" w:cs="Arial"/>
                <w:lang w:eastAsia="en-GB"/>
              </w:rPr>
              <w:t>able Techniques (</w:t>
            </w:r>
            <w:r w:rsidRPr="00F349EA">
              <w:rPr>
                <w:rFonts w:ascii="Arial" w:hAnsi="Arial" w:cs="Arial"/>
                <w:lang w:eastAsia="en-GB"/>
              </w:rPr>
              <w:t>BAT</w:t>
            </w:r>
            <w:r w:rsidR="00937C10">
              <w:rPr>
                <w:rFonts w:ascii="Arial" w:hAnsi="Arial" w:cs="Arial"/>
                <w:lang w:eastAsia="en-GB"/>
              </w:rPr>
              <w:t>)</w:t>
            </w:r>
            <w:r w:rsidRPr="00F349EA">
              <w:rPr>
                <w:rFonts w:ascii="Arial" w:hAnsi="Arial" w:cs="Arial"/>
                <w:lang w:eastAsia="en-GB"/>
              </w:rPr>
              <w:t xml:space="preserve"> conclusions / 13 </w:t>
            </w:r>
            <w:r w:rsidRPr="00F349EA">
              <w:rPr>
                <w:rFonts w:ascii="Arial" w:hAnsi="Arial" w:cs="Arial"/>
              </w:rPr>
              <w:t>medium combustion plant permit variations)</w:t>
            </w:r>
          </w:p>
        </w:tc>
        <w:tc>
          <w:tcPr>
            <w:tcW w:w="417" w:type="pct"/>
            <w:tcBorders>
              <w:top w:val="single" w:sz="8" w:space="0" w:color="auto"/>
              <w:left w:val="single" w:sz="8" w:space="0" w:color="auto"/>
              <w:bottom w:val="single" w:sz="8" w:space="0" w:color="auto"/>
              <w:right w:val="single" w:sz="8" w:space="0" w:color="auto"/>
            </w:tcBorders>
          </w:tcPr>
          <w:p w14:paraId="7807348D" w14:textId="41632BEB" w:rsidR="000E4397" w:rsidRPr="00F349EA" w:rsidRDefault="000358C8"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10 permits</w:t>
            </w:r>
            <w:r w:rsidR="00F04612" w:rsidRPr="00F349EA">
              <w:rPr>
                <w:rFonts w:ascii="Arial" w:eastAsia="Times New Roman" w:hAnsi="Arial" w:cs="Arial"/>
                <w:lang w:eastAsia="en-GB"/>
              </w:rPr>
              <w:t xml:space="preserve"> – 19.2% (cumulative by Q2)</w:t>
            </w:r>
          </w:p>
        </w:tc>
        <w:tc>
          <w:tcPr>
            <w:tcW w:w="385" w:type="pct"/>
            <w:tcBorders>
              <w:top w:val="single" w:sz="4" w:space="0" w:color="auto"/>
              <w:left w:val="single" w:sz="4" w:space="0" w:color="auto"/>
              <w:bottom w:val="single" w:sz="4" w:space="0" w:color="auto"/>
              <w:right w:val="single" w:sz="4" w:space="0" w:color="auto"/>
            </w:tcBorders>
          </w:tcPr>
          <w:p w14:paraId="54524EE4" w14:textId="10AF4680"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Achieving</w:t>
            </w:r>
          </w:p>
        </w:tc>
        <w:tc>
          <w:tcPr>
            <w:tcW w:w="1026" w:type="pct"/>
            <w:tcBorders>
              <w:top w:val="nil"/>
              <w:left w:val="single" w:sz="4" w:space="0" w:color="auto"/>
              <w:bottom w:val="single" w:sz="4" w:space="0" w:color="auto"/>
              <w:right w:val="single" w:sz="4" w:space="0" w:color="auto"/>
            </w:tcBorders>
          </w:tcPr>
          <w:p w14:paraId="6E854B04" w14:textId="77777777" w:rsidR="00390AB1" w:rsidRPr="00F349EA" w:rsidRDefault="00F02728"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The Q2 target is 25% of statutory reviews complete which equates to 13 of the in-scope permits. </w:t>
            </w:r>
          </w:p>
          <w:p w14:paraId="1460FE69" w14:textId="77777777" w:rsidR="00390AB1" w:rsidRPr="00F349EA" w:rsidRDefault="00390AB1" w:rsidP="000E4397">
            <w:pPr>
              <w:spacing w:line="276" w:lineRule="auto"/>
              <w:textAlignment w:val="baseline"/>
              <w:rPr>
                <w:rFonts w:ascii="Arial" w:eastAsia="Times New Roman" w:hAnsi="Arial" w:cs="Arial"/>
                <w:lang w:eastAsia="en-GB"/>
              </w:rPr>
            </w:pPr>
          </w:p>
          <w:p w14:paraId="47780EF1" w14:textId="7B34E9D4" w:rsidR="000E4397" w:rsidRPr="00F349EA" w:rsidRDefault="00F02728"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10 permit variations have been issued which is within the 10% (5 permit) tolerance hence the Q2 status being shown as 'Achiev</w:t>
            </w:r>
            <w:r w:rsidR="00B258EB">
              <w:rPr>
                <w:rFonts w:ascii="Arial" w:eastAsia="Times New Roman" w:hAnsi="Arial" w:cs="Arial"/>
                <w:lang w:eastAsia="en-GB"/>
              </w:rPr>
              <w:t>ing</w:t>
            </w:r>
            <w:r w:rsidRPr="00F349EA">
              <w:rPr>
                <w:rFonts w:ascii="Arial" w:eastAsia="Times New Roman" w:hAnsi="Arial" w:cs="Arial"/>
                <w:lang w:eastAsia="en-GB"/>
              </w:rPr>
              <w:t>'.</w:t>
            </w:r>
          </w:p>
        </w:tc>
        <w:tc>
          <w:tcPr>
            <w:tcW w:w="320" w:type="pct"/>
            <w:tcBorders>
              <w:top w:val="nil"/>
              <w:left w:val="single" w:sz="4" w:space="0" w:color="auto"/>
              <w:bottom w:val="single" w:sz="4" w:space="0" w:color="auto"/>
              <w:right w:val="single" w:sz="4" w:space="0" w:color="auto"/>
            </w:tcBorders>
          </w:tcPr>
          <w:p w14:paraId="63E207FE" w14:textId="2CD866F6" w:rsidR="000E4397" w:rsidRPr="00F349EA" w:rsidRDefault="000E4397" w:rsidP="000E4397">
            <w:pPr>
              <w:spacing w:line="276" w:lineRule="auto"/>
              <w:jc w:val="center"/>
              <w:textAlignment w:val="baseline"/>
              <w:rPr>
                <w:rFonts w:ascii="Arial" w:eastAsia="Times New Roman" w:hAnsi="Arial" w:cs="Arial"/>
                <w:lang w:eastAsia="en-GB"/>
              </w:rPr>
            </w:pPr>
            <w:r w:rsidRPr="00F349EA">
              <w:rPr>
                <w:rFonts w:ascii="Arial" w:hAnsi="Arial" w:cs="Arial"/>
                <w:color w:val="000000"/>
              </w:rPr>
              <w:t>Achieved</w:t>
            </w:r>
          </w:p>
        </w:tc>
      </w:tr>
      <w:tr w:rsidR="000E4397" w:rsidRPr="00F349EA" w14:paraId="36EE9DA0" w14:textId="77777777" w:rsidTr="1901DC8B">
        <w:trPr>
          <w:cantSplit/>
          <w:trHeight w:val="510"/>
        </w:trPr>
        <w:tc>
          <w:tcPr>
            <w:tcW w:w="223" w:type="pct"/>
            <w:tcBorders>
              <w:top w:val="single" w:sz="8" w:space="0" w:color="auto"/>
              <w:left w:val="single" w:sz="8" w:space="0" w:color="auto"/>
              <w:bottom w:val="single" w:sz="4" w:space="0" w:color="auto"/>
              <w:right w:val="single" w:sz="8" w:space="0" w:color="auto"/>
            </w:tcBorders>
          </w:tcPr>
          <w:p w14:paraId="00B41FEF" w14:textId="1A75CE66" w:rsidR="000E4397" w:rsidRPr="00F349EA" w:rsidRDefault="000E4397" w:rsidP="000E4397">
            <w:pPr>
              <w:spacing w:line="276" w:lineRule="auto"/>
              <w:textAlignment w:val="baseline"/>
              <w:rPr>
                <w:rFonts w:ascii="Arial" w:hAnsi="Arial" w:cs="Arial"/>
              </w:rPr>
            </w:pPr>
            <w:r w:rsidRPr="00F349EA">
              <w:rPr>
                <w:rFonts w:ascii="Arial" w:hAnsi="Arial" w:cs="Arial"/>
              </w:rPr>
              <w:t>BEP04</w:t>
            </w:r>
          </w:p>
        </w:tc>
        <w:tc>
          <w:tcPr>
            <w:tcW w:w="417" w:type="pct"/>
            <w:tcBorders>
              <w:top w:val="single" w:sz="8" w:space="0" w:color="auto"/>
              <w:left w:val="single" w:sz="8" w:space="0" w:color="auto"/>
              <w:bottom w:val="single" w:sz="4" w:space="0" w:color="auto"/>
              <w:right w:val="single" w:sz="8" w:space="0" w:color="auto"/>
            </w:tcBorders>
          </w:tcPr>
          <w:p w14:paraId="1939B1CC" w14:textId="347BEC4F" w:rsidR="000E4397" w:rsidRPr="00F349EA" w:rsidRDefault="000E4397" w:rsidP="000E4397">
            <w:pPr>
              <w:spacing w:line="276" w:lineRule="auto"/>
              <w:textAlignment w:val="baseline"/>
              <w:rPr>
                <w:rFonts w:ascii="Arial" w:hAnsi="Arial" w:cs="Arial"/>
              </w:rPr>
            </w:pPr>
            <w:r w:rsidRPr="00F349EA">
              <w:rPr>
                <w:rFonts w:ascii="Arial" w:hAnsi="Arial" w:cs="Arial"/>
              </w:rPr>
              <w:t>Business Environmental Performance</w:t>
            </w:r>
          </w:p>
        </w:tc>
        <w:tc>
          <w:tcPr>
            <w:tcW w:w="802" w:type="pct"/>
            <w:tcBorders>
              <w:top w:val="single" w:sz="8" w:space="0" w:color="auto"/>
              <w:left w:val="single" w:sz="8" w:space="0" w:color="auto"/>
              <w:bottom w:val="single" w:sz="4" w:space="0" w:color="auto"/>
              <w:right w:val="single" w:sz="8" w:space="0" w:color="auto"/>
            </w:tcBorders>
          </w:tcPr>
          <w:p w14:paraId="5566ABC3" w14:textId="1E2F7E2B" w:rsidR="000E4397" w:rsidRPr="00F349EA" w:rsidRDefault="000E4397" w:rsidP="000E4397">
            <w:pPr>
              <w:spacing w:line="276" w:lineRule="auto"/>
              <w:textAlignment w:val="baseline"/>
              <w:rPr>
                <w:rFonts w:ascii="Arial" w:hAnsi="Arial" w:cs="Arial"/>
              </w:rPr>
            </w:pPr>
            <w:r w:rsidRPr="00F349EA">
              <w:rPr>
                <w:rFonts w:ascii="Arial" w:hAnsi="Arial" w:cs="Arial"/>
              </w:rPr>
              <w:t xml:space="preserve">Percentage of applications determined within statutory determination times – Increasing </w:t>
            </w:r>
          </w:p>
        </w:tc>
        <w:tc>
          <w:tcPr>
            <w:tcW w:w="384" w:type="pct"/>
            <w:tcBorders>
              <w:top w:val="single" w:sz="8" w:space="0" w:color="auto"/>
              <w:left w:val="single" w:sz="8" w:space="0" w:color="auto"/>
              <w:bottom w:val="single" w:sz="4" w:space="0" w:color="auto"/>
              <w:right w:val="single" w:sz="8" w:space="0" w:color="auto"/>
            </w:tcBorders>
          </w:tcPr>
          <w:p w14:paraId="5ED83636" w14:textId="4EFFE90D"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color w:val="000000"/>
              </w:rPr>
              <w:t>Operational – Direct control</w:t>
            </w:r>
          </w:p>
        </w:tc>
        <w:tc>
          <w:tcPr>
            <w:tcW w:w="481" w:type="pct"/>
            <w:tcBorders>
              <w:top w:val="nil"/>
              <w:left w:val="single" w:sz="4" w:space="0" w:color="auto"/>
              <w:bottom w:val="single" w:sz="4" w:space="0" w:color="auto"/>
              <w:right w:val="single" w:sz="4" w:space="0" w:color="auto"/>
            </w:tcBorders>
          </w:tcPr>
          <w:p w14:paraId="22BE52C9" w14:textId="15D50E23"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rPr>
              <w:t>2023/24 baseline: 92% all applications</w:t>
            </w:r>
            <w:r w:rsidRPr="00F349EA">
              <w:rPr>
                <w:rFonts w:ascii="Arial" w:hAnsi="Arial" w:cs="Arial"/>
              </w:rPr>
              <w:br/>
            </w:r>
            <w:r w:rsidRPr="00F349EA">
              <w:rPr>
                <w:rFonts w:ascii="Arial" w:hAnsi="Arial" w:cs="Arial"/>
              </w:rPr>
              <w:br/>
              <w:t>75% for permitting licences / 87% for permitting registrations</w:t>
            </w:r>
          </w:p>
        </w:tc>
        <w:tc>
          <w:tcPr>
            <w:tcW w:w="545" w:type="pct"/>
            <w:tcBorders>
              <w:top w:val="nil"/>
              <w:left w:val="single" w:sz="4" w:space="0" w:color="auto"/>
              <w:bottom w:val="single" w:sz="4" w:space="0" w:color="auto"/>
              <w:right w:val="single" w:sz="4" w:space="0" w:color="auto"/>
            </w:tcBorders>
          </w:tcPr>
          <w:p w14:paraId="2529AF02" w14:textId="0E3639FC" w:rsidR="000E4397" w:rsidRPr="00F349EA" w:rsidRDefault="000E4397" w:rsidP="000E4397">
            <w:pPr>
              <w:spacing w:line="276" w:lineRule="auto"/>
              <w:textAlignment w:val="baseline"/>
              <w:rPr>
                <w:rFonts w:ascii="Arial" w:eastAsia="Times New Roman" w:hAnsi="Arial" w:cs="Arial"/>
                <w:lang w:eastAsia="en-GB"/>
              </w:rPr>
            </w:pPr>
            <w:r w:rsidRPr="00F349EA">
              <w:rPr>
                <w:rFonts w:ascii="Arial" w:hAnsi="Arial" w:cs="Arial"/>
                <w:color w:val="000000"/>
              </w:rPr>
              <w:t>Maintain the percentage of applications determined within statutory timelines.</w:t>
            </w:r>
          </w:p>
        </w:tc>
        <w:tc>
          <w:tcPr>
            <w:tcW w:w="417" w:type="pct"/>
            <w:tcBorders>
              <w:top w:val="single" w:sz="8" w:space="0" w:color="auto"/>
              <w:left w:val="single" w:sz="8" w:space="0" w:color="auto"/>
              <w:bottom w:val="single" w:sz="4" w:space="0" w:color="auto"/>
              <w:right w:val="single" w:sz="8" w:space="0" w:color="auto"/>
            </w:tcBorders>
          </w:tcPr>
          <w:p w14:paraId="202A7B4C" w14:textId="77777777" w:rsidR="000E4397" w:rsidRPr="00F349EA" w:rsidRDefault="00E84E6A"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90% of all applications</w:t>
            </w:r>
          </w:p>
          <w:p w14:paraId="4F716AB7" w14:textId="77777777" w:rsidR="001F62C1" w:rsidRPr="00F349EA" w:rsidRDefault="001F62C1" w:rsidP="000E4397">
            <w:pPr>
              <w:spacing w:line="276" w:lineRule="auto"/>
              <w:textAlignment w:val="baseline"/>
              <w:rPr>
                <w:rFonts w:ascii="Arial" w:eastAsia="Times New Roman" w:hAnsi="Arial" w:cs="Arial"/>
                <w:lang w:eastAsia="en-GB"/>
              </w:rPr>
            </w:pPr>
          </w:p>
          <w:p w14:paraId="18C8CAE2" w14:textId="10B5AB75" w:rsidR="0002411E" w:rsidRPr="00F349EA" w:rsidRDefault="0002411E" w:rsidP="0002411E">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70% for permitting licences</w:t>
            </w:r>
            <w:r w:rsidR="00D93C8C" w:rsidRPr="00F349EA">
              <w:rPr>
                <w:rFonts w:ascii="Arial" w:eastAsia="Times New Roman" w:hAnsi="Arial" w:cs="Arial"/>
                <w:lang w:eastAsia="en-GB"/>
              </w:rPr>
              <w:t xml:space="preserve"> / </w:t>
            </w:r>
          </w:p>
          <w:p w14:paraId="27A49A06" w14:textId="6A1C0363" w:rsidR="0002411E" w:rsidRPr="00F349EA" w:rsidRDefault="0002411E" w:rsidP="0002411E">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98% for permitting registrations</w:t>
            </w:r>
          </w:p>
        </w:tc>
        <w:tc>
          <w:tcPr>
            <w:tcW w:w="385" w:type="pct"/>
            <w:tcBorders>
              <w:top w:val="single" w:sz="4" w:space="0" w:color="auto"/>
              <w:left w:val="single" w:sz="4" w:space="0" w:color="auto"/>
              <w:bottom w:val="single" w:sz="4" w:space="0" w:color="auto"/>
              <w:right w:val="single" w:sz="4" w:space="0" w:color="auto"/>
            </w:tcBorders>
          </w:tcPr>
          <w:p w14:paraId="1C339047" w14:textId="26FA06F9" w:rsidR="000E4397" w:rsidRPr="00F349EA" w:rsidRDefault="004B6211" w:rsidP="000E4397">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Partially Achieving</w:t>
            </w:r>
          </w:p>
        </w:tc>
        <w:tc>
          <w:tcPr>
            <w:tcW w:w="1026" w:type="pct"/>
            <w:tcBorders>
              <w:top w:val="nil"/>
              <w:left w:val="single" w:sz="4" w:space="0" w:color="auto"/>
              <w:bottom w:val="single" w:sz="4" w:space="0" w:color="auto"/>
              <w:right w:val="single" w:sz="4" w:space="0" w:color="auto"/>
            </w:tcBorders>
          </w:tcPr>
          <w:p w14:paraId="70B59AF0" w14:textId="00BE94EA" w:rsidR="000E4397" w:rsidRPr="00F349EA" w:rsidRDefault="0096726D" w:rsidP="0096726D">
            <w:pPr>
              <w:spacing w:line="276" w:lineRule="auto"/>
              <w:textAlignment w:val="baseline"/>
              <w:rPr>
                <w:rFonts w:ascii="Arial" w:eastAsia="Times New Roman" w:hAnsi="Arial" w:cs="Arial"/>
                <w:lang w:eastAsia="en-GB"/>
              </w:rPr>
            </w:pPr>
            <w:r w:rsidRPr="00F349EA">
              <w:rPr>
                <w:rFonts w:ascii="Arial" w:eastAsia="Times New Roman" w:hAnsi="Arial" w:cs="Arial"/>
                <w:lang w:eastAsia="en-GB"/>
              </w:rPr>
              <w:t xml:space="preserve">Due to resource pressures </w:t>
            </w:r>
            <w:r w:rsidR="00BC0D76" w:rsidRPr="00F349EA">
              <w:rPr>
                <w:rFonts w:ascii="Arial" w:eastAsia="Times New Roman" w:hAnsi="Arial" w:cs="Arial"/>
                <w:lang w:eastAsia="en-GB"/>
              </w:rPr>
              <w:t>we</w:t>
            </w:r>
            <w:r w:rsidRPr="00F349EA">
              <w:rPr>
                <w:rFonts w:ascii="Arial" w:eastAsia="Times New Roman" w:hAnsi="Arial" w:cs="Arial"/>
                <w:lang w:eastAsia="en-GB"/>
              </w:rPr>
              <w:t xml:space="preserve"> are partially achieving </w:t>
            </w:r>
            <w:r w:rsidR="00C84F3E" w:rsidRPr="00F349EA">
              <w:rPr>
                <w:rFonts w:ascii="Arial" w:eastAsia="Times New Roman" w:hAnsi="Arial" w:cs="Arial"/>
                <w:lang w:eastAsia="en-GB"/>
              </w:rPr>
              <w:t xml:space="preserve">with </w:t>
            </w:r>
            <w:r w:rsidRPr="00F349EA">
              <w:rPr>
                <w:rFonts w:ascii="Arial" w:eastAsia="Times New Roman" w:hAnsi="Arial" w:cs="Arial"/>
                <w:lang w:eastAsia="en-GB"/>
              </w:rPr>
              <w:t>Q2 statistics show</w:t>
            </w:r>
            <w:r w:rsidR="00C84F3E" w:rsidRPr="00F349EA">
              <w:rPr>
                <w:rFonts w:ascii="Arial" w:eastAsia="Times New Roman" w:hAnsi="Arial" w:cs="Arial"/>
                <w:lang w:eastAsia="en-GB"/>
              </w:rPr>
              <w:t>ing</w:t>
            </w:r>
            <w:r w:rsidRPr="00F349EA">
              <w:rPr>
                <w:rFonts w:ascii="Arial" w:eastAsia="Times New Roman" w:hAnsi="Arial" w:cs="Arial"/>
                <w:lang w:eastAsia="en-GB"/>
              </w:rPr>
              <w:t xml:space="preserve"> 90% of all applications determined within statutory determination times. The main reason for this </w:t>
            </w:r>
            <w:r w:rsidR="008C0931" w:rsidRPr="00F349EA">
              <w:rPr>
                <w:rFonts w:ascii="Arial" w:eastAsia="Times New Roman" w:hAnsi="Arial" w:cs="Arial"/>
                <w:lang w:eastAsia="en-GB"/>
              </w:rPr>
              <w:t>slight</w:t>
            </w:r>
            <w:r w:rsidRPr="00F349EA">
              <w:rPr>
                <w:rFonts w:ascii="Arial" w:eastAsia="Times New Roman" w:hAnsi="Arial" w:cs="Arial"/>
                <w:lang w:eastAsia="en-GB"/>
              </w:rPr>
              <w:t xml:space="preserve"> reduction is due to long standing applications </w:t>
            </w:r>
            <w:r w:rsidR="00721859" w:rsidRPr="00F349EA">
              <w:rPr>
                <w:rFonts w:ascii="Arial" w:eastAsia="Times New Roman" w:hAnsi="Arial" w:cs="Arial"/>
                <w:lang w:eastAsia="en-GB"/>
              </w:rPr>
              <w:t xml:space="preserve">for permitting licenses </w:t>
            </w:r>
            <w:r w:rsidRPr="00F349EA">
              <w:rPr>
                <w:rFonts w:ascii="Arial" w:eastAsia="Times New Roman" w:hAnsi="Arial" w:cs="Arial"/>
                <w:lang w:eastAsia="en-GB"/>
              </w:rPr>
              <w:t>being determined.</w:t>
            </w:r>
            <w:r w:rsidR="009A05C7" w:rsidRPr="00F349EA">
              <w:rPr>
                <w:rFonts w:ascii="Arial" w:eastAsia="Times New Roman" w:hAnsi="Arial" w:cs="Arial"/>
                <w:lang w:eastAsia="en-GB"/>
              </w:rPr>
              <w:t xml:space="preserve"> We are maintaining high performance for permitting registrations. </w:t>
            </w:r>
          </w:p>
        </w:tc>
        <w:tc>
          <w:tcPr>
            <w:tcW w:w="320" w:type="pct"/>
            <w:tcBorders>
              <w:top w:val="nil"/>
              <w:left w:val="single" w:sz="4" w:space="0" w:color="auto"/>
              <w:bottom w:val="single" w:sz="4" w:space="0" w:color="auto"/>
              <w:right w:val="single" w:sz="4" w:space="0" w:color="auto"/>
            </w:tcBorders>
          </w:tcPr>
          <w:p w14:paraId="0205E353" w14:textId="05595DC3" w:rsidR="000E4397" w:rsidRPr="00F349EA" w:rsidRDefault="004B6211" w:rsidP="000E4397">
            <w:pPr>
              <w:spacing w:line="276" w:lineRule="auto"/>
              <w:jc w:val="center"/>
              <w:textAlignment w:val="baseline"/>
              <w:rPr>
                <w:rFonts w:ascii="Arial" w:eastAsia="Times New Roman" w:hAnsi="Arial" w:cs="Arial"/>
                <w:lang w:eastAsia="en-GB"/>
              </w:rPr>
            </w:pPr>
            <w:r w:rsidRPr="00F349EA">
              <w:rPr>
                <w:rFonts w:ascii="Arial" w:hAnsi="Arial" w:cs="Arial"/>
                <w:color w:val="000000"/>
              </w:rPr>
              <w:t>Partially Achieved</w:t>
            </w:r>
          </w:p>
        </w:tc>
      </w:tr>
    </w:tbl>
    <w:p w14:paraId="6144EA85" w14:textId="77777777" w:rsidR="00D14EBA" w:rsidRPr="00F349EA" w:rsidRDefault="00D14EBA" w:rsidP="004222B2">
      <w:pPr>
        <w:spacing w:line="240" w:lineRule="auto"/>
        <w:rPr>
          <w:highlight w:val="yellow"/>
        </w:rPr>
      </w:pPr>
    </w:p>
    <w:p w14:paraId="2EADB6F9" w14:textId="77777777" w:rsidR="00D14EBA" w:rsidRPr="00F349EA" w:rsidRDefault="00D14EBA" w:rsidP="004222B2">
      <w:pPr>
        <w:spacing w:line="240" w:lineRule="auto"/>
        <w:rPr>
          <w:highlight w:val="yellow"/>
        </w:rPr>
      </w:pPr>
    </w:p>
    <w:p w14:paraId="4086D7F6" w14:textId="216FBABD" w:rsidR="000E7600" w:rsidRPr="00F349EA" w:rsidRDefault="000E7600" w:rsidP="004222B2">
      <w:pPr>
        <w:spacing w:line="240" w:lineRule="auto"/>
        <w:rPr>
          <w:sz w:val="32"/>
          <w:szCs w:val="32"/>
        </w:rPr>
        <w:sectPr w:rsidR="000E7600" w:rsidRPr="00F349EA" w:rsidSect="007A1B67">
          <w:pgSz w:w="23811" w:h="16838" w:orient="landscape" w:code="8"/>
          <w:pgMar w:top="1083" w:right="1440" w:bottom="1083" w:left="567" w:header="567" w:footer="567" w:gutter="0"/>
          <w:cols w:space="708"/>
          <w:titlePg/>
          <w:docGrid w:linePitch="360"/>
        </w:sectPr>
      </w:pPr>
    </w:p>
    <w:p w14:paraId="0E5B336B" w14:textId="0FBA8D01" w:rsidR="000E7600" w:rsidRPr="00F349EA" w:rsidRDefault="000E7600" w:rsidP="004333FB">
      <w:pPr>
        <w:pStyle w:val="Heading1"/>
        <w:numPr>
          <w:ilvl w:val="0"/>
          <w:numId w:val="31"/>
        </w:numPr>
        <w:spacing w:after="240" w:line="240" w:lineRule="auto"/>
        <w:rPr>
          <w:sz w:val="48"/>
          <w:szCs w:val="48"/>
        </w:rPr>
      </w:pPr>
      <w:bookmarkStart w:id="29" w:name="_Toc1341224549"/>
      <w:r w:rsidRPr="68A9B764">
        <w:rPr>
          <w:sz w:val="48"/>
          <w:szCs w:val="48"/>
        </w:rPr>
        <w:lastRenderedPageBreak/>
        <w:t>Performance Updates</w:t>
      </w:r>
      <w:bookmarkEnd w:id="29"/>
    </w:p>
    <w:p w14:paraId="12D94878" w14:textId="6CF0E604" w:rsidR="00A30032" w:rsidRPr="00F349EA" w:rsidRDefault="00A30032" w:rsidP="7D52A5B7">
      <w:pPr>
        <w:pStyle w:val="Heading2"/>
        <w:shd w:val="clear" w:color="auto" w:fill="016574" w:themeFill="accent2"/>
        <w:spacing w:before="0" w:after="240"/>
        <w:ind w:left="720" w:hanging="720"/>
        <w:rPr>
          <w:color w:val="FFFFFF" w:themeColor="background1"/>
          <w:sz w:val="48"/>
          <w:szCs w:val="48"/>
        </w:rPr>
      </w:pPr>
      <w:bookmarkStart w:id="30" w:name="_Toc1154151876"/>
      <w:r w:rsidRPr="68A9B764">
        <w:rPr>
          <w:color w:val="FFFFFF" w:themeColor="background1"/>
          <w:sz w:val="48"/>
          <w:szCs w:val="48"/>
        </w:rPr>
        <w:t>Net Zero</w:t>
      </w:r>
      <w:bookmarkEnd w:id="30"/>
    </w:p>
    <w:p w14:paraId="698B386B" w14:textId="77777777" w:rsidR="005E50E7" w:rsidRPr="00F349EA" w:rsidRDefault="005E50E7" w:rsidP="00E65726">
      <w:pPr>
        <w:pStyle w:val="BodyText1"/>
        <w:shd w:val="clear" w:color="auto" w:fill="018395"/>
        <w:spacing w:before="240" w:after="120"/>
        <w:rPr>
          <w:b/>
          <w:bCs/>
          <w:color w:val="FFFFFF" w:themeColor="background1"/>
          <w:sz w:val="36"/>
          <w:szCs w:val="36"/>
        </w:rPr>
      </w:pPr>
      <w:r w:rsidRPr="00F349EA">
        <w:rPr>
          <w:b/>
          <w:bCs/>
          <w:color w:val="FFFFFF" w:themeColor="background1"/>
          <w:sz w:val="36"/>
          <w:szCs w:val="36"/>
        </w:rPr>
        <w:t xml:space="preserve">Our ambition is to fully play our part in helping Scotland become a net zero country by 2045 and reduce our own emissions towards net zero. </w:t>
      </w:r>
    </w:p>
    <w:p w14:paraId="02047630" w14:textId="2B330906" w:rsidR="00A33FC2" w:rsidRPr="00F349EA" w:rsidRDefault="009964CC" w:rsidP="00E53135">
      <w:pPr>
        <w:pStyle w:val="Heading3"/>
        <w:spacing w:before="120" w:after="120"/>
        <w:rPr>
          <w:color w:val="016574"/>
          <w:sz w:val="32"/>
          <w:szCs w:val="28"/>
        </w:rPr>
      </w:pPr>
      <w:r w:rsidRPr="00F349EA">
        <w:rPr>
          <w:color w:val="016574"/>
          <w:sz w:val="32"/>
          <w:szCs w:val="28"/>
        </w:rPr>
        <w:t>NZ OKR01: Develop our regulatory role with a more integrated approach to energy efficiency and industrial decarbonisation.</w:t>
      </w:r>
    </w:p>
    <w:p w14:paraId="50C65256" w14:textId="3C9A0484" w:rsidR="00A33FC2" w:rsidRPr="00F349EA" w:rsidRDefault="005D7EE1" w:rsidP="00790FA6">
      <w:pPr>
        <w:spacing w:after="120"/>
        <w:rPr>
          <w:b/>
          <w:bCs/>
          <w:color w:val="3C4741" w:themeColor="text1"/>
        </w:rPr>
      </w:pPr>
      <w:r w:rsidRPr="00F349EA">
        <w:rPr>
          <w:noProof/>
        </w:rPr>
        <w:drawing>
          <wp:inline distT="0" distB="0" distL="0" distR="0" wp14:anchorId="7BAC15DD" wp14:editId="02A42561">
            <wp:extent cx="9668786" cy="2774950"/>
            <wp:effectExtent l="0" t="0" r="8890" b="6350"/>
            <wp:docPr id="315767017" name="Chart 1" descr="This is a bar graph which shows the score of each key result for OKR01 over each quarter. &#10;There is a line on the score scale of 0.7 to represent whether the KR is being delivered. There is another line on the score scale of 0.3 to represent whether measurable progress has been made in the quarter.&#10;For Q1 KR1.1 scored 0.&#10;KR1.2 and KR1.3 have no scores.&#10;For Q2 KR1.1 scored 1.&#10;KR1.2 scored 0.33 and KR1.3 has no score.">
              <a:extLst xmlns:a="http://schemas.openxmlformats.org/drawingml/2006/main">
                <a:ext uri="{FF2B5EF4-FFF2-40B4-BE49-F238E27FC236}">
                  <a16:creationId xmlns:a16="http://schemas.microsoft.com/office/drawing/2014/main" id="{85EDD120-543A-4B9C-9970-764A604D7B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1 key result summary "/>
        <w:tblDescription w:val="Q1 summary for each of the three key results under OKR1. This includes the date due, Q1 score, Q1 status, Q1 commentary and annual forecast for each key result."/>
      </w:tblPr>
      <w:tblGrid>
        <w:gridCol w:w="3869"/>
        <w:gridCol w:w="767"/>
        <w:gridCol w:w="924"/>
        <w:gridCol w:w="924"/>
        <w:gridCol w:w="924"/>
        <w:gridCol w:w="924"/>
        <w:gridCol w:w="1020"/>
        <w:gridCol w:w="4110"/>
        <w:gridCol w:w="1496"/>
      </w:tblGrid>
      <w:tr w:rsidR="0051570C" w:rsidRPr="00F349EA" w14:paraId="64A657E4" w14:textId="77777777" w:rsidTr="00605D02">
        <w:trPr>
          <w:cantSplit/>
          <w:trHeight w:val="545"/>
          <w:tblHeader/>
        </w:trPr>
        <w:tc>
          <w:tcPr>
            <w:tcW w:w="1293" w:type="pct"/>
            <w:shd w:val="clear" w:color="auto" w:fill="016574" w:themeFill="accent2"/>
          </w:tcPr>
          <w:p w14:paraId="2DA89DA6" w14:textId="56B8B946" w:rsidR="0051570C" w:rsidRPr="00F349EA" w:rsidRDefault="0051570C" w:rsidP="005E4AB1">
            <w:pPr>
              <w:spacing w:before="40" w:after="40" w:line="240" w:lineRule="auto"/>
              <w:textAlignment w:val="baseline"/>
              <w:rPr>
                <w:rFonts w:ascii="Arial" w:eastAsia="Times New Roman" w:hAnsi="Arial" w:cs="Arial"/>
                <w:color w:val="000000"/>
                <w:sz w:val="28"/>
                <w:szCs w:val="28"/>
                <w:lang w:eastAsia="en-GB"/>
              </w:rPr>
            </w:pPr>
            <w:r w:rsidRPr="00F349EA">
              <w:rPr>
                <w:rFonts w:ascii="Arial" w:eastAsia="MS PGothic" w:hAnsi="Arial" w:cs="Arial"/>
                <w:b/>
                <w:bCs/>
                <w:color w:val="FFFFFF" w:themeColor="background1"/>
              </w:rPr>
              <w:lastRenderedPageBreak/>
              <w:t>Key Results</w:t>
            </w:r>
          </w:p>
        </w:tc>
        <w:tc>
          <w:tcPr>
            <w:tcW w:w="256" w:type="pct"/>
            <w:shd w:val="clear" w:color="auto" w:fill="016574" w:themeFill="accent2"/>
          </w:tcPr>
          <w:p w14:paraId="5965B35C" w14:textId="3C9EDC6F" w:rsidR="0051570C" w:rsidRPr="00F349EA" w:rsidRDefault="0051570C" w:rsidP="005E4AB1">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Due date</w:t>
            </w:r>
          </w:p>
        </w:tc>
        <w:tc>
          <w:tcPr>
            <w:tcW w:w="309" w:type="pct"/>
            <w:shd w:val="clear" w:color="auto" w:fill="016574" w:themeFill="accent2"/>
          </w:tcPr>
          <w:p w14:paraId="38B4BBA7" w14:textId="517D9263" w:rsidR="0051570C" w:rsidRPr="00F349EA" w:rsidRDefault="0051570C" w:rsidP="005E4AB1">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Q1 score</w:t>
            </w:r>
          </w:p>
        </w:tc>
        <w:tc>
          <w:tcPr>
            <w:tcW w:w="309" w:type="pct"/>
            <w:shd w:val="clear" w:color="auto" w:fill="016574" w:themeFill="accent2"/>
          </w:tcPr>
          <w:p w14:paraId="088FC10D" w14:textId="77777777" w:rsidR="0051570C" w:rsidRPr="00F349EA" w:rsidRDefault="0051570C" w:rsidP="005E4AB1">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Q2 score</w:t>
            </w:r>
          </w:p>
        </w:tc>
        <w:tc>
          <w:tcPr>
            <w:tcW w:w="309" w:type="pct"/>
            <w:shd w:val="clear" w:color="auto" w:fill="016574" w:themeFill="accent2"/>
          </w:tcPr>
          <w:p w14:paraId="0DEDB8DD" w14:textId="77777777" w:rsidR="0051570C" w:rsidRPr="00F349EA" w:rsidRDefault="0051570C" w:rsidP="005E4AB1">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Q3 score</w:t>
            </w:r>
          </w:p>
        </w:tc>
        <w:tc>
          <w:tcPr>
            <w:tcW w:w="309" w:type="pct"/>
            <w:shd w:val="clear" w:color="auto" w:fill="016574" w:themeFill="accent2"/>
          </w:tcPr>
          <w:p w14:paraId="73D99F0B" w14:textId="77777777" w:rsidR="0051570C" w:rsidRPr="00F349EA" w:rsidRDefault="0051570C" w:rsidP="005E4AB1">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Q4 score</w:t>
            </w:r>
          </w:p>
        </w:tc>
        <w:tc>
          <w:tcPr>
            <w:tcW w:w="341" w:type="pct"/>
            <w:shd w:val="clear" w:color="auto" w:fill="016574" w:themeFill="accent2"/>
          </w:tcPr>
          <w:p w14:paraId="7EB76200" w14:textId="20EC62E7" w:rsidR="0051570C" w:rsidRPr="00F349EA" w:rsidRDefault="0051570C" w:rsidP="005E4AB1">
            <w:pPr>
              <w:spacing w:before="40" w:after="40" w:line="240" w:lineRule="auto"/>
              <w:jc w:val="center"/>
              <w:textAlignment w:val="baseline"/>
              <w:rPr>
                <w:rFonts w:ascii="Arial" w:eastAsia="Times New Roman" w:hAnsi="Arial" w:cs="Arial"/>
                <w:color w:val="000000"/>
                <w:lang w:eastAsia="en-GB"/>
              </w:rPr>
            </w:pPr>
            <w:r w:rsidRPr="00F349EA">
              <w:rPr>
                <w:rFonts w:ascii="Arial" w:eastAsia="MS PGothic" w:hAnsi="Arial" w:cs="Arial"/>
                <w:b/>
                <w:bCs/>
                <w:color w:val="FFFFFF"/>
              </w:rPr>
              <w:t>Q</w:t>
            </w:r>
            <w:r w:rsidR="007B42BA" w:rsidRPr="00F349EA">
              <w:rPr>
                <w:rFonts w:ascii="Arial" w:eastAsia="MS PGothic" w:hAnsi="Arial" w:cs="Arial"/>
                <w:b/>
                <w:bCs/>
                <w:color w:val="FFFFFF"/>
              </w:rPr>
              <w:t>2</w:t>
            </w:r>
            <w:r w:rsidRPr="00F349EA">
              <w:rPr>
                <w:rFonts w:ascii="Arial" w:eastAsia="MS PGothic" w:hAnsi="Arial" w:cs="Arial"/>
                <w:b/>
                <w:bCs/>
                <w:color w:val="FFFFFF"/>
              </w:rPr>
              <w:t xml:space="preserve"> Status</w:t>
            </w:r>
          </w:p>
        </w:tc>
        <w:tc>
          <w:tcPr>
            <w:tcW w:w="1374" w:type="pct"/>
            <w:shd w:val="clear" w:color="auto" w:fill="016574" w:themeFill="accent2"/>
          </w:tcPr>
          <w:p w14:paraId="5C37A7B0" w14:textId="7FD1D601" w:rsidR="0051570C" w:rsidRPr="00F349EA" w:rsidRDefault="0051570C" w:rsidP="005E4AB1">
            <w:pPr>
              <w:spacing w:before="40" w:after="40" w:line="240" w:lineRule="auto"/>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Q</w:t>
            </w:r>
            <w:r w:rsidR="007B42BA" w:rsidRPr="00F349EA">
              <w:rPr>
                <w:rFonts w:ascii="Arial" w:eastAsia="MS PGothic" w:hAnsi="Arial" w:cs="Arial"/>
                <w:b/>
                <w:bCs/>
                <w:color w:val="FFFFFF"/>
                <w:sz w:val="28"/>
                <w:szCs w:val="28"/>
              </w:rPr>
              <w:t>2</w:t>
            </w:r>
            <w:r w:rsidRPr="00F349EA">
              <w:rPr>
                <w:rFonts w:ascii="Arial" w:eastAsia="MS PGothic" w:hAnsi="Arial" w:cs="Arial"/>
                <w:b/>
                <w:bCs/>
                <w:color w:val="FFFFFF"/>
                <w:sz w:val="28"/>
                <w:szCs w:val="28"/>
              </w:rPr>
              <w:t xml:space="preserve"> commentary</w:t>
            </w:r>
          </w:p>
        </w:tc>
        <w:tc>
          <w:tcPr>
            <w:tcW w:w="500" w:type="pct"/>
            <w:shd w:val="clear" w:color="auto" w:fill="016574" w:themeFill="accent2"/>
          </w:tcPr>
          <w:p w14:paraId="5E28F75B" w14:textId="77777777" w:rsidR="0051570C" w:rsidRPr="00F349EA" w:rsidRDefault="0051570C" w:rsidP="005E4AB1">
            <w:pPr>
              <w:spacing w:before="40" w:after="40"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Annual forecast</w:t>
            </w:r>
          </w:p>
        </w:tc>
      </w:tr>
      <w:tr w:rsidR="0051570C" w:rsidRPr="00F349EA" w14:paraId="2BC3F28A" w14:textId="77777777" w:rsidTr="00605D02">
        <w:tblPrEx>
          <w:tblCellMar>
            <w:left w:w="108" w:type="dxa"/>
            <w:right w:w="108" w:type="dxa"/>
          </w:tblCellMar>
        </w:tblPrEx>
        <w:trPr>
          <w:cantSplit/>
          <w:trHeight w:val="865"/>
        </w:trPr>
        <w:tc>
          <w:tcPr>
            <w:tcW w:w="1293" w:type="pct"/>
          </w:tcPr>
          <w:p w14:paraId="35A7DDC6" w14:textId="2FE945BE" w:rsidR="0051570C" w:rsidRPr="00F349EA" w:rsidRDefault="0051570C" w:rsidP="00C87A36">
            <w:pPr>
              <w:textAlignment w:val="baseline"/>
              <w:rPr>
                <w:rFonts w:ascii="Arial" w:eastAsia="Times New Roman" w:hAnsi="Arial" w:cs="Arial"/>
                <w:lang w:eastAsia="en-GB"/>
              </w:rPr>
            </w:pPr>
            <w:r w:rsidRPr="00F349EA">
              <w:rPr>
                <w:rFonts w:ascii="Arial" w:hAnsi="Arial" w:cs="Arial"/>
                <w:b/>
                <w:bCs/>
              </w:rPr>
              <w:t xml:space="preserve">KR1.1: </w:t>
            </w:r>
            <w:r w:rsidRPr="00F349EA">
              <w:rPr>
                <w:rFonts w:ascii="Arial" w:hAnsi="Arial" w:cs="Arial"/>
              </w:rPr>
              <w:t>100% of requested energy efficiency data received from energy intensive sites.</w:t>
            </w:r>
          </w:p>
        </w:tc>
        <w:tc>
          <w:tcPr>
            <w:tcW w:w="256" w:type="pct"/>
            <w:vAlign w:val="center"/>
          </w:tcPr>
          <w:p w14:paraId="40DA8825" w14:textId="303D6B0E" w:rsidR="0051570C" w:rsidRPr="00F349EA" w:rsidRDefault="0051570C" w:rsidP="00C87A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Q2</w:t>
            </w:r>
          </w:p>
        </w:tc>
        <w:tc>
          <w:tcPr>
            <w:tcW w:w="309" w:type="pct"/>
            <w:vAlign w:val="center"/>
          </w:tcPr>
          <w:p w14:paraId="03F3C9AD" w14:textId="6CD26A34" w:rsidR="0051570C" w:rsidRPr="00F349EA" w:rsidRDefault="00630239" w:rsidP="00C87A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0</w:t>
            </w:r>
          </w:p>
        </w:tc>
        <w:tc>
          <w:tcPr>
            <w:tcW w:w="309" w:type="pct"/>
            <w:vAlign w:val="center"/>
          </w:tcPr>
          <w:p w14:paraId="3A8CB608" w14:textId="74601335" w:rsidR="0051570C" w:rsidRPr="00F349EA" w:rsidRDefault="00856998" w:rsidP="0FB9A58E">
            <w:pPr>
              <w:jc w:val="center"/>
            </w:pPr>
            <w:r w:rsidRPr="00F349EA">
              <w:rPr>
                <w:rFonts w:ascii="Arial" w:eastAsia="Times New Roman" w:hAnsi="Arial" w:cs="Arial"/>
                <w:lang w:eastAsia="en-GB"/>
              </w:rPr>
              <w:t>1</w:t>
            </w:r>
          </w:p>
        </w:tc>
        <w:tc>
          <w:tcPr>
            <w:tcW w:w="309" w:type="pct"/>
            <w:vAlign w:val="center"/>
          </w:tcPr>
          <w:p w14:paraId="433035FC" w14:textId="77777777" w:rsidR="0051570C" w:rsidRPr="00F349EA" w:rsidRDefault="0051570C" w:rsidP="00C87A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09" w:type="pct"/>
            <w:vAlign w:val="center"/>
          </w:tcPr>
          <w:p w14:paraId="2B93DFA9" w14:textId="77777777" w:rsidR="0051570C" w:rsidRPr="00F349EA" w:rsidRDefault="0051570C" w:rsidP="00C87A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41" w:type="pct"/>
            <w:vAlign w:val="center"/>
          </w:tcPr>
          <w:p w14:paraId="62F82B70" w14:textId="263700ED" w:rsidR="0051570C" w:rsidRPr="00F349EA" w:rsidRDefault="107B707E" w:rsidP="0FB9A58E">
            <w:pPr>
              <w:jc w:val="center"/>
              <w:textAlignment w:val="baseline"/>
              <w:rPr>
                <w:b/>
                <w:bCs/>
                <w:i/>
                <w:iCs/>
                <w:color w:val="016574" w:themeColor="accent2"/>
                <w:lang w:eastAsia="en-GB"/>
              </w:rPr>
            </w:pPr>
            <w:r w:rsidRPr="00F349EA">
              <w:rPr>
                <w:noProof/>
              </w:rPr>
              <w:drawing>
                <wp:inline distT="0" distB="0" distL="0" distR="0" wp14:anchorId="5015BC3D" wp14:editId="3CBCBFDF">
                  <wp:extent cx="463550" cy="463550"/>
                  <wp:effectExtent l="0" t="0" r="0" b="0"/>
                  <wp:docPr id="1304896404"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374" w:type="pct"/>
            <w:vAlign w:val="center"/>
          </w:tcPr>
          <w:p w14:paraId="65A747BE" w14:textId="19A3A40B" w:rsidR="00E31C6F" w:rsidRPr="00F349EA" w:rsidRDefault="00010FA9" w:rsidP="00C87A36">
            <w:pPr>
              <w:textAlignment w:val="baseline"/>
              <w:rPr>
                <w:rFonts w:ascii="Arial" w:eastAsia="Times New Roman" w:hAnsi="Arial" w:cs="Arial"/>
                <w:lang w:eastAsia="en-GB"/>
              </w:rPr>
            </w:pPr>
            <w:r w:rsidRPr="00F349EA">
              <w:rPr>
                <w:rFonts w:ascii="Arial" w:eastAsia="Times New Roman" w:hAnsi="Arial" w:cs="Arial"/>
                <w:b/>
                <w:bCs/>
                <w:lang w:eastAsia="en-GB"/>
              </w:rPr>
              <w:t>Key result complete</w:t>
            </w:r>
            <w:r w:rsidR="00F95A74" w:rsidRPr="00F349EA">
              <w:rPr>
                <w:rFonts w:ascii="Arial" w:eastAsia="Times New Roman" w:hAnsi="Arial" w:cs="Arial"/>
                <w:b/>
                <w:bCs/>
                <w:lang w:eastAsia="en-GB"/>
              </w:rPr>
              <w:t xml:space="preserve"> in Q2</w:t>
            </w:r>
            <w:r w:rsidRPr="00F349EA">
              <w:rPr>
                <w:rFonts w:ascii="Arial" w:eastAsia="Times New Roman" w:hAnsi="Arial" w:cs="Arial"/>
                <w:lang w:eastAsia="en-GB"/>
              </w:rPr>
              <w:t xml:space="preserve">. </w:t>
            </w:r>
            <w:r w:rsidR="008A0EB5" w:rsidRPr="00F349EA">
              <w:rPr>
                <w:rFonts w:ascii="Arial" w:eastAsia="Times New Roman" w:hAnsi="Arial" w:cs="Arial"/>
                <w:lang w:eastAsia="en-GB"/>
              </w:rPr>
              <w:t xml:space="preserve">We received </w:t>
            </w:r>
            <w:r w:rsidR="45C5848C" w:rsidRPr="00F349EA">
              <w:rPr>
                <w:rFonts w:ascii="Arial" w:eastAsia="Times New Roman" w:hAnsi="Arial" w:cs="Arial"/>
                <w:lang w:eastAsia="en-GB"/>
              </w:rPr>
              <w:t>100% of requested information</w:t>
            </w:r>
            <w:r w:rsidR="00E31C6F" w:rsidRPr="00F349EA">
              <w:rPr>
                <w:rFonts w:ascii="Arial" w:eastAsia="Times New Roman" w:hAnsi="Arial" w:cs="Arial"/>
                <w:lang w:eastAsia="en-GB"/>
              </w:rPr>
              <w:t>.</w:t>
            </w:r>
          </w:p>
        </w:tc>
        <w:tc>
          <w:tcPr>
            <w:tcW w:w="500" w:type="pct"/>
            <w:vAlign w:val="center"/>
          </w:tcPr>
          <w:p w14:paraId="65A5FC11" w14:textId="73B89DA2" w:rsidR="0051570C" w:rsidRPr="00F349EA" w:rsidRDefault="00A7694A" w:rsidP="00C87A36">
            <w:pPr>
              <w:jc w:val="center"/>
              <w:textAlignment w:val="baseline"/>
              <w:rPr>
                <w:rFonts w:ascii="Arial" w:eastAsia="Times New Roman" w:hAnsi="Arial" w:cs="Arial"/>
                <w:lang w:eastAsia="en-GB"/>
              </w:rPr>
            </w:pPr>
            <w:r w:rsidRPr="00F349EA">
              <w:rPr>
                <w:rFonts w:ascii="Arial" w:eastAsia="Times New Roman" w:hAnsi="Arial" w:cs="Arial"/>
                <w:lang w:eastAsia="en-GB"/>
              </w:rPr>
              <w:t>Delivered</w:t>
            </w:r>
          </w:p>
        </w:tc>
      </w:tr>
      <w:tr w:rsidR="0051570C" w:rsidRPr="00F349EA" w14:paraId="4D9D1D59" w14:textId="77777777" w:rsidTr="00605D02">
        <w:trPr>
          <w:cantSplit/>
          <w:trHeight w:val="16"/>
        </w:trPr>
        <w:tc>
          <w:tcPr>
            <w:tcW w:w="1293" w:type="pct"/>
          </w:tcPr>
          <w:p w14:paraId="6CF86002" w14:textId="627B3D13" w:rsidR="0051570C" w:rsidRPr="00F349EA" w:rsidRDefault="0051570C" w:rsidP="00C87A36">
            <w:pPr>
              <w:textAlignment w:val="baseline"/>
              <w:rPr>
                <w:rFonts w:ascii="Arial" w:eastAsia="Times New Roman" w:hAnsi="Arial" w:cs="Arial"/>
                <w:lang w:eastAsia="en-GB"/>
              </w:rPr>
            </w:pPr>
            <w:r w:rsidRPr="00F349EA">
              <w:rPr>
                <w:rFonts w:ascii="Arial" w:hAnsi="Arial" w:cs="Arial"/>
                <w:b/>
                <w:bCs/>
              </w:rPr>
              <w:t xml:space="preserve">KR1.2: </w:t>
            </w:r>
            <w:r w:rsidRPr="00F349EA">
              <w:rPr>
                <w:rFonts w:ascii="Arial" w:hAnsi="Arial" w:cs="Arial"/>
              </w:rPr>
              <w:t>Direct engagement with three pilot sites, from the list of energy intensive sites.</w:t>
            </w:r>
          </w:p>
        </w:tc>
        <w:tc>
          <w:tcPr>
            <w:tcW w:w="256" w:type="pct"/>
            <w:vAlign w:val="center"/>
          </w:tcPr>
          <w:p w14:paraId="57333C5D" w14:textId="64B4D5BD" w:rsidR="0051570C" w:rsidRPr="00F349EA" w:rsidRDefault="0051570C" w:rsidP="00C87A36">
            <w:pPr>
              <w:jc w:val="center"/>
              <w:textAlignment w:val="baseline"/>
              <w:rPr>
                <w:rFonts w:asciiTheme="majorHAnsi" w:eastAsia="Times New Roman" w:hAnsiTheme="majorHAnsi" w:cstheme="majorHAnsi"/>
                <w:lang w:eastAsia="en-GB"/>
              </w:rPr>
            </w:pPr>
            <w:r w:rsidRPr="00F349EA">
              <w:rPr>
                <w:rFonts w:asciiTheme="majorHAnsi" w:hAnsiTheme="majorHAnsi" w:cstheme="majorHAnsi"/>
                <w:color w:val="000000"/>
              </w:rPr>
              <w:t>Q3</w:t>
            </w:r>
          </w:p>
        </w:tc>
        <w:tc>
          <w:tcPr>
            <w:tcW w:w="309" w:type="pct"/>
            <w:vAlign w:val="center"/>
          </w:tcPr>
          <w:p w14:paraId="0F880D63" w14:textId="10912F90" w:rsidR="0051570C" w:rsidRPr="00F349EA" w:rsidRDefault="00A7694A" w:rsidP="00C87A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N/A</w:t>
            </w:r>
          </w:p>
        </w:tc>
        <w:tc>
          <w:tcPr>
            <w:tcW w:w="309" w:type="pct"/>
            <w:vAlign w:val="center"/>
          </w:tcPr>
          <w:p w14:paraId="71764EBA" w14:textId="565D6C0C" w:rsidR="0051570C" w:rsidRPr="00F349EA" w:rsidRDefault="4FC1550D" w:rsidP="0FB9A58E">
            <w:pPr>
              <w:jc w:val="center"/>
            </w:pPr>
            <w:r w:rsidRPr="00F349EA">
              <w:rPr>
                <w:rFonts w:ascii="Arial" w:eastAsia="Times New Roman" w:hAnsi="Arial" w:cs="Arial"/>
                <w:lang w:eastAsia="en-GB"/>
              </w:rPr>
              <w:t>0.33</w:t>
            </w:r>
          </w:p>
        </w:tc>
        <w:tc>
          <w:tcPr>
            <w:tcW w:w="309" w:type="pct"/>
            <w:vAlign w:val="center"/>
          </w:tcPr>
          <w:p w14:paraId="62B72583" w14:textId="56264EE5" w:rsidR="0051570C" w:rsidRPr="00F349EA" w:rsidRDefault="0051570C" w:rsidP="00C87A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09" w:type="pct"/>
            <w:vAlign w:val="center"/>
          </w:tcPr>
          <w:p w14:paraId="2726FAD1" w14:textId="16AD7977" w:rsidR="0051570C" w:rsidRPr="00F349EA" w:rsidRDefault="0051570C" w:rsidP="00C87A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41" w:type="pct"/>
            <w:vAlign w:val="center"/>
          </w:tcPr>
          <w:p w14:paraId="1D70F0CE" w14:textId="36171841" w:rsidR="0051570C" w:rsidRPr="00F349EA" w:rsidRDefault="3EC124BD" w:rsidP="0FB9A58E">
            <w:pPr>
              <w:jc w:val="center"/>
              <w:textAlignment w:val="baseline"/>
              <w:rPr>
                <w:b/>
                <w:bCs/>
                <w:i/>
                <w:iCs/>
                <w:color w:val="016574" w:themeColor="accent2"/>
              </w:rPr>
            </w:pPr>
            <w:r w:rsidRPr="00F349EA">
              <w:rPr>
                <w:noProof/>
              </w:rPr>
              <w:drawing>
                <wp:inline distT="0" distB="0" distL="0" distR="0" wp14:anchorId="79CBE985" wp14:editId="6D8E652E">
                  <wp:extent cx="463550" cy="463550"/>
                  <wp:effectExtent l="0" t="0" r="0" b="0"/>
                  <wp:docPr id="1976182321"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463550" cy="463550"/>
                          </a:xfrm>
                          <a:prstGeom prst="rect">
                            <a:avLst/>
                          </a:prstGeom>
                        </pic:spPr>
                      </pic:pic>
                    </a:graphicData>
                  </a:graphic>
                </wp:inline>
              </w:drawing>
            </w:r>
          </w:p>
        </w:tc>
        <w:tc>
          <w:tcPr>
            <w:tcW w:w="1374" w:type="pct"/>
            <w:vAlign w:val="center"/>
          </w:tcPr>
          <w:p w14:paraId="2702E29F" w14:textId="66D21908" w:rsidR="006A69F0" w:rsidRPr="00F349EA" w:rsidRDefault="007A7B43" w:rsidP="00C87A36">
            <w:pPr>
              <w:textAlignment w:val="baseline"/>
              <w:rPr>
                <w:rFonts w:ascii="Arial" w:eastAsia="Times New Roman" w:hAnsi="Arial" w:cs="Arial"/>
                <w:lang w:eastAsia="en-GB"/>
              </w:rPr>
            </w:pPr>
            <w:r w:rsidRPr="00F349EA">
              <w:rPr>
                <w:rFonts w:ascii="Arial" w:eastAsia="Times New Roman" w:hAnsi="Arial" w:cs="Arial"/>
                <w:lang w:eastAsia="en-GB"/>
              </w:rPr>
              <w:t xml:space="preserve">We engaged </w:t>
            </w:r>
            <w:r w:rsidR="000A1386" w:rsidRPr="00F349EA">
              <w:rPr>
                <w:rFonts w:ascii="Arial" w:eastAsia="Times New Roman" w:hAnsi="Arial" w:cs="Arial"/>
                <w:lang w:eastAsia="en-GB"/>
              </w:rPr>
              <w:t>the Outcome Based Collaborative Regulation (OBCR) site</w:t>
            </w:r>
            <w:r w:rsidR="00E87E89" w:rsidRPr="00F349EA">
              <w:rPr>
                <w:rFonts w:ascii="Arial" w:eastAsia="Times New Roman" w:hAnsi="Arial" w:cs="Arial"/>
                <w:lang w:eastAsia="en-GB"/>
              </w:rPr>
              <w:t>.</w:t>
            </w:r>
            <w:r w:rsidR="004C1E99" w:rsidRPr="00F349EA">
              <w:rPr>
                <w:rFonts w:ascii="Arial" w:eastAsia="Times New Roman" w:hAnsi="Arial" w:cs="Arial"/>
                <w:lang w:eastAsia="en-GB"/>
              </w:rPr>
              <w:t xml:space="preserve"> The</w:t>
            </w:r>
            <w:r w:rsidR="76336522" w:rsidRPr="00F349EA">
              <w:rPr>
                <w:rFonts w:ascii="Arial" w:eastAsia="Times New Roman" w:hAnsi="Arial" w:cs="Arial"/>
                <w:lang w:eastAsia="en-GB"/>
              </w:rPr>
              <w:t xml:space="preserve"> other two </w:t>
            </w:r>
            <w:r w:rsidR="00E87E89" w:rsidRPr="00F349EA">
              <w:rPr>
                <w:rFonts w:ascii="Arial" w:eastAsia="Times New Roman" w:hAnsi="Arial" w:cs="Arial"/>
                <w:lang w:eastAsia="en-GB"/>
              </w:rPr>
              <w:t xml:space="preserve">sites </w:t>
            </w:r>
            <w:r w:rsidR="76336522" w:rsidRPr="00F349EA">
              <w:rPr>
                <w:rFonts w:ascii="Arial" w:eastAsia="Times New Roman" w:hAnsi="Arial" w:cs="Arial"/>
                <w:lang w:eastAsia="en-GB"/>
              </w:rPr>
              <w:t xml:space="preserve">will be </w:t>
            </w:r>
            <w:r w:rsidRPr="00F349EA">
              <w:rPr>
                <w:rFonts w:ascii="Arial" w:eastAsia="Times New Roman" w:hAnsi="Arial" w:cs="Arial"/>
                <w:lang w:eastAsia="en-GB"/>
              </w:rPr>
              <w:t>engaged</w:t>
            </w:r>
            <w:r w:rsidR="76336522" w:rsidRPr="00F349EA">
              <w:rPr>
                <w:rFonts w:ascii="Arial" w:eastAsia="Times New Roman" w:hAnsi="Arial" w:cs="Arial"/>
                <w:lang w:eastAsia="en-GB"/>
              </w:rPr>
              <w:t xml:space="preserve"> once the evidence</w:t>
            </w:r>
            <w:r w:rsidR="00010FA9" w:rsidRPr="00F349EA">
              <w:rPr>
                <w:rFonts w:ascii="Arial" w:eastAsia="Times New Roman" w:hAnsi="Arial" w:cs="Arial"/>
                <w:lang w:eastAsia="en-GB"/>
              </w:rPr>
              <w:t>-</w:t>
            </w:r>
            <w:r w:rsidR="76336522" w:rsidRPr="00F349EA">
              <w:rPr>
                <w:rFonts w:ascii="Arial" w:eastAsia="Times New Roman" w:hAnsi="Arial" w:cs="Arial"/>
                <w:lang w:eastAsia="en-GB"/>
              </w:rPr>
              <w:t>based pilot site selection is complete</w:t>
            </w:r>
            <w:r w:rsidR="00EF4AF6" w:rsidRPr="00F349EA">
              <w:rPr>
                <w:rFonts w:ascii="Arial" w:eastAsia="Times New Roman" w:hAnsi="Arial" w:cs="Arial"/>
                <w:lang w:eastAsia="en-GB"/>
              </w:rPr>
              <w:t>.</w:t>
            </w:r>
          </w:p>
          <w:p w14:paraId="10D2D040" w14:textId="06B6922D" w:rsidR="00EF4AF6" w:rsidRPr="00F349EA" w:rsidRDefault="006A69F0" w:rsidP="00C87A36">
            <w:pPr>
              <w:textAlignment w:val="baseline"/>
              <w:rPr>
                <w:rFonts w:ascii="Arial" w:eastAsia="Times New Roman" w:hAnsi="Arial" w:cs="Arial"/>
                <w:b/>
                <w:lang w:eastAsia="en-GB"/>
              </w:rPr>
            </w:pPr>
            <w:r w:rsidRPr="00F349EA">
              <w:rPr>
                <w:rFonts w:ascii="Arial" w:eastAsia="Times New Roman" w:hAnsi="Arial" w:cs="Arial"/>
                <w:b/>
                <w:lang w:eastAsia="en-GB"/>
              </w:rPr>
              <w:t>Confidence in forecast: High</w:t>
            </w:r>
          </w:p>
        </w:tc>
        <w:tc>
          <w:tcPr>
            <w:tcW w:w="500" w:type="pct"/>
            <w:vAlign w:val="center"/>
          </w:tcPr>
          <w:p w14:paraId="028BF0AF" w14:textId="69565204" w:rsidR="0051570C" w:rsidRPr="00F349EA" w:rsidRDefault="00A7694A" w:rsidP="00C87A36">
            <w:pPr>
              <w:jc w:val="center"/>
              <w:textAlignment w:val="baseline"/>
              <w:rPr>
                <w:rFonts w:ascii="Arial" w:eastAsia="Times New Roman" w:hAnsi="Arial" w:cs="Arial"/>
                <w:szCs w:val="28"/>
                <w:lang w:eastAsia="en-GB"/>
              </w:rPr>
            </w:pPr>
            <w:r w:rsidRPr="00F349EA">
              <w:rPr>
                <w:rFonts w:ascii="Arial" w:eastAsia="Times New Roman" w:hAnsi="Arial" w:cs="Arial"/>
                <w:lang w:eastAsia="en-GB"/>
              </w:rPr>
              <w:t>Delivered</w:t>
            </w:r>
          </w:p>
        </w:tc>
      </w:tr>
      <w:tr w:rsidR="0051570C" w:rsidRPr="00F349EA" w14:paraId="28D62A98" w14:textId="77777777" w:rsidTr="00605D02">
        <w:trPr>
          <w:cantSplit/>
          <w:trHeight w:val="16"/>
        </w:trPr>
        <w:tc>
          <w:tcPr>
            <w:tcW w:w="1293" w:type="pct"/>
          </w:tcPr>
          <w:p w14:paraId="42338223" w14:textId="79C4AFFA" w:rsidR="0051570C" w:rsidRPr="00F349EA" w:rsidRDefault="0051570C" w:rsidP="00C87A36">
            <w:pPr>
              <w:textAlignment w:val="baseline"/>
              <w:rPr>
                <w:rFonts w:ascii="Arial" w:eastAsia="Times New Roman" w:hAnsi="Arial" w:cs="Arial"/>
                <w:lang w:eastAsia="en-GB"/>
              </w:rPr>
            </w:pPr>
            <w:r w:rsidRPr="00F349EA">
              <w:rPr>
                <w:rFonts w:ascii="Arial" w:hAnsi="Arial" w:cs="Arial"/>
                <w:b/>
                <w:bCs/>
              </w:rPr>
              <w:t xml:space="preserve">KR1.3: </w:t>
            </w:r>
            <w:r w:rsidRPr="00F349EA">
              <w:rPr>
                <w:rFonts w:ascii="Arial" w:hAnsi="Arial" w:cs="Arial"/>
              </w:rPr>
              <w:t>Deliver options assessment of regulatory approaches in relation to energy efficiency and industrial decarbonisation.</w:t>
            </w:r>
          </w:p>
        </w:tc>
        <w:tc>
          <w:tcPr>
            <w:tcW w:w="256" w:type="pct"/>
            <w:vAlign w:val="center"/>
          </w:tcPr>
          <w:p w14:paraId="5D8F7827" w14:textId="099FF725" w:rsidR="0051570C" w:rsidRPr="00F349EA" w:rsidRDefault="0051570C" w:rsidP="00C87A36">
            <w:pPr>
              <w:jc w:val="center"/>
              <w:textAlignment w:val="baseline"/>
              <w:rPr>
                <w:rFonts w:asciiTheme="majorHAnsi" w:eastAsia="Times New Roman" w:hAnsiTheme="majorHAnsi" w:cstheme="majorHAnsi"/>
                <w:lang w:eastAsia="en-GB"/>
              </w:rPr>
            </w:pPr>
            <w:r w:rsidRPr="00F349EA">
              <w:rPr>
                <w:rFonts w:asciiTheme="majorHAnsi" w:hAnsiTheme="majorHAnsi" w:cstheme="majorHAnsi"/>
                <w:color w:val="000000"/>
              </w:rPr>
              <w:t>Q4</w:t>
            </w:r>
          </w:p>
        </w:tc>
        <w:tc>
          <w:tcPr>
            <w:tcW w:w="309" w:type="pct"/>
            <w:vAlign w:val="center"/>
          </w:tcPr>
          <w:p w14:paraId="4D1455ED" w14:textId="1744D73F" w:rsidR="0051570C" w:rsidRPr="00F349EA" w:rsidRDefault="003044A7" w:rsidP="00C87A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N/A</w:t>
            </w:r>
          </w:p>
        </w:tc>
        <w:tc>
          <w:tcPr>
            <w:tcW w:w="309" w:type="pct"/>
            <w:vAlign w:val="center"/>
          </w:tcPr>
          <w:p w14:paraId="20313D71" w14:textId="698F878C" w:rsidR="0051570C" w:rsidRPr="00F349EA" w:rsidRDefault="113177AC" w:rsidP="0FB9A58E">
            <w:pPr>
              <w:jc w:val="center"/>
            </w:pPr>
            <w:r w:rsidRPr="00F349EA">
              <w:rPr>
                <w:rFonts w:ascii="Arial" w:eastAsia="Times New Roman" w:hAnsi="Arial" w:cs="Arial"/>
                <w:lang w:eastAsia="en-GB"/>
              </w:rPr>
              <w:t>N/A</w:t>
            </w:r>
          </w:p>
        </w:tc>
        <w:tc>
          <w:tcPr>
            <w:tcW w:w="309" w:type="pct"/>
            <w:vAlign w:val="center"/>
          </w:tcPr>
          <w:p w14:paraId="1C0ED173" w14:textId="40DB5C47" w:rsidR="0051570C" w:rsidRPr="00F349EA" w:rsidRDefault="0051570C" w:rsidP="00C87A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09" w:type="pct"/>
            <w:vAlign w:val="center"/>
          </w:tcPr>
          <w:p w14:paraId="7F85E17F" w14:textId="3A6FE5F6" w:rsidR="0051570C" w:rsidRPr="00F349EA" w:rsidRDefault="0051570C" w:rsidP="00C87A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41" w:type="pct"/>
            <w:vAlign w:val="center"/>
          </w:tcPr>
          <w:p w14:paraId="4E28B23B" w14:textId="3520C3C1" w:rsidR="0051570C" w:rsidRPr="00F349EA" w:rsidRDefault="27C4B13A" w:rsidP="0FB9A58E">
            <w:pPr>
              <w:jc w:val="center"/>
              <w:textAlignment w:val="baseline"/>
              <w:rPr>
                <w:b/>
                <w:bCs/>
                <w:i/>
                <w:iCs/>
                <w:color w:val="016574" w:themeColor="accent2"/>
              </w:rPr>
            </w:pPr>
            <w:r w:rsidRPr="00F349EA">
              <w:rPr>
                <w:noProof/>
              </w:rPr>
              <w:drawing>
                <wp:inline distT="0" distB="0" distL="0" distR="0" wp14:anchorId="772CF692" wp14:editId="1E30372A">
                  <wp:extent cx="473075" cy="481433"/>
                  <wp:effectExtent l="0" t="0" r="0" b="0"/>
                  <wp:docPr id="1167157546" name="Graphic 1" descr="Icon of a clock with solid fill. Represents where activity has not yet started or is not yet due for our OKR measure this quarter.">
                    <a:extLst xmlns:a="http://schemas.openxmlformats.org/drawingml/2006/main">
                      <a:ext uri="{FF2B5EF4-FFF2-40B4-BE49-F238E27FC236}">
                        <a16:creationId xmlns:a16="http://schemas.microsoft.com/office/drawing/2014/main" id="{F6195A3D-0A47-951A-680C-13B48190FE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Icon of a clock with solid fill. Represents where activity has not yet started or is not yet due for our OKR measure this quarter.">
                            <a:extLst>
                              <a:ext uri="{FF2B5EF4-FFF2-40B4-BE49-F238E27FC236}">
                                <a16:creationId xmlns:a16="http://schemas.microsoft.com/office/drawing/2014/main" id="{F6195A3D-0A47-951A-680C-13B48190FED4}"/>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0" y="0"/>
                            <a:ext cx="473075" cy="481433"/>
                          </a:xfrm>
                          <a:prstGeom prst="rect">
                            <a:avLst/>
                          </a:prstGeom>
                        </pic:spPr>
                      </pic:pic>
                    </a:graphicData>
                  </a:graphic>
                </wp:inline>
              </w:drawing>
            </w:r>
          </w:p>
        </w:tc>
        <w:tc>
          <w:tcPr>
            <w:tcW w:w="1374" w:type="pct"/>
            <w:vAlign w:val="center"/>
          </w:tcPr>
          <w:p w14:paraId="0A4A6D42" w14:textId="76776ECE" w:rsidR="00C40954" w:rsidRPr="00F349EA" w:rsidRDefault="006A5282" w:rsidP="00C87A36">
            <w:pPr>
              <w:textAlignment w:val="baseline"/>
              <w:rPr>
                <w:rFonts w:ascii="Arial" w:eastAsia="Times New Roman" w:hAnsi="Arial" w:cs="Arial"/>
                <w:b/>
                <w:lang w:eastAsia="en-GB"/>
              </w:rPr>
            </w:pPr>
            <w:r w:rsidRPr="00F349EA">
              <w:rPr>
                <w:rFonts w:ascii="Arial" w:eastAsia="Times New Roman" w:hAnsi="Arial" w:cs="Arial"/>
                <w:lang w:eastAsia="en-GB"/>
              </w:rPr>
              <w:t>We will</w:t>
            </w:r>
            <w:r w:rsidR="2D9A9581" w:rsidRPr="00F349EA">
              <w:rPr>
                <w:rFonts w:ascii="Arial" w:eastAsia="Times New Roman" w:hAnsi="Arial" w:cs="Arial"/>
                <w:lang w:eastAsia="en-GB"/>
              </w:rPr>
              <w:t xml:space="preserve"> </w:t>
            </w:r>
            <w:r w:rsidR="00037F09" w:rsidRPr="00F349EA">
              <w:rPr>
                <w:rFonts w:ascii="Arial" w:eastAsia="Times New Roman" w:hAnsi="Arial" w:cs="Arial"/>
                <w:lang w:eastAsia="en-GB"/>
              </w:rPr>
              <w:t>develop</w:t>
            </w:r>
            <w:r w:rsidR="2D9A9581" w:rsidRPr="00F349EA">
              <w:rPr>
                <w:rFonts w:ascii="Arial" w:eastAsia="Times New Roman" w:hAnsi="Arial" w:cs="Arial"/>
                <w:lang w:eastAsia="en-GB"/>
              </w:rPr>
              <w:t xml:space="preserve"> the results </w:t>
            </w:r>
            <w:r w:rsidR="007A7B43" w:rsidRPr="00F349EA">
              <w:rPr>
                <w:rFonts w:ascii="Arial" w:eastAsia="Times New Roman" w:hAnsi="Arial" w:cs="Arial"/>
                <w:lang w:eastAsia="en-GB"/>
              </w:rPr>
              <w:t xml:space="preserve">and options </w:t>
            </w:r>
            <w:r w:rsidR="2D9A9581" w:rsidRPr="00F349EA">
              <w:rPr>
                <w:rFonts w:ascii="Arial" w:eastAsia="Times New Roman" w:hAnsi="Arial" w:cs="Arial"/>
                <w:lang w:eastAsia="en-GB"/>
              </w:rPr>
              <w:t xml:space="preserve">of our work with the pilot sites in </w:t>
            </w:r>
            <w:r w:rsidR="00A6318E" w:rsidRPr="00F349EA">
              <w:rPr>
                <w:rFonts w:ascii="Arial" w:eastAsia="Times New Roman" w:hAnsi="Arial" w:cs="Arial"/>
                <w:lang w:eastAsia="en-GB"/>
              </w:rPr>
              <w:t>Q</w:t>
            </w:r>
            <w:r w:rsidR="2D9A9581" w:rsidRPr="00F349EA">
              <w:rPr>
                <w:rFonts w:ascii="Arial" w:eastAsia="Times New Roman" w:hAnsi="Arial" w:cs="Arial"/>
                <w:lang w:eastAsia="en-GB"/>
              </w:rPr>
              <w:t>4</w:t>
            </w:r>
            <w:r w:rsidR="007A7B43" w:rsidRPr="00F349EA">
              <w:rPr>
                <w:rFonts w:ascii="Arial" w:eastAsia="Times New Roman" w:hAnsi="Arial" w:cs="Arial"/>
                <w:lang w:eastAsia="en-GB"/>
              </w:rPr>
              <w:t>. We will report</w:t>
            </w:r>
            <w:r w:rsidR="2D9A9581" w:rsidRPr="00F349EA">
              <w:rPr>
                <w:rFonts w:ascii="Arial" w:eastAsia="Times New Roman" w:hAnsi="Arial" w:cs="Arial"/>
                <w:lang w:eastAsia="en-GB"/>
              </w:rPr>
              <w:t xml:space="preserve"> to </w:t>
            </w:r>
            <w:r w:rsidR="007A7B43" w:rsidRPr="00F349EA">
              <w:rPr>
                <w:rFonts w:ascii="Arial" w:eastAsia="Times New Roman" w:hAnsi="Arial" w:cs="Arial"/>
                <w:lang w:eastAsia="en-GB"/>
              </w:rPr>
              <w:t>the</w:t>
            </w:r>
            <w:r w:rsidR="2D9A9581" w:rsidRPr="00F349EA">
              <w:rPr>
                <w:rFonts w:ascii="Arial" w:eastAsia="Times New Roman" w:hAnsi="Arial" w:cs="Arial"/>
                <w:lang w:eastAsia="en-GB"/>
              </w:rPr>
              <w:t xml:space="preserve"> </w:t>
            </w:r>
            <w:r w:rsidR="00A32685" w:rsidRPr="00F349EA">
              <w:rPr>
                <w:rFonts w:ascii="Arial" w:eastAsia="Times New Roman" w:hAnsi="Arial" w:cs="Arial"/>
                <w:lang w:eastAsia="en-GB"/>
              </w:rPr>
              <w:t>Regulation, Business and Environment Management Team</w:t>
            </w:r>
            <w:r w:rsidR="2D9A9581" w:rsidRPr="00F349EA">
              <w:rPr>
                <w:rFonts w:ascii="Arial" w:eastAsia="Times New Roman" w:hAnsi="Arial" w:cs="Arial"/>
                <w:lang w:eastAsia="en-GB"/>
              </w:rPr>
              <w:t xml:space="preserve"> at the end of </w:t>
            </w:r>
            <w:r w:rsidR="00A6318E" w:rsidRPr="00F349EA">
              <w:rPr>
                <w:rFonts w:ascii="Arial" w:eastAsia="Times New Roman" w:hAnsi="Arial" w:cs="Arial"/>
                <w:lang w:eastAsia="en-GB"/>
              </w:rPr>
              <w:t>Q</w:t>
            </w:r>
            <w:r w:rsidR="2D9A9581" w:rsidRPr="00F349EA">
              <w:rPr>
                <w:rFonts w:ascii="Arial" w:eastAsia="Times New Roman" w:hAnsi="Arial" w:cs="Arial"/>
                <w:lang w:eastAsia="en-GB"/>
              </w:rPr>
              <w:t>4</w:t>
            </w:r>
            <w:r w:rsidR="00C40954" w:rsidRPr="00F349EA">
              <w:rPr>
                <w:rFonts w:ascii="Arial" w:eastAsia="Times New Roman" w:hAnsi="Arial" w:cs="Arial"/>
                <w:lang w:eastAsia="en-GB"/>
              </w:rPr>
              <w:t>.</w:t>
            </w:r>
            <w:r w:rsidR="007A7B43" w:rsidRPr="00F349EA">
              <w:rPr>
                <w:rFonts w:ascii="Arial" w:eastAsia="Times New Roman" w:hAnsi="Arial" w:cs="Arial"/>
                <w:lang w:eastAsia="en-GB"/>
              </w:rPr>
              <w:t xml:space="preserve"> </w:t>
            </w:r>
            <w:r w:rsidR="00C40954" w:rsidRPr="00F349EA">
              <w:rPr>
                <w:rFonts w:ascii="Arial" w:eastAsia="Times New Roman" w:hAnsi="Arial" w:cs="Arial"/>
                <w:b/>
                <w:lang w:eastAsia="en-GB"/>
              </w:rPr>
              <w:t>Confidence in forecast: High</w:t>
            </w:r>
          </w:p>
        </w:tc>
        <w:tc>
          <w:tcPr>
            <w:tcW w:w="500" w:type="pct"/>
            <w:vAlign w:val="center"/>
          </w:tcPr>
          <w:p w14:paraId="644E3F10" w14:textId="2F955C77" w:rsidR="0051570C" w:rsidRPr="00F349EA" w:rsidRDefault="00A7694A" w:rsidP="00C87A36">
            <w:pPr>
              <w:jc w:val="center"/>
              <w:textAlignment w:val="baseline"/>
              <w:rPr>
                <w:rFonts w:ascii="Arial" w:eastAsia="Times New Roman" w:hAnsi="Arial" w:cs="Arial"/>
                <w:szCs w:val="28"/>
                <w:lang w:eastAsia="en-GB"/>
              </w:rPr>
            </w:pPr>
            <w:r w:rsidRPr="00F349EA">
              <w:rPr>
                <w:rFonts w:ascii="Arial" w:eastAsia="Times New Roman" w:hAnsi="Arial" w:cs="Arial"/>
                <w:lang w:eastAsia="en-GB"/>
              </w:rPr>
              <w:t>Delivered</w:t>
            </w:r>
          </w:p>
        </w:tc>
      </w:tr>
    </w:tbl>
    <w:p w14:paraId="6C544B75" w14:textId="4F5EBFB0" w:rsidR="00E5386A" w:rsidRPr="00F349EA" w:rsidRDefault="007A7B43" w:rsidP="00000519">
      <w:pPr>
        <w:spacing w:before="240" w:after="120"/>
        <w:rPr>
          <w:sz w:val="28"/>
          <w:szCs w:val="28"/>
        </w:rPr>
      </w:pPr>
      <w:r w:rsidRPr="00F349EA">
        <w:rPr>
          <w:b/>
          <w:bCs/>
          <w:sz w:val="28"/>
          <w:szCs w:val="28"/>
        </w:rPr>
        <w:t xml:space="preserve">Q2 </w:t>
      </w:r>
      <w:r w:rsidR="00BB2E07" w:rsidRPr="00F349EA">
        <w:rPr>
          <w:b/>
          <w:bCs/>
          <w:sz w:val="28"/>
          <w:szCs w:val="28"/>
        </w:rPr>
        <w:t>Overall objective score</w:t>
      </w:r>
      <w:r w:rsidR="00BB2E07" w:rsidRPr="00F349EA">
        <w:rPr>
          <w:sz w:val="28"/>
          <w:szCs w:val="28"/>
        </w:rPr>
        <w:t xml:space="preserve"> =</w:t>
      </w:r>
      <w:r w:rsidR="00BB2E07" w:rsidRPr="00F349EA">
        <w:rPr>
          <w:color w:val="016574" w:themeColor="accent2"/>
          <w:sz w:val="28"/>
          <w:szCs w:val="28"/>
        </w:rPr>
        <w:t xml:space="preserve"> </w:t>
      </w:r>
      <w:r w:rsidR="008E2F3C" w:rsidRPr="00F349EA">
        <w:rPr>
          <w:sz w:val="28"/>
          <w:szCs w:val="28"/>
        </w:rPr>
        <w:t>0.66</w:t>
      </w:r>
    </w:p>
    <w:p w14:paraId="7EAAF18A" w14:textId="77777777" w:rsidR="005D64FD" w:rsidRPr="00F349EA" w:rsidRDefault="00D5386D" w:rsidP="00E53135">
      <w:pPr>
        <w:pStyle w:val="Heading3"/>
        <w:spacing w:before="120" w:after="120"/>
        <w:rPr>
          <w:color w:val="016574"/>
          <w:sz w:val="32"/>
          <w:szCs w:val="32"/>
        </w:rPr>
      </w:pPr>
      <w:r w:rsidRPr="00F349EA">
        <w:rPr>
          <w:color w:val="016574" w:themeColor="accent2"/>
          <w:sz w:val="32"/>
          <w:szCs w:val="32"/>
        </w:rPr>
        <w:lastRenderedPageBreak/>
        <w:t>N</w:t>
      </w:r>
      <w:r w:rsidR="005D64FD" w:rsidRPr="00F349EA">
        <w:rPr>
          <w:color w:val="016574" w:themeColor="accent2"/>
          <w:sz w:val="32"/>
          <w:szCs w:val="32"/>
        </w:rPr>
        <w:t xml:space="preserve">Z OKR02: </w:t>
      </w:r>
      <w:r w:rsidR="00873907" w:rsidRPr="00F349EA">
        <w:rPr>
          <w:color w:val="016574" w:themeColor="accent2"/>
          <w:sz w:val="32"/>
          <w:szCs w:val="32"/>
        </w:rPr>
        <w:t>Transform our workspaces and fleet to minimise emissions, reduce costs and move to co-located workspaces by default and zero emissions fleet by 2030.</w:t>
      </w:r>
    </w:p>
    <w:p w14:paraId="4CB34A03" w14:textId="6DA3ABC6" w:rsidR="00E64946" w:rsidRPr="00F349EA" w:rsidRDefault="00AD3FD0" w:rsidP="0075244C">
      <w:pPr>
        <w:spacing w:before="240"/>
      </w:pPr>
      <w:r w:rsidRPr="00F349EA">
        <w:rPr>
          <w:noProof/>
        </w:rPr>
        <w:drawing>
          <wp:inline distT="0" distB="0" distL="0" distR="0" wp14:anchorId="168B4A12" wp14:editId="2B3F7855">
            <wp:extent cx="9422130" cy="2862469"/>
            <wp:effectExtent l="0" t="0" r="7620" b="14605"/>
            <wp:docPr id="1326252034" name="Chart 1" descr="This is a bar graph which shows the score of each key result for OKR02 over each quarter. &#10;There is a line on the score scale of 0.7 to represent whether the KR is being delivered. There is another line on the score scale of 0.3 to represent whether measurable progress has been made in the quarter.&#10;For Q1, KR2.1 scored 1.&#10;KR2.2 and KR2.4 scored 0.&#10;and KR2.3 had no score as this will be progressed later in the year.&#10;For Q2, KR2.1 scored 1.&#10;KR2.2, KR2.3 and KR2.4 scored 0.&#10;">
              <a:extLst xmlns:a="http://schemas.openxmlformats.org/drawingml/2006/main">
                <a:ext uri="{FF2B5EF4-FFF2-40B4-BE49-F238E27FC236}">
                  <a16:creationId xmlns:a16="http://schemas.microsoft.com/office/drawing/2014/main" id="{3D770A8A-454D-484E-AF9D-CDB04E93D9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364C4A3" w14:textId="77777777" w:rsidR="00A519D1" w:rsidRPr="00F349EA" w:rsidRDefault="00A519D1" w:rsidP="0075244C">
      <w:pPr>
        <w:spacing w:before="240"/>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2 key result summary"/>
        <w:tblDescription w:val="Q1 summary for each of the four key results under OKR2. This includes the date due, Q1 score, Q1 status, Q1 commentary and annual forecast for each key result."/>
      </w:tblPr>
      <w:tblGrid>
        <w:gridCol w:w="3869"/>
        <w:gridCol w:w="767"/>
        <w:gridCol w:w="924"/>
        <w:gridCol w:w="924"/>
        <w:gridCol w:w="924"/>
        <w:gridCol w:w="924"/>
        <w:gridCol w:w="1020"/>
        <w:gridCol w:w="4110"/>
        <w:gridCol w:w="1496"/>
      </w:tblGrid>
      <w:tr w:rsidR="009F0849" w:rsidRPr="00F349EA" w14:paraId="0C600C52" w14:textId="77777777" w:rsidTr="00605D02">
        <w:trPr>
          <w:cantSplit/>
          <w:trHeight w:val="640"/>
          <w:tblHeader/>
        </w:trPr>
        <w:tc>
          <w:tcPr>
            <w:tcW w:w="1293" w:type="pct"/>
            <w:tcBorders>
              <w:bottom w:val="single" w:sz="8" w:space="0" w:color="auto"/>
            </w:tcBorders>
            <w:shd w:val="clear" w:color="auto" w:fill="016574" w:themeFill="accent2"/>
          </w:tcPr>
          <w:p w14:paraId="11BD8106" w14:textId="77777777" w:rsidR="00AE50BF" w:rsidRPr="00F349EA" w:rsidRDefault="00AE50BF">
            <w:pPr>
              <w:spacing w:before="40" w:after="40" w:line="240" w:lineRule="auto"/>
              <w:textAlignment w:val="baseline"/>
              <w:rPr>
                <w:rFonts w:ascii="Arial" w:eastAsia="Times New Roman" w:hAnsi="Arial" w:cs="Arial"/>
                <w:color w:val="000000"/>
                <w:sz w:val="28"/>
                <w:szCs w:val="28"/>
                <w:lang w:eastAsia="en-GB"/>
              </w:rPr>
            </w:pPr>
            <w:r w:rsidRPr="00F349EA">
              <w:rPr>
                <w:rFonts w:ascii="Arial" w:eastAsia="MS PGothic" w:hAnsi="Arial" w:cs="Arial"/>
                <w:b/>
                <w:bCs/>
                <w:color w:val="FFFFFF" w:themeColor="background1"/>
              </w:rPr>
              <w:lastRenderedPageBreak/>
              <w:t>Key Results</w:t>
            </w:r>
          </w:p>
        </w:tc>
        <w:tc>
          <w:tcPr>
            <w:tcW w:w="256" w:type="pct"/>
            <w:tcBorders>
              <w:bottom w:val="single" w:sz="8" w:space="0" w:color="auto"/>
            </w:tcBorders>
            <w:shd w:val="clear" w:color="auto" w:fill="016574" w:themeFill="accent2"/>
          </w:tcPr>
          <w:p w14:paraId="2E0B832B" w14:textId="77777777" w:rsidR="00AE50BF" w:rsidRPr="00F349EA" w:rsidRDefault="00AE50BF">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Due date</w:t>
            </w:r>
          </w:p>
        </w:tc>
        <w:tc>
          <w:tcPr>
            <w:tcW w:w="309" w:type="pct"/>
            <w:tcBorders>
              <w:bottom w:val="single" w:sz="8" w:space="0" w:color="auto"/>
            </w:tcBorders>
            <w:shd w:val="clear" w:color="auto" w:fill="016574" w:themeFill="accent2"/>
          </w:tcPr>
          <w:p w14:paraId="0AB3E71C" w14:textId="77777777" w:rsidR="00AE50BF" w:rsidRPr="00F349EA" w:rsidRDefault="00AE50BF">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Q1 score</w:t>
            </w:r>
          </w:p>
        </w:tc>
        <w:tc>
          <w:tcPr>
            <w:tcW w:w="309" w:type="pct"/>
            <w:tcBorders>
              <w:bottom w:val="single" w:sz="8" w:space="0" w:color="auto"/>
            </w:tcBorders>
            <w:shd w:val="clear" w:color="auto" w:fill="016574" w:themeFill="accent2"/>
          </w:tcPr>
          <w:p w14:paraId="32B5D286" w14:textId="77777777" w:rsidR="00AE50BF" w:rsidRPr="00F349EA" w:rsidRDefault="00AE50BF">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Q2 score</w:t>
            </w:r>
          </w:p>
        </w:tc>
        <w:tc>
          <w:tcPr>
            <w:tcW w:w="309" w:type="pct"/>
            <w:tcBorders>
              <w:bottom w:val="single" w:sz="8" w:space="0" w:color="auto"/>
            </w:tcBorders>
            <w:shd w:val="clear" w:color="auto" w:fill="016574" w:themeFill="accent2"/>
          </w:tcPr>
          <w:p w14:paraId="045A1EBF" w14:textId="77777777" w:rsidR="00AE50BF" w:rsidRPr="00F349EA" w:rsidRDefault="00AE50BF">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Q3 score</w:t>
            </w:r>
          </w:p>
        </w:tc>
        <w:tc>
          <w:tcPr>
            <w:tcW w:w="309" w:type="pct"/>
            <w:tcBorders>
              <w:bottom w:val="single" w:sz="8" w:space="0" w:color="auto"/>
            </w:tcBorders>
            <w:shd w:val="clear" w:color="auto" w:fill="016574" w:themeFill="accent2"/>
          </w:tcPr>
          <w:p w14:paraId="105A447B" w14:textId="77777777" w:rsidR="00AE50BF" w:rsidRPr="00F349EA" w:rsidRDefault="00AE50BF">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Q4 score</w:t>
            </w:r>
          </w:p>
        </w:tc>
        <w:tc>
          <w:tcPr>
            <w:tcW w:w="341" w:type="pct"/>
            <w:tcBorders>
              <w:bottom w:val="single" w:sz="8" w:space="0" w:color="auto"/>
            </w:tcBorders>
            <w:shd w:val="clear" w:color="auto" w:fill="016574" w:themeFill="accent2"/>
          </w:tcPr>
          <w:p w14:paraId="7201D3E9" w14:textId="1299BA0D" w:rsidR="00AE50BF" w:rsidRPr="00F349EA" w:rsidRDefault="00AE50BF">
            <w:pPr>
              <w:spacing w:before="40" w:after="40" w:line="240" w:lineRule="auto"/>
              <w:jc w:val="center"/>
              <w:textAlignment w:val="baseline"/>
              <w:rPr>
                <w:rFonts w:ascii="Arial" w:eastAsia="Times New Roman" w:hAnsi="Arial" w:cs="Arial"/>
                <w:color w:val="000000"/>
                <w:lang w:eastAsia="en-GB"/>
              </w:rPr>
            </w:pPr>
            <w:r w:rsidRPr="00F349EA">
              <w:rPr>
                <w:rFonts w:ascii="Arial" w:eastAsia="MS PGothic" w:hAnsi="Arial" w:cs="Arial"/>
                <w:b/>
                <w:bCs/>
                <w:color w:val="FFFFFF"/>
              </w:rPr>
              <w:t>Q</w:t>
            </w:r>
            <w:r w:rsidR="007B42BA" w:rsidRPr="00F349EA">
              <w:rPr>
                <w:rFonts w:ascii="Arial" w:eastAsia="MS PGothic" w:hAnsi="Arial" w:cs="Arial"/>
                <w:b/>
                <w:bCs/>
                <w:color w:val="FFFFFF"/>
              </w:rPr>
              <w:t xml:space="preserve">2 </w:t>
            </w:r>
            <w:r w:rsidRPr="00F349EA">
              <w:rPr>
                <w:rFonts w:ascii="Arial" w:eastAsia="MS PGothic" w:hAnsi="Arial" w:cs="Arial"/>
                <w:b/>
                <w:bCs/>
                <w:color w:val="FFFFFF"/>
              </w:rPr>
              <w:t>Status</w:t>
            </w:r>
          </w:p>
        </w:tc>
        <w:tc>
          <w:tcPr>
            <w:tcW w:w="1374" w:type="pct"/>
            <w:tcBorders>
              <w:bottom w:val="single" w:sz="8" w:space="0" w:color="auto"/>
            </w:tcBorders>
            <w:shd w:val="clear" w:color="auto" w:fill="016574" w:themeFill="accent2"/>
          </w:tcPr>
          <w:p w14:paraId="4B2B7872" w14:textId="7CE4591E" w:rsidR="00AE50BF" w:rsidRPr="00F349EA" w:rsidRDefault="00AE50BF">
            <w:pPr>
              <w:spacing w:before="40" w:after="40" w:line="240" w:lineRule="auto"/>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Q</w:t>
            </w:r>
            <w:r w:rsidR="007B42BA" w:rsidRPr="00F349EA">
              <w:rPr>
                <w:rFonts w:ascii="Arial" w:eastAsia="MS PGothic" w:hAnsi="Arial" w:cs="Arial"/>
                <w:b/>
                <w:bCs/>
                <w:color w:val="FFFFFF"/>
                <w:sz w:val="28"/>
                <w:szCs w:val="28"/>
              </w:rPr>
              <w:t>2</w:t>
            </w:r>
            <w:r w:rsidRPr="00F349EA">
              <w:rPr>
                <w:rFonts w:ascii="Arial" w:eastAsia="MS PGothic" w:hAnsi="Arial" w:cs="Arial"/>
                <w:b/>
                <w:bCs/>
                <w:color w:val="FFFFFF"/>
                <w:sz w:val="28"/>
                <w:szCs w:val="28"/>
              </w:rPr>
              <w:t xml:space="preserve"> commentary</w:t>
            </w:r>
          </w:p>
        </w:tc>
        <w:tc>
          <w:tcPr>
            <w:tcW w:w="500" w:type="pct"/>
            <w:tcBorders>
              <w:bottom w:val="single" w:sz="8" w:space="0" w:color="auto"/>
            </w:tcBorders>
            <w:shd w:val="clear" w:color="auto" w:fill="016574" w:themeFill="accent2"/>
          </w:tcPr>
          <w:p w14:paraId="5DB88F58" w14:textId="77777777" w:rsidR="00AE50BF" w:rsidRPr="00F349EA" w:rsidRDefault="00AE50BF">
            <w:pPr>
              <w:spacing w:before="40" w:after="40"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Annual forecast</w:t>
            </w:r>
          </w:p>
        </w:tc>
      </w:tr>
      <w:tr w:rsidR="009F0849" w:rsidRPr="00F349EA" w14:paraId="0FB2EB00" w14:textId="77777777" w:rsidTr="00605D02">
        <w:trPr>
          <w:cantSplit/>
          <w:trHeight w:val="20"/>
        </w:trPr>
        <w:tc>
          <w:tcPr>
            <w:tcW w:w="1293" w:type="pct"/>
            <w:tcBorders>
              <w:top w:val="single" w:sz="8" w:space="0" w:color="auto"/>
              <w:left w:val="single" w:sz="8" w:space="0" w:color="auto"/>
              <w:bottom w:val="single" w:sz="8" w:space="0" w:color="auto"/>
              <w:right w:val="single" w:sz="8" w:space="0" w:color="auto"/>
            </w:tcBorders>
            <w:vAlign w:val="center"/>
          </w:tcPr>
          <w:p w14:paraId="5BC56819" w14:textId="5415D4CB" w:rsidR="00A07F72" w:rsidRPr="00F349EA" w:rsidRDefault="00A07F72" w:rsidP="00C96F36">
            <w:pPr>
              <w:textAlignment w:val="baseline"/>
              <w:rPr>
                <w:rFonts w:ascii="Arial" w:eastAsia="Times New Roman" w:hAnsi="Arial" w:cs="Arial"/>
                <w:lang w:eastAsia="en-GB"/>
              </w:rPr>
            </w:pPr>
            <w:r w:rsidRPr="00F349EA">
              <w:rPr>
                <w:rFonts w:ascii="Arial" w:hAnsi="Arial" w:cs="Arial"/>
                <w:b/>
                <w:bCs/>
                <w:color w:val="000000"/>
              </w:rPr>
              <w:t>KR 2.1</w:t>
            </w:r>
            <w:r w:rsidRPr="00F349EA">
              <w:rPr>
                <w:rFonts w:ascii="Arial" w:hAnsi="Arial" w:cs="Arial"/>
                <w:color w:val="000000"/>
              </w:rPr>
              <w:t xml:space="preserve">: Launch </w:t>
            </w:r>
            <w:r w:rsidR="00437530" w:rsidRPr="00F349EA">
              <w:rPr>
                <w:rFonts w:ascii="Arial" w:hAnsi="Arial" w:cs="Arial"/>
                <w:color w:val="000000"/>
              </w:rPr>
              <w:t xml:space="preserve">strategic approach to </w:t>
            </w:r>
            <w:r w:rsidRPr="00F349EA">
              <w:rPr>
                <w:rFonts w:ascii="Arial" w:hAnsi="Arial" w:cs="Arial"/>
                <w:color w:val="000000"/>
              </w:rPr>
              <w:t xml:space="preserve">our Fleet, working to reduce emissions in our owned vehicle fleet. </w:t>
            </w:r>
          </w:p>
        </w:tc>
        <w:tc>
          <w:tcPr>
            <w:tcW w:w="256" w:type="pct"/>
            <w:tcBorders>
              <w:top w:val="single" w:sz="8" w:space="0" w:color="auto"/>
              <w:left w:val="single" w:sz="8" w:space="0" w:color="auto"/>
              <w:bottom w:val="single" w:sz="8" w:space="0" w:color="auto"/>
              <w:right w:val="single" w:sz="8" w:space="0" w:color="auto"/>
            </w:tcBorders>
            <w:vAlign w:val="center"/>
          </w:tcPr>
          <w:p w14:paraId="3F377DC5" w14:textId="277E3AAC" w:rsidR="00A07F72" w:rsidRPr="00F349EA" w:rsidRDefault="771AA1FC" w:rsidP="0FB9A58E">
            <w:pPr>
              <w:jc w:val="center"/>
              <w:textAlignment w:val="baseline"/>
              <w:rPr>
                <w:rFonts w:asciiTheme="majorHAnsi" w:eastAsia="Times New Roman" w:hAnsiTheme="majorHAnsi" w:cstheme="majorBidi"/>
                <w:lang w:eastAsia="en-GB"/>
              </w:rPr>
            </w:pPr>
            <w:r w:rsidRPr="00F349EA">
              <w:rPr>
                <w:rFonts w:asciiTheme="majorHAnsi" w:eastAsia="Times New Roman" w:hAnsiTheme="majorHAnsi" w:cstheme="majorBidi"/>
                <w:lang w:eastAsia="en-GB"/>
              </w:rPr>
              <w:t>Q1</w:t>
            </w:r>
          </w:p>
        </w:tc>
        <w:tc>
          <w:tcPr>
            <w:tcW w:w="309" w:type="pct"/>
            <w:tcBorders>
              <w:top w:val="single" w:sz="8" w:space="0" w:color="auto"/>
              <w:left w:val="single" w:sz="8" w:space="0" w:color="auto"/>
              <w:bottom w:val="single" w:sz="8" w:space="0" w:color="auto"/>
              <w:right w:val="single" w:sz="8" w:space="0" w:color="auto"/>
            </w:tcBorders>
            <w:vAlign w:val="center"/>
          </w:tcPr>
          <w:p w14:paraId="4EE0BD9D" w14:textId="24F36B28" w:rsidR="00A07F72" w:rsidRPr="00F349EA" w:rsidRDefault="11102EBB" w:rsidP="0FB9A58E">
            <w:pPr>
              <w:jc w:val="center"/>
              <w:textAlignment w:val="baseline"/>
              <w:rPr>
                <w:rFonts w:asciiTheme="majorHAnsi" w:eastAsia="Times New Roman" w:hAnsiTheme="majorHAnsi" w:cstheme="majorBidi"/>
                <w:lang w:eastAsia="en-GB"/>
              </w:rPr>
            </w:pPr>
            <w:r w:rsidRPr="00F349EA">
              <w:rPr>
                <w:rFonts w:asciiTheme="majorHAnsi" w:eastAsia="Times New Roman" w:hAnsiTheme="majorHAnsi" w:cstheme="majorBidi"/>
                <w:lang w:eastAsia="en-GB"/>
              </w:rPr>
              <w:t>1</w:t>
            </w:r>
          </w:p>
        </w:tc>
        <w:tc>
          <w:tcPr>
            <w:tcW w:w="309" w:type="pct"/>
            <w:tcBorders>
              <w:top w:val="single" w:sz="8" w:space="0" w:color="auto"/>
              <w:left w:val="single" w:sz="8" w:space="0" w:color="auto"/>
              <w:bottom w:val="single" w:sz="8" w:space="0" w:color="auto"/>
              <w:right w:val="single" w:sz="8" w:space="0" w:color="auto"/>
            </w:tcBorders>
            <w:vAlign w:val="center"/>
          </w:tcPr>
          <w:p w14:paraId="1ED72214" w14:textId="2638CC87" w:rsidR="00A07F72" w:rsidRPr="00F349EA" w:rsidRDefault="006B49E9" w:rsidP="0FB9A58E">
            <w:pPr>
              <w:jc w:val="center"/>
            </w:pPr>
            <w:r w:rsidRPr="00F349EA">
              <w:rPr>
                <w:rFonts w:ascii="Arial" w:eastAsia="Times New Roman" w:hAnsi="Arial" w:cs="Arial"/>
                <w:lang w:eastAsia="en-GB"/>
              </w:rPr>
              <w:t>1</w:t>
            </w:r>
          </w:p>
        </w:tc>
        <w:tc>
          <w:tcPr>
            <w:tcW w:w="309" w:type="pct"/>
            <w:tcBorders>
              <w:top w:val="single" w:sz="8" w:space="0" w:color="auto"/>
              <w:left w:val="single" w:sz="8" w:space="0" w:color="auto"/>
              <w:bottom w:val="single" w:sz="8" w:space="0" w:color="auto"/>
              <w:right w:val="single" w:sz="8" w:space="0" w:color="auto"/>
            </w:tcBorders>
            <w:vAlign w:val="center"/>
          </w:tcPr>
          <w:p w14:paraId="3E431E46" w14:textId="10D36379" w:rsidR="00A07F72" w:rsidRPr="00F349EA" w:rsidRDefault="1F95A7F0" w:rsidP="0FB9A58E">
            <w:pPr>
              <w:jc w:val="center"/>
            </w:pPr>
            <w:r w:rsidRPr="00F349EA">
              <w:rPr>
                <w:rFonts w:asciiTheme="majorHAnsi" w:eastAsia="Times New Roman" w:hAnsiTheme="majorHAnsi" w:cstheme="majorBid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2FED486F" w14:textId="451D6A3B" w:rsidR="00A07F72" w:rsidRPr="00F349EA" w:rsidRDefault="1F95A7F0" w:rsidP="0FB9A58E">
            <w:pPr>
              <w:jc w:val="center"/>
            </w:pPr>
            <w:r w:rsidRPr="00F349EA">
              <w:rPr>
                <w:rFonts w:asciiTheme="majorHAnsi" w:eastAsia="Times New Roman" w:hAnsiTheme="majorHAnsi" w:cstheme="majorBid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3D009E78" w14:textId="6E3C15EB" w:rsidR="00A07F72" w:rsidRPr="00F349EA" w:rsidRDefault="1F95A7F0" w:rsidP="0FB9A58E">
            <w:pPr>
              <w:jc w:val="center"/>
              <w:textAlignment w:val="baseline"/>
              <w:rPr>
                <w:b/>
                <w:bCs/>
                <w:lang w:eastAsia="en-GB"/>
              </w:rPr>
            </w:pPr>
            <w:r w:rsidRPr="00F349EA">
              <w:rPr>
                <w:noProof/>
              </w:rPr>
              <w:drawing>
                <wp:inline distT="0" distB="0" distL="0" distR="0" wp14:anchorId="1FE9C67A" wp14:editId="17283F25">
                  <wp:extent cx="432000" cy="432000"/>
                  <wp:effectExtent l="0" t="0" r="0" b="0"/>
                  <wp:docPr id="1527287791" name="Graphic 24" descr="Icon of a checkbox which has a tick with solid fill. Represents where an OKR measure is complete and the deadline for completion has 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3512" name="Graphic 24" descr="Icon of a checkbox which has a tick with solid fill. Represents where an OKR measure is complete and the deadline for completion has passed."/>
                          <pic:cNvPicPr/>
                        </pic:nvPicPr>
                        <pic:blipFill>
                          <a:blip r:embed="rId33">
                            <a:extLst>
                              <a:ext uri="{96DAC541-7B7A-43D3-8B79-37D633B846F1}">
                                <asvg:svgBlip xmlns:asvg="http://schemas.microsoft.com/office/drawing/2016/SVG/main" r:embed="rId34"/>
                              </a:ext>
                            </a:extLst>
                          </a:blip>
                          <a:stretch>
                            <a:fillRect/>
                          </a:stretch>
                        </pic:blipFill>
                        <pic:spPr>
                          <a:xfrm>
                            <a:off x="0" y="0"/>
                            <a:ext cx="432000" cy="432000"/>
                          </a:xfrm>
                          <a:prstGeom prst="rect">
                            <a:avLst/>
                          </a:prstGeom>
                        </pic:spPr>
                      </pic:pic>
                    </a:graphicData>
                  </a:graphic>
                </wp:inline>
              </w:drawing>
            </w:r>
          </w:p>
        </w:tc>
        <w:tc>
          <w:tcPr>
            <w:tcW w:w="1374" w:type="pct"/>
            <w:tcBorders>
              <w:top w:val="single" w:sz="8" w:space="0" w:color="auto"/>
              <w:left w:val="single" w:sz="8" w:space="0" w:color="auto"/>
              <w:bottom w:val="single" w:sz="8" w:space="0" w:color="auto"/>
              <w:right w:val="single" w:sz="8" w:space="0" w:color="auto"/>
            </w:tcBorders>
            <w:vAlign w:val="center"/>
          </w:tcPr>
          <w:p w14:paraId="5BCC3AC2" w14:textId="23454C7D" w:rsidR="00C40954" w:rsidRPr="00F349EA" w:rsidRDefault="00BB2097" w:rsidP="00C40954">
            <w:pPr>
              <w:textAlignment w:val="baseline"/>
              <w:rPr>
                <w:rFonts w:ascii="Arial" w:eastAsia="Times New Roman" w:hAnsi="Arial" w:cs="Arial"/>
                <w:lang w:eastAsia="en-GB"/>
              </w:rPr>
            </w:pPr>
            <w:r w:rsidRPr="00F349EA">
              <w:rPr>
                <w:rFonts w:ascii="Arial" w:eastAsia="Times New Roman" w:hAnsi="Arial" w:cs="Arial"/>
                <w:b/>
                <w:bCs/>
                <w:lang w:eastAsia="en-GB"/>
              </w:rPr>
              <w:t>Key result d</w:t>
            </w:r>
            <w:r w:rsidR="1F95A7F0" w:rsidRPr="00F349EA">
              <w:rPr>
                <w:rFonts w:ascii="Arial" w:eastAsia="Times New Roman" w:hAnsi="Arial" w:cs="Arial"/>
                <w:b/>
                <w:bCs/>
                <w:lang w:eastAsia="en-GB"/>
              </w:rPr>
              <w:t>elivered in Q1</w:t>
            </w:r>
            <w:r w:rsidR="002B5086" w:rsidRPr="00F349EA">
              <w:rPr>
                <w:rFonts w:ascii="Arial" w:eastAsia="Times New Roman" w:hAnsi="Arial" w:cs="Arial"/>
                <w:lang w:eastAsia="en-GB"/>
              </w:rPr>
              <w:t>.</w:t>
            </w:r>
          </w:p>
        </w:tc>
        <w:tc>
          <w:tcPr>
            <w:tcW w:w="500" w:type="pct"/>
            <w:tcBorders>
              <w:top w:val="single" w:sz="8" w:space="0" w:color="auto"/>
              <w:left w:val="single" w:sz="8" w:space="0" w:color="auto"/>
              <w:bottom w:val="single" w:sz="8" w:space="0" w:color="auto"/>
              <w:right w:val="single" w:sz="8" w:space="0" w:color="auto"/>
            </w:tcBorders>
            <w:vAlign w:val="center"/>
          </w:tcPr>
          <w:p w14:paraId="42674AF2" w14:textId="11E77B1B" w:rsidR="00A07F72" w:rsidRPr="00F349EA" w:rsidRDefault="70D8DE9A" w:rsidP="00C96F36">
            <w:pPr>
              <w:jc w:val="center"/>
              <w:textAlignment w:val="baseline"/>
              <w:rPr>
                <w:rFonts w:ascii="Arial" w:eastAsia="Times New Roman" w:hAnsi="Arial" w:cs="Arial"/>
                <w:lang w:eastAsia="en-GB"/>
              </w:rPr>
            </w:pPr>
            <w:r w:rsidRPr="00F349EA">
              <w:rPr>
                <w:rFonts w:ascii="Arial" w:eastAsia="Times New Roman" w:hAnsi="Arial" w:cs="Arial"/>
                <w:lang w:eastAsia="en-GB"/>
              </w:rPr>
              <w:t>Delivered</w:t>
            </w:r>
          </w:p>
        </w:tc>
      </w:tr>
      <w:tr w:rsidR="009F0849" w:rsidRPr="00F349EA" w14:paraId="1CE0D50A" w14:textId="77777777" w:rsidTr="00605D02">
        <w:tblPrEx>
          <w:tblCellMar>
            <w:left w:w="108" w:type="dxa"/>
            <w:right w:w="108" w:type="dxa"/>
          </w:tblCellMar>
        </w:tblPrEx>
        <w:trPr>
          <w:cantSplit/>
          <w:trHeight w:val="771"/>
        </w:trPr>
        <w:tc>
          <w:tcPr>
            <w:tcW w:w="1293" w:type="pct"/>
            <w:tcBorders>
              <w:top w:val="single" w:sz="8" w:space="0" w:color="auto"/>
              <w:left w:val="single" w:sz="8" w:space="0" w:color="auto"/>
              <w:bottom w:val="single" w:sz="8" w:space="0" w:color="auto"/>
              <w:right w:val="single" w:sz="8" w:space="0" w:color="auto"/>
            </w:tcBorders>
            <w:vAlign w:val="center"/>
          </w:tcPr>
          <w:p w14:paraId="5DEE249B" w14:textId="6E6B65F7" w:rsidR="00A07F72" w:rsidRPr="00F349EA" w:rsidRDefault="00A07F72" w:rsidP="00C96F36">
            <w:pPr>
              <w:textAlignment w:val="baseline"/>
              <w:rPr>
                <w:rFonts w:ascii="Arial" w:eastAsia="Times New Roman" w:hAnsi="Arial" w:cs="Arial"/>
                <w:lang w:eastAsia="en-GB"/>
              </w:rPr>
            </w:pPr>
            <w:r w:rsidRPr="00F349EA">
              <w:rPr>
                <w:rFonts w:ascii="Arial" w:hAnsi="Arial" w:cs="Arial"/>
                <w:b/>
                <w:bCs/>
                <w:color w:val="000000"/>
              </w:rPr>
              <w:t xml:space="preserve">KR 2.2 </w:t>
            </w:r>
            <w:r w:rsidRPr="00F349EA">
              <w:rPr>
                <w:rFonts w:ascii="Arial" w:hAnsi="Arial" w:cs="Arial"/>
                <w:color w:val="000000"/>
              </w:rPr>
              <w:t>100% of all business travel by fleet vehicle</w:t>
            </w:r>
            <w:r w:rsidR="00255984">
              <w:rPr>
                <w:rFonts w:ascii="Arial" w:hAnsi="Arial" w:cs="Arial"/>
                <w:color w:val="000000"/>
              </w:rPr>
              <w:t>s</w:t>
            </w:r>
            <w:r w:rsidRPr="00F349EA">
              <w:rPr>
                <w:rFonts w:ascii="Arial" w:hAnsi="Arial" w:cs="Arial"/>
                <w:color w:val="000000"/>
              </w:rPr>
              <w:t xml:space="preserve"> is tracked.</w:t>
            </w:r>
          </w:p>
        </w:tc>
        <w:tc>
          <w:tcPr>
            <w:tcW w:w="256" w:type="pct"/>
            <w:tcBorders>
              <w:top w:val="single" w:sz="8" w:space="0" w:color="auto"/>
              <w:left w:val="single" w:sz="8" w:space="0" w:color="auto"/>
              <w:bottom w:val="single" w:sz="8" w:space="0" w:color="auto"/>
              <w:right w:val="single" w:sz="8" w:space="0" w:color="auto"/>
            </w:tcBorders>
            <w:vAlign w:val="center"/>
          </w:tcPr>
          <w:p w14:paraId="13FF44B3" w14:textId="77777777" w:rsidR="00A07F72" w:rsidRPr="00F349EA" w:rsidRDefault="00A07F72" w:rsidP="00C96F36">
            <w:pPr>
              <w:jc w:val="center"/>
              <w:textAlignment w:val="baseline"/>
              <w:rPr>
                <w:rFonts w:asciiTheme="majorHAnsi" w:eastAsia="Times New Roman" w:hAnsiTheme="majorHAnsi" w:cstheme="majorHAnsi"/>
                <w:lang w:eastAsia="en-GB"/>
              </w:rPr>
            </w:pPr>
            <w:r w:rsidRPr="00F349EA">
              <w:rPr>
                <w:rFonts w:asciiTheme="majorHAnsi" w:hAnsiTheme="majorHAnsi" w:cstheme="majorHAnsi"/>
                <w:color w:val="000000"/>
              </w:rPr>
              <w:t>Q3</w:t>
            </w:r>
          </w:p>
        </w:tc>
        <w:tc>
          <w:tcPr>
            <w:tcW w:w="309" w:type="pct"/>
            <w:tcBorders>
              <w:top w:val="single" w:sz="8" w:space="0" w:color="auto"/>
              <w:left w:val="single" w:sz="8" w:space="0" w:color="auto"/>
              <w:bottom w:val="single" w:sz="8" w:space="0" w:color="auto"/>
              <w:right w:val="single" w:sz="8" w:space="0" w:color="auto"/>
            </w:tcBorders>
            <w:vAlign w:val="center"/>
          </w:tcPr>
          <w:p w14:paraId="42FB3A34" w14:textId="48C8C436" w:rsidR="00A07F72" w:rsidRPr="00F349EA" w:rsidRDefault="003835EC"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0</w:t>
            </w:r>
          </w:p>
        </w:tc>
        <w:tc>
          <w:tcPr>
            <w:tcW w:w="309" w:type="pct"/>
            <w:tcBorders>
              <w:top w:val="single" w:sz="8" w:space="0" w:color="auto"/>
              <w:left w:val="single" w:sz="8" w:space="0" w:color="auto"/>
              <w:bottom w:val="single" w:sz="8" w:space="0" w:color="auto"/>
              <w:right w:val="single" w:sz="8" w:space="0" w:color="auto"/>
            </w:tcBorders>
            <w:vAlign w:val="center"/>
          </w:tcPr>
          <w:p w14:paraId="3AF4B90E" w14:textId="63062AE3" w:rsidR="00A07F72" w:rsidRPr="00F349EA" w:rsidRDefault="00982E97" w:rsidP="00C96F36">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0</w:t>
            </w:r>
          </w:p>
        </w:tc>
        <w:tc>
          <w:tcPr>
            <w:tcW w:w="309" w:type="pct"/>
            <w:tcBorders>
              <w:top w:val="single" w:sz="8" w:space="0" w:color="auto"/>
              <w:left w:val="single" w:sz="8" w:space="0" w:color="auto"/>
              <w:bottom w:val="single" w:sz="8" w:space="0" w:color="auto"/>
              <w:right w:val="single" w:sz="8" w:space="0" w:color="auto"/>
            </w:tcBorders>
            <w:vAlign w:val="center"/>
          </w:tcPr>
          <w:p w14:paraId="596C1198" w14:textId="77777777" w:rsidR="00A07F72" w:rsidRPr="00F349EA" w:rsidRDefault="00A07F72"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21EBE750" w14:textId="77777777" w:rsidR="00A07F72" w:rsidRPr="00F349EA" w:rsidRDefault="00A07F72"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72159B89" w14:textId="0F5FAF4B" w:rsidR="00A07F72" w:rsidRPr="00F349EA" w:rsidRDefault="00982E97" w:rsidP="00C96F36">
            <w:pPr>
              <w:jc w:val="center"/>
              <w:textAlignment w:val="baseline"/>
            </w:pPr>
            <w:r w:rsidRPr="00F349EA">
              <w:rPr>
                <w:noProof/>
              </w:rPr>
              <w:drawing>
                <wp:anchor distT="0" distB="0" distL="114300" distR="114300" simplePos="0" relativeHeight="251658247" behindDoc="0" locked="0" layoutInCell="1" allowOverlap="1" wp14:anchorId="64D4893A" wp14:editId="48A16860">
                  <wp:simplePos x="0" y="0"/>
                  <wp:positionH relativeFrom="column">
                    <wp:posOffset>-5715</wp:posOffset>
                  </wp:positionH>
                  <wp:positionV relativeFrom="paragraph">
                    <wp:posOffset>133985</wp:posOffset>
                  </wp:positionV>
                  <wp:extent cx="444747" cy="444747"/>
                  <wp:effectExtent l="0" t="0" r="0" b="0"/>
                  <wp:wrapNone/>
                  <wp:docPr id="778362820"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747" cy="444747"/>
                          </a:xfrm>
                          <a:prstGeom prst="rect">
                            <a:avLst/>
                          </a:prstGeom>
                        </pic:spPr>
                      </pic:pic>
                    </a:graphicData>
                  </a:graphic>
                </wp:anchor>
              </w:drawing>
            </w:r>
          </w:p>
        </w:tc>
        <w:tc>
          <w:tcPr>
            <w:tcW w:w="1374" w:type="pct"/>
            <w:tcBorders>
              <w:top w:val="single" w:sz="8" w:space="0" w:color="auto"/>
              <w:left w:val="single" w:sz="8" w:space="0" w:color="auto"/>
              <w:bottom w:val="single" w:sz="8" w:space="0" w:color="auto"/>
              <w:right w:val="single" w:sz="8" w:space="0" w:color="auto"/>
            </w:tcBorders>
          </w:tcPr>
          <w:p w14:paraId="09EE23CE" w14:textId="4A6A9D06" w:rsidR="00A07F72" w:rsidRPr="00F349EA" w:rsidRDefault="00AE1FEA" w:rsidP="00C96F36">
            <w:pPr>
              <w:textAlignment w:val="baseline"/>
              <w:rPr>
                <w:rFonts w:ascii="Arial" w:eastAsia="Times New Roman" w:hAnsi="Arial" w:cs="Arial"/>
                <w:lang w:eastAsia="en-GB"/>
              </w:rPr>
            </w:pPr>
            <w:r w:rsidRPr="00F349EA">
              <w:rPr>
                <w:rFonts w:ascii="Arial" w:eastAsia="Times New Roman" w:hAnsi="Arial" w:cs="Arial"/>
                <w:lang w:eastAsia="en-GB"/>
              </w:rPr>
              <w:t>Contract awarded and being mobilised. Currently on track for delivery Q3</w:t>
            </w:r>
            <w:r w:rsidR="00210817" w:rsidRPr="00F349EA">
              <w:rPr>
                <w:rFonts w:ascii="Arial" w:eastAsia="Times New Roman" w:hAnsi="Arial" w:cs="Arial"/>
                <w:lang w:eastAsia="en-GB"/>
              </w:rPr>
              <w:t>,</w:t>
            </w:r>
            <w:r w:rsidRPr="00F349EA">
              <w:rPr>
                <w:rFonts w:ascii="Arial" w:eastAsia="Times New Roman" w:hAnsi="Arial" w:cs="Arial"/>
                <w:lang w:eastAsia="en-GB"/>
              </w:rPr>
              <w:t xml:space="preserve"> subject to key dependencies</w:t>
            </w:r>
            <w:r w:rsidR="005D3D19" w:rsidRPr="00F349EA">
              <w:rPr>
                <w:rFonts w:ascii="Arial" w:eastAsia="Times New Roman" w:hAnsi="Arial" w:cs="Arial"/>
                <w:lang w:eastAsia="en-GB"/>
              </w:rPr>
              <w:t xml:space="preserve"> </w:t>
            </w:r>
            <w:r w:rsidR="00225902" w:rsidRPr="00F349EA">
              <w:rPr>
                <w:rFonts w:ascii="Arial" w:eastAsia="Times New Roman" w:hAnsi="Arial" w:cs="Arial"/>
                <w:lang w:eastAsia="en-GB"/>
              </w:rPr>
              <w:t xml:space="preserve">including </w:t>
            </w:r>
            <w:r w:rsidR="00AA62C5" w:rsidRPr="00F349EA">
              <w:rPr>
                <w:rFonts w:ascii="Arial" w:eastAsia="Times New Roman" w:hAnsi="Arial" w:cs="Arial"/>
                <w:lang w:eastAsia="en-GB"/>
              </w:rPr>
              <w:t>D</w:t>
            </w:r>
            <w:r w:rsidR="00225902" w:rsidRPr="00F349EA">
              <w:rPr>
                <w:rFonts w:ascii="Arial" w:eastAsia="Times New Roman" w:hAnsi="Arial" w:cs="Arial"/>
                <w:lang w:eastAsia="en-GB"/>
              </w:rPr>
              <w:t>ata</w:t>
            </w:r>
            <w:r w:rsidR="005D3D19" w:rsidRPr="00F349EA">
              <w:rPr>
                <w:rFonts w:ascii="Arial" w:eastAsia="Times New Roman" w:hAnsi="Arial" w:cs="Arial"/>
                <w:lang w:eastAsia="en-GB"/>
              </w:rPr>
              <w:t xml:space="preserve"> </w:t>
            </w:r>
            <w:r w:rsidR="00AA62C5" w:rsidRPr="00F349EA">
              <w:rPr>
                <w:rFonts w:ascii="Arial" w:eastAsia="Times New Roman" w:hAnsi="Arial" w:cs="Arial"/>
                <w:lang w:eastAsia="en-GB"/>
              </w:rPr>
              <w:t>P</w:t>
            </w:r>
            <w:r w:rsidR="005D3D19" w:rsidRPr="00F349EA">
              <w:rPr>
                <w:rFonts w:ascii="Arial" w:eastAsia="Times New Roman" w:hAnsi="Arial" w:cs="Arial"/>
                <w:lang w:eastAsia="en-GB"/>
              </w:rPr>
              <w:t xml:space="preserve">rotection </w:t>
            </w:r>
            <w:r w:rsidR="00AA62C5" w:rsidRPr="00F349EA">
              <w:rPr>
                <w:rFonts w:ascii="Arial" w:eastAsia="Times New Roman" w:hAnsi="Arial" w:cs="Arial"/>
                <w:lang w:eastAsia="en-GB"/>
              </w:rPr>
              <w:t>I</w:t>
            </w:r>
            <w:r w:rsidR="005D3D19" w:rsidRPr="00F349EA">
              <w:rPr>
                <w:rFonts w:ascii="Arial" w:eastAsia="Times New Roman" w:hAnsi="Arial" w:cs="Arial"/>
                <w:lang w:eastAsia="en-GB"/>
              </w:rPr>
              <w:t xml:space="preserve">mpact </w:t>
            </w:r>
            <w:r w:rsidR="00AA62C5" w:rsidRPr="00F349EA">
              <w:rPr>
                <w:rFonts w:ascii="Arial" w:eastAsia="Times New Roman" w:hAnsi="Arial" w:cs="Arial"/>
                <w:lang w:eastAsia="en-GB"/>
              </w:rPr>
              <w:t>A</w:t>
            </w:r>
            <w:r w:rsidR="005D3D19" w:rsidRPr="00F349EA">
              <w:rPr>
                <w:rFonts w:ascii="Arial" w:eastAsia="Times New Roman" w:hAnsi="Arial" w:cs="Arial"/>
                <w:lang w:eastAsia="en-GB"/>
              </w:rPr>
              <w:t xml:space="preserve">ssessment, publication of Driving for Work Policy </w:t>
            </w:r>
            <w:r w:rsidR="00B80505" w:rsidRPr="00F349EA">
              <w:rPr>
                <w:rFonts w:ascii="Arial" w:eastAsia="Times New Roman" w:hAnsi="Arial" w:cs="Arial"/>
                <w:lang w:eastAsia="en-GB"/>
              </w:rPr>
              <w:t>and</w:t>
            </w:r>
            <w:r w:rsidR="00586EB3" w:rsidRPr="00F349EA">
              <w:rPr>
                <w:rFonts w:ascii="Arial" w:eastAsia="Times New Roman" w:hAnsi="Arial" w:cs="Arial"/>
                <w:lang w:eastAsia="en-GB"/>
              </w:rPr>
              <w:t xml:space="preserve"> the </w:t>
            </w:r>
            <w:r w:rsidR="00392055" w:rsidRPr="00F349EA">
              <w:rPr>
                <w:rFonts w:ascii="Arial" w:eastAsia="Times New Roman" w:hAnsi="Arial" w:cs="Arial"/>
                <w:lang w:eastAsia="en-GB"/>
              </w:rPr>
              <w:t>Change &amp; Control Board (</w:t>
            </w:r>
            <w:proofErr w:type="spellStart"/>
            <w:r w:rsidR="00392055" w:rsidRPr="00F349EA">
              <w:rPr>
                <w:rFonts w:ascii="Arial" w:eastAsia="Times New Roman" w:hAnsi="Arial" w:cs="Arial"/>
                <w:lang w:eastAsia="en-GB"/>
              </w:rPr>
              <w:t>CaCB</w:t>
            </w:r>
            <w:proofErr w:type="spellEnd"/>
            <w:r w:rsidR="00392055" w:rsidRPr="00F349EA">
              <w:rPr>
                <w:rFonts w:ascii="Arial" w:eastAsia="Times New Roman" w:hAnsi="Arial" w:cs="Arial"/>
                <w:lang w:eastAsia="en-GB"/>
              </w:rPr>
              <w:t>)</w:t>
            </w:r>
            <w:r w:rsidR="00586EB3" w:rsidRPr="00F349EA">
              <w:rPr>
                <w:rFonts w:ascii="Arial" w:eastAsia="Times New Roman" w:hAnsi="Arial" w:cs="Arial"/>
                <w:lang w:eastAsia="en-GB"/>
              </w:rPr>
              <w:t>.</w:t>
            </w:r>
          </w:p>
          <w:p w14:paraId="41FCCECE" w14:textId="787DE2FD" w:rsidR="00312962" w:rsidRPr="00F349EA" w:rsidRDefault="00312962" w:rsidP="00C96F36">
            <w:pPr>
              <w:textAlignment w:val="baseline"/>
              <w:rPr>
                <w:rFonts w:ascii="Arial" w:eastAsia="Times New Roman" w:hAnsi="Arial" w:cs="Arial"/>
                <w:b/>
                <w:bCs/>
                <w:lang w:eastAsia="en-GB"/>
              </w:rPr>
            </w:pPr>
            <w:r w:rsidRPr="00F349EA">
              <w:rPr>
                <w:rFonts w:ascii="Arial" w:eastAsia="Times New Roman" w:hAnsi="Arial" w:cs="Arial"/>
                <w:b/>
                <w:bCs/>
                <w:lang w:eastAsia="en-GB"/>
              </w:rPr>
              <w:t xml:space="preserve">Confidence in forecast: Moderate </w:t>
            </w:r>
          </w:p>
        </w:tc>
        <w:tc>
          <w:tcPr>
            <w:tcW w:w="500" w:type="pct"/>
            <w:tcBorders>
              <w:top w:val="single" w:sz="8" w:space="0" w:color="auto"/>
              <w:left w:val="single" w:sz="8" w:space="0" w:color="auto"/>
              <w:bottom w:val="single" w:sz="8" w:space="0" w:color="auto"/>
              <w:right w:val="single" w:sz="8" w:space="0" w:color="auto"/>
            </w:tcBorders>
            <w:vAlign w:val="center"/>
          </w:tcPr>
          <w:p w14:paraId="1A968E61" w14:textId="6573A63B" w:rsidR="00A07F72" w:rsidRPr="00F349EA" w:rsidRDefault="00437530" w:rsidP="00DE56F9">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Delivered</w:t>
            </w:r>
          </w:p>
        </w:tc>
      </w:tr>
      <w:tr w:rsidR="009F0849" w:rsidRPr="00F349EA" w14:paraId="49BD3416" w14:textId="77777777" w:rsidTr="00605D02">
        <w:tblPrEx>
          <w:tblCellMar>
            <w:left w:w="108" w:type="dxa"/>
            <w:right w:w="108" w:type="dxa"/>
          </w:tblCellMar>
        </w:tblPrEx>
        <w:trPr>
          <w:cantSplit/>
          <w:trHeight w:val="16"/>
        </w:trPr>
        <w:tc>
          <w:tcPr>
            <w:tcW w:w="1293" w:type="pct"/>
            <w:tcBorders>
              <w:top w:val="single" w:sz="8" w:space="0" w:color="auto"/>
              <w:left w:val="single" w:sz="8" w:space="0" w:color="auto"/>
              <w:bottom w:val="single" w:sz="8" w:space="0" w:color="auto"/>
              <w:right w:val="single" w:sz="8" w:space="0" w:color="auto"/>
            </w:tcBorders>
            <w:vAlign w:val="center"/>
          </w:tcPr>
          <w:p w14:paraId="7859A424" w14:textId="3D13A963" w:rsidR="00A07F72" w:rsidRPr="00F349EA" w:rsidRDefault="00A07F72" w:rsidP="00C96F36">
            <w:pPr>
              <w:textAlignment w:val="baseline"/>
              <w:rPr>
                <w:rFonts w:ascii="Arial" w:eastAsia="Times New Roman" w:hAnsi="Arial" w:cs="Arial"/>
                <w:lang w:eastAsia="en-GB"/>
              </w:rPr>
            </w:pPr>
            <w:r w:rsidRPr="00F349EA">
              <w:rPr>
                <w:rFonts w:ascii="Arial" w:hAnsi="Arial" w:cs="Arial"/>
                <w:b/>
                <w:bCs/>
                <w:color w:val="000000"/>
              </w:rPr>
              <w:lastRenderedPageBreak/>
              <w:t>KR 2.3:</w:t>
            </w:r>
            <w:r w:rsidRPr="00F349EA">
              <w:rPr>
                <w:rFonts w:ascii="Arial" w:hAnsi="Arial" w:cs="Arial"/>
                <w:color w:val="000000"/>
              </w:rPr>
              <w:t xml:space="preserve"> Reduce mileage of non-SEPA owned fleet vehicles by 10%. </w:t>
            </w:r>
          </w:p>
        </w:tc>
        <w:tc>
          <w:tcPr>
            <w:tcW w:w="256" w:type="pct"/>
            <w:tcBorders>
              <w:top w:val="single" w:sz="8" w:space="0" w:color="auto"/>
              <w:left w:val="single" w:sz="8" w:space="0" w:color="auto"/>
              <w:bottom w:val="single" w:sz="8" w:space="0" w:color="auto"/>
              <w:right w:val="single" w:sz="8" w:space="0" w:color="auto"/>
            </w:tcBorders>
            <w:vAlign w:val="center"/>
          </w:tcPr>
          <w:p w14:paraId="21FAEC2C" w14:textId="77777777" w:rsidR="00A07F72" w:rsidRPr="00F349EA" w:rsidRDefault="00A07F72" w:rsidP="00C96F36">
            <w:pPr>
              <w:jc w:val="center"/>
              <w:textAlignment w:val="baseline"/>
              <w:rPr>
                <w:rFonts w:asciiTheme="majorHAnsi" w:eastAsia="Times New Roman" w:hAnsiTheme="majorHAnsi" w:cstheme="majorHAnsi"/>
                <w:lang w:eastAsia="en-GB"/>
              </w:rPr>
            </w:pPr>
            <w:r w:rsidRPr="00F349EA">
              <w:rPr>
                <w:rFonts w:asciiTheme="majorHAnsi" w:hAnsiTheme="majorHAnsi" w:cstheme="majorHAnsi"/>
                <w:color w:val="000000"/>
              </w:rPr>
              <w:t>Q4</w:t>
            </w:r>
          </w:p>
        </w:tc>
        <w:tc>
          <w:tcPr>
            <w:tcW w:w="309" w:type="pct"/>
            <w:tcBorders>
              <w:top w:val="single" w:sz="8" w:space="0" w:color="auto"/>
              <w:left w:val="single" w:sz="8" w:space="0" w:color="auto"/>
              <w:bottom w:val="single" w:sz="8" w:space="0" w:color="auto"/>
              <w:right w:val="single" w:sz="8" w:space="0" w:color="auto"/>
            </w:tcBorders>
            <w:vAlign w:val="center"/>
          </w:tcPr>
          <w:p w14:paraId="32430776" w14:textId="527EDC82" w:rsidR="00A07F72" w:rsidRPr="00F349EA" w:rsidRDefault="003835EC"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N/A</w:t>
            </w:r>
          </w:p>
        </w:tc>
        <w:tc>
          <w:tcPr>
            <w:tcW w:w="309" w:type="pct"/>
            <w:tcBorders>
              <w:top w:val="single" w:sz="8" w:space="0" w:color="auto"/>
              <w:left w:val="single" w:sz="8" w:space="0" w:color="auto"/>
              <w:bottom w:val="single" w:sz="8" w:space="0" w:color="auto"/>
              <w:right w:val="single" w:sz="8" w:space="0" w:color="auto"/>
            </w:tcBorders>
            <w:vAlign w:val="center"/>
          </w:tcPr>
          <w:p w14:paraId="50820B8A" w14:textId="16BA962B" w:rsidR="00A07F72" w:rsidRPr="00F349EA" w:rsidRDefault="00982E97" w:rsidP="00C96F36">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0</w:t>
            </w:r>
          </w:p>
        </w:tc>
        <w:tc>
          <w:tcPr>
            <w:tcW w:w="309" w:type="pct"/>
            <w:tcBorders>
              <w:top w:val="single" w:sz="8" w:space="0" w:color="auto"/>
              <w:left w:val="single" w:sz="8" w:space="0" w:color="auto"/>
              <w:bottom w:val="single" w:sz="8" w:space="0" w:color="auto"/>
              <w:right w:val="single" w:sz="8" w:space="0" w:color="auto"/>
            </w:tcBorders>
            <w:vAlign w:val="center"/>
          </w:tcPr>
          <w:p w14:paraId="28018686" w14:textId="77777777" w:rsidR="00A07F72" w:rsidRPr="00F349EA" w:rsidRDefault="00A07F72"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5D9290E7" w14:textId="77777777" w:rsidR="00A07F72" w:rsidRPr="00F349EA" w:rsidRDefault="00A07F72"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5ACDE008" w14:textId="16CD4F29" w:rsidR="009F0849" w:rsidRPr="00F349EA" w:rsidRDefault="00982E97" w:rsidP="00C96F36">
            <w:pPr>
              <w:jc w:val="center"/>
              <w:textAlignment w:val="baseline"/>
            </w:pPr>
            <w:r w:rsidRPr="00F349EA">
              <w:rPr>
                <w:noProof/>
              </w:rPr>
              <w:drawing>
                <wp:anchor distT="0" distB="0" distL="114300" distR="114300" simplePos="0" relativeHeight="251658248" behindDoc="0" locked="0" layoutInCell="1" allowOverlap="1" wp14:anchorId="5D6293C3" wp14:editId="20AF0EC9">
                  <wp:simplePos x="0" y="0"/>
                  <wp:positionH relativeFrom="column">
                    <wp:posOffset>62865</wp:posOffset>
                  </wp:positionH>
                  <wp:positionV relativeFrom="paragraph">
                    <wp:posOffset>-184785</wp:posOffset>
                  </wp:positionV>
                  <wp:extent cx="444500" cy="444500"/>
                  <wp:effectExtent l="0" t="0" r="0" b="0"/>
                  <wp:wrapNone/>
                  <wp:docPr id="499017514"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374" w:type="pct"/>
            <w:tcBorders>
              <w:top w:val="single" w:sz="8" w:space="0" w:color="auto"/>
              <w:left w:val="single" w:sz="8" w:space="0" w:color="auto"/>
              <w:bottom w:val="single" w:sz="8" w:space="0" w:color="auto"/>
              <w:right w:val="single" w:sz="8" w:space="0" w:color="auto"/>
            </w:tcBorders>
          </w:tcPr>
          <w:p w14:paraId="7E8FB2CA" w14:textId="3F5E1A33" w:rsidR="00A07F72" w:rsidRPr="00F349EA" w:rsidRDefault="0094631E" w:rsidP="00C96F36">
            <w:pPr>
              <w:textAlignment w:val="baseline"/>
              <w:rPr>
                <w:rFonts w:ascii="Arial" w:eastAsia="Times New Roman" w:hAnsi="Arial" w:cs="Arial"/>
                <w:lang w:eastAsia="en-GB"/>
              </w:rPr>
            </w:pPr>
            <w:r>
              <w:rPr>
                <w:rFonts w:ascii="Arial" w:eastAsia="Times New Roman" w:hAnsi="Arial" w:cs="Arial"/>
                <w:lang w:eastAsia="en-GB"/>
              </w:rPr>
              <w:t>Reporting on this</w:t>
            </w:r>
            <w:r w:rsidR="00377A78" w:rsidRPr="00F349EA">
              <w:rPr>
                <w:rFonts w:ascii="Arial" w:eastAsia="Times New Roman" w:hAnsi="Arial" w:cs="Arial"/>
                <w:lang w:eastAsia="en-GB"/>
              </w:rPr>
              <w:t xml:space="preserve"> K</w:t>
            </w:r>
            <w:r w:rsidR="004B552F">
              <w:rPr>
                <w:rFonts w:ascii="Arial" w:eastAsia="Times New Roman" w:hAnsi="Arial" w:cs="Arial"/>
                <w:lang w:eastAsia="en-GB"/>
              </w:rPr>
              <w:t>ey Result</w:t>
            </w:r>
            <w:r w:rsidR="00377A78" w:rsidRPr="00F349EA">
              <w:rPr>
                <w:rFonts w:ascii="Arial" w:eastAsia="Times New Roman" w:hAnsi="Arial" w:cs="Arial"/>
                <w:lang w:eastAsia="en-GB"/>
              </w:rPr>
              <w:t xml:space="preserve"> is one quarter in arrears.</w:t>
            </w:r>
            <w:r w:rsidR="004B552F">
              <w:rPr>
                <w:rFonts w:ascii="Arial" w:eastAsia="Times New Roman" w:hAnsi="Arial" w:cs="Arial"/>
                <w:lang w:eastAsia="en-GB"/>
              </w:rPr>
              <w:t xml:space="preserve"> </w:t>
            </w:r>
            <w:r w:rsidR="00F505FF" w:rsidRPr="00F349EA">
              <w:rPr>
                <w:rFonts w:ascii="Arial" w:eastAsia="Times New Roman" w:hAnsi="Arial" w:cs="Arial"/>
                <w:lang w:eastAsia="en-GB"/>
              </w:rPr>
              <w:t xml:space="preserve">Q1 data shows a </w:t>
            </w:r>
            <w:r w:rsidR="00CE7E92" w:rsidRPr="00F349EA">
              <w:rPr>
                <w:rFonts w:ascii="Arial" w:eastAsia="Times New Roman" w:hAnsi="Arial" w:cs="Arial"/>
                <w:lang w:eastAsia="en-GB"/>
              </w:rPr>
              <w:t xml:space="preserve">40% increase </w:t>
            </w:r>
            <w:r w:rsidR="00C16FFC" w:rsidRPr="00F349EA">
              <w:rPr>
                <w:rFonts w:ascii="Arial" w:eastAsia="Times New Roman" w:hAnsi="Arial" w:cs="Arial"/>
                <w:lang w:eastAsia="en-GB"/>
              </w:rPr>
              <w:t>from Q1</w:t>
            </w:r>
            <w:r w:rsidR="00CE7E92" w:rsidRPr="00F349EA">
              <w:rPr>
                <w:rFonts w:ascii="Arial" w:eastAsia="Times New Roman" w:hAnsi="Arial" w:cs="Arial"/>
                <w:lang w:eastAsia="en-GB"/>
              </w:rPr>
              <w:t xml:space="preserve"> 2024/25</w:t>
            </w:r>
            <w:r w:rsidR="00870ADB" w:rsidRPr="00F349EA">
              <w:rPr>
                <w:rFonts w:ascii="Arial" w:eastAsia="Times New Roman" w:hAnsi="Arial" w:cs="Arial"/>
                <w:lang w:eastAsia="en-GB"/>
              </w:rPr>
              <w:t>.</w:t>
            </w:r>
            <w:r w:rsidR="00CE7E92" w:rsidRPr="00F349EA">
              <w:rPr>
                <w:rFonts w:ascii="Arial" w:eastAsia="Times New Roman" w:hAnsi="Arial" w:cs="Arial"/>
                <w:lang w:eastAsia="en-GB"/>
              </w:rPr>
              <w:t xml:space="preserve">  Cross-organisation action plan being developed to address</w:t>
            </w:r>
            <w:r w:rsidR="00A41A1F" w:rsidRPr="00F349EA">
              <w:rPr>
                <w:rFonts w:ascii="Arial" w:eastAsia="Times New Roman" w:hAnsi="Arial" w:cs="Arial"/>
                <w:lang w:eastAsia="en-GB"/>
              </w:rPr>
              <w:t>.</w:t>
            </w:r>
          </w:p>
          <w:p w14:paraId="27188540" w14:textId="3AC98435" w:rsidR="00BA3C46" w:rsidRPr="00F349EA" w:rsidRDefault="003B773F" w:rsidP="00C96F36">
            <w:pPr>
              <w:textAlignment w:val="baseline"/>
              <w:rPr>
                <w:rFonts w:ascii="Arial" w:eastAsia="Times New Roman" w:hAnsi="Arial" w:cs="Arial"/>
                <w:lang w:eastAsia="en-GB"/>
              </w:rPr>
            </w:pPr>
            <w:r w:rsidRPr="00F349EA">
              <w:rPr>
                <w:rFonts w:ascii="Arial" w:eastAsia="Times New Roman" w:hAnsi="Arial" w:cs="Arial"/>
                <w:lang w:eastAsia="en-GB"/>
              </w:rPr>
              <w:t>Low confidence in 10% annual reduction against 2024/25 baseline</w:t>
            </w:r>
            <w:r w:rsidR="001E0097" w:rsidRPr="00F349EA">
              <w:rPr>
                <w:rFonts w:ascii="Arial" w:eastAsia="Times New Roman" w:hAnsi="Arial" w:cs="Arial"/>
                <w:lang w:eastAsia="en-GB"/>
              </w:rPr>
              <w:t>, which is reflected in the annual forecast</w:t>
            </w:r>
            <w:r w:rsidR="006D5C11" w:rsidRPr="00F349EA">
              <w:rPr>
                <w:rFonts w:ascii="Arial" w:eastAsia="Times New Roman" w:hAnsi="Arial" w:cs="Arial"/>
                <w:lang w:eastAsia="en-GB"/>
              </w:rPr>
              <w:t>.</w:t>
            </w:r>
          </w:p>
        </w:tc>
        <w:tc>
          <w:tcPr>
            <w:tcW w:w="500" w:type="pct"/>
            <w:tcBorders>
              <w:top w:val="single" w:sz="8" w:space="0" w:color="auto"/>
              <w:left w:val="single" w:sz="8" w:space="0" w:color="auto"/>
              <w:bottom w:val="single" w:sz="8" w:space="0" w:color="auto"/>
              <w:right w:val="single" w:sz="8" w:space="0" w:color="auto"/>
            </w:tcBorders>
            <w:vAlign w:val="center"/>
          </w:tcPr>
          <w:p w14:paraId="72BCA2C4" w14:textId="33B8B0EE" w:rsidR="00A07F72" w:rsidRPr="00F349EA" w:rsidRDefault="00A60A16" w:rsidP="00C96F36">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 xml:space="preserve">Not </w:t>
            </w:r>
            <w:r w:rsidR="00843538" w:rsidRPr="00F349EA">
              <w:rPr>
                <w:rFonts w:ascii="Arial" w:eastAsia="Times New Roman" w:hAnsi="Arial" w:cs="Arial"/>
                <w:szCs w:val="28"/>
                <w:lang w:eastAsia="en-GB"/>
              </w:rPr>
              <w:t>Delivered</w:t>
            </w:r>
          </w:p>
        </w:tc>
      </w:tr>
      <w:tr w:rsidR="00A07F72" w:rsidRPr="00F349EA" w14:paraId="00260FAA" w14:textId="77777777" w:rsidTr="00605D02">
        <w:tblPrEx>
          <w:tblCellMar>
            <w:left w:w="108" w:type="dxa"/>
            <w:right w:w="108" w:type="dxa"/>
          </w:tblCellMar>
        </w:tblPrEx>
        <w:trPr>
          <w:cantSplit/>
          <w:trHeight w:val="16"/>
        </w:trPr>
        <w:tc>
          <w:tcPr>
            <w:tcW w:w="1293" w:type="pct"/>
            <w:tcBorders>
              <w:top w:val="single" w:sz="8" w:space="0" w:color="auto"/>
              <w:left w:val="single" w:sz="8" w:space="0" w:color="auto"/>
              <w:bottom w:val="single" w:sz="8" w:space="0" w:color="auto"/>
              <w:right w:val="single" w:sz="8" w:space="0" w:color="auto"/>
            </w:tcBorders>
            <w:vAlign w:val="center"/>
          </w:tcPr>
          <w:p w14:paraId="00A763E5" w14:textId="4AB65E98" w:rsidR="00A07F72" w:rsidRPr="00F349EA" w:rsidRDefault="00A07F72" w:rsidP="00C96F36">
            <w:pPr>
              <w:textAlignment w:val="baseline"/>
              <w:rPr>
                <w:rFonts w:ascii="Arial" w:hAnsi="Arial" w:cs="Arial"/>
                <w:b/>
                <w:bCs/>
              </w:rPr>
            </w:pPr>
            <w:r w:rsidRPr="00F349EA">
              <w:rPr>
                <w:rFonts w:ascii="Arial" w:hAnsi="Arial" w:cs="Arial"/>
                <w:b/>
                <w:bCs/>
                <w:color w:val="000000"/>
              </w:rPr>
              <w:t>KR 2.4:</w:t>
            </w:r>
            <w:r w:rsidRPr="00F349EA">
              <w:rPr>
                <w:rFonts w:ascii="Arial" w:hAnsi="Arial" w:cs="Arial"/>
                <w:color w:val="000000"/>
              </w:rPr>
              <w:t xml:space="preserve"> 5% reduction of greenhouse gas emissions from SEPA workspaces by realising savings through workspaces transformation.</w:t>
            </w:r>
          </w:p>
        </w:tc>
        <w:tc>
          <w:tcPr>
            <w:tcW w:w="256" w:type="pct"/>
            <w:tcBorders>
              <w:top w:val="single" w:sz="8" w:space="0" w:color="auto"/>
              <w:left w:val="single" w:sz="8" w:space="0" w:color="auto"/>
              <w:bottom w:val="single" w:sz="8" w:space="0" w:color="auto"/>
              <w:right w:val="single" w:sz="8" w:space="0" w:color="auto"/>
            </w:tcBorders>
            <w:vAlign w:val="center"/>
          </w:tcPr>
          <w:p w14:paraId="30B0045C" w14:textId="309AE146" w:rsidR="00A07F72" w:rsidRPr="00F349EA" w:rsidRDefault="00A07F72" w:rsidP="00C96F36">
            <w:pPr>
              <w:jc w:val="center"/>
              <w:textAlignment w:val="baseline"/>
              <w:rPr>
                <w:rFonts w:asciiTheme="majorHAnsi" w:hAnsiTheme="majorHAnsi" w:cstheme="majorHAnsi"/>
                <w:color w:val="000000"/>
              </w:rPr>
            </w:pPr>
            <w:r w:rsidRPr="00F349EA">
              <w:rPr>
                <w:rFonts w:asciiTheme="majorHAnsi" w:hAnsiTheme="majorHAnsi" w:cstheme="majorHAnsi"/>
                <w:color w:val="000000"/>
              </w:rPr>
              <w:t>Q4</w:t>
            </w:r>
          </w:p>
        </w:tc>
        <w:tc>
          <w:tcPr>
            <w:tcW w:w="309" w:type="pct"/>
            <w:tcBorders>
              <w:top w:val="single" w:sz="8" w:space="0" w:color="auto"/>
              <w:left w:val="single" w:sz="8" w:space="0" w:color="auto"/>
              <w:bottom w:val="single" w:sz="8" w:space="0" w:color="auto"/>
              <w:right w:val="single" w:sz="8" w:space="0" w:color="auto"/>
            </w:tcBorders>
            <w:vAlign w:val="center"/>
          </w:tcPr>
          <w:p w14:paraId="6BA411CA" w14:textId="4A7177DF" w:rsidR="00A07F72" w:rsidRPr="00F349EA" w:rsidRDefault="009B2B2D"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0</w:t>
            </w:r>
          </w:p>
        </w:tc>
        <w:tc>
          <w:tcPr>
            <w:tcW w:w="309" w:type="pct"/>
            <w:tcBorders>
              <w:top w:val="single" w:sz="8" w:space="0" w:color="auto"/>
              <w:left w:val="single" w:sz="8" w:space="0" w:color="auto"/>
              <w:bottom w:val="single" w:sz="8" w:space="0" w:color="auto"/>
              <w:right w:val="single" w:sz="8" w:space="0" w:color="auto"/>
            </w:tcBorders>
            <w:vAlign w:val="center"/>
          </w:tcPr>
          <w:p w14:paraId="104B6BF5" w14:textId="4F0DE1BB" w:rsidR="00A07F72" w:rsidRPr="00F349EA" w:rsidRDefault="00982E97" w:rsidP="00C96F36">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0</w:t>
            </w:r>
          </w:p>
        </w:tc>
        <w:tc>
          <w:tcPr>
            <w:tcW w:w="309" w:type="pct"/>
            <w:tcBorders>
              <w:top w:val="single" w:sz="8" w:space="0" w:color="auto"/>
              <w:left w:val="single" w:sz="8" w:space="0" w:color="auto"/>
              <w:bottom w:val="single" w:sz="8" w:space="0" w:color="auto"/>
              <w:right w:val="single" w:sz="8" w:space="0" w:color="auto"/>
            </w:tcBorders>
            <w:vAlign w:val="center"/>
          </w:tcPr>
          <w:p w14:paraId="387951B9" w14:textId="2A43D7CC" w:rsidR="00A07F72" w:rsidRPr="00F349EA" w:rsidRDefault="00A07F72"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2140F722" w14:textId="07BA6BC1" w:rsidR="00A07F72" w:rsidRPr="00F349EA" w:rsidRDefault="00A07F72"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54558D6C" w14:textId="221533D0" w:rsidR="00A07F72" w:rsidRPr="00F349EA" w:rsidRDefault="00982E97" w:rsidP="00C96F36">
            <w:pPr>
              <w:jc w:val="center"/>
              <w:textAlignment w:val="baseline"/>
            </w:pPr>
            <w:r w:rsidRPr="00F349EA">
              <w:rPr>
                <w:noProof/>
              </w:rPr>
              <w:drawing>
                <wp:anchor distT="0" distB="0" distL="114300" distR="114300" simplePos="0" relativeHeight="251658249" behindDoc="0" locked="0" layoutInCell="1" allowOverlap="1" wp14:anchorId="22717B78" wp14:editId="0BD12E8E">
                  <wp:simplePos x="0" y="0"/>
                  <wp:positionH relativeFrom="column">
                    <wp:posOffset>-635</wp:posOffset>
                  </wp:positionH>
                  <wp:positionV relativeFrom="paragraph">
                    <wp:posOffset>-23495</wp:posOffset>
                  </wp:positionV>
                  <wp:extent cx="444500" cy="444500"/>
                  <wp:effectExtent l="0" t="0" r="0" b="0"/>
                  <wp:wrapNone/>
                  <wp:docPr id="1236032505"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374" w:type="pct"/>
            <w:tcBorders>
              <w:top w:val="single" w:sz="8" w:space="0" w:color="auto"/>
              <w:left w:val="single" w:sz="8" w:space="0" w:color="auto"/>
              <w:bottom w:val="single" w:sz="8" w:space="0" w:color="auto"/>
              <w:right w:val="single" w:sz="8" w:space="0" w:color="auto"/>
            </w:tcBorders>
            <w:vAlign w:val="center"/>
          </w:tcPr>
          <w:p w14:paraId="7200FB67" w14:textId="3F66240E" w:rsidR="00A07F72" w:rsidRPr="00F349EA" w:rsidRDefault="001916AD" w:rsidP="00A41A1F">
            <w:pPr>
              <w:textAlignment w:val="baseline"/>
              <w:rPr>
                <w:rFonts w:ascii="Arial" w:eastAsia="Times New Roman" w:hAnsi="Arial" w:cs="Arial"/>
                <w:lang w:eastAsia="en-GB"/>
              </w:rPr>
            </w:pPr>
            <w:r w:rsidRPr="00F349EA">
              <w:rPr>
                <w:rFonts w:ascii="Arial" w:eastAsia="Times New Roman" w:hAnsi="Arial" w:cs="Arial"/>
                <w:lang w:eastAsia="en-GB"/>
              </w:rPr>
              <w:t>Progress on track. Glasgow exit progressing and negotiations continuing positively on early Stirling lease exit.</w:t>
            </w:r>
          </w:p>
          <w:p w14:paraId="711F394E" w14:textId="0FABF565" w:rsidR="006C27D9" w:rsidRPr="00F349EA" w:rsidRDefault="006C27D9" w:rsidP="00A41A1F">
            <w:pPr>
              <w:textAlignment w:val="baseline"/>
              <w:rPr>
                <w:rFonts w:ascii="Arial" w:eastAsia="Times New Roman" w:hAnsi="Arial" w:cs="Arial"/>
                <w:b/>
                <w:bCs/>
                <w:lang w:eastAsia="en-GB"/>
              </w:rPr>
            </w:pPr>
            <w:r w:rsidRPr="00F349EA">
              <w:rPr>
                <w:rFonts w:ascii="Arial" w:eastAsia="Times New Roman" w:hAnsi="Arial" w:cs="Arial"/>
                <w:b/>
                <w:bCs/>
                <w:lang w:eastAsia="en-GB"/>
              </w:rPr>
              <w:t>Confidence in forecast: High</w:t>
            </w:r>
          </w:p>
        </w:tc>
        <w:tc>
          <w:tcPr>
            <w:tcW w:w="500" w:type="pct"/>
            <w:tcBorders>
              <w:top w:val="single" w:sz="8" w:space="0" w:color="auto"/>
              <w:left w:val="single" w:sz="8" w:space="0" w:color="auto"/>
              <w:bottom w:val="single" w:sz="8" w:space="0" w:color="auto"/>
              <w:right w:val="single" w:sz="8" w:space="0" w:color="auto"/>
            </w:tcBorders>
            <w:vAlign w:val="center"/>
          </w:tcPr>
          <w:p w14:paraId="55E653B4" w14:textId="7157ACE0" w:rsidR="00A07F72" w:rsidRPr="00F349EA" w:rsidRDefault="00437530" w:rsidP="00A41A1F">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Delivered</w:t>
            </w:r>
          </w:p>
        </w:tc>
      </w:tr>
    </w:tbl>
    <w:p w14:paraId="15A8D7DA" w14:textId="04F8C46C" w:rsidR="00FE72CB" w:rsidRPr="00F349EA" w:rsidRDefault="00FE72CB" w:rsidP="00FE72CB">
      <w:pPr>
        <w:spacing w:before="240" w:after="120"/>
        <w:rPr>
          <w:sz w:val="28"/>
          <w:szCs w:val="28"/>
        </w:rPr>
      </w:pPr>
      <w:r w:rsidRPr="00F349EA">
        <w:rPr>
          <w:b/>
          <w:sz w:val="28"/>
          <w:szCs w:val="28"/>
        </w:rPr>
        <w:t>Overall objective score</w:t>
      </w:r>
      <w:r w:rsidRPr="00F349EA">
        <w:rPr>
          <w:sz w:val="28"/>
          <w:szCs w:val="28"/>
        </w:rPr>
        <w:t xml:space="preserve"> =</w:t>
      </w:r>
      <w:r w:rsidRPr="00F349EA">
        <w:rPr>
          <w:color w:val="016574"/>
          <w:sz w:val="28"/>
          <w:szCs w:val="28"/>
        </w:rPr>
        <w:t xml:space="preserve"> </w:t>
      </w:r>
      <w:r w:rsidR="008E2F3C" w:rsidRPr="00F349EA">
        <w:rPr>
          <w:sz w:val="28"/>
          <w:szCs w:val="28"/>
        </w:rPr>
        <w:t>0.25</w:t>
      </w:r>
      <w:r w:rsidR="00A945A1" w:rsidRPr="00F349EA">
        <w:rPr>
          <w:sz w:val="28"/>
          <w:szCs w:val="28"/>
        </w:rPr>
        <w:t xml:space="preserve"> </w:t>
      </w:r>
    </w:p>
    <w:p w14:paraId="7E787621" w14:textId="527A2F93" w:rsidR="000E7600" w:rsidRPr="00F349EA" w:rsidRDefault="000E7600" w:rsidP="000E7600">
      <w:pPr>
        <w:spacing w:line="240" w:lineRule="auto"/>
      </w:pPr>
    </w:p>
    <w:p w14:paraId="5FEA6C21" w14:textId="77777777" w:rsidR="00202277" w:rsidRPr="00F349EA" w:rsidRDefault="00202277" w:rsidP="000E7600">
      <w:pPr>
        <w:spacing w:line="240" w:lineRule="auto"/>
        <w:sectPr w:rsidR="00202277" w:rsidRPr="00F349EA" w:rsidSect="00074411">
          <w:pgSz w:w="16838" w:h="11906" w:orient="landscape" w:code="9"/>
          <w:pgMar w:top="1083" w:right="1134" w:bottom="1083" w:left="567" w:header="567" w:footer="567" w:gutter="0"/>
          <w:cols w:space="708"/>
          <w:titlePg/>
          <w:docGrid w:linePitch="360"/>
        </w:sectPr>
      </w:pPr>
    </w:p>
    <w:p w14:paraId="540987C0" w14:textId="25EBECD0" w:rsidR="00202277" w:rsidRPr="00F349EA" w:rsidRDefault="00202277" w:rsidP="7D52A5B7">
      <w:pPr>
        <w:pStyle w:val="Heading2"/>
        <w:shd w:val="clear" w:color="auto" w:fill="016574" w:themeFill="accent2"/>
        <w:spacing w:before="0" w:after="240"/>
        <w:ind w:left="720" w:hanging="720"/>
        <w:rPr>
          <w:color w:val="FFFFFF" w:themeColor="background1"/>
          <w:sz w:val="48"/>
          <w:szCs w:val="48"/>
        </w:rPr>
      </w:pPr>
      <w:bookmarkStart w:id="31" w:name="_Toc1036290901"/>
      <w:r w:rsidRPr="68A9B764">
        <w:rPr>
          <w:color w:val="FFFFFF" w:themeColor="background1"/>
          <w:sz w:val="48"/>
          <w:szCs w:val="48"/>
        </w:rPr>
        <w:lastRenderedPageBreak/>
        <w:t>Climate Resilience</w:t>
      </w:r>
      <w:bookmarkEnd w:id="31"/>
    </w:p>
    <w:p w14:paraId="0CA9BE60" w14:textId="1AC4ECE4" w:rsidR="00202277" w:rsidRPr="00F349EA" w:rsidRDefault="009819B4" w:rsidP="00202277">
      <w:pPr>
        <w:pStyle w:val="BodyText1"/>
        <w:shd w:val="clear" w:color="auto" w:fill="018395"/>
        <w:spacing w:before="240" w:after="120"/>
        <w:rPr>
          <w:color w:val="FFFFFF" w:themeColor="background1"/>
          <w:sz w:val="36"/>
          <w:szCs w:val="36"/>
        </w:rPr>
      </w:pPr>
      <w:r w:rsidRPr="00F349EA">
        <w:rPr>
          <w:color w:val="FFFFFF" w:themeColor="background1"/>
          <w:sz w:val="36"/>
          <w:szCs w:val="36"/>
        </w:rPr>
        <w:t xml:space="preserve">Our ambition is that the damaging impacts of floods and droughts is reduced, and that operators are prepared for and resilient to the impacts of a changing climate. </w:t>
      </w:r>
    </w:p>
    <w:p w14:paraId="66F91262" w14:textId="77777777" w:rsidR="00202277" w:rsidRPr="00F349EA" w:rsidRDefault="00202277" w:rsidP="00202277"/>
    <w:p w14:paraId="48F05DDE" w14:textId="777465FB" w:rsidR="0067407E" w:rsidRPr="00F349EA" w:rsidRDefault="00CB594E" w:rsidP="00E53135">
      <w:pPr>
        <w:pStyle w:val="Heading3"/>
        <w:spacing w:before="120" w:after="120"/>
        <w:rPr>
          <w:color w:val="016574"/>
          <w:sz w:val="32"/>
          <w:szCs w:val="28"/>
        </w:rPr>
      </w:pPr>
      <w:r w:rsidRPr="00F349EA">
        <w:rPr>
          <w:color w:val="016574"/>
          <w:sz w:val="32"/>
          <w:szCs w:val="28"/>
        </w:rPr>
        <w:t>CR</w:t>
      </w:r>
      <w:r w:rsidR="0067407E" w:rsidRPr="00F349EA">
        <w:rPr>
          <w:color w:val="016574"/>
          <w:sz w:val="32"/>
          <w:szCs w:val="28"/>
        </w:rPr>
        <w:t xml:space="preserve"> OKR3: </w:t>
      </w:r>
      <w:r w:rsidRPr="00F349EA">
        <w:rPr>
          <w:color w:val="016574"/>
          <w:sz w:val="32"/>
          <w:szCs w:val="28"/>
        </w:rPr>
        <w:t>Improve awareness and understanding of flood and drought risk, including implications of climate change, to support effective decision making</w:t>
      </w:r>
      <w:r w:rsidR="0067407E" w:rsidRPr="00F349EA">
        <w:rPr>
          <w:color w:val="016574"/>
          <w:sz w:val="32"/>
          <w:szCs w:val="28"/>
        </w:rPr>
        <w:t>.</w:t>
      </w:r>
    </w:p>
    <w:p w14:paraId="7C432B90" w14:textId="7556A0CA" w:rsidR="00202277" w:rsidRPr="00F349EA" w:rsidRDefault="00BC7030" w:rsidP="006F69A3">
      <w:pPr>
        <w:pStyle w:val="BodyText1"/>
      </w:pPr>
      <w:r w:rsidRPr="00F349EA">
        <w:rPr>
          <w:noProof/>
        </w:rPr>
        <w:drawing>
          <wp:inline distT="0" distB="0" distL="0" distR="0" wp14:anchorId="17636849" wp14:editId="4258CE31">
            <wp:extent cx="9557385" cy="3005455"/>
            <wp:effectExtent l="0" t="0" r="5715" b="4445"/>
            <wp:docPr id="1534034682" name="Chart 1" descr="This is a bar graph which shows the score of each key result for OKR03 over each quarter. &#10;There is a line on the score scale of 0.7 to represent whether the KR is being delivered. There is another line on the score scale of 0.3 to represent whether measurable progress has been made in the quarter.&#10;For Q1, KR3.1 scored 0.8.&#10;For Q1, KR3.2, KR3.3 and KR3.4 had no scores as these will be progressed later in the year.&#10;&#10;For Q2, KR3.1 scored 0.9.&#10;KR3.2, KR3.3 and KR3.4 has no scores as these will be progressed later in the year.">
              <a:extLst xmlns:a="http://schemas.openxmlformats.org/drawingml/2006/main">
                <a:ext uri="{FF2B5EF4-FFF2-40B4-BE49-F238E27FC236}">
                  <a16:creationId xmlns:a16="http://schemas.microsoft.com/office/drawing/2014/main" id="{D42E82C3-3DC2-4F1F-938B-91340EC2D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5B209CB" w14:textId="77777777" w:rsidR="00765AD8" w:rsidRPr="00F349EA" w:rsidRDefault="00765AD8" w:rsidP="006F69A3">
      <w:pPr>
        <w:pStyle w:val="BodyText1"/>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3 key result summary"/>
        <w:tblDescription w:val="Q1 summary for each of the four key results under OKR3. This includes the date due, Q1 score, Q1 status, Q1 commentary and annual forecast for each key result."/>
      </w:tblPr>
      <w:tblGrid>
        <w:gridCol w:w="3869"/>
        <w:gridCol w:w="767"/>
        <w:gridCol w:w="924"/>
        <w:gridCol w:w="924"/>
        <w:gridCol w:w="924"/>
        <w:gridCol w:w="924"/>
        <w:gridCol w:w="1020"/>
        <w:gridCol w:w="3841"/>
        <w:gridCol w:w="1765"/>
      </w:tblGrid>
      <w:tr w:rsidR="00C1757C" w:rsidRPr="00F349EA" w14:paraId="4C60D79A" w14:textId="77777777" w:rsidTr="00FD77E8">
        <w:trPr>
          <w:cantSplit/>
          <w:trHeight w:val="545"/>
          <w:tblHeader/>
        </w:trPr>
        <w:tc>
          <w:tcPr>
            <w:tcW w:w="1293" w:type="pct"/>
            <w:tcBorders>
              <w:bottom w:val="single" w:sz="8" w:space="0" w:color="auto"/>
            </w:tcBorders>
            <w:shd w:val="clear" w:color="auto" w:fill="016574" w:themeFill="accent2"/>
          </w:tcPr>
          <w:p w14:paraId="47A1FB63" w14:textId="77777777" w:rsidR="00C1757C" w:rsidRPr="00F349EA" w:rsidRDefault="00C1757C">
            <w:pPr>
              <w:spacing w:before="40" w:after="40" w:line="240" w:lineRule="auto"/>
              <w:textAlignment w:val="baseline"/>
              <w:rPr>
                <w:rFonts w:ascii="Arial" w:eastAsia="Times New Roman" w:hAnsi="Arial" w:cs="Arial"/>
                <w:color w:val="000000"/>
                <w:sz w:val="28"/>
                <w:szCs w:val="28"/>
                <w:lang w:eastAsia="en-GB"/>
              </w:rPr>
            </w:pPr>
            <w:r w:rsidRPr="00F349EA">
              <w:rPr>
                <w:rFonts w:ascii="Arial" w:eastAsia="MS PGothic" w:hAnsi="Arial" w:cs="Arial"/>
                <w:b/>
                <w:bCs/>
                <w:color w:val="FFFFFF" w:themeColor="background1"/>
              </w:rPr>
              <w:t>Key Results</w:t>
            </w:r>
          </w:p>
        </w:tc>
        <w:tc>
          <w:tcPr>
            <w:tcW w:w="256" w:type="pct"/>
            <w:tcBorders>
              <w:bottom w:val="single" w:sz="8" w:space="0" w:color="auto"/>
            </w:tcBorders>
            <w:shd w:val="clear" w:color="auto" w:fill="016574" w:themeFill="accent2"/>
          </w:tcPr>
          <w:p w14:paraId="2C35DAAD" w14:textId="77777777" w:rsidR="00C1757C" w:rsidRPr="00F349EA" w:rsidRDefault="00C1757C">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Due date</w:t>
            </w:r>
          </w:p>
        </w:tc>
        <w:tc>
          <w:tcPr>
            <w:tcW w:w="309" w:type="pct"/>
            <w:tcBorders>
              <w:bottom w:val="single" w:sz="8" w:space="0" w:color="auto"/>
            </w:tcBorders>
            <w:shd w:val="clear" w:color="auto" w:fill="016574" w:themeFill="accent2"/>
          </w:tcPr>
          <w:p w14:paraId="2912E19C" w14:textId="77777777" w:rsidR="00C1757C" w:rsidRPr="00F349EA" w:rsidRDefault="00C1757C">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Q1 score</w:t>
            </w:r>
          </w:p>
        </w:tc>
        <w:tc>
          <w:tcPr>
            <w:tcW w:w="309" w:type="pct"/>
            <w:tcBorders>
              <w:bottom w:val="single" w:sz="8" w:space="0" w:color="auto"/>
            </w:tcBorders>
            <w:shd w:val="clear" w:color="auto" w:fill="016574" w:themeFill="accent2"/>
          </w:tcPr>
          <w:p w14:paraId="5465F171" w14:textId="77777777" w:rsidR="00C1757C" w:rsidRPr="00F349EA" w:rsidRDefault="00C1757C">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Q2 score</w:t>
            </w:r>
          </w:p>
        </w:tc>
        <w:tc>
          <w:tcPr>
            <w:tcW w:w="309" w:type="pct"/>
            <w:tcBorders>
              <w:bottom w:val="single" w:sz="8" w:space="0" w:color="auto"/>
            </w:tcBorders>
            <w:shd w:val="clear" w:color="auto" w:fill="016574" w:themeFill="accent2"/>
          </w:tcPr>
          <w:p w14:paraId="65EC58BC" w14:textId="77777777" w:rsidR="00C1757C" w:rsidRPr="00F349EA" w:rsidRDefault="00C1757C">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Q3 score</w:t>
            </w:r>
          </w:p>
        </w:tc>
        <w:tc>
          <w:tcPr>
            <w:tcW w:w="309" w:type="pct"/>
            <w:tcBorders>
              <w:bottom w:val="single" w:sz="8" w:space="0" w:color="auto"/>
            </w:tcBorders>
            <w:shd w:val="clear" w:color="auto" w:fill="016574" w:themeFill="accent2"/>
          </w:tcPr>
          <w:p w14:paraId="37151896" w14:textId="77777777" w:rsidR="00C1757C" w:rsidRPr="00F349EA" w:rsidRDefault="00C1757C">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Q4 score</w:t>
            </w:r>
          </w:p>
        </w:tc>
        <w:tc>
          <w:tcPr>
            <w:tcW w:w="341" w:type="pct"/>
            <w:tcBorders>
              <w:bottom w:val="single" w:sz="8" w:space="0" w:color="auto"/>
            </w:tcBorders>
            <w:shd w:val="clear" w:color="auto" w:fill="016574" w:themeFill="accent2"/>
          </w:tcPr>
          <w:p w14:paraId="3F5D08BC" w14:textId="48A41270" w:rsidR="00C1757C" w:rsidRPr="00F349EA" w:rsidRDefault="00C1757C">
            <w:pPr>
              <w:spacing w:before="40" w:after="40" w:line="240" w:lineRule="auto"/>
              <w:jc w:val="center"/>
              <w:textAlignment w:val="baseline"/>
              <w:rPr>
                <w:rFonts w:ascii="Arial" w:eastAsia="Times New Roman" w:hAnsi="Arial" w:cs="Arial"/>
                <w:color w:val="000000"/>
                <w:lang w:eastAsia="en-GB"/>
              </w:rPr>
            </w:pPr>
            <w:r w:rsidRPr="00F349EA">
              <w:rPr>
                <w:rFonts w:ascii="Arial" w:eastAsia="MS PGothic" w:hAnsi="Arial" w:cs="Arial"/>
                <w:b/>
                <w:bCs/>
                <w:color w:val="FFFFFF"/>
              </w:rPr>
              <w:t>Q</w:t>
            </w:r>
            <w:r w:rsidR="007B42BA" w:rsidRPr="00F349EA">
              <w:rPr>
                <w:rFonts w:ascii="Arial" w:eastAsia="MS PGothic" w:hAnsi="Arial" w:cs="Arial"/>
                <w:b/>
                <w:bCs/>
                <w:color w:val="FFFFFF"/>
              </w:rPr>
              <w:t>2</w:t>
            </w:r>
            <w:r w:rsidRPr="00F349EA">
              <w:rPr>
                <w:rFonts w:ascii="Arial" w:eastAsia="MS PGothic" w:hAnsi="Arial" w:cs="Arial"/>
                <w:b/>
                <w:bCs/>
                <w:color w:val="FFFFFF"/>
              </w:rPr>
              <w:t xml:space="preserve"> Status</w:t>
            </w:r>
          </w:p>
        </w:tc>
        <w:tc>
          <w:tcPr>
            <w:tcW w:w="1284" w:type="pct"/>
            <w:tcBorders>
              <w:bottom w:val="single" w:sz="8" w:space="0" w:color="auto"/>
            </w:tcBorders>
            <w:shd w:val="clear" w:color="auto" w:fill="016574" w:themeFill="accent2"/>
          </w:tcPr>
          <w:p w14:paraId="6F24F0C1" w14:textId="719A3965" w:rsidR="00C1757C" w:rsidRPr="00F349EA" w:rsidRDefault="00C1757C">
            <w:pPr>
              <w:spacing w:before="40" w:after="40" w:line="240" w:lineRule="auto"/>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Q</w:t>
            </w:r>
            <w:r w:rsidR="007B42BA" w:rsidRPr="00F349EA">
              <w:rPr>
                <w:rFonts w:ascii="Arial" w:eastAsia="MS PGothic" w:hAnsi="Arial" w:cs="Arial"/>
                <w:b/>
                <w:bCs/>
                <w:color w:val="FFFFFF"/>
                <w:sz w:val="28"/>
                <w:szCs w:val="28"/>
              </w:rPr>
              <w:t>2</w:t>
            </w:r>
            <w:r w:rsidRPr="00F349EA">
              <w:rPr>
                <w:rFonts w:ascii="Arial" w:eastAsia="MS PGothic" w:hAnsi="Arial" w:cs="Arial"/>
                <w:b/>
                <w:bCs/>
                <w:color w:val="FFFFFF"/>
                <w:sz w:val="28"/>
                <w:szCs w:val="28"/>
              </w:rPr>
              <w:t xml:space="preserve"> commentary</w:t>
            </w:r>
          </w:p>
        </w:tc>
        <w:tc>
          <w:tcPr>
            <w:tcW w:w="590" w:type="pct"/>
            <w:tcBorders>
              <w:bottom w:val="single" w:sz="8" w:space="0" w:color="auto"/>
            </w:tcBorders>
            <w:shd w:val="clear" w:color="auto" w:fill="016574" w:themeFill="accent2"/>
          </w:tcPr>
          <w:p w14:paraId="773521DB" w14:textId="77777777" w:rsidR="00C1757C" w:rsidRPr="00F349EA" w:rsidRDefault="00C1757C">
            <w:pPr>
              <w:spacing w:before="40" w:after="40"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Annual forecast</w:t>
            </w:r>
          </w:p>
        </w:tc>
      </w:tr>
      <w:tr w:rsidR="00C1757C" w:rsidRPr="00F349EA" w14:paraId="783AB914" w14:textId="77777777" w:rsidTr="00FD77E8">
        <w:tblPrEx>
          <w:tblCellMar>
            <w:left w:w="108" w:type="dxa"/>
            <w:right w:w="108" w:type="dxa"/>
          </w:tblCellMar>
        </w:tblPrEx>
        <w:trPr>
          <w:cantSplit/>
          <w:trHeight w:val="16"/>
        </w:trPr>
        <w:tc>
          <w:tcPr>
            <w:tcW w:w="1293" w:type="pct"/>
            <w:tcBorders>
              <w:top w:val="single" w:sz="8" w:space="0" w:color="auto"/>
              <w:left w:val="single" w:sz="8" w:space="0" w:color="auto"/>
              <w:bottom w:val="single" w:sz="8" w:space="0" w:color="auto"/>
              <w:right w:val="single" w:sz="8" w:space="0" w:color="auto"/>
            </w:tcBorders>
          </w:tcPr>
          <w:p w14:paraId="3A3C1154" w14:textId="17EFD2D3" w:rsidR="00C1757C" w:rsidRPr="00F349EA" w:rsidRDefault="008A3BDF" w:rsidP="00C96F36">
            <w:pPr>
              <w:rPr>
                <w:rFonts w:asciiTheme="majorHAnsi" w:eastAsia="Times New Roman" w:hAnsiTheme="majorHAnsi" w:cstheme="majorHAnsi"/>
                <w:color w:val="000000"/>
              </w:rPr>
            </w:pPr>
            <w:r w:rsidRPr="00F349EA">
              <w:rPr>
                <w:rFonts w:asciiTheme="majorHAnsi" w:hAnsiTheme="majorHAnsi" w:cstheme="majorHAnsi"/>
                <w:b/>
                <w:color w:val="000000"/>
              </w:rPr>
              <w:t>KR 3.1</w:t>
            </w:r>
            <w:r w:rsidRPr="00F349EA">
              <w:rPr>
                <w:rFonts w:asciiTheme="majorHAnsi" w:hAnsiTheme="majorHAnsi" w:cstheme="majorHAnsi"/>
                <w:color w:val="000000"/>
              </w:rPr>
              <w:t xml:space="preserve">: Complete risk assessment database build to produce statistical output for flood risk assessment service reporting. </w:t>
            </w:r>
          </w:p>
        </w:tc>
        <w:tc>
          <w:tcPr>
            <w:tcW w:w="256" w:type="pct"/>
            <w:tcBorders>
              <w:top w:val="single" w:sz="8" w:space="0" w:color="auto"/>
              <w:left w:val="single" w:sz="8" w:space="0" w:color="auto"/>
              <w:bottom w:val="single" w:sz="8" w:space="0" w:color="auto"/>
              <w:right w:val="single" w:sz="8" w:space="0" w:color="auto"/>
            </w:tcBorders>
            <w:vAlign w:val="center"/>
          </w:tcPr>
          <w:p w14:paraId="2D7189F3" w14:textId="42572E78" w:rsidR="00C1757C" w:rsidRPr="00F349EA" w:rsidRDefault="00451691" w:rsidP="00C96F36">
            <w:pPr>
              <w:jc w:val="center"/>
              <w:textAlignment w:val="baseline"/>
              <w:rPr>
                <w:rFonts w:asciiTheme="majorHAnsi" w:eastAsia="Times New Roman" w:hAnsiTheme="majorHAnsi" w:cstheme="majorHAnsi"/>
                <w:lang w:eastAsia="en-GB"/>
              </w:rPr>
            </w:pPr>
            <w:r w:rsidRPr="00F349EA">
              <w:rPr>
                <w:rFonts w:asciiTheme="majorHAnsi" w:hAnsiTheme="majorHAnsi" w:cstheme="majorHAnsi"/>
                <w:color w:val="000000"/>
              </w:rPr>
              <w:t>Q</w:t>
            </w:r>
            <w:r w:rsidR="006556A5" w:rsidRPr="00F349EA">
              <w:rPr>
                <w:rFonts w:asciiTheme="majorHAnsi" w:hAnsiTheme="majorHAnsi" w:cstheme="majorHAnsi"/>
                <w:color w:val="000000"/>
              </w:rPr>
              <w:t>2</w:t>
            </w:r>
          </w:p>
        </w:tc>
        <w:tc>
          <w:tcPr>
            <w:tcW w:w="309" w:type="pct"/>
            <w:tcBorders>
              <w:top w:val="single" w:sz="8" w:space="0" w:color="auto"/>
              <w:left w:val="single" w:sz="8" w:space="0" w:color="auto"/>
              <w:bottom w:val="single" w:sz="8" w:space="0" w:color="auto"/>
              <w:right w:val="single" w:sz="8" w:space="0" w:color="auto"/>
            </w:tcBorders>
            <w:vAlign w:val="center"/>
          </w:tcPr>
          <w:p w14:paraId="77C5FF39" w14:textId="1129FC7A" w:rsidR="00C1757C" w:rsidRPr="00F349EA" w:rsidRDefault="006556A5" w:rsidP="00C96F36">
            <w:pPr>
              <w:jc w:val="center"/>
              <w:textAlignment w:val="baseline"/>
              <w:rPr>
                <w:rFonts w:asciiTheme="majorHAnsi" w:eastAsia="Times New Roman" w:hAnsiTheme="majorHAnsi" w:cstheme="majorHAnsi"/>
                <w:lang w:eastAsia="en-GB"/>
              </w:rPr>
            </w:pPr>
            <w:r w:rsidRPr="00F349EA">
              <w:rPr>
                <w:rFonts w:asciiTheme="majorHAnsi" w:hAnsiTheme="majorHAnsi" w:cstheme="majorHAnsi"/>
                <w:lang w:eastAsia="en-GB"/>
              </w:rPr>
              <w:t>0.8</w:t>
            </w:r>
            <w:r w:rsidR="00E607EC" w:rsidRPr="00F349EA">
              <w:rPr>
                <w:rFonts w:asciiTheme="majorHAnsi" w:hAnsiTheme="majorHAnsi" w:cstheme="majorHAnsi"/>
                <w:lang w:eastAsia="en-GB"/>
              </w:rPr>
              <w:t>0</w:t>
            </w:r>
          </w:p>
        </w:tc>
        <w:tc>
          <w:tcPr>
            <w:tcW w:w="309" w:type="pct"/>
            <w:tcBorders>
              <w:top w:val="single" w:sz="8" w:space="0" w:color="auto"/>
              <w:left w:val="single" w:sz="8" w:space="0" w:color="auto"/>
              <w:bottom w:val="single" w:sz="8" w:space="0" w:color="auto"/>
              <w:right w:val="single" w:sz="8" w:space="0" w:color="auto"/>
            </w:tcBorders>
            <w:vAlign w:val="center"/>
          </w:tcPr>
          <w:p w14:paraId="01DD26A5" w14:textId="01AA489D" w:rsidR="00C1757C" w:rsidRPr="00F349EA" w:rsidRDefault="009E2B05" w:rsidP="00C96F36">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0.9</w:t>
            </w:r>
            <w:r w:rsidR="00A30D03" w:rsidRPr="00F349EA">
              <w:rPr>
                <w:rFonts w:ascii="Arial" w:eastAsia="Times New Roman" w:hAnsi="Arial" w:cs="Arial"/>
                <w:szCs w:val="28"/>
                <w:lang w:eastAsia="en-GB"/>
              </w:rPr>
              <w:t>0</w:t>
            </w:r>
          </w:p>
        </w:tc>
        <w:tc>
          <w:tcPr>
            <w:tcW w:w="309" w:type="pct"/>
            <w:tcBorders>
              <w:top w:val="single" w:sz="8" w:space="0" w:color="auto"/>
              <w:left w:val="single" w:sz="8" w:space="0" w:color="auto"/>
              <w:bottom w:val="single" w:sz="8" w:space="0" w:color="auto"/>
              <w:right w:val="single" w:sz="8" w:space="0" w:color="auto"/>
            </w:tcBorders>
            <w:vAlign w:val="center"/>
          </w:tcPr>
          <w:p w14:paraId="1C204203" w14:textId="77777777" w:rsidR="00C1757C" w:rsidRPr="00F349EA" w:rsidRDefault="00C1757C"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1C913E2B" w14:textId="77777777" w:rsidR="00C1757C" w:rsidRPr="00F349EA" w:rsidRDefault="00C1757C"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0B0AB045" w14:textId="0E474331" w:rsidR="00C1757C" w:rsidRPr="00F349EA" w:rsidRDefault="0054411F" w:rsidP="00C96F36">
            <w:pPr>
              <w:jc w:val="center"/>
              <w:textAlignment w:val="baseline"/>
              <w:rPr>
                <w:rFonts w:ascii="Arial" w:eastAsia="Times New Roman" w:hAnsi="Arial" w:cs="Arial"/>
                <w:szCs w:val="28"/>
                <w:lang w:eastAsia="en-GB"/>
              </w:rPr>
            </w:pPr>
            <w:r w:rsidRPr="00F349EA">
              <w:rPr>
                <w:noProof/>
              </w:rPr>
              <w:drawing>
                <wp:inline distT="0" distB="0" distL="0" distR="0" wp14:anchorId="5EE9596F" wp14:editId="3918DEBA">
                  <wp:extent cx="463550" cy="463550"/>
                  <wp:effectExtent l="0" t="0" r="0" b="0"/>
                  <wp:docPr id="1583246477"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284" w:type="pct"/>
            <w:tcBorders>
              <w:top w:val="single" w:sz="8" w:space="0" w:color="auto"/>
              <w:left w:val="single" w:sz="8" w:space="0" w:color="auto"/>
              <w:bottom w:val="single" w:sz="8" w:space="0" w:color="auto"/>
              <w:right w:val="single" w:sz="8" w:space="0" w:color="auto"/>
            </w:tcBorders>
            <w:vAlign w:val="center"/>
          </w:tcPr>
          <w:p w14:paraId="341906D5" w14:textId="71FBE30C" w:rsidR="00C27F0A" w:rsidRPr="00F349EA" w:rsidRDefault="002A4CAD" w:rsidP="00C96F36">
            <w:pPr>
              <w:textAlignment w:val="baseline"/>
              <w:rPr>
                <w:rFonts w:ascii="Arial" w:eastAsia="Times New Roman" w:hAnsi="Arial" w:cs="Arial"/>
                <w:lang w:eastAsia="en-GB"/>
              </w:rPr>
            </w:pPr>
            <w:r w:rsidRPr="00F349EA">
              <w:rPr>
                <w:rFonts w:ascii="Arial" w:eastAsia="Times New Roman" w:hAnsi="Arial" w:cs="Arial"/>
                <w:b/>
                <w:lang w:eastAsia="en-GB"/>
              </w:rPr>
              <w:t>Key result d</w:t>
            </w:r>
            <w:r w:rsidR="009D512A" w:rsidRPr="00F349EA">
              <w:rPr>
                <w:rFonts w:ascii="Arial" w:eastAsia="Times New Roman" w:hAnsi="Arial" w:cs="Arial"/>
                <w:b/>
                <w:lang w:eastAsia="en-GB"/>
              </w:rPr>
              <w:t>elivered</w:t>
            </w:r>
            <w:r w:rsidR="009D512A" w:rsidRPr="00F349EA">
              <w:rPr>
                <w:rFonts w:ascii="Arial" w:eastAsia="Times New Roman" w:hAnsi="Arial" w:cs="Arial"/>
                <w:lang w:eastAsia="en-GB"/>
              </w:rPr>
              <w:t>.</w:t>
            </w:r>
            <w:r w:rsidR="009D512A" w:rsidRPr="009D512A">
              <w:rPr>
                <w:rFonts w:ascii="Arial" w:eastAsia="Times New Roman" w:hAnsi="Arial" w:cs="Arial"/>
                <w:lang w:eastAsia="en-GB"/>
              </w:rPr>
              <w:t xml:space="preserve"> Skeleton </w:t>
            </w:r>
            <w:bookmarkStart w:id="32" w:name="_Int_83gSWzLH"/>
            <w:proofErr w:type="gramStart"/>
            <w:r w:rsidR="009D512A" w:rsidRPr="009D512A">
              <w:rPr>
                <w:rFonts w:ascii="Arial" w:eastAsia="Times New Roman" w:hAnsi="Arial" w:cs="Arial"/>
                <w:lang w:eastAsia="en-GB"/>
              </w:rPr>
              <w:t>database</w:t>
            </w:r>
            <w:bookmarkEnd w:id="32"/>
            <w:proofErr w:type="gramEnd"/>
            <w:r w:rsidR="009D512A" w:rsidRPr="009D512A">
              <w:rPr>
                <w:rFonts w:ascii="Arial" w:eastAsia="Times New Roman" w:hAnsi="Arial" w:cs="Arial"/>
                <w:lang w:eastAsia="en-GB"/>
              </w:rPr>
              <w:t xml:space="preserve"> build complete. </w:t>
            </w:r>
            <w:r w:rsidR="00225980" w:rsidRPr="00F349EA">
              <w:rPr>
                <w:rFonts w:ascii="Arial" w:eastAsia="Times New Roman" w:hAnsi="Arial" w:cs="Arial"/>
                <w:lang w:eastAsia="en-GB"/>
              </w:rPr>
              <w:t>We are a</w:t>
            </w:r>
            <w:r w:rsidR="009D512A" w:rsidRPr="009D512A">
              <w:rPr>
                <w:rFonts w:ascii="Arial" w:eastAsia="Times New Roman" w:hAnsi="Arial" w:cs="Arial"/>
                <w:lang w:eastAsia="en-GB"/>
              </w:rPr>
              <w:t xml:space="preserve">waiting completion of </w:t>
            </w:r>
            <w:r w:rsidR="009D512A" w:rsidRPr="00F349EA">
              <w:rPr>
                <w:rFonts w:ascii="Arial" w:eastAsia="Times New Roman" w:hAnsi="Arial" w:cs="Arial"/>
                <w:lang w:eastAsia="en-GB"/>
              </w:rPr>
              <w:t>quality control</w:t>
            </w:r>
            <w:r w:rsidR="009D512A" w:rsidRPr="009D512A">
              <w:rPr>
                <w:rFonts w:ascii="Arial" w:eastAsia="Times New Roman" w:hAnsi="Arial" w:cs="Arial"/>
                <w:lang w:eastAsia="en-GB"/>
              </w:rPr>
              <w:t xml:space="preserve"> </w:t>
            </w:r>
            <w:r w:rsidR="00225980" w:rsidRPr="00F349EA">
              <w:rPr>
                <w:rFonts w:ascii="Arial" w:eastAsia="Times New Roman" w:hAnsi="Arial" w:cs="Arial"/>
                <w:lang w:eastAsia="en-GB"/>
              </w:rPr>
              <w:t xml:space="preserve">checks </w:t>
            </w:r>
            <w:r w:rsidR="009D512A" w:rsidRPr="009D512A">
              <w:rPr>
                <w:rFonts w:ascii="Arial" w:eastAsia="Times New Roman" w:hAnsi="Arial" w:cs="Arial"/>
                <w:lang w:eastAsia="en-GB"/>
              </w:rPr>
              <w:t>to</w:t>
            </w:r>
            <w:r w:rsidR="00225980" w:rsidRPr="00F349EA">
              <w:rPr>
                <w:rFonts w:ascii="Arial" w:eastAsia="Times New Roman" w:hAnsi="Arial" w:cs="Arial"/>
                <w:lang w:eastAsia="en-GB"/>
              </w:rPr>
              <w:t xml:space="preserve"> confirm</w:t>
            </w:r>
            <w:r w:rsidR="009D512A" w:rsidRPr="009D512A">
              <w:rPr>
                <w:rFonts w:ascii="Arial" w:eastAsia="Times New Roman" w:hAnsi="Arial" w:cs="Arial"/>
                <w:lang w:eastAsia="en-GB"/>
              </w:rPr>
              <w:t xml:space="preserve"> </w:t>
            </w:r>
            <w:r w:rsidR="00225980" w:rsidRPr="00F349EA">
              <w:rPr>
                <w:rFonts w:ascii="Arial" w:eastAsia="Times New Roman" w:hAnsi="Arial" w:cs="Arial"/>
                <w:lang w:eastAsia="en-GB"/>
              </w:rPr>
              <w:t>that</w:t>
            </w:r>
            <w:r w:rsidR="009D512A" w:rsidRPr="009D512A">
              <w:rPr>
                <w:rFonts w:ascii="Arial" w:eastAsia="Times New Roman" w:hAnsi="Arial" w:cs="Arial"/>
                <w:lang w:eastAsia="en-GB"/>
              </w:rPr>
              <w:t xml:space="preserve"> the database is functioning as expected prior to </w:t>
            </w:r>
            <w:r w:rsidR="00BA149A" w:rsidRPr="00F349EA">
              <w:rPr>
                <w:rFonts w:ascii="Arial" w:eastAsia="Times New Roman" w:hAnsi="Arial" w:cs="Arial"/>
                <w:lang w:eastAsia="en-GB"/>
              </w:rPr>
              <w:t xml:space="preserve">fully </w:t>
            </w:r>
            <w:r w:rsidR="009D512A" w:rsidRPr="009D512A">
              <w:rPr>
                <w:rFonts w:ascii="Arial" w:eastAsia="Times New Roman" w:hAnsi="Arial" w:cs="Arial"/>
                <w:lang w:eastAsia="en-GB"/>
              </w:rPr>
              <w:t xml:space="preserve">scoring 1.0. </w:t>
            </w:r>
          </w:p>
        </w:tc>
        <w:tc>
          <w:tcPr>
            <w:tcW w:w="590" w:type="pct"/>
            <w:tcBorders>
              <w:top w:val="single" w:sz="8" w:space="0" w:color="auto"/>
              <w:left w:val="single" w:sz="8" w:space="0" w:color="auto"/>
              <w:bottom w:val="single" w:sz="8" w:space="0" w:color="auto"/>
              <w:right w:val="single" w:sz="8" w:space="0" w:color="auto"/>
            </w:tcBorders>
            <w:vAlign w:val="center"/>
          </w:tcPr>
          <w:p w14:paraId="3F27E2F5" w14:textId="3701B186" w:rsidR="00C1757C" w:rsidRPr="00F349EA" w:rsidRDefault="005119A7" w:rsidP="00C96F36">
            <w:pPr>
              <w:jc w:val="center"/>
              <w:textAlignment w:val="baseline"/>
              <w:rPr>
                <w:rFonts w:ascii="Arial" w:eastAsia="Times New Roman" w:hAnsi="Arial" w:cs="Arial"/>
                <w:lang w:eastAsia="en-GB"/>
              </w:rPr>
            </w:pPr>
            <w:r w:rsidRPr="00F349EA">
              <w:rPr>
                <w:rFonts w:ascii="Arial" w:eastAsia="Times New Roman" w:hAnsi="Arial" w:cs="Arial"/>
                <w:lang w:eastAsia="en-GB"/>
              </w:rPr>
              <w:t>Delivered</w:t>
            </w:r>
          </w:p>
        </w:tc>
      </w:tr>
      <w:tr w:rsidR="00C1757C" w:rsidRPr="00F349EA" w14:paraId="184A2199" w14:textId="77777777" w:rsidTr="00FD77E8">
        <w:trPr>
          <w:cantSplit/>
          <w:trHeight w:val="881"/>
        </w:trPr>
        <w:tc>
          <w:tcPr>
            <w:tcW w:w="1293" w:type="pct"/>
            <w:tcBorders>
              <w:top w:val="single" w:sz="8" w:space="0" w:color="auto"/>
              <w:left w:val="single" w:sz="8" w:space="0" w:color="auto"/>
              <w:bottom w:val="single" w:sz="8" w:space="0" w:color="auto"/>
              <w:right w:val="single" w:sz="8" w:space="0" w:color="auto"/>
            </w:tcBorders>
          </w:tcPr>
          <w:p w14:paraId="7FDB1991" w14:textId="60DDE925" w:rsidR="00C1757C" w:rsidRPr="00F349EA" w:rsidRDefault="006431D8" w:rsidP="00C96F36">
            <w:pPr>
              <w:rPr>
                <w:rFonts w:asciiTheme="majorHAnsi" w:eastAsia="Times New Roman" w:hAnsiTheme="majorHAnsi" w:cstheme="majorHAnsi"/>
                <w:color w:val="000000"/>
              </w:rPr>
            </w:pPr>
            <w:r w:rsidRPr="00F349EA">
              <w:rPr>
                <w:rFonts w:asciiTheme="majorHAnsi" w:hAnsiTheme="majorHAnsi" w:cstheme="majorHAnsi"/>
                <w:b/>
                <w:color w:val="000000"/>
              </w:rPr>
              <w:t>KR 3.2:</w:t>
            </w:r>
            <w:r w:rsidRPr="00F349EA">
              <w:rPr>
                <w:rFonts w:asciiTheme="majorHAnsi" w:hAnsiTheme="majorHAnsi" w:cstheme="majorHAnsi"/>
                <w:color w:val="000000"/>
              </w:rPr>
              <w:t xml:space="preserve"> Publish a revised </w:t>
            </w:r>
            <w:r w:rsidR="00072239">
              <w:rPr>
                <w:rFonts w:asciiTheme="majorHAnsi" w:hAnsiTheme="majorHAnsi" w:cstheme="majorHAnsi"/>
                <w:color w:val="000000"/>
              </w:rPr>
              <w:t>N</w:t>
            </w:r>
            <w:r w:rsidRPr="00F349EA">
              <w:rPr>
                <w:rFonts w:asciiTheme="majorHAnsi" w:hAnsiTheme="majorHAnsi" w:cstheme="majorHAnsi"/>
                <w:color w:val="000000"/>
              </w:rPr>
              <w:t xml:space="preserve">ational </w:t>
            </w:r>
            <w:r w:rsidR="00072239">
              <w:rPr>
                <w:rFonts w:asciiTheme="majorHAnsi" w:hAnsiTheme="majorHAnsi" w:cstheme="majorHAnsi"/>
                <w:color w:val="000000"/>
              </w:rPr>
              <w:t>F</w:t>
            </w:r>
            <w:r w:rsidRPr="00F349EA">
              <w:rPr>
                <w:rFonts w:asciiTheme="majorHAnsi" w:hAnsiTheme="majorHAnsi" w:cstheme="majorHAnsi"/>
                <w:color w:val="000000"/>
              </w:rPr>
              <w:t xml:space="preserve">lood </w:t>
            </w:r>
            <w:r w:rsidR="00072239">
              <w:rPr>
                <w:rFonts w:asciiTheme="majorHAnsi" w:hAnsiTheme="majorHAnsi" w:cstheme="majorHAnsi"/>
                <w:color w:val="000000"/>
              </w:rPr>
              <w:t>R</w:t>
            </w:r>
            <w:r w:rsidRPr="00F349EA">
              <w:rPr>
                <w:rFonts w:asciiTheme="majorHAnsi" w:hAnsiTheme="majorHAnsi" w:cstheme="majorHAnsi"/>
                <w:color w:val="000000"/>
              </w:rPr>
              <w:t xml:space="preserve">isk </w:t>
            </w:r>
            <w:r w:rsidR="00072239">
              <w:rPr>
                <w:rFonts w:asciiTheme="majorHAnsi" w:hAnsiTheme="majorHAnsi" w:cstheme="majorHAnsi"/>
                <w:color w:val="000000"/>
              </w:rPr>
              <w:t>A</w:t>
            </w:r>
            <w:r w:rsidRPr="00F349EA">
              <w:rPr>
                <w:rFonts w:asciiTheme="majorHAnsi" w:hAnsiTheme="majorHAnsi" w:cstheme="majorHAnsi"/>
                <w:color w:val="000000"/>
              </w:rPr>
              <w:t xml:space="preserve">ssessment for Scotland by 31 December 2025. </w:t>
            </w:r>
          </w:p>
        </w:tc>
        <w:tc>
          <w:tcPr>
            <w:tcW w:w="256" w:type="pct"/>
            <w:tcBorders>
              <w:top w:val="single" w:sz="8" w:space="0" w:color="auto"/>
              <w:left w:val="single" w:sz="8" w:space="0" w:color="auto"/>
              <w:bottom w:val="single" w:sz="8" w:space="0" w:color="auto"/>
              <w:right w:val="single" w:sz="8" w:space="0" w:color="auto"/>
            </w:tcBorders>
            <w:vAlign w:val="center"/>
          </w:tcPr>
          <w:p w14:paraId="1370BFB2" w14:textId="14B59DA0" w:rsidR="00C1757C" w:rsidRPr="00F349EA" w:rsidRDefault="0043736E" w:rsidP="00C96F36">
            <w:pPr>
              <w:jc w:val="center"/>
              <w:textAlignment w:val="baseline"/>
              <w:rPr>
                <w:rFonts w:asciiTheme="majorHAnsi" w:eastAsia="Times New Roman" w:hAnsiTheme="majorHAnsi" w:cstheme="majorHAnsi"/>
                <w:lang w:eastAsia="en-GB"/>
              </w:rPr>
            </w:pPr>
            <w:r w:rsidRPr="00F349EA">
              <w:rPr>
                <w:rFonts w:asciiTheme="majorHAnsi" w:hAnsiTheme="majorHAnsi" w:cstheme="majorHAnsi"/>
                <w:color w:val="000000"/>
              </w:rPr>
              <w:t>Q3</w:t>
            </w:r>
          </w:p>
        </w:tc>
        <w:tc>
          <w:tcPr>
            <w:tcW w:w="309" w:type="pct"/>
            <w:tcBorders>
              <w:top w:val="single" w:sz="8" w:space="0" w:color="auto"/>
              <w:left w:val="single" w:sz="8" w:space="0" w:color="auto"/>
              <w:bottom w:val="single" w:sz="8" w:space="0" w:color="auto"/>
              <w:right w:val="single" w:sz="8" w:space="0" w:color="auto"/>
            </w:tcBorders>
            <w:vAlign w:val="center"/>
          </w:tcPr>
          <w:p w14:paraId="6776D86B" w14:textId="4654383E" w:rsidR="00C1757C" w:rsidRPr="00F349EA" w:rsidRDefault="0043736E" w:rsidP="00C96F36">
            <w:pPr>
              <w:jc w:val="center"/>
              <w:textAlignment w:val="baseline"/>
              <w:rPr>
                <w:rFonts w:asciiTheme="majorHAnsi" w:eastAsia="Times New Roman" w:hAnsiTheme="majorHAnsi" w:cstheme="majorHAnsi"/>
                <w:lang w:eastAsia="en-GB"/>
              </w:rPr>
            </w:pPr>
            <w:r w:rsidRPr="00F349EA">
              <w:rPr>
                <w:rFonts w:asciiTheme="majorHAnsi" w:hAnsiTheme="majorHAnsi" w:cstheme="majorHAnsi"/>
                <w:color w:val="000000"/>
              </w:rPr>
              <w:t>N/A</w:t>
            </w:r>
          </w:p>
        </w:tc>
        <w:tc>
          <w:tcPr>
            <w:tcW w:w="309" w:type="pct"/>
            <w:tcBorders>
              <w:top w:val="single" w:sz="8" w:space="0" w:color="auto"/>
              <w:left w:val="single" w:sz="8" w:space="0" w:color="auto"/>
              <w:bottom w:val="single" w:sz="8" w:space="0" w:color="auto"/>
              <w:right w:val="single" w:sz="8" w:space="0" w:color="auto"/>
            </w:tcBorders>
            <w:vAlign w:val="center"/>
          </w:tcPr>
          <w:p w14:paraId="55596905" w14:textId="27C39863" w:rsidR="00C1757C" w:rsidRPr="00F349EA" w:rsidRDefault="009E2B05" w:rsidP="00C96F36">
            <w:pPr>
              <w:jc w:val="center"/>
              <w:textAlignment w:val="baseline"/>
              <w:rPr>
                <w:rFonts w:ascii="Arial" w:eastAsia="Times New Roman" w:hAnsi="Arial" w:cs="Arial"/>
                <w:szCs w:val="28"/>
                <w:lang w:eastAsia="en-GB"/>
              </w:rPr>
            </w:pPr>
            <w:r w:rsidRPr="00F349EA">
              <w:rPr>
                <w:rFonts w:asciiTheme="majorHAnsi" w:hAnsiTheme="majorHAnsi" w:cstheme="majorHAnsi"/>
                <w:color w:val="000000"/>
              </w:rPr>
              <w:t>N/A</w:t>
            </w:r>
          </w:p>
        </w:tc>
        <w:tc>
          <w:tcPr>
            <w:tcW w:w="309" w:type="pct"/>
            <w:tcBorders>
              <w:top w:val="single" w:sz="8" w:space="0" w:color="auto"/>
              <w:left w:val="single" w:sz="8" w:space="0" w:color="auto"/>
              <w:bottom w:val="single" w:sz="8" w:space="0" w:color="auto"/>
              <w:right w:val="single" w:sz="8" w:space="0" w:color="auto"/>
            </w:tcBorders>
            <w:vAlign w:val="center"/>
          </w:tcPr>
          <w:p w14:paraId="621ED116" w14:textId="77777777" w:rsidR="00C1757C" w:rsidRPr="00F349EA" w:rsidRDefault="00C1757C"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534824E3" w14:textId="77777777" w:rsidR="00C1757C" w:rsidRPr="00F349EA" w:rsidRDefault="00C1757C"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11BC07E3" w14:textId="57983200" w:rsidR="00C1757C" w:rsidRPr="00F349EA" w:rsidRDefault="00FA38BE" w:rsidP="00C96F36">
            <w:pPr>
              <w:jc w:val="center"/>
              <w:textAlignment w:val="baseline"/>
              <w:rPr>
                <w:b/>
                <w:bCs/>
              </w:rPr>
            </w:pPr>
            <w:r w:rsidRPr="00F349EA">
              <w:rPr>
                <w:noProof/>
              </w:rPr>
              <w:drawing>
                <wp:anchor distT="0" distB="0" distL="114300" distR="114300" simplePos="0" relativeHeight="251658250" behindDoc="0" locked="0" layoutInCell="1" allowOverlap="1" wp14:anchorId="04C30D49" wp14:editId="2F274E4C">
                  <wp:simplePos x="0" y="0"/>
                  <wp:positionH relativeFrom="column">
                    <wp:posOffset>28575</wp:posOffset>
                  </wp:positionH>
                  <wp:positionV relativeFrom="paragraph">
                    <wp:posOffset>74930</wp:posOffset>
                  </wp:positionV>
                  <wp:extent cx="473075" cy="481330"/>
                  <wp:effectExtent l="0" t="0" r="0" b="0"/>
                  <wp:wrapNone/>
                  <wp:docPr id="1549372367" name="Graphic 1" descr="Icon of a clock with solid fill. Represents where activity has not yet started or is not yet due for our OKR measure this quarter.">
                    <a:extLst xmlns:a="http://schemas.openxmlformats.org/drawingml/2006/main">
                      <a:ext uri="{FF2B5EF4-FFF2-40B4-BE49-F238E27FC236}">
                        <a16:creationId xmlns:a16="http://schemas.microsoft.com/office/drawing/2014/main" id="{F6195A3D-0A47-951A-680C-13B48190FE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Icon of a clock with solid fill. Represents where activity has not yet started or is not yet due for our OKR measure this quarter.">
                            <a:extLst>
                              <a:ext uri="{FF2B5EF4-FFF2-40B4-BE49-F238E27FC236}">
                                <a16:creationId xmlns:a16="http://schemas.microsoft.com/office/drawing/2014/main" id="{F6195A3D-0A47-951A-680C-13B48190FED4}"/>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0" y="0"/>
                            <a:ext cx="473075" cy="481330"/>
                          </a:xfrm>
                          <a:prstGeom prst="rect">
                            <a:avLst/>
                          </a:prstGeom>
                        </pic:spPr>
                      </pic:pic>
                    </a:graphicData>
                  </a:graphic>
                  <wp14:sizeRelH relativeFrom="margin">
                    <wp14:pctWidth>0</wp14:pctWidth>
                  </wp14:sizeRelH>
                  <wp14:sizeRelV relativeFrom="margin">
                    <wp14:pctHeight>0</wp14:pctHeight>
                  </wp14:sizeRelV>
                </wp:anchor>
              </w:drawing>
            </w:r>
          </w:p>
        </w:tc>
        <w:tc>
          <w:tcPr>
            <w:tcW w:w="1284" w:type="pct"/>
            <w:tcBorders>
              <w:top w:val="single" w:sz="8" w:space="0" w:color="auto"/>
              <w:left w:val="single" w:sz="8" w:space="0" w:color="auto"/>
              <w:bottom w:val="single" w:sz="8" w:space="0" w:color="auto"/>
              <w:right w:val="single" w:sz="8" w:space="0" w:color="auto"/>
            </w:tcBorders>
            <w:vAlign w:val="center"/>
          </w:tcPr>
          <w:p w14:paraId="724842C4" w14:textId="77777777" w:rsidR="00925756" w:rsidRPr="00F349EA" w:rsidRDefault="00925756" w:rsidP="00C96F36">
            <w:pPr>
              <w:textAlignment w:val="baseline"/>
              <w:rPr>
                <w:rFonts w:ascii="Arial" w:eastAsia="Times New Roman" w:hAnsi="Arial" w:cs="Arial"/>
                <w:lang w:eastAsia="en-GB"/>
              </w:rPr>
            </w:pPr>
            <w:r w:rsidRPr="00F349EA">
              <w:rPr>
                <w:rFonts w:ascii="Arial" w:eastAsia="Times New Roman" w:hAnsi="Arial" w:cs="Arial"/>
                <w:lang w:eastAsia="en-GB"/>
              </w:rPr>
              <w:t xml:space="preserve">On track for publication by 31 December 2025.  </w:t>
            </w:r>
          </w:p>
          <w:p w14:paraId="758746C2" w14:textId="7FDA3C4D" w:rsidR="00D17CFE" w:rsidRPr="00F349EA" w:rsidRDefault="00D17CFE" w:rsidP="00C96F36">
            <w:pPr>
              <w:textAlignment w:val="baseline"/>
              <w:rPr>
                <w:rFonts w:ascii="Arial" w:eastAsia="Times New Roman" w:hAnsi="Arial" w:cs="Arial"/>
                <w:b/>
                <w:bCs/>
                <w:lang w:eastAsia="en-GB"/>
              </w:rPr>
            </w:pPr>
            <w:r w:rsidRPr="00F349EA">
              <w:rPr>
                <w:rFonts w:ascii="Arial" w:eastAsia="Times New Roman" w:hAnsi="Arial" w:cs="Arial"/>
                <w:b/>
                <w:bCs/>
                <w:lang w:eastAsia="en-GB"/>
              </w:rPr>
              <w:t>Confidence in forecast: High</w:t>
            </w:r>
          </w:p>
        </w:tc>
        <w:tc>
          <w:tcPr>
            <w:tcW w:w="590" w:type="pct"/>
            <w:tcBorders>
              <w:top w:val="single" w:sz="8" w:space="0" w:color="auto"/>
              <w:left w:val="single" w:sz="8" w:space="0" w:color="auto"/>
              <w:bottom w:val="single" w:sz="8" w:space="0" w:color="auto"/>
              <w:right w:val="single" w:sz="8" w:space="0" w:color="auto"/>
            </w:tcBorders>
            <w:vAlign w:val="center"/>
          </w:tcPr>
          <w:p w14:paraId="61B282A0" w14:textId="20E2A4AE" w:rsidR="00C1757C" w:rsidRPr="00F349EA" w:rsidRDefault="0043736E" w:rsidP="00C96F36">
            <w:pPr>
              <w:jc w:val="center"/>
              <w:textAlignment w:val="baseline"/>
              <w:rPr>
                <w:rFonts w:ascii="Arial" w:eastAsia="Times New Roman" w:hAnsi="Arial" w:cs="Arial"/>
                <w:szCs w:val="28"/>
                <w:lang w:eastAsia="en-GB"/>
              </w:rPr>
            </w:pPr>
            <w:r w:rsidRPr="00F349EA">
              <w:rPr>
                <w:rFonts w:ascii="Arial" w:eastAsia="Times New Roman" w:hAnsi="Arial" w:cs="Arial"/>
                <w:lang w:eastAsia="en-GB"/>
              </w:rPr>
              <w:t>Delivered</w:t>
            </w:r>
          </w:p>
        </w:tc>
      </w:tr>
      <w:tr w:rsidR="00C1757C" w:rsidRPr="00F349EA" w14:paraId="6D76663F" w14:textId="77777777" w:rsidTr="00FD77E8">
        <w:trPr>
          <w:cantSplit/>
          <w:trHeight w:val="1474"/>
        </w:trPr>
        <w:tc>
          <w:tcPr>
            <w:tcW w:w="1293" w:type="pct"/>
            <w:tcBorders>
              <w:top w:val="single" w:sz="8" w:space="0" w:color="auto"/>
              <w:left w:val="single" w:sz="8" w:space="0" w:color="auto"/>
              <w:bottom w:val="single" w:sz="8" w:space="0" w:color="auto"/>
              <w:right w:val="single" w:sz="8" w:space="0" w:color="auto"/>
            </w:tcBorders>
            <w:vAlign w:val="center"/>
          </w:tcPr>
          <w:p w14:paraId="6EF7AC84" w14:textId="77C16DCD" w:rsidR="00C1757C" w:rsidRPr="00F349EA" w:rsidRDefault="006431D8" w:rsidP="00C96F36">
            <w:pPr>
              <w:jc w:val="both"/>
              <w:rPr>
                <w:rFonts w:asciiTheme="majorHAnsi" w:eastAsia="Times New Roman" w:hAnsiTheme="majorHAnsi" w:cstheme="majorHAnsi"/>
                <w:color w:val="000000"/>
              </w:rPr>
            </w:pPr>
            <w:r w:rsidRPr="00F349EA">
              <w:rPr>
                <w:rFonts w:asciiTheme="majorHAnsi" w:hAnsiTheme="majorHAnsi" w:cstheme="majorHAnsi"/>
                <w:b/>
                <w:color w:val="000000"/>
              </w:rPr>
              <w:lastRenderedPageBreak/>
              <w:t>KR 3.3:</w:t>
            </w:r>
            <w:r w:rsidRPr="00F349EA">
              <w:rPr>
                <w:rFonts w:asciiTheme="majorHAnsi" w:hAnsiTheme="majorHAnsi" w:cstheme="majorHAnsi"/>
                <w:color w:val="000000"/>
              </w:rPr>
              <w:t xml:space="preserve"> Engage five national utility infrastructure owners to increase awareness of the potential wider impacts of flooding.</w:t>
            </w:r>
          </w:p>
        </w:tc>
        <w:tc>
          <w:tcPr>
            <w:tcW w:w="256" w:type="pct"/>
            <w:tcBorders>
              <w:top w:val="single" w:sz="8" w:space="0" w:color="auto"/>
              <w:left w:val="single" w:sz="8" w:space="0" w:color="auto"/>
              <w:bottom w:val="single" w:sz="8" w:space="0" w:color="auto"/>
              <w:right w:val="single" w:sz="8" w:space="0" w:color="auto"/>
            </w:tcBorders>
            <w:vAlign w:val="center"/>
          </w:tcPr>
          <w:p w14:paraId="2EA23E2A" w14:textId="3E48FDA6" w:rsidR="00C1757C" w:rsidRPr="00F349EA" w:rsidRDefault="0043736E" w:rsidP="00C96F36">
            <w:pPr>
              <w:jc w:val="center"/>
              <w:textAlignment w:val="baseline"/>
              <w:rPr>
                <w:rFonts w:asciiTheme="majorHAnsi" w:eastAsia="Times New Roman" w:hAnsiTheme="majorHAnsi" w:cstheme="majorHAnsi"/>
                <w:lang w:eastAsia="en-GB"/>
              </w:rPr>
            </w:pPr>
            <w:r w:rsidRPr="00F349EA">
              <w:rPr>
                <w:rFonts w:asciiTheme="majorHAnsi" w:hAnsiTheme="majorHAnsi" w:cstheme="majorHAnsi"/>
                <w:color w:val="000000"/>
              </w:rPr>
              <w:t>Q4</w:t>
            </w:r>
          </w:p>
        </w:tc>
        <w:tc>
          <w:tcPr>
            <w:tcW w:w="309" w:type="pct"/>
            <w:tcBorders>
              <w:top w:val="single" w:sz="8" w:space="0" w:color="auto"/>
              <w:left w:val="single" w:sz="8" w:space="0" w:color="auto"/>
              <w:bottom w:val="single" w:sz="8" w:space="0" w:color="auto"/>
              <w:right w:val="single" w:sz="8" w:space="0" w:color="auto"/>
            </w:tcBorders>
            <w:vAlign w:val="center"/>
          </w:tcPr>
          <w:p w14:paraId="21378EA0" w14:textId="0E21A838" w:rsidR="00C1757C" w:rsidRPr="00F349EA" w:rsidRDefault="0043736E" w:rsidP="00C96F36">
            <w:pPr>
              <w:jc w:val="center"/>
              <w:textAlignment w:val="baseline"/>
              <w:rPr>
                <w:rFonts w:asciiTheme="majorHAnsi" w:eastAsia="Times New Roman" w:hAnsiTheme="majorHAnsi" w:cstheme="majorHAnsi"/>
                <w:lang w:eastAsia="en-GB"/>
              </w:rPr>
            </w:pPr>
            <w:r w:rsidRPr="00F349EA">
              <w:rPr>
                <w:rFonts w:asciiTheme="majorHAnsi" w:hAnsiTheme="majorHAnsi" w:cstheme="majorHAnsi"/>
                <w:color w:val="000000"/>
              </w:rPr>
              <w:t>N/A</w:t>
            </w:r>
          </w:p>
        </w:tc>
        <w:tc>
          <w:tcPr>
            <w:tcW w:w="309" w:type="pct"/>
            <w:tcBorders>
              <w:top w:val="single" w:sz="8" w:space="0" w:color="auto"/>
              <w:left w:val="single" w:sz="8" w:space="0" w:color="auto"/>
              <w:bottom w:val="single" w:sz="8" w:space="0" w:color="auto"/>
              <w:right w:val="single" w:sz="8" w:space="0" w:color="auto"/>
            </w:tcBorders>
            <w:vAlign w:val="center"/>
          </w:tcPr>
          <w:p w14:paraId="6B6760E5" w14:textId="13F989CF" w:rsidR="00C1757C" w:rsidRPr="00F349EA" w:rsidRDefault="009E2B05" w:rsidP="00C96F36">
            <w:pPr>
              <w:jc w:val="center"/>
              <w:textAlignment w:val="baseline"/>
              <w:rPr>
                <w:rFonts w:ascii="Arial" w:eastAsia="Times New Roman" w:hAnsi="Arial" w:cs="Arial"/>
                <w:szCs w:val="28"/>
                <w:lang w:eastAsia="en-GB"/>
              </w:rPr>
            </w:pPr>
            <w:r w:rsidRPr="00F349EA">
              <w:rPr>
                <w:rFonts w:asciiTheme="majorHAnsi" w:hAnsiTheme="majorHAnsi" w:cstheme="majorHAnsi"/>
                <w:color w:val="000000"/>
              </w:rPr>
              <w:t>N/A</w:t>
            </w:r>
          </w:p>
        </w:tc>
        <w:tc>
          <w:tcPr>
            <w:tcW w:w="309" w:type="pct"/>
            <w:tcBorders>
              <w:top w:val="single" w:sz="8" w:space="0" w:color="auto"/>
              <w:left w:val="single" w:sz="8" w:space="0" w:color="auto"/>
              <w:bottom w:val="single" w:sz="8" w:space="0" w:color="auto"/>
              <w:right w:val="single" w:sz="8" w:space="0" w:color="auto"/>
            </w:tcBorders>
            <w:vAlign w:val="center"/>
          </w:tcPr>
          <w:p w14:paraId="77FD2A0C" w14:textId="77777777" w:rsidR="00C1757C" w:rsidRPr="00F349EA" w:rsidRDefault="00C1757C"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46430E1D" w14:textId="77777777" w:rsidR="00C1757C" w:rsidRPr="00F349EA" w:rsidRDefault="00C1757C"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15813CD7" w14:textId="60B2B66B" w:rsidR="00C1757C" w:rsidRPr="00F349EA" w:rsidRDefault="00FA38BE" w:rsidP="00C96F36">
            <w:pPr>
              <w:jc w:val="center"/>
              <w:textAlignment w:val="baseline"/>
              <w:rPr>
                <w:b/>
                <w:bCs/>
              </w:rPr>
            </w:pPr>
            <w:r w:rsidRPr="00F349EA">
              <w:rPr>
                <w:noProof/>
              </w:rPr>
              <w:drawing>
                <wp:anchor distT="0" distB="0" distL="114300" distR="114300" simplePos="0" relativeHeight="251658251" behindDoc="0" locked="0" layoutInCell="1" allowOverlap="1" wp14:anchorId="430D23A0" wp14:editId="30E2C512">
                  <wp:simplePos x="0" y="0"/>
                  <wp:positionH relativeFrom="column">
                    <wp:posOffset>22225</wp:posOffset>
                  </wp:positionH>
                  <wp:positionV relativeFrom="paragraph">
                    <wp:posOffset>-74930</wp:posOffset>
                  </wp:positionV>
                  <wp:extent cx="473075" cy="481330"/>
                  <wp:effectExtent l="0" t="0" r="0" b="0"/>
                  <wp:wrapNone/>
                  <wp:docPr id="1592552378" name="Graphic 1" descr="Icon of a clock with solid fill. Represents where activity has not yet started or is not yet due for our OKR measure this quarter.">
                    <a:extLst xmlns:a="http://schemas.openxmlformats.org/drawingml/2006/main">
                      <a:ext uri="{FF2B5EF4-FFF2-40B4-BE49-F238E27FC236}">
                        <a16:creationId xmlns:a16="http://schemas.microsoft.com/office/drawing/2014/main" id="{F6195A3D-0A47-951A-680C-13B48190FE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Icon of a clock with solid fill. Represents where activity has not yet started or is not yet due for our OKR measure this quarter.">
                            <a:extLst>
                              <a:ext uri="{FF2B5EF4-FFF2-40B4-BE49-F238E27FC236}">
                                <a16:creationId xmlns:a16="http://schemas.microsoft.com/office/drawing/2014/main" id="{F6195A3D-0A47-951A-680C-13B48190FED4}"/>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0" y="0"/>
                            <a:ext cx="473075" cy="481330"/>
                          </a:xfrm>
                          <a:prstGeom prst="rect">
                            <a:avLst/>
                          </a:prstGeom>
                        </pic:spPr>
                      </pic:pic>
                    </a:graphicData>
                  </a:graphic>
                  <wp14:sizeRelH relativeFrom="margin">
                    <wp14:pctWidth>0</wp14:pctWidth>
                  </wp14:sizeRelH>
                  <wp14:sizeRelV relativeFrom="margin">
                    <wp14:pctHeight>0</wp14:pctHeight>
                  </wp14:sizeRelV>
                </wp:anchor>
              </w:drawing>
            </w:r>
          </w:p>
        </w:tc>
        <w:tc>
          <w:tcPr>
            <w:tcW w:w="1284" w:type="pct"/>
            <w:tcBorders>
              <w:top w:val="single" w:sz="8" w:space="0" w:color="auto"/>
              <w:left w:val="single" w:sz="8" w:space="0" w:color="auto"/>
              <w:bottom w:val="single" w:sz="8" w:space="0" w:color="auto"/>
              <w:right w:val="single" w:sz="8" w:space="0" w:color="auto"/>
            </w:tcBorders>
            <w:vAlign w:val="center"/>
          </w:tcPr>
          <w:p w14:paraId="75CD3251" w14:textId="3C462268" w:rsidR="00DC2357" w:rsidRPr="00F349EA" w:rsidRDefault="00EE7D6D" w:rsidP="00C96F36">
            <w:pPr>
              <w:textAlignment w:val="baseline"/>
              <w:rPr>
                <w:rFonts w:ascii="Arial" w:eastAsia="Times New Roman" w:hAnsi="Arial" w:cs="Arial"/>
                <w:lang w:eastAsia="en-GB"/>
              </w:rPr>
            </w:pPr>
            <w:r w:rsidRPr="00F349EA">
              <w:rPr>
                <w:rFonts w:ascii="Arial" w:eastAsia="Times New Roman" w:hAnsi="Arial" w:cs="Arial"/>
                <w:lang w:eastAsia="en-GB"/>
              </w:rPr>
              <w:t>Key result is dependent on delivery of KR3.2</w:t>
            </w:r>
            <w:r w:rsidR="00072239">
              <w:rPr>
                <w:rFonts w:ascii="Arial" w:eastAsia="Times New Roman" w:hAnsi="Arial" w:cs="Arial"/>
                <w:lang w:eastAsia="en-GB"/>
              </w:rPr>
              <w:t>,</w:t>
            </w:r>
            <w:r w:rsidRPr="00F349EA">
              <w:rPr>
                <w:rFonts w:ascii="Arial" w:eastAsia="Times New Roman" w:hAnsi="Arial" w:cs="Arial"/>
                <w:lang w:eastAsia="en-GB"/>
              </w:rPr>
              <w:t xml:space="preserve"> so will be progressed in Q</w:t>
            </w:r>
            <w:r w:rsidR="002D1B4A" w:rsidRPr="00F349EA">
              <w:rPr>
                <w:rFonts w:ascii="Arial" w:eastAsia="Times New Roman" w:hAnsi="Arial" w:cs="Arial"/>
                <w:lang w:eastAsia="en-GB"/>
              </w:rPr>
              <w:t>4</w:t>
            </w:r>
            <w:r w:rsidRPr="00F349EA">
              <w:rPr>
                <w:rFonts w:ascii="Arial" w:eastAsia="Times New Roman" w:hAnsi="Arial" w:cs="Arial"/>
                <w:lang w:eastAsia="en-GB"/>
              </w:rPr>
              <w:t xml:space="preserve"> onwards</w:t>
            </w:r>
            <w:r w:rsidR="008A0044" w:rsidRPr="00F349EA">
              <w:rPr>
                <w:rFonts w:ascii="Arial" w:eastAsia="Times New Roman" w:hAnsi="Arial" w:cs="Arial"/>
                <w:lang w:eastAsia="en-GB"/>
              </w:rPr>
              <w:t xml:space="preserve">, </w:t>
            </w:r>
            <w:r w:rsidR="00FF4D50" w:rsidRPr="00F349EA">
              <w:rPr>
                <w:rFonts w:ascii="Arial" w:eastAsia="Times New Roman" w:hAnsi="Arial" w:cs="Arial"/>
                <w:lang w:eastAsia="en-GB"/>
              </w:rPr>
              <w:t>subject to availability of stakeholders.</w:t>
            </w:r>
          </w:p>
          <w:p w14:paraId="1A07B077" w14:textId="23F3D9AD" w:rsidR="003E5A24" w:rsidRPr="00F349EA" w:rsidRDefault="003E5A24" w:rsidP="00C96F36">
            <w:pPr>
              <w:textAlignment w:val="baseline"/>
              <w:rPr>
                <w:rFonts w:ascii="Arial" w:eastAsia="Times New Roman" w:hAnsi="Arial" w:cs="Arial"/>
                <w:b/>
                <w:bCs/>
                <w:lang w:eastAsia="en-GB"/>
              </w:rPr>
            </w:pPr>
            <w:r w:rsidRPr="00F349EA">
              <w:rPr>
                <w:rFonts w:ascii="Arial" w:eastAsia="Times New Roman" w:hAnsi="Arial" w:cs="Arial"/>
                <w:b/>
                <w:bCs/>
                <w:lang w:eastAsia="en-GB"/>
              </w:rPr>
              <w:t xml:space="preserve">Confidence in forecast: Moderate </w:t>
            </w:r>
          </w:p>
        </w:tc>
        <w:tc>
          <w:tcPr>
            <w:tcW w:w="590" w:type="pct"/>
            <w:tcBorders>
              <w:top w:val="single" w:sz="8" w:space="0" w:color="auto"/>
              <w:left w:val="single" w:sz="8" w:space="0" w:color="auto"/>
              <w:bottom w:val="single" w:sz="8" w:space="0" w:color="auto"/>
              <w:right w:val="single" w:sz="8" w:space="0" w:color="auto"/>
            </w:tcBorders>
            <w:vAlign w:val="center"/>
          </w:tcPr>
          <w:p w14:paraId="34098D16" w14:textId="31D467E0" w:rsidR="00C1757C" w:rsidRPr="00F349EA" w:rsidRDefault="0043736E" w:rsidP="00C96F36">
            <w:pPr>
              <w:jc w:val="center"/>
              <w:textAlignment w:val="baseline"/>
              <w:rPr>
                <w:rFonts w:ascii="Arial" w:eastAsia="Times New Roman" w:hAnsi="Arial" w:cs="Arial"/>
                <w:szCs w:val="28"/>
                <w:lang w:eastAsia="en-GB"/>
              </w:rPr>
            </w:pPr>
            <w:r w:rsidRPr="00F349EA">
              <w:rPr>
                <w:rFonts w:ascii="Arial" w:eastAsia="Times New Roman" w:hAnsi="Arial" w:cs="Arial"/>
                <w:lang w:eastAsia="en-GB"/>
              </w:rPr>
              <w:t>Delivered</w:t>
            </w:r>
          </w:p>
        </w:tc>
      </w:tr>
      <w:tr w:rsidR="006431D8" w:rsidRPr="00F349EA" w14:paraId="04DD565C" w14:textId="77777777" w:rsidTr="00FD77E8">
        <w:trPr>
          <w:cantSplit/>
          <w:trHeight w:val="16"/>
        </w:trPr>
        <w:tc>
          <w:tcPr>
            <w:tcW w:w="1293" w:type="pct"/>
            <w:tcBorders>
              <w:top w:val="single" w:sz="8" w:space="0" w:color="auto"/>
              <w:left w:val="single" w:sz="8" w:space="0" w:color="auto"/>
              <w:bottom w:val="single" w:sz="8" w:space="0" w:color="auto"/>
              <w:right w:val="single" w:sz="8" w:space="0" w:color="auto"/>
            </w:tcBorders>
            <w:vAlign w:val="center"/>
          </w:tcPr>
          <w:p w14:paraId="0B2D79FA" w14:textId="035CE28B" w:rsidR="006431D8" w:rsidRPr="00F349EA" w:rsidRDefault="00B32B51" w:rsidP="00C96F36">
            <w:pPr>
              <w:rPr>
                <w:rFonts w:asciiTheme="majorHAnsi" w:eastAsia="Times New Roman" w:hAnsiTheme="majorHAnsi" w:cstheme="majorHAnsi"/>
                <w:color w:val="000000"/>
              </w:rPr>
            </w:pPr>
            <w:r w:rsidRPr="00F349EA">
              <w:rPr>
                <w:rFonts w:asciiTheme="majorHAnsi" w:hAnsiTheme="majorHAnsi" w:cstheme="majorHAnsi"/>
                <w:b/>
                <w:color w:val="000000"/>
              </w:rPr>
              <w:t>KR 3.4:</w:t>
            </w:r>
            <w:r w:rsidRPr="00F349EA">
              <w:rPr>
                <w:rFonts w:asciiTheme="majorHAnsi" w:hAnsiTheme="majorHAnsi" w:cstheme="majorHAnsi"/>
                <w:color w:val="000000"/>
              </w:rPr>
              <w:t xml:space="preserve"> All irrigation licences varied to include a time limited water scarcity condition. </w:t>
            </w:r>
          </w:p>
        </w:tc>
        <w:tc>
          <w:tcPr>
            <w:tcW w:w="256" w:type="pct"/>
            <w:tcBorders>
              <w:top w:val="single" w:sz="8" w:space="0" w:color="auto"/>
              <w:left w:val="single" w:sz="8" w:space="0" w:color="auto"/>
              <w:bottom w:val="single" w:sz="8" w:space="0" w:color="auto"/>
              <w:right w:val="single" w:sz="8" w:space="0" w:color="auto"/>
            </w:tcBorders>
            <w:vAlign w:val="center"/>
          </w:tcPr>
          <w:p w14:paraId="6AAD13C1" w14:textId="1137A22C" w:rsidR="006431D8" w:rsidRPr="00F349EA" w:rsidRDefault="0043736E" w:rsidP="00C96F36">
            <w:pPr>
              <w:jc w:val="center"/>
              <w:textAlignment w:val="baseline"/>
              <w:rPr>
                <w:rFonts w:asciiTheme="majorHAnsi" w:eastAsia="Times New Roman" w:hAnsiTheme="majorHAnsi" w:cstheme="majorHAnsi"/>
                <w:lang w:eastAsia="en-GB"/>
              </w:rPr>
            </w:pPr>
            <w:r w:rsidRPr="00F349EA">
              <w:rPr>
                <w:rFonts w:asciiTheme="majorHAnsi" w:hAnsiTheme="majorHAnsi" w:cstheme="majorHAnsi"/>
                <w:color w:val="000000"/>
              </w:rPr>
              <w:t>Q4</w:t>
            </w:r>
          </w:p>
        </w:tc>
        <w:tc>
          <w:tcPr>
            <w:tcW w:w="309" w:type="pct"/>
            <w:tcBorders>
              <w:top w:val="single" w:sz="8" w:space="0" w:color="auto"/>
              <w:left w:val="single" w:sz="8" w:space="0" w:color="auto"/>
              <w:bottom w:val="single" w:sz="8" w:space="0" w:color="auto"/>
              <w:right w:val="single" w:sz="8" w:space="0" w:color="auto"/>
            </w:tcBorders>
            <w:vAlign w:val="center"/>
          </w:tcPr>
          <w:p w14:paraId="0CDBCC33" w14:textId="15D4F909" w:rsidR="006431D8" w:rsidRPr="00F349EA" w:rsidRDefault="0043736E" w:rsidP="00C96F36">
            <w:pPr>
              <w:jc w:val="center"/>
              <w:textAlignment w:val="baseline"/>
              <w:rPr>
                <w:rFonts w:asciiTheme="majorHAnsi" w:eastAsia="Times New Roman" w:hAnsiTheme="majorHAnsi" w:cstheme="majorHAnsi"/>
                <w:lang w:eastAsia="en-GB"/>
              </w:rPr>
            </w:pPr>
            <w:r w:rsidRPr="00F349EA">
              <w:rPr>
                <w:rFonts w:asciiTheme="majorHAnsi" w:hAnsiTheme="majorHAnsi" w:cstheme="majorHAnsi"/>
                <w:color w:val="000000"/>
              </w:rPr>
              <w:t>N/A</w:t>
            </w:r>
          </w:p>
        </w:tc>
        <w:tc>
          <w:tcPr>
            <w:tcW w:w="309" w:type="pct"/>
            <w:tcBorders>
              <w:top w:val="single" w:sz="8" w:space="0" w:color="auto"/>
              <w:left w:val="single" w:sz="8" w:space="0" w:color="auto"/>
              <w:bottom w:val="single" w:sz="8" w:space="0" w:color="auto"/>
              <w:right w:val="single" w:sz="8" w:space="0" w:color="auto"/>
            </w:tcBorders>
            <w:vAlign w:val="center"/>
          </w:tcPr>
          <w:p w14:paraId="67358862" w14:textId="19F98A09" w:rsidR="006431D8" w:rsidRPr="00F349EA" w:rsidRDefault="009E2B05" w:rsidP="00C96F36">
            <w:pPr>
              <w:jc w:val="center"/>
              <w:textAlignment w:val="baseline"/>
              <w:rPr>
                <w:rFonts w:ascii="Arial" w:eastAsia="Times New Roman" w:hAnsi="Arial" w:cs="Arial"/>
                <w:szCs w:val="28"/>
                <w:lang w:eastAsia="en-GB"/>
              </w:rPr>
            </w:pPr>
            <w:r w:rsidRPr="00F349EA">
              <w:rPr>
                <w:rFonts w:asciiTheme="majorHAnsi" w:hAnsiTheme="majorHAnsi" w:cstheme="majorHAnsi"/>
                <w:color w:val="000000"/>
              </w:rPr>
              <w:t>N/A</w:t>
            </w:r>
          </w:p>
        </w:tc>
        <w:tc>
          <w:tcPr>
            <w:tcW w:w="309" w:type="pct"/>
            <w:tcBorders>
              <w:top w:val="single" w:sz="8" w:space="0" w:color="auto"/>
              <w:left w:val="single" w:sz="8" w:space="0" w:color="auto"/>
              <w:bottom w:val="single" w:sz="8" w:space="0" w:color="auto"/>
              <w:right w:val="single" w:sz="8" w:space="0" w:color="auto"/>
            </w:tcBorders>
            <w:vAlign w:val="center"/>
          </w:tcPr>
          <w:p w14:paraId="0BBDF8DD" w14:textId="0E9EF82C" w:rsidR="006431D8" w:rsidRPr="00F349EA" w:rsidRDefault="0043736E"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1200E0EC" w14:textId="03A355E7" w:rsidR="006431D8" w:rsidRPr="00F349EA" w:rsidRDefault="0043736E"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46C17EC6" w14:textId="142A7CC0" w:rsidR="006431D8" w:rsidRPr="00F349EA" w:rsidRDefault="00FA38BE" w:rsidP="00C96F36">
            <w:pPr>
              <w:jc w:val="center"/>
              <w:textAlignment w:val="baseline"/>
              <w:rPr>
                <w:b/>
                <w:bCs/>
              </w:rPr>
            </w:pPr>
            <w:r w:rsidRPr="00F349EA">
              <w:rPr>
                <w:noProof/>
              </w:rPr>
              <w:drawing>
                <wp:anchor distT="0" distB="0" distL="114300" distR="114300" simplePos="0" relativeHeight="251658252" behindDoc="0" locked="0" layoutInCell="1" allowOverlap="1" wp14:anchorId="3D008B72" wp14:editId="40C7154C">
                  <wp:simplePos x="0" y="0"/>
                  <wp:positionH relativeFrom="column">
                    <wp:posOffset>39370</wp:posOffset>
                  </wp:positionH>
                  <wp:positionV relativeFrom="paragraph">
                    <wp:posOffset>4445</wp:posOffset>
                  </wp:positionV>
                  <wp:extent cx="473075" cy="481330"/>
                  <wp:effectExtent l="0" t="0" r="0" b="0"/>
                  <wp:wrapNone/>
                  <wp:docPr id="741643887" name="Graphic 1" descr="Icon of a clock with solid fill. Represents where activity has not yet started or is not yet due for our OKR measure this quarter.">
                    <a:extLst xmlns:a="http://schemas.openxmlformats.org/drawingml/2006/main">
                      <a:ext uri="{FF2B5EF4-FFF2-40B4-BE49-F238E27FC236}">
                        <a16:creationId xmlns:a16="http://schemas.microsoft.com/office/drawing/2014/main" id="{F6195A3D-0A47-951A-680C-13B48190FE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Icon of a clock with solid fill. Represents where activity has not yet started or is not yet due for our OKR measure this quarter.">
                            <a:extLst>
                              <a:ext uri="{FF2B5EF4-FFF2-40B4-BE49-F238E27FC236}">
                                <a16:creationId xmlns:a16="http://schemas.microsoft.com/office/drawing/2014/main" id="{F6195A3D-0A47-951A-680C-13B48190FED4}"/>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0" y="0"/>
                            <a:ext cx="473075" cy="481330"/>
                          </a:xfrm>
                          <a:prstGeom prst="rect">
                            <a:avLst/>
                          </a:prstGeom>
                        </pic:spPr>
                      </pic:pic>
                    </a:graphicData>
                  </a:graphic>
                  <wp14:sizeRelH relativeFrom="margin">
                    <wp14:pctWidth>0</wp14:pctWidth>
                  </wp14:sizeRelH>
                  <wp14:sizeRelV relativeFrom="margin">
                    <wp14:pctHeight>0</wp14:pctHeight>
                  </wp14:sizeRelV>
                </wp:anchor>
              </w:drawing>
            </w:r>
          </w:p>
        </w:tc>
        <w:tc>
          <w:tcPr>
            <w:tcW w:w="1284" w:type="pct"/>
            <w:tcBorders>
              <w:top w:val="single" w:sz="8" w:space="0" w:color="auto"/>
              <w:left w:val="single" w:sz="8" w:space="0" w:color="auto"/>
              <w:bottom w:val="single" w:sz="8" w:space="0" w:color="auto"/>
              <w:right w:val="single" w:sz="8" w:space="0" w:color="auto"/>
            </w:tcBorders>
            <w:vAlign w:val="center"/>
          </w:tcPr>
          <w:p w14:paraId="48B25C85" w14:textId="77777777" w:rsidR="00621453" w:rsidRPr="00F349EA" w:rsidRDefault="00D824FB" w:rsidP="00C96F36">
            <w:pPr>
              <w:textAlignment w:val="baseline"/>
              <w:rPr>
                <w:rFonts w:ascii="Arial" w:eastAsia="Times New Roman" w:hAnsi="Arial" w:cs="Arial"/>
                <w:lang w:eastAsia="en-GB"/>
              </w:rPr>
            </w:pPr>
            <w:r w:rsidRPr="00F349EA">
              <w:rPr>
                <w:rFonts w:ascii="Arial" w:eastAsia="Times New Roman" w:hAnsi="Arial" w:cs="Arial"/>
                <w:lang w:eastAsia="en-GB"/>
              </w:rPr>
              <w:t xml:space="preserve">On track. Currently contacting all licence holders and have a project plan in place to deliver on schedule. </w:t>
            </w:r>
          </w:p>
          <w:p w14:paraId="08293EE3" w14:textId="7D9438F3" w:rsidR="006431D8" w:rsidRPr="00F349EA" w:rsidRDefault="00621453" w:rsidP="00C96F36">
            <w:pPr>
              <w:textAlignment w:val="baseline"/>
              <w:rPr>
                <w:rFonts w:ascii="Arial" w:eastAsia="Times New Roman" w:hAnsi="Arial" w:cs="Arial"/>
                <w:b/>
                <w:bCs/>
                <w:lang w:eastAsia="en-GB"/>
              </w:rPr>
            </w:pPr>
            <w:r w:rsidRPr="00F349EA">
              <w:rPr>
                <w:rFonts w:ascii="Arial" w:eastAsia="Times New Roman" w:hAnsi="Arial" w:cs="Arial"/>
                <w:b/>
                <w:bCs/>
                <w:lang w:eastAsia="en-GB"/>
              </w:rPr>
              <w:t>Confidence in forecast: High</w:t>
            </w:r>
            <w:r w:rsidR="00D824FB" w:rsidRPr="00F349EA">
              <w:rPr>
                <w:rFonts w:ascii="Arial" w:eastAsia="Times New Roman" w:hAnsi="Arial" w:cs="Arial"/>
                <w:b/>
                <w:bCs/>
                <w:lang w:eastAsia="en-GB"/>
              </w:rPr>
              <w:t xml:space="preserve"> </w:t>
            </w:r>
          </w:p>
        </w:tc>
        <w:tc>
          <w:tcPr>
            <w:tcW w:w="590" w:type="pct"/>
            <w:tcBorders>
              <w:top w:val="single" w:sz="8" w:space="0" w:color="auto"/>
              <w:left w:val="single" w:sz="8" w:space="0" w:color="auto"/>
              <w:bottom w:val="single" w:sz="8" w:space="0" w:color="auto"/>
              <w:right w:val="single" w:sz="8" w:space="0" w:color="auto"/>
            </w:tcBorders>
            <w:vAlign w:val="center"/>
          </w:tcPr>
          <w:p w14:paraId="315E2C7C" w14:textId="3CA1CCD9" w:rsidR="006431D8" w:rsidRPr="00F349EA" w:rsidRDefault="0043736E" w:rsidP="00C96F36">
            <w:pPr>
              <w:jc w:val="center"/>
              <w:textAlignment w:val="baseline"/>
              <w:rPr>
                <w:rFonts w:ascii="Arial" w:eastAsia="Times New Roman" w:hAnsi="Arial" w:cs="Arial"/>
                <w:szCs w:val="28"/>
                <w:lang w:eastAsia="en-GB"/>
              </w:rPr>
            </w:pPr>
            <w:r w:rsidRPr="00F349EA">
              <w:rPr>
                <w:rFonts w:ascii="Arial" w:eastAsia="Times New Roman" w:hAnsi="Arial" w:cs="Arial"/>
                <w:lang w:eastAsia="en-GB"/>
              </w:rPr>
              <w:t>Delivered</w:t>
            </w:r>
          </w:p>
        </w:tc>
      </w:tr>
    </w:tbl>
    <w:p w14:paraId="2E7E07A3" w14:textId="4E535411" w:rsidR="004C0023" w:rsidRPr="00F349EA" w:rsidRDefault="004C0023" w:rsidP="00C96F36">
      <w:pPr>
        <w:spacing w:before="240"/>
        <w:rPr>
          <w:sz w:val="28"/>
          <w:szCs w:val="28"/>
        </w:rPr>
      </w:pPr>
      <w:r w:rsidRPr="00F349EA">
        <w:rPr>
          <w:b/>
          <w:sz w:val="28"/>
          <w:szCs w:val="28"/>
        </w:rPr>
        <w:t>Overall objective score</w:t>
      </w:r>
      <w:r w:rsidRPr="00F349EA">
        <w:rPr>
          <w:sz w:val="28"/>
          <w:szCs w:val="28"/>
        </w:rPr>
        <w:t xml:space="preserve"> =</w:t>
      </w:r>
      <w:r w:rsidRPr="00F349EA">
        <w:rPr>
          <w:color w:val="016574"/>
          <w:sz w:val="28"/>
          <w:szCs w:val="28"/>
        </w:rPr>
        <w:t xml:space="preserve"> </w:t>
      </w:r>
      <w:r w:rsidR="00A647A7" w:rsidRPr="00F349EA">
        <w:rPr>
          <w:sz w:val="28"/>
          <w:szCs w:val="28"/>
        </w:rPr>
        <w:t>0.</w:t>
      </w:r>
      <w:r w:rsidR="009E2B05" w:rsidRPr="00F349EA">
        <w:rPr>
          <w:sz w:val="28"/>
          <w:szCs w:val="28"/>
        </w:rPr>
        <w:t>9</w:t>
      </w:r>
      <w:r w:rsidR="00B204EA" w:rsidRPr="00F349EA">
        <w:rPr>
          <w:sz w:val="28"/>
          <w:szCs w:val="28"/>
        </w:rPr>
        <w:t>0</w:t>
      </w:r>
    </w:p>
    <w:p w14:paraId="4AAA970F" w14:textId="612DDD7F" w:rsidR="00A7284A" w:rsidRPr="00F349EA" w:rsidRDefault="004C0023" w:rsidP="008756F7">
      <w:pPr>
        <w:pStyle w:val="Heading3"/>
        <w:spacing w:before="120" w:after="120"/>
        <w:rPr>
          <w:color w:val="016574"/>
          <w:sz w:val="32"/>
          <w:szCs w:val="28"/>
        </w:rPr>
      </w:pPr>
      <w:r w:rsidRPr="00F349EA">
        <w:rPr>
          <w:color w:val="016574"/>
          <w:sz w:val="32"/>
          <w:szCs w:val="28"/>
        </w:rPr>
        <w:lastRenderedPageBreak/>
        <w:t xml:space="preserve">CR OKR4: </w:t>
      </w:r>
      <w:r w:rsidR="00A7284A" w:rsidRPr="00F349EA">
        <w:rPr>
          <w:color w:val="016574"/>
          <w:sz w:val="32"/>
          <w:szCs w:val="28"/>
        </w:rPr>
        <w:t>Ensure effective and resilient flood services which are designed to meet future requirements.</w:t>
      </w:r>
    </w:p>
    <w:p w14:paraId="65A3DF75" w14:textId="6C868082" w:rsidR="00D31C3F" w:rsidRPr="00F349EA" w:rsidRDefault="008C340B" w:rsidP="004C0023">
      <w:pPr>
        <w:spacing w:before="240" w:after="120"/>
      </w:pPr>
      <w:r w:rsidRPr="00F349EA">
        <w:rPr>
          <w:noProof/>
        </w:rPr>
        <w:drawing>
          <wp:inline distT="0" distB="0" distL="0" distR="0" wp14:anchorId="225805E6" wp14:editId="250D45CC">
            <wp:extent cx="9485906" cy="2762250"/>
            <wp:effectExtent l="0" t="0" r="1270" b="0"/>
            <wp:docPr id="612609260" name="Chart 1" descr="This is a bar graph which shows the score of each key result for OKR04 over each quarter. &#10;There is a line on the score scale of 0.7 to represent whether the KR is being delivered. There is another line on the score scale of 0.3 to represent whether measurable progress has been made in the quarter.&#10;For Q1, KR4.1 scored 0.70.&#10;KR4.2 no score as this will be progressed later in the year..&#10;KR4.3 scored 0.29.&#10;&#10;For Q2, KR4.1 scored 0.70.&#10;KR4.2 no score as this will be progressed later in the year.&#10;KR4.3 scored 0.29.">
              <a:extLst xmlns:a="http://schemas.openxmlformats.org/drawingml/2006/main">
                <a:ext uri="{FF2B5EF4-FFF2-40B4-BE49-F238E27FC236}">
                  <a16:creationId xmlns:a16="http://schemas.microsoft.com/office/drawing/2014/main" id="{BF124DFB-052E-47EF-B7D2-F85DF15D76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13" w:type="dxa"/>
          <w:bottom w:w="170" w:type="dxa"/>
          <w:right w:w="113" w:type="dxa"/>
        </w:tblCellMar>
        <w:tblLook w:val="04A0" w:firstRow="1" w:lastRow="0" w:firstColumn="1" w:lastColumn="0" w:noHBand="0" w:noVBand="1"/>
        <w:tblCaption w:val="OKR4 key result summary"/>
        <w:tblDescription w:val="Q1 summary for each of the three key results under OKR4. This includes the date due, Q1 score, Q1 status, Q1 commentary and annual forecast for each key result."/>
      </w:tblPr>
      <w:tblGrid>
        <w:gridCol w:w="3830"/>
        <w:gridCol w:w="728"/>
        <w:gridCol w:w="975"/>
        <w:gridCol w:w="975"/>
        <w:gridCol w:w="975"/>
        <w:gridCol w:w="975"/>
        <w:gridCol w:w="975"/>
        <w:gridCol w:w="3802"/>
        <w:gridCol w:w="1723"/>
      </w:tblGrid>
      <w:tr w:rsidR="00F349EA" w:rsidRPr="00F349EA" w14:paraId="374ED242" w14:textId="77777777" w:rsidTr="00CD7363">
        <w:trPr>
          <w:cantSplit/>
          <w:trHeight w:val="545"/>
          <w:tblHeader/>
        </w:trPr>
        <w:tc>
          <w:tcPr>
            <w:tcW w:w="1280" w:type="pct"/>
            <w:tcBorders>
              <w:bottom w:val="single" w:sz="8" w:space="0" w:color="auto"/>
            </w:tcBorders>
            <w:shd w:val="clear" w:color="auto" w:fill="016574" w:themeFill="accent2"/>
          </w:tcPr>
          <w:p w14:paraId="171733E7" w14:textId="77777777" w:rsidR="00A7284A" w:rsidRPr="00F349EA" w:rsidRDefault="00A7284A">
            <w:pPr>
              <w:spacing w:before="40" w:after="40" w:line="240" w:lineRule="auto"/>
              <w:textAlignment w:val="baseline"/>
              <w:rPr>
                <w:rFonts w:ascii="Arial" w:eastAsia="Times New Roman" w:hAnsi="Arial" w:cs="Arial"/>
                <w:color w:val="000000"/>
                <w:sz w:val="28"/>
                <w:szCs w:val="28"/>
                <w:lang w:eastAsia="en-GB"/>
              </w:rPr>
            </w:pPr>
            <w:r w:rsidRPr="00F349EA">
              <w:rPr>
                <w:rFonts w:ascii="Arial" w:eastAsia="MS PGothic" w:hAnsi="Arial" w:cs="Arial"/>
                <w:b/>
                <w:bCs/>
                <w:color w:val="FFFFFF" w:themeColor="background1"/>
              </w:rPr>
              <w:t>Key Results</w:t>
            </w:r>
          </w:p>
        </w:tc>
        <w:tc>
          <w:tcPr>
            <w:tcW w:w="243" w:type="pct"/>
            <w:tcBorders>
              <w:bottom w:val="single" w:sz="8" w:space="0" w:color="auto"/>
            </w:tcBorders>
            <w:shd w:val="clear" w:color="auto" w:fill="016574" w:themeFill="accent2"/>
          </w:tcPr>
          <w:p w14:paraId="702EE8BA" w14:textId="77777777" w:rsidR="00A7284A" w:rsidRPr="00F349EA" w:rsidRDefault="00A7284A">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Due date</w:t>
            </w:r>
          </w:p>
        </w:tc>
        <w:tc>
          <w:tcPr>
            <w:tcW w:w="326" w:type="pct"/>
            <w:tcBorders>
              <w:bottom w:val="single" w:sz="8" w:space="0" w:color="auto"/>
            </w:tcBorders>
            <w:shd w:val="clear" w:color="auto" w:fill="016574" w:themeFill="accent2"/>
          </w:tcPr>
          <w:p w14:paraId="52A3102B" w14:textId="77777777" w:rsidR="00A7284A" w:rsidRPr="00F349EA" w:rsidRDefault="00A7284A">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Q1 score</w:t>
            </w:r>
          </w:p>
        </w:tc>
        <w:tc>
          <w:tcPr>
            <w:tcW w:w="326" w:type="pct"/>
            <w:tcBorders>
              <w:bottom w:val="single" w:sz="8" w:space="0" w:color="auto"/>
            </w:tcBorders>
            <w:shd w:val="clear" w:color="auto" w:fill="016574" w:themeFill="accent2"/>
          </w:tcPr>
          <w:p w14:paraId="54B03157" w14:textId="77777777" w:rsidR="00A7284A" w:rsidRPr="00F349EA" w:rsidRDefault="00A7284A">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Q2 score</w:t>
            </w:r>
          </w:p>
        </w:tc>
        <w:tc>
          <w:tcPr>
            <w:tcW w:w="326" w:type="pct"/>
            <w:tcBorders>
              <w:bottom w:val="single" w:sz="8" w:space="0" w:color="auto"/>
            </w:tcBorders>
            <w:shd w:val="clear" w:color="auto" w:fill="016574" w:themeFill="accent2"/>
          </w:tcPr>
          <w:p w14:paraId="0661A9C8" w14:textId="77777777" w:rsidR="00A7284A" w:rsidRPr="00F349EA" w:rsidRDefault="00A7284A">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Q3 score</w:t>
            </w:r>
          </w:p>
        </w:tc>
        <w:tc>
          <w:tcPr>
            <w:tcW w:w="326" w:type="pct"/>
            <w:tcBorders>
              <w:bottom w:val="single" w:sz="8" w:space="0" w:color="auto"/>
            </w:tcBorders>
            <w:shd w:val="clear" w:color="auto" w:fill="016574" w:themeFill="accent2"/>
          </w:tcPr>
          <w:p w14:paraId="6BBB0298" w14:textId="77777777" w:rsidR="00A7284A" w:rsidRPr="00F349EA" w:rsidRDefault="00A7284A">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Q4 score</w:t>
            </w:r>
          </w:p>
        </w:tc>
        <w:tc>
          <w:tcPr>
            <w:tcW w:w="326" w:type="pct"/>
            <w:tcBorders>
              <w:bottom w:val="single" w:sz="8" w:space="0" w:color="auto"/>
            </w:tcBorders>
            <w:shd w:val="clear" w:color="auto" w:fill="016574" w:themeFill="accent2"/>
          </w:tcPr>
          <w:p w14:paraId="005F701E" w14:textId="6FE6AFDB" w:rsidR="00A7284A" w:rsidRPr="00F349EA" w:rsidRDefault="00A7284A">
            <w:pPr>
              <w:spacing w:before="40" w:after="40" w:line="240" w:lineRule="auto"/>
              <w:jc w:val="center"/>
              <w:textAlignment w:val="baseline"/>
              <w:rPr>
                <w:rFonts w:ascii="Arial" w:eastAsia="Times New Roman" w:hAnsi="Arial" w:cs="Arial"/>
                <w:color w:val="000000"/>
                <w:lang w:eastAsia="en-GB"/>
              </w:rPr>
            </w:pPr>
            <w:r w:rsidRPr="00F349EA">
              <w:rPr>
                <w:rFonts w:ascii="Arial" w:eastAsia="MS PGothic" w:hAnsi="Arial" w:cs="Arial"/>
                <w:b/>
                <w:bCs/>
                <w:color w:val="FFFFFF"/>
              </w:rPr>
              <w:t>Q</w:t>
            </w:r>
            <w:r w:rsidR="007B42BA" w:rsidRPr="00F349EA">
              <w:rPr>
                <w:rFonts w:ascii="Arial" w:eastAsia="MS PGothic" w:hAnsi="Arial" w:cs="Arial"/>
                <w:b/>
                <w:bCs/>
                <w:color w:val="FFFFFF"/>
              </w:rPr>
              <w:t>2</w:t>
            </w:r>
            <w:r w:rsidRPr="00F349EA">
              <w:rPr>
                <w:rFonts w:ascii="Arial" w:eastAsia="MS PGothic" w:hAnsi="Arial" w:cs="Arial"/>
                <w:b/>
                <w:bCs/>
                <w:color w:val="FFFFFF"/>
              </w:rPr>
              <w:t xml:space="preserve"> Status</w:t>
            </w:r>
          </w:p>
        </w:tc>
        <w:tc>
          <w:tcPr>
            <w:tcW w:w="1271" w:type="pct"/>
            <w:tcBorders>
              <w:bottom w:val="single" w:sz="8" w:space="0" w:color="auto"/>
            </w:tcBorders>
            <w:shd w:val="clear" w:color="auto" w:fill="016574" w:themeFill="accent2"/>
          </w:tcPr>
          <w:p w14:paraId="685CDBC7" w14:textId="1D8220E5" w:rsidR="00A7284A" w:rsidRPr="00F349EA" w:rsidRDefault="00A7284A">
            <w:pPr>
              <w:spacing w:before="40" w:after="40" w:line="240" w:lineRule="auto"/>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Q</w:t>
            </w:r>
            <w:r w:rsidR="007B42BA" w:rsidRPr="00F349EA">
              <w:rPr>
                <w:rFonts w:ascii="Arial" w:eastAsia="MS PGothic" w:hAnsi="Arial" w:cs="Arial"/>
                <w:b/>
                <w:bCs/>
                <w:color w:val="FFFFFF"/>
                <w:sz w:val="28"/>
                <w:szCs w:val="28"/>
              </w:rPr>
              <w:t xml:space="preserve">2 </w:t>
            </w:r>
            <w:r w:rsidRPr="00F349EA">
              <w:rPr>
                <w:rFonts w:ascii="Arial" w:eastAsia="MS PGothic" w:hAnsi="Arial" w:cs="Arial"/>
                <w:b/>
                <w:bCs/>
                <w:color w:val="FFFFFF"/>
                <w:sz w:val="28"/>
                <w:szCs w:val="28"/>
              </w:rPr>
              <w:t>commentary</w:t>
            </w:r>
          </w:p>
        </w:tc>
        <w:tc>
          <w:tcPr>
            <w:tcW w:w="577" w:type="pct"/>
            <w:tcBorders>
              <w:bottom w:val="single" w:sz="8" w:space="0" w:color="auto"/>
            </w:tcBorders>
            <w:shd w:val="clear" w:color="auto" w:fill="016574" w:themeFill="accent2"/>
          </w:tcPr>
          <w:p w14:paraId="4D6859EE" w14:textId="77777777" w:rsidR="00A7284A" w:rsidRPr="00F349EA" w:rsidRDefault="00A7284A">
            <w:pPr>
              <w:spacing w:before="40" w:after="40"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Annual forecast</w:t>
            </w:r>
          </w:p>
        </w:tc>
      </w:tr>
      <w:tr w:rsidR="00213BD9" w:rsidRPr="00F349EA" w14:paraId="169AC6A9" w14:textId="77777777" w:rsidTr="00CD7363">
        <w:tblPrEx>
          <w:tblCellMar>
            <w:left w:w="108" w:type="dxa"/>
            <w:right w:w="108" w:type="dxa"/>
          </w:tblCellMar>
        </w:tblPrEx>
        <w:trPr>
          <w:cantSplit/>
          <w:trHeight w:val="16"/>
        </w:trPr>
        <w:tc>
          <w:tcPr>
            <w:tcW w:w="1280" w:type="pct"/>
            <w:tcBorders>
              <w:top w:val="single" w:sz="8" w:space="0" w:color="auto"/>
              <w:left w:val="single" w:sz="8" w:space="0" w:color="auto"/>
              <w:bottom w:val="single" w:sz="8" w:space="0" w:color="auto"/>
              <w:right w:val="single" w:sz="8" w:space="0" w:color="auto"/>
            </w:tcBorders>
          </w:tcPr>
          <w:p w14:paraId="1CC3219C" w14:textId="45CFFC2E" w:rsidR="00A7284A" w:rsidRPr="00F349EA" w:rsidRDefault="00A7284A" w:rsidP="00C96F36">
            <w:pPr>
              <w:rPr>
                <w:rFonts w:asciiTheme="majorHAnsi" w:eastAsia="Times New Roman" w:hAnsiTheme="majorHAnsi" w:cstheme="majorHAnsi"/>
                <w:color w:val="000000"/>
              </w:rPr>
            </w:pPr>
            <w:r w:rsidRPr="00F349EA">
              <w:rPr>
                <w:rFonts w:asciiTheme="majorHAnsi" w:hAnsiTheme="majorHAnsi" w:cstheme="majorHAnsi"/>
                <w:b/>
                <w:color w:val="000000"/>
              </w:rPr>
              <w:t>KR4.1</w:t>
            </w:r>
            <w:r w:rsidRPr="00F349EA">
              <w:rPr>
                <w:rFonts w:asciiTheme="majorHAnsi" w:hAnsiTheme="majorHAnsi" w:cstheme="majorHAnsi"/>
                <w:color w:val="000000"/>
              </w:rPr>
              <w:t xml:space="preserve">: Review all 10 flood services to identify improvements and future design requirements </w:t>
            </w:r>
          </w:p>
        </w:tc>
        <w:tc>
          <w:tcPr>
            <w:tcW w:w="243" w:type="pct"/>
            <w:tcBorders>
              <w:top w:val="single" w:sz="8" w:space="0" w:color="auto"/>
              <w:left w:val="single" w:sz="8" w:space="0" w:color="auto"/>
              <w:bottom w:val="single" w:sz="8" w:space="0" w:color="auto"/>
              <w:right w:val="single" w:sz="8" w:space="0" w:color="auto"/>
            </w:tcBorders>
            <w:vAlign w:val="center"/>
          </w:tcPr>
          <w:p w14:paraId="04ED2F0C" w14:textId="00E24AE9" w:rsidR="00A7284A" w:rsidRPr="00F349EA" w:rsidRDefault="0053732A" w:rsidP="00C96F36">
            <w:pPr>
              <w:jc w:val="center"/>
              <w:textAlignment w:val="baseline"/>
              <w:rPr>
                <w:rFonts w:eastAsia="Times New Roman" w:cstheme="minorHAnsi"/>
                <w:lang w:eastAsia="en-GB"/>
              </w:rPr>
            </w:pPr>
            <w:r w:rsidRPr="00F349EA">
              <w:rPr>
                <w:rFonts w:cstheme="minorHAnsi"/>
                <w:color w:val="000000"/>
              </w:rPr>
              <w:t>Q2</w:t>
            </w:r>
          </w:p>
        </w:tc>
        <w:tc>
          <w:tcPr>
            <w:tcW w:w="326" w:type="pct"/>
            <w:tcBorders>
              <w:top w:val="single" w:sz="8" w:space="0" w:color="auto"/>
              <w:left w:val="single" w:sz="8" w:space="0" w:color="auto"/>
              <w:bottom w:val="single" w:sz="8" w:space="0" w:color="auto"/>
              <w:right w:val="single" w:sz="8" w:space="0" w:color="auto"/>
            </w:tcBorders>
            <w:vAlign w:val="center"/>
          </w:tcPr>
          <w:p w14:paraId="1A329CE1" w14:textId="52BA5EBD" w:rsidR="00A7284A" w:rsidRPr="00F349EA" w:rsidRDefault="0053732A" w:rsidP="00C96F36">
            <w:pPr>
              <w:jc w:val="center"/>
              <w:textAlignment w:val="baseline"/>
              <w:rPr>
                <w:rFonts w:eastAsia="Times New Roman" w:cstheme="minorHAnsi"/>
                <w:lang w:eastAsia="en-GB"/>
              </w:rPr>
            </w:pPr>
            <w:r w:rsidRPr="00F349EA">
              <w:rPr>
                <w:rFonts w:cstheme="minorHAnsi"/>
                <w:color w:val="000000"/>
              </w:rPr>
              <w:t>0.7</w:t>
            </w:r>
            <w:r w:rsidR="00E607EC" w:rsidRPr="00F349EA">
              <w:rPr>
                <w:rFonts w:cstheme="minorHAnsi"/>
                <w:color w:val="000000"/>
              </w:rPr>
              <w:t>0</w:t>
            </w:r>
          </w:p>
        </w:tc>
        <w:tc>
          <w:tcPr>
            <w:tcW w:w="326" w:type="pct"/>
            <w:tcBorders>
              <w:top w:val="single" w:sz="8" w:space="0" w:color="auto"/>
              <w:left w:val="single" w:sz="8" w:space="0" w:color="auto"/>
              <w:bottom w:val="single" w:sz="8" w:space="0" w:color="auto"/>
              <w:right w:val="single" w:sz="8" w:space="0" w:color="auto"/>
            </w:tcBorders>
            <w:vAlign w:val="center"/>
          </w:tcPr>
          <w:p w14:paraId="22B91C16" w14:textId="7544FAC9" w:rsidR="00A7284A" w:rsidRPr="00F349EA" w:rsidRDefault="00621453" w:rsidP="00C96F36">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0.7</w:t>
            </w:r>
            <w:r w:rsidR="00101E59" w:rsidRPr="00F349EA">
              <w:rPr>
                <w:rFonts w:ascii="Arial" w:eastAsia="Times New Roman" w:hAnsi="Arial" w:cs="Arial"/>
                <w:szCs w:val="28"/>
                <w:lang w:eastAsia="en-GB"/>
              </w:rPr>
              <w:t>0</w:t>
            </w:r>
          </w:p>
        </w:tc>
        <w:tc>
          <w:tcPr>
            <w:tcW w:w="326" w:type="pct"/>
            <w:tcBorders>
              <w:top w:val="single" w:sz="8" w:space="0" w:color="auto"/>
              <w:left w:val="single" w:sz="8" w:space="0" w:color="auto"/>
              <w:bottom w:val="single" w:sz="8" w:space="0" w:color="auto"/>
              <w:right w:val="single" w:sz="8" w:space="0" w:color="auto"/>
            </w:tcBorders>
            <w:vAlign w:val="center"/>
          </w:tcPr>
          <w:p w14:paraId="3277423F" w14:textId="77777777" w:rsidR="00A7284A" w:rsidRPr="00F349EA" w:rsidRDefault="00A7284A"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26" w:type="pct"/>
            <w:tcBorders>
              <w:top w:val="single" w:sz="8" w:space="0" w:color="auto"/>
              <w:left w:val="single" w:sz="8" w:space="0" w:color="auto"/>
              <w:bottom w:val="single" w:sz="8" w:space="0" w:color="auto"/>
              <w:right w:val="single" w:sz="8" w:space="0" w:color="auto"/>
            </w:tcBorders>
            <w:vAlign w:val="center"/>
          </w:tcPr>
          <w:p w14:paraId="243544F4" w14:textId="77777777" w:rsidR="00A7284A" w:rsidRPr="00F349EA" w:rsidRDefault="00A7284A"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26" w:type="pct"/>
            <w:tcBorders>
              <w:top w:val="single" w:sz="8" w:space="0" w:color="auto"/>
              <w:left w:val="single" w:sz="8" w:space="0" w:color="auto"/>
              <w:bottom w:val="single" w:sz="8" w:space="0" w:color="auto"/>
              <w:right w:val="single" w:sz="8" w:space="0" w:color="auto"/>
            </w:tcBorders>
            <w:vAlign w:val="center"/>
          </w:tcPr>
          <w:p w14:paraId="2AA304DB" w14:textId="4DA3D0D1" w:rsidR="00A7284A" w:rsidRPr="00F349EA" w:rsidRDefault="0054411F" w:rsidP="00C96F36">
            <w:pPr>
              <w:jc w:val="center"/>
              <w:textAlignment w:val="baseline"/>
              <w:rPr>
                <w:rFonts w:ascii="Arial" w:eastAsia="Times New Roman" w:hAnsi="Arial" w:cs="Arial"/>
                <w:szCs w:val="28"/>
                <w:lang w:eastAsia="en-GB"/>
              </w:rPr>
            </w:pPr>
            <w:r w:rsidRPr="00F349EA">
              <w:rPr>
                <w:noProof/>
              </w:rPr>
              <w:drawing>
                <wp:inline distT="0" distB="0" distL="0" distR="0" wp14:anchorId="208EB5FF" wp14:editId="1DE8C9D6">
                  <wp:extent cx="463550" cy="463550"/>
                  <wp:effectExtent l="0" t="0" r="0" b="0"/>
                  <wp:docPr id="61729612"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271" w:type="pct"/>
            <w:tcBorders>
              <w:top w:val="single" w:sz="8" w:space="0" w:color="auto"/>
              <w:left w:val="single" w:sz="8" w:space="0" w:color="auto"/>
              <w:bottom w:val="single" w:sz="8" w:space="0" w:color="auto"/>
              <w:right w:val="single" w:sz="8" w:space="0" w:color="auto"/>
            </w:tcBorders>
            <w:vAlign w:val="center"/>
          </w:tcPr>
          <w:p w14:paraId="4AFE1296" w14:textId="15F8BA7F" w:rsidR="006F620D" w:rsidRPr="00F349EA" w:rsidRDefault="00B81D86" w:rsidP="00C96F36">
            <w:pPr>
              <w:textAlignment w:val="baseline"/>
              <w:rPr>
                <w:rFonts w:ascii="Arial" w:eastAsia="Times New Roman" w:hAnsi="Arial" w:cs="Arial"/>
                <w:b/>
                <w:bCs/>
                <w:lang w:eastAsia="en-GB"/>
              </w:rPr>
            </w:pPr>
            <w:r w:rsidRPr="00F349EA">
              <w:rPr>
                <w:rFonts w:ascii="Arial" w:eastAsia="Times New Roman" w:hAnsi="Arial" w:cs="Arial"/>
                <w:lang w:eastAsia="en-GB"/>
              </w:rPr>
              <w:t>On track</w:t>
            </w:r>
            <w:r w:rsidR="00D21206" w:rsidRPr="00F349EA">
              <w:rPr>
                <w:rFonts w:ascii="Arial" w:eastAsia="Times New Roman" w:hAnsi="Arial" w:cs="Arial"/>
                <w:lang w:eastAsia="en-GB"/>
              </w:rPr>
              <w:t>.</w:t>
            </w:r>
            <w:r w:rsidR="00905C19" w:rsidRPr="00F349EA">
              <w:t xml:space="preserve"> D</w:t>
            </w:r>
            <w:r w:rsidR="00905C19" w:rsidRPr="00F349EA">
              <w:rPr>
                <w:rFonts w:ascii="Arial" w:eastAsia="Times New Roman" w:hAnsi="Arial" w:cs="Arial"/>
                <w:lang w:eastAsia="en-GB"/>
              </w:rPr>
              <w:t>ependency on Digital Design Partners being onboarded.</w:t>
            </w:r>
            <w:r w:rsidR="002023E2" w:rsidRPr="00F349EA">
              <w:rPr>
                <w:rFonts w:ascii="Arial" w:eastAsia="Times New Roman" w:hAnsi="Arial" w:cs="Arial"/>
                <w:lang w:eastAsia="en-GB"/>
              </w:rPr>
              <w:t xml:space="preserve"> </w:t>
            </w:r>
            <w:r w:rsidR="006F620D" w:rsidRPr="00F349EA">
              <w:rPr>
                <w:rFonts w:ascii="Arial" w:eastAsia="Times New Roman" w:hAnsi="Arial" w:cs="Arial"/>
                <w:b/>
                <w:bCs/>
                <w:lang w:eastAsia="en-GB"/>
              </w:rPr>
              <w:t xml:space="preserve">Confidence in forecast: </w:t>
            </w:r>
            <w:r w:rsidR="00905C19" w:rsidRPr="00F349EA">
              <w:rPr>
                <w:rFonts w:ascii="Arial" w:eastAsia="Times New Roman" w:hAnsi="Arial" w:cs="Arial"/>
                <w:b/>
                <w:bCs/>
                <w:lang w:eastAsia="en-GB"/>
              </w:rPr>
              <w:t xml:space="preserve">Moderate to </w:t>
            </w:r>
            <w:r w:rsidR="006F620D" w:rsidRPr="00F349EA">
              <w:rPr>
                <w:rFonts w:ascii="Arial" w:eastAsia="Times New Roman" w:hAnsi="Arial" w:cs="Arial"/>
                <w:b/>
                <w:bCs/>
                <w:lang w:eastAsia="en-GB"/>
              </w:rPr>
              <w:t>High</w:t>
            </w:r>
          </w:p>
        </w:tc>
        <w:tc>
          <w:tcPr>
            <w:tcW w:w="577" w:type="pct"/>
            <w:tcBorders>
              <w:top w:val="single" w:sz="8" w:space="0" w:color="auto"/>
              <w:left w:val="single" w:sz="8" w:space="0" w:color="auto"/>
              <w:bottom w:val="single" w:sz="8" w:space="0" w:color="auto"/>
              <w:right w:val="single" w:sz="8" w:space="0" w:color="auto"/>
            </w:tcBorders>
            <w:vAlign w:val="center"/>
          </w:tcPr>
          <w:p w14:paraId="101BD3D8" w14:textId="3051534F" w:rsidR="00A7284A" w:rsidRPr="00F349EA" w:rsidRDefault="00B61DBE" w:rsidP="00C96F36">
            <w:pPr>
              <w:jc w:val="center"/>
              <w:textAlignment w:val="baseline"/>
              <w:rPr>
                <w:rFonts w:ascii="Arial" w:eastAsia="Times New Roman" w:hAnsi="Arial" w:cs="Arial"/>
                <w:lang w:eastAsia="en-GB"/>
              </w:rPr>
            </w:pPr>
            <w:r w:rsidRPr="00F349EA">
              <w:rPr>
                <w:rFonts w:ascii="Arial" w:eastAsia="Times New Roman" w:hAnsi="Arial" w:cs="Arial"/>
                <w:lang w:eastAsia="en-GB"/>
              </w:rPr>
              <w:t>Delivered</w:t>
            </w:r>
          </w:p>
        </w:tc>
      </w:tr>
      <w:tr w:rsidR="00213BD9" w:rsidRPr="00F349EA" w14:paraId="62BE8EA8" w14:textId="77777777" w:rsidTr="00CD7363">
        <w:trPr>
          <w:cantSplit/>
          <w:trHeight w:val="16"/>
        </w:trPr>
        <w:tc>
          <w:tcPr>
            <w:tcW w:w="1280" w:type="pct"/>
            <w:tcBorders>
              <w:top w:val="single" w:sz="8" w:space="0" w:color="auto"/>
              <w:left w:val="single" w:sz="8" w:space="0" w:color="auto"/>
              <w:bottom w:val="single" w:sz="8" w:space="0" w:color="auto"/>
              <w:right w:val="single" w:sz="8" w:space="0" w:color="auto"/>
            </w:tcBorders>
          </w:tcPr>
          <w:p w14:paraId="5ABE1EDF" w14:textId="755B1CCC" w:rsidR="00A7284A" w:rsidRPr="00F349EA" w:rsidRDefault="00A7284A" w:rsidP="001F3FA2">
            <w:pPr>
              <w:rPr>
                <w:rFonts w:asciiTheme="majorHAnsi" w:eastAsia="Times New Roman" w:hAnsiTheme="majorHAnsi" w:cstheme="majorHAnsi"/>
                <w:color w:val="000000"/>
              </w:rPr>
            </w:pPr>
            <w:r w:rsidRPr="00F349EA">
              <w:rPr>
                <w:rFonts w:asciiTheme="majorHAnsi" w:hAnsiTheme="majorHAnsi" w:cstheme="majorHAnsi"/>
                <w:b/>
                <w:color w:val="000000"/>
              </w:rPr>
              <w:lastRenderedPageBreak/>
              <w:t>KR 4.2:</w:t>
            </w:r>
            <w:r w:rsidRPr="00F349EA">
              <w:rPr>
                <w:rFonts w:asciiTheme="majorHAnsi" w:hAnsiTheme="majorHAnsi" w:cstheme="majorHAnsi"/>
                <w:color w:val="000000"/>
              </w:rPr>
              <w:t xml:space="preserve"> Increase the number of stations that deliver hydrometry data in near real time (within 30 minutes) from 70% to 95%.</w:t>
            </w:r>
          </w:p>
        </w:tc>
        <w:tc>
          <w:tcPr>
            <w:tcW w:w="243" w:type="pct"/>
            <w:tcBorders>
              <w:top w:val="single" w:sz="8" w:space="0" w:color="auto"/>
              <w:left w:val="single" w:sz="8" w:space="0" w:color="auto"/>
              <w:bottom w:val="single" w:sz="8" w:space="0" w:color="auto"/>
              <w:right w:val="single" w:sz="8" w:space="0" w:color="auto"/>
            </w:tcBorders>
            <w:vAlign w:val="center"/>
          </w:tcPr>
          <w:p w14:paraId="4AB33D6F" w14:textId="189293B0" w:rsidR="00A7284A" w:rsidRPr="00F349EA" w:rsidRDefault="0053732A" w:rsidP="00C96F36">
            <w:pPr>
              <w:jc w:val="center"/>
              <w:textAlignment w:val="baseline"/>
              <w:rPr>
                <w:rFonts w:eastAsia="Times New Roman" w:cstheme="minorHAnsi"/>
                <w:lang w:eastAsia="en-GB"/>
              </w:rPr>
            </w:pPr>
            <w:r w:rsidRPr="00F349EA">
              <w:rPr>
                <w:rFonts w:cstheme="minorHAnsi"/>
                <w:color w:val="000000"/>
              </w:rPr>
              <w:t xml:space="preserve">Q4 </w:t>
            </w:r>
          </w:p>
        </w:tc>
        <w:tc>
          <w:tcPr>
            <w:tcW w:w="326" w:type="pct"/>
            <w:tcBorders>
              <w:top w:val="single" w:sz="8" w:space="0" w:color="auto"/>
              <w:left w:val="single" w:sz="8" w:space="0" w:color="auto"/>
              <w:bottom w:val="single" w:sz="8" w:space="0" w:color="auto"/>
              <w:right w:val="single" w:sz="8" w:space="0" w:color="auto"/>
            </w:tcBorders>
            <w:vAlign w:val="center"/>
          </w:tcPr>
          <w:p w14:paraId="59489ECB" w14:textId="4F2DC839" w:rsidR="00A7284A" w:rsidRPr="00F349EA" w:rsidRDefault="004E36FA" w:rsidP="00C96F36">
            <w:pPr>
              <w:jc w:val="center"/>
              <w:textAlignment w:val="baseline"/>
              <w:rPr>
                <w:rFonts w:eastAsia="Times New Roman" w:cstheme="minorHAnsi"/>
                <w:lang w:eastAsia="en-GB"/>
              </w:rPr>
            </w:pPr>
            <w:r w:rsidRPr="00F349EA">
              <w:rPr>
                <w:rFonts w:cstheme="minorHAnsi"/>
                <w:color w:val="000000"/>
              </w:rPr>
              <w:t>N/A</w:t>
            </w:r>
          </w:p>
        </w:tc>
        <w:tc>
          <w:tcPr>
            <w:tcW w:w="326" w:type="pct"/>
            <w:tcBorders>
              <w:top w:val="single" w:sz="8" w:space="0" w:color="auto"/>
              <w:left w:val="single" w:sz="8" w:space="0" w:color="auto"/>
              <w:bottom w:val="single" w:sz="8" w:space="0" w:color="auto"/>
              <w:right w:val="single" w:sz="8" w:space="0" w:color="auto"/>
            </w:tcBorders>
            <w:vAlign w:val="center"/>
          </w:tcPr>
          <w:p w14:paraId="5200B8EC" w14:textId="4A5C6DE9" w:rsidR="00A7284A" w:rsidRPr="00F349EA" w:rsidRDefault="0054411F" w:rsidP="00C96F36">
            <w:pPr>
              <w:jc w:val="center"/>
              <w:textAlignment w:val="baseline"/>
              <w:rPr>
                <w:rFonts w:ascii="Arial" w:eastAsia="Times New Roman" w:hAnsi="Arial" w:cs="Arial"/>
                <w:szCs w:val="28"/>
                <w:lang w:eastAsia="en-GB"/>
              </w:rPr>
            </w:pPr>
            <w:r w:rsidRPr="00F349EA">
              <w:rPr>
                <w:rFonts w:cstheme="minorHAnsi"/>
                <w:color w:val="000000"/>
              </w:rPr>
              <w:t>N/A</w:t>
            </w:r>
          </w:p>
        </w:tc>
        <w:tc>
          <w:tcPr>
            <w:tcW w:w="326" w:type="pct"/>
            <w:tcBorders>
              <w:top w:val="single" w:sz="8" w:space="0" w:color="auto"/>
              <w:left w:val="single" w:sz="8" w:space="0" w:color="auto"/>
              <w:bottom w:val="single" w:sz="8" w:space="0" w:color="auto"/>
              <w:right w:val="single" w:sz="8" w:space="0" w:color="auto"/>
            </w:tcBorders>
            <w:vAlign w:val="center"/>
          </w:tcPr>
          <w:p w14:paraId="00C31426" w14:textId="77777777" w:rsidR="00A7284A" w:rsidRPr="00F349EA" w:rsidRDefault="00A7284A"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26" w:type="pct"/>
            <w:tcBorders>
              <w:top w:val="single" w:sz="8" w:space="0" w:color="auto"/>
              <w:left w:val="single" w:sz="8" w:space="0" w:color="auto"/>
              <w:bottom w:val="single" w:sz="8" w:space="0" w:color="auto"/>
              <w:right w:val="single" w:sz="8" w:space="0" w:color="auto"/>
            </w:tcBorders>
            <w:vAlign w:val="center"/>
          </w:tcPr>
          <w:p w14:paraId="56E8A42F" w14:textId="77777777" w:rsidR="00A7284A" w:rsidRPr="00F349EA" w:rsidRDefault="00A7284A"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26" w:type="pct"/>
            <w:tcBorders>
              <w:top w:val="single" w:sz="8" w:space="0" w:color="auto"/>
              <w:left w:val="single" w:sz="8" w:space="0" w:color="auto"/>
              <w:bottom w:val="single" w:sz="8" w:space="0" w:color="auto"/>
              <w:right w:val="single" w:sz="8" w:space="0" w:color="auto"/>
            </w:tcBorders>
            <w:vAlign w:val="center"/>
          </w:tcPr>
          <w:p w14:paraId="35EF89A0" w14:textId="3088DB01" w:rsidR="00A7284A" w:rsidRPr="00F349EA" w:rsidRDefault="00FA38BE" w:rsidP="00C96F36">
            <w:pPr>
              <w:jc w:val="center"/>
              <w:textAlignment w:val="baseline"/>
              <w:rPr>
                <w:b/>
                <w:bCs/>
              </w:rPr>
            </w:pPr>
            <w:r w:rsidRPr="00F349EA">
              <w:rPr>
                <w:noProof/>
              </w:rPr>
              <w:drawing>
                <wp:anchor distT="0" distB="0" distL="114300" distR="114300" simplePos="0" relativeHeight="251658253" behindDoc="0" locked="0" layoutInCell="1" allowOverlap="1" wp14:anchorId="0D467967" wp14:editId="102AEB22">
                  <wp:simplePos x="0" y="0"/>
                  <wp:positionH relativeFrom="column">
                    <wp:posOffset>0</wp:posOffset>
                  </wp:positionH>
                  <wp:positionV relativeFrom="paragraph">
                    <wp:posOffset>-22860</wp:posOffset>
                  </wp:positionV>
                  <wp:extent cx="473075" cy="481330"/>
                  <wp:effectExtent l="0" t="0" r="0" b="0"/>
                  <wp:wrapNone/>
                  <wp:docPr id="817221041" name="Graphic 1" descr="Icon of a clock with solid fill. Represents where activity has not yet started or is not yet due for our OKR measure this quarter.">
                    <a:extLst xmlns:a="http://schemas.openxmlformats.org/drawingml/2006/main">
                      <a:ext uri="{FF2B5EF4-FFF2-40B4-BE49-F238E27FC236}">
                        <a16:creationId xmlns:a16="http://schemas.microsoft.com/office/drawing/2014/main" id="{F6195A3D-0A47-951A-680C-13B48190FE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Icon of a clock with solid fill. Represents where activity has not yet started or is not yet due for our OKR measure this quarter.">
                            <a:extLst>
                              <a:ext uri="{FF2B5EF4-FFF2-40B4-BE49-F238E27FC236}">
                                <a16:creationId xmlns:a16="http://schemas.microsoft.com/office/drawing/2014/main" id="{F6195A3D-0A47-951A-680C-13B48190FED4}"/>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0" y="0"/>
                            <a:ext cx="473075" cy="481330"/>
                          </a:xfrm>
                          <a:prstGeom prst="rect">
                            <a:avLst/>
                          </a:prstGeom>
                        </pic:spPr>
                      </pic:pic>
                    </a:graphicData>
                  </a:graphic>
                  <wp14:sizeRelH relativeFrom="margin">
                    <wp14:pctWidth>0</wp14:pctWidth>
                  </wp14:sizeRelH>
                  <wp14:sizeRelV relativeFrom="margin">
                    <wp14:pctHeight>0</wp14:pctHeight>
                  </wp14:sizeRelV>
                </wp:anchor>
              </w:drawing>
            </w:r>
          </w:p>
        </w:tc>
        <w:tc>
          <w:tcPr>
            <w:tcW w:w="1271" w:type="pct"/>
            <w:tcBorders>
              <w:top w:val="single" w:sz="8" w:space="0" w:color="auto"/>
              <w:left w:val="single" w:sz="8" w:space="0" w:color="auto"/>
              <w:bottom w:val="single" w:sz="8" w:space="0" w:color="auto"/>
              <w:right w:val="single" w:sz="8" w:space="0" w:color="auto"/>
            </w:tcBorders>
            <w:vAlign w:val="center"/>
          </w:tcPr>
          <w:p w14:paraId="417F894E" w14:textId="06795AF2" w:rsidR="00B040A3" w:rsidRPr="00F349EA" w:rsidRDefault="0054411F" w:rsidP="00C96F36">
            <w:pPr>
              <w:textAlignment w:val="baseline"/>
              <w:rPr>
                <w:rFonts w:ascii="Arial" w:eastAsia="Times New Roman" w:hAnsi="Arial" w:cs="Arial"/>
                <w:b/>
                <w:bCs/>
                <w:lang w:eastAsia="en-GB"/>
              </w:rPr>
            </w:pPr>
            <w:r w:rsidRPr="00F349EA">
              <w:rPr>
                <w:rFonts w:ascii="Arial" w:eastAsia="Times New Roman" w:hAnsi="Arial" w:cs="Arial"/>
                <w:lang w:eastAsia="en-GB"/>
              </w:rPr>
              <w:t>Work due to commence in Q4</w:t>
            </w:r>
            <w:r w:rsidR="00862F54" w:rsidRPr="00F349EA">
              <w:rPr>
                <w:rFonts w:ascii="Arial" w:eastAsia="Times New Roman" w:hAnsi="Arial" w:cs="Arial"/>
                <w:lang w:eastAsia="en-GB"/>
              </w:rPr>
              <w:t xml:space="preserve"> </w:t>
            </w:r>
            <w:r w:rsidRPr="00F349EA">
              <w:rPr>
                <w:rFonts w:ascii="Arial" w:eastAsia="Times New Roman" w:hAnsi="Arial" w:cs="Arial"/>
                <w:lang w:eastAsia="en-GB"/>
              </w:rPr>
              <w:t>onwards. </w:t>
            </w:r>
            <w:r w:rsidR="002023E2" w:rsidRPr="00F349EA">
              <w:rPr>
                <w:rFonts w:ascii="Arial" w:eastAsia="Times New Roman" w:hAnsi="Arial" w:cs="Arial"/>
                <w:lang w:eastAsia="en-GB"/>
              </w:rPr>
              <w:t xml:space="preserve"> </w:t>
            </w:r>
            <w:r w:rsidR="001512A3" w:rsidRPr="00F349EA">
              <w:rPr>
                <w:rFonts w:ascii="Arial" w:eastAsia="Times New Roman" w:hAnsi="Arial" w:cs="Arial"/>
                <w:lang w:eastAsia="en-GB"/>
              </w:rPr>
              <w:t xml:space="preserve">The improvement in data </w:t>
            </w:r>
            <w:r w:rsidR="008C0A5F" w:rsidRPr="00F349EA">
              <w:rPr>
                <w:rFonts w:ascii="Arial" w:eastAsia="Times New Roman" w:hAnsi="Arial" w:cs="Arial"/>
                <w:lang w:eastAsia="en-GB"/>
              </w:rPr>
              <w:t>latency (</w:t>
            </w:r>
            <w:r w:rsidR="00AD30D0" w:rsidRPr="00F349EA">
              <w:rPr>
                <w:rFonts w:ascii="Arial" w:eastAsia="Times New Roman" w:hAnsi="Arial" w:cs="Arial"/>
                <w:lang w:eastAsia="en-GB"/>
              </w:rPr>
              <w:t xml:space="preserve">the </w:t>
            </w:r>
            <w:r w:rsidR="00A8033A" w:rsidRPr="00F349EA">
              <w:rPr>
                <w:rFonts w:ascii="Arial" w:eastAsia="Times New Roman" w:hAnsi="Arial" w:cs="Arial"/>
                <w:lang w:eastAsia="en-GB"/>
              </w:rPr>
              <w:t>time</w:t>
            </w:r>
            <w:r w:rsidR="00AD30D0" w:rsidRPr="00F349EA">
              <w:rPr>
                <w:rFonts w:ascii="Arial" w:eastAsia="Times New Roman" w:hAnsi="Arial" w:cs="Arial"/>
                <w:lang w:eastAsia="en-GB"/>
              </w:rPr>
              <w:t xml:space="preserve"> between data generat</w:t>
            </w:r>
            <w:r w:rsidR="00A8033A" w:rsidRPr="00F349EA">
              <w:rPr>
                <w:rFonts w:ascii="Arial" w:eastAsia="Times New Roman" w:hAnsi="Arial" w:cs="Arial"/>
                <w:lang w:eastAsia="en-GB"/>
              </w:rPr>
              <w:t>ion</w:t>
            </w:r>
            <w:r w:rsidR="00AD30D0" w:rsidRPr="00F349EA">
              <w:rPr>
                <w:rFonts w:ascii="Arial" w:eastAsia="Times New Roman" w:hAnsi="Arial" w:cs="Arial"/>
                <w:lang w:eastAsia="en-GB"/>
              </w:rPr>
              <w:t xml:space="preserve"> and when it </w:t>
            </w:r>
            <w:r w:rsidR="00A8033A" w:rsidRPr="00F349EA">
              <w:rPr>
                <w:rFonts w:ascii="Arial" w:eastAsia="Times New Roman" w:hAnsi="Arial" w:cs="Arial"/>
                <w:lang w:eastAsia="en-GB"/>
              </w:rPr>
              <w:t xml:space="preserve">is </w:t>
            </w:r>
            <w:r w:rsidR="00AD30D0" w:rsidRPr="00F349EA">
              <w:rPr>
                <w:rFonts w:ascii="Arial" w:eastAsia="Times New Roman" w:hAnsi="Arial" w:cs="Arial"/>
                <w:lang w:eastAsia="en-GB"/>
              </w:rPr>
              <w:t>available for use)</w:t>
            </w:r>
            <w:r w:rsidR="001512A3" w:rsidRPr="00F349EA">
              <w:rPr>
                <w:rFonts w:ascii="Arial" w:eastAsia="Times New Roman" w:hAnsi="Arial" w:cs="Arial"/>
                <w:lang w:eastAsia="en-GB"/>
              </w:rPr>
              <w:t xml:space="preserve"> depends on </w:t>
            </w:r>
            <w:r w:rsidR="00655AE3" w:rsidRPr="00F349EA">
              <w:rPr>
                <w:rFonts w:ascii="Arial" w:eastAsia="Times New Roman" w:hAnsi="Arial" w:cs="Arial"/>
                <w:lang w:eastAsia="en-GB"/>
              </w:rPr>
              <w:t xml:space="preserve">the </w:t>
            </w:r>
            <w:r w:rsidR="001512A3" w:rsidRPr="00F349EA">
              <w:rPr>
                <w:rFonts w:ascii="Arial" w:eastAsia="Times New Roman" w:hAnsi="Arial" w:cs="Arial"/>
                <w:lang w:eastAsia="en-GB"/>
              </w:rPr>
              <w:t xml:space="preserve">roll out </w:t>
            </w:r>
            <w:r w:rsidR="00655AE3" w:rsidRPr="00F349EA">
              <w:rPr>
                <w:rFonts w:ascii="Arial" w:eastAsia="Times New Roman" w:hAnsi="Arial" w:cs="Arial"/>
                <w:lang w:eastAsia="en-GB"/>
              </w:rPr>
              <w:t xml:space="preserve">of </w:t>
            </w:r>
            <w:r w:rsidR="001512A3" w:rsidRPr="00F349EA">
              <w:rPr>
                <w:rFonts w:ascii="Arial" w:eastAsia="Times New Roman" w:hAnsi="Arial" w:cs="Arial"/>
                <w:lang w:eastAsia="en-GB"/>
              </w:rPr>
              <w:t>new data loggers. Th</w:t>
            </w:r>
            <w:r w:rsidR="00685D28" w:rsidRPr="00F349EA">
              <w:rPr>
                <w:rFonts w:ascii="Arial" w:eastAsia="Times New Roman" w:hAnsi="Arial" w:cs="Arial"/>
                <w:lang w:eastAsia="en-GB"/>
              </w:rPr>
              <w:t>e</w:t>
            </w:r>
            <w:r w:rsidR="005133B8" w:rsidRPr="00F349EA">
              <w:rPr>
                <w:rFonts w:ascii="Arial" w:eastAsia="Times New Roman" w:hAnsi="Arial" w:cs="Arial"/>
                <w:lang w:eastAsia="en-GB"/>
              </w:rPr>
              <w:t xml:space="preserve"> data</w:t>
            </w:r>
            <w:r w:rsidR="001512A3" w:rsidRPr="00F349EA">
              <w:rPr>
                <w:rFonts w:ascii="Arial" w:eastAsia="Times New Roman" w:hAnsi="Arial" w:cs="Arial"/>
                <w:lang w:eastAsia="en-GB"/>
              </w:rPr>
              <w:t xml:space="preserve"> loggers </w:t>
            </w:r>
            <w:r w:rsidR="001D1432" w:rsidRPr="00F349EA">
              <w:rPr>
                <w:rFonts w:ascii="Arial" w:eastAsia="Times New Roman" w:hAnsi="Arial" w:cs="Arial"/>
                <w:lang w:eastAsia="en-GB"/>
              </w:rPr>
              <w:t xml:space="preserve">cannot be rolled out until </w:t>
            </w:r>
            <w:r w:rsidR="001512A3" w:rsidRPr="00F349EA">
              <w:rPr>
                <w:rFonts w:ascii="Arial" w:eastAsia="Times New Roman" w:hAnsi="Arial" w:cs="Arial"/>
                <w:lang w:eastAsia="en-GB"/>
              </w:rPr>
              <w:t>a new threshold alerting system</w:t>
            </w:r>
            <w:r w:rsidR="00804A48" w:rsidRPr="00F349EA">
              <w:rPr>
                <w:rFonts w:ascii="Arial" w:eastAsia="Times New Roman" w:hAnsi="Arial" w:cs="Arial"/>
                <w:lang w:eastAsia="en-GB"/>
              </w:rPr>
              <w:t xml:space="preserve"> goes live</w:t>
            </w:r>
            <w:r w:rsidR="001512A3" w:rsidRPr="00F349EA">
              <w:rPr>
                <w:rFonts w:ascii="Arial" w:eastAsia="Times New Roman" w:hAnsi="Arial" w:cs="Arial"/>
                <w:lang w:eastAsia="en-GB"/>
              </w:rPr>
              <w:t xml:space="preserve">. The launch of </w:t>
            </w:r>
            <w:r w:rsidR="003B204B" w:rsidRPr="00F349EA">
              <w:rPr>
                <w:rFonts w:ascii="Arial" w:eastAsia="Times New Roman" w:hAnsi="Arial" w:cs="Arial"/>
                <w:lang w:eastAsia="en-GB"/>
              </w:rPr>
              <w:t>that</w:t>
            </w:r>
            <w:r w:rsidR="001512A3" w:rsidRPr="00F349EA">
              <w:rPr>
                <w:rFonts w:ascii="Arial" w:eastAsia="Times New Roman" w:hAnsi="Arial" w:cs="Arial"/>
                <w:lang w:eastAsia="en-GB"/>
              </w:rPr>
              <w:t xml:space="preserve"> system has been delayed</w:t>
            </w:r>
            <w:r w:rsidR="00804A48" w:rsidRPr="00F349EA">
              <w:rPr>
                <w:rFonts w:ascii="Arial" w:eastAsia="Times New Roman" w:hAnsi="Arial" w:cs="Arial"/>
                <w:lang w:eastAsia="en-GB"/>
              </w:rPr>
              <w:t xml:space="preserve"> due to </w:t>
            </w:r>
            <w:r w:rsidR="001512A3" w:rsidRPr="00F349EA">
              <w:rPr>
                <w:rFonts w:ascii="Arial" w:eastAsia="Times New Roman" w:hAnsi="Arial" w:cs="Arial"/>
                <w:lang w:eastAsia="en-GB"/>
              </w:rPr>
              <w:t>current systems</w:t>
            </w:r>
            <w:r w:rsidR="00804A48" w:rsidRPr="00F349EA">
              <w:rPr>
                <w:rFonts w:ascii="Arial" w:eastAsia="Times New Roman" w:hAnsi="Arial" w:cs="Arial"/>
                <w:lang w:eastAsia="en-GB"/>
              </w:rPr>
              <w:t xml:space="preserve"> issues</w:t>
            </w:r>
            <w:r w:rsidR="001512A3" w:rsidRPr="00F349EA">
              <w:rPr>
                <w:rFonts w:ascii="Arial" w:eastAsia="Times New Roman" w:hAnsi="Arial" w:cs="Arial"/>
                <w:lang w:eastAsia="en-GB"/>
              </w:rPr>
              <w:t>. As a result, the timeline is now very tight.</w:t>
            </w:r>
            <w:r w:rsidR="0082755E" w:rsidRPr="00F349EA">
              <w:rPr>
                <w:rFonts w:ascii="Arial" w:eastAsia="Times New Roman" w:hAnsi="Arial" w:cs="Arial"/>
                <w:lang w:eastAsia="en-GB"/>
              </w:rPr>
              <w:t xml:space="preserve"> </w:t>
            </w:r>
            <w:r w:rsidR="00B040A3" w:rsidRPr="00F349EA">
              <w:rPr>
                <w:rFonts w:ascii="Arial" w:eastAsia="Times New Roman" w:hAnsi="Arial" w:cs="Arial"/>
                <w:b/>
                <w:bCs/>
                <w:lang w:eastAsia="en-GB"/>
              </w:rPr>
              <w:t xml:space="preserve">Confidence in forecast: </w:t>
            </w:r>
            <w:r w:rsidR="00621537" w:rsidRPr="00F349EA">
              <w:rPr>
                <w:rFonts w:ascii="Arial" w:eastAsia="Times New Roman" w:hAnsi="Arial" w:cs="Arial"/>
                <w:b/>
                <w:bCs/>
                <w:lang w:eastAsia="en-GB"/>
              </w:rPr>
              <w:t>Moderate</w:t>
            </w:r>
            <w:r w:rsidR="002D7DE8" w:rsidRPr="00F349EA">
              <w:rPr>
                <w:rFonts w:ascii="Arial" w:eastAsia="Times New Roman" w:hAnsi="Arial" w:cs="Arial"/>
                <w:b/>
                <w:bCs/>
                <w:lang w:eastAsia="en-GB"/>
              </w:rPr>
              <w:t xml:space="preserve"> </w:t>
            </w:r>
          </w:p>
        </w:tc>
        <w:tc>
          <w:tcPr>
            <w:tcW w:w="577" w:type="pct"/>
            <w:tcBorders>
              <w:top w:val="single" w:sz="8" w:space="0" w:color="auto"/>
              <w:left w:val="single" w:sz="8" w:space="0" w:color="auto"/>
              <w:bottom w:val="single" w:sz="8" w:space="0" w:color="auto"/>
              <w:right w:val="single" w:sz="8" w:space="0" w:color="auto"/>
            </w:tcBorders>
            <w:vAlign w:val="center"/>
          </w:tcPr>
          <w:p w14:paraId="54C3486E" w14:textId="0ED52B09" w:rsidR="00A7284A" w:rsidRPr="00F349EA" w:rsidRDefault="00CE77B9" w:rsidP="00A41A1F">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Delivered</w:t>
            </w:r>
          </w:p>
        </w:tc>
      </w:tr>
      <w:tr w:rsidR="00135600" w:rsidRPr="00F349EA" w14:paraId="3755DB76" w14:textId="77777777" w:rsidTr="00CD7363">
        <w:trPr>
          <w:cantSplit/>
          <w:trHeight w:val="16"/>
        </w:trPr>
        <w:tc>
          <w:tcPr>
            <w:tcW w:w="1280" w:type="pct"/>
            <w:tcBorders>
              <w:top w:val="single" w:sz="8" w:space="0" w:color="auto"/>
              <w:left w:val="single" w:sz="8" w:space="0" w:color="auto"/>
              <w:bottom w:val="single" w:sz="8" w:space="0" w:color="auto"/>
              <w:right w:val="single" w:sz="8" w:space="0" w:color="auto"/>
            </w:tcBorders>
          </w:tcPr>
          <w:p w14:paraId="491BBD3B" w14:textId="0022186F" w:rsidR="00A7284A" w:rsidRPr="00F349EA" w:rsidRDefault="00A7284A" w:rsidP="001F3FA2">
            <w:pPr>
              <w:rPr>
                <w:rFonts w:asciiTheme="majorHAnsi" w:eastAsia="Times New Roman" w:hAnsiTheme="majorHAnsi" w:cstheme="majorHAnsi"/>
                <w:color w:val="000000"/>
              </w:rPr>
            </w:pPr>
            <w:r w:rsidRPr="00F349EA">
              <w:rPr>
                <w:rFonts w:asciiTheme="majorHAnsi" w:hAnsiTheme="majorHAnsi" w:cstheme="majorHAnsi"/>
                <w:b/>
                <w:color w:val="000000"/>
              </w:rPr>
              <w:lastRenderedPageBreak/>
              <w:t>KR 4.3:</w:t>
            </w:r>
            <w:r w:rsidRPr="00F349EA">
              <w:rPr>
                <w:rFonts w:asciiTheme="majorHAnsi" w:hAnsiTheme="majorHAnsi" w:cstheme="majorHAnsi"/>
                <w:color w:val="000000"/>
              </w:rPr>
              <w:t xml:space="preserve"> Deliver upgraded flood warning models in 2 highest priority areas. </w:t>
            </w:r>
          </w:p>
        </w:tc>
        <w:tc>
          <w:tcPr>
            <w:tcW w:w="243" w:type="pct"/>
            <w:tcBorders>
              <w:top w:val="single" w:sz="8" w:space="0" w:color="auto"/>
              <w:left w:val="single" w:sz="8" w:space="0" w:color="auto"/>
              <w:bottom w:val="single" w:sz="8" w:space="0" w:color="auto"/>
              <w:right w:val="single" w:sz="8" w:space="0" w:color="auto"/>
            </w:tcBorders>
            <w:vAlign w:val="center"/>
          </w:tcPr>
          <w:p w14:paraId="4837563A" w14:textId="737A0332" w:rsidR="00A7284A" w:rsidRPr="00F349EA" w:rsidRDefault="0053732A" w:rsidP="00C96F36">
            <w:pPr>
              <w:textAlignment w:val="baseline"/>
              <w:rPr>
                <w:rFonts w:eastAsia="Times New Roman" w:cstheme="minorHAnsi"/>
                <w:lang w:eastAsia="en-GB"/>
              </w:rPr>
            </w:pPr>
            <w:r w:rsidRPr="00F349EA">
              <w:rPr>
                <w:rFonts w:cstheme="minorHAnsi"/>
                <w:color w:val="000000"/>
              </w:rPr>
              <w:t xml:space="preserve">Q4 </w:t>
            </w:r>
          </w:p>
        </w:tc>
        <w:tc>
          <w:tcPr>
            <w:tcW w:w="326" w:type="pct"/>
            <w:tcBorders>
              <w:top w:val="single" w:sz="8" w:space="0" w:color="auto"/>
              <w:left w:val="single" w:sz="8" w:space="0" w:color="auto"/>
              <w:bottom w:val="single" w:sz="8" w:space="0" w:color="auto"/>
              <w:right w:val="single" w:sz="8" w:space="0" w:color="auto"/>
            </w:tcBorders>
            <w:vAlign w:val="center"/>
          </w:tcPr>
          <w:p w14:paraId="0DF3C817" w14:textId="2AD99585" w:rsidR="00A7284A" w:rsidRPr="00F349EA" w:rsidRDefault="0053732A" w:rsidP="00C96F36">
            <w:pPr>
              <w:jc w:val="center"/>
              <w:textAlignment w:val="baseline"/>
              <w:rPr>
                <w:rFonts w:eastAsia="Times New Roman" w:cstheme="minorHAnsi"/>
                <w:lang w:eastAsia="en-GB"/>
              </w:rPr>
            </w:pPr>
            <w:r w:rsidRPr="00F349EA">
              <w:rPr>
                <w:rFonts w:cstheme="minorHAnsi"/>
                <w:color w:val="000000"/>
              </w:rPr>
              <w:t>0.29</w:t>
            </w:r>
          </w:p>
        </w:tc>
        <w:tc>
          <w:tcPr>
            <w:tcW w:w="326" w:type="pct"/>
            <w:tcBorders>
              <w:top w:val="single" w:sz="8" w:space="0" w:color="auto"/>
              <w:left w:val="single" w:sz="8" w:space="0" w:color="auto"/>
              <w:bottom w:val="single" w:sz="8" w:space="0" w:color="auto"/>
              <w:right w:val="single" w:sz="8" w:space="0" w:color="auto"/>
            </w:tcBorders>
            <w:vAlign w:val="center"/>
          </w:tcPr>
          <w:p w14:paraId="5C4FC5BD" w14:textId="43A36CC5" w:rsidR="00A7284A" w:rsidRPr="00F349EA" w:rsidRDefault="00F16BCB" w:rsidP="00C96F36">
            <w:pPr>
              <w:jc w:val="center"/>
              <w:textAlignment w:val="baseline"/>
              <w:rPr>
                <w:rFonts w:ascii="Arial" w:eastAsia="Times New Roman" w:hAnsi="Arial" w:cs="Arial"/>
                <w:szCs w:val="28"/>
                <w:lang w:eastAsia="en-GB"/>
              </w:rPr>
            </w:pPr>
            <w:r w:rsidRPr="00F349EA">
              <w:rPr>
                <w:rFonts w:cstheme="minorHAnsi"/>
                <w:color w:val="000000"/>
              </w:rPr>
              <w:t>0.29</w:t>
            </w:r>
          </w:p>
        </w:tc>
        <w:tc>
          <w:tcPr>
            <w:tcW w:w="326" w:type="pct"/>
            <w:tcBorders>
              <w:top w:val="single" w:sz="8" w:space="0" w:color="auto"/>
              <w:left w:val="single" w:sz="8" w:space="0" w:color="auto"/>
              <w:bottom w:val="single" w:sz="8" w:space="0" w:color="auto"/>
              <w:right w:val="single" w:sz="8" w:space="0" w:color="auto"/>
            </w:tcBorders>
            <w:vAlign w:val="center"/>
          </w:tcPr>
          <w:p w14:paraId="7B61C404" w14:textId="77777777" w:rsidR="00A7284A" w:rsidRPr="00F349EA" w:rsidRDefault="00A7284A"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26" w:type="pct"/>
            <w:tcBorders>
              <w:top w:val="single" w:sz="8" w:space="0" w:color="auto"/>
              <w:left w:val="single" w:sz="8" w:space="0" w:color="auto"/>
              <w:bottom w:val="single" w:sz="8" w:space="0" w:color="auto"/>
              <w:right w:val="single" w:sz="8" w:space="0" w:color="auto"/>
            </w:tcBorders>
            <w:vAlign w:val="center"/>
          </w:tcPr>
          <w:p w14:paraId="70A9BDEB" w14:textId="77777777" w:rsidR="00A7284A" w:rsidRPr="00F349EA" w:rsidRDefault="00A7284A"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26" w:type="pct"/>
            <w:tcBorders>
              <w:top w:val="single" w:sz="8" w:space="0" w:color="auto"/>
              <w:left w:val="single" w:sz="8" w:space="0" w:color="auto"/>
              <w:bottom w:val="single" w:sz="8" w:space="0" w:color="auto"/>
              <w:right w:val="single" w:sz="8" w:space="0" w:color="auto"/>
            </w:tcBorders>
            <w:vAlign w:val="center"/>
          </w:tcPr>
          <w:p w14:paraId="3AE7D2F0" w14:textId="45E8B569" w:rsidR="00A7284A" w:rsidRPr="00F349EA" w:rsidRDefault="00142AE9" w:rsidP="00C96F36">
            <w:pPr>
              <w:jc w:val="center"/>
              <w:textAlignment w:val="baseline"/>
              <w:rPr>
                <w:b/>
                <w:bCs/>
              </w:rPr>
            </w:pPr>
            <w:r w:rsidRPr="00F349EA">
              <w:rPr>
                <w:noProof/>
              </w:rPr>
              <w:drawing>
                <wp:anchor distT="0" distB="0" distL="114300" distR="114300" simplePos="0" relativeHeight="251658254" behindDoc="0" locked="0" layoutInCell="1" allowOverlap="1" wp14:anchorId="0B846214" wp14:editId="7B247A32">
                  <wp:simplePos x="0" y="0"/>
                  <wp:positionH relativeFrom="column">
                    <wp:posOffset>36195</wp:posOffset>
                  </wp:positionH>
                  <wp:positionV relativeFrom="paragraph">
                    <wp:posOffset>-2540</wp:posOffset>
                  </wp:positionV>
                  <wp:extent cx="444500" cy="444500"/>
                  <wp:effectExtent l="0" t="0" r="0" b="0"/>
                  <wp:wrapNone/>
                  <wp:docPr id="819594578"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271" w:type="pct"/>
            <w:tcBorders>
              <w:top w:val="single" w:sz="8" w:space="0" w:color="auto"/>
              <w:left w:val="single" w:sz="8" w:space="0" w:color="auto"/>
              <w:bottom w:val="single" w:sz="8" w:space="0" w:color="auto"/>
              <w:right w:val="single" w:sz="8" w:space="0" w:color="auto"/>
            </w:tcBorders>
            <w:vAlign w:val="center"/>
          </w:tcPr>
          <w:p w14:paraId="3DBC6B68" w14:textId="37B0794A" w:rsidR="00A7284A" w:rsidRPr="00F349EA" w:rsidRDefault="00196732" w:rsidP="00C96F36">
            <w:pPr>
              <w:rPr>
                <w:rFonts w:asciiTheme="majorHAnsi" w:hAnsiTheme="majorHAnsi" w:cstheme="majorHAnsi"/>
                <w:color w:val="000000"/>
              </w:rPr>
            </w:pPr>
            <w:r w:rsidRPr="00F349EA">
              <w:rPr>
                <w:rFonts w:asciiTheme="majorHAnsi" w:hAnsiTheme="majorHAnsi" w:cstheme="majorHAnsi"/>
                <w:color w:val="000000"/>
              </w:rPr>
              <w:t>Continuing progress</w:t>
            </w:r>
            <w:r w:rsidR="00DA6D72" w:rsidRPr="00F349EA">
              <w:rPr>
                <w:rFonts w:asciiTheme="majorHAnsi" w:hAnsiTheme="majorHAnsi" w:cstheme="majorHAnsi"/>
                <w:color w:val="000000"/>
              </w:rPr>
              <w:t xml:space="preserve"> </w:t>
            </w:r>
            <w:r w:rsidR="00514B50" w:rsidRPr="00F349EA">
              <w:rPr>
                <w:rFonts w:asciiTheme="majorHAnsi" w:hAnsiTheme="majorHAnsi" w:cstheme="majorHAnsi"/>
                <w:color w:val="000000"/>
              </w:rPr>
              <w:t xml:space="preserve">on upgrading flood models </w:t>
            </w:r>
            <w:r w:rsidR="00DA6D72" w:rsidRPr="00F349EA">
              <w:rPr>
                <w:rFonts w:asciiTheme="majorHAnsi" w:hAnsiTheme="majorHAnsi" w:cstheme="majorHAnsi"/>
                <w:color w:val="000000"/>
              </w:rPr>
              <w:t>however full delivery is dependent</w:t>
            </w:r>
            <w:r w:rsidR="004D41B9" w:rsidRPr="00F349EA">
              <w:rPr>
                <w:rFonts w:asciiTheme="majorHAnsi" w:hAnsiTheme="majorHAnsi" w:cstheme="majorHAnsi"/>
                <w:color w:val="000000"/>
              </w:rPr>
              <w:t xml:space="preserve"> on key staff resourcing.</w:t>
            </w:r>
          </w:p>
          <w:p w14:paraId="6A9410AF" w14:textId="0A3BF028" w:rsidR="00A0759C" w:rsidRPr="00F349EA" w:rsidRDefault="00A0759C" w:rsidP="00C96F36">
            <w:pPr>
              <w:rPr>
                <w:rFonts w:asciiTheme="majorHAnsi" w:hAnsiTheme="majorHAnsi" w:cstheme="majorHAnsi"/>
                <w:b/>
                <w:bCs/>
                <w:color w:val="000000"/>
              </w:rPr>
            </w:pPr>
            <w:r w:rsidRPr="00F349EA">
              <w:rPr>
                <w:rFonts w:ascii="Arial" w:eastAsia="Times New Roman" w:hAnsi="Arial" w:cs="Arial"/>
                <w:b/>
                <w:bCs/>
                <w:lang w:eastAsia="en-GB"/>
              </w:rPr>
              <w:t>Confidence in forecast: Moderate</w:t>
            </w:r>
          </w:p>
        </w:tc>
        <w:tc>
          <w:tcPr>
            <w:tcW w:w="577" w:type="pct"/>
            <w:tcBorders>
              <w:top w:val="single" w:sz="8" w:space="0" w:color="auto"/>
              <w:left w:val="single" w:sz="8" w:space="0" w:color="auto"/>
              <w:bottom w:val="single" w:sz="8" w:space="0" w:color="auto"/>
              <w:right w:val="single" w:sz="8" w:space="0" w:color="auto"/>
            </w:tcBorders>
            <w:vAlign w:val="center"/>
          </w:tcPr>
          <w:p w14:paraId="4D50FF10" w14:textId="447E9205" w:rsidR="00A7284A" w:rsidRPr="00F349EA" w:rsidRDefault="00CE77B9" w:rsidP="00C96F36">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Delivered</w:t>
            </w:r>
          </w:p>
        </w:tc>
      </w:tr>
    </w:tbl>
    <w:p w14:paraId="0A34A145" w14:textId="25AEB235" w:rsidR="00B61DBE" w:rsidRPr="00F349EA" w:rsidRDefault="00B61DBE" w:rsidP="00B61DBE">
      <w:pPr>
        <w:spacing w:before="240" w:after="120"/>
        <w:rPr>
          <w:sz w:val="28"/>
          <w:szCs w:val="28"/>
        </w:rPr>
      </w:pPr>
      <w:r w:rsidRPr="00F349EA">
        <w:rPr>
          <w:b/>
          <w:bCs/>
          <w:sz w:val="28"/>
          <w:szCs w:val="28"/>
        </w:rPr>
        <w:t>Overall objective score</w:t>
      </w:r>
      <w:r w:rsidRPr="00F349EA">
        <w:rPr>
          <w:sz w:val="28"/>
          <w:szCs w:val="28"/>
        </w:rPr>
        <w:t xml:space="preserve"> =</w:t>
      </w:r>
      <w:r w:rsidRPr="00F349EA">
        <w:rPr>
          <w:color w:val="016574"/>
          <w:sz w:val="28"/>
          <w:szCs w:val="28"/>
        </w:rPr>
        <w:t xml:space="preserve"> </w:t>
      </w:r>
      <w:r w:rsidRPr="00F349EA">
        <w:rPr>
          <w:sz w:val="28"/>
          <w:szCs w:val="28"/>
        </w:rPr>
        <w:t>0.5</w:t>
      </w:r>
      <w:r w:rsidR="00755F38" w:rsidRPr="00F349EA">
        <w:rPr>
          <w:sz w:val="28"/>
          <w:szCs w:val="28"/>
        </w:rPr>
        <w:t>0</w:t>
      </w:r>
    </w:p>
    <w:p w14:paraId="46B6F91A" w14:textId="77777777" w:rsidR="00202277" w:rsidRPr="00F349EA" w:rsidRDefault="00202277" w:rsidP="00202277">
      <w:pPr>
        <w:spacing w:line="240" w:lineRule="auto"/>
        <w:sectPr w:rsidR="00202277" w:rsidRPr="00F349EA" w:rsidSect="004E3FAA">
          <w:pgSz w:w="16838" w:h="11906" w:orient="landscape" w:code="9"/>
          <w:pgMar w:top="1083" w:right="1134" w:bottom="1083" w:left="567" w:header="567" w:footer="567" w:gutter="0"/>
          <w:cols w:space="708"/>
          <w:titlePg/>
          <w:docGrid w:linePitch="360"/>
        </w:sectPr>
      </w:pPr>
    </w:p>
    <w:p w14:paraId="0C282148" w14:textId="0A3087BE" w:rsidR="00202277" w:rsidRPr="00F349EA" w:rsidRDefault="00202277" w:rsidP="7D52A5B7">
      <w:pPr>
        <w:pStyle w:val="Heading2"/>
        <w:shd w:val="clear" w:color="auto" w:fill="016574" w:themeFill="accent2"/>
        <w:spacing w:before="0" w:after="240"/>
        <w:ind w:left="720" w:hanging="720"/>
        <w:rPr>
          <w:color w:val="FFFFFF" w:themeColor="background1"/>
          <w:sz w:val="48"/>
          <w:szCs w:val="48"/>
        </w:rPr>
      </w:pPr>
      <w:bookmarkStart w:id="33" w:name="_Toc306910089"/>
      <w:r w:rsidRPr="68A9B764">
        <w:rPr>
          <w:color w:val="FFFFFF" w:themeColor="background1"/>
          <w:sz w:val="48"/>
          <w:szCs w:val="48"/>
        </w:rPr>
        <w:lastRenderedPageBreak/>
        <w:t>Water Environment</w:t>
      </w:r>
      <w:bookmarkEnd w:id="33"/>
    </w:p>
    <w:p w14:paraId="3911F66C" w14:textId="5B61B1FF" w:rsidR="00202277" w:rsidRPr="00F349EA" w:rsidRDefault="009819B4" w:rsidP="00200EE2">
      <w:pPr>
        <w:pStyle w:val="BodyText1"/>
        <w:shd w:val="clear" w:color="auto" w:fill="018395"/>
        <w:spacing w:before="240" w:after="120"/>
        <w:rPr>
          <w:color w:val="FFFFFF" w:themeColor="background1"/>
          <w:sz w:val="36"/>
          <w:szCs w:val="36"/>
        </w:rPr>
      </w:pPr>
      <w:r w:rsidRPr="00F349EA">
        <w:rPr>
          <w:color w:val="FFFFFF" w:themeColor="background1"/>
          <w:sz w:val="36"/>
          <w:szCs w:val="36"/>
        </w:rPr>
        <w:t xml:space="preserve">Our ambition is for the water environment to be protected with no deterioration of condition and that more of our water environment is improved to a good or better condition. </w:t>
      </w:r>
    </w:p>
    <w:p w14:paraId="5EF21DD9" w14:textId="1A215D97" w:rsidR="00202277" w:rsidRPr="00F349EA" w:rsidRDefault="006E5DCB" w:rsidP="00E53135">
      <w:pPr>
        <w:pStyle w:val="Heading3"/>
        <w:spacing w:before="120" w:after="120"/>
        <w:rPr>
          <w:color w:val="016574"/>
          <w:sz w:val="32"/>
          <w:szCs w:val="32"/>
        </w:rPr>
      </w:pPr>
      <w:r w:rsidRPr="00F349EA">
        <w:rPr>
          <w:color w:val="016574" w:themeColor="accent2"/>
          <w:sz w:val="32"/>
          <w:szCs w:val="32"/>
        </w:rPr>
        <w:t xml:space="preserve">WE </w:t>
      </w:r>
      <w:r w:rsidR="000048E5" w:rsidRPr="00F349EA">
        <w:rPr>
          <w:color w:val="016574" w:themeColor="accent2"/>
          <w:sz w:val="32"/>
          <w:szCs w:val="32"/>
        </w:rPr>
        <w:t>OKR</w:t>
      </w:r>
      <w:r w:rsidRPr="00F349EA">
        <w:rPr>
          <w:color w:val="016574" w:themeColor="accent2"/>
          <w:sz w:val="32"/>
          <w:szCs w:val="32"/>
        </w:rPr>
        <w:t xml:space="preserve">5 </w:t>
      </w:r>
      <w:r w:rsidR="000048E5" w:rsidRPr="00F349EA">
        <w:rPr>
          <w:color w:val="016574" w:themeColor="accent2"/>
          <w:sz w:val="32"/>
          <w:szCs w:val="32"/>
        </w:rPr>
        <w:t>Deliver river basin management plan programme of actions to improve the water environment</w:t>
      </w:r>
    </w:p>
    <w:p w14:paraId="26CD810D" w14:textId="280EEA9A" w:rsidR="000B5202" w:rsidRPr="00F349EA" w:rsidRDefault="00FE0AE8" w:rsidP="00202277">
      <w:pPr>
        <w:spacing w:line="240" w:lineRule="auto"/>
        <w:rPr>
          <w:b/>
          <w:bCs/>
          <w:color w:val="3C4741" w:themeColor="text1"/>
          <w:sz w:val="28"/>
          <w:szCs w:val="28"/>
        </w:rPr>
      </w:pPr>
      <w:r w:rsidRPr="00F349EA">
        <w:rPr>
          <w:noProof/>
        </w:rPr>
        <w:drawing>
          <wp:inline distT="0" distB="0" distL="0" distR="0" wp14:anchorId="5F4AEEA9" wp14:editId="731C8296">
            <wp:extent cx="9644932" cy="2981739"/>
            <wp:effectExtent l="0" t="0" r="13970" b="9525"/>
            <wp:docPr id="110996644" name="Chart 1" descr="This is a bar graph which shows the score of each key result for OKR05 over each quarter. &#10;There is a line on the score scale of 0.7 to represent whether the KR is being delivered. There is another line on the score scale of 0.3 to represent whether measurable progress has been made in the quarter.&#10;For Q1, KR5.1 had no score as this will be progressed later in the year.&#10;KR5.2 scored 0.15.&#10;KR2.3 scored 0.40&#10;KR2.4 scored 0.50.&#10;&#10;For Q2, KR5.1 had no score as this will be progressed later in the year.&#10;KR5.2 scored 0.38.&#10;KR2.3 scored 0.54.&#10;KR2.4 scored 0.50.">
              <a:extLst xmlns:a="http://schemas.openxmlformats.org/drawingml/2006/main">
                <a:ext uri="{FF2B5EF4-FFF2-40B4-BE49-F238E27FC236}">
                  <a16:creationId xmlns:a16="http://schemas.microsoft.com/office/drawing/2014/main" id="{FCFD82C8-DF07-4413-A484-D6B0BFA2AE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744C9E9" w14:textId="77777777" w:rsidR="00382EF1" w:rsidRPr="00F349EA" w:rsidRDefault="00382EF1" w:rsidP="00202277">
      <w:pPr>
        <w:spacing w:line="240" w:lineRule="auto"/>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5 key result summary"/>
        <w:tblDescription w:val="Q1 summary for each of the four key results under OKR5. This includes the date due, Q1 score, Q1 status, Q1 commentary and annual forecast for each key result."/>
      </w:tblPr>
      <w:tblGrid>
        <w:gridCol w:w="3851"/>
        <w:gridCol w:w="748"/>
        <w:gridCol w:w="1077"/>
        <w:gridCol w:w="906"/>
        <w:gridCol w:w="906"/>
        <w:gridCol w:w="906"/>
        <w:gridCol w:w="1002"/>
        <w:gridCol w:w="4066"/>
        <w:gridCol w:w="1496"/>
      </w:tblGrid>
      <w:tr w:rsidR="00382EF1" w:rsidRPr="00F349EA" w14:paraId="19431F70" w14:textId="77777777" w:rsidTr="003731AA">
        <w:trPr>
          <w:cantSplit/>
          <w:trHeight w:val="545"/>
          <w:tblHeader/>
        </w:trPr>
        <w:tc>
          <w:tcPr>
            <w:tcW w:w="1287" w:type="pct"/>
            <w:tcBorders>
              <w:bottom w:val="single" w:sz="8" w:space="0" w:color="auto"/>
            </w:tcBorders>
            <w:shd w:val="clear" w:color="auto" w:fill="016574" w:themeFill="accent2"/>
          </w:tcPr>
          <w:p w14:paraId="35D56C5F" w14:textId="77777777" w:rsidR="00382EF1" w:rsidRPr="00F349EA" w:rsidRDefault="00382EF1">
            <w:pPr>
              <w:spacing w:before="40" w:after="40" w:line="240" w:lineRule="auto"/>
              <w:textAlignment w:val="baseline"/>
              <w:rPr>
                <w:rFonts w:ascii="Arial" w:eastAsia="Times New Roman" w:hAnsi="Arial" w:cs="Arial"/>
                <w:color w:val="000000"/>
                <w:sz w:val="28"/>
                <w:szCs w:val="28"/>
                <w:lang w:eastAsia="en-GB"/>
              </w:rPr>
            </w:pPr>
            <w:r w:rsidRPr="00F349EA">
              <w:rPr>
                <w:rFonts w:ascii="Arial" w:eastAsia="MS PGothic" w:hAnsi="Arial" w:cs="Arial"/>
                <w:b/>
                <w:bCs/>
                <w:color w:val="FFFFFF" w:themeColor="background1"/>
              </w:rPr>
              <w:lastRenderedPageBreak/>
              <w:t>Key Results</w:t>
            </w:r>
          </w:p>
        </w:tc>
        <w:tc>
          <w:tcPr>
            <w:tcW w:w="250" w:type="pct"/>
            <w:tcBorders>
              <w:bottom w:val="single" w:sz="8" w:space="0" w:color="auto"/>
            </w:tcBorders>
            <w:shd w:val="clear" w:color="auto" w:fill="016574" w:themeFill="accent2"/>
          </w:tcPr>
          <w:p w14:paraId="57AB551F" w14:textId="77777777" w:rsidR="00382EF1" w:rsidRPr="00F349EA" w:rsidRDefault="00382EF1">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Due date</w:t>
            </w:r>
          </w:p>
        </w:tc>
        <w:tc>
          <w:tcPr>
            <w:tcW w:w="360" w:type="pct"/>
            <w:tcBorders>
              <w:bottom w:val="single" w:sz="8" w:space="0" w:color="auto"/>
            </w:tcBorders>
            <w:shd w:val="clear" w:color="auto" w:fill="016574" w:themeFill="accent2"/>
          </w:tcPr>
          <w:p w14:paraId="62ED7395" w14:textId="77777777" w:rsidR="00382EF1" w:rsidRPr="00F349EA" w:rsidRDefault="00382EF1">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Q1 score</w:t>
            </w:r>
          </w:p>
        </w:tc>
        <w:tc>
          <w:tcPr>
            <w:tcW w:w="303" w:type="pct"/>
            <w:tcBorders>
              <w:bottom w:val="single" w:sz="8" w:space="0" w:color="auto"/>
            </w:tcBorders>
            <w:shd w:val="clear" w:color="auto" w:fill="016574" w:themeFill="accent2"/>
          </w:tcPr>
          <w:p w14:paraId="4A77F57E" w14:textId="77777777" w:rsidR="00382EF1" w:rsidRPr="00F349EA" w:rsidRDefault="00382EF1">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Q2 score</w:t>
            </w:r>
          </w:p>
        </w:tc>
        <w:tc>
          <w:tcPr>
            <w:tcW w:w="303" w:type="pct"/>
            <w:tcBorders>
              <w:bottom w:val="single" w:sz="8" w:space="0" w:color="auto"/>
            </w:tcBorders>
            <w:shd w:val="clear" w:color="auto" w:fill="016574" w:themeFill="accent2"/>
          </w:tcPr>
          <w:p w14:paraId="7711BEDB" w14:textId="77777777" w:rsidR="00382EF1" w:rsidRPr="00F349EA" w:rsidRDefault="00382EF1">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Q3 score</w:t>
            </w:r>
          </w:p>
        </w:tc>
        <w:tc>
          <w:tcPr>
            <w:tcW w:w="303" w:type="pct"/>
            <w:tcBorders>
              <w:bottom w:val="single" w:sz="8" w:space="0" w:color="auto"/>
            </w:tcBorders>
            <w:shd w:val="clear" w:color="auto" w:fill="016574" w:themeFill="accent2"/>
          </w:tcPr>
          <w:p w14:paraId="7ED3E0D3" w14:textId="77777777" w:rsidR="00382EF1" w:rsidRPr="00F349EA" w:rsidRDefault="00382EF1">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Q4 score</w:t>
            </w:r>
          </w:p>
        </w:tc>
        <w:tc>
          <w:tcPr>
            <w:tcW w:w="335" w:type="pct"/>
            <w:tcBorders>
              <w:bottom w:val="single" w:sz="8" w:space="0" w:color="auto"/>
            </w:tcBorders>
            <w:shd w:val="clear" w:color="auto" w:fill="016574" w:themeFill="accent2"/>
          </w:tcPr>
          <w:p w14:paraId="2164F5DE" w14:textId="55264D10" w:rsidR="00382EF1" w:rsidRPr="00F349EA" w:rsidRDefault="00382EF1">
            <w:pPr>
              <w:spacing w:before="40" w:after="40" w:line="240" w:lineRule="auto"/>
              <w:jc w:val="center"/>
              <w:textAlignment w:val="baseline"/>
              <w:rPr>
                <w:rFonts w:ascii="Arial" w:eastAsia="Times New Roman" w:hAnsi="Arial" w:cs="Arial"/>
                <w:color w:val="000000"/>
                <w:lang w:eastAsia="en-GB"/>
              </w:rPr>
            </w:pPr>
            <w:r w:rsidRPr="00F349EA">
              <w:rPr>
                <w:rFonts w:ascii="Arial" w:eastAsia="MS PGothic" w:hAnsi="Arial" w:cs="Arial"/>
                <w:b/>
                <w:bCs/>
                <w:color w:val="FFFFFF"/>
              </w:rPr>
              <w:t>Q</w:t>
            </w:r>
            <w:r w:rsidR="007B42BA" w:rsidRPr="00F349EA">
              <w:rPr>
                <w:rFonts w:ascii="Arial" w:eastAsia="MS PGothic" w:hAnsi="Arial" w:cs="Arial"/>
                <w:b/>
                <w:bCs/>
                <w:color w:val="FFFFFF"/>
              </w:rPr>
              <w:t xml:space="preserve">2 </w:t>
            </w:r>
            <w:r w:rsidRPr="00F349EA">
              <w:rPr>
                <w:rFonts w:ascii="Arial" w:eastAsia="MS PGothic" w:hAnsi="Arial" w:cs="Arial"/>
                <w:b/>
                <w:bCs/>
                <w:color w:val="FFFFFF"/>
              </w:rPr>
              <w:t>Status</w:t>
            </w:r>
          </w:p>
        </w:tc>
        <w:tc>
          <w:tcPr>
            <w:tcW w:w="1359" w:type="pct"/>
            <w:tcBorders>
              <w:bottom w:val="single" w:sz="8" w:space="0" w:color="auto"/>
            </w:tcBorders>
            <w:shd w:val="clear" w:color="auto" w:fill="016574" w:themeFill="accent2"/>
          </w:tcPr>
          <w:p w14:paraId="3938F8D3" w14:textId="74B51FC0" w:rsidR="00382EF1" w:rsidRPr="00F349EA" w:rsidRDefault="00382EF1">
            <w:pPr>
              <w:spacing w:before="40" w:after="40" w:line="240" w:lineRule="auto"/>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Q</w:t>
            </w:r>
            <w:r w:rsidR="007B42BA" w:rsidRPr="00F349EA">
              <w:rPr>
                <w:rFonts w:ascii="Arial" w:eastAsia="MS PGothic" w:hAnsi="Arial" w:cs="Arial"/>
                <w:b/>
                <w:bCs/>
                <w:color w:val="FFFFFF"/>
                <w:sz w:val="28"/>
                <w:szCs w:val="28"/>
              </w:rPr>
              <w:t xml:space="preserve">2 </w:t>
            </w:r>
            <w:r w:rsidRPr="00F349EA">
              <w:rPr>
                <w:rFonts w:ascii="Arial" w:eastAsia="MS PGothic" w:hAnsi="Arial" w:cs="Arial"/>
                <w:b/>
                <w:bCs/>
                <w:color w:val="FFFFFF"/>
                <w:sz w:val="28"/>
                <w:szCs w:val="28"/>
              </w:rPr>
              <w:t>commentary</w:t>
            </w:r>
          </w:p>
        </w:tc>
        <w:tc>
          <w:tcPr>
            <w:tcW w:w="500" w:type="pct"/>
            <w:tcBorders>
              <w:bottom w:val="single" w:sz="8" w:space="0" w:color="auto"/>
            </w:tcBorders>
            <w:shd w:val="clear" w:color="auto" w:fill="016574" w:themeFill="accent2"/>
          </w:tcPr>
          <w:p w14:paraId="59AE92D0" w14:textId="77777777" w:rsidR="00382EF1" w:rsidRPr="00F349EA" w:rsidRDefault="00382EF1">
            <w:pPr>
              <w:spacing w:before="40" w:after="40"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Annual forecast</w:t>
            </w:r>
          </w:p>
        </w:tc>
      </w:tr>
      <w:tr w:rsidR="00137927" w:rsidRPr="00F349EA" w14:paraId="43A42D74" w14:textId="77777777" w:rsidTr="004C18EC">
        <w:tblPrEx>
          <w:tblCellMar>
            <w:left w:w="108" w:type="dxa"/>
            <w:right w:w="108" w:type="dxa"/>
          </w:tblCellMar>
        </w:tblPrEx>
        <w:trPr>
          <w:cantSplit/>
          <w:trHeight w:val="16"/>
        </w:trPr>
        <w:tc>
          <w:tcPr>
            <w:tcW w:w="1287" w:type="pct"/>
            <w:tcBorders>
              <w:top w:val="single" w:sz="8" w:space="0" w:color="auto"/>
              <w:left w:val="single" w:sz="8" w:space="0" w:color="auto"/>
              <w:bottom w:val="single" w:sz="8" w:space="0" w:color="auto"/>
              <w:right w:val="single" w:sz="8" w:space="0" w:color="auto"/>
            </w:tcBorders>
            <w:vAlign w:val="center"/>
          </w:tcPr>
          <w:p w14:paraId="3F19D86A" w14:textId="293C9F33" w:rsidR="00137927" w:rsidRPr="00F349EA" w:rsidRDefault="00137927" w:rsidP="004C18EC">
            <w:pPr>
              <w:rPr>
                <w:rFonts w:eastAsia="Times New Roman" w:cstheme="minorHAnsi"/>
                <w:color w:val="000000"/>
              </w:rPr>
            </w:pPr>
            <w:r w:rsidRPr="00F349EA">
              <w:rPr>
                <w:rFonts w:cstheme="minorHAnsi"/>
                <w:b/>
                <w:bCs/>
                <w:color w:val="000000"/>
              </w:rPr>
              <w:t>KR5.1</w:t>
            </w:r>
            <w:r w:rsidRPr="00F349EA">
              <w:rPr>
                <w:rFonts w:cstheme="minorHAnsi"/>
                <w:color w:val="000000"/>
              </w:rPr>
              <w:t xml:space="preserve">: Review and update our monitoring strategy for the water environment. </w:t>
            </w:r>
          </w:p>
        </w:tc>
        <w:tc>
          <w:tcPr>
            <w:tcW w:w="250" w:type="pct"/>
            <w:tcBorders>
              <w:top w:val="single" w:sz="8" w:space="0" w:color="auto"/>
              <w:left w:val="single" w:sz="8" w:space="0" w:color="auto"/>
              <w:bottom w:val="single" w:sz="8" w:space="0" w:color="auto"/>
              <w:right w:val="single" w:sz="8" w:space="0" w:color="auto"/>
            </w:tcBorders>
            <w:vAlign w:val="center"/>
          </w:tcPr>
          <w:p w14:paraId="5D903458" w14:textId="7476C8F5" w:rsidR="00137927" w:rsidRPr="00F349EA" w:rsidRDefault="00137927" w:rsidP="00C96F36">
            <w:pPr>
              <w:jc w:val="center"/>
              <w:textAlignment w:val="baseline"/>
              <w:rPr>
                <w:rFonts w:eastAsia="Times New Roman" w:cstheme="minorHAnsi"/>
                <w:lang w:eastAsia="en-GB"/>
              </w:rPr>
            </w:pPr>
            <w:r w:rsidRPr="00F349EA">
              <w:rPr>
                <w:rFonts w:cstheme="minorHAnsi"/>
                <w:color w:val="000000"/>
              </w:rPr>
              <w:t>Q3</w:t>
            </w:r>
          </w:p>
        </w:tc>
        <w:tc>
          <w:tcPr>
            <w:tcW w:w="360" w:type="pct"/>
            <w:tcBorders>
              <w:top w:val="single" w:sz="8" w:space="0" w:color="auto"/>
              <w:left w:val="single" w:sz="8" w:space="0" w:color="auto"/>
              <w:bottom w:val="single" w:sz="8" w:space="0" w:color="auto"/>
              <w:right w:val="single" w:sz="8" w:space="0" w:color="auto"/>
            </w:tcBorders>
            <w:vAlign w:val="center"/>
          </w:tcPr>
          <w:p w14:paraId="00350C02" w14:textId="0C0857CB" w:rsidR="00137927" w:rsidRPr="00F349EA" w:rsidRDefault="00137927" w:rsidP="00C96F36">
            <w:pPr>
              <w:jc w:val="center"/>
              <w:textAlignment w:val="baseline"/>
              <w:rPr>
                <w:rFonts w:eastAsia="Times New Roman" w:cstheme="minorHAnsi"/>
                <w:lang w:eastAsia="en-GB"/>
              </w:rPr>
            </w:pPr>
            <w:r w:rsidRPr="00F349EA">
              <w:rPr>
                <w:rFonts w:cstheme="minorHAnsi"/>
                <w:color w:val="000000"/>
              </w:rPr>
              <w:t>N/A</w:t>
            </w:r>
          </w:p>
        </w:tc>
        <w:tc>
          <w:tcPr>
            <w:tcW w:w="303" w:type="pct"/>
            <w:tcBorders>
              <w:top w:val="single" w:sz="8" w:space="0" w:color="auto"/>
              <w:left w:val="single" w:sz="8" w:space="0" w:color="auto"/>
              <w:bottom w:val="single" w:sz="8" w:space="0" w:color="auto"/>
              <w:right w:val="single" w:sz="8" w:space="0" w:color="auto"/>
            </w:tcBorders>
            <w:vAlign w:val="center"/>
          </w:tcPr>
          <w:p w14:paraId="0E1A5BC2" w14:textId="1394C35C" w:rsidR="00137927" w:rsidRPr="00F349EA" w:rsidRDefault="00F90F16" w:rsidP="00C96F36">
            <w:pPr>
              <w:jc w:val="center"/>
              <w:textAlignment w:val="baseline"/>
              <w:rPr>
                <w:rFonts w:ascii="Arial" w:eastAsia="Times New Roman" w:hAnsi="Arial" w:cs="Arial"/>
                <w:szCs w:val="28"/>
                <w:lang w:eastAsia="en-GB"/>
              </w:rPr>
            </w:pPr>
            <w:r w:rsidRPr="00F349EA">
              <w:rPr>
                <w:rFonts w:cstheme="minorHAnsi"/>
                <w:color w:val="000000"/>
              </w:rPr>
              <w:t>N/A</w:t>
            </w:r>
          </w:p>
        </w:tc>
        <w:tc>
          <w:tcPr>
            <w:tcW w:w="303" w:type="pct"/>
            <w:tcBorders>
              <w:top w:val="single" w:sz="8" w:space="0" w:color="auto"/>
              <w:left w:val="single" w:sz="8" w:space="0" w:color="auto"/>
              <w:bottom w:val="single" w:sz="8" w:space="0" w:color="auto"/>
              <w:right w:val="single" w:sz="8" w:space="0" w:color="auto"/>
            </w:tcBorders>
            <w:vAlign w:val="center"/>
          </w:tcPr>
          <w:p w14:paraId="243EC958" w14:textId="77777777" w:rsidR="00137927" w:rsidRPr="00F349EA" w:rsidRDefault="00137927"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03" w:type="pct"/>
            <w:tcBorders>
              <w:top w:val="single" w:sz="8" w:space="0" w:color="auto"/>
              <w:left w:val="single" w:sz="8" w:space="0" w:color="auto"/>
              <w:bottom w:val="single" w:sz="8" w:space="0" w:color="auto"/>
              <w:right w:val="single" w:sz="8" w:space="0" w:color="auto"/>
            </w:tcBorders>
            <w:vAlign w:val="center"/>
          </w:tcPr>
          <w:p w14:paraId="17BEE8BA" w14:textId="77777777" w:rsidR="00137927" w:rsidRPr="00F349EA" w:rsidRDefault="00137927"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35" w:type="pct"/>
            <w:tcBorders>
              <w:top w:val="single" w:sz="8" w:space="0" w:color="auto"/>
              <w:left w:val="single" w:sz="8" w:space="0" w:color="auto"/>
              <w:bottom w:val="single" w:sz="8" w:space="0" w:color="auto"/>
              <w:right w:val="single" w:sz="8" w:space="0" w:color="auto"/>
            </w:tcBorders>
            <w:vAlign w:val="center"/>
          </w:tcPr>
          <w:p w14:paraId="11F2F69F" w14:textId="3D016BCF" w:rsidR="00137927" w:rsidRPr="00F349EA" w:rsidRDefault="00FF535E" w:rsidP="00C96F36">
            <w:pPr>
              <w:jc w:val="center"/>
              <w:textAlignment w:val="baseline"/>
              <w:rPr>
                <w:rFonts w:ascii="Arial" w:eastAsia="Times New Roman" w:hAnsi="Arial" w:cs="Arial"/>
                <w:szCs w:val="28"/>
                <w:lang w:eastAsia="en-GB"/>
              </w:rPr>
            </w:pPr>
            <w:r w:rsidRPr="00F349EA">
              <w:rPr>
                <w:noProof/>
              </w:rPr>
              <w:drawing>
                <wp:anchor distT="0" distB="0" distL="114300" distR="114300" simplePos="0" relativeHeight="251658255" behindDoc="0" locked="0" layoutInCell="1" allowOverlap="1" wp14:anchorId="7A91A8C1" wp14:editId="273E4D1D">
                  <wp:simplePos x="0" y="0"/>
                  <wp:positionH relativeFrom="column">
                    <wp:posOffset>0</wp:posOffset>
                  </wp:positionH>
                  <wp:positionV relativeFrom="paragraph">
                    <wp:posOffset>12065</wp:posOffset>
                  </wp:positionV>
                  <wp:extent cx="473075" cy="481330"/>
                  <wp:effectExtent l="0" t="0" r="0" b="0"/>
                  <wp:wrapNone/>
                  <wp:docPr id="845015122" name="Graphic 1" descr="Icon of a clock with solid fill. Represents where activity has not yet started or is not yet due for our OKR measure this quarter.">
                    <a:extLst xmlns:a="http://schemas.openxmlformats.org/drawingml/2006/main">
                      <a:ext uri="{FF2B5EF4-FFF2-40B4-BE49-F238E27FC236}">
                        <a16:creationId xmlns:a16="http://schemas.microsoft.com/office/drawing/2014/main" id="{F6195A3D-0A47-951A-680C-13B48190FE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Icon of a clock with solid fill. Represents where activity has not yet started or is not yet due for our OKR measure this quarter.">
                            <a:extLst>
                              <a:ext uri="{FF2B5EF4-FFF2-40B4-BE49-F238E27FC236}">
                                <a16:creationId xmlns:a16="http://schemas.microsoft.com/office/drawing/2014/main" id="{F6195A3D-0A47-951A-680C-13B48190FED4}"/>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0" y="0"/>
                            <a:ext cx="473075" cy="481330"/>
                          </a:xfrm>
                          <a:prstGeom prst="rect">
                            <a:avLst/>
                          </a:prstGeom>
                        </pic:spPr>
                      </pic:pic>
                    </a:graphicData>
                  </a:graphic>
                  <wp14:sizeRelH relativeFrom="margin">
                    <wp14:pctWidth>0</wp14:pctWidth>
                  </wp14:sizeRelH>
                  <wp14:sizeRelV relativeFrom="margin">
                    <wp14:pctHeight>0</wp14:pctHeight>
                  </wp14:sizeRelV>
                </wp:anchor>
              </w:drawing>
            </w:r>
          </w:p>
        </w:tc>
        <w:tc>
          <w:tcPr>
            <w:tcW w:w="1359" w:type="pct"/>
            <w:tcBorders>
              <w:top w:val="single" w:sz="8" w:space="0" w:color="auto"/>
              <w:left w:val="single" w:sz="8" w:space="0" w:color="auto"/>
              <w:bottom w:val="single" w:sz="8" w:space="0" w:color="auto"/>
              <w:right w:val="single" w:sz="8" w:space="0" w:color="auto"/>
            </w:tcBorders>
            <w:vAlign w:val="center"/>
          </w:tcPr>
          <w:p w14:paraId="246882D9" w14:textId="77777777" w:rsidR="00137927" w:rsidRPr="00F349EA" w:rsidRDefault="00522170" w:rsidP="00C96F36">
            <w:pPr>
              <w:textAlignment w:val="baseline"/>
              <w:rPr>
                <w:rFonts w:ascii="Arial" w:eastAsia="Times New Roman" w:hAnsi="Arial" w:cs="Arial"/>
                <w:lang w:eastAsia="en-GB"/>
              </w:rPr>
            </w:pPr>
            <w:r w:rsidRPr="00F349EA">
              <w:rPr>
                <w:rFonts w:ascii="Arial" w:eastAsia="Times New Roman" w:hAnsi="Arial" w:cs="Arial"/>
                <w:lang w:eastAsia="en-GB"/>
              </w:rPr>
              <w:t>On track for completion.  </w:t>
            </w:r>
          </w:p>
          <w:p w14:paraId="30EBFD71" w14:textId="5870730E" w:rsidR="004713AF" w:rsidRPr="00F349EA" w:rsidRDefault="004713AF" w:rsidP="00C96F36">
            <w:pPr>
              <w:textAlignment w:val="baseline"/>
              <w:rPr>
                <w:rFonts w:ascii="Arial" w:eastAsia="Times New Roman" w:hAnsi="Arial" w:cs="Arial"/>
                <w:b/>
                <w:bCs/>
                <w:lang w:eastAsia="en-GB"/>
              </w:rPr>
            </w:pPr>
            <w:r w:rsidRPr="00F349EA">
              <w:rPr>
                <w:rFonts w:ascii="Arial" w:eastAsia="Times New Roman" w:hAnsi="Arial" w:cs="Arial"/>
                <w:b/>
                <w:bCs/>
                <w:lang w:eastAsia="en-GB"/>
              </w:rPr>
              <w:t>Confidence in forecast: High</w:t>
            </w:r>
          </w:p>
        </w:tc>
        <w:tc>
          <w:tcPr>
            <w:tcW w:w="500" w:type="pct"/>
            <w:tcBorders>
              <w:top w:val="single" w:sz="8" w:space="0" w:color="auto"/>
              <w:left w:val="single" w:sz="8" w:space="0" w:color="auto"/>
              <w:bottom w:val="single" w:sz="8" w:space="0" w:color="auto"/>
              <w:right w:val="single" w:sz="8" w:space="0" w:color="auto"/>
            </w:tcBorders>
            <w:vAlign w:val="center"/>
          </w:tcPr>
          <w:p w14:paraId="68669D0F" w14:textId="1E0E4071" w:rsidR="00137927" w:rsidRPr="00F349EA" w:rsidRDefault="00137927" w:rsidP="00C96F36">
            <w:pPr>
              <w:jc w:val="center"/>
              <w:textAlignment w:val="baseline"/>
              <w:rPr>
                <w:rFonts w:ascii="Arial" w:eastAsia="Times New Roman" w:hAnsi="Arial" w:cs="Arial"/>
                <w:lang w:eastAsia="en-GB"/>
              </w:rPr>
            </w:pPr>
            <w:r w:rsidRPr="00F349EA">
              <w:rPr>
                <w:rFonts w:ascii="Arial" w:eastAsia="Times New Roman" w:hAnsi="Arial" w:cs="Arial"/>
                <w:lang w:eastAsia="en-GB"/>
              </w:rPr>
              <w:t>Delivered</w:t>
            </w:r>
          </w:p>
        </w:tc>
      </w:tr>
      <w:tr w:rsidR="00ED2748" w:rsidRPr="00F349EA" w14:paraId="7A54671A" w14:textId="77777777" w:rsidTr="004C18EC">
        <w:trPr>
          <w:cantSplit/>
          <w:trHeight w:val="881"/>
        </w:trPr>
        <w:tc>
          <w:tcPr>
            <w:tcW w:w="1287" w:type="pct"/>
            <w:tcBorders>
              <w:top w:val="single" w:sz="8" w:space="0" w:color="auto"/>
              <w:left w:val="single" w:sz="8" w:space="0" w:color="auto"/>
              <w:bottom w:val="single" w:sz="8" w:space="0" w:color="auto"/>
              <w:right w:val="single" w:sz="8" w:space="0" w:color="auto"/>
            </w:tcBorders>
            <w:vAlign w:val="center"/>
          </w:tcPr>
          <w:p w14:paraId="0C708F4A" w14:textId="15B4299E" w:rsidR="00ED2748" w:rsidRPr="00F349EA" w:rsidRDefault="00ED2748" w:rsidP="004C18EC">
            <w:pPr>
              <w:rPr>
                <w:rFonts w:eastAsia="Times New Roman" w:cstheme="minorHAnsi"/>
                <w:color w:val="000000"/>
              </w:rPr>
            </w:pPr>
            <w:r w:rsidRPr="00F349EA">
              <w:rPr>
                <w:rFonts w:cstheme="minorHAnsi"/>
                <w:b/>
                <w:bCs/>
                <w:color w:val="000000"/>
              </w:rPr>
              <w:t>KR 5.2:</w:t>
            </w:r>
            <w:r w:rsidRPr="00F349EA">
              <w:rPr>
                <w:rFonts w:cstheme="minorHAnsi"/>
                <w:color w:val="000000"/>
              </w:rPr>
              <w:t xml:space="preserve"> Complete 2025 monitoring plan for water environment. </w:t>
            </w:r>
          </w:p>
        </w:tc>
        <w:tc>
          <w:tcPr>
            <w:tcW w:w="250" w:type="pct"/>
            <w:tcBorders>
              <w:top w:val="single" w:sz="8" w:space="0" w:color="auto"/>
              <w:left w:val="single" w:sz="8" w:space="0" w:color="auto"/>
              <w:bottom w:val="single" w:sz="8" w:space="0" w:color="auto"/>
              <w:right w:val="single" w:sz="8" w:space="0" w:color="auto"/>
            </w:tcBorders>
            <w:vAlign w:val="center"/>
          </w:tcPr>
          <w:p w14:paraId="5535BCAF" w14:textId="371CB2BB" w:rsidR="00ED2748" w:rsidRPr="00F349EA" w:rsidRDefault="00ED2748" w:rsidP="00C96F36">
            <w:pPr>
              <w:jc w:val="center"/>
              <w:textAlignment w:val="baseline"/>
              <w:rPr>
                <w:rFonts w:eastAsia="Times New Roman" w:cstheme="minorHAnsi"/>
                <w:lang w:eastAsia="en-GB"/>
              </w:rPr>
            </w:pPr>
            <w:r w:rsidRPr="00F349EA">
              <w:rPr>
                <w:rFonts w:cstheme="minorHAnsi"/>
                <w:color w:val="000000"/>
              </w:rPr>
              <w:t xml:space="preserve">Q4 </w:t>
            </w:r>
          </w:p>
        </w:tc>
        <w:tc>
          <w:tcPr>
            <w:tcW w:w="360" w:type="pct"/>
            <w:tcBorders>
              <w:top w:val="single" w:sz="8" w:space="0" w:color="auto"/>
              <w:left w:val="single" w:sz="8" w:space="0" w:color="auto"/>
              <w:bottom w:val="single" w:sz="8" w:space="0" w:color="auto"/>
              <w:right w:val="single" w:sz="8" w:space="0" w:color="auto"/>
            </w:tcBorders>
            <w:vAlign w:val="center"/>
          </w:tcPr>
          <w:p w14:paraId="09946543" w14:textId="63017B4F" w:rsidR="00ED2748" w:rsidRPr="00F349EA" w:rsidRDefault="00ED2748" w:rsidP="00C96F36">
            <w:pPr>
              <w:jc w:val="center"/>
              <w:textAlignment w:val="baseline"/>
              <w:rPr>
                <w:rFonts w:eastAsia="Times New Roman" w:cstheme="minorHAnsi"/>
                <w:lang w:eastAsia="en-GB"/>
              </w:rPr>
            </w:pPr>
            <w:r w:rsidRPr="00F349EA">
              <w:rPr>
                <w:rFonts w:cstheme="minorHAnsi"/>
                <w:color w:val="000000"/>
              </w:rPr>
              <w:t>0.15</w:t>
            </w:r>
          </w:p>
        </w:tc>
        <w:tc>
          <w:tcPr>
            <w:tcW w:w="303" w:type="pct"/>
            <w:tcBorders>
              <w:top w:val="single" w:sz="8" w:space="0" w:color="auto"/>
              <w:left w:val="single" w:sz="8" w:space="0" w:color="auto"/>
              <w:bottom w:val="single" w:sz="8" w:space="0" w:color="auto"/>
              <w:right w:val="single" w:sz="8" w:space="0" w:color="auto"/>
            </w:tcBorders>
            <w:vAlign w:val="center"/>
          </w:tcPr>
          <w:p w14:paraId="1CFD6D18" w14:textId="20899946" w:rsidR="00ED2748" w:rsidRPr="00F349EA" w:rsidRDefault="00F90F16" w:rsidP="00C96F36">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0.38</w:t>
            </w:r>
          </w:p>
        </w:tc>
        <w:tc>
          <w:tcPr>
            <w:tcW w:w="303" w:type="pct"/>
            <w:tcBorders>
              <w:top w:val="single" w:sz="8" w:space="0" w:color="auto"/>
              <w:left w:val="single" w:sz="8" w:space="0" w:color="auto"/>
              <w:bottom w:val="single" w:sz="8" w:space="0" w:color="auto"/>
              <w:right w:val="single" w:sz="8" w:space="0" w:color="auto"/>
            </w:tcBorders>
            <w:vAlign w:val="center"/>
          </w:tcPr>
          <w:p w14:paraId="414EFC93" w14:textId="77777777" w:rsidR="00ED2748" w:rsidRPr="00F349EA" w:rsidRDefault="00ED2748"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03" w:type="pct"/>
            <w:tcBorders>
              <w:top w:val="single" w:sz="8" w:space="0" w:color="auto"/>
              <w:left w:val="single" w:sz="8" w:space="0" w:color="auto"/>
              <w:bottom w:val="single" w:sz="8" w:space="0" w:color="auto"/>
              <w:right w:val="single" w:sz="8" w:space="0" w:color="auto"/>
            </w:tcBorders>
            <w:vAlign w:val="center"/>
          </w:tcPr>
          <w:p w14:paraId="0E3C587D" w14:textId="77777777" w:rsidR="00ED2748" w:rsidRPr="00F349EA" w:rsidRDefault="00ED2748"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35" w:type="pct"/>
            <w:tcBorders>
              <w:top w:val="single" w:sz="8" w:space="0" w:color="auto"/>
              <w:left w:val="single" w:sz="8" w:space="0" w:color="auto"/>
              <w:bottom w:val="single" w:sz="8" w:space="0" w:color="auto"/>
              <w:right w:val="single" w:sz="8" w:space="0" w:color="auto"/>
            </w:tcBorders>
            <w:vAlign w:val="center"/>
          </w:tcPr>
          <w:p w14:paraId="3C1B7905" w14:textId="7B48DACD" w:rsidR="00ED2748" w:rsidRPr="00F349EA" w:rsidRDefault="00FF535E" w:rsidP="00C96F36">
            <w:pPr>
              <w:jc w:val="center"/>
              <w:textAlignment w:val="baseline"/>
              <w:rPr>
                <w:b/>
                <w:bCs/>
              </w:rPr>
            </w:pPr>
            <w:r w:rsidRPr="00F349EA">
              <w:rPr>
                <w:noProof/>
              </w:rPr>
              <w:drawing>
                <wp:inline distT="0" distB="0" distL="0" distR="0" wp14:anchorId="34FEF1F2" wp14:editId="339493FA">
                  <wp:extent cx="463550" cy="463550"/>
                  <wp:effectExtent l="0" t="0" r="0" b="0"/>
                  <wp:docPr id="1500076833"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463550" cy="463550"/>
                          </a:xfrm>
                          <a:prstGeom prst="rect">
                            <a:avLst/>
                          </a:prstGeom>
                        </pic:spPr>
                      </pic:pic>
                    </a:graphicData>
                  </a:graphic>
                </wp:inline>
              </w:drawing>
            </w:r>
          </w:p>
        </w:tc>
        <w:tc>
          <w:tcPr>
            <w:tcW w:w="1359" w:type="pct"/>
            <w:tcBorders>
              <w:top w:val="single" w:sz="8" w:space="0" w:color="auto"/>
              <w:left w:val="single" w:sz="8" w:space="0" w:color="auto"/>
              <w:bottom w:val="single" w:sz="8" w:space="0" w:color="auto"/>
              <w:right w:val="single" w:sz="8" w:space="0" w:color="auto"/>
            </w:tcBorders>
            <w:vAlign w:val="center"/>
          </w:tcPr>
          <w:p w14:paraId="78D95863" w14:textId="241ACC23" w:rsidR="00ED2748" w:rsidRPr="00F349EA" w:rsidRDefault="00A52E2F" w:rsidP="00C96F36">
            <w:pPr>
              <w:textAlignment w:val="baseline"/>
              <w:rPr>
                <w:rFonts w:ascii="Arial" w:eastAsia="Times New Roman" w:hAnsi="Arial" w:cs="Arial"/>
                <w:lang w:eastAsia="en-GB"/>
              </w:rPr>
            </w:pPr>
            <w:r w:rsidRPr="00F349EA">
              <w:rPr>
                <w:rFonts w:ascii="Arial" w:eastAsia="Times New Roman" w:hAnsi="Arial" w:cs="Arial"/>
                <w:lang w:eastAsia="en-GB"/>
              </w:rPr>
              <w:t xml:space="preserve">Chemistry have delivered 71% </w:t>
            </w:r>
            <w:r w:rsidR="008C6454" w:rsidRPr="00F349EA">
              <w:rPr>
                <w:rFonts w:ascii="Arial" w:eastAsia="Times New Roman" w:hAnsi="Arial" w:cs="Arial"/>
                <w:lang w:eastAsia="en-GB"/>
              </w:rPr>
              <w:t xml:space="preserve">and </w:t>
            </w:r>
            <w:r w:rsidRPr="00F349EA">
              <w:rPr>
                <w:rFonts w:ascii="Arial" w:eastAsia="Times New Roman" w:hAnsi="Arial" w:cs="Arial"/>
                <w:lang w:eastAsia="en-GB"/>
              </w:rPr>
              <w:t xml:space="preserve">Ecology </w:t>
            </w:r>
            <w:r w:rsidR="004B0843" w:rsidRPr="00F349EA">
              <w:rPr>
                <w:rFonts w:ascii="Arial" w:eastAsia="Times New Roman" w:hAnsi="Arial" w:cs="Arial"/>
                <w:lang w:eastAsia="en-GB"/>
              </w:rPr>
              <w:t xml:space="preserve">have delivered </w:t>
            </w:r>
            <w:r w:rsidRPr="00F349EA">
              <w:rPr>
                <w:rFonts w:ascii="Arial" w:eastAsia="Times New Roman" w:hAnsi="Arial" w:cs="Arial"/>
                <w:lang w:eastAsia="en-GB"/>
              </w:rPr>
              <w:t>81%</w:t>
            </w:r>
            <w:r w:rsidR="008C6454" w:rsidRPr="00F349EA">
              <w:rPr>
                <w:rFonts w:ascii="Arial" w:eastAsia="Times New Roman" w:hAnsi="Arial" w:cs="Arial"/>
                <w:lang w:eastAsia="en-GB"/>
              </w:rPr>
              <w:t xml:space="preserve"> of planned work</w:t>
            </w:r>
            <w:r w:rsidRPr="00F349EA">
              <w:rPr>
                <w:rFonts w:ascii="Arial" w:eastAsia="Times New Roman" w:hAnsi="Arial" w:cs="Arial"/>
                <w:lang w:eastAsia="en-GB"/>
              </w:rPr>
              <w:t>. Where there are shortfalls, the priority is on classification and regulatory monitoring.</w:t>
            </w:r>
          </w:p>
          <w:p w14:paraId="04FE84D8" w14:textId="54918DF3" w:rsidR="00363ED4" w:rsidRPr="00F349EA" w:rsidRDefault="00363ED4" w:rsidP="00C96F36">
            <w:pPr>
              <w:textAlignment w:val="baseline"/>
              <w:rPr>
                <w:rFonts w:ascii="Arial" w:eastAsia="Times New Roman" w:hAnsi="Arial" w:cs="Arial"/>
                <w:b/>
                <w:bCs/>
                <w:lang w:eastAsia="en-GB"/>
              </w:rPr>
            </w:pPr>
            <w:r w:rsidRPr="00F349EA">
              <w:rPr>
                <w:rFonts w:ascii="Arial" w:eastAsia="Times New Roman" w:hAnsi="Arial" w:cs="Arial"/>
                <w:b/>
                <w:bCs/>
                <w:lang w:eastAsia="en-GB"/>
              </w:rPr>
              <w:t xml:space="preserve">Confidence in forecast: </w:t>
            </w:r>
            <w:r w:rsidR="00E877F1" w:rsidRPr="00F349EA">
              <w:rPr>
                <w:rFonts w:ascii="Arial" w:eastAsia="Times New Roman" w:hAnsi="Arial" w:cs="Arial"/>
                <w:b/>
                <w:bCs/>
                <w:lang w:eastAsia="en-GB"/>
              </w:rPr>
              <w:t>High</w:t>
            </w:r>
          </w:p>
        </w:tc>
        <w:tc>
          <w:tcPr>
            <w:tcW w:w="500" w:type="pct"/>
            <w:tcBorders>
              <w:top w:val="single" w:sz="8" w:space="0" w:color="auto"/>
              <w:left w:val="single" w:sz="8" w:space="0" w:color="auto"/>
              <w:bottom w:val="single" w:sz="8" w:space="0" w:color="auto"/>
              <w:right w:val="single" w:sz="8" w:space="0" w:color="auto"/>
            </w:tcBorders>
            <w:vAlign w:val="center"/>
          </w:tcPr>
          <w:p w14:paraId="333B05A5" w14:textId="18716D41" w:rsidR="00ED2748" w:rsidRPr="00F349EA" w:rsidRDefault="00C67E3F" w:rsidP="00C96F36">
            <w:pPr>
              <w:jc w:val="center"/>
              <w:textAlignment w:val="baseline"/>
              <w:rPr>
                <w:rFonts w:ascii="Arial" w:eastAsia="Times New Roman" w:hAnsi="Arial" w:cs="Arial"/>
                <w:szCs w:val="28"/>
                <w:lang w:eastAsia="en-GB"/>
              </w:rPr>
            </w:pPr>
            <w:r w:rsidRPr="00F349EA">
              <w:rPr>
                <w:rFonts w:ascii="Arial" w:eastAsia="Times New Roman" w:hAnsi="Arial" w:cs="Arial"/>
                <w:lang w:eastAsia="en-GB"/>
              </w:rPr>
              <w:t>Delivered</w:t>
            </w:r>
          </w:p>
        </w:tc>
      </w:tr>
      <w:tr w:rsidR="00ED2748" w:rsidRPr="00F349EA" w14:paraId="1A464022" w14:textId="77777777" w:rsidTr="004C18EC">
        <w:trPr>
          <w:cantSplit/>
          <w:trHeight w:val="16"/>
        </w:trPr>
        <w:tc>
          <w:tcPr>
            <w:tcW w:w="1287" w:type="pct"/>
            <w:tcBorders>
              <w:top w:val="single" w:sz="8" w:space="0" w:color="auto"/>
              <w:left w:val="single" w:sz="8" w:space="0" w:color="auto"/>
              <w:bottom w:val="single" w:sz="8" w:space="0" w:color="auto"/>
              <w:right w:val="single" w:sz="8" w:space="0" w:color="auto"/>
            </w:tcBorders>
            <w:vAlign w:val="center"/>
          </w:tcPr>
          <w:p w14:paraId="13043A52" w14:textId="3BAD4DD1" w:rsidR="00ED2748" w:rsidRPr="00F349EA" w:rsidRDefault="00ED2748" w:rsidP="004C18EC">
            <w:pPr>
              <w:rPr>
                <w:rFonts w:eastAsia="Times New Roman" w:cstheme="minorHAnsi"/>
                <w:color w:val="000000"/>
              </w:rPr>
            </w:pPr>
            <w:r w:rsidRPr="00F349EA">
              <w:rPr>
                <w:rFonts w:cstheme="minorHAnsi"/>
                <w:b/>
                <w:bCs/>
                <w:color w:val="000000"/>
              </w:rPr>
              <w:lastRenderedPageBreak/>
              <w:t>KR 5.3:</w:t>
            </w:r>
            <w:r w:rsidRPr="00F349EA">
              <w:rPr>
                <w:rFonts w:cstheme="minorHAnsi"/>
                <w:color w:val="000000"/>
              </w:rPr>
              <w:t xml:space="preserve"> 90% of our programme of actions for the water environment are delivered.</w:t>
            </w:r>
          </w:p>
        </w:tc>
        <w:tc>
          <w:tcPr>
            <w:tcW w:w="250" w:type="pct"/>
            <w:tcBorders>
              <w:top w:val="single" w:sz="8" w:space="0" w:color="auto"/>
              <w:left w:val="single" w:sz="8" w:space="0" w:color="auto"/>
              <w:bottom w:val="single" w:sz="8" w:space="0" w:color="auto"/>
              <w:right w:val="single" w:sz="8" w:space="0" w:color="auto"/>
            </w:tcBorders>
            <w:vAlign w:val="center"/>
          </w:tcPr>
          <w:p w14:paraId="243E2898" w14:textId="64A6A052" w:rsidR="00ED2748" w:rsidRPr="00F349EA" w:rsidRDefault="00ED2748" w:rsidP="004C18EC">
            <w:pPr>
              <w:textAlignment w:val="baseline"/>
              <w:rPr>
                <w:rFonts w:eastAsia="Times New Roman" w:cstheme="minorHAnsi"/>
                <w:lang w:eastAsia="en-GB"/>
              </w:rPr>
            </w:pPr>
            <w:r w:rsidRPr="00F349EA">
              <w:rPr>
                <w:rFonts w:cstheme="minorHAnsi"/>
                <w:color w:val="000000"/>
              </w:rPr>
              <w:t>Q4</w:t>
            </w:r>
          </w:p>
        </w:tc>
        <w:tc>
          <w:tcPr>
            <w:tcW w:w="360" w:type="pct"/>
            <w:tcBorders>
              <w:top w:val="single" w:sz="8" w:space="0" w:color="auto"/>
              <w:left w:val="single" w:sz="8" w:space="0" w:color="auto"/>
              <w:bottom w:val="single" w:sz="8" w:space="0" w:color="auto"/>
              <w:right w:val="single" w:sz="8" w:space="0" w:color="auto"/>
            </w:tcBorders>
            <w:vAlign w:val="center"/>
          </w:tcPr>
          <w:p w14:paraId="7FA809A9" w14:textId="68192F47" w:rsidR="00ED2748" w:rsidRPr="00F349EA" w:rsidRDefault="00ED2748" w:rsidP="004C18EC">
            <w:pPr>
              <w:textAlignment w:val="baseline"/>
              <w:rPr>
                <w:rFonts w:eastAsia="Times New Roman" w:cstheme="minorHAnsi"/>
                <w:lang w:eastAsia="en-GB"/>
              </w:rPr>
            </w:pPr>
            <w:r w:rsidRPr="00F349EA">
              <w:rPr>
                <w:rFonts w:cstheme="minorHAnsi"/>
                <w:color w:val="000000"/>
              </w:rPr>
              <w:t>0.</w:t>
            </w:r>
            <w:r w:rsidR="00A469E8" w:rsidRPr="00F349EA">
              <w:rPr>
                <w:rFonts w:cstheme="minorHAnsi"/>
                <w:color w:val="000000"/>
              </w:rPr>
              <w:t>4</w:t>
            </w:r>
            <w:r w:rsidR="00555DFE" w:rsidRPr="00F349EA">
              <w:rPr>
                <w:rFonts w:cstheme="minorHAnsi"/>
                <w:color w:val="000000"/>
              </w:rPr>
              <w:t>0</w:t>
            </w:r>
          </w:p>
        </w:tc>
        <w:tc>
          <w:tcPr>
            <w:tcW w:w="303" w:type="pct"/>
            <w:tcBorders>
              <w:top w:val="single" w:sz="8" w:space="0" w:color="auto"/>
              <w:left w:val="single" w:sz="8" w:space="0" w:color="auto"/>
              <w:bottom w:val="single" w:sz="8" w:space="0" w:color="auto"/>
              <w:right w:val="single" w:sz="8" w:space="0" w:color="auto"/>
            </w:tcBorders>
            <w:vAlign w:val="center"/>
          </w:tcPr>
          <w:p w14:paraId="6C878C4E" w14:textId="6D6C9B0F" w:rsidR="00ED2748" w:rsidRPr="00F349EA" w:rsidRDefault="00F90F16" w:rsidP="004C18EC">
            <w:pPr>
              <w:textAlignment w:val="baseline"/>
              <w:rPr>
                <w:rFonts w:ascii="Arial" w:eastAsia="Times New Roman" w:hAnsi="Arial" w:cs="Arial"/>
                <w:szCs w:val="28"/>
                <w:lang w:eastAsia="en-GB"/>
              </w:rPr>
            </w:pPr>
            <w:r w:rsidRPr="00F349EA">
              <w:rPr>
                <w:rFonts w:ascii="Arial" w:eastAsia="Times New Roman" w:hAnsi="Arial" w:cs="Arial"/>
                <w:szCs w:val="28"/>
                <w:lang w:eastAsia="en-GB"/>
              </w:rPr>
              <w:t>0.54</w:t>
            </w:r>
          </w:p>
        </w:tc>
        <w:tc>
          <w:tcPr>
            <w:tcW w:w="303" w:type="pct"/>
            <w:tcBorders>
              <w:top w:val="single" w:sz="8" w:space="0" w:color="auto"/>
              <w:left w:val="single" w:sz="8" w:space="0" w:color="auto"/>
              <w:bottom w:val="single" w:sz="8" w:space="0" w:color="auto"/>
              <w:right w:val="single" w:sz="8" w:space="0" w:color="auto"/>
            </w:tcBorders>
            <w:vAlign w:val="center"/>
          </w:tcPr>
          <w:p w14:paraId="271E8C8A" w14:textId="77777777" w:rsidR="00ED2748" w:rsidRPr="00F349EA" w:rsidRDefault="00ED2748" w:rsidP="004C18EC">
            <w:pP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03" w:type="pct"/>
            <w:tcBorders>
              <w:top w:val="single" w:sz="8" w:space="0" w:color="auto"/>
              <w:left w:val="single" w:sz="8" w:space="0" w:color="auto"/>
              <w:bottom w:val="single" w:sz="8" w:space="0" w:color="auto"/>
              <w:right w:val="single" w:sz="8" w:space="0" w:color="auto"/>
            </w:tcBorders>
            <w:vAlign w:val="center"/>
          </w:tcPr>
          <w:p w14:paraId="5A025BE1" w14:textId="77777777" w:rsidR="00ED2748" w:rsidRPr="00F349EA" w:rsidRDefault="00ED2748" w:rsidP="004C18EC">
            <w:pP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35" w:type="pct"/>
            <w:tcBorders>
              <w:top w:val="single" w:sz="8" w:space="0" w:color="auto"/>
              <w:left w:val="single" w:sz="8" w:space="0" w:color="auto"/>
              <w:bottom w:val="single" w:sz="8" w:space="0" w:color="auto"/>
              <w:right w:val="single" w:sz="8" w:space="0" w:color="auto"/>
            </w:tcBorders>
            <w:vAlign w:val="center"/>
          </w:tcPr>
          <w:p w14:paraId="278BA719" w14:textId="19628D02" w:rsidR="00ED2748" w:rsidRPr="00F349EA" w:rsidRDefault="00FF535E" w:rsidP="004C18EC">
            <w:pPr>
              <w:textAlignment w:val="baseline"/>
              <w:rPr>
                <w:b/>
                <w:bCs/>
              </w:rPr>
            </w:pPr>
            <w:r w:rsidRPr="00F349EA">
              <w:rPr>
                <w:noProof/>
              </w:rPr>
              <w:drawing>
                <wp:inline distT="0" distB="0" distL="0" distR="0" wp14:anchorId="74C8555F" wp14:editId="448020F0">
                  <wp:extent cx="463550" cy="463550"/>
                  <wp:effectExtent l="0" t="0" r="0" b="0"/>
                  <wp:docPr id="97294680"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463550" cy="463550"/>
                          </a:xfrm>
                          <a:prstGeom prst="rect">
                            <a:avLst/>
                          </a:prstGeom>
                        </pic:spPr>
                      </pic:pic>
                    </a:graphicData>
                  </a:graphic>
                </wp:inline>
              </w:drawing>
            </w:r>
          </w:p>
        </w:tc>
        <w:tc>
          <w:tcPr>
            <w:tcW w:w="1359" w:type="pct"/>
            <w:tcBorders>
              <w:top w:val="single" w:sz="8" w:space="0" w:color="auto"/>
              <w:left w:val="single" w:sz="8" w:space="0" w:color="auto"/>
              <w:bottom w:val="single" w:sz="8" w:space="0" w:color="auto"/>
              <w:right w:val="single" w:sz="8" w:space="0" w:color="auto"/>
            </w:tcBorders>
            <w:vAlign w:val="center"/>
          </w:tcPr>
          <w:p w14:paraId="2A1F3286" w14:textId="3CAB24CD" w:rsidR="00ED2748" w:rsidRPr="00F349EA" w:rsidRDefault="00A52E2F" w:rsidP="00251E3E">
            <w:pPr>
              <w:textAlignment w:val="baseline"/>
              <w:rPr>
                <w:rFonts w:ascii="Arial" w:eastAsia="Times New Roman" w:hAnsi="Arial" w:cs="Arial"/>
                <w:lang w:eastAsia="en-GB"/>
              </w:rPr>
            </w:pPr>
            <w:r w:rsidRPr="00F349EA">
              <w:rPr>
                <w:rFonts w:ascii="Arial" w:eastAsia="Times New Roman" w:hAnsi="Arial" w:cs="Arial"/>
                <w:lang w:eastAsia="en-GB"/>
              </w:rPr>
              <w:t xml:space="preserve">We </w:t>
            </w:r>
            <w:r w:rsidR="00A07CF5" w:rsidRPr="00F349EA">
              <w:rPr>
                <w:rFonts w:ascii="Arial" w:eastAsia="Times New Roman" w:hAnsi="Arial" w:cs="Arial"/>
                <w:lang w:eastAsia="en-GB"/>
              </w:rPr>
              <w:t>continue to make</w:t>
            </w:r>
            <w:r w:rsidRPr="00F349EA">
              <w:rPr>
                <w:rFonts w:ascii="Arial" w:eastAsia="Times New Roman" w:hAnsi="Arial" w:cs="Arial"/>
                <w:lang w:eastAsia="en-GB"/>
              </w:rPr>
              <w:t xml:space="preserve"> progress but there is a risk around delivery of this </w:t>
            </w:r>
            <w:r w:rsidR="00465A25" w:rsidRPr="00F349EA">
              <w:rPr>
                <w:rFonts w:ascii="Arial" w:eastAsia="Times New Roman" w:hAnsi="Arial" w:cs="Arial"/>
                <w:lang w:eastAsia="en-GB"/>
              </w:rPr>
              <w:t>k</w:t>
            </w:r>
            <w:r w:rsidR="004B3CE3" w:rsidRPr="00F349EA">
              <w:rPr>
                <w:rFonts w:ascii="Arial" w:eastAsia="Times New Roman" w:hAnsi="Arial" w:cs="Arial"/>
                <w:lang w:eastAsia="en-GB"/>
              </w:rPr>
              <w:t>ey result</w:t>
            </w:r>
            <w:r w:rsidRPr="00F349EA">
              <w:rPr>
                <w:rFonts w:ascii="Arial" w:eastAsia="Times New Roman" w:hAnsi="Arial" w:cs="Arial"/>
                <w:lang w:eastAsia="en-GB"/>
              </w:rPr>
              <w:t xml:space="preserve">. Due to the need for an agile response to project constraints and opportunities, and to maintain transparency and ambition, from Q2 we are focusing on tracking progress across </w:t>
            </w:r>
            <w:r w:rsidR="0095298E" w:rsidRPr="00F349EA">
              <w:rPr>
                <w:rFonts w:ascii="Arial" w:eastAsia="Times New Roman" w:hAnsi="Arial" w:cs="Arial"/>
                <w:lang w:eastAsia="en-GB"/>
              </w:rPr>
              <w:t>key</w:t>
            </w:r>
            <w:r w:rsidRPr="00F349EA">
              <w:rPr>
                <w:rFonts w:ascii="Arial" w:eastAsia="Times New Roman" w:hAnsi="Arial" w:cs="Arial"/>
                <w:lang w:eastAsia="en-GB"/>
              </w:rPr>
              <w:t xml:space="preserve"> stages in the RBMP3 programme</w:t>
            </w:r>
            <w:r w:rsidR="003A6D2E" w:rsidRPr="00F349EA">
              <w:rPr>
                <w:rFonts w:ascii="Arial" w:eastAsia="Times New Roman" w:hAnsi="Arial" w:cs="Arial"/>
                <w:lang w:eastAsia="en-GB"/>
              </w:rPr>
              <w:t xml:space="preserve"> that cover</w:t>
            </w:r>
            <w:r w:rsidRPr="00F349EA">
              <w:rPr>
                <w:rFonts w:ascii="Arial" w:eastAsia="Times New Roman" w:hAnsi="Arial" w:cs="Arial"/>
                <w:lang w:eastAsia="en-GB"/>
              </w:rPr>
              <w:t xml:space="preserve"> scoping, in progress and complete. </w:t>
            </w:r>
            <w:r w:rsidR="000925DF" w:rsidRPr="00F349EA">
              <w:rPr>
                <w:rFonts w:ascii="Arial" w:eastAsia="Times New Roman" w:hAnsi="Arial" w:cs="Arial"/>
                <w:lang w:eastAsia="en-GB"/>
              </w:rPr>
              <w:t>W</w:t>
            </w:r>
            <w:r w:rsidRPr="00F349EA">
              <w:rPr>
                <w:rFonts w:ascii="Arial" w:eastAsia="Times New Roman" w:hAnsi="Arial" w:cs="Arial"/>
                <w:lang w:eastAsia="en-GB"/>
              </w:rPr>
              <w:t>e are now tracking 144 key movements and remain committed to delivering 90% of these this financial year. At the end of Q2</w:t>
            </w:r>
            <w:r w:rsidR="000925DF" w:rsidRPr="00F349EA">
              <w:rPr>
                <w:rFonts w:ascii="Arial" w:eastAsia="Times New Roman" w:hAnsi="Arial" w:cs="Arial"/>
                <w:lang w:eastAsia="en-GB"/>
              </w:rPr>
              <w:t>,</w:t>
            </w:r>
            <w:r w:rsidRPr="00F349EA">
              <w:rPr>
                <w:rFonts w:ascii="Arial" w:eastAsia="Times New Roman" w:hAnsi="Arial" w:cs="Arial"/>
                <w:lang w:eastAsia="en-GB"/>
              </w:rPr>
              <w:t xml:space="preserve"> we ha</w:t>
            </w:r>
            <w:r w:rsidR="00B0490B" w:rsidRPr="00F349EA">
              <w:rPr>
                <w:rFonts w:ascii="Arial" w:eastAsia="Times New Roman" w:hAnsi="Arial" w:cs="Arial"/>
                <w:lang w:eastAsia="en-GB"/>
              </w:rPr>
              <w:t>ve</w:t>
            </w:r>
            <w:r w:rsidRPr="00F349EA">
              <w:rPr>
                <w:rFonts w:ascii="Arial" w:eastAsia="Times New Roman" w:hAnsi="Arial" w:cs="Arial"/>
                <w:lang w:eastAsia="en-GB"/>
              </w:rPr>
              <w:t xml:space="preserve"> delivered 70 key movements.</w:t>
            </w:r>
          </w:p>
          <w:p w14:paraId="33963430" w14:textId="50C28073" w:rsidR="00970404" w:rsidRPr="00F349EA" w:rsidRDefault="00A07CF5" w:rsidP="00251E3E">
            <w:pPr>
              <w:textAlignment w:val="baseline"/>
              <w:rPr>
                <w:rFonts w:ascii="Arial" w:eastAsia="Times New Roman" w:hAnsi="Arial" w:cs="Arial"/>
                <w:lang w:eastAsia="en-GB"/>
              </w:rPr>
            </w:pPr>
            <w:r w:rsidRPr="00F349EA">
              <w:rPr>
                <w:rFonts w:ascii="Arial" w:eastAsia="Times New Roman" w:hAnsi="Arial" w:cs="Arial"/>
                <w:b/>
                <w:bCs/>
                <w:lang w:eastAsia="en-GB"/>
              </w:rPr>
              <w:t>Confidence</w:t>
            </w:r>
            <w:r w:rsidRPr="00F349EA">
              <w:rPr>
                <w:rFonts w:ascii="Arial" w:eastAsia="Times New Roman" w:hAnsi="Arial" w:cs="Arial"/>
                <w:lang w:eastAsia="en-GB"/>
              </w:rPr>
              <w:t xml:space="preserve">: </w:t>
            </w:r>
            <w:r w:rsidR="00970404" w:rsidRPr="00F349EA">
              <w:rPr>
                <w:rFonts w:ascii="Arial" w:eastAsia="Times New Roman" w:hAnsi="Arial" w:cs="Arial"/>
                <w:lang w:eastAsia="en-GB"/>
              </w:rPr>
              <w:t>Low confidence in meeting our target</w:t>
            </w:r>
            <w:r w:rsidR="008E2A10" w:rsidRPr="00F349EA">
              <w:rPr>
                <w:rFonts w:ascii="Arial" w:eastAsia="Times New Roman" w:hAnsi="Arial" w:cs="Arial"/>
                <w:lang w:eastAsia="en-GB"/>
              </w:rPr>
              <w:t xml:space="preserve"> is reflected in partial delivery being forecast.</w:t>
            </w:r>
          </w:p>
        </w:tc>
        <w:tc>
          <w:tcPr>
            <w:tcW w:w="500" w:type="pct"/>
            <w:tcBorders>
              <w:top w:val="single" w:sz="8" w:space="0" w:color="auto"/>
              <w:left w:val="single" w:sz="8" w:space="0" w:color="auto"/>
              <w:bottom w:val="single" w:sz="8" w:space="0" w:color="auto"/>
              <w:right w:val="single" w:sz="8" w:space="0" w:color="auto"/>
            </w:tcBorders>
            <w:vAlign w:val="center"/>
          </w:tcPr>
          <w:p w14:paraId="245CE191" w14:textId="15725805" w:rsidR="00ED2748" w:rsidRPr="00F349EA" w:rsidRDefault="00C67E3F" w:rsidP="00C96F36">
            <w:pPr>
              <w:jc w:val="center"/>
              <w:textAlignment w:val="baseline"/>
              <w:rPr>
                <w:rFonts w:ascii="Arial" w:eastAsia="Times New Roman" w:hAnsi="Arial" w:cs="Arial"/>
                <w:szCs w:val="28"/>
                <w:lang w:eastAsia="en-GB"/>
              </w:rPr>
            </w:pPr>
            <w:r w:rsidRPr="00F349EA">
              <w:rPr>
                <w:rFonts w:ascii="Arial" w:eastAsia="Times New Roman" w:hAnsi="Arial" w:cs="Arial"/>
                <w:lang w:eastAsia="en-GB"/>
              </w:rPr>
              <w:t xml:space="preserve">Partial </w:t>
            </w:r>
            <w:r w:rsidR="00ED2748" w:rsidRPr="00F349EA">
              <w:rPr>
                <w:rFonts w:ascii="Arial" w:eastAsia="Times New Roman" w:hAnsi="Arial" w:cs="Arial"/>
                <w:lang w:eastAsia="en-GB"/>
              </w:rPr>
              <w:t>Deliver</w:t>
            </w:r>
            <w:r w:rsidRPr="00F349EA">
              <w:rPr>
                <w:rFonts w:ascii="Arial" w:eastAsia="Times New Roman" w:hAnsi="Arial" w:cs="Arial"/>
                <w:lang w:eastAsia="en-GB"/>
              </w:rPr>
              <w:t>y</w:t>
            </w:r>
          </w:p>
        </w:tc>
      </w:tr>
      <w:tr w:rsidR="00ED2748" w:rsidRPr="00F349EA" w14:paraId="1EB25C8E" w14:textId="77777777" w:rsidTr="003731AA">
        <w:trPr>
          <w:cantSplit/>
          <w:trHeight w:val="16"/>
        </w:trPr>
        <w:tc>
          <w:tcPr>
            <w:tcW w:w="1287" w:type="pct"/>
            <w:tcBorders>
              <w:top w:val="single" w:sz="8" w:space="0" w:color="auto"/>
              <w:left w:val="single" w:sz="8" w:space="0" w:color="auto"/>
              <w:bottom w:val="single" w:sz="8" w:space="0" w:color="auto"/>
              <w:right w:val="single" w:sz="8" w:space="0" w:color="auto"/>
            </w:tcBorders>
            <w:vAlign w:val="center"/>
          </w:tcPr>
          <w:p w14:paraId="141724A2" w14:textId="028F2658" w:rsidR="00ED2748" w:rsidRPr="00F349EA" w:rsidRDefault="00ED2748" w:rsidP="00C96F36">
            <w:pPr>
              <w:rPr>
                <w:rFonts w:eastAsia="Times New Roman" w:cstheme="minorHAnsi"/>
                <w:color w:val="000000"/>
              </w:rPr>
            </w:pPr>
            <w:r w:rsidRPr="00F349EA">
              <w:rPr>
                <w:rFonts w:cstheme="minorHAnsi"/>
                <w:b/>
                <w:bCs/>
                <w:color w:val="000000"/>
              </w:rPr>
              <w:lastRenderedPageBreak/>
              <w:t>KR 5.4:</w:t>
            </w:r>
            <w:r w:rsidRPr="00F349EA">
              <w:rPr>
                <w:rFonts w:cstheme="minorHAnsi"/>
                <w:color w:val="000000"/>
              </w:rPr>
              <w:t xml:space="preserve"> Three projects for the water environment are delivered by 31 March 2026  </w:t>
            </w:r>
          </w:p>
        </w:tc>
        <w:tc>
          <w:tcPr>
            <w:tcW w:w="250" w:type="pct"/>
            <w:tcBorders>
              <w:top w:val="single" w:sz="8" w:space="0" w:color="auto"/>
              <w:left w:val="single" w:sz="8" w:space="0" w:color="auto"/>
              <w:bottom w:val="single" w:sz="8" w:space="0" w:color="auto"/>
              <w:right w:val="single" w:sz="8" w:space="0" w:color="auto"/>
            </w:tcBorders>
            <w:vAlign w:val="center"/>
          </w:tcPr>
          <w:p w14:paraId="56E50AE1" w14:textId="52812555" w:rsidR="00ED2748" w:rsidRPr="00F349EA" w:rsidRDefault="00ED2748" w:rsidP="00C96F36">
            <w:pPr>
              <w:jc w:val="center"/>
              <w:textAlignment w:val="baseline"/>
              <w:rPr>
                <w:rFonts w:eastAsia="Times New Roman" w:cstheme="minorHAnsi"/>
                <w:lang w:eastAsia="en-GB"/>
              </w:rPr>
            </w:pPr>
            <w:r w:rsidRPr="00F349EA">
              <w:rPr>
                <w:rFonts w:cstheme="minorHAnsi"/>
                <w:color w:val="000000"/>
              </w:rPr>
              <w:t xml:space="preserve">Q4 </w:t>
            </w:r>
          </w:p>
        </w:tc>
        <w:tc>
          <w:tcPr>
            <w:tcW w:w="360" w:type="pct"/>
            <w:tcBorders>
              <w:top w:val="single" w:sz="8" w:space="0" w:color="auto"/>
              <w:left w:val="single" w:sz="8" w:space="0" w:color="auto"/>
              <w:bottom w:val="single" w:sz="8" w:space="0" w:color="auto"/>
              <w:right w:val="single" w:sz="8" w:space="0" w:color="auto"/>
            </w:tcBorders>
            <w:vAlign w:val="center"/>
          </w:tcPr>
          <w:p w14:paraId="2BDF4423" w14:textId="5ECB8F43" w:rsidR="00ED2748" w:rsidRPr="00F349EA" w:rsidRDefault="00ED2748" w:rsidP="00C96F36">
            <w:pPr>
              <w:jc w:val="center"/>
              <w:textAlignment w:val="baseline"/>
              <w:rPr>
                <w:rFonts w:eastAsia="Times New Roman" w:cstheme="minorHAnsi"/>
                <w:lang w:eastAsia="en-GB"/>
              </w:rPr>
            </w:pPr>
            <w:r w:rsidRPr="00F349EA">
              <w:rPr>
                <w:rFonts w:cstheme="minorHAnsi"/>
                <w:color w:val="000000"/>
              </w:rPr>
              <w:t>0.</w:t>
            </w:r>
            <w:r w:rsidR="00A873F0" w:rsidRPr="00F349EA">
              <w:rPr>
                <w:rFonts w:cstheme="minorHAnsi"/>
                <w:color w:val="000000"/>
              </w:rPr>
              <w:t>50</w:t>
            </w:r>
          </w:p>
        </w:tc>
        <w:tc>
          <w:tcPr>
            <w:tcW w:w="303" w:type="pct"/>
            <w:tcBorders>
              <w:top w:val="single" w:sz="8" w:space="0" w:color="auto"/>
              <w:left w:val="single" w:sz="8" w:space="0" w:color="auto"/>
              <w:bottom w:val="single" w:sz="8" w:space="0" w:color="auto"/>
              <w:right w:val="single" w:sz="8" w:space="0" w:color="auto"/>
            </w:tcBorders>
            <w:vAlign w:val="center"/>
          </w:tcPr>
          <w:p w14:paraId="2F45C9DC" w14:textId="595BDF70" w:rsidR="00ED2748" w:rsidRPr="00F349EA" w:rsidRDefault="00FF535E" w:rsidP="00C96F36">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0.50</w:t>
            </w:r>
          </w:p>
        </w:tc>
        <w:tc>
          <w:tcPr>
            <w:tcW w:w="303" w:type="pct"/>
            <w:tcBorders>
              <w:top w:val="single" w:sz="8" w:space="0" w:color="auto"/>
              <w:left w:val="single" w:sz="8" w:space="0" w:color="auto"/>
              <w:bottom w:val="single" w:sz="8" w:space="0" w:color="auto"/>
              <w:right w:val="single" w:sz="8" w:space="0" w:color="auto"/>
            </w:tcBorders>
            <w:vAlign w:val="center"/>
          </w:tcPr>
          <w:p w14:paraId="235DB9EA" w14:textId="77777777" w:rsidR="00ED2748" w:rsidRPr="00F349EA" w:rsidRDefault="00ED2748"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03" w:type="pct"/>
            <w:tcBorders>
              <w:top w:val="single" w:sz="8" w:space="0" w:color="auto"/>
              <w:left w:val="single" w:sz="8" w:space="0" w:color="auto"/>
              <w:bottom w:val="single" w:sz="8" w:space="0" w:color="auto"/>
              <w:right w:val="single" w:sz="8" w:space="0" w:color="auto"/>
            </w:tcBorders>
            <w:vAlign w:val="center"/>
          </w:tcPr>
          <w:p w14:paraId="5DB21A4D" w14:textId="77777777" w:rsidR="00ED2748" w:rsidRPr="00F349EA" w:rsidRDefault="00ED2748" w:rsidP="00C96F36">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35" w:type="pct"/>
            <w:tcBorders>
              <w:top w:val="single" w:sz="8" w:space="0" w:color="auto"/>
              <w:left w:val="single" w:sz="8" w:space="0" w:color="auto"/>
              <w:bottom w:val="single" w:sz="8" w:space="0" w:color="auto"/>
              <w:right w:val="single" w:sz="8" w:space="0" w:color="auto"/>
            </w:tcBorders>
            <w:vAlign w:val="center"/>
          </w:tcPr>
          <w:p w14:paraId="14A7E314" w14:textId="100EAD2A" w:rsidR="00ED2748" w:rsidRPr="00F349EA" w:rsidRDefault="00FF535E" w:rsidP="00C96F36">
            <w:pPr>
              <w:jc w:val="center"/>
              <w:textAlignment w:val="baseline"/>
              <w:rPr>
                <w:b/>
                <w:bCs/>
              </w:rPr>
            </w:pPr>
            <w:r w:rsidRPr="00F349EA">
              <w:rPr>
                <w:noProof/>
              </w:rPr>
              <w:drawing>
                <wp:inline distT="0" distB="0" distL="0" distR="0" wp14:anchorId="1E15ECDE" wp14:editId="4A2CB480">
                  <wp:extent cx="463550" cy="463550"/>
                  <wp:effectExtent l="0" t="0" r="0" b="0"/>
                  <wp:docPr id="1717667323"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463550" cy="463550"/>
                          </a:xfrm>
                          <a:prstGeom prst="rect">
                            <a:avLst/>
                          </a:prstGeom>
                        </pic:spPr>
                      </pic:pic>
                    </a:graphicData>
                  </a:graphic>
                </wp:inline>
              </w:drawing>
            </w:r>
          </w:p>
        </w:tc>
        <w:tc>
          <w:tcPr>
            <w:tcW w:w="1359" w:type="pct"/>
            <w:tcBorders>
              <w:top w:val="single" w:sz="8" w:space="0" w:color="auto"/>
              <w:left w:val="single" w:sz="8" w:space="0" w:color="auto"/>
              <w:bottom w:val="single" w:sz="8" w:space="0" w:color="auto"/>
              <w:right w:val="single" w:sz="8" w:space="0" w:color="auto"/>
            </w:tcBorders>
            <w:vAlign w:val="center"/>
          </w:tcPr>
          <w:p w14:paraId="764E8BB0" w14:textId="67F9A255" w:rsidR="00DC0ACB" w:rsidRPr="00F349EA" w:rsidRDefault="007420ED" w:rsidP="00C96F36">
            <w:pPr>
              <w:textAlignment w:val="baseline"/>
              <w:rPr>
                <w:rFonts w:ascii="Arial" w:eastAsia="Times New Roman" w:hAnsi="Arial" w:cs="Arial"/>
                <w:lang w:eastAsia="en-GB"/>
              </w:rPr>
            </w:pPr>
            <w:r w:rsidRPr="00F349EA">
              <w:rPr>
                <w:rFonts w:ascii="Arial" w:eastAsia="Times New Roman" w:hAnsi="Arial" w:cs="Arial"/>
                <w:lang w:eastAsia="en-GB"/>
              </w:rPr>
              <w:t>On track for completion. Work commenced at all three sites.</w:t>
            </w:r>
          </w:p>
          <w:p w14:paraId="07BF2759" w14:textId="3E51D600" w:rsidR="00ED2748" w:rsidRPr="00F349EA" w:rsidRDefault="00DC0ACB" w:rsidP="00C96F36">
            <w:pPr>
              <w:textAlignment w:val="baseline"/>
              <w:rPr>
                <w:rFonts w:ascii="Arial" w:eastAsia="Times New Roman" w:hAnsi="Arial" w:cs="Arial"/>
                <w:b/>
                <w:bCs/>
                <w:lang w:eastAsia="en-GB"/>
              </w:rPr>
            </w:pPr>
            <w:r w:rsidRPr="00F349EA">
              <w:rPr>
                <w:rFonts w:ascii="Arial" w:eastAsia="Times New Roman" w:hAnsi="Arial" w:cs="Arial"/>
                <w:b/>
                <w:bCs/>
                <w:lang w:eastAsia="en-GB"/>
              </w:rPr>
              <w:t>Confidence in forecast: High</w:t>
            </w:r>
            <w:r w:rsidR="007420ED" w:rsidRPr="00F349EA">
              <w:rPr>
                <w:rFonts w:ascii="Arial" w:eastAsia="Times New Roman" w:hAnsi="Arial" w:cs="Arial"/>
                <w:b/>
                <w:bCs/>
                <w:lang w:eastAsia="en-GB"/>
              </w:rPr>
              <w:t> </w:t>
            </w:r>
          </w:p>
        </w:tc>
        <w:tc>
          <w:tcPr>
            <w:tcW w:w="500" w:type="pct"/>
            <w:tcBorders>
              <w:top w:val="single" w:sz="8" w:space="0" w:color="auto"/>
              <w:left w:val="single" w:sz="8" w:space="0" w:color="auto"/>
              <w:bottom w:val="single" w:sz="8" w:space="0" w:color="auto"/>
              <w:right w:val="single" w:sz="8" w:space="0" w:color="auto"/>
            </w:tcBorders>
            <w:vAlign w:val="center"/>
          </w:tcPr>
          <w:p w14:paraId="4B5533D5" w14:textId="119AD9FB" w:rsidR="00ED2748" w:rsidRPr="00F349EA" w:rsidRDefault="00ED2748" w:rsidP="00C96F36">
            <w:pPr>
              <w:jc w:val="center"/>
              <w:textAlignment w:val="baseline"/>
              <w:rPr>
                <w:rFonts w:ascii="Arial" w:eastAsia="Times New Roman" w:hAnsi="Arial" w:cs="Arial"/>
                <w:szCs w:val="28"/>
                <w:lang w:eastAsia="en-GB"/>
              </w:rPr>
            </w:pPr>
            <w:r w:rsidRPr="00F349EA">
              <w:rPr>
                <w:rFonts w:ascii="Arial" w:eastAsia="Times New Roman" w:hAnsi="Arial" w:cs="Arial"/>
                <w:lang w:eastAsia="en-GB"/>
              </w:rPr>
              <w:t>Delivered</w:t>
            </w:r>
          </w:p>
        </w:tc>
      </w:tr>
    </w:tbl>
    <w:p w14:paraId="37E70C73" w14:textId="77777777" w:rsidR="00382EF1" w:rsidRPr="00F349EA" w:rsidRDefault="00382EF1" w:rsidP="00202277">
      <w:pPr>
        <w:spacing w:line="240" w:lineRule="auto"/>
      </w:pPr>
    </w:p>
    <w:p w14:paraId="5AFC73B3" w14:textId="6509DA9B" w:rsidR="00EB0F9B" w:rsidRPr="00F349EA" w:rsidRDefault="00EB0F9B" w:rsidP="00EB0F9B">
      <w:pPr>
        <w:spacing w:before="240" w:after="120"/>
        <w:rPr>
          <w:sz w:val="28"/>
          <w:szCs w:val="28"/>
        </w:rPr>
      </w:pPr>
      <w:r w:rsidRPr="00F349EA">
        <w:rPr>
          <w:b/>
          <w:bCs/>
          <w:sz w:val="28"/>
          <w:szCs w:val="28"/>
        </w:rPr>
        <w:t>Overall objective score</w:t>
      </w:r>
      <w:r w:rsidRPr="00F349EA">
        <w:rPr>
          <w:sz w:val="28"/>
          <w:szCs w:val="28"/>
        </w:rPr>
        <w:t xml:space="preserve"> =</w:t>
      </w:r>
      <w:r w:rsidRPr="00F349EA">
        <w:rPr>
          <w:color w:val="016574"/>
          <w:sz w:val="28"/>
          <w:szCs w:val="28"/>
        </w:rPr>
        <w:t xml:space="preserve"> </w:t>
      </w:r>
      <w:r w:rsidRPr="00F349EA">
        <w:rPr>
          <w:sz w:val="28"/>
          <w:szCs w:val="28"/>
        </w:rPr>
        <w:t>0.</w:t>
      </w:r>
      <w:r w:rsidR="00512168" w:rsidRPr="00F349EA">
        <w:rPr>
          <w:sz w:val="28"/>
          <w:szCs w:val="28"/>
        </w:rPr>
        <w:t>47</w:t>
      </w:r>
    </w:p>
    <w:p w14:paraId="1EE53A5B" w14:textId="77777777" w:rsidR="00EB0F9B" w:rsidRPr="00F349EA" w:rsidRDefault="00EB0F9B" w:rsidP="00202277">
      <w:pPr>
        <w:spacing w:line="240" w:lineRule="auto"/>
      </w:pPr>
    </w:p>
    <w:p w14:paraId="7E0D28ED" w14:textId="09AE1F96" w:rsidR="006E5DCB" w:rsidRPr="00F349EA" w:rsidRDefault="006E5DCB" w:rsidP="00E53135">
      <w:pPr>
        <w:pStyle w:val="Heading3"/>
        <w:spacing w:before="120" w:after="120"/>
        <w:rPr>
          <w:color w:val="016574"/>
          <w:sz w:val="32"/>
          <w:szCs w:val="28"/>
        </w:rPr>
      </w:pPr>
      <w:r w:rsidRPr="00F349EA">
        <w:rPr>
          <w:color w:val="016574"/>
          <w:sz w:val="32"/>
          <w:szCs w:val="28"/>
        </w:rPr>
        <w:t xml:space="preserve">WE OKR6 </w:t>
      </w:r>
      <w:r w:rsidR="00663455" w:rsidRPr="00F349EA">
        <w:rPr>
          <w:color w:val="016574"/>
          <w:sz w:val="32"/>
          <w:szCs w:val="28"/>
        </w:rPr>
        <w:t>Prepare for future cycles of river basin management planning.</w:t>
      </w:r>
    </w:p>
    <w:p w14:paraId="2ED8AAAA" w14:textId="0BF1A8CE" w:rsidR="002D3AEF" w:rsidRPr="00F349EA" w:rsidRDefault="00833C78" w:rsidP="00F274EA">
      <w:pPr>
        <w:spacing w:before="120" w:after="120" w:line="240" w:lineRule="auto"/>
        <w:rPr>
          <w:b/>
          <w:bCs/>
          <w:color w:val="3C4741" w:themeColor="text1"/>
          <w:sz w:val="28"/>
          <w:szCs w:val="28"/>
        </w:rPr>
      </w:pPr>
      <w:r w:rsidRPr="00F349EA">
        <w:rPr>
          <w:noProof/>
        </w:rPr>
        <w:drawing>
          <wp:inline distT="0" distB="0" distL="0" distR="0" wp14:anchorId="50E5A09B" wp14:editId="2809279C">
            <wp:extent cx="9461500" cy="2735451"/>
            <wp:effectExtent l="0" t="0" r="6350" b="8255"/>
            <wp:docPr id="1483260596" name="Chart 1" descr="This is a bar graph which shows the score of each key result for OKR06 over each quarter. &#10;There is a line on the score scale of 0.7 to represent whether the KR is being delivered. There is another line on the score scale of 0.3 to represent whether measurable progress has been made in the quarter.&#10;For Q1 and Q2, KR6.1, KR6.2 and KR6.3 have no score as they will be progressed later in the year.&#10;">
              <a:extLst xmlns:a="http://schemas.openxmlformats.org/drawingml/2006/main">
                <a:ext uri="{FF2B5EF4-FFF2-40B4-BE49-F238E27FC236}">
                  <a16:creationId xmlns:a16="http://schemas.microsoft.com/office/drawing/2014/main" id="{6658DC50-DF77-484D-91B5-C3674209CB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6 key result summary"/>
        <w:tblDescription w:val="Q1 summary for each of the three key results under OKR6. This includes the date due, Q1 score, Q1 status, Q1 commentary and annual forecast for each key result."/>
      </w:tblPr>
      <w:tblGrid>
        <w:gridCol w:w="3833"/>
        <w:gridCol w:w="731"/>
        <w:gridCol w:w="1209"/>
        <w:gridCol w:w="889"/>
        <w:gridCol w:w="889"/>
        <w:gridCol w:w="889"/>
        <w:gridCol w:w="987"/>
        <w:gridCol w:w="3808"/>
        <w:gridCol w:w="1723"/>
      </w:tblGrid>
      <w:tr w:rsidR="00A95D65" w:rsidRPr="00F349EA" w14:paraId="22FD9EE1" w14:textId="77777777" w:rsidTr="000A3142">
        <w:trPr>
          <w:cantSplit/>
          <w:trHeight w:val="545"/>
          <w:tblHeader/>
        </w:trPr>
        <w:tc>
          <w:tcPr>
            <w:tcW w:w="1281" w:type="pct"/>
            <w:tcBorders>
              <w:bottom w:val="single" w:sz="8" w:space="0" w:color="auto"/>
            </w:tcBorders>
            <w:shd w:val="clear" w:color="auto" w:fill="016574" w:themeFill="accent2"/>
          </w:tcPr>
          <w:p w14:paraId="37B3A622" w14:textId="77777777" w:rsidR="006E5DCB" w:rsidRPr="00F349EA" w:rsidRDefault="006E5DCB">
            <w:pPr>
              <w:spacing w:before="40" w:after="40" w:line="240" w:lineRule="auto"/>
              <w:textAlignment w:val="baseline"/>
              <w:rPr>
                <w:rFonts w:ascii="Arial" w:eastAsia="Times New Roman" w:hAnsi="Arial" w:cs="Arial"/>
                <w:color w:val="000000"/>
                <w:sz w:val="28"/>
                <w:szCs w:val="28"/>
                <w:lang w:eastAsia="en-GB"/>
              </w:rPr>
            </w:pPr>
            <w:r w:rsidRPr="00F349EA">
              <w:rPr>
                <w:rFonts w:ascii="Arial" w:eastAsia="MS PGothic" w:hAnsi="Arial" w:cs="Arial"/>
                <w:b/>
                <w:bCs/>
                <w:color w:val="FFFFFF" w:themeColor="background1"/>
              </w:rPr>
              <w:lastRenderedPageBreak/>
              <w:t>Key Results</w:t>
            </w:r>
          </w:p>
        </w:tc>
        <w:tc>
          <w:tcPr>
            <w:tcW w:w="244" w:type="pct"/>
            <w:tcBorders>
              <w:bottom w:val="single" w:sz="8" w:space="0" w:color="auto"/>
            </w:tcBorders>
            <w:shd w:val="clear" w:color="auto" w:fill="016574" w:themeFill="accent2"/>
          </w:tcPr>
          <w:p w14:paraId="01F92F56" w14:textId="77777777" w:rsidR="006E5DCB" w:rsidRPr="00F349EA" w:rsidRDefault="006E5DCB">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Due date</w:t>
            </w:r>
          </w:p>
        </w:tc>
        <w:tc>
          <w:tcPr>
            <w:tcW w:w="404" w:type="pct"/>
            <w:tcBorders>
              <w:bottom w:val="single" w:sz="8" w:space="0" w:color="auto"/>
            </w:tcBorders>
            <w:shd w:val="clear" w:color="auto" w:fill="016574" w:themeFill="accent2"/>
          </w:tcPr>
          <w:p w14:paraId="4F99A692" w14:textId="77777777" w:rsidR="006E5DCB" w:rsidRPr="00F349EA" w:rsidRDefault="006E5DCB">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Q1 score</w:t>
            </w:r>
          </w:p>
        </w:tc>
        <w:tc>
          <w:tcPr>
            <w:tcW w:w="297" w:type="pct"/>
            <w:tcBorders>
              <w:bottom w:val="single" w:sz="8" w:space="0" w:color="auto"/>
            </w:tcBorders>
            <w:shd w:val="clear" w:color="auto" w:fill="016574" w:themeFill="accent2"/>
          </w:tcPr>
          <w:p w14:paraId="54980EF3" w14:textId="77777777" w:rsidR="006E5DCB" w:rsidRPr="00F349EA" w:rsidRDefault="006E5DCB">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Q2 score</w:t>
            </w:r>
          </w:p>
        </w:tc>
        <w:tc>
          <w:tcPr>
            <w:tcW w:w="297" w:type="pct"/>
            <w:tcBorders>
              <w:bottom w:val="single" w:sz="8" w:space="0" w:color="auto"/>
            </w:tcBorders>
            <w:shd w:val="clear" w:color="auto" w:fill="016574" w:themeFill="accent2"/>
          </w:tcPr>
          <w:p w14:paraId="68825DF0" w14:textId="77777777" w:rsidR="006E5DCB" w:rsidRPr="00F349EA" w:rsidRDefault="006E5DCB">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Q3 score</w:t>
            </w:r>
          </w:p>
        </w:tc>
        <w:tc>
          <w:tcPr>
            <w:tcW w:w="297" w:type="pct"/>
            <w:tcBorders>
              <w:bottom w:val="single" w:sz="8" w:space="0" w:color="auto"/>
            </w:tcBorders>
            <w:shd w:val="clear" w:color="auto" w:fill="016574" w:themeFill="accent2"/>
          </w:tcPr>
          <w:p w14:paraId="6C5A9BF9" w14:textId="77777777" w:rsidR="006E5DCB" w:rsidRPr="00F349EA" w:rsidRDefault="006E5DCB">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Q4 score</w:t>
            </w:r>
          </w:p>
        </w:tc>
        <w:tc>
          <w:tcPr>
            <w:tcW w:w="330" w:type="pct"/>
            <w:tcBorders>
              <w:bottom w:val="single" w:sz="8" w:space="0" w:color="auto"/>
            </w:tcBorders>
            <w:shd w:val="clear" w:color="auto" w:fill="016574" w:themeFill="accent2"/>
          </w:tcPr>
          <w:p w14:paraId="6B1E8CDA" w14:textId="5C611F8A" w:rsidR="006E5DCB" w:rsidRPr="00F349EA" w:rsidRDefault="006E5DCB">
            <w:pPr>
              <w:spacing w:before="40" w:after="40" w:line="240" w:lineRule="auto"/>
              <w:jc w:val="center"/>
              <w:textAlignment w:val="baseline"/>
              <w:rPr>
                <w:rFonts w:ascii="Arial" w:eastAsia="Times New Roman" w:hAnsi="Arial" w:cs="Arial"/>
                <w:color w:val="000000"/>
                <w:lang w:eastAsia="en-GB"/>
              </w:rPr>
            </w:pPr>
            <w:r w:rsidRPr="00F349EA">
              <w:rPr>
                <w:rFonts w:ascii="Arial" w:eastAsia="MS PGothic" w:hAnsi="Arial" w:cs="Arial"/>
                <w:b/>
                <w:bCs/>
                <w:color w:val="FFFFFF"/>
              </w:rPr>
              <w:t>Q</w:t>
            </w:r>
            <w:r w:rsidR="007B42BA" w:rsidRPr="00F349EA">
              <w:rPr>
                <w:rFonts w:ascii="Arial" w:eastAsia="MS PGothic" w:hAnsi="Arial" w:cs="Arial"/>
                <w:b/>
                <w:bCs/>
                <w:color w:val="FFFFFF"/>
              </w:rPr>
              <w:t>2</w:t>
            </w:r>
            <w:r w:rsidRPr="00F349EA">
              <w:rPr>
                <w:rFonts w:ascii="Arial" w:eastAsia="MS PGothic" w:hAnsi="Arial" w:cs="Arial"/>
                <w:b/>
                <w:bCs/>
                <w:color w:val="FFFFFF"/>
              </w:rPr>
              <w:t xml:space="preserve"> Status</w:t>
            </w:r>
          </w:p>
        </w:tc>
        <w:tc>
          <w:tcPr>
            <w:tcW w:w="1273" w:type="pct"/>
            <w:tcBorders>
              <w:bottom w:val="single" w:sz="8" w:space="0" w:color="auto"/>
            </w:tcBorders>
            <w:shd w:val="clear" w:color="auto" w:fill="016574" w:themeFill="accent2"/>
          </w:tcPr>
          <w:p w14:paraId="0E0E6888" w14:textId="4F4DE6DC" w:rsidR="006E5DCB" w:rsidRPr="00F349EA" w:rsidRDefault="006E5DCB">
            <w:pPr>
              <w:spacing w:before="40" w:after="40" w:line="240" w:lineRule="auto"/>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Q</w:t>
            </w:r>
            <w:r w:rsidR="007B42BA" w:rsidRPr="00F349EA">
              <w:rPr>
                <w:rFonts w:ascii="Arial" w:eastAsia="MS PGothic" w:hAnsi="Arial" w:cs="Arial"/>
                <w:b/>
                <w:bCs/>
                <w:color w:val="FFFFFF"/>
                <w:sz w:val="28"/>
                <w:szCs w:val="28"/>
              </w:rPr>
              <w:t xml:space="preserve">2 </w:t>
            </w:r>
            <w:r w:rsidRPr="00F349EA">
              <w:rPr>
                <w:rFonts w:ascii="Arial" w:eastAsia="MS PGothic" w:hAnsi="Arial" w:cs="Arial"/>
                <w:b/>
                <w:bCs/>
                <w:color w:val="FFFFFF"/>
                <w:sz w:val="28"/>
                <w:szCs w:val="28"/>
              </w:rPr>
              <w:t>commentary</w:t>
            </w:r>
          </w:p>
        </w:tc>
        <w:tc>
          <w:tcPr>
            <w:tcW w:w="576" w:type="pct"/>
            <w:tcBorders>
              <w:bottom w:val="single" w:sz="8" w:space="0" w:color="auto"/>
            </w:tcBorders>
            <w:shd w:val="clear" w:color="auto" w:fill="016574" w:themeFill="accent2"/>
          </w:tcPr>
          <w:p w14:paraId="59CCDB15" w14:textId="77777777" w:rsidR="006E5DCB" w:rsidRPr="00F349EA" w:rsidRDefault="006E5DCB">
            <w:pPr>
              <w:spacing w:before="40" w:after="40"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Annual forecast</w:t>
            </w:r>
          </w:p>
        </w:tc>
      </w:tr>
      <w:tr w:rsidR="000D3612" w:rsidRPr="00F349EA" w14:paraId="7ECD3359" w14:textId="77777777" w:rsidTr="000A3142">
        <w:tblPrEx>
          <w:tblCellMar>
            <w:left w:w="108" w:type="dxa"/>
            <w:right w:w="108" w:type="dxa"/>
          </w:tblCellMar>
        </w:tblPrEx>
        <w:trPr>
          <w:cantSplit/>
          <w:trHeight w:val="16"/>
          <w:tblHeader/>
        </w:trPr>
        <w:tc>
          <w:tcPr>
            <w:tcW w:w="1281" w:type="pct"/>
            <w:tcBorders>
              <w:top w:val="single" w:sz="8" w:space="0" w:color="auto"/>
              <w:left w:val="single" w:sz="8" w:space="0" w:color="auto"/>
              <w:bottom w:val="single" w:sz="8" w:space="0" w:color="auto"/>
              <w:right w:val="single" w:sz="8" w:space="0" w:color="auto"/>
            </w:tcBorders>
            <w:vAlign w:val="center"/>
          </w:tcPr>
          <w:p w14:paraId="76C4E6F1" w14:textId="6231178F" w:rsidR="00863B9C" w:rsidRPr="00F349EA" w:rsidRDefault="00863B9C" w:rsidP="00ED15C4">
            <w:pPr>
              <w:rPr>
                <w:rFonts w:asciiTheme="majorHAnsi" w:eastAsia="Times New Roman" w:hAnsiTheme="majorHAnsi" w:cstheme="majorHAnsi"/>
                <w:color w:val="000000"/>
              </w:rPr>
            </w:pPr>
            <w:r w:rsidRPr="00F349EA">
              <w:rPr>
                <w:rFonts w:asciiTheme="majorHAnsi" w:hAnsiTheme="majorHAnsi" w:cstheme="majorHAnsi"/>
                <w:b/>
                <w:bCs/>
                <w:color w:val="000000"/>
              </w:rPr>
              <w:t xml:space="preserve">KR 6.1: </w:t>
            </w:r>
            <w:r w:rsidRPr="00F349EA">
              <w:rPr>
                <w:rFonts w:asciiTheme="majorHAnsi" w:hAnsiTheme="majorHAnsi" w:cstheme="majorHAnsi"/>
                <w:color w:val="000000"/>
              </w:rPr>
              <w:t xml:space="preserve">Publish significant water management issues (SWMI) report by 22 Dec 2025. </w:t>
            </w:r>
          </w:p>
        </w:tc>
        <w:tc>
          <w:tcPr>
            <w:tcW w:w="244" w:type="pct"/>
            <w:tcBorders>
              <w:top w:val="single" w:sz="8" w:space="0" w:color="auto"/>
              <w:left w:val="single" w:sz="8" w:space="0" w:color="auto"/>
              <w:bottom w:val="single" w:sz="8" w:space="0" w:color="auto"/>
              <w:right w:val="single" w:sz="8" w:space="0" w:color="auto"/>
            </w:tcBorders>
            <w:vAlign w:val="center"/>
          </w:tcPr>
          <w:p w14:paraId="7ADC9725" w14:textId="77777777" w:rsidR="00863B9C" w:rsidRPr="00F349EA" w:rsidRDefault="00863B9C" w:rsidP="00ED15C4">
            <w:pPr>
              <w:jc w:val="center"/>
              <w:textAlignment w:val="baseline"/>
              <w:rPr>
                <w:rFonts w:eastAsia="Times New Roman" w:cstheme="minorHAnsi"/>
                <w:lang w:eastAsia="en-GB"/>
              </w:rPr>
            </w:pPr>
            <w:r w:rsidRPr="00F349EA">
              <w:rPr>
                <w:rFonts w:cstheme="minorHAnsi"/>
                <w:color w:val="000000"/>
              </w:rPr>
              <w:t>Q3</w:t>
            </w:r>
          </w:p>
        </w:tc>
        <w:tc>
          <w:tcPr>
            <w:tcW w:w="404" w:type="pct"/>
            <w:tcBorders>
              <w:top w:val="single" w:sz="8" w:space="0" w:color="auto"/>
              <w:left w:val="single" w:sz="8" w:space="0" w:color="auto"/>
              <w:bottom w:val="single" w:sz="8" w:space="0" w:color="auto"/>
              <w:right w:val="single" w:sz="8" w:space="0" w:color="auto"/>
            </w:tcBorders>
            <w:vAlign w:val="center"/>
          </w:tcPr>
          <w:p w14:paraId="7B9F6059" w14:textId="314E6AEA" w:rsidR="00863B9C" w:rsidRPr="00F349EA" w:rsidRDefault="00417B8B" w:rsidP="00ED15C4">
            <w:pPr>
              <w:jc w:val="center"/>
              <w:textAlignment w:val="baseline"/>
              <w:rPr>
                <w:rFonts w:eastAsia="Times New Roman" w:cstheme="minorHAnsi"/>
                <w:lang w:eastAsia="en-GB"/>
              </w:rPr>
            </w:pPr>
            <w:r w:rsidRPr="00F349EA">
              <w:rPr>
                <w:rFonts w:eastAsia="Times New Roman" w:cstheme="minorHAnsi"/>
                <w:lang w:eastAsia="en-GB"/>
              </w:rPr>
              <w:t>N/A</w:t>
            </w:r>
          </w:p>
        </w:tc>
        <w:tc>
          <w:tcPr>
            <w:tcW w:w="297" w:type="pct"/>
            <w:tcBorders>
              <w:top w:val="single" w:sz="8" w:space="0" w:color="auto"/>
              <w:left w:val="single" w:sz="8" w:space="0" w:color="auto"/>
              <w:bottom w:val="single" w:sz="8" w:space="0" w:color="auto"/>
              <w:right w:val="single" w:sz="8" w:space="0" w:color="auto"/>
            </w:tcBorders>
            <w:vAlign w:val="center"/>
          </w:tcPr>
          <w:p w14:paraId="2C40248E" w14:textId="06B66A9B" w:rsidR="00863B9C" w:rsidRPr="00F349EA" w:rsidRDefault="00C6768A" w:rsidP="00ED15C4">
            <w:pPr>
              <w:jc w:val="center"/>
              <w:textAlignment w:val="baseline"/>
              <w:rPr>
                <w:rFonts w:ascii="Arial" w:eastAsia="Times New Roman" w:hAnsi="Arial" w:cs="Arial"/>
                <w:szCs w:val="28"/>
                <w:lang w:eastAsia="en-GB"/>
              </w:rPr>
            </w:pPr>
            <w:r w:rsidRPr="00F349EA">
              <w:rPr>
                <w:rFonts w:eastAsia="Times New Roman" w:cstheme="minorHAnsi"/>
                <w:lang w:eastAsia="en-GB"/>
              </w:rPr>
              <w:t>N/A</w:t>
            </w:r>
          </w:p>
        </w:tc>
        <w:tc>
          <w:tcPr>
            <w:tcW w:w="297" w:type="pct"/>
            <w:tcBorders>
              <w:top w:val="single" w:sz="8" w:space="0" w:color="auto"/>
              <w:left w:val="single" w:sz="8" w:space="0" w:color="auto"/>
              <w:bottom w:val="single" w:sz="8" w:space="0" w:color="auto"/>
              <w:right w:val="single" w:sz="8" w:space="0" w:color="auto"/>
            </w:tcBorders>
            <w:vAlign w:val="center"/>
          </w:tcPr>
          <w:p w14:paraId="33C7168E" w14:textId="77777777" w:rsidR="00863B9C" w:rsidRPr="00F349EA" w:rsidRDefault="00863B9C" w:rsidP="00ED15C4">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297" w:type="pct"/>
            <w:tcBorders>
              <w:top w:val="single" w:sz="8" w:space="0" w:color="auto"/>
              <w:left w:val="single" w:sz="8" w:space="0" w:color="auto"/>
              <w:bottom w:val="single" w:sz="8" w:space="0" w:color="auto"/>
              <w:right w:val="single" w:sz="8" w:space="0" w:color="auto"/>
            </w:tcBorders>
            <w:vAlign w:val="center"/>
          </w:tcPr>
          <w:p w14:paraId="77B91D8C" w14:textId="77777777" w:rsidR="00863B9C" w:rsidRPr="00F349EA" w:rsidRDefault="00863B9C" w:rsidP="00ED15C4">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30" w:type="pct"/>
            <w:tcBorders>
              <w:top w:val="single" w:sz="8" w:space="0" w:color="auto"/>
              <w:left w:val="single" w:sz="8" w:space="0" w:color="auto"/>
              <w:bottom w:val="single" w:sz="8" w:space="0" w:color="auto"/>
              <w:right w:val="single" w:sz="8" w:space="0" w:color="auto"/>
            </w:tcBorders>
            <w:vAlign w:val="center"/>
          </w:tcPr>
          <w:p w14:paraId="13AF8D81" w14:textId="77777777" w:rsidR="00863B9C" w:rsidRPr="00F349EA" w:rsidRDefault="00863B9C" w:rsidP="00ED15C4">
            <w:pPr>
              <w:jc w:val="center"/>
              <w:textAlignment w:val="baseline"/>
              <w:rPr>
                <w:rFonts w:ascii="Arial" w:eastAsia="Times New Roman" w:hAnsi="Arial" w:cs="Arial"/>
                <w:szCs w:val="28"/>
                <w:lang w:eastAsia="en-GB"/>
              </w:rPr>
            </w:pPr>
            <w:r w:rsidRPr="00F349EA">
              <w:rPr>
                <w:b/>
                <w:bCs/>
                <w:noProof/>
              </w:rPr>
              <w:drawing>
                <wp:inline distT="0" distB="0" distL="0" distR="0" wp14:anchorId="2C5C5C61" wp14:editId="37D7B85B">
                  <wp:extent cx="429370" cy="429370"/>
                  <wp:effectExtent l="0" t="0" r="8890" b="8890"/>
                  <wp:docPr id="1643736781"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430682" cy="430682"/>
                          </a:xfrm>
                          <a:prstGeom prst="rect">
                            <a:avLst/>
                          </a:prstGeom>
                        </pic:spPr>
                      </pic:pic>
                    </a:graphicData>
                  </a:graphic>
                </wp:inline>
              </w:drawing>
            </w:r>
          </w:p>
        </w:tc>
        <w:tc>
          <w:tcPr>
            <w:tcW w:w="1273" w:type="pct"/>
            <w:tcBorders>
              <w:top w:val="single" w:sz="8" w:space="0" w:color="auto"/>
              <w:left w:val="single" w:sz="8" w:space="0" w:color="auto"/>
              <w:bottom w:val="single" w:sz="8" w:space="0" w:color="auto"/>
              <w:right w:val="single" w:sz="8" w:space="0" w:color="auto"/>
            </w:tcBorders>
            <w:vAlign w:val="center"/>
          </w:tcPr>
          <w:p w14:paraId="1488729C" w14:textId="5A9BA3C9" w:rsidR="00863B9C" w:rsidRPr="00F349EA" w:rsidRDefault="00417B8B" w:rsidP="00ED15C4">
            <w:pPr>
              <w:textAlignment w:val="baseline"/>
              <w:rPr>
                <w:rFonts w:ascii="Arial" w:eastAsia="Times New Roman" w:hAnsi="Arial" w:cs="Arial"/>
                <w:lang w:eastAsia="en-GB"/>
              </w:rPr>
            </w:pPr>
            <w:r w:rsidRPr="00F349EA">
              <w:rPr>
                <w:rFonts w:ascii="Arial" w:eastAsia="Times New Roman" w:hAnsi="Arial" w:cs="Arial"/>
                <w:lang w:eastAsia="en-GB"/>
              </w:rPr>
              <w:t>On track</w:t>
            </w:r>
            <w:r w:rsidR="00516603" w:rsidRPr="00F349EA">
              <w:rPr>
                <w:rFonts w:ascii="Arial" w:eastAsia="Times New Roman" w:hAnsi="Arial" w:cs="Arial"/>
                <w:lang w:eastAsia="en-GB"/>
              </w:rPr>
              <w:t>.</w:t>
            </w:r>
            <w:r w:rsidR="00042E7F" w:rsidRPr="00F349EA">
              <w:rPr>
                <w:rFonts w:ascii="Arial" w:eastAsia="Times New Roman" w:hAnsi="Arial" w:cs="Arial"/>
                <w:lang w:eastAsia="en-GB"/>
              </w:rPr>
              <w:t xml:space="preserve"> </w:t>
            </w:r>
            <w:r w:rsidR="00CA65E0" w:rsidRPr="00F349EA">
              <w:rPr>
                <w:rFonts w:ascii="Arial" w:eastAsia="Times New Roman" w:hAnsi="Arial" w:cs="Arial"/>
                <w:lang w:eastAsia="en-GB"/>
              </w:rPr>
              <w:t xml:space="preserve">We are aiming to publish </w:t>
            </w:r>
            <w:r w:rsidR="00855FDA" w:rsidRPr="00F349EA">
              <w:rPr>
                <w:rFonts w:ascii="Arial" w:eastAsia="Times New Roman" w:hAnsi="Arial" w:cs="Arial"/>
                <w:lang w:eastAsia="en-GB"/>
              </w:rPr>
              <w:t xml:space="preserve">the report </w:t>
            </w:r>
            <w:r w:rsidR="00042E7F" w:rsidRPr="00F349EA">
              <w:rPr>
                <w:rFonts w:ascii="Arial" w:eastAsia="Times New Roman" w:hAnsi="Arial" w:cs="Arial"/>
                <w:lang w:eastAsia="en-GB"/>
              </w:rPr>
              <w:t xml:space="preserve">in November </w:t>
            </w:r>
            <w:r w:rsidR="00855FDA" w:rsidRPr="00F349EA">
              <w:rPr>
                <w:rFonts w:ascii="Arial" w:eastAsia="Times New Roman" w:hAnsi="Arial" w:cs="Arial"/>
                <w:lang w:eastAsia="en-GB"/>
              </w:rPr>
              <w:t>2025.</w:t>
            </w:r>
          </w:p>
          <w:p w14:paraId="50D45B43" w14:textId="51A19380" w:rsidR="00516603" w:rsidRPr="00F349EA" w:rsidRDefault="00516603" w:rsidP="00ED15C4">
            <w:pPr>
              <w:textAlignment w:val="baseline"/>
              <w:rPr>
                <w:rFonts w:ascii="Arial" w:eastAsia="Times New Roman" w:hAnsi="Arial" w:cs="Arial"/>
                <w:b/>
                <w:bCs/>
                <w:lang w:eastAsia="en-GB"/>
              </w:rPr>
            </w:pPr>
            <w:r w:rsidRPr="00F349EA">
              <w:rPr>
                <w:rFonts w:ascii="Arial" w:eastAsia="Times New Roman" w:hAnsi="Arial" w:cs="Arial"/>
                <w:b/>
                <w:bCs/>
                <w:lang w:eastAsia="en-GB"/>
              </w:rPr>
              <w:t>Confidence in forecast: High </w:t>
            </w:r>
          </w:p>
        </w:tc>
        <w:tc>
          <w:tcPr>
            <w:tcW w:w="576" w:type="pct"/>
            <w:tcBorders>
              <w:top w:val="single" w:sz="8" w:space="0" w:color="auto"/>
              <w:left w:val="single" w:sz="8" w:space="0" w:color="auto"/>
              <w:bottom w:val="single" w:sz="8" w:space="0" w:color="auto"/>
              <w:right w:val="single" w:sz="8" w:space="0" w:color="auto"/>
            </w:tcBorders>
            <w:vAlign w:val="center"/>
          </w:tcPr>
          <w:p w14:paraId="7DBE0B87" w14:textId="189A7B2E" w:rsidR="00863B9C" w:rsidRPr="00F349EA" w:rsidRDefault="00471143"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Delivered</w:t>
            </w:r>
          </w:p>
        </w:tc>
      </w:tr>
      <w:tr w:rsidR="000D3612" w:rsidRPr="00F349EA" w14:paraId="677031B1" w14:textId="77777777" w:rsidTr="000A3142">
        <w:trPr>
          <w:cantSplit/>
          <w:trHeight w:val="881"/>
          <w:tblHeader/>
        </w:trPr>
        <w:tc>
          <w:tcPr>
            <w:tcW w:w="1281" w:type="pct"/>
            <w:tcBorders>
              <w:top w:val="single" w:sz="8" w:space="0" w:color="auto"/>
              <w:left w:val="single" w:sz="8" w:space="0" w:color="auto"/>
              <w:bottom w:val="single" w:sz="8" w:space="0" w:color="auto"/>
              <w:right w:val="single" w:sz="8" w:space="0" w:color="auto"/>
            </w:tcBorders>
            <w:vAlign w:val="center"/>
          </w:tcPr>
          <w:p w14:paraId="2137E089" w14:textId="1061BFCA" w:rsidR="00863B9C" w:rsidRPr="00F349EA" w:rsidRDefault="00863B9C" w:rsidP="00ED15C4">
            <w:pPr>
              <w:rPr>
                <w:rFonts w:asciiTheme="majorHAnsi" w:eastAsia="Times New Roman" w:hAnsiTheme="majorHAnsi" w:cstheme="majorHAnsi"/>
                <w:color w:val="000000"/>
              </w:rPr>
            </w:pPr>
            <w:r w:rsidRPr="00F349EA">
              <w:rPr>
                <w:rFonts w:asciiTheme="majorHAnsi" w:hAnsiTheme="majorHAnsi" w:cstheme="majorHAnsi"/>
                <w:b/>
                <w:bCs/>
                <w:color w:val="000000"/>
              </w:rPr>
              <w:t xml:space="preserve">KR 6.2: </w:t>
            </w:r>
            <w:r w:rsidRPr="00F349EA">
              <w:rPr>
                <w:rFonts w:asciiTheme="majorHAnsi" w:hAnsiTheme="majorHAnsi" w:cstheme="majorHAnsi"/>
                <w:color w:val="000000"/>
              </w:rPr>
              <w:t xml:space="preserve">100% completion of review of monitoring network for classification to understand the pressures and impacts, to prepare for the 2026 monitoring plan </w:t>
            </w:r>
          </w:p>
        </w:tc>
        <w:tc>
          <w:tcPr>
            <w:tcW w:w="244" w:type="pct"/>
            <w:tcBorders>
              <w:top w:val="single" w:sz="8" w:space="0" w:color="auto"/>
              <w:left w:val="single" w:sz="8" w:space="0" w:color="auto"/>
              <w:bottom w:val="single" w:sz="8" w:space="0" w:color="auto"/>
              <w:right w:val="single" w:sz="8" w:space="0" w:color="auto"/>
            </w:tcBorders>
            <w:vAlign w:val="center"/>
          </w:tcPr>
          <w:p w14:paraId="77AD9D57" w14:textId="44D1A4B1" w:rsidR="00863B9C" w:rsidRPr="00F349EA" w:rsidRDefault="00863B9C" w:rsidP="00ED15C4">
            <w:pPr>
              <w:jc w:val="center"/>
              <w:textAlignment w:val="baseline"/>
              <w:rPr>
                <w:rFonts w:eastAsia="Times New Roman" w:cstheme="minorHAnsi"/>
                <w:lang w:eastAsia="en-GB"/>
              </w:rPr>
            </w:pPr>
            <w:r w:rsidRPr="00F349EA">
              <w:rPr>
                <w:rFonts w:cstheme="minorHAnsi"/>
                <w:color w:val="000000"/>
              </w:rPr>
              <w:t xml:space="preserve">Q3 </w:t>
            </w:r>
          </w:p>
        </w:tc>
        <w:tc>
          <w:tcPr>
            <w:tcW w:w="404" w:type="pct"/>
            <w:tcBorders>
              <w:top w:val="single" w:sz="8" w:space="0" w:color="auto"/>
              <w:left w:val="single" w:sz="8" w:space="0" w:color="auto"/>
              <w:bottom w:val="single" w:sz="8" w:space="0" w:color="auto"/>
              <w:right w:val="single" w:sz="8" w:space="0" w:color="auto"/>
            </w:tcBorders>
            <w:vAlign w:val="center"/>
          </w:tcPr>
          <w:p w14:paraId="5A7A0DF0" w14:textId="360AC706" w:rsidR="00863B9C" w:rsidRPr="00F349EA" w:rsidRDefault="0034006A" w:rsidP="00ED15C4">
            <w:pPr>
              <w:jc w:val="center"/>
              <w:textAlignment w:val="baseline"/>
              <w:rPr>
                <w:rFonts w:eastAsia="Times New Roman" w:cstheme="minorHAnsi"/>
                <w:lang w:eastAsia="en-GB"/>
              </w:rPr>
            </w:pPr>
            <w:r w:rsidRPr="00F349EA">
              <w:rPr>
                <w:rFonts w:eastAsia="Times New Roman" w:cstheme="minorHAnsi"/>
                <w:lang w:eastAsia="en-GB"/>
              </w:rPr>
              <w:t>N/A</w:t>
            </w:r>
          </w:p>
        </w:tc>
        <w:tc>
          <w:tcPr>
            <w:tcW w:w="297" w:type="pct"/>
            <w:tcBorders>
              <w:top w:val="single" w:sz="8" w:space="0" w:color="auto"/>
              <w:left w:val="single" w:sz="8" w:space="0" w:color="auto"/>
              <w:bottom w:val="single" w:sz="8" w:space="0" w:color="auto"/>
              <w:right w:val="single" w:sz="8" w:space="0" w:color="auto"/>
            </w:tcBorders>
            <w:vAlign w:val="center"/>
          </w:tcPr>
          <w:p w14:paraId="1775896E" w14:textId="542EE033" w:rsidR="00863B9C" w:rsidRPr="00F349EA" w:rsidRDefault="00C6768A" w:rsidP="00ED15C4">
            <w:pPr>
              <w:jc w:val="center"/>
              <w:textAlignment w:val="baseline"/>
              <w:rPr>
                <w:rFonts w:ascii="Arial" w:eastAsia="Times New Roman" w:hAnsi="Arial" w:cs="Arial"/>
                <w:szCs w:val="28"/>
                <w:lang w:eastAsia="en-GB"/>
              </w:rPr>
            </w:pPr>
            <w:r w:rsidRPr="00F349EA">
              <w:rPr>
                <w:rFonts w:eastAsia="Times New Roman" w:cstheme="minorHAnsi"/>
                <w:lang w:eastAsia="en-GB"/>
              </w:rPr>
              <w:t>N/A</w:t>
            </w:r>
          </w:p>
        </w:tc>
        <w:tc>
          <w:tcPr>
            <w:tcW w:w="297" w:type="pct"/>
            <w:tcBorders>
              <w:top w:val="single" w:sz="8" w:space="0" w:color="auto"/>
              <w:left w:val="single" w:sz="8" w:space="0" w:color="auto"/>
              <w:bottom w:val="single" w:sz="8" w:space="0" w:color="auto"/>
              <w:right w:val="single" w:sz="8" w:space="0" w:color="auto"/>
            </w:tcBorders>
            <w:vAlign w:val="center"/>
          </w:tcPr>
          <w:p w14:paraId="13260141" w14:textId="77777777" w:rsidR="00863B9C" w:rsidRPr="00F349EA" w:rsidRDefault="00863B9C" w:rsidP="00ED15C4">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297" w:type="pct"/>
            <w:tcBorders>
              <w:top w:val="single" w:sz="8" w:space="0" w:color="auto"/>
              <w:left w:val="single" w:sz="8" w:space="0" w:color="auto"/>
              <w:bottom w:val="single" w:sz="8" w:space="0" w:color="auto"/>
              <w:right w:val="single" w:sz="8" w:space="0" w:color="auto"/>
            </w:tcBorders>
            <w:vAlign w:val="center"/>
          </w:tcPr>
          <w:p w14:paraId="340AC83F" w14:textId="77777777" w:rsidR="00863B9C" w:rsidRPr="00F349EA" w:rsidRDefault="00863B9C" w:rsidP="00ED15C4">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30" w:type="pct"/>
            <w:tcBorders>
              <w:top w:val="single" w:sz="8" w:space="0" w:color="auto"/>
              <w:left w:val="single" w:sz="8" w:space="0" w:color="auto"/>
              <w:bottom w:val="single" w:sz="8" w:space="0" w:color="auto"/>
              <w:right w:val="single" w:sz="8" w:space="0" w:color="auto"/>
            </w:tcBorders>
            <w:vAlign w:val="center"/>
          </w:tcPr>
          <w:p w14:paraId="1CB0E41E" w14:textId="54C6EF8D" w:rsidR="00863B9C" w:rsidRPr="00F349EA" w:rsidRDefault="009D23FE" w:rsidP="00ED15C4">
            <w:pPr>
              <w:jc w:val="center"/>
              <w:textAlignment w:val="baseline"/>
              <w:rPr>
                <w:b/>
                <w:bCs/>
              </w:rPr>
            </w:pPr>
            <w:r w:rsidRPr="00F349EA">
              <w:rPr>
                <w:b/>
                <w:bCs/>
                <w:noProof/>
              </w:rPr>
              <w:drawing>
                <wp:inline distT="0" distB="0" distL="0" distR="0" wp14:anchorId="6EE0D614" wp14:editId="01823419">
                  <wp:extent cx="421419" cy="421419"/>
                  <wp:effectExtent l="0" t="0" r="0" b="0"/>
                  <wp:docPr id="1885180499"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422929" cy="422929"/>
                          </a:xfrm>
                          <a:prstGeom prst="rect">
                            <a:avLst/>
                          </a:prstGeom>
                        </pic:spPr>
                      </pic:pic>
                    </a:graphicData>
                  </a:graphic>
                </wp:inline>
              </w:drawing>
            </w:r>
          </w:p>
        </w:tc>
        <w:tc>
          <w:tcPr>
            <w:tcW w:w="1273" w:type="pct"/>
            <w:tcBorders>
              <w:top w:val="single" w:sz="8" w:space="0" w:color="auto"/>
              <w:left w:val="single" w:sz="8" w:space="0" w:color="auto"/>
              <w:bottom w:val="single" w:sz="8" w:space="0" w:color="auto"/>
              <w:right w:val="single" w:sz="8" w:space="0" w:color="auto"/>
            </w:tcBorders>
            <w:vAlign w:val="center"/>
          </w:tcPr>
          <w:p w14:paraId="4C079095" w14:textId="77777777" w:rsidR="00863B9C" w:rsidRPr="00F349EA" w:rsidRDefault="0034006A" w:rsidP="00ED15C4">
            <w:pPr>
              <w:textAlignment w:val="baseline"/>
              <w:rPr>
                <w:rFonts w:ascii="Arial" w:eastAsia="Times New Roman" w:hAnsi="Arial" w:cs="Arial"/>
                <w:lang w:eastAsia="en-GB"/>
              </w:rPr>
            </w:pPr>
            <w:r w:rsidRPr="00F349EA">
              <w:rPr>
                <w:rFonts w:ascii="Arial" w:eastAsia="Times New Roman" w:hAnsi="Arial" w:cs="Arial"/>
                <w:lang w:eastAsia="en-GB"/>
              </w:rPr>
              <w:t xml:space="preserve">On track. </w:t>
            </w:r>
          </w:p>
          <w:p w14:paraId="492C1476" w14:textId="59428190" w:rsidR="00471143" w:rsidRPr="00F349EA" w:rsidRDefault="00471143" w:rsidP="00ED15C4">
            <w:pPr>
              <w:textAlignment w:val="baseline"/>
              <w:rPr>
                <w:rFonts w:ascii="Arial" w:eastAsia="Times New Roman" w:hAnsi="Arial" w:cs="Arial"/>
                <w:b/>
                <w:bCs/>
                <w:lang w:eastAsia="en-GB"/>
              </w:rPr>
            </w:pPr>
            <w:r w:rsidRPr="00F349EA">
              <w:rPr>
                <w:rFonts w:ascii="Arial" w:eastAsia="Times New Roman" w:hAnsi="Arial" w:cs="Arial"/>
                <w:b/>
                <w:bCs/>
                <w:lang w:eastAsia="en-GB"/>
              </w:rPr>
              <w:t>Confidence in forecast: High </w:t>
            </w:r>
          </w:p>
        </w:tc>
        <w:tc>
          <w:tcPr>
            <w:tcW w:w="576" w:type="pct"/>
            <w:tcBorders>
              <w:top w:val="single" w:sz="8" w:space="0" w:color="auto"/>
              <w:left w:val="single" w:sz="8" w:space="0" w:color="auto"/>
              <w:bottom w:val="single" w:sz="8" w:space="0" w:color="auto"/>
              <w:right w:val="single" w:sz="8" w:space="0" w:color="auto"/>
            </w:tcBorders>
            <w:vAlign w:val="center"/>
          </w:tcPr>
          <w:p w14:paraId="3B19CA3C" w14:textId="79744FE1" w:rsidR="00863B9C" w:rsidRPr="00F349EA" w:rsidRDefault="00471143" w:rsidP="00ED15C4">
            <w:pPr>
              <w:jc w:val="center"/>
              <w:textAlignment w:val="baseline"/>
              <w:rPr>
                <w:rFonts w:ascii="Arial" w:eastAsia="Times New Roman" w:hAnsi="Arial" w:cs="Arial"/>
                <w:szCs w:val="28"/>
                <w:lang w:eastAsia="en-GB"/>
              </w:rPr>
            </w:pPr>
            <w:r w:rsidRPr="00F349EA">
              <w:rPr>
                <w:rFonts w:ascii="Arial" w:eastAsia="Times New Roman" w:hAnsi="Arial" w:cs="Arial"/>
                <w:lang w:eastAsia="en-GB"/>
              </w:rPr>
              <w:t>Delivered</w:t>
            </w:r>
          </w:p>
        </w:tc>
      </w:tr>
      <w:tr w:rsidR="000D3612" w:rsidRPr="00F349EA" w14:paraId="490F4D5A" w14:textId="77777777" w:rsidTr="000A3142">
        <w:trPr>
          <w:cantSplit/>
          <w:trHeight w:val="16"/>
          <w:tblHeader/>
        </w:trPr>
        <w:tc>
          <w:tcPr>
            <w:tcW w:w="1281" w:type="pct"/>
            <w:tcBorders>
              <w:top w:val="single" w:sz="8" w:space="0" w:color="auto"/>
              <w:left w:val="single" w:sz="8" w:space="0" w:color="auto"/>
              <w:bottom w:val="single" w:sz="8" w:space="0" w:color="auto"/>
              <w:right w:val="single" w:sz="8" w:space="0" w:color="auto"/>
            </w:tcBorders>
            <w:vAlign w:val="center"/>
          </w:tcPr>
          <w:p w14:paraId="562F4198" w14:textId="11075F02" w:rsidR="00863B9C" w:rsidRPr="00F349EA" w:rsidRDefault="00863B9C" w:rsidP="00ED15C4">
            <w:pPr>
              <w:rPr>
                <w:rFonts w:asciiTheme="majorHAnsi" w:eastAsia="Times New Roman" w:hAnsiTheme="majorHAnsi" w:cstheme="majorHAnsi"/>
                <w:color w:val="000000"/>
              </w:rPr>
            </w:pPr>
            <w:r w:rsidRPr="00F349EA">
              <w:rPr>
                <w:rFonts w:asciiTheme="majorHAnsi" w:hAnsiTheme="majorHAnsi" w:cstheme="majorHAnsi"/>
                <w:b/>
                <w:bCs/>
                <w:color w:val="000000"/>
              </w:rPr>
              <w:t xml:space="preserve">KR 6.3: </w:t>
            </w:r>
            <w:r w:rsidRPr="00F349EA">
              <w:rPr>
                <w:rFonts w:asciiTheme="majorHAnsi" w:hAnsiTheme="majorHAnsi" w:cstheme="majorHAnsi"/>
                <w:color w:val="000000"/>
              </w:rPr>
              <w:t xml:space="preserve">Target engagement with 100% of identified key stakeholders for significant water management issues consultation by 31 March 2026 </w:t>
            </w:r>
          </w:p>
        </w:tc>
        <w:tc>
          <w:tcPr>
            <w:tcW w:w="244" w:type="pct"/>
            <w:tcBorders>
              <w:top w:val="single" w:sz="8" w:space="0" w:color="auto"/>
              <w:left w:val="single" w:sz="8" w:space="0" w:color="auto"/>
              <w:bottom w:val="single" w:sz="8" w:space="0" w:color="auto"/>
              <w:right w:val="single" w:sz="8" w:space="0" w:color="auto"/>
            </w:tcBorders>
            <w:vAlign w:val="center"/>
          </w:tcPr>
          <w:p w14:paraId="6DF44C71" w14:textId="77777777" w:rsidR="00863B9C" w:rsidRPr="00F349EA" w:rsidRDefault="00863B9C" w:rsidP="00ED15C4">
            <w:pPr>
              <w:jc w:val="center"/>
              <w:textAlignment w:val="baseline"/>
              <w:rPr>
                <w:rFonts w:eastAsia="Times New Roman" w:cstheme="minorHAnsi"/>
                <w:lang w:eastAsia="en-GB"/>
              </w:rPr>
            </w:pPr>
            <w:r w:rsidRPr="00F349EA">
              <w:rPr>
                <w:rFonts w:cstheme="minorHAnsi"/>
                <w:color w:val="000000"/>
              </w:rPr>
              <w:t xml:space="preserve">Q4 </w:t>
            </w:r>
          </w:p>
        </w:tc>
        <w:tc>
          <w:tcPr>
            <w:tcW w:w="404" w:type="pct"/>
            <w:tcBorders>
              <w:top w:val="single" w:sz="8" w:space="0" w:color="auto"/>
              <w:left w:val="single" w:sz="8" w:space="0" w:color="auto"/>
              <w:bottom w:val="single" w:sz="8" w:space="0" w:color="auto"/>
              <w:right w:val="single" w:sz="8" w:space="0" w:color="auto"/>
            </w:tcBorders>
            <w:vAlign w:val="center"/>
          </w:tcPr>
          <w:p w14:paraId="50257E4A" w14:textId="554F47FD" w:rsidR="00863B9C" w:rsidRPr="00F349EA" w:rsidRDefault="00A47AAB" w:rsidP="00ED15C4">
            <w:pPr>
              <w:jc w:val="center"/>
              <w:textAlignment w:val="baseline"/>
              <w:rPr>
                <w:rFonts w:eastAsia="Times New Roman" w:cstheme="minorHAnsi"/>
                <w:lang w:eastAsia="en-GB"/>
              </w:rPr>
            </w:pPr>
            <w:r w:rsidRPr="00F349EA">
              <w:rPr>
                <w:rFonts w:eastAsia="Times New Roman" w:cstheme="minorHAnsi"/>
                <w:lang w:eastAsia="en-GB"/>
              </w:rPr>
              <w:t>N/A</w:t>
            </w:r>
          </w:p>
        </w:tc>
        <w:tc>
          <w:tcPr>
            <w:tcW w:w="297" w:type="pct"/>
            <w:tcBorders>
              <w:top w:val="single" w:sz="8" w:space="0" w:color="auto"/>
              <w:left w:val="single" w:sz="8" w:space="0" w:color="auto"/>
              <w:bottom w:val="single" w:sz="8" w:space="0" w:color="auto"/>
              <w:right w:val="single" w:sz="8" w:space="0" w:color="auto"/>
            </w:tcBorders>
            <w:vAlign w:val="center"/>
          </w:tcPr>
          <w:p w14:paraId="496AC4CF" w14:textId="402ECE85" w:rsidR="00863B9C" w:rsidRPr="00F349EA" w:rsidRDefault="0050367C" w:rsidP="00ED15C4">
            <w:pPr>
              <w:jc w:val="center"/>
              <w:textAlignment w:val="baseline"/>
              <w:rPr>
                <w:rFonts w:ascii="Arial" w:eastAsia="Times New Roman" w:hAnsi="Arial" w:cs="Arial"/>
                <w:szCs w:val="28"/>
                <w:lang w:eastAsia="en-GB"/>
              </w:rPr>
            </w:pPr>
            <w:r w:rsidRPr="00F349EA">
              <w:rPr>
                <w:rFonts w:eastAsia="Times New Roman" w:cstheme="minorHAnsi"/>
                <w:lang w:eastAsia="en-GB"/>
              </w:rPr>
              <w:t>N/A</w:t>
            </w:r>
          </w:p>
        </w:tc>
        <w:tc>
          <w:tcPr>
            <w:tcW w:w="297" w:type="pct"/>
            <w:tcBorders>
              <w:top w:val="single" w:sz="8" w:space="0" w:color="auto"/>
              <w:left w:val="single" w:sz="8" w:space="0" w:color="auto"/>
              <w:bottom w:val="single" w:sz="8" w:space="0" w:color="auto"/>
              <w:right w:val="single" w:sz="8" w:space="0" w:color="auto"/>
            </w:tcBorders>
            <w:vAlign w:val="center"/>
          </w:tcPr>
          <w:p w14:paraId="200D1091" w14:textId="77777777" w:rsidR="00863B9C" w:rsidRPr="00F349EA" w:rsidRDefault="00863B9C" w:rsidP="00ED15C4">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297" w:type="pct"/>
            <w:tcBorders>
              <w:top w:val="single" w:sz="8" w:space="0" w:color="auto"/>
              <w:left w:val="single" w:sz="8" w:space="0" w:color="auto"/>
              <w:bottom w:val="single" w:sz="8" w:space="0" w:color="auto"/>
              <w:right w:val="single" w:sz="8" w:space="0" w:color="auto"/>
            </w:tcBorders>
            <w:vAlign w:val="center"/>
          </w:tcPr>
          <w:p w14:paraId="30415C93" w14:textId="77777777" w:rsidR="00863B9C" w:rsidRPr="00F349EA" w:rsidRDefault="00863B9C" w:rsidP="00ED15C4">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30" w:type="pct"/>
            <w:tcBorders>
              <w:top w:val="single" w:sz="8" w:space="0" w:color="auto"/>
              <w:left w:val="single" w:sz="8" w:space="0" w:color="auto"/>
              <w:bottom w:val="single" w:sz="8" w:space="0" w:color="auto"/>
              <w:right w:val="single" w:sz="8" w:space="0" w:color="auto"/>
            </w:tcBorders>
            <w:vAlign w:val="center"/>
          </w:tcPr>
          <w:p w14:paraId="56893B55" w14:textId="4B27B370" w:rsidR="00863B9C" w:rsidRPr="00F349EA" w:rsidRDefault="00A47AAB" w:rsidP="00ED15C4">
            <w:pPr>
              <w:jc w:val="center"/>
              <w:textAlignment w:val="baseline"/>
              <w:rPr>
                <w:b/>
                <w:bCs/>
              </w:rPr>
            </w:pPr>
            <w:r w:rsidRPr="00F349EA">
              <w:rPr>
                <w:b/>
                <w:bCs/>
                <w:noProof/>
              </w:rPr>
              <w:drawing>
                <wp:inline distT="0" distB="0" distL="0" distR="0" wp14:anchorId="4D1BA614" wp14:editId="572C19AF">
                  <wp:extent cx="421419" cy="421419"/>
                  <wp:effectExtent l="0" t="0" r="0" b="0"/>
                  <wp:docPr id="219542718"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423311" cy="423311"/>
                          </a:xfrm>
                          <a:prstGeom prst="rect">
                            <a:avLst/>
                          </a:prstGeom>
                        </pic:spPr>
                      </pic:pic>
                    </a:graphicData>
                  </a:graphic>
                </wp:inline>
              </w:drawing>
            </w:r>
          </w:p>
        </w:tc>
        <w:tc>
          <w:tcPr>
            <w:tcW w:w="1273" w:type="pct"/>
            <w:tcBorders>
              <w:top w:val="single" w:sz="8" w:space="0" w:color="auto"/>
              <w:left w:val="single" w:sz="8" w:space="0" w:color="auto"/>
              <w:bottom w:val="single" w:sz="8" w:space="0" w:color="auto"/>
              <w:right w:val="single" w:sz="8" w:space="0" w:color="auto"/>
            </w:tcBorders>
            <w:vAlign w:val="center"/>
          </w:tcPr>
          <w:p w14:paraId="7592B233" w14:textId="77777777" w:rsidR="00863B9C" w:rsidRPr="00F349EA" w:rsidRDefault="003D6A8D" w:rsidP="00ED15C4">
            <w:pPr>
              <w:textAlignment w:val="baseline"/>
              <w:rPr>
                <w:rFonts w:ascii="Arial" w:eastAsia="Times New Roman" w:hAnsi="Arial" w:cs="Arial"/>
                <w:lang w:eastAsia="en-GB"/>
              </w:rPr>
            </w:pPr>
            <w:r w:rsidRPr="00F349EA">
              <w:rPr>
                <w:rFonts w:ascii="Arial" w:eastAsia="Times New Roman" w:hAnsi="Arial" w:cs="Arial"/>
                <w:lang w:eastAsia="en-GB"/>
              </w:rPr>
              <w:t xml:space="preserve">On track. </w:t>
            </w:r>
            <w:r w:rsidR="0069255D" w:rsidRPr="00F349EA">
              <w:rPr>
                <w:rFonts w:ascii="Arial" w:eastAsia="Times New Roman" w:hAnsi="Arial" w:cs="Arial"/>
                <w:lang w:eastAsia="en-GB"/>
              </w:rPr>
              <w:t xml:space="preserve">Key result is dependent on delivery </w:t>
            </w:r>
            <w:r w:rsidR="000D3612" w:rsidRPr="00F349EA">
              <w:rPr>
                <w:rFonts w:ascii="Arial" w:eastAsia="Times New Roman" w:hAnsi="Arial" w:cs="Arial"/>
                <w:lang w:eastAsia="en-GB"/>
              </w:rPr>
              <w:t xml:space="preserve">and outputs </w:t>
            </w:r>
            <w:r w:rsidR="0069255D" w:rsidRPr="00F349EA">
              <w:rPr>
                <w:rFonts w:ascii="Arial" w:eastAsia="Times New Roman" w:hAnsi="Arial" w:cs="Arial"/>
                <w:lang w:eastAsia="en-GB"/>
              </w:rPr>
              <w:t>of KR6.1</w:t>
            </w:r>
            <w:r w:rsidR="000D3612" w:rsidRPr="00F349EA">
              <w:rPr>
                <w:rFonts w:ascii="Arial" w:eastAsia="Times New Roman" w:hAnsi="Arial" w:cs="Arial"/>
                <w:lang w:eastAsia="en-GB"/>
              </w:rPr>
              <w:t>.</w:t>
            </w:r>
          </w:p>
          <w:p w14:paraId="69B6141A" w14:textId="17CB5780" w:rsidR="004F3988" w:rsidRPr="00F349EA" w:rsidRDefault="004F3988" w:rsidP="00ED15C4">
            <w:pPr>
              <w:textAlignment w:val="baseline"/>
              <w:rPr>
                <w:rFonts w:ascii="Arial" w:eastAsia="Times New Roman" w:hAnsi="Arial" w:cs="Arial"/>
                <w:b/>
                <w:bCs/>
                <w:lang w:eastAsia="en-GB"/>
              </w:rPr>
            </w:pPr>
            <w:r w:rsidRPr="00F349EA">
              <w:rPr>
                <w:rFonts w:ascii="Arial" w:eastAsia="Times New Roman" w:hAnsi="Arial" w:cs="Arial"/>
                <w:b/>
                <w:bCs/>
                <w:lang w:eastAsia="en-GB"/>
              </w:rPr>
              <w:t>Confidence in forecast: High </w:t>
            </w:r>
          </w:p>
        </w:tc>
        <w:tc>
          <w:tcPr>
            <w:tcW w:w="576" w:type="pct"/>
            <w:tcBorders>
              <w:top w:val="single" w:sz="8" w:space="0" w:color="auto"/>
              <w:left w:val="single" w:sz="8" w:space="0" w:color="auto"/>
              <w:bottom w:val="single" w:sz="8" w:space="0" w:color="auto"/>
              <w:right w:val="single" w:sz="8" w:space="0" w:color="auto"/>
            </w:tcBorders>
            <w:vAlign w:val="center"/>
          </w:tcPr>
          <w:p w14:paraId="092E1CB0" w14:textId="7E29561B" w:rsidR="00863B9C" w:rsidRPr="00F349EA" w:rsidRDefault="00471143" w:rsidP="00ED15C4">
            <w:pPr>
              <w:jc w:val="center"/>
              <w:textAlignment w:val="baseline"/>
              <w:rPr>
                <w:rFonts w:ascii="Arial" w:eastAsia="Times New Roman" w:hAnsi="Arial" w:cs="Arial"/>
                <w:szCs w:val="28"/>
                <w:lang w:eastAsia="en-GB"/>
              </w:rPr>
            </w:pPr>
            <w:r w:rsidRPr="00F349EA">
              <w:rPr>
                <w:rFonts w:ascii="Arial" w:eastAsia="Times New Roman" w:hAnsi="Arial" w:cs="Arial"/>
                <w:lang w:eastAsia="en-GB"/>
              </w:rPr>
              <w:t>Delivered</w:t>
            </w:r>
          </w:p>
        </w:tc>
      </w:tr>
    </w:tbl>
    <w:p w14:paraId="6C896367" w14:textId="77777777" w:rsidR="006E5DCB" w:rsidRPr="00F349EA" w:rsidRDefault="006E5DCB" w:rsidP="006E5DCB">
      <w:pPr>
        <w:spacing w:line="240" w:lineRule="auto"/>
      </w:pPr>
    </w:p>
    <w:p w14:paraId="795A0ECE" w14:textId="4638D975" w:rsidR="00202277" w:rsidRPr="00F349EA" w:rsidRDefault="006E5DCB" w:rsidP="00573404">
      <w:pPr>
        <w:spacing w:before="240" w:after="120"/>
        <w:rPr>
          <w:sz w:val="28"/>
          <w:szCs w:val="28"/>
        </w:rPr>
      </w:pPr>
      <w:r w:rsidRPr="00F349EA">
        <w:rPr>
          <w:b/>
          <w:bCs/>
          <w:sz w:val="28"/>
          <w:szCs w:val="28"/>
        </w:rPr>
        <w:t>Overall objective score</w:t>
      </w:r>
      <w:r w:rsidRPr="00F349EA">
        <w:rPr>
          <w:sz w:val="28"/>
          <w:szCs w:val="28"/>
        </w:rPr>
        <w:t xml:space="preserve"> =</w:t>
      </w:r>
      <w:r w:rsidRPr="00F349EA">
        <w:rPr>
          <w:color w:val="016574"/>
          <w:sz w:val="28"/>
          <w:szCs w:val="28"/>
        </w:rPr>
        <w:t xml:space="preserve"> </w:t>
      </w:r>
      <w:r w:rsidR="000111F4" w:rsidRPr="00F349EA">
        <w:rPr>
          <w:sz w:val="28"/>
          <w:szCs w:val="28"/>
        </w:rPr>
        <w:t>N/A</w:t>
      </w:r>
      <w:r w:rsidR="00A9062E" w:rsidRPr="00F349EA">
        <w:rPr>
          <w:sz w:val="28"/>
          <w:szCs w:val="28"/>
        </w:rPr>
        <w:t>. Delivery of</w:t>
      </w:r>
      <w:r w:rsidR="00C33127" w:rsidRPr="00F349EA">
        <w:rPr>
          <w:sz w:val="28"/>
          <w:szCs w:val="28"/>
        </w:rPr>
        <w:t xml:space="preserve"> all</w:t>
      </w:r>
      <w:r w:rsidR="00A9062E" w:rsidRPr="00F349EA">
        <w:rPr>
          <w:sz w:val="28"/>
          <w:szCs w:val="28"/>
        </w:rPr>
        <w:t xml:space="preserve"> key results from Q3 onwards. </w:t>
      </w:r>
    </w:p>
    <w:p w14:paraId="0EF6E4DB" w14:textId="77777777" w:rsidR="00202277" w:rsidRPr="00F349EA" w:rsidRDefault="00202277" w:rsidP="00202277">
      <w:pPr>
        <w:spacing w:line="240" w:lineRule="auto"/>
      </w:pPr>
    </w:p>
    <w:p w14:paraId="1FD86206" w14:textId="61D6A121" w:rsidR="00202277" w:rsidRPr="00F349EA" w:rsidRDefault="00202277" w:rsidP="7D52A5B7">
      <w:pPr>
        <w:pStyle w:val="Heading2"/>
        <w:shd w:val="clear" w:color="auto" w:fill="016574" w:themeFill="accent2"/>
        <w:spacing w:before="0" w:after="240"/>
        <w:ind w:left="720" w:hanging="720"/>
        <w:rPr>
          <w:color w:val="FFFFFF" w:themeColor="background1"/>
          <w:sz w:val="48"/>
          <w:szCs w:val="48"/>
        </w:rPr>
      </w:pPr>
      <w:bookmarkStart w:id="34" w:name="_Toc283097001"/>
      <w:r w:rsidRPr="68A9B764">
        <w:rPr>
          <w:color w:val="FFFFFF" w:themeColor="background1"/>
          <w:sz w:val="48"/>
          <w:szCs w:val="48"/>
        </w:rPr>
        <w:t>Resource Efficiency</w:t>
      </w:r>
      <w:bookmarkEnd w:id="34"/>
    </w:p>
    <w:p w14:paraId="57E26DF6" w14:textId="563A68F9" w:rsidR="00202277" w:rsidRPr="00F349EA" w:rsidRDefault="009819B4" w:rsidP="001945DC">
      <w:pPr>
        <w:pStyle w:val="BodyText1"/>
        <w:shd w:val="clear" w:color="auto" w:fill="018395"/>
        <w:spacing w:before="240" w:after="120"/>
        <w:rPr>
          <w:color w:val="FFFFFF" w:themeColor="background1"/>
          <w:sz w:val="36"/>
          <w:szCs w:val="36"/>
        </w:rPr>
      </w:pPr>
      <w:r w:rsidRPr="00F349EA">
        <w:rPr>
          <w:color w:val="FFFFFF" w:themeColor="background1"/>
          <w:sz w:val="36"/>
          <w:szCs w:val="36"/>
        </w:rPr>
        <w:t>Our ambition is to fully play our part in helping Scotland to transition to a circular economy, and that the management of waste does not cause harm to the environment or communities.</w:t>
      </w:r>
    </w:p>
    <w:p w14:paraId="6E28B732" w14:textId="4B3BBC47" w:rsidR="001945DC" w:rsidRPr="00F349EA" w:rsidRDefault="006C54F3" w:rsidP="00766651">
      <w:pPr>
        <w:pStyle w:val="Heading3"/>
        <w:spacing w:before="240" w:after="120"/>
        <w:rPr>
          <w:color w:val="016574"/>
          <w:sz w:val="32"/>
          <w:szCs w:val="32"/>
        </w:rPr>
      </w:pPr>
      <w:r w:rsidRPr="00F349EA">
        <w:rPr>
          <w:color w:val="016574" w:themeColor="accent2"/>
          <w:sz w:val="32"/>
          <w:szCs w:val="32"/>
        </w:rPr>
        <w:t xml:space="preserve">RE </w:t>
      </w:r>
      <w:r w:rsidR="001945DC" w:rsidRPr="00F349EA">
        <w:rPr>
          <w:color w:val="016574" w:themeColor="accent2"/>
          <w:sz w:val="32"/>
          <w:szCs w:val="32"/>
        </w:rPr>
        <w:t>OKR</w:t>
      </w:r>
      <w:r w:rsidRPr="00F349EA">
        <w:rPr>
          <w:color w:val="016574" w:themeColor="accent2"/>
          <w:sz w:val="32"/>
          <w:szCs w:val="32"/>
        </w:rPr>
        <w:t>7</w:t>
      </w:r>
      <w:r w:rsidR="001945DC" w:rsidRPr="00F349EA">
        <w:rPr>
          <w:color w:val="016574" w:themeColor="accent2"/>
          <w:sz w:val="32"/>
          <w:szCs w:val="32"/>
        </w:rPr>
        <w:t>:</w:t>
      </w:r>
      <w:r w:rsidRPr="00F349EA">
        <w:rPr>
          <w:color w:val="016574" w:themeColor="accent2"/>
          <w:sz w:val="32"/>
          <w:szCs w:val="32"/>
        </w:rPr>
        <w:t xml:space="preserve"> Prepare to support the 2026-2027 phase of the UK digital waste tracking service implementation by DEFRA and Scottish Government. </w:t>
      </w:r>
    </w:p>
    <w:p w14:paraId="398A215B" w14:textId="39C1DE2F" w:rsidR="005C5712" w:rsidRPr="00F349EA" w:rsidRDefault="005266D2" w:rsidP="001945DC">
      <w:pPr>
        <w:rPr>
          <w:b/>
          <w:bCs/>
          <w:color w:val="3C4741" w:themeColor="text1"/>
          <w:sz w:val="28"/>
          <w:szCs w:val="28"/>
        </w:rPr>
      </w:pPr>
      <w:r w:rsidRPr="00F349EA">
        <w:rPr>
          <w:noProof/>
        </w:rPr>
        <w:drawing>
          <wp:inline distT="0" distB="0" distL="0" distR="0" wp14:anchorId="5D7578A1" wp14:editId="28A9B723">
            <wp:extent cx="9642648" cy="2839720"/>
            <wp:effectExtent l="0" t="0" r="15875" b="17780"/>
            <wp:docPr id="1730064626" name="Chart 1" descr="This is a bar graph which shows the score of each key result for OKR07 over each quarter. &#10;There is a line on the score scale of 0.7 to represent whether the KR is being delivered. There is another line on the score scale of 0.3 to represent whether measurable progress has been made in the quarter.&#10;For Q1, KR7.1 and KR7.3 had no score as this will be progressed later in the year.&#10;For Q1, KR7.2 scored 0.&#10;&#10;For Q2, KR7.1 scored 1. KR7.2 scored 0. KR7.3 has no score as this will be progressed later in the year. ">
              <a:extLst xmlns:a="http://schemas.openxmlformats.org/drawingml/2006/main">
                <a:ext uri="{FF2B5EF4-FFF2-40B4-BE49-F238E27FC236}">
                  <a16:creationId xmlns:a16="http://schemas.microsoft.com/office/drawing/2014/main" id="{6CCEE18D-5BB9-406D-91E2-6EFA93783A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B84A086" w14:textId="77777777" w:rsidR="00766651" w:rsidRPr="00F349EA" w:rsidRDefault="00766651" w:rsidP="001945DC">
      <w:pPr>
        <w:rPr>
          <w:b/>
          <w:bCs/>
          <w:color w:val="3C4741" w:themeColor="text1"/>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7 key result summary"/>
        <w:tblDescription w:val="Q1 summary for each of the three key results under OKR7. This includes the date due, Q1 score, Q1 status, Q1 commentary and annual forecast for each key result.&#10;&#10;"/>
      </w:tblPr>
      <w:tblGrid>
        <w:gridCol w:w="3869"/>
        <w:gridCol w:w="767"/>
        <w:gridCol w:w="924"/>
        <w:gridCol w:w="924"/>
        <w:gridCol w:w="924"/>
        <w:gridCol w:w="924"/>
        <w:gridCol w:w="1020"/>
        <w:gridCol w:w="3967"/>
        <w:gridCol w:w="1639"/>
      </w:tblGrid>
      <w:tr w:rsidR="00A74ED9" w:rsidRPr="00F349EA" w14:paraId="52744459" w14:textId="77777777" w:rsidTr="00E16EAC">
        <w:trPr>
          <w:cantSplit/>
          <w:trHeight w:val="545"/>
          <w:tblHeader/>
        </w:trPr>
        <w:tc>
          <w:tcPr>
            <w:tcW w:w="1293" w:type="pct"/>
            <w:shd w:val="clear" w:color="auto" w:fill="016574"/>
          </w:tcPr>
          <w:p w14:paraId="0C42084F" w14:textId="77777777" w:rsidR="00314672" w:rsidRPr="00F349EA" w:rsidRDefault="00314672">
            <w:pPr>
              <w:spacing w:before="40" w:after="40" w:line="240" w:lineRule="auto"/>
              <w:textAlignment w:val="baseline"/>
              <w:rPr>
                <w:rFonts w:ascii="Arial" w:eastAsia="Times New Roman" w:hAnsi="Arial" w:cs="Arial"/>
                <w:color w:val="000000"/>
                <w:sz w:val="28"/>
                <w:szCs w:val="28"/>
                <w:lang w:eastAsia="en-GB"/>
              </w:rPr>
            </w:pPr>
            <w:r w:rsidRPr="00F349EA">
              <w:rPr>
                <w:rFonts w:ascii="Arial" w:eastAsia="MS PGothic" w:hAnsi="Arial" w:cs="Arial"/>
                <w:b/>
                <w:bCs/>
                <w:color w:val="FFFFFF" w:themeColor="background1"/>
              </w:rPr>
              <w:lastRenderedPageBreak/>
              <w:t>Key Results</w:t>
            </w:r>
          </w:p>
        </w:tc>
        <w:tc>
          <w:tcPr>
            <w:tcW w:w="256" w:type="pct"/>
            <w:shd w:val="clear" w:color="auto" w:fill="016574"/>
          </w:tcPr>
          <w:p w14:paraId="5C4569C8" w14:textId="77777777" w:rsidR="00314672" w:rsidRPr="00F349EA" w:rsidRDefault="00314672">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Due date</w:t>
            </w:r>
          </w:p>
        </w:tc>
        <w:tc>
          <w:tcPr>
            <w:tcW w:w="309" w:type="pct"/>
            <w:shd w:val="clear" w:color="auto" w:fill="016574"/>
          </w:tcPr>
          <w:p w14:paraId="6DF80880" w14:textId="77777777" w:rsidR="00314672" w:rsidRPr="00F349EA" w:rsidRDefault="00314672">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Q1 score</w:t>
            </w:r>
          </w:p>
        </w:tc>
        <w:tc>
          <w:tcPr>
            <w:tcW w:w="309" w:type="pct"/>
            <w:shd w:val="clear" w:color="auto" w:fill="016574"/>
          </w:tcPr>
          <w:p w14:paraId="5F6B1773" w14:textId="77777777" w:rsidR="00314672" w:rsidRPr="00F349EA" w:rsidRDefault="00314672">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Q2 score</w:t>
            </w:r>
          </w:p>
        </w:tc>
        <w:tc>
          <w:tcPr>
            <w:tcW w:w="309" w:type="pct"/>
            <w:shd w:val="clear" w:color="auto" w:fill="016574"/>
          </w:tcPr>
          <w:p w14:paraId="2A6F87D9" w14:textId="77777777" w:rsidR="00314672" w:rsidRPr="00F349EA" w:rsidRDefault="00314672">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Q3 score</w:t>
            </w:r>
          </w:p>
        </w:tc>
        <w:tc>
          <w:tcPr>
            <w:tcW w:w="309" w:type="pct"/>
            <w:shd w:val="clear" w:color="auto" w:fill="016574"/>
          </w:tcPr>
          <w:p w14:paraId="13BB46FB" w14:textId="77777777" w:rsidR="00314672" w:rsidRPr="00F349EA" w:rsidRDefault="00314672">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Q4 score</w:t>
            </w:r>
          </w:p>
        </w:tc>
        <w:tc>
          <w:tcPr>
            <w:tcW w:w="341" w:type="pct"/>
            <w:shd w:val="clear" w:color="auto" w:fill="016574"/>
          </w:tcPr>
          <w:p w14:paraId="129ED90A" w14:textId="051E08AB" w:rsidR="00314672" w:rsidRPr="00F349EA" w:rsidRDefault="00314672">
            <w:pPr>
              <w:spacing w:before="40" w:after="40" w:line="240" w:lineRule="auto"/>
              <w:jc w:val="center"/>
              <w:textAlignment w:val="baseline"/>
              <w:rPr>
                <w:rFonts w:ascii="Arial" w:eastAsia="Times New Roman" w:hAnsi="Arial" w:cs="Arial"/>
                <w:color w:val="000000"/>
                <w:lang w:eastAsia="en-GB"/>
              </w:rPr>
            </w:pPr>
            <w:r w:rsidRPr="00F349EA">
              <w:rPr>
                <w:rFonts w:ascii="Arial" w:eastAsia="MS PGothic" w:hAnsi="Arial" w:cs="Arial"/>
                <w:b/>
                <w:bCs/>
                <w:color w:val="FFFFFF"/>
              </w:rPr>
              <w:t>Q</w:t>
            </w:r>
            <w:r w:rsidR="007B42BA" w:rsidRPr="00F349EA">
              <w:rPr>
                <w:rFonts w:ascii="Arial" w:eastAsia="MS PGothic" w:hAnsi="Arial" w:cs="Arial"/>
                <w:b/>
                <w:bCs/>
                <w:color w:val="FFFFFF"/>
              </w:rPr>
              <w:t>2</w:t>
            </w:r>
            <w:r w:rsidRPr="00F349EA">
              <w:rPr>
                <w:rFonts w:ascii="Arial" w:eastAsia="MS PGothic" w:hAnsi="Arial" w:cs="Arial"/>
                <w:b/>
                <w:bCs/>
                <w:color w:val="FFFFFF"/>
              </w:rPr>
              <w:t xml:space="preserve"> Status</w:t>
            </w:r>
          </w:p>
        </w:tc>
        <w:tc>
          <w:tcPr>
            <w:tcW w:w="1326" w:type="pct"/>
            <w:shd w:val="clear" w:color="auto" w:fill="016574"/>
          </w:tcPr>
          <w:p w14:paraId="72F8FD8A" w14:textId="5190663C" w:rsidR="00314672" w:rsidRPr="00F349EA" w:rsidRDefault="00314672">
            <w:pPr>
              <w:spacing w:before="40" w:after="40" w:line="240" w:lineRule="auto"/>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Q</w:t>
            </w:r>
            <w:r w:rsidR="007B42BA" w:rsidRPr="00F349EA">
              <w:rPr>
                <w:rFonts w:ascii="Arial" w:eastAsia="MS PGothic" w:hAnsi="Arial" w:cs="Arial"/>
                <w:b/>
                <w:bCs/>
                <w:color w:val="FFFFFF"/>
                <w:sz w:val="28"/>
                <w:szCs w:val="28"/>
              </w:rPr>
              <w:t>2</w:t>
            </w:r>
            <w:r w:rsidRPr="00F349EA">
              <w:rPr>
                <w:rFonts w:ascii="Arial" w:eastAsia="MS PGothic" w:hAnsi="Arial" w:cs="Arial"/>
                <w:b/>
                <w:bCs/>
                <w:color w:val="FFFFFF"/>
                <w:sz w:val="28"/>
                <w:szCs w:val="28"/>
              </w:rPr>
              <w:t xml:space="preserve"> commentary</w:t>
            </w:r>
          </w:p>
        </w:tc>
        <w:tc>
          <w:tcPr>
            <w:tcW w:w="548" w:type="pct"/>
            <w:shd w:val="clear" w:color="auto" w:fill="016574"/>
          </w:tcPr>
          <w:p w14:paraId="55239E14" w14:textId="77777777" w:rsidR="00314672" w:rsidRPr="00F349EA" w:rsidRDefault="00314672">
            <w:pPr>
              <w:spacing w:before="40" w:after="40"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Annual forecast</w:t>
            </w:r>
          </w:p>
        </w:tc>
      </w:tr>
      <w:tr w:rsidR="00A74ED9" w:rsidRPr="00F349EA" w14:paraId="52513E9E" w14:textId="77777777" w:rsidTr="00C727C8">
        <w:tblPrEx>
          <w:tblCellMar>
            <w:left w:w="108" w:type="dxa"/>
            <w:right w:w="108" w:type="dxa"/>
          </w:tblCellMar>
        </w:tblPrEx>
        <w:trPr>
          <w:cantSplit/>
          <w:trHeight w:val="865"/>
        </w:trPr>
        <w:tc>
          <w:tcPr>
            <w:tcW w:w="1293" w:type="pct"/>
          </w:tcPr>
          <w:p w14:paraId="516EF76D" w14:textId="17ED8F70" w:rsidR="00314672" w:rsidRPr="00F349EA" w:rsidRDefault="00314672" w:rsidP="00ED15C4">
            <w:pPr>
              <w:textAlignment w:val="baseline"/>
              <w:rPr>
                <w:rFonts w:ascii="Arial" w:eastAsia="Times New Roman" w:hAnsi="Arial" w:cs="Arial"/>
                <w:lang w:eastAsia="en-GB"/>
              </w:rPr>
            </w:pPr>
            <w:r w:rsidRPr="00F349EA">
              <w:rPr>
                <w:rFonts w:ascii="Arial" w:hAnsi="Arial" w:cs="Arial"/>
                <w:b/>
                <w:bCs/>
              </w:rPr>
              <w:t>KR</w:t>
            </w:r>
            <w:r w:rsidR="00510221" w:rsidRPr="00F349EA">
              <w:rPr>
                <w:rFonts w:ascii="Arial" w:hAnsi="Arial" w:cs="Arial"/>
                <w:b/>
                <w:bCs/>
              </w:rPr>
              <w:t>7</w:t>
            </w:r>
            <w:r w:rsidRPr="00F349EA">
              <w:rPr>
                <w:rFonts w:ascii="Arial" w:hAnsi="Arial" w:cs="Arial"/>
                <w:b/>
                <w:bCs/>
              </w:rPr>
              <w:t xml:space="preserve">.1: </w:t>
            </w:r>
            <w:r w:rsidR="00510221" w:rsidRPr="00F349EA">
              <w:rPr>
                <w:rFonts w:ascii="Arial" w:hAnsi="Arial" w:cs="Arial"/>
              </w:rPr>
              <w:t>Launch baseline survey of Scotland’s businesses to assess awareness of the UK digital waste tracking service.</w:t>
            </w:r>
          </w:p>
        </w:tc>
        <w:tc>
          <w:tcPr>
            <w:tcW w:w="256" w:type="pct"/>
            <w:vAlign w:val="center"/>
          </w:tcPr>
          <w:p w14:paraId="2916FC6C" w14:textId="77777777" w:rsidR="00314672" w:rsidRPr="00F349EA" w:rsidRDefault="00314672" w:rsidP="00ED15C4">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Q2</w:t>
            </w:r>
          </w:p>
        </w:tc>
        <w:tc>
          <w:tcPr>
            <w:tcW w:w="309" w:type="pct"/>
            <w:vAlign w:val="center"/>
          </w:tcPr>
          <w:p w14:paraId="71DE7D52" w14:textId="1A73C728" w:rsidR="00314672" w:rsidRPr="00F349EA" w:rsidRDefault="00F64D6E" w:rsidP="00ED15C4">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N/A</w:t>
            </w:r>
          </w:p>
        </w:tc>
        <w:tc>
          <w:tcPr>
            <w:tcW w:w="309" w:type="pct"/>
            <w:vAlign w:val="center"/>
          </w:tcPr>
          <w:p w14:paraId="7F7A9491" w14:textId="206E1E16" w:rsidR="00314672" w:rsidRPr="00F349EA" w:rsidRDefault="00B11762" w:rsidP="00ED15C4">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1</w:t>
            </w:r>
          </w:p>
        </w:tc>
        <w:tc>
          <w:tcPr>
            <w:tcW w:w="309" w:type="pct"/>
            <w:vAlign w:val="center"/>
          </w:tcPr>
          <w:p w14:paraId="1CA28087" w14:textId="77777777" w:rsidR="00314672" w:rsidRPr="00F349EA" w:rsidRDefault="00314672" w:rsidP="00ED15C4">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09" w:type="pct"/>
            <w:vAlign w:val="center"/>
          </w:tcPr>
          <w:p w14:paraId="21298CA4" w14:textId="77777777" w:rsidR="00314672" w:rsidRPr="00F349EA" w:rsidRDefault="00314672" w:rsidP="00ED15C4">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41" w:type="pct"/>
            <w:vAlign w:val="center"/>
          </w:tcPr>
          <w:p w14:paraId="52054200" w14:textId="085B2A40" w:rsidR="00314672" w:rsidRPr="00F349EA" w:rsidRDefault="00AB74BA" w:rsidP="00ED15C4">
            <w:pPr>
              <w:jc w:val="center"/>
              <w:textAlignment w:val="baseline"/>
              <w:rPr>
                <w:rFonts w:ascii="Arial" w:eastAsia="Times New Roman" w:hAnsi="Arial" w:cs="Arial"/>
                <w:szCs w:val="28"/>
                <w:lang w:eastAsia="en-GB"/>
              </w:rPr>
            </w:pPr>
            <w:r w:rsidRPr="00F349EA">
              <w:rPr>
                <w:noProof/>
              </w:rPr>
              <w:drawing>
                <wp:inline distT="0" distB="0" distL="0" distR="0" wp14:anchorId="2C70926C" wp14:editId="75AE0369">
                  <wp:extent cx="463550" cy="463550"/>
                  <wp:effectExtent l="0" t="0" r="0" b="0"/>
                  <wp:docPr id="961412374"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326" w:type="pct"/>
            <w:vAlign w:val="center"/>
          </w:tcPr>
          <w:p w14:paraId="2EC1CC59" w14:textId="16582E6D" w:rsidR="00314672" w:rsidRPr="00F349EA" w:rsidRDefault="00A85231" w:rsidP="009650ED">
            <w:pPr>
              <w:textAlignment w:val="baseline"/>
              <w:rPr>
                <w:rFonts w:ascii="Arial" w:eastAsia="Times New Roman" w:hAnsi="Arial" w:cs="Arial"/>
                <w:lang w:eastAsia="en-GB"/>
              </w:rPr>
            </w:pPr>
            <w:r w:rsidRPr="00F349EA">
              <w:rPr>
                <w:rFonts w:ascii="Arial" w:eastAsia="Times New Roman" w:hAnsi="Arial" w:cs="Arial"/>
                <w:b/>
                <w:bCs/>
                <w:lang w:eastAsia="en-GB"/>
              </w:rPr>
              <w:t>Key result complete in Q2.</w:t>
            </w:r>
            <w:r w:rsidRPr="00F349EA">
              <w:rPr>
                <w:rFonts w:ascii="Arial" w:eastAsia="Times New Roman" w:hAnsi="Arial" w:cs="Arial"/>
                <w:lang w:eastAsia="en-GB"/>
              </w:rPr>
              <w:t xml:space="preserve"> </w:t>
            </w:r>
            <w:r w:rsidR="00334777" w:rsidRPr="00F349EA">
              <w:rPr>
                <w:rFonts w:ascii="Arial" w:eastAsia="Times New Roman" w:hAnsi="Arial" w:cs="Arial"/>
                <w:lang w:eastAsia="en-GB"/>
              </w:rPr>
              <w:t xml:space="preserve">Survey issued, completed &amp; closed. </w:t>
            </w:r>
            <w:r w:rsidR="00F73A4A" w:rsidRPr="00F349EA">
              <w:rPr>
                <w:rFonts w:ascii="Arial" w:eastAsia="Times New Roman" w:hAnsi="Arial" w:cs="Arial"/>
                <w:lang w:eastAsia="en-GB"/>
              </w:rPr>
              <w:t xml:space="preserve">Responses </w:t>
            </w:r>
            <w:r w:rsidR="00334777" w:rsidRPr="00F349EA">
              <w:rPr>
                <w:rFonts w:ascii="Arial" w:eastAsia="Times New Roman" w:hAnsi="Arial" w:cs="Arial"/>
                <w:lang w:eastAsia="en-GB"/>
              </w:rPr>
              <w:t xml:space="preserve">have been </w:t>
            </w:r>
            <w:r w:rsidR="00D96DF0" w:rsidRPr="00F349EA">
              <w:rPr>
                <w:rFonts w:ascii="Arial" w:eastAsia="Times New Roman" w:hAnsi="Arial" w:cs="Arial"/>
                <w:lang w:eastAsia="en-GB"/>
              </w:rPr>
              <w:t>collated,</w:t>
            </w:r>
            <w:r w:rsidR="00334777" w:rsidRPr="00F349EA">
              <w:rPr>
                <w:rFonts w:ascii="Arial" w:eastAsia="Times New Roman" w:hAnsi="Arial" w:cs="Arial"/>
                <w:lang w:eastAsia="en-GB"/>
              </w:rPr>
              <w:t xml:space="preserve"> </w:t>
            </w:r>
            <w:r w:rsidR="004F323F" w:rsidRPr="00F349EA">
              <w:rPr>
                <w:rFonts w:ascii="Arial" w:eastAsia="Times New Roman" w:hAnsi="Arial" w:cs="Arial"/>
                <w:lang w:eastAsia="en-GB"/>
              </w:rPr>
              <w:t>and an</w:t>
            </w:r>
            <w:r w:rsidR="00334777" w:rsidRPr="00F349EA">
              <w:rPr>
                <w:rFonts w:ascii="Arial" w:eastAsia="Times New Roman" w:hAnsi="Arial" w:cs="Arial"/>
                <w:lang w:eastAsia="en-GB"/>
              </w:rPr>
              <w:t xml:space="preserve"> analysis report </w:t>
            </w:r>
            <w:r w:rsidR="004F323F" w:rsidRPr="00F349EA">
              <w:rPr>
                <w:rFonts w:ascii="Arial" w:eastAsia="Times New Roman" w:hAnsi="Arial" w:cs="Arial"/>
                <w:lang w:eastAsia="en-GB"/>
              </w:rPr>
              <w:t xml:space="preserve">is </w:t>
            </w:r>
            <w:r w:rsidR="00334777" w:rsidRPr="00F349EA">
              <w:rPr>
                <w:rFonts w:ascii="Arial" w:eastAsia="Times New Roman" w:hAnsi="Arial" w:cs="Arial"/>
                <w:lang w:eastAsia="en-GB"/>
              </w:rPr>
              <w:t>to be produced</w:t>
            </w:r>
            <w:r w:rsidR="004F323F" w:rsidRPr="00F349EA">
              <w:rPr>
                <w:rFonts w:ascii="Arial" w:eastAsia="Times New Roman" w:hAnsi="Arial" w:cs="Arial"/>
                <w:lang w:eastAsia="en-GB"/>
              </w:rPr>
              <w:t>.</w:t>
            </w:r>
          </w:p>
        </w:tc>
        <w:tc>
          <w:tcPr>
            <w:tcW w:w="548" w:type="pct"/>
            <w:vAlign w:val="center"/>
          </w:tcPr>
          <w:p w14:paraId="5BC93DB5" w14:textId="51CA22A5" w:rsidR="00314672" w:rsidRPr="00F349EA" w:rsidRDefault="00F64D6E" w:rsidP="00ED15C4">
            <w:pPr>
              <w:textAlignment w:val="baseline"/>
              <w:rPr>
                <w:rFonts w:ascii="Arial" w:eastAsia="Times New Roman" w:hAnsi="Arial" w:cs="Arial"/>
                <w:lang w:eastAsia="en-GB"/>
              </w:rPr>
            </w:pPr>
            <w:r w:rsidRPr="00F349EA">
              <w:rPr>
                <w:rFonts w:ascii="Arial" w:eastAsia="Times New Roman" w:hAnsi="Arial" w:cs="Arial"/>
                <w:szCs w:val="28"/>
                <w:lang w:eastAsia="en-GB"/>
              </w:rPr>
              <w:t>Delivered</w:t>
            </w:r>
          </w:p>
        </w:tc>
      </w:tr>
      <w:tr w:rsidR="00A74ED9" w:rsidRPr="00F349EA" w14:paraId="1B07AB5A" w14:textId="77777777" w:rsidTr="00C727C8">
        <w:trPr>
          <w:cantSplit/>
          <w:trHeight w:val="16"/>
        </w:trPr>
        <w:tc>
          <w:tcPr>
            <w:tcW w:w="1293" w:type="pct"/>
            <w:vAlign w:val="center"/>
          </w:tcPr>
          <w:p w14:paraId="11DC0287" w14:textId="25E3E8B7" w:rsidR="00314672" w:rsidRPr="00F349EA" w:rsidRDefault="00314672" w:rsidP="00ED15C4">
            <w:pPr>
              <w:textAlignment w:val="baseline"/>
              <w:rPr>
                <w:rFonts w:ascii="Arial" w:eastAsia="Times New Roman" w:hAnsi="Arial" w:cs="Arial"/>
                <w:lang w:eastAsia="en-GB"/>
              </w:rPr>
            </w:pPr>
            <w:r w:rsidRPr="00F349EA">
              <w:rPr>
                <w:rFonts w:ascii="Arial" w:hAnsi="Arial" w:cs="Arial"/>
                <w:b/>
                <w:bCs/>
              </w:rPr>
              <w:t>KR</w:t>
            </w:r>
            <w:r w:rsidR="00510221" w:rsidRPr="00F349EA">
              <w:rPr>
                <w:rFonts w:ascii="Arial" w:hAnsi="Arial" w:cs="Arial"/>
                <w:b/>
                <w:bCs/>
              </w:rPr>
              <w:t>7</w:t>
            </w:r>
            <w:r w:rsidRPr="00F349EA">
              <w:rPr>
                <w:rFonts w:ascii="Arial" w:hAnsi="Arial" w:cs="Arial"/>
                <w:b/>
                <w:bCs/>
              </w:rPr>
              <w:t xml:space="preserve">.2: </w:t>
            </w:r>
            <w:r w:rsidR="00510221" w:rsidRPr="00F349EA">
              <w:rPr>
                <w:rFonts w:ascii="Arial" w:hAnsi="Arial" w:cs="Arial"/>
              </w:rPr>
              <w:t>50% of SEPA’s requirements are incorporated into the UK digital waste tracking service by the DEFRA digital build tea</w:t>
            </w:r>
            <w:r w:rsidR="00964DDD" w:rsidRPr="00F349EA">
              <w:rPr>
                <w:rFonts w:ascii="Arial" w:hAnsi="Arial" w:cs="Arial"/>
              </w:rPr>
              <w:t>m</w:t>
            </w:r>
            <w:r w:rsidR="00510221" w:rsidRPr="00F349EA">
              <w:rPr>
                <w:rFonts w:ascii="Arial" w:hAnsi="Arial" w:cs="Arial"/>
              </w:rPr>
              <w:t xml:space="preserve"> and is ready for testing by SEPA users.</w:t>
            </w:r>
          </w:p>
        </w:tc>
        <w:tc>
          <w:tcPr>
            <w:tcW w:w="256" w:type="pct"/>
            <w:vAlign w:val="center"/>
          </w:tcPr>
          <w:p w14:paraId="4059A153" w14:textId="3A64FFB9" w:rsidR="00314672" w:rsidRPr="00F349EA" w:rsidRDefault="00314672" w:rsidP="00ED15C4">
            <w:pPr>
              <w:jc w:val="center"/>
              <w:textAlignment w:val="baseline"/>
              <w:rPr>
                <w:rFonts w:asciiTheme="majorHAnsi" w:eastAsia="Times New Roman" w:hAnsiTheme="majorHAnsi" w:cstheme="majorHAnsi"/>
                <w:lang w:eastAsia="en-GB"/>
              </w:rPr>
            </w:pPr>
            <w:r w:rsidRPr="00F349EA">
              <w:rPr>
                <w:rFonts w:asciiTheme="majorHAnsi" w:hAnsiTheme="majorHAnsi" w:cstheme="majorHAnsi"/>
                <w:color w:val="000000"/>
              </w:rPr>
              <w:t>Q</w:t>
            </w:r>
            <w:r w:rsidR="00510221" w:rsidRPr="00F349EA">
              <w:rPr>
                <w:rFonts w:asciiTheme="majorHAnsi" w:hAnsiTheme="majorHAnsi" w:cstheme="majorHAnsi"/>
                <w:color w:val="000000"/>
              </w:rPr>
              <w:t>4</w:t>
            </w:r>
          </w:p>
        </w:tc>
        <w:tc>
          <w:tcPr>
            <w:tcW w:w="309" w:type="pct"/>
            <w:vAlign w:val="center"/>
          </w:tcPr>
          <w:p w14:paraId="498ED467" w14:textId="6B074153" w:rsidR="00314672" w:rsidRPr="00F349EA" w:rsidRDefault="00F64D6E" w:rsidP="00ED15C4">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0</w:t>
            </w:r>
          </w:p>
        </w:tc>
        <w:tc>
          <w:tcPr>
            <w:tcW w:w="309" w:type="pct"/>
            <w:vAlign w:val="center"/>
          </w:tcPr>
          <w:p w14:paraId="077758CD" w14:textId="74839CD7" w:rsidR="00314672" w:rsidRPr="00F349EA" w:rsidRDefault="00B11762" w:rsidP="00ED15C4">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0</w:t>
            </w:r>
          </w:p>
        </w:tc>
        <w:tc>
          <w:tcPr>
            <w:tcW w:w="309" w:type="pct"/>
            <w:vAlign w:val="center"/>
          </w:tcPr>
          <w:p w14:paraId="08965ABC" w14:textId="77777777" w:rsidR="00314672" w:rsidRPr="00F349EA" w:rsidRDefault="00314672" w:rsidP="00ED15C4">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09" w:type="pct"/>
            <w:vAlign w:val="center"/>
          </w:tcPr>
          <w:p w14:paraId="0B23A2DC" w14:textId="77777777" w:rsidR="00314672" w:rsidRPr="00F349EA" w:rsidRDefault="00314672" w:rsidP="00ED15C4">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41" w:type="pct"/>
            <w:vAlign w:val="center"/>
          </w:tcPr>
          <w:p w14:paraId="712B8D1D" w14:textId="1572416C" w:rsidR="00314672" w:rsidRPr="00F349EA" w:rsidRDefault="00AB74BA" w:rsidP="00ED15C4">
            <w:pPr>
              <w:jc w:val="center"/>
              <w:textAlignment w:val="baseline"/>
              <w:rPr>
                <w:b/>
                <w:bCs/>
              </w:rPr>
            </w:pPr>
            <w:r w:rsidRPr="00F349EA">
              <w:rPr>
                <w:noProof/>
              </w:rPr>
              <w:drawing>
                <wp:anchor distT="0" distB="0" distL="114300" distR="114300" simplePos="0" relativeHeight="251658256" behindDoc="0" locked="0" layoutInCell="1" allowOverlap="1" wp14:anchorId="5B447DC3" wp14:editId="55B13C55">
                  <wp:simplePos x="0" y="0"/>
                  <wp:positionH relativeFrom="column">
                    <wp:posOffset>25400</wp:posOffset>
                  </wp:positionH>
                  <wp:positionV relativeFrom="paragraph">
                    <wp:posOffset>-5715</wp:posOffset>
                  </wp:positionV>
                  <wp:extent cx="444500" cy="444500"/>
                  <wp:effectExtent l="0" t="0" r="0" b="0"/>
                  <wp:wrapNone/>
                  <wp:docPr id="1139939732"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326" w:type="pct"/>
            <w:vAlign w:val="center"/>
          </w:tcPr>
          <w:p w14:paraId="2A15552A" w14:textId="60C56BE3" w:rsidR="00334777" w:rsidRPr="00F349EA" w:rsidRDefault="001C20AE" w:rsidP="001C20AE">
            <w:pPr>
              <w:textAlignment w:val="baseline"/>
              <w:rPr>
                <w:rFonts w:ascii="Arial" w:eastAsia="Times New Roman" w:hAnsi="Arial" w:cs="Arial"/>
                <w:lang w:eastAsia="en-GB"/>
              </w:rPr>
            </w:pPr>
            <w:r w:rsidRPr="00F349EA">
              <w:rPr>
                <w:rFonts w:ascii="Arial" w:eastAsia="Times New Roman" w:hAnsi="Arial" w:cs="Arial"/>
                <w:lang w:eastAsia="en-GB"/>
              </w:rPr>
              <w:t>We c</w:t>
            </w:r>
            <w:r w:rsidR="00334777" w:rsidRPr="00F349EA">
              <w:rPr>
                <w:rFonts w:ascii="Arial" w:eastAsia="Times New Roman" w:hAnsi="Arial" w:cs="Arial"/>
                <w:lang w:eastAsia="en-GB"/>
              </w:rPr>
              <w:t>ontinu</w:t>
            </w:r>
            <w:r w:rsidR="0022442F" w:rsidRPr="00F349EA">
              <w:rPr>
                <w:rFonts w:ascii="Arial" w:eastAsia="Times New Roman" w:hAnsi="Arial" w:cs="Arial"/>
                <w:lang w:eastAsia="en-GB"/>
              </w:rPr>
              <w:t>e</w:t>
            </w:r>
            <w:r w:rsidR="00334777" w:rsidRPr="00F349EA">
              <w:rPr>
                <w:rFonts w:ascii="Arial" w:eastAsia="Times New Roman" w:hAnsi="Arial" w:cs="Arial"/>
                <w:lang w:eastAsia="en-GB"/>
              </w:rPr>
              <w:t xml:space="preserve"> to pursue clarity from DEFRA on digital build </w:t>
            </w:r>
            <w:r w:rsidR="009D3F77" w:rsidRPr="00F349EA">
              <w:rPr>
                <w:rFonts w:ascii="Arial" w:eastAsia="Times New Roman" w:hAnsi="Arial" w:cs="Arial"/>
                <w:lang w:eastAsia="en-GB"/>
              </w:rPr>
              <w:t>and what will be delivered by the end of Q4. Until confirmed we are forecasting partial delivery. </w:t>
            </w:r>
          </w:p>
          <w:p w14:paraId="2ED17E68" w14:textId="0D09D2AC" w:rsidR="00314672" w:rsidRPr="00F349EA" w:rsidRDefault="0070549A" w:rsidP="00ED15C4">
            <w:pPr>
              <w:textAlignment w:val="baseline"/>
              <w:rPr>
                <w:rFonts w:ascii="Arial" w:eastAsia="Times New Roman" w:hAnsi="Arial" w:cs="Arial"/>
                <w:lang w:eastAsia="en-GB"/>
              </w:rPr>
            </w:pPr>
            <w:r w:rsidRPr="00F349EA">
              <w:rPr>
                <w:rFonts w:ascii="Arial" w:eastAsia="Times New Roman" w:hAnsi="Arial" w:cs="Arial"/>
                <w:b/>
                <w:bCs/>
                <w:lang w:eastAsia="en-GB"/>
              </w:rPr>
              <w:t>Confidence</w:t>
            </w:r>
            <w:r w:rsidRPr="00F349EA">
              <w:rPr>
                <w:rFonts w:ascii="Arial" w:eastAsia="Times New Roman" w:hAnsi="Arial" w:cs="Arial"/>
                <w:lang w:eastAsia="en-GB"/>
              </w:rPr>
              <w:t xml:space="preserve">: </w:t>
            </w:r>
            <w:r w:rsidR="0022442F" w:rsidRPr="00F349EA">
              <w:rPr>
                <w:rFonts w:ascii="Arial" w:eastAsia="Times New Roman" w:hAnsi="Arial" w:cs="Arial"/>
                <w:lang w:eastAsia="en-GB"/>
              </w:rPr>
              <w:t xml:space="preserve">Objective is not entirely within SEPA's control </w:t>
            </w:r>
            <w:r w:rsidRPr="00F349EA">
              <w:rPr>
                <w:rFonts w:ascii="Arial" w:eastAsia="Times New Roman" w:hAnsi="Arial" w:cs="Arial"/>
                <w:lang w:eastAsia="en-GB"/>
              </w:rPr>
              <w:t>Low confidence in meeting our target is reflected in partial delivery being forecast.</w:t>
            </w:r>
          </w:p>
        </w:tc>
        <w:tc>
          <w:tcPr>
            <w:tcW w:w="548" w:type="pct"/>
            <w:vAlign w:val="center"/>
          </w:tcPr>
          <w:p w14:paraId="35EB32C6" w14:textId="4AA495CA" w:rsidR="00314672" w:rsidRPr="00F349EA" w:rsidRDefault="00A74ED9" w:rsidP="00ED15C4">
            <w:pPr>
              <w:textAlignment w:val="baseline"/>
              <w:rPr>
                <w:rFonts w:ascii="Arial" w:eastAsia="Times New Roman" w:hAnsi="Arial" w:cs="Arial"/>
                <w:szCs w:val="28"/>
                <w:lang w:eastAsia="en-GB"/>
              </w:rPr>
            </w:pPr>
            <w:r w:rsidRPr="00F349EA">
              <w:rPr>
                <w:rFonts w:ascii="Arial" w:eastAsia="Times New Roman" w:hAnsi="Arial" w:cs="Arial"/>
                <w:szCs w:val="28"/>
                <w:lang w:eastAsia="en-GB"/>
              </w:rPr>
              <w:t>Partial delivery</w:t>
            </w:r>
          </w:p>
        </w:tc>
      </w:tr>
      <w:tr w:rsidR="00A74ED9" w:rsidRPr="00F349EA" w14:paraId="540B482A" w14:textId="77777777" w:rsidTr="00C727C8">
        <w:trPr>
          <w:cantSplit/>
          <w:trHeight w:val="16"/>
        </w:trPr>
        <w:tc>
          <w:tcPr>
            <w:tcW w:w="1293" w:type="pct"/>
          </w:tcPr>
          <w:p w14:paraId="104551DF" w14:textId="2BA15F1C" w:rsidR="00314672" w:rsidRPr="00F349EA" w:rsidRDefault="00314672" w:rsidP="00ED15C4">
            <w:pPr>
              <w:textAlignment w:val="baseline"/>
              <w:rPr>
                <w:rFonts w:ascii="Arial" w:eastAsia="Times New Roman" w:hAnsi="Arial" w:cs="Arial"/>
                <w:lang w:eastAsia="en-GB"/>
              </w:rPr>
            </w:pPr>
            <w:r w:rsidRPr="00F349EA">
              <w:rPr>
                <w:rFonts w:ascii="Arial" w:hAnsi="Arial" w:cs="Arial"/>
                <w:b/>
                <w:bCs/>
              </w:rPr>
              <w:lastRenderedPageBreak/>
              <w:t>KR</w:t>
            </w:r>
            <w:r w:rsidR="00510221" w:rsidRPr="00F349EA">
              <w:rPr>
                <w:rFonts w:ascii="Arial" w:hAnsi="Arial" w:cs="Arial"/>
                <w:b/>
                <w:bCs/>
              </w:rPr>
              <w:t>7</w:t>
            </w:r>
            <w:r w:rsidRPr="00F349EA">
              <w:rPr>
                <w:rFonts w:ascii="Arial" w:hAnsi="Arial" w:cs="Arial"/>
                <w:b/>
                <w:bCs/>
              </w:rPr>
              <w:t xml:space="preserve">.3: </w:t>
            </w:r>
            <w:r w:rsidR="00510221" w:rsidRPr="00F349EA">
              <w:rPr>
                <w:rFonts w:ascii="Arial" w:hAnsi="Arial" w:cs="Arial"/>
              </w:rPr>
              <w:t>SEPA is ready to support the introduction of the UK Digital Service by DEFRA for Scotland’s users in 2026.</w:t>
            </w:r>
          </w:p>
        </w:tc>
        <w:tc>
          <w:tcPr>
            <w:tcW w:w="256" w:type="pct"/>
            <w:vAlign w:val="center"/>
          </w:tcPr>
          <w:p w14:paraId="4E629800" w14:textId="77777777" w:rsidR="00314672" w:rsidRPr="00F349EA" w:rsidRDefault="00314672" w:rsidP="00ED15C4">
            <w:pPr>
              <w:jc w:val="center"/>
              <w:textAlignment w:val="baseline"/>
              <w:rPr>
                <w:rFonts w:asciiTheme="majorHAnsi" w:eastAsia="Times New Roman" w:hAnsiTheme="majorHAnsi" w:cstheme="majorHAnsi"/>
                <w:lang w:eastAsia="en-GB"/>
              </w:rPr>
            </w:pPr>
            <w:r w:rsidRPr="00F349EA">
              <w:rPr>
                <w:rFonts w:asciiTheme="majorHAnsi" w:hAnsiTheme="majorHAnsi" w:cstheme="majorHAnsi"/>
                <w:color w:val="000000"/>
              </w:rPr>
              <w:t>Q4</w:t>
            </w:r>
          </w:p>
        </w:tc>
        <w:tc>
          <w:tcPr>
            <w:tcW w:w="309" w:type="pct"/>
            <w:vAlign w:val="center"/>
          </w:tcPr>
          <w:p w14:paraId="376E167C" w14:textId="77777777" w:rsidR="00314672" w:rsidRPr="00F349EA" w:rsidRDefault="00314672" w:rsidP="00ED15C4">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N/A</w:t>
            </w:r>
          </w:p>
        </w:tc>
        <w:tc>
          <w:tcPr>
            <w:tcW w:w="309" w:type="pct"/>
            <w:vAlign w:val="center"/>
          </w:tcPr>
          <w:p w14:paraId="15616EC3" w14:textId="1BE044F1" w:rsidR="00314672" w:rsidRPr="00F349EA" w:rsidRDefault="00B11762" w:rsidP="00ED15C4">
            <w:pPr>
              <w:jc w:val="center"/>
              <w:textAlignment w:val="baseline"/>
              <w:rPr>
                <w:rFonts w:ascii="Arial" w:eastAsia="Times New Roman" w:hAnsi="Arial" w:cs="Arial"/>
                <w:szCs w:val="28"/>
                <w:lang w:eastAsia="en-GB"/>
              </w:rPr>
            </w:pPr>
            <w:r w:rsidRPr="00F349EA">
              <w:rPr>
                <w:rFonts w:asciiTheme="majorHAnsi" w:eastAsia="Times New Roman" w:hAnsiTheme="majorHAnsi" w:cstheme="majorHAnsi"/>
                <w:lang w:eastAsia="en-GB"/>
              </w:rPr>
              <w:t>N/A</w:t>
            </w:r>
          </w:p>
        </w:tc>
        <w:tc>
          <w:tcPr>
            <w:tcW w:w="309" w:type="pct"/>
            <w:vAlign w:val="center"/>
          </w:tcPr>
          <w:p w14:paraId="55E2EEE7" w14:textId="77777777" w:rsidR="00314672" w:rsidRPr="00F349EA" w:rsidRDefault="00314672" w:rsidP="00ED15C4">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09" w:type="pct"/>
            <w:vAlign w:val="center"/>
          </w:tcPr>
          <w:p w14:paraId="7DF3F95E" w14:textId="77777777" w:rsidR="00314672" w:rsidRPr="00F349EA" w:rsidRDefault="00314672" w:rsidP="00ED15C4">
            <w:pPr>
              <w:jc w:val="center"/>
              <w:textAlignment w:val="baseline"/>
              <w:rPr>
                <w:rFonts w:asciiTheme="majorHAnsi" w:eastAsia="Times New Roman" w:hAnsiTheme="majorHAnsi" w:cstheme="majorHAnsi"/>
                <w:lang w:eastAsia="en-GB"/>
              </w:rPr>
            </w:pPr>
            <w:r w:rsidRPr="00F349EA">
              <w:rPr>
                <w:rFonts w:asciiTheme="majorHAnsi" w:eastAsia="Times New Roman" w:hAnsiTheme="majorHAnsi" w:cstheme="majorHAnsi"/>
                <w:lang w:eastAsia="en-GB"/>
              </w:rPr>
              <w:t>-</w:t>
            </w:r>
          </w:p>
        </w:tc>
        <w:tc>
          <w:tcPr>
            <w:tcW w:w="341" w:type="pct"/>
            <w:vAlign w:val="center"/>
          </w:tcPr>
          <w:p w14:paraId="13B2891B" w14:textId="33E201BD" w:rsidR="00314672" w:rsidRPr="00F349EA" w:rsidRDefault="00AB74BA" w:rsidP="00ED15C4">
            <w:pPr>
              <w:jc w:val="center"/>
              <w:textAlignment w:val="baseline"/>
              <w:rPr>
                <w:b/>
                <w:bCs/>
              </w:rPr>
            </w:pPr>
            <w:r w:rsidRPr="00F349EA">
              <w:rPr>
                <w:b/>
                <w:bCs/>
                <w:noProof/>
              </w:rPr>
              <w:drawing>
                <wp:inline distT="0" distB="0" distL="0" distR="0" wp14:anchorId="00697892" wp14:editId="398DFCFB">
                  <wp:extent cx="470590" cy="470590"/>
                  <wp:effectExtent l="0" t="0" r="0" b="5715"/>
                  <wp:docPr id="1224920175"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472345" cy="472345"/>
                          </a:xfrm>
                          <a:prstGeom prst="rect">
                            <a:avLst/>
                          </a:prstGeom>
                        </pic:spPr>
                      </pic:pic>
                    </a:graphicData>
                  </a:graphic>
                </wp:inline>
              </w:drawing>
            </w:r>
          </w:p>
        </w:tc>
        <w:tc>
          <w:tcPr>
            <w:tcW w:w="1326" w:type="pct"/>
            <w:vAlign w:val="center"/>
          </w:tcPr>
          <w:p w14:paraId="37CA8775" w14:textId="77777777" w:rsidR="00314672" w:rsidRPr="00F349EA" w:rsidRDefault="00334777" w:rsidP="00ED15C4">
            <w:pPr>
              <w:textAlignment w:val="baseline"/>
              <w:rPr>
                <w:rFonts w:ascii="Arial" w:eastAsia="Times New Roman" w:hAnsi="Arial" w:cs="Arial"/>
                <w:lang w:eastAsia="en-GB"/>
              </w:rPr>
            </w:pPr>
            <w:r w:rsidRPr="00F349EA">
              <w:rPr>
                <w:rFonts w:ascii="Arial" w:eastAsia="Times New Roman" w:hAnsi="Arial" w:cs="Arial"/>
                <w:lang w:eastAsia="en-GB"/>
              </w:rPr>
              <w:t>Key result will be progressed later in the year. </w:t>
            </w:r>
          </w:p>
          <w:p w14:paraId="43429152" w14:textId="128EEB2E" w:rsidR="008F25A2" w:rsidRPr="00F349EA" w:rsidRDefault="0022442F" w:rsidP="00ED15C4">
            <w:pPr>
              <w:textAlignment w:val="baseline"/>
              <w:rPr>
                <w:rFonts w:ascii="Arial" w:eastAsia="Times New Roman" w:hAnsi="Arial" w:cs="Arial"/>
                <w:lang w:eastAsia="en-GB"/>
              </w:rPr>
            </w:pPr>
            <w:r w:rsidRPr="00F349EA">
              <w:rPr>
                <w:rFonts w:ascii="Arial" w:eastAsia="Times New Roman" w:hAnsi="Arial" w:cs="Arial"/>
                <w:b/>
                <w:bCs/>
                <w:lang w:eastAsia="en-GB"/>
              </w:rPr>
              <w:t>Confidence</w:t>
            </w:r>
            <w:r w:rsidRPr="00F349EA">
              <w:rPr>
                <w:rFonts w:ascii="Arial" w:eastAsia="Times New Roman" w:hAnsi="Arial" w:cs="Arial"/>
                <w:lang w:eastAsia="en-GB"/>
              </w:rPr>
              <w:t>: Objective is not entirely within SEPA's control Low confidence in meeting our target is reflected in partial delivery being forecast.</w:t>
            </w:r>
          </w:p>
        </w:tc>
        <w:tc>
          <w:tcPr>
            <w:tcW w:w="548" w:type="pct"/>
            <w:vAlign w:val="center"/>
          </w:tcPr>
          <w:p w14:paraId="6BCDDFB0" w14:textId="27E6B9D8" w:rsidR="00314672" w:rsidRPr="00F349EA" w:rsidRDefault="00690FC2" w:rsidP="00ED15C4">
            <w:pPr>
              <w:textAlignment w:val="baseline"/>
              <w:rPr>
                <w:rFonts w:ascii="Arial" w:eastAsia="Times New Roman" w:hAnsi="Arial" w:cs="Arial"/>
                <w:szCs w:val="28"/>
                <w:lang w:eastAsia="en-GB"/>
              </w:rPr>
            </w:pPr>
            <w:r w:rsidRPr="00F349EA">
              <w:rPr>
                <w:rFonts w:ascii="Arial" w:eastAsia="Times New Roman" w:hAnsi="Arial" w:cs="Arial"/>
                <w:szCs w:val="28"/>
                <w:lang w:eastAsia="en-GB"/>
              </w:rPr>
              <w:t>Partial delivery</w:t>
            </w:r>
          </w:p>
        </w:tc>
      </w:tr>
    </w:tbl>
    <w:p w14:paraId="47242FA8" w14:textId="6BC28333" w:rsidR="000111F4" w:rsidRPr="00F349EA" w:rsidRDefault="000111F4" w:rsidP="000111F4">
      <w:pPr>
        <w:spacing w:before="240" w:after="120"/>
        <w:rPr>
          <w:sz w:val="28"/>
          <w:szCs w:val="28"/>
        </w:rPr>
      </w:pPr>
      <w:r w:rsidRPr="00F349EA">
        <w:rPr>
          <w:b/>
          <w:bCs/>
          <w:sz w:val="28"/>
          <w:szCs w:val="28"/>
        </w:rPr>
        <w:t>Overall objective score</w:t>
      </w:r>
      <w:r w:rsidRPr="00F349EA">
        <w:rPr>
          <w:sz w:val="28"/>
          <w:szCs w:val="28"/>
        </w:rPr>
        <w:t xml:space="preserve"> =</w:t>
      </w:r>
      <w:r w:rsidRPr="00F349EA">
        <w:rPr>
          <w:color w:val="016574"/>
          <w:sz w:val="28"/>
          <w:szCs w:val="28"/>
        </w:rPr>
        <w:t xml:space="preserve"> </w:t>
      </w:r>
      <w:r w:rsidRPr="00F349EA">
        <w:rPr>
          <w:sz w:val="28"/>
          <w:szCs w:val="28"/>
        </w:rPr>
        <w:t>0</w:t>
      </w:r>
      <w:r w:rsidR="00230633" w:rsidRPr="00F349EA">
        <w:rPr>
          <w:sz w:val="28"/>
          <w:szCs w:val="28"/>
        </w:rPr>
        <w:t>.5</w:t>
      </w:r>
    </w:p>
    <w:p w14:paraId="24A4F2BC" w14:textId="77777777" w:rsidR="0022442F" w:rsidRPr="00F349EA" w:rsidRDefault="0022442F" w:rsidP="000111F4">
      <w:pPr>
        <w:spacing w:before="240" w:after="120"/>
        <w:rPr>
          <w:sz w:val="28"/>
          <w:szCs w:val="28"/>
        </w:rPr>
      </w:pPr>
    </w:p>
    <w:p w14:paraId="5DB38B6E" w14:textId="77777777" w:rsidR="0022442F" w:rsidRPr="00F349EA" w:rsidRDefault="0022442F" w:rsidP="000111F4">
      <w:pPr>
        <w:spacing w:before="240" w:after="120"/>
        <w:rPr>
          <w:sz w:val="28"/>
          <w:szCs w:val="28"/>
        </w:rPr>
      </w:pPr>
    </w:p>
    <w:p w14:paraId="250B4282" w14:textId="77777777" w:rsidR="0022442F" w:rsidRPr="00F349EA" w:rsidRDefault="0022442F" w:rsidP="000111F4">
      <w:pPr>
        <w:spacing w:before="240" w:after="120"/>
        <w:rPr>
          <w:sz w:val="28"/>
          <w:szCs w:val="28"/>
        </w:rPr>
      </w:pPr>
    </w:p>
    <w:p w14:paraId="6214BDDA" w14:textId="77777777" w:rsidR="0022442F" w:rsidRPr="00F349EA" w:rsidRDefault="0022442F" w:rsidP="000111F4">
      <w:pPr>
        <w:spacing w:before="240" w:after="120"/>
        <w:rPr>
          <w:sz w:val="28"/>
          <w:szCs w:val="28"/>
        </w:rPr>
      </w:pPr>
    </w:p>
    <w:p w14:paraId="1349085F" w14:textId="77777777" w:rsidR="0022442F" w:rsidRPr="00F349EA" w:rsidRDefault="0022442F" w:rsidP="000111F4">
      <w:pPr>
        <w:spacing w:before="240" w:after="120"/>
        <w:rPr>
          <w:sz w:val="28"/>
          <w:szCs w:val="28"/>
        </w:rPr>
      </w:pPr>
    </w:p>
    <w:p w14:paraId="7E07B04C" w14:textId="77777777" w:rsidR="0022442F" w:rsidRPr="00F349EA" w:rsidRDefault="0022442F" w:rsidP="000111F4">
      <w:pPr>
        <w:spacing w:before="240" w:after="120"/>
        <w:rPr>
          <w:sz w:val="28"/>
          <w:szCs w:val="28"/>
        </w:rPr>
      </w:pPr>
    </w:p>
    <w:p w14:paraId="2C351639" w14:textId="77777777" w:rsidR="00202277" w:rsidRPr="00F349EA" w:rsidRDefault="00202277" w:rsidP="00202277">
      <w:pPr>
        <w:spacing w:line="240" w:lineRule="auto"/>
      </w:pPr>
    </w:p>
    <w:p w14:paraId="0BA2640C" w14:textId="77777777" w:rsidR="00202277" w:rsidRPr="00F349EA" w:rsidRDefault="00202277" w:rsidP="00202277">
      <w:pPr>
        <w:spacing w:line="240" w:lineRule="auto"/>
      </w:pPr>
    </w:p>
    <w:p w14:paraId="3CF4844D" w14:textId="4B43EBB2" w:rsidR="00202277" w:rsidRPr="00F349EA" w:rsidRDefault="00202277" w:rsidP="7D52A5B7">
      <w:pPr>
        <w:pStyle w:val="Heading2"/>
        <w:shd w:val="clear" w:color="auto" w:fill="016574" w:themeFill="accent2"/>
        <w:spacing w:before="0" w:after="240"/>
        <w:ind w:left="720" w:hanging="720"/>
        <w:rPr>
          <w:color w:val="FFFFFF" w:themeColor="background1"/>
          <w:sz w:val="44"/>
          <w:szCs w:val="44"/>
        </w:rPr>
      </w:pPr>
      <w:bookmarkStart w:id="35" w:name="_Toc2094063106"/>
      <w:r w:rsidRPr="68A9B764">
        <w:rPr>
          <w:color w:val="FFFFFF" w:themeColor="background1"/>
          <w:sz w:val="44"/>
          <w:szCs w:val="44"/>
        </w:rPr>
        <w:t>Business Environmental Performance</w:t>
      </w:r>
      <w:bookmarkEnd w:id="35"/>
      <w:r w:rsidRPr="68A9B764">
        <w:rPr>
          <w:color w:val="FFFFFF" w:themeColor="background1"/>
          <w:sz w:val="44"/>
          <w:szCs w:val="44"/>
        </w:rPr>
        <w:t xml:space="preserve"> </w:t>
      </w:r>
    </w:p>
    <w:p w14:paraId="6FC7B11E" w14:textId="7C974AE9" w:rsidR="00202277" w:rsidRPr="00F349EA" w:rsidRDefault="7367B549" w:rsidP="00E70031">
      <w:pPr>
        <w:pStyle w:val="BodyText1"/>
        <w:shd w:val="clear" w:color="auto" w:fill="018395"/>
        <w:spacing w:before="240" w:after="120"/>
        <w:rPr>
          <w:color w:val="FFFFFF" w:themeColor="background1"/>
          <w:sz w:val="36"/>
          <w:szCs w:val="36"/>
        </w:rPr>
      </w:pPr>
      <w:r w:rsidRPr="00F349EA">
        <w:rPr>
          <w:color w:val="FFFFFF" w:themeColor="background1"/>
          <w:sz w:val="36"/>
          <w:szCs w:val="36"/>
        </w:rPr>
        <w:t>Our ambition is to protect the environment and communities from harm; for Scotland to be an inhospitable place for environmental crime</w:t>
      </w:r>
      <w:r w:rsidR="4627133B" w:rsidRPr="00F349EA">
        <w:rPr>
          <w:color w:val="FFFFFF" w:themeColor="background1"/>
          <w:sz w:val="36"/>
          <w:szCs w:val="36"/>
        </w:rPr>
        <w:t>,</w:t>
      </w:r>
      <w:r w:rsidRPr="00F349EA">
        <w:rPr>
          <w:color w:val="FFFFFF" w:themeColor="background1"/>
          <w:sz w:val="36"/>
          <w:szCs w:val="36"/>
        </w:rPr>
        <w:t xml:space="preserve"> and </w:t>
      </w:r>
      <w:r w:rsidR="4E8D2EF9" w:rsidRPr="00F349EA">
        <w:rPr>
          <w:color w:val="FFFFFF" w:themeColor="background1"/>
          <w:sz w:val="36"/>
          <w:szCs w:val="36"/>
        </w:rPr>
        <w:t xml:space="preserve">that </w:t>
      </w:r>
      <w:r w:rsidRPr="00F349EA">
        <w:rPr>
          <w:color w:val="FFFFFF" w:themeColor="background1"/>
          <w:sz w:val="36"/>
          <w:szCs w:val="36"/>
        </w:rPr>
        <w:t>regulation enables businesses to reduce their environmental impact.</w:t>
      </w:r>
    </w:p>
    <w:p w14:paraId="448D7481" w14:textId="5BD8D8B8" w:rsidR="00860FE4" w:rsidRPr="00F349EA" w:rsidRDefault="00766651" w:rsidP="00766651">
      <w:pPr>
        <w:pStyle w:val="Heading3"/>
        <w:spacing w:before="240" w:after="120"/>
        <w:rPr>
          <w:color w:val="016574"/>
          <w:sz w:val="32"/>
          <w:szCs w:val="28"/>
        </w:rPr>
      </w:pPr>
      <w:r w:rsidRPr="00F349EA">
        <w:rPr>
          <w:color w:val="016574"/>
          <w:sz w:val="32"/>
          <w:szCs w:val="28"/>
        </w:rPr>
        <w:t>BEP</w:t>
      </w:r>
      <w:r w:rsidR="00860FE4" w:rsidRPr="00F349EA">
        <w:rPr>
          <w:color w:val="016574"/>
          <w:sz w:val="32"/>
          <w:szCs w:val="28"/>
        </w:rPr>
        <w:t xml:space="preserve"> OKR8: </w:t>
      </w:r>
      <w:r w:rsidR="00E26304" w:rsidRPr="00F349EA">
        <w:rPr>
          <w:color w:val="016574"/>
          <w:sz w:val="32"/>
          <w:szCs w:val="28"/>
        </w:rPr>
        <w:t>Ensure key stakeholders are engaged and informed on the necessary preparations required for compliance with the Biodegradable Municipal Waste (BMW) Landfill ban.</w:t>
      </w:r>
    </w:p>
    <w:p w14:paraId="10586412" w14:textId="7B32DF82" w:rsidR="00DD3FB5" w:rsidRPr="00F349EA" w:rsidRDefault="0018559A" w:rsidP="00860FE4">
      <w:pPr>
        <w:rPr>
          <w:b/>
          <w:bCs/>
          <w:color w:val="3C4741" w:themeColor="text1"/>
          <w:sz w:val="28"/>
          <w:szCs w:val="28"/>
        </w:rPr>
      </w:pPr>
      <w:r w:rsidRPr="00F349EA">
        <w:rPr>
          <w:noProof/>
        </w:rPr>
        <w:drawing>
          <wp:inline distT="0" distB="0" distL="0" distR="0" wp14:anchorId="69B580C0" wp14:editId="0A1CD378">
            <wp:extent cx="9455727" cy="2743200"/>
            <wp:effectExtent l="0" t="0" r="12700" b="0"/>
            <wp:docPr id="1187321060" name="Chart 1" descr="This is a bar graph which shows the score of each key result for OKR08 over each quarter. &#10;There is a line on the score scale of 0.7 to represent whether the KR is being delivered. There is another line on the score scale of 0.3 to represent whether measurable progress has been made in the quarter.&#10;For Q1 and Q2, KR8.1 scored 1. &#10;KR8.2 and KR8.3 scored 0.&#10;KR8.4 and KR 8.5 had no score as this will be progressed later in the year.">
              <a:extLst xmlns:a="http://schemas.openxmlformats.org/drawingml/2006/main">
                <a:ext uri="{FF2B5EF4-FFF2-40B4-BE49-F238E27FC236}">
                  <a16:creationId xmlns:a16="http://schemas.microsoft.com/office/drawing/2014/main" id="{793922BA-1F83-40FF-BA07-5FD7EB66F0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13" w:type="dxa"/>
          <w:bottom w:w="170" w:type="dxa"/>
          <w:right w:w="113" w:type="dxa"/>
        </w:tblCellMar>
        <w:tblLook w:val="04A0" w:firstRow="1" w:lastRow="0" w:firstColumn="1" w:lastColumn="0" w:noHBand="0" w:noVBand="1"/>
        <w:tblCaption w:val="OKR8 key result summary"/>
        <w:tblDescription w:val="Q1 summary for each of the five key results under OKR8. This includes the date due, Q1 score, Q1 status, Q1 commentary and annual forecast for each key result."/>
      </w:tblPr>
      <w:tblGrid>
        <w:gridCol w:w="3965"/>
        <w:gridCol w:w="850"/>
        <w:gridCol w:w="880"/>
        <w:gridCol w:w="880"/>
        <w:gridCol w:w="880"/>
        <w:gridCol w:w="880"/>
        <w:gridCol w:w="1020"/>
        <w:gridCol w:w="4107"/>
        <w:gridCol w:w="1496"/>
      </w:tblGrid>
      <w:tr w:rsidR="00ED15C4" w:rsidRPr="00F349EA" w14:paraId="18D44D54" w14:textId="77777777" w:rsidTr="00221747">
        <w:trPr>
          <w:cantSplit/>
          <w:trHeight w:val="545"/>
          <w:tblHeader/>
        </w:trPr>
        <w:tc>
          <w:tcPr>
            <w:tcW w:w="1325" w:type="pct"/>
            <w:shd w:val="clear" w:color="auto" w:fill="016574"/>
          </w:tcPr>
          <w:p w14:paraId="01BB50AF" w14:textId="77777777" w:rsidR="00860FE4" w:rsidRPr="00F349EA" w:rsidRDefault="00860FE4">
            <w:pPr>
              <w:spacing w:before="40" w:after="40" w:line="240" w:lineRule="auto"/>
              <w:textAlignment w:val="baseline"/>
              <w:rPr>
                <w:rFonts w:ascii="Arial" w:eastAsia="Times New Roman" w:hAnsi="Arial" w:cs="Arial"/>
                <w:color w:val="000000"/>
                <w:sz w:val="28"/>
                <w:szCs w:val="28"/>
                <w:lang w:eastAsia="en-GB"/>
              </w:rPr>
            </w:pPr>
            <w:r w:rsidRPr="00F349EA">
              <w:rPr>
                <w:rFonts w:ascii="Arial" w:eastAsia="MS PGothic" w:hAnsi="Arial" w:cs="Arial"/>
                <w:b/>
                <w:bCs/>
                <w:color w:val="FFFFFF" w:themeColor="background1"/>
              </w:rPr>
              <w:lastRenderedPageBreak/>
              <w:t>Key Results</w:t>
            </w:r>
          </w:p>
        </w:tc>
        <w:tc>
          <w:tcPr>
            <w:tcW w:w="284" w:type="pct"/>
            <w:shd w:val="clear" w:color="auto" w:fill="016574"/>
          </w:tcPr>
          <w:p w14:paraId="0A12F88F" w14:textId="77777777" w:rsidR="00860FE4" w:rsidRPr="00F349EA" w:rsidRDefault="00860FE4">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Due date</w:t>
            </w:r>
          </w:p>
        </w:tc>
        <w:tc>
          <w:tcPr>
            <w:tcW w:w="294" w:type="pct"/>
            <w:shd w:val="clear" w:color="auto" w:fill="016574"/>
          </w:tcPr>
          <w:p w14:paraId="14D63529" w14:textId="77777777" w:rsidR="00860FE4" w:rsidRPr="00F349EA" w:rsidRDefault="00860FE4">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Q1 score</w:t>
            </w:r>
          </w:p>
        </w:tc>
        <w:tc>
          <w:tcPr>
            <w:tcW w:w="294" w:type="pct"/>
            <w:shd w:val="clear" w:color="auto" w:fill="016574"/>
          </w:tcPr>
          <w:p w14:paraId="78C21AA2" w14:textId="77777777" w:rsidR="00860FE4" w:rsidRPr="00F349EA" w:rsidRDefault="00860FE4">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Q2 score</w:t>
            </w:r>
          </w:p>
        </w:tc>
        <w:tc>
          <w:tcPr>
            <w:tcW w:w="294" w:type="pct"/>
            <w:shd w:val="clear" w:color="auto" w:fill="016574"/>
          </w:tcPr>
          <w:p w14:paraId="4984A503" w14:textId="77777777" w:rsidR="00860FE4" w:rsidRPr="00F349EA" w:rsidRDefault="00860FE4">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Q3 score</w:t>
            </w:r>
          </w:p>
        </w:tc>
        <w:tc>
          <w:tcPr>
            <w:tcW w:w="294" w:type="pct"/>
            <w:shd w:val="clear" w:color="auto" w:fill="016574"/>
          </w:tcPr>
          <w:p w14:paraId="00BB3265" w14:textId="77777777" w:rsidR="00860FE4" w:rsidRPr="00F349EA" w:rsidRDefault="00860FE4">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Q4 score</w:t>
            </w:r>
          </w:p>
        </w:tc>
        <w:tc>
          <w:tcPr>
            <w:tcW w:w="341" w:type="pct"/>
            <w:shd w:val="clear" w:color="auto" w:fill="016574"/>
          </w:tcPr>
          <w:p w14:paraId="2888F90D" w14:textId="718F5A28" w:rsidR="00860FE4" w:rsidRPr="00F349EA" w:rsidRDefault="00860FE4">
            <w:pPr>
              <w:spacing w:before="40" w:after="40" w:line="240" w:lineRule="auto"/>
              <w:jc w:val="center"/>
              <w:textAlignment w:val="baseline"/>
              <w:rPr>
                <w:rFonts w:ascii="Arial" w:eastAsia="Times New Roman" w:hAnsi="Arial" w:cs="Arial"/>
                <w:color w:val="000000"/>
                <w:lang w:eastAsia="en-GB"/>
              </w:rPr>
            </w:pPr>
            <w:r w:rsidRPr="00F349EA">
              <w:rPr>
                <w:rFonts w:ascii="Arial" w:eastAsia="MS PGothic" w:hAnsi="Arial" w:cs="Arial"/>
                <w:b/>
                <w:bCs/>
                <w:color w:val="FFFFFF"/>
              </w:rPr>
              <w:t>Q</w:t>
            </w:r>
            <w:r w:rsidR="007B42BA" w:rsidRPr="00F349EA">
              <w:rPr>
                <w:rFonts w:ascii="Arial" w:eastAsia="MS PGothic" w:hAnsi="Arial" w:cs="Arial"/>
                <w:b/>
                <w:bCs/>
                <w:color w:val="FFFFFF"/>
              </w:rPr>
              <w:t>2</w:t>
            </w:r>
            <w:r w:rsidRPr="00F349EA">
              <w:rPr>
                <w:rFonts w:ascii="Arial" w:eastAsia="MS PGothic" w:hAnsi="Arial" w:cs="Arial"/>
                <w:b/>
                <w:bCs/>
                <w:color w:val="FFFFFF"/>
              </w:rPr>
              <w:t xml:space="preserve"> Status</w:t>
            </w:r>
          </w:p>
        </w:tc>
        <w:tc>
          <w:tcPr>
            <w:tcW w:w="1373" w:type="pct"/>
            <w:shd w:val="clear" w:color="auto" w:fill="016574"/>
          </w:tcPr>
          <w:p w14:paraId="29C72F95" w14:textId="676CB1EC" w:rsidR="00860FE4" w:rsidRPr="00F349EA" w:rsidRDefault="00860FE4">
            <w:pPr>
              <w:spacing w:before="40" w:after="40" w:line="240" w:lineRule="auto"/>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Q</w:t>
            </w:r>
            <w:r w:rsidR="007B42BA" w:rsidRPr="00F349EA">
              <w:rPr>
                <w:rFonts w:ascii="Arial" w:eastAsia="MS PGothic" w:hAnsi="Arial" w:cs="Arial"/>
                <w:b/>
                <w:bCs/>
                <w:color w:val="FFFFFF"/>
                <w:sz w:val="28"/>
                <w:szCs w:val="28"/>
              </w:rPr>
              <w:t>2</w:t>
            </w:r>
            <w:r w:rsidRPr="00F349EA">
              <w:rPr>
                <w:rFonts w:ascii="Arial" w:eastAsia="MS PGothic" w:hAnsi="Arial" w:cs="Arial"/>
                <w:b/>
                <w:bCs/>
                <w:color w:val="FFFFFF"/>
                <w:sz w:val="28"/>
                <w:szCs w:val="28"/>
              </w:rPr>
              <w:t xml:space="preserve"> commentary</w:t>
            </w:r>
          </w:p>
        </w:tc>
        <w:tc>
          <w:tcPr>
            <w:tcW w:w="500" w:type="pct"/>
            <w:shd w:val="clear" w:color="auto" w:fill="016574"/>
            <w:vAlign w:val="center"/>
          </w:tcPr>
          <w:p w14:paraId="59792D86" w14:textId="77777777" w:rsidR="00860FE4" w:rsidRPr="00F349EA" w:rsidRDefault="00860FE4" w:rsidP="00221747">
            <w:pPr>
              <w:spacing w:before="40" w:after="40"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Annual forecast</w:t>
            </w:r>
          </w:p>
        </w:tc>
      </w:tr>
      <w:tr w:rsidR="00ED15C4" w:rsidRPr="00F349EA" w14:paraId="4589379A" w14:textId="77777777" w:rsidTr="004C18EC">
        <w:trPr>
          <w:cantSplit/>
          <w:trHeight w:val="865"/>
        </w:trPr>
        <w:tc>
          <w:tcPr>
            <w:tcW w:w="1325" w:type="pct"/>
            <w:vAlign w:val="center"/>
          </w:tcPr>
          <w:p w14:paraId="23A75101" w14:textId="6B2AE0FE" w:rsidR="00860FE4" w:rsidRPr="00F349EA" w:rsidRDefault="00494A55" w:rsidP="004C18EC">
            <w:pPr>
              <w:rPr>
                <w:rFonts w:ascii="Arial" w:eastAsia="Times New Roman" w:hAnsi="Arial" w:cs="Arial"/>
                <w:b/>
                <w:color w:val="000000"/>
              </w:rPr>
            </w:pPr>
            <w:r w:rsidRPr="00F349EA">
              <w:rPr>
                <w:rFonts w:ascii="Arial" w:hAnsi="Arial" w:cs="Arial"/>
                <w:b/>
                <w:color w:val="000000"/>
              </w:rPr>
              <w:t xml:space="preserve">KR 8.1: </w:t>
            </w:r>
            <w:r w:rsidRPr="00F349EA">
              <w:rPr>
                <w:rFonts w:ascii="Arial" w:hAnsi="Arial" w:cs="Arial"/>
                <w:color w:val="000000"/>
              </w:rPr>
              <w:t xml:space="preserve">100% of landfill operators engaged through seminar and one to one engagement by 30 June 2025, to help prepare for compliance with </w:t>
            </w:r>
            <w:r w:rsidR="006F6D22" w:rsidRPr="00F349EA">
              <w:rPr>
                <w:rFonts w:ascii="Arial" w:hAnsi="Arial" w:cs="Arial"/>
                <w:color w:val="000000"/>
              </w:rPr>
              <w:t>BMW</w:t>
            </w:r>
            <w:r w:rsidRPr="00F349EA">
              <w:rPr>
                <w:rFonts w:ascii="Arial" w:hAnsi="Arial" w:cs="Arial"/>
                <w:color w:val="000000"/>
              </w:rPr>
              <w:t xml:space="preserve"> Landfill ban</w:t>
            </w:r>
          </w:p>
        </w:tc>
        <w:tc>
          <w:tcPr>
            <w:tcW w:w="284" w:type="pct"/>
            <w:vAlign w:val="center"/>
          </w:tcPr>
          <w:p w14:paraId="64DB63C2" w14:textId="4433B4DF" w:rsidR="00860FE4" w:rsidRPr="00F349EA" w:rsidRDefault="00A674BC"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Q1</w:t>
            </w:r>
          </w:p>
        </w:tc>
        <w:tc>
          <w:tcPr>
            <w:tcW w:w="294" w:type="pct"/>
            <w:vAlign w:val="center"/>
          </w:tcPr>
          <w:p w14:paraId="4F8F05DB" w14:textId="70E19E74" w:rsidR="00860FE4" w:rsidRPr="00F349EA" w:rsidRDefault="0091726E"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1</w:t>
            </w:r>
          </w:p>
        </w:tc>
        <w:tc>
          <w:tcPr>
            <w:tcW w:w="294" w:type="pct"/>
            <w:vAlign w:val="center"/>
          </w:tcPr>
          <w:p w14:paraId="3CE0907B" w14:textId="2D230C5C" w:rsidR="00860FE4" w:rsidRPr="00F349EA" w:rsidRDefault="00730280" w:rsidP="00ED15C4">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1</w:t>
            </w:r>
          </w:p>
        </w:tc>
        <w:tc>
          <w:tcPr>
            <w:tcW w:w="294" w:type="pct"/>
            <w:vAlign w:val="center"/>
          </w:tcPr>
          <w:p w14:paraId="0E138412" w14:textId="77777777" w:rsidR="00860FE4" w:rsidRPr="00F349EA" w:rsidRDefault="00860FE4"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294" w:type="pct"/>
            <w:vAlign w:val="center"/>
          </w:tcPr>
          <w:p w14:paraId="1DBE61A9" w14:textId="77777777" w:rsidR="00860FE4" w:rsidRPr="00F349EA" w:rsidRDefault="00860FE4"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341" w:type="pct"/>
            <w:vAlign w:val="center"/>
          </w:tcPr>
          <w:p w14:paraId="2BB54FEF" w14:textId="778DCB27" w:rsidR="00860FE4" w:rsidRPr="00F349EA" w:rsidRDefault="00281548" w:rsidP="00ED15C4">
            <w:pPr>
              <w:jc w:val="center"/>
              <w:textAlignment w:val="baseline"/>
              <w:rPr>
                <w:rFonts w:ascii="Arial" w:eastAsia="Times New Roman" w:hAnsi="Arial" w:cs="Arial"/>
                <w:szCs w:val="28"/>
                <w:lang w:eastAsia="en-GB"/>
              </w:rPr>
            </w:pPr>
            <w:r w:rsidRPr="00F349EA">
              <w:rPr>
                <w:noProof/>
              </w:rPr>
              <w:drawing>
                <wp:inline distT="0" distB="0" distL="0" distR="0" wp14:anchorId="15B780D2" wp14:editId="3BD5B043">
                  <wp:extent cx="432000" cy="432000"/>
                  <wp:effectExtent l="0" t="0" r="0" b="0"/>
                  <wp:docPr id="1674609234" name="Graphic 24" descr="Icon of a checkbox which has a tick with solid fill. Represents where an OKR measure is complete and the deadline for completion has 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3512" name="Graphic 24" descr="Icon of a checkbox which has a tick with solid fill. Represents where an OKR measure is complete and the deadline for completion has passed."/>
                          <pic:cNvPicPr/>
                        </pic:nvPicPr>
                        <pic:blipFill>
                          <a:blip r:embed="rId33">
                            <a:extLst>
                              <a:ext uri="{96DAC541-7B7A-43D3-8B79-37D633B846F1}">
                                <asvg:svgBlip xmlns:asvg="http://schemas.microsoft.com/office/drawing/2016/SVG/main" r:embed="rId34"/>
                              </a:ext>
                            </a:extLst>
                          </a:blip>
                          <a:stretch>
                            <a:fillRect/>
                          </a:stretch>
                        </pic:blipFill>
                        <pic:spPr>
                          <a:xfrm>
                            <a:off x="0" y="0"/>
                            <a:ext cx="432000" cy="432000"/>
                          </a:xfrm>
                          <a:prstGeom prst="rect">
                            <a:avLst/>
                          </a:prstGeom>
                        </pic:spPr>
                      </pic:pic>
                    </a:graphicData>
                  </a:graphic>
                </wp:inline>
              </w:drawing>
            </w:r>
          </w:p>
        </w:tc>
        <w:tc>
          <w:tcPr>
            <w:tcW w:w="1373" w:type="pct"/>
            <w:vAlign w:val="center"/>
          </w:tcPr>
          <w:p w14:paraId="65C85EDC" w14:textId="5B17EB00" w:rsidR="00860FE4" w:rsidRPr="00F349EA" w:rsidRDefault="00281548" w:rsidP="003E4A62">
            <w:pPr>
              <w:textAlignment w:val="baseline"/>
              <w:rPr>
                <w:rFonts w:ascii="Arial" w:eastAsia="Times New Roman" w:hAnsi="Arial" w:cs="Arial"/>
                <w:b/>
                <w:bCs/>
                <w:lang w:eastAsia="en-GB"/>
              </w:rPr>
            </w:pPr>
            <w:r w:rsidRPr="00F349EA">
              <w:rPr>
                <w:rFonts w:ascii="Arial" w:eastAsia="Times New Roman" w:hAnsi="Arial" w:cs="Arial"/>
                <w:b/>
                <w:bCs/>
                <w:lang w:eastAsia="en-GB"/>
              </w:rPr>
              <w:t>Delivered in Q1</w:t>
            </w:r>
            <w:r w:rsidR="003E4A62" w:rsidRPr="00F349EA">
              <w:rPr>
                <w:rFonts w:ascii="Arial" w:eastAsia="Times New Roman" w:hAnsi="Arial" w:cs="Arial"/>
                <w:b/>
                <w:bCs/>
                <w:lang w:eastAsia="en-GB"/>
              </w:rPr>
              <w:t>.</w:t>
            </w:r>
          </w:p>
        </w:tc>
        <w:tc>
          <w:tcPr>
            <w:tcW w:w="500" w:type="pct"/>
            <w:vAlign w:val="center"/>
          </w:tcPr>
          <w:p w14:paraId="52EC125C" w14:textId="77777777" w:rsidR="00860FE4" w:rsidRPr="00F349EA" w:rsidRDefault="00860FE4" w:rsidP="00ED15C4">
            <w:pPr>
              <w:jc w:val="center"/>
              <w:textAlignment w:val="baseline"/>
              <w:rPr>
                <w:rFonts w:ascii="Arial" w:eastAsia="Times New Roman" w:hAnsi="Arial" w:cs="Arial"/>
                <w:lang w:eastAsia="en-GB"/>
              </w:rPr>
            </w:pPr>
            <w:r w:rsidRPr="00F349EA">
              <w:rPr>
                <w:rFonts w:ascii="Arial" w:eastAsia="Times New Roman" w:hAnsi="Arial" w:cs="Arial"/>
                <w:szCs w:val="28"/>
                <w:lang w:eastAsia="en-GB"/>
              </w:rPr>
              <w:t>Delivered</w:t>
            </w:r>
          </w:p>
        </w:tc>
      </w:tr>
      <w:tr w:rsidR="00ED15C4" w:rsidRPr="00F349EA" w14:paraId="62AD40C1" w14:textId="77777777" w:rsidTr="004C18EC">
        <w:trPr>
          <w:cantSplit/>
          <w:trHeight w:val="16"/>
        </w:trPr>
        <w:tc>
          <w:tcPr>
            <w:tcW w:w="1325" w:type="pct"/>
            <w:vAlign w:val="center"/>
          </w:tcPr>
          <w:p w14:paraId="3C26E32A" w14:textId="4BE593A3" w:rsidR="00860FE4" w:rsidRPr="00F349EA" w:rsidRDefault="00494A55" w:rsidP="004C18EC">
            <w:pPr>
              <w:rPr>
                <w:rFonts w:ascii="Arial" w:eastAsia="Times New Roman" w:hAnsi="Arial" w:cs="Arial"/>
                <w:b/>
                <w:color w:val="000000"/>
              </w:rPr>
            </w:pPr>
            <w:r w:rsidRPr="00F349EA">
              <w:rPr>
                <w:rFonts w:ascii="Arial" w:hAnsi="Arial" w:cs="Arial"/>
                <w:b/>
                <w:color w:val="000000"/>
              </w:rPr>
              <w:t xml:space="preserve">KR 8.2: </w:t>
            </w:r>
            <w:r w:rsidRPr="00F349EA">
              <w:rPr>
                <w:rFonts w:ascii="Arial" w:hAnsi="Arial" w:cs="Arial"/>
                <w:color w:val="000000"/>
              </w:rPr>
              <w:t>75% of landfill operators surveyed are satisfied with SEPA guidance and support by Aug</w:t>
            </w:r>
            <w:r w:rsidR="00ED15C4" w:rsidRPr="00F349EA">
              <w:rPr>
                <w:rFonts w:ascii="Arial" w:hAnsi="Arial" w:cs="Arial"/>
                <w:color w:val="000000"/>
              </w:rPr>
              <w:t>ust</w:t>
            </w:r>
            <w:r w:rsidRPr="00F349EA">
              <w:rPr>
                <w:rFonts w:ascii="Arial" w:hAnsi="Arial" w:cs="Arial"/>
                <w:color w:val="000000"/>
              </w:rPr>
              <w:t xml:space="preserve"> 2025 </w:t>
            </w:r>
          </w:p>
        </w:tc>
        <w:tc>
          <w:tcPr>
            <w:tcW w:w="284" w:type="pct"/>
            <w:vAlign w:val="center"/>
          </w:tcPr>
          <w:p w14:paraId="3AE5A264" w14:textId="5D6E066B" w:rsidR="00860FE4" w:rsidRPr="00F349EA" w:rsidRDefault="00A674BC"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Q2</w:t>
            </w:r>
          </w:p>
        </w:tc>
        <w:tc>
          <w:tcPr>
            <w:tcW w:w="294" w:type="pct"/>
            <w:vAlign w:val="center"/>
          </w:tcPr>
          <w:p w14:paraId="1693B1E5" w14:textId="5C95836D" w:rsidR="00860FE4" w:rsidRPr="00F349EA" w:rsidRDefault="0091726E"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0</w:t>
            </w:r>
          </w:p>
        </w:tc>
        <w:tc>
          <w:tcPr>
            <w:tcW w:w="294" w:type="pct"/>
            <w:vAlign w:val="center"/>
          </w:tcPr>
          <w:p w14:paraId="3B1C5052" w14:textId="2B56AA86" w:rsidR="00860FE4" w:rsidRPr="00F349EA" w:rsidRDefault="00730280" w:rsidP="00ED15C4">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0</w:t>
            </w:r>
          </w:p>
        </w:tc>
        <w:tc>
          <w:tcPr>
            <w:tcW w:w="294" w:type="pct"/>
            <w:vAlign w:val="center"/>
          </w:tcPr>
          <w:p w14:paraId="4842211F" w14:textId="77777777" w:rsidR="00860FE4" w:rsidRPr="00F349EA" w:rsidRDefault="00860FE4"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294" w:type="pct"/>
            <w:vAlign w:val="center"/>
          </w:tcPr>
          <w:p w14:paraId="2BFD791B" w14:textId="77777777" w:rsidR="00860FE4" w:rsidRPr="00F349EA" w:rsidRDefault="00860FE4"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341" w:type="pct"/>
            <w:vAlign w:val="center"/>
          </w:tcPr>
          <w:p w14:paraId="361BC84B" w14:textId="720E32DA" w:rsidR="00860FE4" w:rsidRPr="00F349EA" w:rsidRDefault="00015D6A" w:rsidP="00ED15C4">
            <w:pPr>
              <w:jc w:val="center"/>
              <w:textAlignment w:val="baseline"/>
              <w:rPr>
                <w:rFonts w:ascii="Arial" w:hAnsi="Arial" w:cs="Arial"/>
                <w:b/>
              </w:rPr>
            </w:pPr>
            <w:r w:rsidRPr="00F349EA">
              <w:rPr>
                <w:noProof/>
              </w:rPr>
              <w:drawing>
                <wp:anchor distT="0" distB="0" distL="114300" distR="114300" simplePos="0" relativeHeight="251658257" behindDoc="0" locked="0" layoutInCell="1" allowOverlap="1" wp14:anchorId="25C1D163" wp14:editId="00FEA24C">
                  <wp:simplePos x="0" y="0"/>
                  <wp:positionH relativeFrom="column">
                    <wp:posOffset>0</wp:posOffset>
                  </wp:positionH>
                  <wp:positionV relativeFrom="paragraph">
                    <wp:posOffset>-39370</wp:posOffset>
                  </wp:positionV>
                  <wp:extent cx="444500" cy="444500"/>
                  <wp:effectExtent l="0" t="0" r="0" b="0"/>
                  <wp:wrapNone/>
                  <wp:docPr id="1658997937"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373" w:type="pct"/>
            <w:vAlign w:val="center"/>
          </w:tcPr>
          <w:p w14:paraId="504225FB" w14:textId="3B0E1170" w:rsidR="00860FE4" w:rsidRPr="00F349EA" w:rsidRDefault="009D78D6" w:rsidP="00ED15C4">
            <w:pPr>
              <w:rPr>
                <w:rFonts w:ascii="Arial" w:eastAsia="Times New Roman" w:hAnsi="Arial" w:cs="Arial"/>
                <w:color w:val="000000"/>
              </w:rPr>
            </w:pPr>
            <w:r w:rsidRPr="00F349EA">
              <w:rPr>
                <w:rFonts w:ascii="Arial" w:eastAsia="Times New Roman" w:hAnsi="Arial" w:cs="Arial"/>
                <w:color w:val="000000"/>
              </w:rPr>
              <w:t>Proactive engagement has continued</w:t>
            </w:r>
            <w:r w:rsidR="003741BD" w:rsidRPr="00F349EA">
              <w:rPr>
                <w:rFonts w:ascii="Arial" w:eastAsia="Times New Roman" w:hAnsi="Arial" w:cs="Arial"/>
                <w:color w:val="000000"/>
              </w:rPr>
              <w:t>; however,</w:t>
            </w:r>
            <w:r w:rsidR="000D4174" w:rsidRPr="00F349EA">
              <w:t xml:space="preserve"> </w:t>
            </w:r>
            <w:r w:rsidR="000D4174" w:rsidRPr="00F349EA">
              <w:rPr>
                <w:rFonts w:ascii="Arial" w:eastAsia="Times New Roman" w:hAnsi="Arial" w:cs="Arial"/>
                <w:color w:val="000000"/>
              </w:rPr>
              <w:t>formal satisfaction surveys have yet to be undertaken as the primary focus of the engagement work has been to facilitate the necessary discussions between Scottish Government and industry.</w:t>
            </w:r>
            <w:r w:rsidR="00DB16E8" w:rsidRPr="00F349EA">
              <w:t xml:space="preserve"> </w:t>
            </w:r>
            <w:r w:rsidR="00DB16E8" w:rsidRPr="00F349EA">
              <w:rPr>
                <w:rFonts w:ascii="Arial" w:eastAsia="Times New Roman" w:hAnsi="Arial" w:cs="Arial"/>
                <w:color w:val="000000"/>
              </w:rPr>
              <w:t>We anticipate delivery by end of Q3.</w:t>
            </w:r>
          </w:p>
          <w:p w14:paraId="62DFA3A9" w14:textId="0D3CBC40" w:rsidR="000D4174" w:rsidRPr="00F349EA" w:rsidRDefault="000D4174" w:rsidP="00ED15C4">
            <w:pPr>
              <w:rPr>
                <w:rFonts w:ascii="Arial" w:eastAsia="Times New Roman" w:hAnsi="Arial" w:cs="Arial"/>
                <w:b/>
                <w:bCs/>
                <w:color w:val="000000"/>
              </w:rPr>
            </w:pPr>
            <w:r w:rsidRPr="00F349EA">
              <w:rPr>
                <w:rFonts w:ascii="Arial" w:eastAsia="Times New Roman" w:hAnsi="Arial" w:cs="Arial"/>
                <w:b/>
                <w:bCs/>
                <w:lang w:eastAsia="en-GB"/>
              </w:rPr>
              <w:t>Confidence in forecast</w:t>
            </w:r>
            <w:r w:rsidR="0078610B" w:rsidRPr="00F349EA">
              <w:rPr>
                <w:rFonts w:ascii="Arial" w:eastAsia="Times New Roman" w:hAnsi="Arial" w:cs="Arial"/>
                <w:b/>
                <w:bCs/>
                <w:lang w:eastAsia="en-GB"/>
              </w:rPr>
              <w:t>: High</w:t>
            </w:r>
          </w:p>
        </w:tc>
        <w:tc>
          <w:tcPr>
            <w:tcW w:w="500" w:type="pct"/>
            <w:vAlign w:val="center"/>
          </w:tcPr>
          <w:p w14:paraId="61DC7CD1" w14:textId="44721D10" w:rsidR="00860FE4" w:rsidRPr="00F349EA" w:rsidRDefault="00FA0F35" w:rsidP="00ED15C4">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D</w:t>
            </w:r>
            <w:r w:rsidR="00860FE4" w:rsidRPr="00F349EA">
              <w:rPr>
                <w:rFonts w:ascii="Arial" w:eastAsia="Times New Roman" w:hAnsi="Arial" w:cs="Arial"/>
                <w:szCs w:val="28"/>
                <w:lang w:eastAsia="en-GB"/>
              </w:rPr>
              <w:t>elivered</w:t>
            </w:r>
          </w:p>
        </w:tc>
      </w:tr>
      <w:tr w:rsidR="00ED15C4" w:rsidRPr="00F349EA" w14:paraId="5A0FEEF7" w14:textId="77777777" w:rsidTr="004C18EC">
        <w:trPr>
          <w:cantSplit/>
          <w:trHeight w:val="16"/>
        </w:trPr>
        <w:tc>
          <w:tcPr>
            <w:tcW w:w="1325" w:type="pct"/>
            <w:vAlign w:val="center"/>
          </w:tcPr>
          <w:p w14:paraId="2B9A1C5C" w14:textId="2507F2CD" w:rsidR="00860FE4" w:rsidRPr="00F349EA" w:rsidRDefault="00494A55" w:rsidP="004C18EC">
            <w:pPr>
              <w:rPr>
                <w:rFonts w:ascii="Arial" w:eastAsia="Times New Roman" w:hAnsi="Arial" w:cs="Arial"/>
                <w:b/>
                <w:color w:val="000000"/>
              </w:rPr>
            </w:pPr>
            <w:r w:rsidRPr="00F349EA">
              <w:rPr>
                <w:rFonts w:ascii="Arial" w:hAnsi="Arial" w:cs="Arial"/>
                <w:b/>
                <w:color w:val="000000"/>
              </w:rPr>
              <w:lastRenderedPageBreak/>
              <w:t xml:space="preserve">KR 8.3: </w:t>
            </w:r>
            <w:r w:rsidRPr="00F349EA">
              <w:rPr>
                <w:rFonts w:ascii="Arial" w:hAnsi="Arial" w:cs="Arial"/>
                <w:color w:val="000000"/>
              </w:rPr>
              <w:t xml:space="preserve">Engage 100% of identified active waste management sites to raise awareness and help them prepare for compliance with </w:t>
            </w:r>
            <w:r w:rsidR="002C03C0" w:rsidRPr="00F349EA">
              <w:rPr>
                <w:rFonts w:ascii="Arial" w:hAnsi="Arial" w:cs="Arial"/>
                <w:color w:val="000000"/>
              </w:rPr>
              <w:t>Biodegradable Municipal Waste (</w:t>
            </w:r>
            <w:r w:rsidR="00D57DBF" w:rsidRPr="00F349EA">
              <w:rPr>
                <w:rFonts w:ascii="Arial" w:hAnsi="Arial" w:cs="Arial"/>
                <w:color w:val="000000"/>
              </w:rPr>
              <w:t>BMW</w:t>
            </w:r>
            <w:r w:rsidR="002C03C0" w:rsidRPr="00F349EA">
              <w:rPr>
                <w:rFonts w:ascii="Arial" w:hAnsi="Arial" w:cs="Arial"/>
                <w:color w:val="000000"/>
              </w:rPr>
              <w:t>)</w:t>
            </w:r>
            <w:r w:rsidRPr="00F349EA">
              <w:rPr>
                <w:rFonts w:ascii="Arial" w:hAnsi="Arial" w:cs="Arial"/>
                <w:color w:val="000000"/>
              </w:rPr>
              <w:t xml:space="preserve"> Landfill ban by 30 Sep 2025 </w:t>
            </w:r>
          </w:p>
        </w:tc>
        <w:tc>
          <w:tcPr>
            <w:tcW w:w="284" w:type="pct"/>
            <w:vAlign w:val="center"/>
          </w:tcPr>
          <w:p w14:paraId="523EACA5" w14:textId="4F9B156D" w:rsidR="00860FE4" w:rsidRPr="00F349EA" w:rsidRDefault="00A674BC" w:rsidP="004C18EC">
            <w:pPr>
              <w:textAlignment w:val="baseline"/>
              <w:rPr>
                <w:rFonts w:ascii="Arial" w:eastAsia="Times New Roman" w:hAnsi="Arial" w:cs="Arial"/>
                <w:lang w:eastAsia="en-GB"/>
              </w:rPr>
            </w:pPr>
            <w:r w:rsidRPr="00F349EA">
              <w:rPr>
                <w:rFonts w:ascii="Arial" w:eastAsia="Times New Roman" w:hAnsi="Arial" w:cs="Arial"/>
                <w:lang w:eastAsia="en-GB"/>
              </w:rPr>
              <w:t>Q2</w:t>
            </w:r>
          </w:p>
        </w:tc>
        <w:tc>
          <w:tcPr>
            <w:tcW w:w="294" w:type="pct"/>
            <w:vAlign w:val="center"/>
          </w:tcPr>
          <w:p w14:paraId="49720AC3" w14:textId="56A81DD9" w:rsidR="00860FE4" w:rsidRPr="00F349EA" w:rsidRDefault="008E1F35" w:rsidP="00883AD1">
            <w:pPr>
              <w:jc w:val="center"/>
              <w:textAlignment w:val="baseline"/>
              <w:rPr>
                <w:rFonts w:ascii="Arial" w:eastAsia="Times New Roman" w:hAnsi="Arial" w:cs="Arial"/>
                <w:lang w:eastAsia="en-GB"/>
              </w:rPr>
            </w:pPr>
            <w:r w:rsidRPr="00F349EA">
              <w:rPr>
                <w:rFonts w:ascii="Arial" w:eastAsia="Times New Roman" w:hAnsi="Arial" w:cs="Arial"/>
                <w:lang w:eastAsia="en-GB"/>
              </w:rPr>
              <w:t>0</w:t>
            </w:r>
          </w:p>
        </w:tc>
        <w:tc>
          <w:tcPr>
            <w:tcW w:w="294" w:type="pct"/>
            <w:vAlign w:val="center"/>
          </w:tcPr>
          <w:p w14:paraId="3713A5FE" w14:textId="2F60ADDD" w:rsidR="00860FE4" w:rsidRPr="00F349EA" w:rsidRDefault="00730280" w:rsidP="00ED15C4">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0</w:t>
            </w:r>
          </w:p>
        </w:tc>
        <w:tc>
          <w:tcPr>
            <w:tcW w:w="294" w:type="pct"/>
            <w:vAlign w:val="center"/>
          </w:tcPr>
          <w:p w14:paraId="07D3E23C" w14:textId="77777777" w:rsidR="00860FE4" w:rsidRPr="00F349EA" w:rsidRDefault="00860FE4"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294" w:type="pct"/>
            <w:vAlign w:val="center"/>
          </w:tcPr>
          <w:p w14:paraId="669ACCEB" w14:textId="77777777" w:rsidR="00860FE4" w:rsidRPr="00F349EA" w:rsidRDefault="00860FE4"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341" w:type="pct"/>
            <w:vAlign w:val="center"/>
          </w:tcPr>
          <w:p w14:paraId="5BB44B41" w14:textId="7C7AA007" w:rsidR="00860FE4" w:rsidRPr="00F349EA" w:rsidRDefault="00015D6A" w:rsidP="00ED15C4">
            <w:pPr>
              <w:jc w:val="center"/>
              <w:textAlignment w:val="baseline"/>
              <w:rPr>
                <w:rFonts w:ascii="Arial" w:hAnsi="Arial" w:cs="Arial"/>
                <w:b/>
              </w:rPr>
            </w:pPr>
            <w:r w:rsidRPr="00F349EA">
              <w:rPr>
                <w:noProof/>
              </w:rPr>
              <w:drawing>
                <wp:anchor distT="0" distB="0" distL="114300" distR="114300" simplePos="0" relativeHeight="251658258" behindDoc="0" locked="0" layoutInCell="1" allowOverlap="1" wp14:anchorId="075A3956" wp14:editId="338190BB">
                  <wp:simplePos x="0" y="0"/>
                  <wp:positionH relativeFrom="column">
                    <wp:posOffset>0</wp:posOffset>
                  </wp:positionH>
                  <wp:positionV relativeFrom="paragraph">
                    <wp:posOffset>-99695</wp:posOffset>
                  </wp:positionV>
                  <wp:extent cx="444500" cy="444500"/>
                  <wp:effectExtent l="0" t="0" r="0" b="0"/>
                  <wp:wrapNone/>
                  <wp:docPr id="809105115"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373" w:type="pct"/>
            <w:vAlign w:val="center"/>
          </w:tcPr>
          <w:p w14:paraId="61A9013C" w14:textId="606904C7" w:rsidR="005579D2" w:rsidRPr="00F349EA" w:rsidRDefault="00AC4EAC" w:rsidP="005579D2">
            <w:pPr>
              <w:rPr>
                <w:rFonts w:ascii="Arial" w:eastAsia="Times New Roman" w:hAnsi="Arial" w:cs="Arial"/>
                <w:color w:val="000000"/>
              </w:rPr>
            </w:pPr>
            <w:r w:rsidRPr="00F349EA">
              <w:rPr>
                <w:rFonts w:ascii="Arial" w:eastAsia="Times New Roman" w:hAnsi="Arial" w:cs="Arial"/>
                <w:color w:val="000000"/>
              </w:rPr>
              <w:t xml:space="preserve">We remain on track with our preparations. Delivery is being impacted by factors out with SEPA’s control. The wider industry is engaged directly with Scottish Government regarding readiness </w:t>
            </w:r>
            <w:r w:rsidR="00B905AF" w:rsidRPr="00F349EA">
              <w:rPr>
                <w:rFonts w:ascii="Arial" w:eastAsia="Times New Roman" w:hAnsi="Arial" w:cs="Arial"/>
                <w:color w:val="000000"/>
              </w:rPr>
              <w:t xml:space="preserve">and </w:t>
            </w:r>
            <w:r w:rsidR="00FF644B" w:rsidRPr="00F349EA">
              <w:rPr>
                <w:rFonts w:ascii="Arial" w:eastAsia="Times New Roman" w:hAnsi="Arial" w:cs="Arial"/>
                <w:color w:val="000000"/>
              </w:rPr>
              <w:t xml:space="preserve">the </w:t>
            </w:r>
            <w:r w:rsidR="00B905AF" w:rsidRPr="00F349EA">
              <w:rPr>
                <w:rFonts w:ascii="Arial" w:eastAsia="Times New Roman" w:hAnsi="Arial" w:cs="Arial"/>
                <w:color w:val="000000"/>
              </w:rPr>
              <w:t>Energy from Waste (EfW) capacity gap</w:t>
            </w:r>
            <w:r w:rsidR="00FF644B" w:rsidRPr="00F349EA">
              <w:rPr>
                <w:rFonts w:ascii="Arial" w:eastAsia="Times New Roman" w:hAnsi="Arial" w:cs="Arial"/>
                <w:color w:val="000000"/>
              </w:rPr>
              <w:t xml:space="preserve">. </w:t>
            </w:r>
            <w:r w:rsidR="008967E9" w:rsidRPr="00F349EA">
              <w:rPr>
                <w:rFonts w:ascii="Arial" w:eastAsia="Times New Roman" w:hAnsi="Arial" w:cs="Arial"/>
                <w:color w:val="000000"/>
              </w:rPr>
              <w:t xml:space="preserve">Clarity on any potential amendments to the </w:t>
            </w:r>
            <w:r w:rsidR="00431C74" w:rsidRPr="00F349EA">
              <w:rPr>
                <w:rFonts w:ascii="Arial" w:eastAsia="Times New Roman" w:hAnsi="Arial" w:cs="Arial"/>
                <w:color w:val="000000"/>
              </w:rPr>
              <w:t xml:space="preserve">Biodegradable Municipal Waste (BMW) </w:t>
            </w:r>
            <w:r w:rsidR="008967E9" w:rsidRPr="00F349EA">
              <w:rPr>
                <w:rFonts w:ascii="Arial" w:eastAsia="Times New Roman" w:hAnsi="Arial" w:cs="Arial"/>
                <w:color w:val="000000"/>
              </w:rPr>
              <w:t xml:space="preserve">ban to address this capacity gap </w:t>
            </w:r>
            <w:r w:rsidR="00431C74" w:rsidRPr="00F349EA">
              <w:rPr>
                <w:rFonts w:ascii="Arial" w:eastAsia="Times New Roman" w:hAnsi="Arial" w:cs="Arial"/>
                <w:color w:val="000000"/>
              </w:rPr>
              <w:t xml:space="preserve">is </w:t>
            </w:r>
            <w:r w:rsidR="008967E9" w:rsidRPr="00F349EA">
              <w:rPr>
                <w:rFonts w:ascii="Arial" w:eastAsia="Times New Roman" w:hAnsi="Arial" w:cs="Arial"/>
                <w:color w:val="000000"/>
              </w:rPr>
              <w:t>expected from S</w:t>
            </w:r>
            <w:r w:rsidR="00431C74" w:rsidRPr="00F349EA">
              <w:rPr>
                <w:rFonts w:ascii="Arial" w:eastAsia="Times New Roman" w:hAnsi="Arial" w:cs="Arial"/>
                <w:color w:val="000000"/>
              </w:rPr>
              <w:t>cottish Government</w:t>
            </w:r>
            <w:r w:rsidR="008967E9" w:rsidRPr="00F349EA">
              <w:rPr>
                <w:rFonts w:ascii="Arial" w:eastAsia="Times New Roman" w:hAnsi="Arial" w:cs="Arial"/>
                <w:color w:val="000000"/>
              </w:rPr>
              <w:t xml:space="preserve"> by end </w:t>
            </w:r>
            <w:r w:rsidR="005B2026" w:rsidRPr="00F349EA">
              <w:rPr>
                <w:rFonts w:ascii="Arial" w:eastAsia="Times New Roman" w:hAnsi="Arial" w:cs="Arial"/>
                <w:color w:val="000000"/>
              </w:rPr>
              <w:t xml:space="preserve">of </w:t>
            </w:r>
            <w:r w:rsidR="008967E9" w:rsidRPr="00F349EA">
              <w:rPr>
                <w:rFonts w:ascii="Arial" w:eastAsia="Times New Roman" w:hAnsi="Arial" w:cs="Arial"/>
                <w:color w:val="000000"/>
              </w:rPr>
              <w:t>October</w:t>
            </w:r>
            <w:r w:rsidR="00431C74" w:rsidRPr="00F349EA">
              <w:rPr>
                <w:rFonts w:ascii="Arial" w:eastAsia="Times New Roman" w:hAnsi="Arial" w:cs="Arial"/>
                <w:color w:val="000000"/>
              </w:rPr>
              <w:t xml:space="preserve">. </w:t>
            </w:r>
            <w:r w:rsidR="005579D2" w:rsidRPr="00F349EA">
              <w:rPr>
                <w:rFonts w:ascii="Arial" w:eastAsia="Times New Roman" w:hAnsi="Arial" w:cs="Arial"/>
                <w:color w:val="000000"/>
              </w:rPr>
              <w:t>We anticipate delivery by end of Q3.</w:t>
            </w:r>
          </w:p>
          <w:p w14:paraId="2EB7EE6E" w14:textId="5CEC6E14" w:rsidR="00E15AE2" w:rsidRPr="00F349EA" w:rsidRDefault="0078610B" w:rsidP="005579D2">
            <w:pPr>
              <w:rPr>
                <w:rFonts w:ascii="Arial" w:eastAsia="Times New Roman" w:hAnsi="Arial" w:cs="Arial"/>
                <w:color w:val="000000"/>
              </w:rPr>
            </w:pPr>
            <w:r w:rsidRPr="00F349EA">
              <w:rPr>
                <w:rFonts w:ascii="Arial" w:eastAsia="Times New Roman" w:hAnsi="Arial" w:cs="Arial"/>
                <w:b/>
                <w:bCs/>
                <w:lang w:eastAsia="en-GB"/>
              </w:rPr>
              <w:t>Confidence in forecast: High</w:t>
            </w:r>
          </w:p>
        </w:tc>
        <w:tc>
          <w:tcPr>
            <w:tcW w:w="500" w:type="pct"/>
            <w:vAlign w:val="center"/>
          </w:tcPr>
          <w:p w14:paraId="6142C86D" w14:textId="77777777" w:rsidR="00860FE4" w:rsidRPr="00F349EA" w:rsidRDefault="00860FE4" w:rsidP="00ED15C4">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Delivered</w:t>
            </w:r>
          </w:p>
        </w:tc>
      </w:tr>
      <w:tr w:rsidR="00ED15C4" w:rsidRPr="00F349EA" w14:paraId="410BDC03" w14:textId="77777777" w:rsidTr="004C18EC">
        <w:trPr>
          <w:cantSplit/>
          <w:trHeight w:val="16"/>
        </w:trPr>
        <w:tc>
          <w:tcPr>
            <w:tcW w:w="1325" w:type="pct"/>
            <w:vAlign w:val="center"/>
          </w:tcPr>
          <w:p w14:paraId="1804432A" w14:textId="22ED9FFA" w:rsidR="00A86383" w:rsidRPr="00F349EA" w:rsidRDefault="00A86383" w:rsidP="004C18EC">
            <w:pPr>
              <w:rPr>
                <w:rFonts w:ascii="Arial" w:eastAsia="Times New Roman" w:hAnsi="Arial" w:cs="Arial"/>
                <w:b/>
                <w:color w:val="000000"/>
              </w:rPr>
            </w:pPr>
            <w:r w:rsidRPr="00F349EA">
              <w:rPr>
                <w:rFonts w:ascii="Arial" w:hAnsi="Arial" w:cs="Arial"/>
                <w:b/>
                <w:color w:val="000000"/>
              </w:rPr>
              <w:lastRenderedPageBreak/>
              <w:t xml:space="preserve">KR 8.4: </w:t>
            </w:r>
            <w:r w:rsidRPr="00F349EA">
              <w:rPr>
                <w:rFonts w:ascii="Arial" w:hAnsi="Arial" w:cs="Arial"/>
                <w:color w:val="000000"/>
              </w:rPr>
              <w:t xml:space="preserve">75% of active waste management sites surveyed are satisfied with SEPA guidance and support by Aug 2025 </w:t>
            </w:r>
          </w:p>
        </w:tc>
        <w:tc>
          <w:tcPr>
            <w:tcW w:w="284" w:type="pct"/>
            <w:vAlign w:val="center"/>
          </w:tcPr>
          <w:p w14:paraId="7691543B" w14:textId="46A33249" w:rsidR="00A86383" w:rsidRPr="00F349EA" w:rsidRDefault="00A86383"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Q3</w:t>
            </w:r>
          </w:p>
        </w:tc>
        <w:tc>
          <w:tcPr>
            <w:tcW w:w="294" w:type="pct"/>
            <w:vAlign w:val="center"/>
          </w:tcPr>
          <w:p w14:paraId="4059618E" w14:textId="18625747" w:rsidR="00A86383" w:rsidRPr="00F349EA" w:rsidRDefault="00A86383"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N/A</w:t>
            </w:r>
          </w:p>
        </w:tc>
        <w:tc>
          <w:tcPr>
            <w:tcW w:w="294" w:type="pct"/>
            <w:vAlign w:val="center"/>
          </w:tcPr>
          <w:p w14:paraId="400063D2" w14:textId="30B8ACBF" w:rsidR="00A86383" w:rsidRPr="00F349EA" w:rsidRDefault="00730280" w:rsidP="00ED15C4">
            <w:pPr>
              <w:jc w:val="center"/>
              <w:textAlignment w:val="baseline"/>
              <w:rPr>
                <w:rFonts w:ascii="Arial" w:eastAsia="Times New Roman" w:hAnsi="Arial" w:cs="Arial"/>
                <w:szCs w:val="28"/>
                <w:lang w:eastAsia="en-GB"/>
              </w:rPr>
            </w:pPr>
            <w:r w:rsidRPr="00F349EA">
              <w:rPr>
                <w:rFonts w:ascii="Arial" w:eastAsia="Times New Roman" w:hAnsi="Arial" w:cs="Arial"/>
                <w:lang w:eastAsia="en-GB"/>
              </w:rPr>
              <w:t>N/A</w:t>
            </w:r>
          </w:p>
        </w:tc>
        <w:tc>
          <w:tcPr>
            <w:tcW w:w="294" w:type="pct"/>
            <w:vAlign w:val="center"/>
          </w:tcPr>
          <w:p w14:paraId="6A0243F5" w14:textId="5D0AB512" w:rsidR="00A86383" w:rsidRPr="00F349EA" w:rsidRDefault="00A86383"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294" w:type="pct"/>
            <w:vAlign w:val="center"/>
          </w:tcPr>
          <w:p w14:paraId="73F5F195" w14:textId="7ED14B34" w:rsidR="00A86383" w:rsidRPr="00F349EA" w:rsidRDefault="00A86383"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341" w:type="pct"/>
            <w:vAlign w:val="center"/>
          </w:tcPr>
          <w:p w14:paraId="3D41CA54" w14:textId="4E1FC10B" w:rsidR="00A86383" w:rsidRPr="00F349EA" w:rsidRDefault="00015D6A" w:rsidP="00ED15C4">
            <w:pPr>
              <w:jc w:val="center"/>
              <w:textAlignment w:val="baseline"/>
              <w:rPr>
                <w:rFonts w:ascii="Arial" w:hAnsi="Arial" w:cs="Arial"/>
                <w:b/>
              </w:rPr>
            </w:pPr>
            <w:r w:rsidRPr="00F349EA">
              <w:rPr>
                <w:b/>
                <w:bCs/>
                <w:noProof/>
              </w:rPr>
              <w:drawing>
                <wp:inline distT="0" distB="0" distL="0" distR="0" wp14:anchorId="333DB4E3" wp14:editId="615145E6">
                  <wp:extent cx="470590" cy="470590"/>
                  <wp:effectExtent l="0" t="0" r="0" b="5715"/>
                  <wp:docPr id="2038425571"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472345" cy="472345"/>
                          </a:xfrm>
                          <a:prstGeom prst="rect">
                            <a:avLst/>
                          </a:prstGeom>
                        </pic:spPr>
                      </pic:pic>
                    </a:graphicData>
                  </a:graphic>
                </wp:inline>
              </w:drawing>
            </w:r>
          </w:p>
        </w:tc>
        <w:tc>
          <w:tcPr>
            <w:tcW w:w="1373" w:type="pct"/>
            <w:vAlign w:val="center"/>
          </w:tcPr>
          <w:p w14:paraId="5B584D6C" w14:textId="5B7B16E5" w:rsidR="00A86383" w:rsidRPr="00F349EA" w:rsidRDefault="00A12FA9" w:rsidP="00ED15C4">
            <w:pPr>
              <w:rPr>
                <w:rFonts w:ascii="Arial" w:eastAsia="Times New Roman" w:hAnsi="Arial" w:cs="Arial"/>
                <w:lang w:eastAsia="en-GB"/>
              </w:rPr>
            </w:pPr>
            <w:r w:rsidRPr="00F349EA">
              <w:rPr>
                <w:rFonts w:ascii="Arial" w:eastAsia="Times New Roman" w:hAnsi="Arial" w:cs="Arial"/>
                <w:lang w:eastAsia="en-GB"/>
              </w:rPr>
              <w:t>Key result will be progressed later in the year once clarity on the terms of the ban is understood</w:t>
            </w:r>
            <w:r w:rsidR="00AF5BEE" w:rsidRPr="00F349EA">
              <w:rPr>
                <w:rFonts w:ascii="Arial" w:eastAsia="Times New Roman" w:hAnsi="Arial" w:cs="Arial"/>
                <w:lang w:eastAsia="en-GB"/>
              </w:rPr>
              <w:t>.</w:t>
            </w:r>
            <w:r w:rsidR="00C02049" w:rsidRPr="00F349EA">
              <w:t xml:space="preserve"> </w:t>
            </w:r>
            <w:r w:rsidR="00C02049" w:rsidRPr="00F349EA">
              <w:rPr>
                <w:rFonts w:ascii="Arial" w:eastAsia="Times New Roman" w:hAnsi="Arial" w:cs="Arial"/>
                <w:lang w:eastAsia="en-GB"/>
              </w:rPr>
              <w:t xml:space="preserve">Anticipate delivery </w:t>
            </w:r>
            <w:r w:rsidR="005A5803" w:rsidRPr="00F349EA">
              <w:rPr>
                <w:rFonts w:ascii="Arial" w:eastAsia="Times New Roman" w:hAnsi="Arial" w:cs="Arial"/>
                <w:lang w:eastAsia="en-GB"/>
              </w:rPr>
              <w:t xml:space="preserve">now </w:t>
            </w:r>
            <w:r w:rsidR="00C02049" w:rsidRPr="00F349EA">
              <w:rPr>
                <w:rFonts w:ascii="Arial" w:eastAsia="Times New Roman" w:hAnsi="Arial" w:cs="Arial"/>
                <w:lang w:eastAsia="en-GB"/>
              </w:rPr>
              <w:t xml:space="preserve">by end of Q4 as this survey can only take place once KR8.3 </w:t>
            </w:r>
            <w:r w:rsidR="006A7BA7" w:rsidRPr="00F349EA">
              <w:rPr>
                <w:rFonts w:ascii="Arial" w:eastAsia="Times New Roman" w:hAnsi="Arial" w:cs="Arial"/>
                <w:lang w:eastAsia="en-GB"/>
              </w:rPr>
              <w:t xml:space="preserve">is </w:t>
            </w:r>
            <w:r w:rsidR="00C02049" w:rsidRPr="00F349EA">
              <w:rPr>
                <w:rFonts w:ascii="Arial" w:eastAsia="Times New Roman" w:hAnsi="Arial" w:cs="Arial"/>
                <w:lang w:eastAsia="en-GB"/>
              </w:rPr>
              <w:t>complete</w:t>
            </w:r>
            <w:r w:rsidR="006A7BA7" w:rsidRPr="00F349EA">
              <w:rPr>
                <w:rFonts w:ascii="Arial" w:eastAsia="Times New Roman" w:hAnsi="Arial" w:cs="Arial"/>
                <w:lang w:eastAsia="en-GB"/>
              </w:rPr>
              <w:t>.</w:t>
            </w:r>
          </w:p>
          <w:p w14:paraId="1FFBD342" w14:textId="75334970" w:rsidR="00F26E8C" w:rsidRPr="00F349EA" w:rsidRDefault="00F26E8C" w:rsidP="00ED15C4">
            <w:pPr>
              <w:rPr>
                <w:rFonts w:ascii="Arial" w:eastAsia="Times New Roman" w:hAnsi="Arial" w:cs="Arial"/>
                <w:b/>
                <w:bCs/>
                <w:lang w:eastAsia="en-GB"/>
              </w:rPr>
            </w:pPr>
            <w:r w:rsidRPr="00F349EA">
              <w:rPr>
                <w:rFonts w:ascii="Arial" w:eastAsia="Times New Roman" w:hAnsi="Arial" w:cs="Arial"/>
                <w:b/>
                <w:bCs/>
                <w:lang w:eastAsia="en-GB"/>
              </w:rPr>
              <w:t xml:space="preserve">Confidence in forecast: </w:t>
            </w:r>
            <w:r w:rsidR="001211CB" w:rsidRPr="00F349EA">
              <w:rPr>
                <w:rFonts w:ascii="Arial" w:eastAsia="Times New Roman" w:hAnsi="Arial" w:cs="Arial"/>
                <w:b/>
                <w:bCs/>
                <w:lang w:eastAsia="en-GB"/>
              </w:rPr>
              <w:t>High</w:t>
            </w:r>
          </w:p>
        </w:tc>
        <w:tc>
          <w:tcPr>
            <w:tcW w:w="500" w:type="pct"/>
            <w:vAlign w:val="center"/>
          </w:tcPr>
          <w:p w14:paraId="1AE43D2E" w14:textId="576B084D" w:rsidR="00A86383" w:rsidRPr="00F349EA" w:rsidRDefault="007954F8" w:rsidP="00ED15C4">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Delivered</w:t>
            </w:r>
          </w:p>
        </w:tc>
      </w:tr>
      <w:tr w:rsidR="00ED15C4" w:rsidRPr="00F349EA" w14:paraId="48C0A687" w14:textId="77777777" w:rsidTr="004C18EC">
        <w:trPr>
          <w:cantSplit/>
          <w:trHeight w:val="16"/>
        </w:trPr>
        <w:tc>
          <w:tcPr>
            <w:tcW w:w="1325" w:type="pct"/>
            <w:vAlign w:val="center"/>
          </w:tcPr>
          <w:p w14:paraId="5AD51403" w14:textId="15B8D43F" w:rsidR="00A86383" w:rsidRPr="00F349EA" w:rsidRDefault="00A86383" w:rsidP="004C18EC">
            <w:pPr>
              <w:rPr>
                <w:rFonts w:ascii="Arial" w:eastAsia="Times New Roman" w:hAnsi="Arial" w:cs="Arial"/>
                <w:b/>
                <w:color w:val="000000"/>
              </w:rPr>
            </w:pPr>
            <w:r w:rsidRPr="00F349EA">
              <w:rPr>
                <w:rFonts w:ascii="Arial" w:hAnsi="Arial" w:cs="Arial"/>
                <w:b/>
                <w:color w:val="000000"/>
              </w:rPr>
              <w:t xml:space="preserve">KR 8.5: </w:t>
            </w:r>
            <w:r w:rsidRPr="00F349EA">
              <w:rPr>
                <w:rFonts w:ascii="Arial" w:hAnsi="Arial" w:cs="Arial"/>
                <w:color w:val="000000"/>
              </w:rPr>
              <w:t xml:space="preserve">100% of surveyed SEPA waste regulation colleagues are aware of the ban and compliance requirements by Dec 2025 </w:t>
            </w:r>
          </w:p>
        </w:tc>
        <w:tc>
          <w:tcPr>
            <w:tcW w:w="284" w:type="pct"/>
            <w:vAlign w:val="center"/>
          </w:tcPr>
          <w:p w14:paraId="3B6DAFA6" w14:textId="62989DE0" w:rsidR="00A86383" w:rsidRPr="00F349EA" w:rsidRDefault="00A86383"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Q3</w:t>
            </w:r>
          </w:p>
        </w:tc>
        <w:tc>
          <w:tcPr>
            <w:tcW w:w="294" w:type="pct"/>
            <w:vAlign w:val="center"/>
          </w:tcPr>
          <w:p w14:paraId="79F8571B" w14:textId="35807294" w:rsidR="00A86383" w:rsidRPr="00F349EA" w:rsidRDefault="00A86383"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N/A</w:t>
            </w:r>
          </w:p>
        </w:tc>
        <w:tc>
          <w:tcPr>
            <w:tcW w:w="294" w:type="pct"/>
            <w:vAlign w:val="center"/>
          </w:tcPr>
          <w:p w14:paraId="4732A4EA" w14:textId="0C8AAA15" w:rsidR="00A86383" w:rsidRPr="00F349EA" w:rsidRDefault="00730280" w:rsidP="00ED15C4">
            <w:pPr>
              <w:jc w:val="center"/>
              <w:textAlignment w:val="baseline"/>
              <w:rPr>
                <w:rFonts w:ascii="Arial" w:eastAsia="Times New Roman" w:hAnsi="Arial" w:cs="Arial"/>
                <w:szCs w:val="28"/>
                <w:lang w:eastAsia="en-GB"/>
              </w:rPr>
            </w:pPr>
            <w:r w:rsidRPr="00F349EA">
              <w:rPr>
                <w:rFonts w:ascii="Arial" w:eastAsia="Times New Roman" w:hAnsi="Arial" w:cs="Arial"/>
                <w:lang w:eastAsia="en-GB"/>
              </w:rPr>
              <w:t>N/A</w:t>
            </w:r>
          </w:p>
        </w:tc>
        <w:tc>
          <w:tcPr>
            <w:tcW w:w="294" w:type="pct"/>
            <w:vAlign w:val="center"/>
          </w:tcPr>
          <w:p w14:paraId="7CED7374" w14:textId="10AFEC48" w:rsidR="00A86383" w:rsidRPr="00F349EA" w:rsidRDefault="00A86383"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294" w:type="pct"/>
            <w:vAlign w:val="center"/>
          </w:tcPr>
          <w:p w14:paraId="3C733029" w14:textId="4808507C" w:rsidR="00A86383" w:rsidRPr="00F349EA" w:rsidRDefault="00A86383" w:rsidP="00ED15C4">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341" w:type="pct"/>
            <w:vAlign w:val="center"/>
          </w:tcPr>
          <w:p w14:paraId="2A0B7B06" w14:textId="0386351A" w:rsidR="00A86383" w:rsidRPr="00F349EA" w:rsidRDefault="00015D6A" w:rsidP="00ED15C4">
            <w:pPr>
              <w:jc w:val="center"/>
              <w:textAlignment w:val="baseline"/>
              <w:rPr>
                <w:rFonts w:ascii="Arial" w:hAnsi="Arial" w:cs="Arial"/>
                <w:b/>
              </w:rPr>
            </w:pPr>
            <w:r w:rsidRPr="00F349EA">
              <w:rPr>
                <w:b/>
                <w:bCs/>
                <w:noProof/>
              </w:rPr>
              <w:drawing>
                <wp:inline distT="0" distB="0" distL="0" distR="0" wp14:anchorId="4EAFD666" wp14:editId="4AC0EA7C">
                  <wp:extent cx="470590" cy="470590"/>
                  <wp:effectExtent l="0" t="0" r="0" b="5715"/>
                  <wp:docPr id="1618214877"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472345" cy="472345"/>
                          </a:xfrm>
                          <a:prstGeom prst="rect">
                            <a:avLst/>
                          </a:prstGeom>
                        </pic:spPr>
                      </pic:pic>
                    </a:graphicData>
                  </a:graphic>
                </wp:inline>
              </w:drawing>
            </w:r>
          </w:p>
        </w:tc>
        <w:tc>
          <w:tcPr>
            <w:tcW w:w="1373" w:type="pct"/>
            <w:vAlign w:val="center"/>
          </w:tcPr>
          <w:p w14:paraId="7032859C" w14:textId="45E19DC1" w:rsidR="00A86383" w:rsidRPr="00F349EA" w:rsidRDefault="0018423C" w:rsidP="00ED15C4">
            <w:pPr>
              <w:rPr>
                <w:rFonts w:ascii="Arial" w:eastAsia="Times New Roman" w:hAnsi="Arial" w:cs="Arial"/>
                <w:lang w:eastAsia="en-GB"/>
              </w:rPr>
            </w:pPr>
            <w:r w:rsidRPr="00F349EA">
              <w:rPr>
                <w:rFonts w:ascii="Arial" w:eastAsia="Times New Roman" w:hAnsi="Arial" w:cs="Arial"/>
                <w:lang w:eastAsia="en-GB"/>
              </w:rPr>
              <w:t xml:space="preserve">Key result will be progressed later in the year once clarity on the terms of the ban is understood. </w:t>
            </w:r>
            <w:r w:rsidR="00782D52" w:rsidRPr="00F349EA">
              <w:rPr>
                <w:rFonts w:ascii="Arial" w:eastAsia="Times New Roman" w:hAnsi="Arial" w:cs="Arial"/>
                <w:lang w:eastAsia="en-GB"/>
              </w:rPr>
              <w:t xml:space="preserve">A communications plan is being prepared to communicate this to SEPA colleagues ahead of </w:t>
            </w:r>
            <w:r w:rsidR="00844D1B" w:rsidRPr="00F349EA">
              <w:rPr>
                <w:rFonts w:ascii="Arial" w:eastAsia="Times New Roman" w:hAnsi="Arial" w:cs="Arial"/>
                <w:lang w:eastAsia="en-GB"/>
              </w:rPr>
              <w:t>31 December 2025.</w:t>
            </w:r>
          </w:p>
          <w:p w14:paraId="157B5EC3" w14:textId="0253DECD" w:rsidR="00E91CA3" w:rsidRPr="00F349EA" w:rsidRDefault="00E91CA3" w:rsidP="00ED15C4">
            <w:pPr>
              <w:rPr>
                <w:rFonts w:ascii="Arial" w:eastAsia="Times New Roman" w:hAnsi="Arial" w:cs="Arial"/>
                <w:b/>
                <w:bCs/>
                <w:lang w:eastAsia="en-GB"/>
              </w:rPr>
            </w:pPr>
            <w:r w:rsidRPr="00F349EA">
              <w:rPr>
                <w:rFonts w:ascii="Arial" w:eastAsia="Times New Roman" w:hAnsi="Arial" w:cs="Arial"/>
                <w:b/>
                <w:bCs/>
                <w:lang w:eastAsia="en-GB"/>
              </w:rPr>
              <w:t xml:space="preserve">Confidence in forecast: </w:t>
            </w:r>
            <w:r w:rsidR="00AC50EF" w:rsidRPr="00F349EA">
              <w:rPr>
                <w:rFonts w:ascii="Arial" w:eastAsia="Times New Roman" w:hAnsi="Arial" w:cs="Arial"/>
                <w:b/>
                <w:bCs/>
                <w:lang w:eastAsia="en-GB"/>
              </w:rPr>
              <w:t>High</w:t>
            </w:r>
          </w:p>
        </w:tc>
        <w:tc>
          <w:tcPr>
            <w:tcW w:w="500" w:type="pct"/>
            <w:vAlign w:val="center"/>
          </w:tcPr>
          <w:p w14:paraId="38EF208D" w14:textId="0FAF526A" w:rsidR="00A86383" w:rsidRPr="00F349EA" w:rsidRDefault="007954F8" w:rsidP="00ED15C4">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Delivered</w:t>
            </w:r>
          </w:p>
        </w:tc>
      </w:tr>
    </w:tbl>
    <w:p w14:paraId="268587FA" w14:textId="10324A48" w:rsidR="000111F4" w:rsidRPr="00F349EA" w:rsidRDefault="000111F4" w:rsidP="000111F4">
      <w:pPr>
        <w:spacing w:before="240" w:after="120"/>
        <w:rPr>
          <w:sz w:val="28"/>
          <w:szCs w:val="28"/>
        </w:rPr>
      </w:pPr>
      <w:r w:rsidRPr="00F349EA">
        <w:rPr>
          <w:b/>
          <w:bCs/>
          <w:sz w:val="28"/>
          <w:szCs w:val="28"/>
        </w:rPr>
        <w:t>Overall objective score</w:t>
      </w:r>
      <w:r w:rsidRPr="00F349EA">
        <w:rPr>
          <w:sz w:val="28"/>
          <w:szCs w:val="28"/>
        </w:rPr>
        <w:t xml:space="preserve"> =</w:t>
      </w:r>
      <w:r w:rsidRPr="00F349EA">
        <w:rPr>
          <w:color w:val="016574"/>
          <w:sz w:val="28"/>
          <w:szCs w:val="28"/>
        </w:rPr>
        <w:t xml:space="preserve"> </w:t>
      </w:r>
      <w:r w:rsidRPr="00F349EA">
        <w:rPr>
          <w:sz w:val="28"/>
          <w:szCs w:val="28"/>
        </w:rPr>
        <w:t>0.</w:t>
      </w:r>
      <w:r w:rsidR="00F817B2" w:rsidRPr="00F349EA">
        <w:rPr>
          <w:sz w:val="28"/>
          <w:szCs w:val="28"/>
        </w:rPr>
        <w:t>33</w:t>
      </w:r>
    </w:p>
    <w:p w14:paraId="239DE40E" w14:textId="77777777" w:rsidR="00202277" w:rsidRPr="00F349EA" w:rsidRDefault="00202277" w:rsidP="00202277">
      <w:pPr>
        <w:spacing w:line="240" w:lineRule="auto"/>
      </w:pPr>
    </w:p>
    <w:p w14:paraId="6EBA62E8" w14:textId="487DF020" w:rsidR="00FD4635" w:rsidRPr="00F349EA" w:rsidRDefault="00680386" w:rsidP="00680386">
      <w:pPr>
        <w:pStyle w:val="Heading3"/>
        <w:spacing w:before="240" w:after="120"/>
        <w:rPr>
          <w:color w:val="016574"/>
          <w:sz w:val="32"/>
          <w:szCs w:val="28"/>
        </w:rPr>
      </w:pPr>
      <w:r w:rsidRPr="00F349EA">
        <w:rPr>
          <w:color w:val="016574"/>
          <w:sz w:val="32"/>
          <w:szCs w:val="28"/>
        </w:rPr>
        <w:lastRenderedPageBreak/>
        <w:t>BEP</w:t>
      </w:r>
      <w:r w:rsidR="00FD4635" w:rsidRPr="00F349EA">
        <w:rPr>
          <w:color w:val="016574"/>
          <w:sz w:val="32"/>
          <w:szCs w:val="28"/>
        </w:rPr>
        <w:t xml:space="preserve"> OKR</w:t>
      </w:r>
      <w:r w:rsidR="00A4381A" w:rsidRPr="00F349EA">
        <w:rPr>
          <w:color w:val="016574"/>
          <w:sz w:val="32"/>
          <w:szCs w:val="28"/>
        </w:rPr>
        <w:t>9</w:t>
      </w:r>
      <w:r w:rsidR="00FD4635" w:rsidRPr="00F349EA">
        <w:rPr>
          <w:color w:val="016574"/>
          <w:sz w:val="32"/>
          <w:szCs w:val="28"/>
        </w:rPr>
        <w:t xml:space="preserve">: </w:t>
      </w:r>
      <w:r w:rsidR="00A4381A" w:rsidRPr="00F349EA">
        <w:rPr>
          <w:color w:val="016574"/>
          <w:sz w:val="32"/>
          <w:szCs w:val="28"/>
        </w:rPr>
        <w:t>Tackle environmental crime using interventions approach.</w:t>
      </w:r>
    </w:p>
    <w:p w14:paraId="6F09B2B0" w14:textId="1B27537C" w:rsidR="00007BA2" w:rsidRPr="00F349EA" w:rsidRDefault="00871052" w:rsidP="00FD4635">
      <w:pPr>
        <w:rPr>
          <w:b/>
          <w:bCs/>
          <w:color w:val="3C4741" w:themeColor="text1"/>
          <w:sz w:val="28"/>
          <w:szCs w:val="28"/>
        </w:rPr>
      </w:pPr>
      <w:r w:rsidRPr="00F349EA">
        <w:rPr>
          <w:noProof/>
        </w:rPr>
        <w:drawing>
          <wp:inline distT="0" distB="0" distL="0" distR="0" wp14:anchorId="4EBA8759" wp14:editId="30ADD090">
            <wp:extent cx="9483090" cy="2625436"/>
            <wp:effectExtent l="0" t="0" r="3810" b="3810"/>
            <wp:docPr id="582177373" name="Chart 1" descr="This is a bar graph which shows the score of each key result for OKR09 over each quarter. &#10;There is a line on the score scale of 0.7 to represent whether the KR is being delivered. There is another line on the score scale of 0.3 to represent whether measurable progress has been made in the quarter.&#10;For Q1, KR9.1 and KR9.4 had no score as these will be progressed later in the year.&#10;KR9.2 scored 0.06. &#10;KR9.3 scored 0.2.&#10;&#10;For Q2, KR9.1, KR9.2 and KR9.3 scored 1. KR9.4 has no score as this will be progressed later in the year.">
              <a:extLst xmlns:a="http://schemas.openxmlformats.org/drawingml/2006/main">
                <a:ext uri="{FF2B5EF4-FFF2-40B4-BE49-F238E27FC236}">
                  <a16:creationId xmlns:a16="http://schemas.microsoft.com/office/drawing/2014/main" id="{17634D45-BBFD-46F0-9B59-D4ECED44F8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8AF363A" w14:textId="77777777" w:rsidR="0060780B" w:rsidRPr="00F349EA" w:rsidRDefault="0060780B" w:rsidP="00FD4635">
      <w:pPr>
        <w:rPr>
          <w:b/>
          <w:bCs/>
          <w:color w:val="3C4741" w:themeColor="text1"/>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9 key result summary"/>
        <w:tblDescription w:val="Q1 summary for each of the four key results under OKR9. This includes the date due, Q1 score, Q1 status, Q1 commentary and annual forecast for each key result."/>
      </w:tblPr>
      <w:tblGrid>
        <w:gridCol w:w="3869"/>
        <w:gridCol w:w="767"/>
        <w:gridCol w:w="924"/>
        <w:gridCol w:w="924"/>
        <w:gridCol w:w="924"/>
        <w:gridCol w:w="924"/>
        <w:gridCol w:w="1020"/>
        <w:gridCol w:w="3967"/>
        <w:gridCol w:w="1639"/>
      </w:tblGrid>
      <w:tr w:rsidR="00FD4635" w:rsidRPr="00F349EA" w14:paraId="5BDB6AA9" w14:textId="77777777" w:rsidTr="001E5DA3">
        <w:trPr>
          <w:cantSplit/>
          <w:trHeight w:val="509"/>
          <w:tblHeader/>
        </w:trPr>
        <w:tc>
          <w:tcPr>
            <w:tcW w:w="1293" w:type="pct"/>
            <w:shd w:val="clear" w:color="auto" w:fill="016574" w:themeFill="accent2"/>
          </w:tcPr>
          <w:p w14:paraId="7F714A19" w14:textId="77777777" w:rsidR="00FD4635" w:rsidRPr="00F349EA" w:rsidRDefault="00FD4635">
            <w:pPr>
              <w:spacing w:before="40" w:after="40" w:line="240" w:lineRule="auto"/>
              <w:textAlignment w:val="baseline"/>
              <w:rPr>
                <w:rFonts w:ascii="Arial" w:eastAsia="Times New Roman" w:hAnsi="Arial" w:cs="Arial"/>
                <w:color w:val="000000"/>
                <w:sz w:val="28"/>
                <w:szCs w:val="28"/>
                <w:lang w:eastAsia="en-GB"/>
              </w:rPr>
            </w:pPr>
            <w:r w:rsidRPr="00F349EA">
              <w:rPr>
                <w:rFonts w:ascii="Arial" w:eastAsia="MS PGothic" w:hAnsi="Arial" w:cs="Arial"/>
                <w:b/>
                <w:bCs/>
                <w:color w:val="FFFFFF" w:themeColor="background1"/>
              </w:rPr>
              <w:t>Key Results</w:t>
            </w:r>
          </w:p>
        </w:tc>
        <w:tc>
          <w:tcPr>
            <w:tcW w:w="256" w:type="pct"/>
            <w:shd w:val="clear" w:color="auto" w:fill="016574" w:themeFill="accent2"/>
          </w:tcPr>
          <w:p w14:paraId="3834AFF9" w14:textId="77777777" w:rsidR="00FD4635" w:rsidRPr="00F349EA" w:rsidRDefault="00FD4635">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Due date</w:t>
            </w:r>
          </w:p>
        </w:tc>
        <w:tc>
          <w:tcPr>
            <w:tcW w:w="309" w:type="pct"/>
            <w:shd w:val="clear" w:color="auto" w:fill="016574" w:themeFill="accent2"/>
          </w:tcPr>
          <w:p w14:paraId="584FA5EB" w14:textId="77777777" w:rsidR="00FD4635" w:rsidRPr="00F349EA" w:rsidRDefault="00FD4635">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Q1 score</w:t>
            </w:r>
          </w:p>
        </w:tc>
        <w:tc>
          <w:tcPr>
            <w:tcW w:w="309" w:type="pct"/>
            <w:shd w:val="clear" w:color="auto" w:fill="016574" w:themeFill="accent2"/>
          </w:tcPr>
          <w:p w14:paraId="029D06A3" w14:textId="77777777" w:rsidR="00FD4635" w:rsidRPr="00F349EA" w:rsidRDefault="00FD4635">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Q2 score</w:t>
            </w:r>
          </w:p>
        </w:tc>
        <w:tc>
          <w:tcPr>
            <w:tcW w:w="309" w:type="pct"/>
            <w:shd w:val="clear" w:color="auto" w:fill="016574" w:themeFill="accent2"/>
          </w:tcPr>
          <w:p w14:paraId="5D143BA8" w14:textId="77777777" w:rsidR="00FD4635" w:rsidRPr="00F349EA" w:rsidRDefault="00FD4635">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Q3 score</w:t>
            </w:r>
          </w:p>
        </w:tc>
        <w:tc>
          <w:tcPr>
            <w:tcW w:w="309" w:type="pct"/>
            <w:shd w:val="clear" w:color="auto" w:fill="016574" w:themeFill="accent2"/>
          </w:tcPr>
          <w:p w14:paraId="6C418ED2" w14:textId="77777777" w:rsidR="00FD4635" w:rsidRPr="00F349EA" w:rsidRDefault="00FD4635">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Q4 score</w:t>
            </w:r>
          </w:p>
        </w:tc>
        <w:tc>
          <w:tcPr>
            <w:tcW w:w="341" w:type="pct"/>
            <w:shd w:val="clear" w:color="auto" w:fill="016574" w:themeFill="accent2"/>
          </w:tcPr>
          <w:p w14:paraId="2A11099F" w14:textId="0322E4C8" w:rsidR="00FD4635" w:rsidRPr="00F349EA" w:rsidRDefault="00FD4635">
            <w:pPr>
              <w:spacing w:before="40" w:after="40" w:line="240" w:lineRule="auto"/>
              <w:jc w:val="center"/>
              <w:textAlignment w:val="baseline"/>
              <w:rPr>
                <w:rFonts w:ascii="Arial" w:eastAsia="Times New Roman" w:hAnsi="Arial" w:cs="Arial"/>
                <w:color w:val="000000"/>
                <w:lang w:eastAsia="en-GB"/>
              </w:rPr>
            </w:pPr>
            <w:r w:rsidRPr="00F349EA">
              <w:rPr>
                <w:rFonts w:ascii="Arial" w:eastAsia="MS PGothic" w:hAnsi="Arial" w:cs="Arial"/>
                <w:b/>
                <w:bCs/>
                <w:color w:val="FFFFFF"/>
              </w:rPr>
              <w:t>Q</w:t>
            </w:r>
            <w:r w:rsidR="00D654E2" w:rsidRPr="00F349EA">
              <w:rPr>
                <w:rFonts w:ascii="Arial" w:eastAsia="MS PGothic" w:hAnsi="Arial" w:cs="Arial"/>
                <w:b/>
                <w:bCs/>
                <w:color w:val="FFFFFF"/>
              </w:rPr>
              <w:t>2</w:t>
            </w:r>
            <w:r w:rsidRPr="00F349EA">
              <w:rPr>
                <w:rFonts w:ascii="Arial" w:eastAsia="MS PGothic" w:hAnsi="Arial" w:cs="Arial"/>
                <w:b/>
                <w:bCs/>
                <w:color w:val="FFFFFF"/>
              </w:rPr>
              <w:t xml:space="preserve"> Status</w:t>
            </w:r>
          </w:p>
        </w:tc>
        <w:tc>
          <w:tcPr>
            <w:tcW w:w="1326" w:type="pct"/>
            <w:shd w:val="clear" w:color="auto" w:fill="016574" w:themeFill="accent2"/>
          </w:tcPr>
          <w:p w14:paraId="6AAAF200" w14:textId="2349703C" w:rsidR="00FD4635" w:rsidRPr="00F349EA" w:rsidRDefault="00FD4635">
            <w:pPr>
              <w:spacing w:before="40" w:after="40" w:line="240" w:lineRule="auto"/>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Q</w:t>
            </w:r>
            <w:r w:rsidR="00D654E2" w:rsidRPr="00F349EA">
              <w:rPr>
                <w:rFonts w:ascii="Arial" w:eastAsia="MS PGothic" w:hAnsi="Arial" w:cs="Arial"/>
                <w:b/>
                <w:bCs/>
                <w:color w:val="FFFFFF"/>
                <w:sz w:val="28"/>
                <w:szCs w:val="28"/>
              </w:rPr>
              <w:t>2</w:t>
            </w:r>
            <w:r w:rsidRPr="00F349EA">
              <w:rPr>
                <w:rFonts w:ascii="Arial" w:eastAsia="MS PGothic" w:hAnsi="Arial" w:cs="Arial"/>
                <w:b/>
                <w:bCs/>
                <w:color w:val="FFFFFF"/>
                <w:sz w:val="28"/>
                <w:szCs w:val="28"/>
              </w:rPr>
              <w:t xml:space="preserve"> commentary</w:t>
            </w:r>
          </w:p>
        </w:tc>
        <w:tc>
          <w:tcPr>
            <w:tcW w:w="548" w:type="pct"/>
            <w:shd w:val="clear" w:color="auto" w:fill="016574" w:themeFill="accent2"/>
          </w:tcPr>
          <w:p w14:paraId="3B12D0A7" w14:textId="77777777" w:rsidR="00FD4635" w:rsidRPr="00F349EA" w:rsidRDefault="00FD4635">
            <w:pPr>
              <w:spacing w:before="40" w:after="40"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Annual forecast</w:t>
            </w:r>
          </w:p>
        </w:tc>
      </w:tr>
      <w:tr w:rsidR="00FD4635" w:rsidRPr="00F349EA" w14:paraId="108D71C6" w14:textId="77777777" w:rsidTr="001E5DA3">
        <w:tblPrEx>
          <w:tblCellMar>
            <w:left w:w="108" w:type="dxa"/>
            <w:right w:w="108" w:type="dxa"/>
          </w:tblCellMar>
        </w:tblPrEx>
        <w:trPr>
          <w:cantSplit/>
          <w:trHeight w:val="865"/>
        </w:trPr>
        <w:tc>
          <w:tcPr>
            <w:tcW w:w="1293" w:type="pct"/>
          </w:tcPr>
          <w:p w14:paraId="0B97C6FD" w14:textId="7F6E0EA9" w:rsidR="00FD4635" w:rsidRPr="00F349EA" w:rsidRDefault="003D2594" w:rsidP="00221747">
            <w:pPr>
              <w:rPr>
                <w:rFonts w:eastAsia="Times New Roman" w:cstheme="minorHAnsi"/>
                <w:b/>
                <w:color w:val="000000"/>
              </w:rPr>
            </w:pPr>
            <w:r w:rsidRPr="00F349EA">
              <w:rPr>
                <w:rFonts w:cstheme="minorHAnsi"/>
                <w:b/>
                <w:color w:val="000000"/>
              </w:rPr>
              <w:t xml:space="preserve">KR 9.1: </w:t>
            </w:r>
            <w:r w:rsidRPr="00F349EA">
              <w:rPr>
                <w:rFonts w:cstheme="minorHAnsi"/>
                <w:color w:val="000000"/>
              </w:rPr>
              <w:t xml:space="preserve">Complete an interventions framework to enhance our current SEPA toolkit and improve partnership working. </w:t>
            </w:r>
          </w:p>
        </w:tc>
        <w:tc>
          <w:tcPr>
            <w:tcW w:w="256" w:type="pct"/>
            <w:vAlign w:val="center"/>
          </w:tcPr>
          <w:p w14:paraId="58B99979" w14:textId="176B8148" w:rsidR="00FD4635" w:rsidRPr="00F349EA" w:rsidRDefault="003525C4" w:rsidP="00221747">
            <w:pPr>
              <w:jc w:val="center"/>
              <w:rPr>
                <w:rFonts w:eastAsia="Times New Roman" w:cstheme="minorHAnsi"/>
                <w:b/>
                <w:color w:val="000000"/>
              </w:rPr>
            </w:pPr>
            <w:r w:rsidRPr="00F349EA">
              <w:rPr>
                <w:rFonts w:cstheme="minorHAnsi"/>
                <w:b/>
                <w:color w:val="000000"/>
              </w:rPr>
              <w:t>Q</w:t>
            </w:r>
            <w:r w:rsidR="006555FF">
              <w:rPr>
                <w:rFonts w:cstheme="minorHAnsi"/>
                <w:b/>
                <w:color w:val="000000"/>
              </w:rPr>
              <w:t>2</w:t>
            </w:r>
          </w:p>
        </w:tc>
        <w:tc>
          <w:tcPr>
            <w:tcW w:w="309" w:type="pct"/>
            <w:vAlign w:val="center"/>
          </w:tcPr>
          <w:p w14:paraId="63418E52" w14:textId="7A751DF6" w:rsidR="00FD4635" w:rsidRPr="00F349EA" w:rsidRDefault="00656212" w:rsidP="00221747">
            <w:pPr>
              <w:jc w:val="center"/>
              <w:textAlignment w:val="baseline"/>
              <w:rPr>
                <w:rFonts w:eastAsia="Times New Roman" w:cstheme="minorHAnsi"/>
                <w:lang w:eastAsia="en-GB"/>
              </w:rPr>
            </w:pPr>
            <w:r w:rsidRPr="00F349EA">
              <w:rPr>
                <w:rFonts w:eastAsia="Times New Roman" w:cstheme="minorHAnsi"/>
                <w:lang w:eastAsia="en-GB"/>
              </w:rPr>
              <w:t>N/A</w:t>
            </w:r>
          </w:p>
        </w:tc>
        <w:tc>
          <w:tcPr>
            <w:tcW w:w="309" w:type="pct"/>
            <w:vAlign w:val="center"/>
          </w:tcPr>
          <w:p w14:paraId="64FDD80C" w14:textId="3E2052B6" w:rsidR="00FD4635" w:rsidRPr="00F349EA" w:rsidRDefault="00904B5D" w:rsidP="00221747">
            <w:pPr>
              <w:jc w:val="center"/>
              <w:textAlignment w:val="baseline"/>
              <w:rPr>
                <w:rFonts w:eastAsia="Times New Roman" w:cstheme="minorHAnsi"/>
                <w:lang w:eastAsia="en-GB"/>
              </w:rPr>
            </w:pPr>
            <w:r w:rsidRPr="00F349EA">
              <w:rPr>
                <w:rFonts w:eastAsia="Times New Roman" w:cstheme="minorHAnsi"/>
                <w:lang w:eastAsia="en-GB"/>
              </w:rPr>
              <w:t>1</w:t>
            </w:r>
          </w:p>
        </w:tc>
        <w:tc>
          <w:tcPr>
            <w:tcW w:w="309" w:type="pct"/>
            <w:vAlign w:val="center"/>
          </w:tcPr>
          <w:p w14:paraId="795632A7" w14:textId="77777777" w:rsidR="00FD4635" w:rsidRPr="00F349EA" w:rsidRDefault="00FD4635" w:rsidP="00221747">
            <w:pPr>
              <w:jc w:val="center"/>
              <w:textAlignment w:val="baseline"/>
              <w:rPr>
                <w:rFonts w:eastAsia="Times New Roman" w:cstheme="minorHAnsi"/>
                <w:lang w:eastAsia="en-GB"/>
              </w:rPr>
            </w:pPr>
            <w:r w:rsidRPr="00F349EA">
              <w:rPr>
                <w:rFonts w:eastAsia="Times New Roman" w:cstheme="minorHAnsi"/>
                <w:lang w:eastAsia="en-GB"/>
              </w:rPr>
              <w:t>-</w:t>
            </w:r>
          </w:p>
        </w:tc>
        <w:tc>
          <w:tcPr>
            <w:tcW w:w="309" w:type="pct"/>
            <w:vAlign w:val="center"/>
          </w:tcPr>
          <w:p w14:paraId="7AE218E4" w14:textId="77777777" w:rsidR="00FD4635" w:rsidRPr="00F349EA" w:rsidRDefault="00FD4635" w:rsidP="00221747">
            <w:pPr>
              <w:jc w:val="center"/>
              <w:textAlignment w:val="baseline"/>
              <w:rPr>
                <w:rFonts w:eastAsia="Times New Roman" w:cstheme="minorHAnsi"/>
                <w:lang w:eastAsia="en-GB"/>
              </w:rPr>
            </w:pPr>
            <w:r w:rsidRPr="00F349EA">
              <w:rPr>
                <w:rFonts w:eastAsia="Times New Roman" w:cstheme="minorHAnsi"/>
                <w:lang w:eastAsia="en-GB"/>
              </w:rPr>
              <w:t>-</w:t>
            </w:r>
          </w:p>
        </w:tc>
        <w:tc>
          <w:tcPr>
            <w:tcW w:w="341" w:type="pct"/>
            <w:vAlign w:val="center"/>
          </w:tcPr>
          <w:p w14:paraId="4EE1D624" w14:textId="544F7BF7" w:rsidR="00FD4635" w:rsidRPr="00F349EA" w:rsidRDefault="00E80326" w:rsidP="00D654E2">
            <w:pPr>
              <w:textAlignment w:val="baseline"/>
              <w:rPr>
                <w:rFonts w:eastAsia="Times New Roman" w:cstheme="minorHAnsi"/>
                <w:lang w:eastAsia="en-GB"/>
              </w:rPr>
            </w:pPr>
            <w:r w:rsidRPr="00F349EA">
              <w:rPr>
                <w:noProof/>
              </w:rPr>
              <w:drawing>
                <wp:inline distT="0" distB="0" distL="0" distR="0" wp14:anchorId="08538947" wp14:editId="07C61468">
                  <wp:extent cx="463550" cy="463550"/>
                  <wp:effectExtent l="0" t="0" r="0" b="0"/>
                  <wp:docPr id="1893061380"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326" w:type="pct"/>
            <w:vAlign w:val="center"/>
          </w:tcPr>
          <w:p w14:paraId="48E111E6" w14:textId="7DF38B62" w:rsidR="00FD4635" w:rsidRPr="00F349EA" w:rsidRDefault="00162CCC" w:rsidP="00162CCC">
            <w:pPr>
              <w:textAlignment w:val="baseline"/>
              <w:rPr>
                <w:rFonts w:ascii="Arial" w:eastAsia="Times New Roman" w:hAnsi="Arial" w:cs="Arial"/>
                <w:lang w:eastAsia="en-GB"/>
              </w:rPr>
            </w:pPr>
            <w:r w:rsidRPr="00F349EA">
              <w:rPr>
                <w:rFonts w:ascii="Arial" w:eastAsia="Times New Roman" w:hAnsi="Arial" w:cs="Arial"/>
                <w:b/>
                <w:bCs/>
                <w:lang w:eastAsia="en-GB"/>
              </w:rPr>
              <w:t>Key result complete in Q2</w:t>
            </w:r>
            <w:r w:rsidR="00946C8F">
              <w:rPr>
                <w:rFonts w:ascii="Arial" w:eastAsia="Times New Roman" w:hAnsi="Arial" w:cs="Arial"/>
                <w:b/>
                <w:bCs/>
                <w:lang w:eastAsia="en-GB"/>
              </w:rPr>
              <w:t>.</w:t>
            </w:r>
          </w:p>
        </w:tc>
        <w:tc>
          <w:tcPr>
            <w:tcW w:w="548" w:type="pct"/>
            <w:vAlign w:val="center"/>
          </w:tcPr>
          <w:p w14:paraId="7D7870D4" w14:textId="4F09A8B9" w:rsidR="00FD4635" w:rsidRPr="00F349EA" w:rsidRDefault="00FD780D" w:rsidP="00221747">
            <w:pPr>
              <w:textAlignment w:val="baseline"/>
              <w:rPr>
                <w:rFonts w:eastAsia="Times New Roman" w:cstheme="minorHAnsi"/>
                <w:lang w:eastAsia="en-GB"/>
              </w:rPr>
            </w:pPr>
            <w:r w:rsidRPr="00F349EA">
              <w:rPr>
                <w:rFonts w:eastAsia="Times New Roman" w:cstheme="minorHAnsi"/>
                <w:lang w:eastAsia="en-GB"/>
              </w:rPr>
              <w:t>Delivered</w:t>
            </w:r>
          </w:p>
        </w:tc>
      </w:tr>
      <w:tr w:rsidR="00FD4635" w:rsidRPr="00F349EA" w14:paraId="37832E54" w14:textId="77777777" w:rsidTr="001E5DA3">
        <w:tblPrEx>
          <w:tblCellMar>
            <w:left w:w="108" w:type="dxa"/>
            <w:right w:w="108" w:type="dxa"/>
          </w:tblCellMar>
        </w:tblPrEx>
        <w:trPr>
          <w:cantSplit/>
          <w:trHeight w:val="2347"/>
        </w:trPr>
        <w:tc>
          <w:tcPr>
            <w:tcW w:w="1293" w:type="pct"/>
            <w:vAlign w:val="center"/>
          </w:tcPr>
          <w:p w14:paraId="1D527D0B" w14:textId="2076F4C8" w:rsidR="00FD4635" w:rsidRPr="00F349EA" w:rsidRDefault="003D2594" w:rsidP="004C18EC">
            <w:pPr>
              <w:rPr>
                <w:rFonts w:eastAsia="Times New Roman" w:cstheme="minorHAnsi"/>
                <w:b/>
                <w:color w:val="000000"/>
              </w:rPr>
            </w:pPr>
            <w:r w:rsidRPr="00F349EA">
              <w:rPr>
                <w:rFonts w:cstheme="minorHAnsi"/>
                <w:b/>
                <w:color w:val="000000"/>
              </w:rPr>
              <w:lastRenderedPageBreak/>
              <w:t xml:space="preserve">KR 9.2: </w:t>
            </w:r>
            <w:r w:rsidRPr="00F349EA">
              <w:rPr>
                <w:rFonts w:cstheme="minorHAnsi"/>
                <w:color w:val="000000"/>
              </w:rPr>
              <w:t>Reduce the overall environmental risk score of identified illegal activities by 10%, from 2024-25 baseline (33.0 to 29.7), through targeted interventions</w:t>
            </w:r>
          </w:p>
        </w:tc>
        <w:tc>
          <w:tcPr>
            <w:tcW w:w="256" w:type="pct"/>
            <w:vAlign w:val="center"/>
          </w:tcPr>
          <w:p w14:paraId="0093C6BF" w14:textId="640978B8" w:rsidR="00FD4635" w:rsidRPr="00F349EA" w:rsidRDefault="00DB2CFD" w:rsidP="004C18EC">
            <w:pPr>
              <w:rPr>
                <w:rFonts w:eastAsia="Times New Roman" w:cstheme="minorHAnsi"/>
                <w:b/>
                <w:color w:val="000000"/>
              </w:rPr>
            </w:pPr>
            <w:r w:rsidRPr="00F349EA">
              <w:rPr>
                <w:rFonts w:cstheme="minorHAnsi"/>
                <w:b/>
                <w:color w:val="000000"/>
              </w:rPr>
              <w:t xml:space="preserve">Q4 </w:t>
            </w:r>
          </w:p>
        </w:tc>
        <w:tc>
          <w:tcPr>
            <w:tcW w:w="309" w:type="pct"/>
            <w:vAlign w:val="center"/>
          </w:tcPr>
          <w:p w14:paraId="403C4642" w14:textId="57F624B4" w:rsidR="00FD4635" w:rsidRPr="00F349EA" w:rsidRDefault="004D7A40" w:rsidP="00221747">
            <w:pPr>
              <w:jc w:val="center"/>
              <w:textAlignment w:val="baseline"/>
              <w:rPr>
                <w:rFonts w:eastAsia="Times New Roman" w:cstheme="minorHAnsi"/>
                <w:lang w:eastAsia="en-GB"/>
              </w:rPr>
            </w:pPr>
            <w:r w:rsidRPr="00F349EA">
              <w:rPr>
                <w:rFonts w:eastAsia="Times New Roman" w:cstheme="minorHAnsi"/>
                <w:lang w:eastAsia="en-GB"/>
              </w:rPr>
              <w:t>0.</w:t>
            </w:r>
            <w:r w:rsidR="00170836" w:rsidRPr="00F349EA">
              <w:rPr>
                <w:rFonts w:eastAsia="Times New Roman" w:cstheme="minorHAnsi"/>
                <w:lang w:eastAsia="en-GB"/>
              </w:rPr>
              <w:t>06</w:t>
            </w:r>
          </w:p>
        </w:tc>
        <w:tc>
          <w:tcPr>
            <w:tcW w:w="309" w:type="pct"/>
            <w:vAlign w:val="center"/>
          </w:tcPr>
          <w:p w14:paraId="636026A5" w14:textId="41573602" w:rsidR="00FD4635" w:rsidRPr="00F349EA" w:rsidRDefault="00904B5D" w:rsidP="00221747">
            <w:pPr>
              <w:jc w:val="center"/>
              <w:textAlignment w:val="baseline"/>
              <w:rPr>
                <w:rFonts w:eastAsia="Times New Roman" w:cstheme="minorHAnsi"/>
                <w:lang w:eastAsia="en-GB"/>
              </w:rPr>
            </w:pPr>
            <w:r w:rsidRPr="00F349EA">
              <w:rPr>
                <w:rFonts w:eastAsia="Times New Roman" w:cstheme="minorHAnsi"/>
                <w:lang w:eastAsia="en-GB"/>
              </w:rPr>
              <w:t>1</w:t>
            </w:r>
          </w:p>
        </w:tc>
        <w:tc>
          <w:tcPr>
            <w:tcW w:w="309" w:type="pct"/>
            <w:vAlign w:val="center"/>
          </w:tcPr>
          <w:p w14:paraId="7AB776FB" w14:textId="77777777" w:rsidR="00FD4635" w:rsidRPr="00F349EA" w:rsidRDefault="00FD4635" w:rsidP="00221747">
            <w:pPr>
              <w:jc w:val="center"/>
              <w:textAlignment w:val="baseline"/>
              <w:rPr>
                <w:rFonts w:eastAsia="Times New Roman" w:cstheme="minorHAnsi"/>
                <w:lang w:eastAsia="en-GB"/>
              </w:rPr>
            </w:pPr>
            <w:r w:rsidRPr="00F349EA">
              <w:rPr>
                <w:rFonts w:eastAsia="Times New Roman" w:cstheme="minorHAnsi"/>
                <w:lang w:eastAsia="en-GB"/>
              </w:rPr>
              <w:t>-</w:t>
            </w:r>
          </w:p>
        </w:tc>
        <w:tc>
          <w:tcPr>
            <w:tcW w:w="309" w:type="pct"/>
            <w:vAlign w:val="center"/>
          </w:tcPr>
          <w:p w14:paraId="6B5C82BA" w14:textId="77777777" w:rsidR="00FD4635" w:rsidRPr="00F349EA" w:rsidRDefault="00FD4635" w:rsidP="00221747">
            <w:pPr>
              <w:jc w:val="center"/>
              <w:textAlignment w:val="baseline"/>
              <w:rPr>
                <w:rFonts w:eastAsia="Times New Roman" w:cstheme="minorHAnsi"/>
                <w:lang w:eastAsia="en-GB"/>
              </w:rPr>
            </w:pPr>
            <w:r w:rsidRPr="00F349EA">
              <w:rPr>
                <w:rFonts w:eastAsia="Times New Roman" w:cstheme="minorHAnsi"/>
                <w:lang w:eastAsia="en-GB"/>
              </w:rPr>
              <w:t>-</w:t>
            </w:r>
          </w:p>
        </w:tc>
        <w:tc>
          <w:tcPr>
            <w:tcW w:w="341" w:type="pct"/>
            <w:vAlign w:val="center"/>
          </w:tcPr>
          <w:p w14:paraId="57100A09" w14:textId="6C3037E5" w:rsidR="00FD4635" w:rsidRPr="00F349EA" w:rsidRDefault="00E80326" w:rsidP="00221747">
            <w:pPr>
              <w:jc w:val="center"/>
              <w:textAlignment w:val="baseline"/>
              <w:rPr>
                <w:b/>
                <w:bCs/>
              </w:rPr>
            </w:pPr>
            <w:r w:rsidRPr="00F349EA">
              <w:rPr>
                <w:noProof/>
              </w:rPr>
              <w:drawing>
                <wp:inline distT="0" distB="0" distL="0" distR="0" wp14:anchorId="10DD2A88" wp14:editId="0FB54AE6">
                  <wp:extent cx="463550" cy="463550"/>
                  <wp:effectExtent l="0" t="0" r="0" b="0"/>
                  <wp:docPr id="864945668"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326" w:type="pct"/>
            <w:vAlign w:val="center"/>
          </w:tcPr>
          <w:p w14:paraId="598928FF" w14:textId="3D623C2F" w:rsidR="002A4CAD" w:rsidRPr="00F349EA" w:rsidRDefault="00BA149A" w:rsidP="002A4CAD">
            <w:pPr>
              <w:rPr>
                <w:rFonts w:eastAsia="Times New Roman" w:cstheme="minorHAnsi"/>
                <w:lang w:eastAsia="en-GB"/>
              </w:rPr>
            </w:pPr>
            <w:r w:rsidRPr="00F349EA">
              <w:rPr>
                <w:rFonts w:ascii="Arial" w:eastAsia="Times New Roman" w:hAnsi="Arial" w:cs="Arial"/>
                <w:b/>
                <w:lang w:eastAsia="en-GB"/>
              </w:rPr>
              <w:t>Key result delivered</w:t>
            </w:r>
            <w:r w:rsidR="000F56C5" w:rsidRPr="00F349EA">
              <w:rPr>
                <w:rFonts w:ascii="Arial" w:eastAsia="Times New Roman" w:hAnsi="Arial" w:cs="Arial"/>
                <w:lang w:eastAsia="en-GB"/>
              </w:rPr>
              <w:t>.</w:t>
            </w:r>
            <w:r w:rsidR="002A4CAD" w:rsidRPr="00F349EA">
              <w:rPr>
                <w:rFonts w:ascii="Arial" w:eastAsia="Times New Roman" w:hAnsi="Arial" w:cs="Arial"/>
                <w:lang w:eastAsia="en-GB"/>
              </w:rPr>
              <w:t xml:space="preserve"> </w:t>
            </w:r>
            <w:r w:rsidR="002A4CAD" w:rsidRPr="00F349EA">
              <w:rPr>
                <w:rFonts w:eastAsia="Times New Roman" w:cstheme="minorHAnsi"/>
                <w:lang w:eastAsia="en-GB"/>
              </w:rPr>
              <w:t xml:space="preserve">The target percentage reduction has been fully achieved but as activity can increase in risk as well as decrease, we cannot yet state that the key result has been completed. </w:t>
            </w:r>
          </w:p>
          <w:p w14:paraId="17B925DF" w14:textId="77777777" w:rsidR="00ED5459" w:rsidRPr="00F349EA" w:rsidRDefault="00ED5459" w:rsidP="00D654E2">
            <w:pPr>
              <w:rPr>
                <w:rFonts w:eastAsia="Times New Roman" w:cstheme="minorHAnsi"/>
                <w:lang w:eastAsia="en-GB"/>
              </w:rPr>
            </w:pPr>
          </w:p>
          <w:p w14:paraId="1D5DEDD6" w14:textId="0BEAF8B1" w:rsidR="00C826D6" w:rsidRPr="00F349EA" w:rsidRDefault="002A4CAD" w:rsidP="00D654E2">
            <w:pPr>
              <w:rPr>
                <w:rFonts w:cstheme="minorHAnsi"/>
                <w:color w:val="000000"/>
              </w:rPr>
            </w:pPr>
            <w:r w:rsidRPr="00F349EA">
              <w:rPr>
                <w:rFonts w:eastAsia="Times New Roman" w:cstheme="minorHAnsi"/>
                <w:lang w:eastAsia="en-GB"/>
              </w:rPr>
              <w:t>From Q3, w</w:t>
            </w:r>
            <w:r w:rsidR="00C05317" w:rsidRPr="00F349EA">
              <w:rPr>
                <w:rFonts w:eastAsia="Times New Roman" w:cstheme="minorHAnsi"/>
                <w:lang w:eastAsia="en-GB"/>
              </w:rPr>
              <w:t xml:space="preserve">e will extend the target to </w:t>
            </w:r>
            <w:r w:rsidR="00C824D6" w:rsidRPr="00F349EA">
              <w:rPr>
                <w:rFonts w:cstheme="minorHAnsi"/>
                <w:lang w:eastAsia="en-GB"/>
              </w:rPr>
              <w:t>r</w:t>
            </w:r>
            <w:r w:rsidR="00C824D6" w:rsidRPr="00F349EA">
              <w:rPr>
                <w:rFonts w:cstheme="minorHAnsi"/>
                <w:color w:val="000000"/>
              </w:rPr>
              <w:t>educe the overall environmental risk score of identified illegal activities by 20% from 2024-25 baseline</w:t>
            </w:r>
            <w:r w:rsidR="00ED5459" w:rsidRPr="00F349EA">
              <w:rPr>
                <w:rFonts w:cstheme="minorHAnsi"/>
                <w:color w:val="000000"/>
              </w:rPr>
              <w:t>, by the end of Q4.</w:t>
            </w:r>
          </w:p>
        </w:tc>
        <w:tc>
          <w:tcPr>
            <w:tcW w:w="548" w:type="pct"/>
            <w:vAlign w:val="center"/>
          </w:tcPr>
          <w:p w14:paraId="6DF3A80F" w14:textId="7C56175A" w:rsidR="00FD4635" w:rsidRPr="00F349EA" w:rsidRDefault="00FD780D" w:rsidP="00221747">
            <w:pPr>
              <w:textAlignment w:val="baseline"/>
              <w:rPr>
                <w:rFonts w:eastAsia="Times New Roman" w:cstheme="minorHAnsi"/>
                <w:lang w:eastAsia="en-GB"/>
              </w:rPr>
            </w:pPr>
            <w:r w:rsidRPr="00F349EA">
              <w:rPr>
                <w:rFonts w:eastAsia="Times New Roman" w:cstheme="minorHAnsi"/>
                <w:lang w:eastAsia="en-GB"/>
              </w:rPr>
              <w:t>Delivered</w:t>
            </w:r>
          </w:p>
        </w:tc>
      </w:tr>
      <w:tr w:rsidR="00FD4635" w:rsidRPr="00F349EA" w14:paraId="56D35629" w14:textId="77777777" w:rsidTr="001E5DA3">
        <w:tblPrEx>
          <w:tblCellMar>
            <w:left w:w="108" w:type="dxa"/>
            <w:right w:w="108" w:type="dxa"/>
          </w:tblCellMar>
        </w:tblPrEx>
        <w:trPr>
          <w:cantSplit/>
          <w:trHeight w:val="16"/>
        </w:trPr>
        <w:tc>
          <w:tcPr>
            <w:tcW w:w="1293" w:type="pct"/>
            <w:vAlign w:val="center"/>
          </w:tcPr>
          <w:p w14:paraId="3E950F21" w14:textId="0EE4813C" w:rsidR="00FD4635" w:rsidRPr="00F349EA" w:rsidRDefault="003D2594" w:rsidP="004C18EC">
            <w:pPr>
              <w:rPr>
                <w:rFonts w:eastAsia="Times New Roman" w:cstheme="minorHAnsi"/>
                <w:b/>
                <w:color w:val="000000"/>
              </w:rPr>
            </w:pPr>
            <w:r w:rsidRPr="00F349EA">
              <w:rPr>
                <w:rFonts w:cstheme="minorHAnsi"/>
                <w:b/>
                <w:color w:val="000000"/>
              </w:rPr>
              <w:lastRenderedPageBreak/>
              <w:t xml:space="preserve">KR 9.3: </w:t>
            </w:r>
            <w:r w:rsidRPr="00F349EA">
              <w:rPr>
                <w:rFonts w:cstheme="minorHAnsi"/>
                <w:color w:val="000000"/>
              </w:rPr>
              <w:t>Lower the overall environmental risk score of high-risk sites by 10%, from 2024-25 baseline (88.6 to 79.7)</w:t>
            </w:r>
          </w:p>
        </w:tc>
        <w:tc>
          <w:tcPr>
            <w:tcW w:w="256" w:type="pct"/>
            <w:vAlign w:val="center"/>
          </w:tcPr>
          <w:p w14:paraId="77722AD2" w14:textId="1BF83092" w:rsidR="00FD4635" w:rsidRPr="00F349EA" w:rsidRDefault="006A4850" w:rsidP="004C18EC">
            <w:pPr>
              <w:rPr>
                <w:rFonts w:eastAsia="Times New Roman" w:cstheme="minorHAnsi"/>
                <w:b/>
                <w:color w:val="000000"/>
              </w:rPr>
            </w:pPr>
            <w:r w:rsidRPr="00F349EA">
              <w:rPr>
                <w:rFonts w:cstheme="minorHAnsi"/>
                <w:b/>
                <w:color w:val="000000"/>
              </w:rPr>
              <w:t xml:space="preserve">Q4 </w:t>
            </w:r>
          </w:p>
        </w:tc>
        <w:tc>
          <w:tcPr>
            <w:tcW w:w="309" w:type="pct"/>
            <w:vAlign w:val="center"/>
          </w:tcPr>
          <w:p w14:paraId="71E19F37" w14:textId="2D89E2B4" w:rsidR="00FD4635" w:rsidRPr="00F349EA" w:rsidRDefault="004D7A40" w:rsidP="00221747">
            <w:pPr>
              <w:jc w:val="center"/>
              <w:textAlignment w:val="baseline"/>
              <w:rPr>
                <w:rFonts w:eastAsia="Times New Roman" w:cstheme="minorHAnsi"/>
                <w:lang w:eastAsia="en-GB"/>
              </w:rPr>
            </w:pPr>
            <w:r w:rsidRPr="00F349EA">
              <w:rPr>
                <w:rFonts w:eastAsia="Times New Roman" w:cstheme="minorHAnsi"/>
                <w:lang w:eastAsia="en-GB"/>
              </w:rPr>
              <w:t>0.</w:t>
            </w:r>
            <w:r w:rsidR="00170836" w:rsidRPr="00F349EA">
              <w:rPr>
                <w:rFonts w:eastAsia="Times New Roman" w:cstheme="minorHAnsi"/>
                <w:lang w:eastAsia="en-GB"/>
              </w:rPr>
              <w:t>2</w:t>
            </w:r>
            <w:r w:rsidR="004E05A1" w:rsidRPr="00F349EA">
              <w:rPr>
                <w:rFonts w:eastAsia="Times New Roman" w:cstheme="minorHAnsi"/>
                <w:lang w:eastAsia="en-GB"/>
              </w:rPr>
              <w:t>0</w:t>
            </w:r>
          </w:p>
        </w:tc>
        <w:tc>
          <w:tcPr>
            <w:tcW w:w="309" w:type="pct"/>
            <w:vAlign w:val="center"/>
          </w:tcPr>
          <w:p w14:paraId="77A5F497" w14:textId="5ECD6A5C" w:rsidR="00FD4635" w:rsidRPr="00F349EA" w:rsidRDefault="00904B5D" w:rsidP="00221747">
            <w:pPr>
              <w:jc w:val="center"/>
              <w:textAlignment w:val="baseline"/>
              <w:rPr>
                <w:rFonts w:eastAsia="Times New Roman" w:cstheme="minorHAnsi"/>
                <w:lang w:eastAsia="en-GB"/>
              </w:rPr>
            </w:pPr>
            <w:r w:rsidRPr="00F349EA">
              <w:rPr>
                <w:rFonts w:eastAsia="Times New Roman" w:cstheme="minorHAnsi"/>
                <w:lang w:eastAsia="en-GB"/>
              </w:rPr>
              <w:t>1</w:t>
            </w:r>
          </w:p>
        </w:tc>
        <w:tc>
          <w:tcPr>
            <w:tcW w:w="309" w:type="pct"/>
            <w:vAlign w:val="center"/>
          </w:tcPr>
          <w:p w14:paraId="34A54F8C" w14:textId="77777777" w:rsidR="00FD4635" w:rsidRPr="00F349EA" w:rsidRDefault="00FD4635" w:rsidP="00221747">
            <w:pPr>
              <w:jc w:val="center"/>
              <w:textAlignment w:val="baseline"/>
              <w:rPr>
                <w:rFonts w:eastAsia="Times New Roman" w:cstheme="minorHAnsi"/>
                <w:lang w:eastAsia="en-GB"/>
              </w:rPr>
            </w:pPr>
            <w:r w:rsidRPr="00F349EA">
              <w:rPr>
                <w:rFonts w:eastAsia="Times New Roman" w:cstheme="minorHAnsi"/>
                <w:lang w:eastAsia="en-GB"/>
              </w:rPr>
              <w:t>-</w:t>
            </w:r>
          </w:p>
        </w:tc>
        <w:tc>
          <w:tcPr>
            <w:tcW w:w="309" w:type="pct"/>
            <w:vAlign w:val="center"/>
          </w:tcPr>
          <w:p w14:paraId="44E99017" w14:textId="77777777" w:rsidR="00FD4635" w:rsidRPr="00F349EA" w:rsidRDefault="00FD4635" w:rsidP="00221747">
            <w:pPr>
              <w:jc w:val="center"/>
              <w:textAlignment w:val="baseline"/>
              <w:rPr>
                <w:rFonts w:eastAsia="Times New Roman" w:cstheme="minorHAnsi"/>
                <w:lang w:eastAsia="en-GB"/>
              </w:rPr>
            </w:pPr>
            <w:r w:rsidRPr="00F349EA">
              <w:rPr>
                <w:rFonts w:eastAsia="Times New Roman" w:cstheme="minorHAnsi"/>
                <w:lang w:eastAsia="en-GB"/>
              </w:rPr>
              <w:t>-</w:t>
            </w:r>
          </w:p>
        </w:tc>
        <w:tc>
          <w:tcPr>
            <w:tcW w:w="341" w:type="pct"/>
            <w:vAlign w:val="center"/>
          </w:tcPr>
          <w:p w14:paraId="4F49A137" w14:textId="015FBDAD" w:rsidR="00FD4635" w:rsidRPr="00F349EA" w:rsidRDefault="00E80326" w:rsidP="00221747">
            <w:pPr>
              <w:jc w:val="center"/>
              <w:textAlignment w:val="baseline"/>
              <w:rPr>
                <w:b/>
                <w:bCs/>
              </w:rPr>
            </w:pPr>
            <w:r w:rsidRPr="00F349EA">
              <w:rPr>
                <w:noProof/>
              </w:rPr>
              <w:drawing>
                <wp:inline distT="0" distB="0" distL="0" distR="0" wp14:anchorId="50FC4CC5" wp14:editId="7A1A00E0">
                  <wp:extent cx="463550" cy="463550"/>
                  <wp:effectExtent l="0" t="0" r="0" b="0"/>
                  <wp:docPr id="1350110481"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326" w:type="pct"/>
            <w:vAlign w:val="center"/>
          </w:tcPr>
          <w:p w14:paraId="23333D40" w14:textId="1632D00B" w:rsidR="001B53DD" w:rsidRPr="00F349EA" w:rsidRDefault="00BA149A" w:rsidP="001B53DD">
            <w:pPr>
              <w:rPr>
                <w:rFonts w:eastAsia="Times New Roman" w:cstheme="minorHAnsi"/>
                <w:lang w:eastAsia="en-GB"/>
              </w:rPr>
            </w:pPr>
            <w:r w:rsidRPr="00F349EA">
              <w:rPr>
                <w:rFonts w:ascii="Arial" w:eastAsia="Times New Roman" w:hAnsi="Arial" w:cs="Arial"/>
                <w:b/>
                <w:lang w:eastAsia="en-GB"/>
              </w:rPr>
              <w:t>Key result delivered</w:t>
            </w:r>
            <w:r w:rsidR="000F56C5" w:rsidRPr="00F349EA">
              <w:rPr>
                <w:rFonts w:ascii="Arial" w:eastAsia="Times New Roman" w:hAnsi="Arial" w:cs="Arial"/>
                <w:lang w:eastAsia="en-GB"/>
              </w:rPr>
              <w:t>.</w:t>
            </w:r>
            <w:r w:rsidR="002A4CAD" w:rsidRPr="00F349EA">
              <w:rPr>
                <w:rFonts w:ascii="Arial" w:eastAsia="Times New Roman" w:hAnsi="Arial" w:cs="Arial"/>
                <w:lang w:eastAsia="en-GB"/>
              </w:rPr>
              <w:t xml:space="preserve"> </w:t>
            </w:r>
            <w:r w:rsidR="001B53DD" w:rsidRPr="00F349EA">
              <w:rPr>
                <w:rFonts w:eastAsia="Times New Roman" w:cstheme="minorHAnsi"/>
                <w:lang w:eastAsia="en-GB"/>
              </w:rPr>
              <w:t xml:space="preserve">The target percentage reduction has been </w:t>
            </w:r>
            <w:r w:rsidR="00990D47" w:rsidRPr="00F349EA">
              <w:rPr>
                <w:rFonts w:eastAsia="Times New Roman" w:cstheme="minorHAnsi"/>
                <w:lang w:eastAsia="en-GB"/>
              </w:rPr>
              <w:t>fully achieved</w:t>
            </w:r>
            <w:r w:rsidR="001B53DD" w:rsidRPr="00F349EA">
              <w:rPr>
                <w:rFonts w:eastAsia="Times New Roman" w:cstheme="minorHAnsi"/>
                <w:lang w:eastAsia="en-GB"/>
              </w:rPr>
              <w:t xml:space="preserve"> but as activity can increase in risk as well as decrease, we cannot yet state that the key result has been completed. </w:t>
            </w:r>
          </w:p>
          <w:p w14:paraId="7FC18149" w14:textId="77777777" w:rsidR="001B53DD" w:rsidRPr="00F349EA" w:rsidRDefault="001B53DD" w:rsidP="001B53DD">
            <w:pPr>
              <w:rPr>
                <w:rFonts w:eastAsia="Times New Roman" w:cstheme="minorHAnsi"/>
                <w:lang w:eastAsia="en-GB"/>
              </w:rPr>
            </w:pPr>
          </w:p>
          <w:p w14:paraId="56BA932C" w14:textId="29ED1CCD" w:rsidR="00FD4635" w:rsidRPr="00F349EA" w:rsidRDefault="000E2506" w:rsidP="001B53DD">
            <w:pPr>
              <w:rPr>
                <w:rFonts w:cstheme="minorHAnsi"/>
                <w:color w:val="000000"/>
              </w:rPr>
            </w:pPr>
            <w:r w:rsidRPr="00F349EA">
              <w:rPr>
                <w:rFonts w:eastAsia="Times New Roman" w:cstheme="minorHAnsi"/>
                <w:lang w:eastAsia="en-GB"/>
              </w:rPr>
              <w:t>From Q3, w</w:t>
            </w:r>
            <w:r w:rsidR="001B53DD" w:rsidRPr="00F349EA">
              <w:rPr>
                <w:rFonts w:eastAsia="Times New Roman" w:cstheme="minorHAnsi"/>
                <w:lang w:eastAsia="en-GB"/>
              </w:rPr>
              <w:t xml:space="preserve">e will extend the target to </w:t>
            </w:r>
            <w:r w:rsidR="001B53DD" w:rsidRPr="00F349EA">
              <w:rPr>
                <w:rFonts w:cstheme="minorHAnsi"/>
                <w:lang w:eastAsia="en-GB"/>
              </w:rPr>
              <w:t>r</w:t>
            </w:r>
            <w:r w:rsidR="001B53DD" w:rsidRPr="00F349EA">
              <w:rPr>
                <w:rFonts w:cstheme="minorHAnsi"/>
                <w:color w:val="000000"/>
              </w:rPr>
              <w:t>educe the overall environmental risk score of identified illegal activities by 20% from 2024-25 baseline, by the end of Q4.</w:t>
            </w:r>
          </w:p>
        </w:tc>
        <w:tc>
          <w:tcPr>
            <w:tcW w:w="548" w:type="pct"/>
            <w:vAlign w:val="center"/>
          </w:tcPr>
          <w:p w14:paraId="4EACD0CE" w14:textId="1FC243B9" w:rsidR="00FD4635" w:rsidRPr="00F349EA" w:rsidRDefault="00FD780D" w:rsidP="00221747">
            <w:pPr>
              <w:textAlignment w:val="baseline"/>
              <w:rPr>
                <w:rFonts w:eastAsia="Times New Roman" w:cstheme="minorHAnsi"/>
                <w:lang w:eastAsia="en-GB"/>
              </w:rPr>
            </w:pPr>
            <w:r w:rsidRPr="00F349EA">
              <w:rPr>
                <w:rFonts w:eastAsia="Times New Roman" w:cstheme="minorHAnsi"/>
                <w:lang w:eastAsia="en-GB"/>
              </w:rPr>
              <w:t>Delivered</w:t>
            </w:r>
          </w:p>
        </w:tc>
      </w:tr>
      <w:tr w:rsidR="00A86383" w:rsidRPr="00F349EA" w14:paraId="1FCA7292" w14:textId="77777777" w:rsidTr="001E5DA3">
        <w:trPr>
          <w:cantSplit/>
          <w:trHeight w:val="16"/>
        </w:trPr>
        <w:tc>
          <w:tcPr>
            <w:tcW w:w="1293" w:type="pct"/>
            <w:vAlign w:val="center"/>
          </w:tcPr>
          <w:p w14:paraId="049D4F3F" w14:textId="2B8CB928" w:rsidR="00A86383" w:rsidRPr="00F349EA" w:rsidRDefault="00A86383" w:rsidP="004C18EC">
            <w:pPr>
              <w:rPr>
                <w:rFonts w:eastAsia="Times New Roman" w:cstheme="minorHAnsi"/>
                <w:b/>
                <w:color w:val="000000"/>
              </w:rPr>
            </w:pPr>
            <w:r w:rsidRPr="00F349EA">
              <w:rPr>
                <w:rFonts w:cstheme="minorHAnsi"/>
                <w:b/>
                <w:color w:val="000000"/>
              </w:rPr>
              <w:lastRenderedPageBreak/>
              <w:t xml:space="preserve">KR 9.4: </w:t>
            </w:r>
            <w:r w:rsidRPr="00F349EA">
              <w:rPr>
                <w:rFonts w:cstheme="minorHAnsi"/>
                <w:color w:val="000000"/>
              </w:rPr>
              <w:t>Implement and establish the interventions framework to increase our success in disrupting high risk environmental crime.</w:t>
            </w:r>
          </w:p>
        </w:tc>
        <w:tc>
          <w:tcPr>
            <w:tcW w:w="256" w:type="pct"/>
            <w:vAlign w:val="center"/>
          </w:tcPr>
          <w:p w14:paraId="21F5CA07" w14:textId="2690ED40" w:rsidR="00A86383" w:rsidRPr="00F349EA" w:rsidRDefault="00A86383" w:rsidP="004C18EC">
            <w:pPr>
              <w:rPr>
                <w:rFonts w:eastAsia="Times New Roman" w:cstheme="minorHAnsi"/>
                <w:b/>
                <w:color w:val="000000"/>
              </w:rPr>
            </w:pPr>
            <w:r w:rsidRPr="00F349EA">
              <w:rPr>
                <w:rFonts w:cstheme="minorHAnsi"/>
                <w:b/>
                <w:color w:val="000000"/>
              </w:rPr>
              <w:t xml:space="preserve">Q4 </w:t>
            </w:r>
          </w:p>
        </w:tc>
        <w:tc>
          <w:tcPr>
            <w:tcW w:w="309" w:type="pct"/>
            <w:vAlign w:val="center"/>
          </w:tcPr>
          <w:p w14:paraId="6D543379" w14:textId="45AE2BEF" w:rsidR="00A86383" w:rsidRPr="00F349EA" w:rsidRDefault="00A86383" w:rsidP="00221747">
            <w:pPr>
              <w:jc w:val="center"/>
              <w:textAlignment w:val="baseline"/>
              <w:rPr>
                <w:rFonts w:eastAsia="Times New Roman" w:cstheme="minorHAnsi"/>
                <w:lang w:eastAsia="en-GB"/>
              </w:rPr>
            </w:pPr>
            <w:r w:rsidRPr="00F349EA">
              <w:rPr>
                <w:rFonts w:eastAsia="Times New Roman" w:cstheme="minorHAnsi"/>
                <w:lang w:eastAsia="en-GB"/>
              </w:rPr>
              <w:t>N/A</w:t>
            </w:r>
          </w:p>
        </w:tc>
        <w:tc>
          <w:tcPr>
            <w:tcW w:w="309" w:type="pct"/>
            <w:vAlign w:val="center"/>
          </w:tcPr>
          <w:p w14:paraId="5247AD5B" w14:textId="77B5D956" w:rsidR="00A86383" w:rsidRPr="00F349EA" w:rsidRDefault="00904B5D" w:rsidP="00221747">
            <w:pPr>
              <w:jc w:val="center"/>
              <w:textAlignment w:val="baseline"/>
              <w:rPr>
                <w:rFonts w:eastAsia="Times New Roman" w:cstheme="minorHAnsi"/>
                <w:lang w:eastAsia="en-GB"/>
              </w:rPr>
            </w:pPr>
            <w:r w:rsidRPr="00F349EA">
              <w:rPr>
                <w:rFonts w:ascii="Arial" w:eastAsia="Times New Roman" w:hAnsi="Arial" w:cs="Arial"/>
                <w:szCs w:val="28"/>
                <w:lang w:eastAsia="en-GB"/>
              </w:rPr>
              <w:t>N/A</w:t>
            </w:r>
          </w:p>
        </w:tc>
        <w:tc>
          <w:tcPr>
            <w:tcW w:w="309" w:type="pct"/>
            <w:vAlign w:val="center"/>
          </w:tcPr>
          <w:p w14:paraId="22D25467" w14:textId="57134191" w:rsidR="00A86383" w:rsidRPr="00F349EA" w:rsidRDefault="00A86383" w:rsidP="00221747">
            <w:pPr>
              <w:jc w:val="center"/>
              <w:textAlignment w:val="baseline"/>
              <w:rPr>
                <w:rFonts w:eastAsia="Times New Roman" w:cstheme="minorHAnsi"/>
                <w:lang w:eastAsia="en-GB"/>
              </w:rPr>
            </w:pPr>
            <w:r w:rsidRPr="00F349EA">
              <w:rPr>
                <w:rFonts w:ascii="Arial" w:eastAsia="Times New Roman" w:hAnsi="Arial" w:cs="Arial"/>
                <w:lang w:eastAsia="en-GB"/>
              </w:rPr>
              <w:t>-</w:t>
            </w:r>
          </w:p>
        </w:tc>
        <w:tc>
          <w:tcPr>
            <w:tcW w:w="309" w:type="pct"/>
            <w:vAlign w:val="center"/>
          </w:tcPr>
          <w:p w14:paraId="79FCACCF" w14:textId="18C736C3" w:rsidR="00A86383" w:rsidRPr="00F349EA" w:rsidRDefault="00A86383" w:rsidP="00221747">
            <w:pPr>
              <w:jc w:val="center"/>
              <w:textAlignment w:val="baseline"/>
              <w:rPr>
                <w:rFonts w:eastAsia="Times New Roman" w:cstheme="minorHAnsi"/>
                <w:lang w:eastAsia="en-GB"/>
              </w:rPr>
            </w:pPr>
            <w:r w:rsidRPr="00F349EA">
              <w:rPr>
                <w:rFonts w:ascii="Arial" w:eastAsia="Times New Roman" w:hAnsi="Arial" w:cs="Arial"/>
                <w:lang w:eastAsia="en-GB"/>
              </w:rPr>
              <w:t>-</w:t>
            </w:r>
          </w:p>
        </w:tc>
        <w:tc>
          <w:tcPr>
            <w:tcW w:w="341" w:type="pct"/>
            <w:vAlign w:val="center"/>
          </w:tcPr>
          <w:p w14:paraId="6D7E86A5" w14:textId="09A12C1E" w:rsidR="00A86383" w:rsidRPr="00F349EA" w:rsidRDefault="00E80326" w:rsidP="00221747">
            <w:pPr>
              <w:jc w:val="center"/>
              <w:textAlignment w:val="baseline"/>
              <w:rPr>
                <w:b/>
                <w:bCs/>
              </w:rPr>
            </w:pPr>
            <w:r w:rsidRPr="00F349EA">
              <w:rPr>
                <w:b/>
                <w:bCs/>
                <w:noProof/>
              </w:rPr>
              <w:drawing>
                <wp:inline distT="0" distB="0" distL="0" distR="0" wp14:anchorId="07262C48" wp14:editId="5E7D79AB">
                  <wp:extent cx="470590" cy="470590"/>
                  <wp:effectExtent l="0" t="0" r="0" b="5715"/>
                  <wp:docPr id="1531913302"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472345" cy="472345"/>
                          </a:xfrm>
                          <a:prstGeom prst="rect">
                            <a:avLst/>
                          </a:prstGeom>
                        </pic:spPr>
                      </pic:pic>
                    </a:graphicData>
                  </a:graphic>
                </wp:inline>
              </w:drawing>
            </w:r>
          </w:p>
        </w:tc>
        <w:tc>
          <w:tcPr>
            <w:tcW w:w="1326" w:type="pct"/>
            <w:vAlign w:val="center"/>
          </w:tcPr>
          <w:p w14:paraId="3BFEEFAE" w14:textId="77777777" w:rsidR="00694822" w:rsidRPr="00694822" w:rsidRDefault="00694822" w:rsidP="00694822">
            <w:pPr>
              <w:rPr>
                <w:rFonts w:ascii="Arial" w:eastAsia="Times New Roman" w:hAnsi="Arial" w:cs="Arial"/>
                <w:bCs/>
                <w:lang w:eastAsia="en-GB"/>
              </w:rPr>
            </w:pPr>
            <w:r w:rsidRPr="00694822">
              <w:rPr>
                <w:rFonts w:ascii="Arial" w:eastAsia="Times New Roman" w:hAnsi="Arial" w:cs="Arial"/>
                <w:bCs/>
                <w:lang w:eastAsia="en-GB"/>
              </w:rPr>
              <w:t>On track. The implementation of the framework for the use of interventions continues to require further discussion. Enforcement Hub communications are being developed. Interventions will be included in the CLUE training on investigations due to commence mid-November. Training and roll out to conclude in March 2026.</w:t>
            </w:r>
          </w:p>
          <w:p w14:paraId="2F9483DD" w14:textId="77777777" w:rsidR="00694822" w:rsidRPr="00694822" w:rsidRDefault="00694822" w:rsidP="00694822">
            <w:pPr>
              <w:rPr>
                <w:rFonts w:ascii="Arial" w:eastAsia="Times New Roman" w:hAnsi="Arial" w:cs="Arial"/>
                <w:b/>
                <w:lang w:eastAsia="en-GB"/>
              </w:rPr>
            </w:pPr>
          </w:p>
          <w:p w14:paraId="2A00551D" w14:textId="25763640" w:rsidR="00F02E0B" w:rsidRPr="00F02E0B" w:rsidRDefault="00261729" w:rsidP="00221747">
            <w:pPr>
              <w:rPr>
                <w:rFonts w:ascii="Arial" w:eastAsia="Times New Roman" w:hAnsi="Arial" w:cs="Arial"/>
                <w:shd w:val="clear" w:color="auto" w:fill="FFFF00"/>
                <w:lang w:eastAsia="en-GB"/>
              </w:rPr>
            </w:pPr>
            <w:r w:rsidRPr="00F349EA">
              <w:rPr>
                <w:rFonts w:ascii="Arial" w:eastAsia="Times New Roman" w:hAnsi="Arial" w:cs="Arial"/>
                <w:b/>
                <w:lang w:eastAsia="en-GB"/>
              </w:rPr>
              <w:t>Confidence in forecast</w:t>
            </w:r>
            <w:r w:rsidRPr="00F349EA">
              <w:rPr>
                <w:rFonts w:ascii="Arial" w:eastAsia="Times New Roman" w:hAnsi="Arial" w:cs="Arial"/>
                <w:lang w:eastAsia="en-GB"/>
              </w:rPr>
              <w:t xml:space="preserve">: </w:t>
            </w:r>
            <w:r w:rsidR="00F02E0B" w:rsidRPr="00F02E0B">
              <w:rPr>
                <w:rFonts w:ascii="Arial" w:eastAsia="Times New Roman" w:hAnsi="Arial" w:cs="Arial"/>
                <w:lang w:eastAsia="en-GB"/>
              </w:rPr>
              <w:t>Moderate</w:t>
            </w:r>
          </w:p>
        </w:tc>
        <w:tc>
          <w:tcPr>
            <w:tcW w:w="548" w:type="pct"/>
            <w:vAlign w:val="center"/>
          </w:tcPr>
          <w:p w14:paraId="69CE0609" w14:textId="1BE1D193" w:rsidR="00A86383" w:rsidRPr="00F349EA" w:rsidRDefault="00A86383" w:rsidP="00221747">
            <w:pPr>
              <w:textAlignment w:val="baseline"/>
              <w:rPr>
                <w:rFonts w:eastAsia="Times New Roman" w:cstheme="minorHAnsi"/>
                <w:lang w:eastAsia="en-GB"/>
              </w:rPr>
            </w:pPr>
            <w:r w:rsidRPr="00F349EA">
              <w:rPr>
                <w:rFonts w:eastAsia="Times New Roman" w:cstheme="minorHAnsi"/>
                <w:lang w:eastAsia="en-GB"/>
              </w:rPr>
              <w:t>Delivered</w:t>
            </w:r>
          </w:p>
        </w:tc>
      </w:tr>
    </w:tbl>
    <w:p w14:paraId="22D67628" w14:textId="60702392" w:rsidR="000111F4" w:rsidRPr="00F349EA" w:rsidRDefault="000111F4" w:rsidP="000111F4">
      <w:pPr>
        <w:spacing w:before="240" w:after="120"/>
        <w:rPr>
          <w:sz w:val="28"/>
          <w:szCs w:val="28"/>
        </w:rPr>
      </w:pPr>
      <w:r w:rsidRPr="00F349EA">
        <w:rPr>
          <w:b/>
          <w:bCs/>
          <w:sz w:val="28"/>
          <w:szCs w:val="28"/>
        </w:rPr>
        <w:t>Overall objective score</w:t>
      </w:r>
      <w:r w:rsidRPr="00F349EA">
        <w:rPr>
          <w:sz w:val="28"/>
          <w:szCs w:val="28"/>
        </w:rPr>
        <w:t xml:space="preserve"> =</w:t>
      </w:r>
      <w:r w:rsidRPr="00F349EA">
        <w:rPr>
          <w:color w:val="016574"/>
          <w:sz w:val="28"/>
          <w:szCs w:val="28"/>
        </w:rPr>
        <w:t xml:space="preserve"> </w:t>
      </w:r>
      <w:r w:rsidR="00E80326" w:rsidRPr="00F349EA">
        <w:rPr>
          <w:sz w:val="28"/>
          <w:szCs w:val="28"/>
        </w:rPr>
        <w:t>1</w:t>
      </w:r>
    </w:p>
    <w:p w14:paraId="297E5FB5" w14:textId="77777777" w:rsidR="00D87EB5" w:rsidRPr="00F349EA" w:rsidRDefault="00D87EB5" w:rsidP="00202277">
      <w:pPr>
        <w:spacing w:line="240" w:lineRule="auto"/>
        <w:rPr>
          <w:color w:val="FFFFFF" w:themeColor="background1"/>
          <w:sz w:val="36"/>
          <w:szCs w:val="36"/>
        </w:rPr>
      </w:pPr>
    </w:p>
    <w:p w14:paraId="77085A54" w14:textId="3A53619C" w:rsidR="00B05E0A" w:rsidRPr="00F349EA" w:rsidRDefault="00B05E0A" w:rsidP="7D52A5B7">
      <w:pPr>
        <w:pStyle w:val="Heading2"/>
        <w:shd w:val="clear" w:color="auto" w:fill="016574" w:themeFill="accent2"/>
        <w:spacing w:before="0" w:after="240"/>
        <w:ind w:left="720" w:hanging="720"/>
        <w:rPr>
          <w:color w:val="FFFFFF" w:themeColor="background1"/>
          <w:sz w:val="44"/>
          <w:szCs w:val="44"/>
        </w:rPr>
      </w:pPr>
      <w:bookmarkStart w:id="36" w:name="_Toc245403216"/>
      <w:r w:rsidRPr="68A9B764">
        <w:rPr>
          <w:color w:val="FFFFFF" w:themeColor="background1"/>
          <w:sz w:val="44"/>
          <w:szCs w:val="44"/>
        </w:rPr>
        <w:lastRenderedPageBreak/>
        <w:t>Our Organisation</w:t>
      </w:r>
      <w:bookmarkEnd w:id="36"/>
    </w:p>
    <w:p w14:paraId="167E3145" w14:textId="3BD94E07" w:rsidR="00B05E0A" w:rsidRPr="00F349EA" w:rsidRDefault="00913AB0" w:rsidP="00B05E0A">
      <w:pPr>
        <w:pStyle w:val="BodyText1"/>
        <w:shd w:val="clear" w:color="auto" w:fill="018395"/>
        <w:spacing w:before="240" w:after="120"/>
        <w:rPr>
          <w:color w:val="FFFFFF" w:themeColor="background1"/>
          <w:sz w:val="36"/>
          <w:szCs w:val="36"/>
        </w:rPr>
      </w:pPr>
      <w:r w:rsidRPr="00F349EA">
        <w:rPr>
          <w:color w:val="FFFFFF" w:themeColor="background1"/>
          <w:sz w:val="36"/>
          <w:szCs w:val="36"/>
        </w:rPr>
        <w:t>We are committed to public service reform, ensuring that we are a well-run organisation which achieves best value for the resources invested in us. We support our highly talented people to do great work for Scotland’s environment, creating a positive place to work.</w:t>
      </w:r>
    </w:p>
    <w:p w14:paraId="5FAF817D" w14:textId="07D3FCC1" w:rsidR="00F35E5B" w:rsidRPr="00F349EA" w:rsidRDefault="0079345E" w:rsidP="00680386">
      <w:pPr>
        <w:pStyle w:val="Heading3"/>
        <w:spacing w:before="240" w:after="120"/>
        <w:rPr>
          <w:color w:val="016574"/>
          <w:sz w:val="32"/>
          <w:szCs w:val="28"/>
        </w:rPr>
      </w:pPr>
      <w:r w:rsidRPr="00F349EA">
        <w:rPr>
          <w:color w:val="016574"/>
          <w:sz w:val="32"/>
          <w:szCs w:val="28"/>
        </w:rPr>
        <w:t>OO</w:t>
      </w:r>
      <w:r w:rsidR="00F35E5B" w:rsidRPr="00F349EA">
        <w:rPr>
          <w:color w:val="016574"/>
          <w:sz w:val="32"/>
          <w:szCs w:val="28"/>
        </w:rPr>
        <w:t xml:space="preserve"> OKR10: </w:t>
      </w:r>
      <w:r w:rsidR="000774B4" w:rsidRPr="00F349EA">
        <w:rPr>
          <w:color w:val="016574"/>
          <w:sz w:val="32"/>
          <w:szCs w:val="28"/>
        </w:rPr>
        <w:t>Introduce effective digital public contact services for customers</w:t>
      </w:r>
    </w:p>
    <w:p w14:paraId="5C933C67" w14:textId="019E74C7" w:rsidR="004405DF" w:rsidRPr="00F349EA" w:rsidRDefault="00CC72EE" w:rsidP="00F35E5B">
      <w:pPr>
        <w:rPr>
          <w:b/>
          <w:bCs/>
          <w:color w:val="3C4741" w:themeColor="text1"/>
          <w:sz w:val="28"/>
          <w:szCs w:val="28"/>
        </w:rPr>
      </w:pPr>
      <w:r w:rsidRPr="00F349EA">
        <w:rPr>
          <w:noProof/>
        </w:rPr>
        <w:drawing>
          <wp:inline distT="0" distB="0" distL="0" distR="0" wp14:anchorId="3B88847D" wp14:editId="3A99BCD3">
            <wp:extent cx="9494874" cy="2891790"/>
            <wp:effectExtent l="0" t="0" r="11430" b="3810"/>
            <wp:docPr id="242979662" name="Chart 1" descr="This is a bar graph which shows the score of each key result for OKR10 over each quarter. &#10;There is a line on the score scale of 0.7 to represent whether the KR is being delivered. There is another line on the score scale of 0.3 to represent whether measurable progress has been made in the quarter.&#10;For Q1, KR10.1, KR10.2 and KR10.3 had no score as these will be progressed later in the year.&#10;&#10;For Q2, KR10.1, KR10.2 and KR10.3 all score 0. ">
              <a:extLst xmlns:a="http://schemas.openxmlformats.org/drawingml/2006/main">
                <a:ext uri="{FF2B5EF4-FFF2-40B4-BE49-F238E27FC236}">
                  <a16:creationId xmlns:a16="http://schemas.microsoft.com/office/drawing/2014/main" id="{A800E95E-E237-423F-BDEA-94C0A529C1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10 key result summary"/>
        <w:tblDescription w:val="Q1 summary for each of the three key results under OKR10. This includes the date due, Q1 score, Q1 status, Q1 commentary and annual forecast for each key result."/>
      </w:tblPr>
      <w:tblGrid>
        <w:gridCol w:w="3824"/>
        <w:gridCol w:w="724"/>
        <w:gridCol w:w="880"/>
        <w:gridCol w:w="880"/>
        <w:gridCol w:w="880"/>
        <w:gridCol w:w="880"/>
        <w:gridCol w:w="978"/>
        <w:gridCol w:w="4416"/>
        <w:gridCol w:w="1496"/>
      </w:tblGrid>
      <w:tr w:rsidR="000122EE" w:rsidRPr="00F349EA" w14:paraId="5A5FD83B" w14:textId="77777777" w:rsidTr="11F0F489">
        <w:trPr>
          <w:cantSplit/>
          <w:trHeight w:val="545"/>
          <w:tblHeader/>
        </w:trPr>
        <w:tc>
          <w:tcPr>
            <w:tcW w:w="1278" w:type="pct"/>
            <w:shd w:val="clear" w:color="auto" w:fill="016574" w:themeFill="accent2"/>
          </w:tcPr>
          <w:p w14:paraId="6B07879A" w14:textId="77777777" w:rsidR="00F35E5B" w:rsidRPr="00F349EA" w:rsidRDefault="00F35E5B">
            <w:pPr>
              <w:spacing w:before="40" w:after="40" w:line="240" w:lineRule="auto"/>
              <w:textAlignment w:val="baseline"/>
              <w:rPr>
                <w:rFonts w:ascii="Arial" w:eastAsia="Times New Roman" w:hAnsi="Arial" w:cs="Arial"/>
                <w:color w:val="000000"/>
                <w:sz w:val="28"/>
                <w:szCs w:val="28"/>
                <w:lang w:eastAsia="en-GB"/>
              </w:rPr>
            </w:pPr>
            <w:r w:rsidRPr="00F349EA">
              <w:rPr>
                <w:rFonts w:ascii="Arial" w:eastAsia="MS PGothic" w:hAnsi="Arial" w:cs="Arial"/>
                <w:b/>
                <w:bCs/>
                <w:color w:val="FFFFFF" w:themeColor="background1"/>
              </w:rPr>
              <w:lastRenderedPageBreak/>
              <w:t>Key Results</w:t>
            </w:r>
          </w:p>
        </w:tc>
        <w:tc>
          <w:tcPr>
            <w:tcW w:w="242" w:type="pct"/>
            <w:shd w:val="clear" w:color="auto" w:fill="016574" w:themeFill="accent2"/>
          </w:tcPr>
          <w:p w14:paraId="1AEA0E11" w14:textId="77777777" w:rsidR="00F35E5B" w:rsidRPr="00F349EA" w:rsidRDefault="00F35E5B">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Due date</w:t>
            </w:r>
          </w:p>
        </w:tc>
        <w:tc>
          <w:tcPr>
            <w:tcW w:w="294" w:type="pct"/>
            <w:shd w:val="clear" w:color="auto" w:fill="016574" w:themeFill="accent2"/>
          </w:tcPr>
          <w:p w14:paraId="202A640A" w14:textId="77777777" w:rsidR="00F35E5B" w:rsidRPr="00F349EA" w:rsidRDefault="00F35E5B">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Q1 score</w:t>
            </w:r>
          </w:p>
        </w:tc>
        <w:tc>
          <w:tcPr>
            <w:tcW w:w="294" w:type="pct"/>
            <w:shd w:val="clear" w:color="auto" w:fill="016574" w:themeFill="accent2"/>
          </w:tcPr>
          <w:p w14:paraId="154CA083" w14:textId="77777777" w:rsidR="00F35E5B" w:rsidRPr="00F349EA" w:rsidRDefault="00F35E5B">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Q2 score</w:t>
            </w:r>
          </w:p>
        </w:tc>
        <w:tc>
          <w:tcPr>
            <w:tcW w:w="294" w:type="pct"/>
            <w:shd w:val="clear" w:color="auto" w:fill="016574" w:themeFill="accent2"/>
          </w:tcPr>
          <w:p w14:paraId="37B68301" w14:textId="77777777" w:rsidR="00F35E5B" w:rsidRPr="00F349EA" w:rsidRDefault="00F35E5B">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Q3 score</w:t>
            </w:r>
          </w:p>
        </w:tc>
        <w:tc>
          <w:tcPr>
            <w:tcW w:w="294" w:type="pct"/>
            <w:shd w:val="clear" w:color="auto" w:fill="016574" w:themeFill="accent2"/>
          </w:tcPr>
          <w:p w14:paraId="6FCC86CA" w14:textId="77777777" w:rsidR="00F35E5B" w:rsidRPr="00F349EA" w:rsidRDefault="00F35E5B">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Q4 score</w:t>
            </w:r>
          </w:p>
        </w:tc>
        <w:tc>
          <w:tcPr>
            <w:tcW w:w="327" w:type="pct"/>
            <w:shd w:val="clear" w:color="auto" w:fill="016574" w:themeFill="accent2"/>
          </w:tcPr>
          <w:p w14:paraId="145BF3E3" w14:textId="09E80309" w:rsidR="00F35E5B" w:rsidRPr="00F349EA" w:rsidRDefault="00F35E5B">
            <w:pPr>
              <w:spacing w:before="40" w:after="40" w:line="240" w:lineRule="auto"/>
              <w:jc w:val="center"/>
              <w:textAlignment w:val="baseline"/>
              <w:rPr>
                <w:rFonts w:ascii="Arial" w:eastAsia="Times New Roman" w:hAnsi="Arial" w:cs="Arial"/>
                <w:color w:val="000000"/>
                <w:lang w:eastAsia="en-GB"/>
              </w:rPr>
            </w:pPr>
            <w:r w:rsidRPr="00F349EA">
              <w:rPr>
                <w:rFonts w:ascii="Arial" w:eastAsia="MS PGothic" w:hAnsi="Arial" w:cs="Arial"/>
                <w:b/>
                <w:bCs/>
                <w:color w:val="FFFFFF"/>
              </w:rPr>
              <w:t>Q</w:t>
            </w:r>
            <w:r w:rsidR="00D654E2" w:rsidRPr="00F349EA">
              <w:rPr>
                <w:rFonts w:ascii="Arial" w:eastAsia="MS PGothic" w:hAnsi="Arial" w:cs="Arial"/>
                <w:b/>
                <w:bCs/>
                <w:color w:val="FFFFFF"/>
              </w:rPr>
              <w:t>2</w:t>
            </w:r>
            <w:r w:rsidRPr="00F349EA">
              <w:rPr>
                <w:rFonts w:ascii="Arial" w:eastAsia="MS PGothic" w:hAnsi="Arial" w:cs="Arial"/>
                <w:b/>
                <w:bCs/>
                <w:color w:val="FFFFFF"/>
              </w:rPr>
              <w:t xml:space="preserve"> Status</w:t>
            </w:r>
          </w:p>
        </w:tc>
        <w:tc>
          <w:tcPr>
            <w:tcW w:w="1476" w:type="pct"/>
            <w:shd w:val="clear" w:color="auto" w:fill="016574" w:themeFill="accent2"/>
          </w:tcPr>
          <w:p w14:paraId="26A812B9" w14:textId="1A1712ED" w:rsidR="00F35E5B" w:rsidRPr="00F349EA" w:rsidRDefault="00F35E5B">
            <w:pPr>
              <w:spacing w:before="40" w:after="40" w:line="240" w:lineRule="auto"/>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Q</w:t>
            </w:r>
            <w:r w:rsidR="00D654E2" w:rsidRPr="00F349EA">
              <w:rPr>
                <w:rFonts w:ascii="Arial" w:eastAsia="MS PGothic" w:hAnsi="Arial" w:cs="Arial"/>
                <w:b/>
                <w:bCs/>
                <w:color w:val="FFFFFF"/>
                <w:sz w:val="28"/>
                <w:szCs w:val="28"/>
              </w:rPr>
              <w:t xml:space="preserve">2 </w:t>
            </w:r>
            <w:r w:rsidRPr="00F349EA">
              <w:rPr>
                <w:rFonts w:ascii="Arial" w:eastAsia="MS PGothic" w:hAnsi="Arial" w:cs="Arial"/>
                <w:b/>
                <w:bCs/>
                <w:color w:val="FFFFFF"/>
                <w:sz w:val="28"/>
                <w:szCs w:val="28"/>
              </w:rPr>
              <w:t>commentary</w:t>
            </w:r>
          </w:p>
        </w:tc>
        <w:tc>
          <w:tcPr>
            <w:tcW w:w="500" w:type="pct"/>
            <w:shd w:val="clear" w:color="auto" w:fill="016574" w:themeFill="accent2"/>
          </w:tcPr>
          <w:p w14:paraId="18E31315" w14:textId="77777777" w:rsidR="00F35E5B" w:rsidRPr="00F349EA" w:rsidRDefault="00F35E5B">
            <w:pPr>
              <w:spacing w:before="40" w:after="40"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Annual forecast</w:t>
            </w:r>
          </w:p>
        </w:tc>
      </w:tr>
      <w:tr w:rsidR="006B54B4" w:rsidRPr="00F349EA" w14:paraId="6B15746B" w14:textId="77777777" w:rsidTr="0010656E">
        <w:tblPrEx>
          <w:tblCellMar>
            <w:left w:w="108" w:type="dxa"/>
            <w:right w:w="108" w:type="dxa"/>
          </w:tblCellMar>
        </w:tblPrEx>
        <w:trPr>
          <w:trHeight w:val="865"/>
        </w:trPr>
        <w:tc>
          <w:tcPr>
            <w:tcW w:w="1278" w:type="pct"/>
            <w:tcBorders>
              <w:bottom w:val="single" w:sz="4" w:space="0" w:color="auto"/>
            </w:tcBorders>
          </w:tcPr>
          <w:p w14:paraId="0B8C81DF" w14:textId="4415F2DB" w:rsidR="00744EB1" w:rsidRPr="00F349EA" w:rsidRDefault="00744EB1" w:rsidP="00221747">
            <w:pPr>
              <w:rPr>
                <w:rFonts w:ascii="Arial" w:eastAsia="Times New Roman" w:hAnsi="Arial" w:cs="Arial"/>
                <w:b/>
                <w:color w:val="000000"/>
              </w:rPr>
            </w:pPr>
            <w:r w:rsidRPr="00F349EA">
              <w:rPr>
                <w:rFonts w:ascii="Arial" w:hAnsi="Arial" w:cs="Arial"/>
                <w:b/>
                <w:color w:val="000000"/>
              </w:rPr>
              <w:t xml:space="preserve">KR 10.1: </w:t>
            </w:r>
            <w:r w:rsidRPr="00F349EA">
              <w:rPr>
                <w:rFonts w:ascii="Arial" w:hAnsi="Arial" w:cs="Arial"/>
                <w:color w:val="000000"/>
              </w:rPr>
              <w:t xml:space="preserve">Launch new digital contact methods for the public and our customers to contact SEPA </w:t>
            </w:r>
          </w:p>
        </w:tc>
        <w:tc>
          <w:tcPr>
            <w:tcW w:w="242" w:type="pct"/>
            <w:tcBorders>
              <w:top w:val="single" w:sz="8" w:space="0" w:color="auto"/>
              <w:left w:val="single" w:sz="4" w:space="0" w:color="auto"/>
              <w:bottom w:val="single" w:sz="4" w:space="0" w:color="auto"/>
              <w:right w:val="nil"/>
            </w:tcBorders>
            <w:vAlign w:val="center"/>
          </w:tcPr>
          <w:p w14:paraId="5DF9E68E" w14:textId="3B33C4CB" w:rsidR="00744EB1" w:rsidRPr="00F349EA" w:rsidRDefault="00744EB1" w:rsidP="00221747">
            <w:pPr>
              <w:jc w:val="center"/>
              <w:textAlignment w:val="baseline"/>
              <w:rPr>
                <w:rFonts w:ascii="Arial" w:eastAsia="Times New Roman" w:hAnsi="Arial" w:cs="Arial"/>
                <w:lang w:eastAsia="en-GB"/>
              </w:rPr>
            </w:pPr>
            <w:r w:rsidRPr="00F349EA">
              <w:rPr>
                <w:rFonts w:ascii="Arial" w:hAnsi="Arial" w:cs="Arial"/>
                <w:b/>
                <w:color w:val="000000"/>
              </w:rPr>
              <w:t>Q2</w:t>
            </w:r>
          </w:p>
        </w:tc>
        <w:tc>
          <w:tcPr>
            <w:tcW w:w="294" w:type="pct"/>
            <w:tcBorders>
              <w:bottom w:val="single" w:sz="4" w:space="0" w:color="auto"/>
            </w:tcBorders>
            <w:vAlign w:val="center"/>
          </w:tcPr>
          <w:p w14:paraId="570EC9E0" w14:textId="77C3EEE6" w:rsidR="00744EB1" w:rsidRPr="00F349EA" w:rsidRDefault="00744EB1"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N/A</w:t>
            </w:r>
          </w:p>
        </w:tc>
        <w:tc>
          <w:tcPr>
            <w:tcW w:w="294" w:type="pct"/>
            <w:tcBorders>
              <w:bottom w:val="single" w:sz="4" w:space="0" w:color="auto"/>
            </w:tcBorders>
            <w:vAlign w:val="center"/>
          </w:tcPr>
          <w:p w14:paraId="6D636C9D" w14:textId="1B5967E8" w:rsidR="00744EB1" w:rsidRPr="00F349EA" w:rsidRDefault="00341EF9" w:rsidP="00221747">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0</w:t>
            </w:r>
          </w:p>
        </w:tc>
        <w:tc>
          <w:tcPr>
            <w:tcW w:w="294" w:type="pct"/>
            <w:tcBorders>
              <w:bottom w:val="single" w:sz="4" w:space="0" w:color="auto"/>
            </w:tcBorders>
            <w:vAlign w:val="center"/>
          </w:tcPr>
          <w:p w14:paraId="1A4AC5DD" w14:textId="77777777" w:rsidR="00744EB1" w:rsidRPr="00F349EA" w:rsidRDefault="00744EB1"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294" w:type="pct"/>
            <w:tcBorders>
              <w:bottom w:val="single" w:sz="4" w:space="0" w:color="auto"/>
            </w:tcBorders>
            <w:vAlign w:val="center"/>
          </w:tcPr>
          <w:p w14:paraId="41956875" w14:textId="77777777" w:rsidR="00744EB1" w:rsidRPr="00F349EA" w:rsidRDefault="00744EB1"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327" w:type="pct"/>
            <w:vAlign w:val="center"/>
          </w:tcPr>
          <w:p w14:paraId="1BD51AAF" w14:textId="6142EAEF" w:rsidR="00744EB1" w:rsidRPr="00F349EA" w:rsidRDefault="00341EF9" w:rsidP="00221747">
            <w:pPr>
              <w:jc w:val="center"/>
              <w:textAlignment w:val="baseline"/>
              <w:rPr>
                <w:rFonts w:ascii="Arial" w:eastAsia="Times New Roman" w:hAnsi="Arial" w:cs="Arial"/>
                <w:szCs w:val="28"/>
                <w:lang w:eastAsia="en-GB"/>
              </w:rPr>
            </w:pPr>
            <w:r w:rsidRPr="00F349EA">
              <w:rPr>
                <w:noProof/>
              </w:rPr>
              <w:drawing>
                <wp:anchor distT="0" distB="0" distL="114300" distR="114300" simplePos="0" relativeHeight="251658259" behindDoc="0" locked="0" layoutInCell="1" allowOverlap="1" wp14:anchorId="5F3BAB03" wp14:editId="0F46FBEC">
                  <wp:simplePos x="0" y="0"/>
                  <wp:positionH relativeFrom="column">
                    <wp:posOffset>19050</wp:posOffset>
                  </wp:positionH>
                  <wp:positionV relativeFrom="paragraph">
                    <wp:posOffset>6985</wp:posOffset>
                  </wp:positionV>
                  <wp:extent cx="444500" cy="444500"/>
                  <wp:effectExtent l="0" t="0" r="0" b="0"/>
                  <wp:wrapNone/>
                  <wp:docPr id="115072337"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476" w:type="pct"/>
          </w:tcPr>
          <w:p w14:paraId="58A150D1" w14:textId="755AA624" w:rsidR="00103861" w:rsidRPr="00F349EA" w:rsidRDefault="000D2CE0" w:rsidP="00221747">
            <w:pPr>
              <w:textAlignment w:val="baseline"/>
              <w:rPr>
                <w:rFonts w:ascii="Arial" w:eastAsia="Times New Roman" w:hAnsi="Arial" w:cs="Arial"/>
                <w:lang w:eastAsia="en-GB"/>
              </w:rPr>
            </w:pPr>
            <w:r w:rsidRPr="000D2CE0">
              <w:rPr>
                <w:rFonts w:ascii="Arial" w:eastAsia="Times New Roman" w:hAnsi="Arial" w:cs="Arial"/>
                <w:lang w:eastAsia="en-GB"/>
              </w:rPr>
              <w:t xml:space="preserve">This will be informed by </w:t>
            </w:r>
            <w:r w:rsidR="0058547F">
              <w:rPr>
                <w:rFonts w:ascii="Arial" w:eastAsia="Times New Roman" w:hAnsi="Arial" w:cs="Arial"/>
                <w:lang w:eastAsia="en-GB"/>
              </w:rPr>
              <w:t xml:space="preserve">the </w:t>
            </w:r>
            <w:r w:rsidRPr="000D2CE0">
              <w:rPr>
                <w:rFonts w:ascii="Arial" w:eastAsia="Times New Roman" w:hAnsi="Arial" w:cs="Arial"/>
                <w:lang w:eastAsia="en-GB"/>
              </w:rPr>
              <w:t xml:space="preserve">externally commissioned </w:t>
            </w:r>
            <w:r>
              <w:rPr>
                <w:rFonts w:ascii="Arial" w:eastAsia="Times New Roman" w:hAnsi="Arial" w:cs="Arial"/>
                <w:lang w:eastAsia="en-GB"/>
              </w:rPr>
              <w:t>c</w:t>
            </w:r>
            <w:r w:rsidRPr="000D2CE0">
              <w:rPr>
                <w:rFonts w:ascii="Arial" w:eastAsia="Times New Roman" w:hAnsi="Arial" w:cs="Arial"/>
                <w:lang w:eastAsia="en-GB"/>
              </w:rPr>
              <w:t xml:space="preserve">ustomer </w:t>
            </w:r>
            <w:r>
              <w:rPr>
                <w:rFonts w:ascii="Arial" w:eastAsia="Times New Roman" w:hAnsi="Arial" w:cs="Arial"/>
                <w:lang w:eastAsia="en-GB"/>
              </w:rPr>
              <w:t>r</w:t>
            </w:r>
            <w:r w:rsidRPr="000D2CE0">
              <w:rPr>
                <w:rFonts w:ascii="Arial" w:eastAsia="Times New Roman" w:hAnsi="Arial" w:cs="Arial"/>
                <w:lang w:eastAsia="en-GB"/>
              </w:rPr>
              <w:t>esearch, which is expected to outline findings by the end of this financial year. This is reflected in the forecast as not delivered.</w:t>
            </w:r>
          </w:p>
        </w:tc>
        <w:tc>
          <w:tcPr>
            <w:tcW w:w="500" w:type="pct"/>
            <w:vAlign w:val="center"/>
          </w:tcPr>
          <w:p w14:paraId="3FA654F1" w14:textId="4BF97480" w:rsidR="00744EB1" w:rsidRPr="00F349EA" w:rsidRDefault="0013353D" w:rsidP="00221747">
            <w:pPr>
              <w:textAlignment w:val="baseline"/>
              <w:rPr>
                <w:rFonts w:ascii="Arial" w:eastAsia="Times New Roman" w:hAnsi="Arial" w:cs="Arial"/>
                <w:lang w:eastAsia="en-GB"/>
              </w:rPr>
            </w:pPr>
            <w:r w:rsidRPr="00F349EA">
              <w:rPr>
                <w:rFonts w:ascii="Arial" w:eastAsia="Times New Roman" w:hAnsi="Arial" w:cs="Arial"/>
                <w:lang w:eastAsia="en-GB"/>
              </w:rPr>
              <w:t xml:space="preserve">Not </w:t>
            </w:r>
            <w:r w:rsidR="007157E1" w:rsidRPr="00F349EA">
              <w:rPr>
                <w:rFonts w:ascii="Arial" w:eastAsia="Times New Roman" w:hAnsi="Arial" w:cs="Arial"/>
                <w:lang w:eastAsia="en-GB"/>
              </w:rPr>
              <w:t>Delivered</w:t>
            </w:r>
          </w:p>
        </w:tc>
      </w:tr>
      <w:tr w:rsidR="006B54B4" w:rsidRPr="00F349EA" w14:paraId="2F7188B6" w14:textId="77777777" w:rsidTr="00B069BD">
        <w:tblPrEx>
          <w:tblCellMar>
            <w:left w:w="108" w:type="dxa"/>
            <w:right w:w="108" w:type="dxa"/>
          </w:tblCellMar>
        </w:tblPrEx>
        <w:trPr>
          <w:trHeight w:val="16"/>
        </w:trPr>
        <w:tc>
          <w:tcPr>
            <w:tcW w:w="1278" w:type="pct"/>
            <w:tcBorders>
              <w:top w:val="single" w:sz="4" w:space="0" w:color="auto"/>
              <w:left w:val="single" w:sz="4" w:space="0" w:color="auto"/>
              <w:bottom w:val="single" w:sz="4" w:space="0" w:color="auto"/>
              <w:right w:val="single" w:sz="4" w:space="0" w:color="auto"/>
            </w:tcBorders>
            <w:vAlign w:val="center"/>
          </w:tcPr>
          <w:p w14:paraId="39D2CAA2" w14:textId="558E8F10" w:rsidR="00744EB1" w:rsidRPr="00F349EA" w:rsidRDefault="00744EB1" w:rsidP="00221747">
            <w:pPr>
              <w:rPr>
                <w:rFonts w:ascii="Arial" w:eastAsia="Times New Roman" w:hAnsi="Arial" w:cs="Arial"/>
                <w:b/>
                <w:color w:val="000000"/>
              </w:rPr>
            </w:pPr>
            <w:r w:rsidRPr="00F349EA">
              <w:rPr>
                <w:rFonts w:ascii="Arial" w:hAnsi="Arial" w:cs="Arial"/>
                <w:b/>
                <w:color w:val="000000"/>
              </w:rPr>
              <w:t xml:space="preserve">KR 10.2: </w:t>
            </w:r>
            <w:r w:rsidRPr="00F349EA">
              <w:rPr>
                <w:rFonts w:ascii="Arial" w:hAnsi="Arial" w:cs="Arial"/>
                <w:color w:val="000000"/>
              </w:rPr>
              <w:t xml:space="preserve">Customer service standards implemented </w:t>
            </w:r>
          </w:p>
        </w:tc>
        <w:tc>
          <w:tcPr>
            <w:tcW w:w="242" w:type="pct"/>
            <w:tcBorders>
              <w:top w:val="single" w:sz="4" w:space="0" w:color="auto"/>
              <w:left w:val="single" w:sz="4" w:space="0" w:color="auto"/>
              <w:bottom w:val="single" w:sz="4" w:space="0" w:color="auto"/>
              <w:right w:val="single" w:sz="4" w:space="0" w:color="auto"/>
            </w:tcBorders>
            <w:vAlign w:val="center"/>
          </w:tcPr>
          <w:p w14:paraId="35DB73EA" w14:textId="213F4CF6" w:rsidR="00744EB1" w:rsidRPr="00F349EA" w:rsidRDefault="00744EB1" w:rsidP="00221747">
            <w:pPr>
              <w:jc w:val="center"/>
              <w:textAlignment w:val="baseline"/>
              <w:rPr>
                <w:rFonts w:ascii="Arial" w:eastAsia="Times New Roman" w:hAnsi="Arial" w:cs="Arial"/>
                <w:lang w:eastAsia="en-GB"/>
              </w:rPr>
            </w:pPr>
            <w:r w:rsidRPr="00F349EA">
              <w:rPr>
                <w:rFonts w:ascii="Arial" w:hAnsi="Arial" w:cs="Arial"/>
                <w:b/>
                <w:color w:val="000000"/>
              </w:rPr>
              <w:t>Q2</w:t>
            </w:r>
          </w:p>
        </w:tc>
        <w:tc>
          <w:tcPr>
            <w:tcW w:w="294" w:type="pct"/>
            <w:tcBorders>
              <w:top w:val="single" w:sz="4" w:space="0" w:color="auto"/>
              <w:left w:val="single" w:sz="4" w:space="0" w:color="auto"/>
              <w:bottom w:val="single" w:sz="4" w:space="0" w:color="auto"/>
              <w:right w:val="single" w:sz="4" w:space="0" w:color="auto"/>
            </w:tcBorders>
            <w:vAlign w:val="center"/>
          </w:tcPr>
          <w:p w14:paraId="3EFAA27D" w14:textId="493C2D1D" w:rsidR="00744EB1" w:rsidRPr="00F349EA" w:rsidRDefault="00744EB1"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N/A</w:t>
            </w:r>
          </w:p>
        </w:tc>
        <w:tc>
          <w:tcPr>
            <w:tcW w:w="294" w:type="pct"/>
            <w:tcBorders>
              <w:top w:val="single" w:sz="4" w:space="0" w:color="auto"/>
              <w:left w:val="single" w:sz="4" w:space="0" w:color="auto"/>
              <w:bottom w:val="single" w:sz="4" w:space="0" w:color="auto"/>
              <w:right w:val="single" w:sz="4" w:space="0" w:color="auto"/>
            </w:tcBorders>
            <w:vAlign w:val="center"/>
          </w:tcPr>
          <w:p w14:paraId="30385E04" w14:textId="5A3DBEEC" w:rsidR="00744EB1" w:rsidRPr="00F349EA" w:rsidRDefault="00341EF9" w:rsidP="00221747">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0</w:t>
            </w:r>
          </w:p>
        </w:tc>
        <w:tc>
          <w:tcPr>
            <w:tcW w:w="294" w:type="pct"/>
            <w:tcBorders>
              <w:top w:val="single" w:sz="4" w:space="0" w:color="auto"/>
              <w:left w:val="single" w:sz="4" w:space="0" w:color="auto"/>
              <w:bottom w:val="single" w:sz="4" w:space="0" w:color="auto"/>
              <w:right w:val="single" w:sz="4" w:space="0" w:color="auto"/>
            </w:tcBorders>
            <w:vAlign w:val="center"/>
          </w:tcPr>
          <w:p w14:paraId="7D7B99AA" w14:textId="77777777" w:rsidR="00744EB1" w:rsidRPr="00F349EA" w:rsidRDefault="00744EB1"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294" w:type="pct"/>
            <w:tcBorders>
              <w:top w:val="single" w:sz="4" w:space="0" w:color="auto"/>
              <w:left w:val="single" w:sz="4" w:space="0" w:color="auto"/>
              <w:bottom w:val="single" w:sz="4" w:space="0" w:color="auto"/>
              <w:right w:val="single" w:sz="4" w:space="0" w:color="auto"/>
            </w:tcBorders>
            <w:vAlign w:val="center"/>
          </w:tcPr>
          <w:p w14:paraId="09C30346" w14:textId="77777777" w:rsidR="00744EB1" w:rsidRPr="00F349EA" w:rsidRDefault="00744EB1"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327" w:type="pct"/>
            <w:tcBorders>
              <w:left w:val="single" w:sz="4" w:space="0" w:color="auto"/>
            </w:tcBorders>
            <w:vAlign w:val="center"/>
          </w:tcPr>
          <w:p w14:paraId="1961594B" w14:textId="265A7283" w:rsidR="00744EB1" w:rsidRPr="00F349EA" w:rsidRDefault="00341EF9" w:rsidP="00221747">
            <w:pPr>
              <w:jc w:val="center"/>
              <w:textAlignment w:val="baseline"/>
              <w:rPr>
                <w:rFonts w:ascii="Arial" w:hAnsi="Arial" w:cs="Arial"/>
                <w:b/>
              </w:rPr>
            </w:pPr>
            <w:r w:rsidRPr="00F349EA">
              <w:rPr>
                <w:b/>
                <w:bCs/>
                <w:noProof/>
              </w:rPr>
              <w:drawing>
                <wp:inline distT="0" distB="0" distL="0" distR="0" wp14:anchorId="76E7E38D" wp14:editId="3911A1DE">
                  <wp:extent cx="470590" cy="470590"/>
                  <wp:effectExtent l="0" t="0" r="0" b="5715"/>
                  <wp:docPr id="1142620095"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472345" cy="472345"/>
                          </a:xfrm>
                          <a:prstGeom prst="rect">
                            <a:avLst/>
                          </a:prstGeom>
                        </pic:spPr>
                      </pic:pic>
                    </a:graphicData>
                  </a:graphic>
                </wp:inline>
              </w:drawing>
            </w:r>
          </w:p>
        </w:tc>
        <w:tc>
          <w:tcPr>
            <w:tcW w:w="1476" w:type="pct"/>
          </w:tcPr>
          <w:p w14:paraId="72910E5C" w14:textId="41D20C27" w:rsidR="00D10373" w:rsidRDefault="002E1D21" w:rsidP="00221747">
            <w:pPr>
              <w:textAlignment w:val="baseline"/>
              <w:rPr>
                <w:rFonts w:ascii="Arial" w:eastAsia="Times New Roman" w:hAnsi="Arial" w:cs="Arial"/>
                <w:lang w:eastAsia="en-GB"/>
              </w:rPr>
            </w:pPr>
            <w:r w:rsidRPr="002E1D21">
              <w:rPr>
                <w:rFonts w:ascii="Arial" w:eastAsia="Times New Roman" w:hAnsi="Arial" w:cs="Arial"/>
                <w:lang w:eastAsia="en-GB"/>
              </w:rPr>
              <w:t>Work progressing through ongoing internal and external research to inform the development of our agency wide customer service standards. While this measure is linked to key result 10.1</w:t>
            </w:r>
            <w:r w:rsidR="00DC069C">
              <w:rPr>
                <w:rFonts w:ascii="Arial" w:eastAsia="Times New Roman" w:hAnsi="Arial" w:cs="Arial"/>
                <w:lang w:eastAsia="en-GB"/>
              </w:rPr>
              <w:t>-</w:t>
            </w:r>
            <w:r w:rsidRPr="002E1D21">
              <w:rPr>
                <w:rFonts w:ascii="Arial" w:eastAsia="Times New Roman" w:hAnsi="Arial" w:cs="Arial"/>
                <w:lang w:eastAsia="en-GB"/>
              </w:rPr>
              <w:t xml:space="preserve"> </w:t>
            </w:r>
            <w:r w:rsidRPr="00DC069C">
              <w:rPr>
                <w:rFonts w:ascii="Arial" w:eastAsia="Times New Roman" w:hAnsi="Arial" w:cs="Arial"/>
                <w:i/>
                <w:iCs/>
                <w:lang w:eastAsia="en-GB"/>
              </w:rPr>
              <w:t>launch of new digital public contact methods</w:t>
            </w:r>
            <w:r w:rsidRPr="002E1D21">
              <w:rPr>
                <w:rFonts w:ascii="Arial" w:eastAsia="Times New Roman" w:hAnsi="Arial" w:cs="Arial"/>
                <w:lang w:eastAsia="en-GB"/>
              </w:rPr>
              <w:t xml:space="preserve">, it forms part of our wider customer experience strategy and how we design, assess and manage customer experience across the Agency. The strategy will include a roadmap with the delivery of data and </w:t>
            </w:r>
            <w:r w:rsidRPr="002E1D21">
              <w:rPr>
                <w:rFonts w:ascii="Arial" w:eastAsia="Times New Roman" w:hAnsi="Arial" w:cs="Arial"/>
                <w:lang w:eastAsia="en-GB"/>
              </w:rPr>
              <w:lastRenderedPageBreak/>
              <w:t>digital to support public contact that meets user needs and accessibility.  Our customer service standards are expected to be developed through a test and learn approach and implemented by the end of Q4, to inform our understanding. There is a tender to continue with current platform provider as we undergo transformation and scoping requirements for our longer-term platform that will include digital contact functionality.</w:t>
            </w:r>
          </w:p>
          <w:p w14:paraId="333440AA" w14:textId="21D86AC3" w:rsidR="000A78D6" w:rsidRPr="00F349EA" w:rsidRDefault="000A78D6" w:rsidP="00221747">
            <w:pPr>
              <w:textAlignment w:val="baseline"/>
              <w:rPr>
                <w:rFonts w:ascii="Arial" w:eastAsia="Times New Roman" w:hAnsi="Arial" w:cs="Arial"/>
                <w:lang w:eastAsia="en-GB"/>
              </w:rPr>
            </w:pPr>
            <w:r w:rsidRPr="000A78D6">
              <w:rPr>
                <w:rFonts w:ascii="Arial" w:eastAsia="Times New Roman" w:hAnsi="Arial" w:cs="Arial"/>
                <w:b/>
                <w:bCs/>
                <w:lang w:eastAsia="en-GB"/>
              </w:rPr>
              <w:t>Confidence</w:t>
            </w:r>
            <w:r w:rsidR="005021DD">
              <w:rPr>
                <w:rFonts w:ascii="Arial" w:eastAsia="Times New Roman" w:hAnsi="Arial" w:cs="Arial"/>
                <w:b/>
                <w:bCs/>
                <w:lang w:eastAsia="en-GB"/>
              </w:rPr>
              <w:t xml:space="preserve"> in forecast</w:t>
            </w:r>
            <w:r w:rsidRPr="000A78D6">
              <w:rPr>
                <w:rFonts w:ascii="Arial" w:eastAsia="Times New Roman" w:hAnsi="Arial" w:cs="Arial"/>
                <w:b/>
                <w:bCs/>
                <w:lang w:eastAsia="en-GB"/>
              </w:rPr>
              <w:t>: High</w:t>
            </w:r>
          </w:p>
        </w:tc>
        <w:tc>
          <w:tcPr>
            <w:tcW w:w="500" w:type="pct"/>
            <w:vAlign w:val="center"/>
          </w:tcPr>
          <w:p w14:paraId="76A1922C" w14:textId="78237223" w:rsidR="00744EB1" w:rsidRPr="00F349EA" w:rsidRDefault="00990D29" w:rsidP="00221747">
            <w:pPr>
              <w:textAlignment w:val="baseline"/>
              <w:rPr>
                <w:rFonts w:ascii="Arial" w:eastAsia="Times New Roman" w:hAnsi="Arial" w:cs="Arial"/>
                <w:szCs w:val="28"/>
                <w:lang w:eastAsia="en-GB"/>
              </w:rPr>
            </w:pPr>
            <w:r w:rsidRPr="00F349EA">
              <w:rPr>
                <w:rFonts w:ascii="Arial" w:eastAsia="Times New Roman" w:hAnsi="Arial" w:cs="Arial"/>
                <w:lang w:eastAsia="en-GB"/>
              </w:rPr>
              <w:lastRenderedPageBreak/>
              <w:t>Delivered</w:t>
            </w:r>
          </w:p>
        </w:tc>
      </w:tr>
      <w:tr w:rsidR="006B54B4" w:rsidRPr="00F349EA" w14:paraId="75E95CBE" w14:textId="77777777" w:rsidTr="0010656E">
        <w:tblPrEx>
          <w:tblCellMar>
            <w:left w:w="108" w:type="dxa"/>
            <w:right w:w="108" w:type="dxa"/>
          </w:tblCellMar>
        </w:tblPrEx>
        <w:trPr>
          <w:cantSplit/>
          <w:trHeight w:val="16"/>
        </w:trPr>
        <w:tc>
          <w:tcPr>
            <w:tcW w:w="1278" w:type="pct"/>
            <w:tcBorders>
              <w:top w:val="single" w:sz="4" w:space="0" w:color="auto"/>
            </w:tcBorders>
          </w:tcPr>
          <w:p w14:paraId="7718919A" w14:textId="4789016C" w:rsidR="00752D6A" w:rsidRPr="00F349EA" w:rsidRDefault="00752D6A" w:rsidP="00221747">
            <w:pPr>
              <w:rPr>
                <w:rFonts w:ascii="Arial" w:eastAsia="Times New Roman" w:hAnsi="Arial" w:cs="Arial"/>
                <w:b/>
                <w:iCs/>
                <w:color w:val="000000"/>
              </w:rPr>
            </w:pPr>
            <w:r w:rsidRPr="00F349EA">
              <w:rPr>
                <w:rFonts w:ascii="Arial" w:hAnsi="Arial" w:cs="Arial"/>
                <w:b/>
                <w:iCs/>
                <w:color w:val="000000"/>
              </w:rPr>
              <w:lastRenderedPageBreak/>
              <w:t>KR 10.3:</w:t>
            </w:r>
            <w:r w:rsidRPr="00F349EA">
              <w:rPr>
                <w:rFonts w:ascii="Arial" w:hAnsi="Arial" w:cs="Arial"/>
                <w:iCs/>
                <w:color w:val="000000"/>
              </w:rPr>
              <w:t xml:space="preserve"> Target of customer digital interactions are resolved within service level agreement </w:t>
            </w:r>
            <w:bookmarkStart w:id="37" w:name="_Int_cMGUZusY"/>
            <w:r w:rsidRPr="00F349EA">
              <w:rPr>
                <w:rFonts w:ascii="Arial" w:hAnsi="Arial" w:cs="Arial"/>
                <w:iCs/>
                <w:color w:val="000000"/>
              </w:rPr>
              <w:t>timeframes</w:t>
            </w:r>
            <w:bookmarkEnd w:id="37"/>
            <w:r w:rsidRPr="00F349EA">
              <w:rPr>
                <w:rFonts w:ascii="Arial" w:hAnsi="Arial" w:cs="Arial"/>
                <w:iCs/>
                <w:color w:val="000000"/>
              </w:rPr>
              <w:t xml:space="preserve"> </w:t>
            </w:r>
          </w:p>
        </w:tc>
        <w:tc>
          <w:tcPr>
            <w:tcW w:w="242" w:type="pct"/>
            <w:tcBorders>
              <w:top w:val="single" w:sz="4" w:space="0" w:color="auto"/>
              <w:left w:val="single" w:sz="4" w:space="0" w:color="auto"/>
              <w:bottom w:val="single" w:sz="4" w:space="0" w:color="auto"/>
              <w:right w:val="nil"/>
            </w:tcBorders>
            <w:vAlign w:val="center"/>
          </w:tcPr>
          <w:p w14:paraId="28094EB5" w14:textId="1478420D" w:rsidR="00752D6A" w:rsidRPr="00F349EA" w:rsidRDefault="00752D6A" w:rsidP="00221747">
            <w:pPr>
              <w:jc w:val="center"/>
              <w:textAlignment w:val="baseline"/>
              <w:rPr>
                <w:rFonts w:ascii="Arial" w:eastAsia="Times New Roman" w:hAnsi="Arial" w:cs="Arial"/>
                <w:lang w:eastAsia="en-GB"/>
              </w:rPr>
            </w:pPr>
            <w:r w:rsidRPr="00F349EA">
              <w:rPr>
                <w:rFonts w:ascii="Arial" w:hAnsi="Arial" w:cs="Arial"/>
                <w:b/>
                <w:color w:val="000000"/>
              </w:rPr>
              <w:t xml:space="preserve">Q4 </w:t>
            </w:r>
          </w:p>
        </w:tc>
        <w:tc>
          <w:tcPr>
            <w:tcW w:w="294" w:type="pct"/>
            <w:tcBorders>
              <w:top w:val="single" w:sz="4" w:space="0" w:color="auto"/>
            </w:tcBorders>
            <w:vAlign w:val="center"/>
          </w:tcPr>
          <w:p w14:paraId="081D367F" w14:textId="1891F67A" w:rsidR="00752D6A" w:rsidRPr="00F349EA" w:rsidRDefault="00752D6A"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N/A</w:t>
            </w:r>
          </w:p>
        </w:tc>
        <w:tc>
          <w:tcPr>
            <w:tcW w:w="294" w:type="pct"/>
            <w:tcBorders>
              <w:top w:val="single" w:sz="4" w:space="0" w:color="auto"/>
            </w:tcBorders>
            <w:vAlign w:val="center"/>
          </w:tcPr>
          <w:p w14:paraId="63C05737" w14:textId="5934582C" w:rsidR="00752D6A" w:rsidRPr="00F349EA" w:rsidRDefault="00341EF9" w:rsidP="00221747">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0</w:t>
            </w:r>
          </w:p>
        </w:tc>
        <w:tc>
          <w:tcPr>
            <w:tcW w:w="294" w:type="pct"/>
            <w:tcBorders>
              <w:top w:val="single" w:sz="4" w:space="0" w:color="auto"/>
            </w:tcBorders>
            <w:vAlign w:val="center"/>
          </w:tcPr>
          <w:p w14:paraId="64DEB1D8" w14:textId="77777777" w:rsidR="00752D6A" w:rsidRPr="00F349EA" w:rsidRDefault="00752D6A"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294" w:type="pct"/>
            <w:tcBorders>
              <w:top w:val="single" w:sz="4" w:space="0" w:color="auto"/>
            </w:tcBorders>
            <w:vAlign w:val="center"/>
          </w:tcPr>
          <w:p w14:paraId="4E5995A4" w14:textId="77777777" w:rsidR="00752D6A" w:rsidRPr="00F349EA" w:rsidRDefault="00752D6A"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327" w:type="pct"/>
            <w:vAlign w:val="center"/>
          </w:tcPr>
          <w:p w14:paraId="5DCE9D2D" w14:textId="6BBA6C27" w:rsidR="00752D6A" w:rsidRPr="00F349EA" w:rsidRDefault="00341EF9" w:rsidP="00221747">
            <w:pPr>
              <w:jc w:val="center"/>
              <w:textAlignment w:val="baseline"/>
              <w:rPr>
                <w:rFonts w:ascii="Arial" w:hAnsi="Arial" w:cs="Arial"/>
                <w:b/>
              </w:rPr>
            </w:pPr>
            <w:r w:rsidRPr="00F349EA">
              <w:rPr>
                <w:noProof/>
              </w:rPr>
              <w:drawing>
                <wp:anchor distT="0" distB="0" distL="114300" distR="114300" simplePos="0" relativeHeight="251658260" behindDoc="0" locked="0" layoutInCell="1" allowOverlap="1" wp14:anchorId="69D4114C" wp14:editId="3ED4C7DA">
                  <wp:simplePos x="0" y="0"/>
                  <wp:positionH relativeFrom="column">
                    <wp:posOffset>33020</wp:posOffset>
                  </wp:positionH>
                  <wp:positionV relativeFrom="paragraph">
                    <wp:posOffset>-102870</wp:posOffset>
                  </wp:positionV>
                  <wp:extent cx="444500" cy="444500"/>
                  <wp:effectExtent l="0" t="0" r="0" b="0"/>
                  <wp:wrapNone/>
                  <wp:docPr id="1251097296"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1476" w:type="pct"/>
            <w:vAlign w:val="center"/>
          </w:tcPr>
          <w:p w14:paraId="312BDA59" w14:textId="5DAFC45B" w:rsidR="00645E6D" w:rsidRPr="00F349EA" w:rsidRDefault="00DD1B4F" w:rsidP="00221747">
            <w:pPr>
              <w:textAlignment w:val="baseline"/>
              <w:rPr>
                <w:rFonts w:ascii="Arial" w:eastAsia="Times New Roman" w:hAnsi="Arial" w:cs="Arial"/>
                <w:lang w:eastAsia="en-GB"/>
              </w:rPr>
            </w:pPr>
            <w:r w:rsidRPr="00F349EA">
              <w:rPr>
                <w:rFonts w:ascii="Arial" w:eastAsia="Times New Roman" w:hAnsi="Arial" w:cs="Arial"/>
                <w:lang w:eastAsia="en-GB"/>
              </w:rPr>
              <w:t xml:space="preserve">This key result is dependent on the delivery of </w:t>
            </w:r>
            <w:r w:rsidR="004F4436" w:rsidRPr="00F349EA">
              <w:rPr>
                <w:rFonts w:ascii="Arial" w:eastAsia="Times New Roman" w:hAnsi="Arial" w:cs="Arial"/>
                <w:lang w:eastAsia="en-GB"/>
              </w:rPr>
              <w:t>KR</w:t>
            </w:r>
            <w:r w:rsidRPr="00F349EA">
              <w:rPr>
                <w:rFonts w:ascii="Arial" w:eastAsia="Times New Roman" w:hAnsi="Arial" w:cs="Arial"/>
                <w:lang w:eastAsia="en-GB"/>
              </w:rPr>
              <w:t xml:space="preserve">10.1 - </w:t>
            </w:r>
            <w:r w:rsidRPr="00DC069C">
              <w:rPr>
                <w:rFonts w:ascii="Arial" w:eastAsia="Times New Roman" w:hAnsi="Arial" w:cs="Arial"/>
                <w:i/>
                <w:iCs/>
                <w:lang w:eastAsia="en-GB"/>
              </w:rPr>
              <w:t>Launch New Digital Contact Methods</w:t>
            </w:r>
            <w:r w:rsidRPr="00F349EA">
              <w:rPr>
                <w:rFonts w:ascii="Arial" w:eastAsia="Times New Roman" w:hAnsi="Arial" w:cs="Arial"/>
                <w:lang w:eastAsia="en-GB"/>
              </w:rPr>
              <w:t xml:space="preserve">, which has been </w:t>
            </w:r>
            <w:r w:rsidR="005E7FEA">
              <w:rPr>
                <w:rFonts w:ascii="Arial" w:eastAsia="Times New Roman" w:hAnsi="Arial" w:cs="Arial"/>
                <w:lang w:eastAsia="en-GB"/>
              </w:rPr>
              <w:t>paused</w:t>
            </w:r>
            <w:r w:rsidRPr="00F349EA">
              <w:rPr>
                <w:rFonts w:ascii="Arial" w:eastAsia="Times New Roman" w:hAnsi="Arial" w:cs="Arial"/>
                <w:lang w:eastAsia="en-GB"/>
              </w:rPr>
              <w:t xml:space="preserve">, and Key Result 10.2, now scheduled for completion in Q4. </w:t>
            </w:r>
            <w:r w:rsidR="004F4436" w:rsidRPr="00F349EA">
              <w:rPr>
                <w:rFonts w:ascii="Arial" w:eastAsia="Times New Roman" w:hAnsi="Arial" w:cs="Arial"/>
                <w:lang w:eastAsia="en-GB"/>
              </w:rPr>
              <w:t xml:space="preserve"> As a result, t</w:t>
            </w:r>
            <w:r w:rsidR="00645E6D" w:rsidRPr="00F349EA">
              <w:rPr>
                <w:rFonts w:ascii="Arial" w:eastAsia="Times New Roman" w:hAnsi="Arial" w:cs="Arial"/>
                <w:lang w:eastAsia="en-GB"/>
              </w:rPr>
              <w:t xml:space="preserve">his will not be delivered </w:t>
            </w:r>
            <w:r w:rsidR="000540AE" w:rsidRPr="00F349EA">
              <w:rPr>
                <w:rFonts w:ascii="Arial" w:eastAsia="Times New Roman" w:hAnsi="Arial" w:cs="Arial"/>
                <w:lang w:eastAsia="en-GB"/>
              </w:rPr>
              <w:t>in 2025/26.</w:t>
            </w:r>
            <w:r w:rsidR="00F4387B" w:rsidRPr="000D2CE0">
              <w:rPr>
                <w:rFonts w:ascii="Arial" w:eastAsia="Times New Roman" w:hAnsi="Arial" w:cs="Arial"/>
                <w:lang w:eastAsia="en-GB"/>
              </w:rPr>
              <w:t xml:space="preserve"> This is reflected in the forecast as not delivered.</w:t>
            </w:r>
          </w:p>
        </w:tc>
        <w:tc>
          <w:tcPr>
            <w:tcW w:w="500" w:type="pct"/>
            <w:vAlign w:val="center"/>
          </w:tcPr>
          <w:p w14:paraId="7A6453A2" w14:textId="2998E92F" w:rsidR="00752D6A" w:rsidRPr="00F349EA" w:rsidRDefault="0015032B" w:rsidP="00221747">
            <w:pPr>
              <w:textAlignment w:val="baseline"/>
              <w:rPr>
                <w:rFonts w:ascii="Arial" w:eastAsia="Times New Roman" w:hAnsi="Arial" w:cs="Arial"/>
                <w:szCs w:val="28"/>
                <w:lang w:eastAsia="en-GB"/>
              </w:rPr>
            </w:pPr>
            <w:r w:rsidRPr="00F349EA">
              <w:rPr>
                <w:rFonts w:ascii="Arial" w:eastAsia="Times New Roman" w:hAnsi="Arial" w:cs="Arial"/>
                <w:lang w:eastAsia="en-GB"/>
              </w:rPr>
              <w:t>Not Delivered</w:t>
            </w:r>
          </w:p>
        </w:tc>
      </w:tr>
    </w:tbl>
    <w:p w14:paraId="6992FE12" w14:textId="77777777" w:rsidR="009819B4" w:rsidRPr="00F349EA" w:rsidRDefault="009819B4" w:rsidP="009819B4">
      <w:pPr>
        <w:spacing w:line="240" w:lineRule="auto"/>
      </w:pPr>
    </w:p>
    <w:p w14:paraId="0C2A9BD1" w14:textId="767E2921" w:rsidR="00C20D8D" w:rsidRPr="00F349EA" w:rsidRDefault="00C20D8D" w:rsidP="00221747">
      <w:pPr>
        <w:spacing w:after="120"/>
        <w:rPr>
          <w:sz w:val="28"/>
          <w:szCs w:val="28"/>
        </w:rPr>
      </w:pPr>
      <w:r w:rsidRPr="00F349EA">
        <w:rPr>
          <w:b/>
          <w:bCs/>
          <w:sz w:val="28"/>
          <w:szCs w:val="28"/>
        </w:rPr>
        <w:t>Overall objective score</w:t>
      </w:r>
      <w:r w:rsidRPr="00F349EA">
        <w:rPr>
          <w:sz w:val="28"/>
          <w:szCs w:val="28"/>
        </w:rPr>
        <w:t xml:space="preserve"> =</w:t>
      </w:r>
      <w:r w:rsidRPr="00F349EA">
        <w:rPr>
          <w:color w:val="016574"/>
          <w:sz w:val="28"/>
          <w:szCs w:val="28"/>
        </w:rPr>
        <w:t xml:space="preserve"> </w:t>
      </w:r>
      <w:r w:rsidR="00A12C2A" w:rsidRPr="00F349EA">
        <w:rPr>
          <w:sz w:val="28"/>
          <w:szCs w:val="28"/>
        </w:rPr>
        <w:t>0</w:t>
      </w:r>
    </w:p>
    <w:p w14:paraId="07FC69A2" w14:textId="2D5F0BD9" w:rsidR="00F35E5B" w:rsidRPr="00F349EA" w:rsidRDefault="0079345E" w:rsidP="00680386">
      <w:pPr>
        <w:pStyle w:val="Heading3"/>
        <w:spacing w:before="240" w:after="120"/>
        <w:rPr>
          <w:color w:val="016574"/>
          <w:sz w:val="32"/>
          <w:szCs w:val="28"/>
        </w:rPr>
      </w:pPr>
      <w:bookmarkStart w:id="38" w:name="_Toc199766089"/>
      <w:r w:rsidRPr="00F349EA">
        <w:rPr>
          <w:color w:val="016574"/>
          <w:sz w:val="32"/>
          <w:szCs w:val="28"/>
        </w:rPr>
        <w:lastRenderedPageBreak/>
        <w:t>OO</w:t>
      </w:r>
      <w:r w:rsidR="00F35E5B" w:rsidRPr="00F349EA">
        <w:rPr>
          <w:color w:val="016574"/>
          <w:sz w:val="32"/>
          <w:szCs w:val="28"/>
        </w:rPr>
        <w:t xml:space="preserve"> OKR11: </w:t>
      </w:r>
      <w:r w:rsidR="0039377A" w:rsidRPr="00F349EA">
        <w:rPr>
          <w:color w:val="016574"/>
          <w:sz w:val="32"/>
          <w:szCs w:val="28"/>
        </w:rPr>
        <w:t>Deliver our People Strategy to build a safe, welcoming and high performing environment which empowers our people to be purposeful, professional and passionate</w:t>
      </w:r>
    </w:p>
    <w:p w14:paraId="0F120663" w14:textId="49622D91" w:rsidR="008E098C" w:rsidRPr="00F349EA" w:rsidRDefault="004C4F7C" w:rsidP="00F35E5B">
      <w:pPr>
        <w:rPr>
          <w:b/>
          <w:bCs/>
          <w:color w:val="3C4741" w:themeColor="text1"/>
          <w:sz w:val="28"/>
          <w:szCs w:val="28"/>
        </w:rPr>
      </w:pPr>
      <w:r w:rsidRPr="00F349EA">
        <w:rPr>
          <w:noProof/>
        </w:rPr>
        <w:drawing>
          <wp:inline distT="0" distB="0" distL="0" distR="0" wp14:anchorId="058D0734" wp14:editId="5E424C0C">
            <wp:extent cx="9427845" cy="2957945"/>
            <wp:effectExtent l="0" t="0" r="1905" b="13970"/>
            <wp:docPr id="545619224" name="Chart 1" descr="This is a bar graph which shows the score of each key result for OKR11 over each quarter. &#10;There is a line on the score scale of 0.7 to represent whether the KR is being delivered. There is another line on the score scale of 0.3 to represent whether measurable progress has been made in the quarter.&#10;For Q1, KR11.1 scored 1.&#10;KR11.2 scored 0.&#10;KR11.3 had no score as this will be progressed later in the year.&#10;KR11.4 scored 0.74.&#10;&#10;For Q2, KR11.1 scored 1.&#10;KR11.2 scored 0.&#10;KR11.3 had no score as this will be progressed later in the year.&#10;KR11.4 scored 1.">
              <a:extLst xmlns:a="http://schemas.openxmlformats.org/drawingml/2006/main">
                <a:ext uri="{FF2B5EF4-FFF2-40B4-BE49-F238E27FC236}">
                  <a16:creationId xmlns:a16="http://schemas.microsoft.com/office/drawing/2014/main" id="{DDB4AEF5-57CD-4269-9CB1-7F7F7709B7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00834CF6" w:rsidRPr="00F349EA">
        <w:rPr>
          <w:rStyle w:val="FootnoteReference"/>
          <w:b/>
          <w:bCs/>
          <w:color w:val="3C4741" w:themeColor="text1"/>
          <w:sz w:val="28"/>
          <w:szCs w:val="28"/>
        </w:rPr>
        <w:footnoteReference w:id="5"/>
      </w:r>
    </w:p>
    <w:p w14:paraId="0C8BFF07" w14:textId="77777777" w:rsidR="004C4F7C" w:rsidRPr="00F349EA" w:rsidRDefault="004C4F7C" w:rsidP="00F35E5B">
      <w:pPr>
        <w:rPr>
          <w:b/>
          <w:bCs/>
          <w:color w:val="3C4741" w:themeColor="text1"/>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11 key result summary"/>
        <w:tblDescription w:val="Q1 summary for each of the four key results under OKR11. This includes the date due, Q1 score, Q1 status, Q1 commentary and annual forecast for each key result."/>
      </w:tblPr>
      <w:tblGrid>
        <w:gridCol w:w="3869"/>
        <w:gridCol w:w="767"/>
        <w:gridCol w:w="924"/>
        <w:gridCol w:w="924"/>
        <w:gridCol w:w="924"/>
        <w:gridCol w:w="924"/>
        <w:gridCol w:w="1020"/>
        <w:gridCol w:w="3841"/>
        <w:gridCol w:w="1765"/>
      </w:tblGrid>
      <w:tr w:rsidR="003331DB" w:rsidRPr="00F349EA" w14:paraId="5B41E348" w14:textId="77777777" w:rsidTr="13D9D0B3">
        <w:trPr>
          <w:cantSplit/>
          <w:trHeight w:val="545"/>
          <w:tblHeader/>
        </w:trPr>
        <w:tc>
          <w:tcPr>
            <w:tcW w:w="1293" w:type="pct"/>
            <w:shd w:val="clear" w:color="auto" w:fill="016574" w:themeFill="accent2"/>
          </w:tcPr>
          <w:p w14:paraId="796D1462" w14:textId="0E3BFB94" w:rsidR="00F35E5B" w:rsidRPr="00F349EA" w:rsidRDefault="004C4F7C">
            <w:pPr>
              <w:spacing w:before="40" w:after="40" w:line="240" w:lineRule="auto"/>
              <w:textAlignment w:val="baseline"/>
              <w:rPr>
                <w:rFonts w:ascii="Arial" w:eastAsia="Times New Roman" w:hAnsi="Arial" w:cs="Arial"/>
                <w:color w:val="000000"/>
                <w:sz w:val="28"/>
                <w:szCs w:val="28"/>
                <w:lang w:eastAsia="en-GB"/>
              </w:rPr>
            </w:pPr>
            <w:r w:rsidRPr="00F349EA">
              <w:rPr>
                <w:rFonts w:ascii="Arial" w:eastAsia="MS PGothic" w:hAnsi="Arial" w:cs="Arial"/>
                <w:b/>
                <w:bCs/>
                <w:color w:val="FFFFFF" w:themeColor="background1"/>
              </w:rPr>
              <w:lastRenderedPageBreak/>
              <w:t>K</w:t>
            </w:r>
            <w:r w:rsidR="00F35E5B" w:rsidRPr="00F349EA">
              <w:rPr>
                <w:rFonts w:ascii="Arial" w:eastAsia="MS PGothic" w:hAnsi="Arial" w:cs="Arial"/>
                <w:b/>
                <w:bCs/>
                <w:color w:val="FFFFFF" w:themeColor="background1"/>
              </w:rPr>
              <w:t>ey Results</w:t>
            </w:r>
          </w:p>
        </w:tc>
        <w:tc>
          <w:tcPr>
            <w:tcW w:w="256" w:type="pct"/>
            <w:shd w:val="clear" w:color="auto" w:fill="016574" w:themeFill="accent2"/>
          </w:tcPr>
          <w:p w14:paraId="68B3FE11" w14:textId="77777777" w:rsidR="00F35E5B" w:rsidRPr="00F349EA" w:rsidRDefault="00F35E5B">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Due date</w:t>
            </w:r>
          </w:p>
        </w:tc>
        <w:tc>
          <w:tcPr>
            <w:tcW w:w="309" w:type="pct"/>
            <w:shd w:val="clear" w:color="auto" w:fill="016574" w:themeFill="accent2"/>
          </w:tcPr>
          <w:p w14:paraId="5C26C5CA" w14:textId="77777777" w:rsidR="00F35E5B" w:rsidRPr="00F349EA" w:rsidRDefault="00F35E5B">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Q1 score</w:t>
            </w:r>
          </w:p>
        </w:tc>
        <w:tc>
          <w:tcPr>
            <w:tcW w:w="309" w:type="pct"/>
            <w:shd w:val="clear" w:color="auto" w:fill="016574" w:themeFill="accent2"/>
          </w:tcPr>
          <w:p w14:paraId="567EBAA3" w14:textId="77777777" w:rsidR="00F35E5B" w:rsidRPr="00F349EA" w:rsidRDefault="00F35E5B">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Q2 score</w:t>
            </w:r>
          </w:p>
        </w:tc>
        <w:tc>
          <w:tcPr>
            <w:tcW w:w="309" w:type="pct"/>
            <w:shd w:val="clear" w:color="auto" w:fill="016574" w:themeFill="accent2"/>
          </w:tcPr>
          <w:p w14:paraId="56CADA67" w14:textId="77777777" w:rsidR="00F35E5B" w:rsidRPr="00F349EA" w:rsidRDefault="00F35E5B">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Q3 score</w:t>
            </w:r>
          </w:p>
        </w:tc>
        <w:tc>
          <w:tcPr>
            <w:tcW w:w="309" w:type="pct"/>
            <w:shd w:val="clear" w:color="auto" w:fill="016574" w:themeFill="accent2"/>
          </w:tcPr>
          <w:p w14:paraId="3F297D6E" w14:textId="77777777" w:rsidR="00F35E5B" w:rsidRPr="00F349EA" w:rsidRDefault="00F35E5B">
            <w:pPr>
              <w:spacing w:before="40" w:after="40" w:line="240" w:lineRule="auto"/>
              <w:jc w:val="center"/>
              <w:textAlignment w:val="baseline"/>
              <w:rPr>
                <w:rFonts w:ascii="Arial" w:eastAsia="MS PGothic" w:hAnsi="Arial" w:cs="Arial"/>
                <w:b/>
                <w:bCs/>
                <w:color w:val="FFFFFF"/>
              </w:rPr>
            </w:pPr>
            <w:r w:rsidRPr="00F349EA">
              <w:rPr>
                <w:rFonts w:ascii="Arial" w:eastAsia="MS PGothic" w:hAnsi="Arial" w:cs="Arial"/>
                <w:b/>
                <w:bCs/>
                <w:color w:val="FFFFFF"/>
              </w:rPr>
              <w:t>Q4 score</w:t>
            </w:r>
          </w:p>
        </w:tc>
        <w:tc>
          <w:tcPr>
            <w:tcW w:w="341" w:type="pct"/>
            <w:shd w:val="clear" w:color="auto" w:fill="016574" w:themeFill="accent2"/>
          </w:tcPr>
          <w:p w14:paraId="35BDC0E6" w14:textId="51A7409D" w:rsidR="00F35E5B" w:rsidRPr="00F349EA" w:rsidRDefault="00F35E5B">
            <w:pPr>
              <w:spacing w:before="40" w:after="40" w:line="240" w:lineRule="auto"/>
              <w:jc w:val="center"/>
              <w:textAlignment w:val="baseline"/>
              <w:rPr>
                <w:rFonts w:ascii="Arial" w:eastAsia="Times New Roman" w:hAnsi="Arial" w:cs="Arial"/>
                <w:color w:val="000000"/>
                <w:lang w:eastAsia="en-GB"/>
              </w:rPr>
            </w:pPr>
            <w:r w:rsidRPr="00F349EA">
              <w:rPr>
                <w:rFonts w:ascii="Arial" w:eastAsia="MS PGothic" w:hAnsi="Arial" w:cs="Arial"/>
                <w:b/>
                <w:bCs/>
                <w:color w:val="FFFFFF"/>
              </w:rPr>
              <w:t>Q</w:t>
            </w:r>
            <w:r w:rsidR="00D654E2" w:rsidRPr="00F349EA">
              <w:rPr>
                <w:rFonts w:ascii="Arial" w:eastAsia="MS PGothic" w:hAnsi="Arial" w:cs="Arial"/>
                <w:b/>
                <w:bCs/>
                <w:color w:val="FFFFFF"/>
              </w:rPr>
              <w:t xml:space="preserve">2 </w:t>
            </w:r>
            <w:r w:rsidRPr="00F349EA">
              <w:rPr>
                <w:rFonts w:ascii="Arial" w:eastAsia="MS PGothic" w:hAnsi="Arial" w:cs="Arial"/>
                <w:b/>
                <w:bCs/>
                <w:color w:val="FFFFFF"/>
              </w:rPr>
              <w:t>Status</w:t>
            </w:r>
          </w:p>
        </w:tc>
        <w:tc>
          <w:tcPr>
            <w:tcW w:w="1284" w:type="pct"/>
            <w:shd w:val="clear" w:color="auto" w:fill="016574" w:themeFill="accent2"/>
          </w:tcPr>
          <w:p w14:paraId="4B9E0C86" w14:textId="36054E3A" w:rsidR="00F35E5B" w:rsidRPr="00F349EA" w:rsidRDefault="00F35E5B">
            <w:pPr>
              <w:spacing w:before="40" w:after="40" w:line="240" w:lineRule="auto"/>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Q</w:t>
            </w:r>
            <w:r w:rsidR="00D654E2" w:rsidRPr="00F349EA">
              <w:rPr>
                <w:rFonts w:ascii="Arial" w:eastAsia="MS PGothic" w:hAnsi="Arial" w:cs="Arial"/>
                <w:b/>
                <w:bCs/>
                <w:color w:val="FFFFFF"/>
                <w:sz w:val="28"/>
                <w:szCs w:val="28"/>
              </w:rPr>
              <w:t>2</w:t>
            </w:r>
            <w:r w:rsidRPr="00F349EA">
              <w:rPr>
                <w:rFonts w:ascii="Arial" w:eastAsia="MS PGothic" w:hAnsi="Arial" w:cs="Arial"/>
                <w:b/>
                <w:bCs/>
                <w:color w:val="FFFFFF"/>
                <w:sz w:val="28"/>
                <w:szCs w:val="28"/>
              </w:rPr>
              <w:t xml:space="preserve"> commentary</w:t>
            </w:r>
          </w:p>
        </w:tc>
        <w:tc>
          <w:tcPr>
            <w:tcW w:w="590" w:type="pct"/>
            <w:shd w:val="clear" w:color="auto" w:fill="016574" w:themeFill="accent2"/>
          </w:tcPr>
          <w:p w14:paraId="095349C6" w14:textId="77777777" w:rsidR="00F35E5B" w:rsidRPr="00F349EA" w:rsidRDefault="00F35E5B">
            <w:pPr>
              <w:spacing w:before="40" w:after="40" w:line="240" w:lineRule="auto"/>
              <w:jc w:val="center"/>
              <w:textAlignment w:val="baseline"/>
              <w:rPr>
                <w:rFonts w:ascii="Arial" w:eastAsia="MS PGothic" w:hAnsi="Arial" w:cs="Arial"/>
                <w:b/>
                <w:bCs/>
                <w:color w:val="FFFFFF"/>
                <w:sz w:val="28"/>
                <w:szCs w:val="28"/>
              </w:rPr>
            </w:pPr>
            <w:r w:rsidRPr="00F349EA">
              <w:rPr>
                <w:rFonts w:ascii="Arial" w:eastAsia="MS PGothic" w:hAnsi="Arial" w:cs="Arial"/>
                <w:b/>
                <w:bCs/>
                <w:color w:val="FFFFFF"/>
                <w:sz w:val="28"/>
                <w:szCs w:val="28"/>
              </w:rPr>
              <w:t>Annual forecast</w:t>
            </w:r>
          </w:p>
        </w:tc>
      </w:tr>
      <w:tr w:rsidR="003331DB" w:rsidRPr="00F349EA" w14:paraId="391A5C9E" w14:textId="77777777" w:rsidTr="00221747">
        <w:tblPrEx>
          <w:tblCellMar>
            <w:left w:w="108" w:type="dxa"/>
            <w:right w:w="108" w:type="dxa"/>
          </w:tblCellMar>
        </w:tblPrEx>
        <w:trPr>
          <w:cantSplit/>
          <w:trHeight w:val="865"/>
          <w:tblHeader/>
        </w:trPr>
        <w:tc>
          <w:tcPr>
            <w:tcW w:w="1293" w:type="pct"/>
            <w:tcBorders>
              <w:bottom w:val="single" w:sz="4" w:space="0" w:color="auto"/>
            </w:tcBorders>
          </w:tcPr>
          <w:p w14:paraId="1DA9762C" w14:textId="674D0B7E" w:rsidR="00F35E5B" w:rsidRPr="00F349EA" w:rsidRDefault="00EF03D1" w:rsidP="00221747">
            <w:pPr>
              <w:rPr>
                <w:rFonts w:ascii="Arial" w:eastAsia="Times New Roman" w:hAnsi="Arial" w:cs="Arial"/>
                <w:b/>
                <w:bCs/>
                <w:color w:val="000000"/>
              </w:rPr>
            </w:pPr>
            <w:r w:rsidRPr="00F349EA">
              <w:rPr>
                <w:rFonts w:ascii="Arial" w:hAnsi="Arial" w:cs="Arial"/>
                <w:b/>
                <w:bCs/>
                <w:color w:val="000000"/>
              </w:rPr>
              <w:t xml:space="preserve">KR 11.1: </w:t>
            </w:r>
            <w:r w:rsidRPr="00F349EA">
              <w:rPr>
                <w:rFonts w:ascii="Arial" w:hAnsi="Arial" w:cs="Arial"/>
                <w:color w:val="000000"/>
              </w:rPr>
              <w:t>Launch strategic approach to wellbeing and improved offer of mental health and wellbeing support to colleagues</w:t>
            </w:r>
            <w:r w:rsidR="001F14BB" w:rsidRPr="00F349EA">
              <w:rPr>
                <w:rFonts w:ascii="Arial" w:hAnsi="Arial" w:cs="Arial"/>
                <w:color w:val="000000"/>
              </w:rPr>
              <w:t>.</w:t>
            </w:r>
            <w:r w:rsidRPr="00F349EA">
              <w:rPr>
                <w:rFonts w:ascii="Arial" w:hAnsi="Arial" w:cs="Arial"/>
                <w:color w:val="000000"/>
              </w:rPr>
              <w:t xml:space="preserve"> </w:t>
            </w:r>
          </w:p>
        </w:tc>
        <w:tc>
          <w:tcPr>
            <w:tcW w:w="256" w:type="pct"/>
            <w:tcBorders>
              <w:top w:val="nil"/>
              <w:left w:val="single" w:sz="4" w:space="0" w:color="auto"/>
              <w:bottom w:val="single" w:sz="4" w:space="0" w:color="auto"/>
              <w:right w:val="nil"/>
            </w:tcBorders>
            <w:vAlign w:val="center"/>
          </w:tcPr>
          <w:p w14:paraId="41990112" w14:textId="57B06E06" w:rsidR="00F35E5B" w:rsidRPr="00F349EA" w:rsidRDefault="00EF03D1" w:rsidP="00221747">
            <w:pPr>
              <w:jc w:val="center"/>
              <w:textAlignment w:val="baseline"/>
              <w:rPr>
                <w:rFonts w:ascii="Arial" w:eastAsia="Times New Roman" w:hAnsi="Arial" w:cs="Arial"/>
                <w:lang w:eastAsia="en-GB"/>
              </w:rPr>
            </w:pPr>
            <w:r w:rsidRPr="00F349EA">
              <w:rPr>
                <w:rFonts w:ascii="Arial" w:hAnsi="Arial" w:cs="Arial"/>
                <w:b/>
                <w:bCs/>
                <w:color w:val="000000"/>
              </w:rPr>
              <w:t>Q1</w:t>
            </w:r>
          </w:p>
        </w:tc>
        <w:tc>
          <w:tcPr>
            <w:tcW w:w="309" w:type="pct"/>
            <w:tcBorders>
              <w:top w:val="nil"/>
              <w:left w:val="single" w:sz="4" w:space="0" w:color="auto"/>
              <w:bottom w:val="single" w:sz="4" w:space="0" w:color="auto"/>
              <w:right w:val="single" w:sz="4" w:space="0" w:color="auto"/>
            </w:tcBorders>
            <w:vAlign w:val="center"/>
          </w:tcPr>
          <w:p w14:paraId="25CADDB1" w14:textId="1D7522E5" w:rsidR="00F35E5B" w:rsidRPr="00F349EA" w:rsidRDefault="00EF03D1" w:rsidP="00221747">
            <w:pPr>
              <w:jc w:val="center"/>
              <w:textAlignment w:val="baseline"/>
              <w:rPr>
                <w:rFonts w:ascii="Arial" w:eastAsia="Times New Roman" w:hAnsi="Arial" w:cs="Arial"/>
                <w:lang w:eastAsia="en-GB"/>
              </w:rPr>
            </w:pPr>
            <w:r w:rsidRPr="00F349EA">
              <w:rPr>
                <w:rFonts w:ascii="Arial" w:hAnsi="Arial" w:cs="Arial"/>
                <w:color w:val="000000"/>
              </w:rPr>
              <w:t>1</w:t>
            </w:r>
          </w:p>
        </w:tc>
        <w:tc>
          <w:tcPr>
            <w:tcW w:w="309" w:type="pct"/>
            <w:tcBorders>
              <w:bottom w:val="single" w:sz="4" w:space="0" w:color="auto"/>
            </w:tcBorders>
            <w:vAlign w:val="center"/>
          </w:tcPr>
          <w:p w14:paraId="72A79415" w14:textId="303549CE" w:rsidR="00F35E5B" w:rsidRPr="00F349EA" w:rsidRDefault="000540AE" w:rsidP="00221747">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1</w:t>
            </w:r>
          </w:p>
        </w:tc>
        <w:tc>
          <w:tcPr>
            <w:tcW w:w="309" w:type="pct"/>
            <w:tcBorders>
              <w:bottom w:val="single" w:sz="4" w:space="0" w:color="auto"/>
            </w:tcBorders>
            <w:vAlign w:val="center"/>
          </w:tcPr>
          <w:p w14:paraId="21E8E018" w14:textId="77777777" w:rsidR="00F35E5B" w:rsidRPr="00F349EA" w:rsidRDefault="00F35E5B"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309" w:type="pct"/>
            <w:tcBorders>
              <w:bottom w:val="single" w:sz="4" w:space="0" w:color="auto"/>
            </w:tcBorders>
            <w:vAlign w:val="center"/>
          </w:tcPr>
          <w:p w14:paraId="7DE9B2EF" w14:textId="77777777" w:rsidR="00F35E5B" w:rsidRPr="00F349EA" w:rsidRDefault="00F35E5B"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341" w:type="pct"/>
            <w:tcBorders>
              <w:bottom w:val="single" w:sz="4" w:space="0" w:color="auto"/>
            </w:tcBorders>
            <w:vAlign w:val="center"/>
          </w:tcPr>
          <w:p w14:paraId="09828033" w14:textId="38EB1DC4" w:rsidR="00F35E5B" w:rsidRPr="00F349EA" w:rsidRDefault="007848CA" w:rsidP="00221747">
            <w:pPr>
              <w:jc w:val="center"/>
              <w:textAlignment w:val="baseline"/>
              <w:rPr>
                <w:rFonts w:ascii="Arial" w:eastAsia="Times New Roman" w:hAnsi="Arial" w:cs="Arial"/>
                <w:szCs w:val="28"/>
                <w:lang w:eastAsia="en-GB"/>
              </w:rPr>
            </w:pPr>
            <w:r w:rsidRPr="00F349EA">
              <w:rPr>
                <w:noProof/>
              </w:rPr>
              <w:drawing>
                <wp:inline distT="0" distB="0" distL="0" distR="0" wp14:anchorId="2EE1C57D" wp14:editId="26622BB9">
                  <wp:extent cx="432000" cy="432000"/>
                  <wp:effectExtent l="0" t="0" r="0" b="0"/>
                  <wp:docPr id="1435304980" name="Graphic 24" descr="Icon of a checkbox which has a tick with solid fill. Represents where an OKR measure is complete and the deadline for completion has 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3512" name="Graphic 24" descr="Icon of a checkbox which has a tick with solid fill. Represents where an OKR measure is complete and the deadline for completion has passed."/>
                          <pic:cNvPicPr/>
                        </pic:nvPicPr>
                        <pic:blipFill>
                          <a:blip r:embed="rId33">
                            <a:extLst>
                              <a:ext uri="{96DAC541-7B7A-43D3-8B79-37D633B846F1}">
                                <asvg:svgBlip xmlns:asvg="http://schemas.microsoft.com/office/drawing/2016/SVG/main" r:embed="rId34"/>
                              </a:ext>
                            </a:extLst>
                          </a:blip>
                          <a:stretch>
                            <a:fillRect/>
                          </a:stretch>
                        </pic:blipFill>
                        <pic:spPr>
                          <a:xfrm>
                            <a:off x="0" y="0"/>
                            <a:ext cx="432000" cy="432000"/>
                          </a:xfrm>
                          <a:prstGeom prst="rect">
                            <a:avLst/>
                          </a:prstGeom>
                        </pic:spPr>
                      </pic:pic>
                    </a:graphicData>
                  </a:graphic>
                </wp:inline>
              </w:drawing>
            </w:r>
          </w:p>
        </w:tc>
        <w:tc>
          <w:tcPr>
            <w:tcW w:w="1284" w:type="pct"/>
            <w:tcBorders>
              <w:bottom w:val="single" w:sz="4" w:space="0" w:color="auto"/>
            </w:tcBorders>
            <w:vAlign w:val="center"/>
          </w:tcPr>
          <w:p w14:paraId="484EDAD3" w14:textId="52217703" w:rsidR="00F35E5B" w:rsidRPr="00F349EA" w:rsidRDefault="00492DFD" w:rsidP="00625A5F">
            <w:pPr>
              <w:textAlignment w:val="baseline"/>
              <w:rPr>
                <w:rFonts w:ascii="Arial" w:eastAsia="Times New Roman" w:hAnsi="Arial" w:cs="Arial"/>
                <w:b/>
                <w:bCs/>
                <w:lang w:eastAsia="en-GB"/>
              </w:rPr>
            </w:pPr>
            <w:r w:rsidRPr="00F349EA">
              <w:rPr>
                <w:rFonts w:ascii="Arial" w:eastAsia="Times New Roman" w:hAnsi="Arial" w:cs="Arial"/>
                <w:b/>
                <w:bCs/>
                <w:lang w:eastAsia="en-GB"/>
              </w:rPr>
              <w:t>Key Result complete</w:t>
            </w:r>
            <w:r w:rsidR="00376FE0" w:rsidRPr="00F349EA">
              <w:rPr>
                <w:rFonts w:ascii="Arial" w:eastAsia="Times New Roman" w:hAnsi="Arial" w:cs="Arial"/>
                <w:b/>
                <w:bCs/>
                <w:lang w:eastAsia="en-GB"/>
              </w:rPr>
              <w:t>d</w:t>
            </w:r>
            <w:r w:rsidR="007848CA" w:rsidRPr="00F349EA">
              <w:rPr>
                <w:rFonts w:ascii="Arial" w:eastAsia="Times New Roman" w:hAnsi="Arial" w:cs="Arial"/>
                <w:b/>
                <w:bCs/>
                <w:lang w:eastAsia="en-GB"/>
              </w:rPr>
              <w:t xml:space="preserve"> Q1</w:t>
            </w:r>
          </w:p>
        </w:tc>
        <w:tc>
          <w:tcPr>
            <w:tcW w:w="590" w:type="pct"/>
            <w:tcBorders>
              <w:bottom w:val="single" w:sz="4" w:space="0" w:color="auto"/>
            </w:tcBorders>
            <w:vAlign w:val="center"/>
          </w:tcPr>
          <w:p w14:paraId="142DB8E1" w14:textId="5E3F279A" w:rsidR="00F35E5B" w:rsidRPr="00F349EA" w:rsidRDefault="008E098C"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Delivered</w:t>
            </w:r>
          </w:p>
        </w:tc>
      </w:tr>
      <w:tr w:rsidR="00682663" w:rsidRPr="00F349EA" w14:paraId="317F687F" w14:textId="77777777" w:rsidTr="00221747">
        <w:tblPrEx>
          <w:tblCellMar>
            <w:left w:w="108" w:type="dxa"/>
            <w:right w:w="108" w:type="dxa"/>
          </w:tblCellMar>
        </w:tblPrEx>
        <w:trPr>
          <w:cantSplit/>
          <w:trHeight w:val="16"/>
          <w:tblHeader/>
        </w:trPr>
        <w:tc>
          <w:tcPr>
            <w:tcW w:w="1293" w:type="pct"/>
            <w:tcBorders>
              <w:top w:val="single" w:sz="4" w:space="0" w:color="auto"/>
              <w:left w:val="single" w:sz="4" w:space="0" w:color="auto"/>
              <w:bottom w:val="single" w:sz="4" w:space="0" w:color="auto"/>
              <w:right w:val="single" w:sz="4" w:space="0" w:color="auto"/>
            </w:tcBorders>
            <w:vAlign w:val="center"/>
          </w:tcPr>
          <w:p w14:paraId="4F5A26FE" w14:textId="4493706E" w:rsidR="007C7C39" w:rsidRPr="00F349EA" w:rsidRDefault="007C7C39" w:rsidP="00221747">
            <w:pPr>
              <w:rPr>
                <w:rFonts w:ascii="Arial" w:eastAsia="Times New Roman" w:hAnsi="Arial" w:cs="Arial"/>
                <w:b/>
                <w:bCs/>
                <w:color w:val="000000"/>
              </w:rPr>
            </w:pPr>
            <w:r w:rsidRPr="00F349EA">
              <w:rPr>
                <w:rFonts w:ascii="Arial" w:hAnsi="Arial" w:cs="Arial"/>
                <w:b/>
                <w:bCs/>
                <w:color w:val="000000"/>
              </w:rPr>
              <w:t xml:space="preserve">KR 11.2: </w:t>
            </w:r>
            <w:r w:rsidRPr="00F349EA">
              <w:rPr>
                <w:rFonts w:ascii="Arial" w:hAnsi="Arial" w:cs="Arial"/>
                <w:color w:val="000000"/>
              </w:rPr>
              <w:t>75% of recruiting managers reporting improved satisfaction with applicant tracking system</w:t>
            </w:r>
            <w:r w:rsidR="001F14BB" w:rsidRPr="00F349EA">
              <w:rPr>
                <w:rFonts w:ascii="Arial" w:hAnsi="Arial" w:cs="Arial"/>
                <w:color w:val="000000"/>
              </w:rPr>
              <w:t>.</w:t>
            </w:r>
          </w:p>
        </w:tc>
        <w:tc>
          <w:tcPr>
            <w:tcW w:w="256" w:type="pct"/>
            <w:tcBorders>
              <w:top w:val="single" w:sz="4" w:space="0" w:color="auto"/>
              <w:left w:val="single" w:sz="4" w:space="0" w:color="auto"/>
              <w:bottom w:val="single" w:sz="4" w:space="0" w:color="auto"/>
              <w:right w:val="single" w:sz="4" w:space="0" w:color="auto"/>
            </w:tcBorders>
            <w:vAlign w:val="center"/>
          </w:tcPr>
          <w:p w14:paraId="412D81B1" w14:textId="2679C17C" w:rsidR="007C7C39" w:rsidRPr="00F349EA" w:rsidRDefault="007C7C39" w:rsidP="00221747">
            <w:pPr>
              <w:jc w:val="center"/>
              <w:textAlignment w:val="baseline"/>
              <w:rPr>
                <w:rFonts w:ascii="Arial" w:eastAsia="Times New Roman" w:hAnsi="Arial" w:cs="Arial"/>
                <w:lang w:eastAsia="en-GB"/>
              </w:rPr>
            </w:pPr>
            <w:r w:rsidRPr="00F349EA">
              <w:rPr>
                <w:rFonts w:ascii="Arial" w:hAnsi="Arial" w:cs="Arial"/>
                <w:b/>
                <w:bCs/>
                <w:color w:val="000000"/>
              </w:rPr>
              <w:t>Q3</w:t>
            </w:r>
          </w:p>
        </w:tc>
        <w:tc>
          <w:tcPr>
            <w:tcW w:w="309" w:type="pct"/>
            <w:tcBorders>
              <w:top w:val="single" w:sz="4" w:space="0" w:color="auto"/>
              <w:left w:val="single" w:sz="4" w:space="0" w:color="auto"/>
              <w:bottom w:val="single" w:sz="4" w:space="0" w:color="auto"/>
              <w:right w:val="single" w:sz="4" w:space="0" w:color="auto"/>
            </w:tcBorders>
            <w:vAlign w:val="center"/>
          </w:tcPr>
          <w:p w14:paraId="09D52C36" w14:textId="05803192" w:rsidR="007C7C39" w:rsidRPr="00F349EA" w:rsidRDefault="006F6BA7" w:rsidP="00221747">
            <w:pPr>
              <w:jc w:val="center"/>
              <w:textAlignment w:val="baseline"/>
              <w:rPr>
                <w:rFonts w:ascii="Arial" w:eastAsia="Times New Roman" w:hAnsi="Arial" w:cs="Arial"/>
                <w:lang w:eastAsia="en-GB"/>
              </w:rPr>
            </w:pPr>
            <w:r w:rsidRPr="00F349EA">
              <w:rPr>
                <w:rFonts w:ascii="Arial" w:hAnsi="Arial" w:cs="Arial"/>
                <w:color w:val="000000"/>
              </w:rPr>
              <w:t>0</w:t>
            </w:r>
            <w:r w:rsidR="007C7C39" w:rsidRPr="00F349EA">
              <w:rPr>
                <w:rFonts w:ascii="Arial" w:hAnsi="Arial" w:cs="Arial"/>
                <w:color w:val="000000"/>
              </w:rPr>
              <w:t> </w:t>
            </w:r>
          </w:p>
        </w:tc>
        <w:tc>
          <w:tcPr>
            <w:tcW w:w="309" w:type="pct"/>
            <w:tcBorders>
              <w:top w:val="single" w:sz="4" w:space="0" w:color="auto"/>
              <w:left w:val="single" w:sz="4" w:space="0" w:color="auto"/>
              <w:bottom w:val="single" w:sz="4" w:space="0" w:color="auto"/>
              <w:right w:val="single" w:sz="4" w:space="0" w:color="auto"/>
            </w:tcBorders>
            <w:vAlign w:val="center"/>
          </w:tcPr>
          <w:p w14:paraId="520DBCFA" w14:textId="5F77484C" w:rsidR="007C7C39" w:rsidRPr="00F349EA" w:rsidRDefault="001F7A6F" w:rsidP="00221747">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0</w:t>
            </w:r>
          </w:p>
        </w:tc>
        <w:tc>
          <w:tcPr>
            <w:tcW w:w="309" w:type="pct"/>
            <w:tcBorders>
              <w:top w:val="single" w:sz="4" w:space="0" w:color="auto"/>
              <w:left w:val="single" w:sz="4" w:space="0" w:color="auto"/>
              <w:bottom w:val="single" w:sz="4" w:space="0" w:color="auto"/>
              <w:right w:val="single" w:sz="4" w:space="0" w:color="auto"/>
            </w:tcBorders>
            <w:vAlign w:val="center"/>
          </w:tcPr>
          <w:p w14:paraId="7417A6D9" w14:textId="77777777" w:rsidR="007C7C39" w:rsidRPr="00F349EA" w:rsidRDefault="007C7C39"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309" w:type="pct"/>
            <w:tcBorders>
              <w:top w:val="single" w:sz="4" w:space="0" w:color="auto"/>
              <w:left w:val="single" w:sz="4" w:space="0" w:color="auto"/>
              <w:bottom w:val="single" w:sz="4" w:space="0" w:color="auto"/>
              <w:right w:val="single" w:sz="4" w:space="0" w:color="auto"/>
            </w:tcBorders>
            <w:vAlign w:val="center"/>
          </w:tcPr>
          <w:p w14:paraId="4A68BF7A" w14:textId="77777777" w:rsidR="007C7C39" w:rsidRPr="00F349EA" w:rsidRDefault="007C7C39"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341" w:type="pct"/>
            <w:tcBorders>
              <w:top w:val="single" w:sz="4" w:space="0" w:color="auto"/>
              <w:left w:val="single" w:sz="4" w:space="0" w:color="auto"/>
              <w:bottom w:val="single" w:sz="4" w:space="0" w:color="auto"/>
              <w:right w:val="single" w:sz="4" w:space="0" w:color="auto"/>
            </w:tcBorders>
            <w:vAlign w:val="center"/>
          </w:tcPr>
          <w:p w14:paraId="2F8693D9" w14:textId="7D021A3B" w:rsidR="007C7C39" w:rsidRPr="00F349EA" w:rsidRDefault="001F7A6F" w:rsidP="00221747">
            <w:pPr>
              <w:jc w:val="center"/>
              <w:textAlignment w:val="baseline"/>
              <w:rPr>
                <w:rFonts w:ascii="Arial" w:hAnsi="Arial" w:cs="Arial"/>
                <w:b/>
              </w:rPr>
            </w:pPr>
            <w:r w:rsidRPr="00F349EA">
              <w:rPr>
                <w:b/>
                <w:bCs/>
                <w:noProof/>
              </w:rPr>
              <w:drawing>
                <wp:inline distT="0" distB="0" distL="0" distR="0" wp14:anchorId="54B5565F" wp14:editId="4BBF6DFA">
                  <wp:extent cx="470590" cy="470590"/>
                  <wp:effectExtent l="0" t="0" r="0" b="5715"/>
                  <wp:docPr id="1228835970"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472345" cy="472345"/>
                          </a:xfrm>
                          <a:prstGeom prst="rect">
                            <a:avLst/>
                          </a:prstGeom>
                        </pic:spPr>
                      </pic:pic>
                    </a:graphicData>
                  </a:graphic>
                </wp:inline>
              </w:drawing>
            </w:r>
          </w:p>
        </w:tc>
        <w:tc>
          <w:tcPr>
            <w:tcW w:w="1284" w:type="pct"/>
            <w:tcBorders>
              <w:top w:val="single" w:sz="4" w:space="0" w:color="auto"/>
              <w:left w:val="single" w:sz="4" w:space="0" w:color="auto"/>
              <w:bottom w:val="single" w:sz="4" w:space="0" w:color="auto"/>
              <w:right w:val="single" w:sz="4" w:space="0" w:color="auto"/>
            </w:tcBorders>
            <w:vAlign w:val="center"/>
          </w:tcPr>
          <w:p w14:paraId="6E2742E3" w14:textId="77777777" w:rsidR="007C7C39" w:rsidRPr="00F349EA" w:rsidRDefault="004C38A1" w:rsidP="00221747">
            <w:pPr>
              <w:textAlignment w:val="baseline"/>
              <w:rPr>
                <w:rFonts w:ascii="Arial" w:eastAsia="Times New Roman" w:hAnsi="Arial" w:cs="Arial"/>
                <w:lang w:eastAsia="en-GB"/>
              </w:rPr>
            </w:pPr>
            <w:r w:rsidRPr="00F349EA">
              <w:rPr>
                <w:rFonts w:ascii="Arial" w:eastAsia="Times New Roman" w:hAnsi="Arial" w:cs="Arial"/>
                <w:lang w:eastAsia="en-GB"/>
              </w:rPr>
              <w:t>Launched new Applicant Tracking System (ATS) - Talos360 in Q2. Key result will be progressed in Q3.</w:t>
            </w:r>
          </w:p>
          <w:p w14:paraId="0B4271A4" w14:textId="3A626F10" w:rsidR="00625A5F" w:rsidRPr="00F349EA" w:rsidRDefault="00625A5F" w:rsidP="00221747">
            <w:pPr>
              <w:textAlignment w:val="baseline"/>
              <w:rPr>
                <w:rFonts w:ascii="Arial" w:eastAsia="Times New Roman" w:hAnsi="Arial" w:cs="Arial"/>
                <w:lang w:eastAsia="en-GB"/>
              </w:rPr>
            </w:pPr>
            <w:r w:rsidRPr="00F349EA">
              <w:rPr>
                <w:rFonts w:ascii="Arial" w:eastAsia="Times New Roman" w:hAnsi="Arial" w:cs="Arial"/>
                <w:b/>
                <w:lang w:eastAsia="en-GB"/>
              </w:rPr>
              <w:t>Confidence in forecast:</w:t>
            </w:r>
            <w:r w:rsidRPr="00F349EA">
              <w:rPr>
                <w:rFonts w:ascii="Arial" w:eastAsia="Times New Roman" w:hAnsi="Arial" w:cs="Arial"/>
                <w:lang w:eastAsia="en-GB"/>
              </w:rPr>
              <w:t xml:space="preserve"> </w:t>
            </w:r>
            <w:r w:rsidR="00CC5DCD">
              <w:rPr>
                <w:rFonts w:ascii="Arial" w:eastAsia="Times New Roman" w:hAnsi="Arial" w:cs="Arial"/>
                <w:lang w:eastAsia="en-GB"/>
              </w:rPr>
              <w:t>High</w:t>
            </w:r>
          </w:p>
        </w:tc>
        <w:tc>
          <w:tcPr>
            <w:tcW w:w="590" w:type="pct"/>
            <w:tcBorders>
              <w:top w:val="single" w:sz="4" w:space="0" w:color="auto"/>
              <w:left w:val="single" w:sz="4" w:space="0" w:color="auto"/>
              <w:bottom w:val="single" w:sz="4" w:space="0" w:color="auto"/>
              <w:right w:val="single" w:sz="4" w:space="0" w:color="auto"/>
            </w:tcBorders>
            <w:vAlign w:val="center"/>
          </w:tcPr>
          <w:p w14:paraId="0F0E4525" w14:textId="6837178A" w:rsidR="007C7C39" w:rsidRPr="00F349EA" w:rsidRDefault="007C7C39" w:rsidP="00221747">
            <w:pPr>
              <w:jc w:val="center"/>
              <w:textAlignment w:val="baseline"/>
              <w:rPr>
                <w:rFonts w:ascii="Arial" w:eastAsia="Times New Roman" w:hAnsi="Arial" w:cs="Arial"/>
                <w:szCs w:val="28"/>
                <w:lang w:eastAsia="en-GB"/>
              </w:rPr>
            </w:pPr>
            <w:r w:rsidRPr="00F349EA">
              <w:rPr>
                <w:rFonts w:ascii="Arial" w:eastAsia="Times New Roman" w:hAnsi="Arial" w:cs="Arial"/>
                <w:lang w:eastAsia="en-GB"/>
              </w:rPr>
              <w:t>Delivered</w:t>
            </w:r>
          </w:p>
        </w:tc>
      </w:tr>
      <w:tr w:rsidR="00682663" w:rsidRPr="00F349EA" w14:paraId="238E495C" w14:textId="77777777" w:rsidTr="00221747">
        <w:tblPrEx>
          <w:tblCellMar>
            <w:left w:w="108" w:type="dxa"/>
            <w:right w:w="108" w:type="dxa"/>
          </w:tblCellMar>
        </w:tblPrEx>
        <w:trPr>
          <w:cantSplit/>
          <w:trHeight w:val="16"/>
          <w:tblHeader/>
        </w:trPr>
        <w:tc>
          <w:tcPr>
            <w:tcW w:w="1293" w:type="pct"/>
            <w:tcBorders>
              <w:top w:val="single" w:sz="4" w:space="0" w:color="auto"/>
              <w:left w:val="single" w:sz="4" w:space="0" w:color="auto"/>
              <w:bottom w:val="single" w:sz="4" w:space="0" w:color="auto"/>
              <w:right w:val="single" w:sz="4" w:space="0" w:color="auto"/>
            </w:tcBorders>
          </w:tcPr>
          <w:p w14:paraId="32577786" w14:textId="11BED152" w:rsidR="007C7C39" w:rsidRPr="00F349EA" w:rsidRDefault="007C7C39" w:rsidP="00221747">
            <w:pPr>
              <w:rPr>
                <w:rFonts w:ascii="Arial" w:eastAsia="Times New Roman" w:hAnsi="Arial" w:cs="Arial"/>
                <w:b/>
                <w:bCs/>
                <w:color w:val="000000"/>
              </w:rPr>
            </w:pPr>
            <w:r w:rsidRPr="00F349EA">
              <w:rPr>
                <w:rFonts w:ascii="Arial" w:hAnsi="Arial" w:cs="Arial"/>
                <w:b/>
                <w:bCs/>
                <w:color w:val="000000"/>
              </w:rPr>
              <w:lastRenderedPageBreak/>
              <w:t>KR 11.3:</w:t>
            </w:r>
            <w:r w:rsidRPr="00F349EA">
              <w:rPr>
                <w:rFonts w:ascii="Arial" w:hAnsi="Arial" w:cs="Arial"/>
                <w:color w:val="000000"/>
              </w:rPr>
              <w:t xml:space="preserve"> Launch of colleague engagement plan</w:t>
            </w:r>
            <w:r w:rsidR="001F14BB" w:rsidRPr="00F349EA">
              <w:rPr>
                <w:rFonts w:ascii="Arial" w:hAnsi="Arial" w:cs="Arial"/>
                <w:color w:val="000000"/>
              </w:rPr>
              <w:t>.</w:t>
            </w:r>
            <w:r w:rsidRPr="00F349EA">
              <w:rPr>
                <w:rFonts w:ascii="Arial" w:hAnsi="Arial" w:cs="Arial"/>
                <w:color w:val="000000"/>
              </w:rPr>
              <w:t xml:space="preserve"> </w:t>
            </w:r>
          </w:p>
        </w:tc>
        <w:tc>
          <w:tcPr>
            <w:tcW w:w="256" w:type="pct"/>
            <w:tcBorders>
              <w:top w:val="single" w:sz="4" w:space="0" w:color="auto"/>
              <w:left w:val="single" w:sz="4" w:space="0" w:color="auto"/>
              <w:bottom w:val="single" w:sz="4" w:space="0" w:color="auto"/>
              <w:right w:val="single" w:sz="4" w:space="0" w:color="auto"/>
            </w:tcBorders>
            <w:vAlign w:val="center"/>
          </w:tcPr>
          <w:p w14:paraId="3B62EB75" w14:textId="28007BB4" w:rsidR="007C7C39" w:rsidRPr="00F349EA" w:rsidRDefault="007C7C39" w:rsidP="00221747">
            <w:pPr>
              <w:jc w:val="center"/>
              <w:textAlignment w:val="baseline"/>
              <w:rPr>
                <w:rFonts w:ascii="Arial" w:eastAsia="Times New Roman" w:hAnsi="Arial" w:cs="Arial"/>
                <w:lang w:eastAsia="en-GB"/>
              </w:rPr>
            </w:pPr>
            <w:r w:rsidRPr="00F349EA">
              <w:rPr>
                <w:rFonts w:ascii="Arial" w:hAnsi="Arial" w:cs="Arial"/>
                <w:b/>
                <w:bCs/>
                <w:color w:val="000000"/>
              </w:rPr>
              <w:t>Q3</w:t>
            </w:r>
          </w:p>
        </w:tc>
        <w:tc>
          <w:tcPr>
            <w:tcW w:w="309" w:type="pct"/>
            <w:tcBorders>
              <w:top w:val="single" w:sz="4" w:space="0" w:color="auto"/>
              <w:left w:val="single" w:sz="4" w:space="0" w:color="auto"/>
              <w:bottom w:val="single" w:sz="4" w:space="0" w:color="auto"/>
              <w:right w:val="single" w:sz="4" w:space="0" w:color="auto"/>
            </w:tcBorders>
            <w:vAlign w:val="center"/>
          </w:tcPr>
          <w:p w14:paraId="5CEFA8C4" w14:textId="71D2D609" w:rsidR="007C7C39" w:rsidRPr="00F349EA" w:rsidRDefault="007C7C39" w:rsidP="00221747">
            <w:pPr>
              <w:jc w:val="center"/>
              <w:textAlignment w:val="baseline"/>
              <w:rPr>
                <w:rFonts w:ascii="Arial" w:eastAsia="Times New Roman" w:hAnsi="Arial" w:cs="Arial"/>
                <w:lang w:eastAsia="en-GB"/>
              </w:rPr>
            </w:pPr>
            <w:r w:rsidRPr="00F349EA">
              <w:rPr>
                <w:rFonts w:ascii="Arial" w:hAnsi="Arial" w:cs="Arial"/>
                <w:color w:val="000000"/>
              </w:rPr>
              <w:t>N/A</w:t>
            </w:r>
          </w:p>
        </w:tc>
        <w:tc>
          <w:tcPr>
            <w:tcW w:w="309" w:type="pct"/>
            <w:tcBorders>
              <w:top w:val="single" w:sz="4" w:space="0" w:color="auto"/>
              <w:left w:val="single" w:sz="4" w:space="0" w:color="auto"/>
              <w:bottom w:val="single" w:sz="4" w:space="0" w:color="auto"/>
              <w:right w:val="single" w:sz="4" w:space="0" w:color="auto"/>
            </w:tcBorders>
            <w:vAlign w:val="center"/>
          </w:tcPr>
          <w:p w14:paraId="712A490F" w14:textId="21072557" w:rsidR="007C7C39" w:rsidRPr="00F349EA" w:rsidRDefault="002C6A2A" w:rsidP="00221747">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N/A</w:t>
            </w:r>
          </w:p>
        </w:tc>
        <w:tc>
          <w:tcPr>
            <w:tcW w:w="309" w:type="pct"/>
            <w:tcBorders>
              <w:top w:val="single" w:sz="4" w:space="0" w:color="auto"/>
              <w:left w:val="single" w:sz="4" w:space="0" w:color="auto"/>
              <w:bottom w:val="single" w:sz="4" w:space="0" w:color="auto"/>
              <w:right w:val="single" w:sz="4" w:space="0" w:color="auto"/>
            </w:tcBorders>
            <w:vAlign w:val="center"/>
          </w:tcPr>
          <w:p w14:paraId="7E41A6D4" w14:textId="77777777" w:rsidR="007C7C39" w:rsidRPr="00F349EA" w:rsidRDefault="007C7C39"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309" w:type="pct"/>
            <w:tcBorders>
              <w:top w:val="single" w:sz="4" w:space="0" w:color="auto"/>
              <w:left w:val="single" w:sz="4" w:space="0" w:color="auto"/>
              <w:bottom w:val="single" w:sz="4" w:space="0" w:color="auto"/>
              <w:right w:val="single" w:sz="4" w:space="0" w:color="auto"/>
            </w:tcBorders>
            <w:vAlign w:val="center"/>
          </w:tcPr>
          <w:p w14:paraId="37A9FFE3" w14:textId="77777777" w:rsidR="007C7C39" w:rsidRPr="00F349EA" w:rsidRDefault="007C7C39"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341" w:type="pct"/>
            <w:tcBorders>
              <w:top w:val="single" w:sz="4" w:space="0" w:color="auto"/>
              <w:left w:val="single" w:sz="4" w:space="0" w:color="auto"/>
              <w:bottom w:val="single" w:sz="4" w:space="0" w:color="auto"/>
              <w:right w:val="single" w:sz="4" w:space="0" w:color="auto"/>
            </w:tcBorders>
            <w:vAlign w:val="center"/>
          </w:tcPr>
          <w:p w14:paraId="0FCA7E76" w14:textId="04372C55" w:rsidR="007C7C39" w:rsidRPr="00F349EA" w:rsidRDefault="001F7A6F" w:rsidP="00221747">
            <w:pPr>
              <w:jc w:val="center"/>
              <w:textAlignment w:val="baseline"/>
              <w:rPr>
                <w:rFonts w:ascii="Arial" w:hAnsi="Arial" w:cs="Arial"/>
                <w:b/>
              </w:rPr>
            </w:pPr>
            <w:r w:rsidRPr="00F349EA">
              <w:rPr>
                <w:b/>
                <w:bCs/>
                <w:noProof/>
              </w:rPr>
              <w:drawing>
                <wp:inline distT="0" distB="0" distL="0" distR="0" wp14:anchorId="53AC6D41" wp14:editId="18E82F2E">
                  <wp:extent cx="470590" cy="470590"/>
                  <wp:effectExtent l="0" t="0" r="0" b="5715"/>
                  <wp:docPr id="879742200"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472345" cy="472345"/>
                          </a:xfrm>
                          <a:prstGeom prst="rect">
                            <a:avLst/>
                          </a:prstGeom>
                        </pic:spPr>
                      </pic:pic>
                    </a:graphicData>
                  </a:graphic>
                </wp:inline>
              </w:drawing>
            </w:r>
          </w:p>
        </w:tc>
        <w:tc>
          <w:tcPr>
            <w:tcW w:w="1284" w:type="pct"/>
            <w:tcBorders>
              <w:top w:val="single" w:sz="4" w:space="0" w:color="auto"/>
              <w:left w:val="single" w:sz="4" w:space="0" w:color="auto"/>
              <w:bottom w:val="single" w:sz="4" w:space="0" w:color="auto"/>
              <w:right w:val="single" w:sz="4" w:space="0" w:color="auto"/>
            </w:tcBorders>
            <w:vAlign w:val="center"/>
          </w:tcPr>
          <w:p w14:paraId="7EDF10CC" w14:textId="7A82AC8D" w:rsidR="007C7C39" w:rsidRPr="00F349EA" w:rsidRDefault="00F767D4" w:rsidP="00221747">
            <w:pPr>
              <w:textAlignment w:val="baseline"/>
              <w:rPr>
                <w:rFonts w:ascii="Arial" w:eastAsia="Times New Roman" w:hAnsi="Arial" w:cs="Arial"/>
                <w:lang w:eastAsia="en-GB"/>
              </w:rPr>
            </w:pPr>
            <w:r w:rsidRPr="00F349EA">
              <w:rPr>
                <w:rFonts w:ascii="Arial" w:eastAsia="Times New Roman" w:hAnsi="Arial" w:cs="Arial"/>
                <w:lang w:eastAsia="en-GB"/>
              </w:rPr>
              <w:t xml:space="preserve">Work is progressing to produce an </w:t>
            </w:r>
            <w:r w:rsidR="00C27791" w:rsidRPr="00F349EA">
              <w:rPr>
                <w:rFonts w:ascii="Arial" w:eastAsia="Times New Roman" w:hAnsi="Arial" w:cs="Arial"/>
                <w:lang w:eastAsia="en-GB"/>
              </w:rPr>
              <w:t>employee</w:t>
            </w:r>
            <w:r w:rsidRPr="00F349EA">
              <w:rPr>
                <w:rFonts w:ascii="Arial" w:eastAsia="Times New Roman" w:hAnsi="Arial" w:cs="Arial"/>
                <w:lang w:eastAsia="en-GB"/>
              </w:rPr>
              <w:t xml:space="preserve"> engagement plan for the People Strategy. We are working </w:t>
            </w:r>
            <w:r w:rsidR="01A44CD1" w:rsidRPr="79F47562">
              <w:rPr>
                <w:rFonts w:ascii="Arial" w:eastAsia="Times New Roman" w:hAnsi="Arial" w:cs="Arial"/>
                <w:lang w:eastAsia="en-GB"/>
              </w:rPr>
              <w:t>collaboratively</w:t>
            </w:r>
            <w:r w:rsidR="759416B3" w:rsidRPr="5CF7CBB4">
              <w:rPr>
                <w:rFonts w:ascii="Arial" w:eastAsia="Times New Roman" w:hAnsi="Arial" w:cs="Arial"/>
                <w:lang w:eastAsia="en-GB"/>
              </w:rPr>
              <w:t xml:space="preserve"> </w:t>
            </w:r>
            <w:r w:rsidRPr="00F349EA">
              <w:rPr>
                <w:rFonts w:ascii="Arial" w:eastAsia="Times New Roman" w:hAnsi="Arial" w:cs="Arial"/>
                <w:lang w:eastAsia="en-GB"/>
              </w:rPr>
              <w:t xml:space="preserve">on identifying areas for pulse surveys and an </w:t>
            </w:r>
            <w:bookmarkStart w:id="39" w:name="_Int_Ip8rHECl"/>
            <w:proofErr w:type="gramStart"/>
            <w:r w:rsidRPr="00F349EA">
              <w:rPr>
                <w:rFonts w:ascii="Arial" w:eastAsia="Times New Roman" w:hAnsi="Arial" w:cs="Arial"/>
                <w:lang w:eastAsia="en-GB"/>
              </w:rPr>
              <w:t>all employee</w:t>
            </w:r>
            <w:bookmarkEnd w:id="39"/>
            <w:proofErr w:type="gramEnd"/>
            <w:r w:rsidRPr="00F349EA">
              <w:rPr>
                <w:rFonts w:ascii="Arial" w:eastAsia="Times New Roman" w:hAnsi="Arial" w:cs="Arial"/>
                <w:lang w:eastAsia="en-GB"/>
              </w:rPr>
              <w:t xml:space="preserve"> survey design. We have also completed engagement in specific activities launched as part of the People Strategy including </w:t>
            </w:r>
            <w:r w:rsidR="008F16D0" w:rsidRPr="00F349EA">
              <w:rPr>
                <w:rFonts w:ascii="Arial" w:eastAsia="Times New Roman" w:hAnsi="Arial" w:cs="Arial"/>
                <w:lang w:eastAsia="en-GB"/>
              </w:rPr>
              <w:t>M</w:t>
            </w:r>
            <w:r w:rsidRPr="00F349EA">
              <w:rPr>
                <w:rFonts w:ascii="Arial" w:eastAsia="Times New Roman" w:hAnsi="Arial" w:cs="Arial"/>
                <w:lang w:eastAsia="en-GB"/>
              </w:rPr>
              <w:t xml:space="preserve">anagement </w:t>
            </w:r>
            <w:r w:rsidR="008F16D0" w:rsidRPr="00F349EA">
              <w:rPr>
                <w:rFonts w:ascii="Arial" w:eastAsia="Times New Roman" w:hAnsi="Arial" w:cs="Arial"/>
                <w:lang w:eastAsia="en-GB"/>
              </w:rPr>
              <w:t>M</w:t>
            </w:r>
            <w:r w:rsidRPr="00F349EA">
              <w:rPr>
                <w:rFonts w:ascii="Arial" w:eastAsia="Times New Roman" w:hAnsi="Arial" w:cs="Arial"/>
                <w:lang w:eastAsia="en-GB"/>
              </w:rPr>
              <w:t>eans.</w:t>
            </w:r>
          </w:p>
          <w:p w14:paraId="5E08F145" w14:textId="4FA356C6" w:rsidR="002B5086" w:rsidRPr="00F349EA" w:rsidRDefault="002B5086" w:rsidP="00221747">
            <w:pPr>
              <w:textAlignment w:val="baseline"/>
              <w:rPr>
                <w:rFonts w:ascii="Arial" w:eastAsia="Times New Roman" w:hAnsi="Arial" w:cs="Arial"/>
                <w:b/>
                <w:bCs/>
                <w:lang w:eastAsia="en-GB"/>
              </w:rPr>
            </w:pPr>
            <w:r w:rsidRPr="00F349EA">
              <w:rPr>
                <w:rFonts w:ascii="Arial" w:eastAsia="Times New Roman" w:hAnsi="Arial" w:cs="Arial"/>
                <w:b/>
                <w:bCs/>
                <w:lang w:eastAsia="en-GB"/>
              </w:rPr>
              <w:t xml:space="preserve">Confidence in forecast: </w:t>
            </w:r>
            <w:r w:rsidRPr="00F349EA">
              <w:rPr>
                <w:rFonts w:ascii="Arial" w:eastAsia="Times New Roman" w:hAnsi="Arial" w:cs="Arial"/>
                <w:lang w:eastAsia="en-GB"/>
              </w:rPr>
              <w:t>High</w:t>
            </w:r>
          </w:p>
        </w:tc>
        <w:tc>
          <w:tcPr>
            <w:tcW w:w="590" w:type="pct"/>
            <w:tcBorders>
              <w:top w:val="single" w:sz="4" w:space="0" w:color="auto"/>
              <w:left w:val="single" w:sz="4" w:space="0" w:color="auto"/>
              <w:bottom w:val="single" w:sz="4" w:space="0" w:color="auto"/>
              <w:right w:val="single" w:sz="4" w:space="0" w:color="auto"/>
            </w:tcBorders>
            <w:vAlign w:val="center"/>
          </w:tcPr>
          <w:p w14:paraId="181CCA6C" w14:textId="248EF8DA" w:rsidR="007C7C39" w:rsidRPr="00F349EA" w:rsidRDefault="007C7C39" w:rsidP="00221747">
            <w:pPr>
              <w:jc w:val="center"/>
              <w:textAlignment w:val="baseline"/>
              <w:rPr>
                <w:rFonts w:ascii="Arial" w:eastAsia="Times New Roman" w:hAnsi="Arial" w:cs="Arial"/>
                <w:szCs w:val="28"/>
                <w:lang w:eastAsia="en-GB"/>
              </w:rPr>
            </w:pPr>
            <w:r w:rsidRPr="00F349EA">
              <w:rPr>
                <w:rFonts w:ascii="Arial" w:eastAsia="Times New Roman" w:hAnsi="Arial" w:cs="Arial"/>
                <w:lang w:eastAsia="en-GB"/>
              </w:rPr>
              <w:t>Delivered</w:t>
            </w:r>
          </w:p>
        </w:tc>
      </w:tr>
      <w:tr w:rsidR="00197242" w:rsidRPr="00F349EA" w14:paraId="0ED7C8E3" w14:textId="77777777" w:rsidTr="00221747">
        <w:trPr>
          <w:cantSplit/>
          <w:trHeight w:val="16"/>
          <w:tblHeader/>
        </w:trPr>
        <w:tc>
          <w:tcPr>
            <w:tcW w:w="1293" w:type="pct"/>
            <w:tcBorders>
              <w:top w:val="single" w:sz="4" w:space="0" w:color="auto"/>
              <w:left w:val="single" w:sz="4" w:space="0" w:color="auto"/>
              <w:bottom w:val="single" w:sz="4" w:space="0" w:color="auto"/>
              <w:right w:val="single" w:sz="4" w:space="0" w:color="auto"/>
            </w:tcBorders>
            <w:vAlign w:val="center"/>
          </w:tcPr>
          <w:p w14:paraId="501A82FE" w14:textId="61682DCA" w:rsidR="007C7C39" w:rsidRPr="00F349EA" w:rsidRDefault="007C7C39" w:rsidP="00AA6B79">
            <w:pPr>
              <w:rPr>
                <w:rFonts w:ascii="Arial" w:eastAsia="Times New Roman" w:hAnsi="Arial" w:cs="Arial"/>
                <w:b/>
                <w:bCs/>
                <w:color w:val="000000"/>
              </w:rPr>
            </w:pPr>
            <w:r w:rsidRPr="00F349EA">
              <w:rPr>
                <w:rFonts w:ascii="Arial" w:hAnsi="Arial" w:cs="Arial"/>
                <w:b/>
                <w:bCs/>
                <w:color w:val="000000"/>
              </w:rPr>
              <w:t xml:space="preserve">KR 11.4: </w:t>
            </w:r>
            <w:r w:rsidRPr="00F349EA">
              <w:rPr>
                <w:rFonts w:ascii="Arial" w:hAnsi="Arial" w:cs="Arial"/>
                <w:color w:val="000000"/>
              </w:rPr>
              <w:t>50% of colleagues accessing leadership or personal development opportunities through e-learning, workshops and facilitated programmes</w:t>
            </w:r>
            <w:r w:rsidR="001F14BB" w:rsidRPr="00F349EA">
              <w:rPr>
                <w:rFonts w:ascii="Arial" w:hAnsi="Arial" w:cs="Arial"/>
                <w:color w:val="000000"/>
              </w:rPr>
              <w:t>.</w:t>
            </w:r>
          </w:p>
        </w:tc>
        <w:tc>
          <w:tcPr>
            <w:tcW w:w="256" w:type="pct"/>
            <w:tcBorders>
              <w:top w:val="single" w:sz="4" w:space="0" w:color="auto"/>
              <w:left w:val="single" w:sz="4" w:space="0" w:color="auto"/>
              <w:bottom w:val="single" w:sz="4" w:space="0" w:color="auto"/>
              <w:right w:val="single" w:sz="4" w:space="0" w:color="auto"/>
            </w:tcBorders>
            <w:vAlign w:val="center"/>
          </w:tcPr>
          <w:p w14:paraId="01D3CA2A" w14:textId="35967112" w:rsidR="007C7C39" w:rsidRPr="00F349EA" w:rsidRDefault="007C7C39" w:rsidP="00221747">
            <w:pPr>
              <w:jc w:val="center"/>
              <w:textAlignment w:val="baseline"/>
              <w:rPr>
                <w:rFonts w:ascii="Arial" w:eastAsia="Times New Roman" w:hAnsi="Arial" w:cs="Arial"/>
                <w:lang w:eastAsia="en-GB"/>
              </w:rPr>
            </w:pPr>
            <w:r w:rsidRPr="00F349EA">
              <w:rPr>
                <w:rFonts w:ascii="Arial" w:hAnsi="Arial" w:cs="Arial"/>
                <w:b/>
                <w:bCs/>
                <w:color w:val="000000"/>
              </w:rPr>
              <w:t xml:space="preserve">Q4 </w:t>
            </w:r>
          </w:p>
        </w:tc>
        <w:tc>
          <w:tcPr>
            <w:tcW w:w="309" w:type="pct"/>
            <w:tcBorders>
              <w:top w:val="single" w:sz="4" w:space="0" w:color="auto"/>
              <w:left w:val="single" w:sz="4" w:space="0" w:color="auto"/>
              <w:bottom w:val="single" w:sz="4" w:space="0" w:color="auto"/>
              <w:right w:val="single" w:sz="4" w:space="0" w:color="auto"/>
            </w:tcBorders>
            <w:vAlign w:val="center"/>
          </w:tcPr>
          <w:p w14:paraId="34FF6DB2" w14:textId="2B47C40E" w:rsidR="007C7C39" w:rsidRPr="00F349EA" w:rsidRDefault="007C7C39" w:rsidP="00221747">
            <w:pPr>
              <w:jc w:val="center"/>
              <w:textAlignment w:val="baseline"/>
              <w:rPr>
                <w:rFonts w:ascii="Arial" w:eastAsia="Times New Roman" w:hAnsi="Arial" w:cs="Arial"/>
                <w:lang w:eastAsia="en-GB"/>
              </w:rPr>
            </w:pPr>
            <w:r w:rsidRPr="00F349EA">
              <w:rPr>
                <w:rFonts w:ascii="Arial" w:hAnsi="Arial" w:cs="Arial"/>
                <w:color w:val="000000"/>
              </w:rPr>
              <w:t>0.</w:t>
            </w:r>
            <w:r w:rsidR="00A00AB7" w:rsidRPr="00F349EA">
              <w:rPr>
                <w:rFonts w:ascii="Arial" w:hAnsi="Arial" w:cs="Arial"/>
                <w:color w:val="000000"/>
              </w:rPr>
              <w:t>74</w:t>
            </w:r>
          </w:p>
        </w:tc>
        <w:tc>
          <w:tcPr>
            <w:tcW w:w="309" w:type="pct"/>
            <w:tcBorders>
              <w:top w:val="single" w:sz="4" w:space="0" w:color="auto"/>
              <w:left w:val="single" w:sz="4" w:space="0" w:color="auto"/>
              <w:bottom w:val="single" w:sz="4" w:space="0" w:color="auto"/>
              <w:right w:val="single" w:sz="4" w:space="0" w:color="auto"/>
            </w:tcBorders>
            <w:vAlign w:val="center"/>
          </w:tcPr>
          <w:p w14:paraId="46202799" w14:textId="17ABCCB6" w:rsidR="007C7C39" w:rsidRPr="00F349EA" w:rsidRDefault="001F7A6F" w:rsidP="00221747">
            <w:pPr>
              <w:jc w:val="center"/>
              <w:textAlignment w:val="baseline"/>
              <w:rPr>
                <w:rFonts w:ascii="Arial" w:eastAsia="Times New Roman" w:hAnsi="Arial" w:cs="Arial"/>
                <w:szCs w:val="28"/>
                <w:lang w:eastAsia="en-GB"/>
              </w:rPr>
            </w:pPr>
            <w:r w:rsidRPr="00F349EA">
              <w:rPr>
                <w:rFonts w:ascii="Arial" w:eastAsia="Times New Roman" w:hAnsi="Arial" w:cs="Arial"/>
                <w:szCs w:val="28"/>
                <w:lang w:eastAsia="en-GB"/>
              </w:rPr>
              <w:t>1</w:t>
            </w:r>
          </w:p>
        </w:tc>
        <w:tc>
          <w:tcPr>
            <w:tcW w:w="309" w:type="pct"/>
            <w:tcBorders>
              <w:top w:val="single" w:sz="4" w:space="0" w:color="auto"/>
              <w:left w:val="single" w:sz="4" w:space="0" w:color="auto"/>
              <w:bottom w:val="single" w:sz="4" w:space="0" w:color="auto"/>
              <w:right w:val="single" w:sz="4" w:space="0" w:color="auto"/>
            </w:tcBorders>
            <w:vAlign w:val="center"/>
          </w:tcPr>
          <w:p w14:paraId="5A9BF292" w14:textId="0977CE25" w:rsidR="007C7C39" w:rsidRPr="00F349EA" w:rsidRDefault="00AA6B79"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309" w:type="pct"/>
            <w:tcBorders>
              <w:top w:val="single" w:sz="4" w:space="0" w:color="auto"/>
              <w:left w:val="single" w:sz="4" w:space="0" w:color="auto"/>
              <w:bottom w:val="single" w:sz="4" w:space="0" w:color="auto"/>
              <w:right w:val="single" w:sz="4" w:space="0" w:color="auto"/>
            </w:tcBorders>
            <w:vAlign w:val="center"/>
          </w:tcPr>
          <w:p w14:paraId="2BB5AAA6" w14:textId="542C0867" w:rsidR="007C7C39" w:rsidRPr="00F349EA" w:rsidRDefault="00AA6B79" w:rsidP="00221747">
            <w:pPr>
              <w:jc w:val="center"/>
              <w:textAlignment w:val="baseline"/>
              <w:rPr>
                <w:rFonts w:ascii="Arial" w:eastAsia="Times New Roman" w:hAnsi="Arial" w:cs="Arial"/>
                <w:lang w:eastAsia="en-GB"/>
              </w:rPr>
            </w:pPr>
            <w:r w:rsidRPr="00F349EA">
              <w:rPr>
                <w:rFonts w:ascii="Arial" w:eastAsia="Times New Roman" w:hAnsi="Arial" w:cs="Arial"/>
                <w:lang w:eastAsia="en-GB"/>
              </w:rPr>
              <w:t>-</w:t>
            </w:r>
          </w:p>
        </w:tc>
        <w:tc>
          <w:tcPr>
            <w:tcW w:w="341" w:type="pct"/>
            <w:tcBorders>
              <w:top w:val="single" w:sz="4" w:space="0" w:color="auto"/>
              <w:left w:val="single" w:sz="4" w:space="0" w:color="auto"/>
              <w:bottom w:val="single" w:sz="4" w:space="0" w:color="auto"/>
              <w:right w:val="single" w:sz="4" w:space="0" w:color="auto"/>
            </w:tcBorders>
            <w:vAlign w:val="center"/>
          </w:tcPr>
          <w:p w14:paraId="73607373" w14:textId="1DF5916C" w:rsidR="007C7C39" w:rsidRPr="00F349EA" w:rsidRDefault="002C6A2A" w:rsidP="00221747">
            <w:pPr>
              <w:jc w:val="center"/>
              <w:textAlignment w:val="baseline"/>
              <w:rPr>
                <w:rFonts w:ascii="Arial" w:hAnsi="Arial" w:cs="Arial"/>
                <w:b/>
              </w:rPr>
            </w:pPr>
            <w:r w:rsidRPr="00F349EA">
              <w:rPr>
                <w:noProof/>
              </w:rPr>
              <w:drawing>
                <wp:inline distT="0" distB="0" distL="0" distR="0" wp14:anchorId="70D8B060" wp14:editId="43F35267">
                  <wp:extent cx="463550" cy="463550"/>
                  <wp:effectExtent l="0" t="0" r="0" b="0"/>
                  <wp:docPr id="1136553753"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63764" cy="463764"/>
                          </a:xfrm>
                          <a:prstGeom prst="rect">
                            <a:avLst/>
                          </a:prstGeom>
                        </pic:spPr>
                      </pic:pic>
                    </a:graphicData>
                  </a:graphic>
                </wp:inline>
              </w:drawing>
            </w:r>
          </w:p>
        </w:tc>
        <w:tc>
          <w:tcPr>
            <w:tcW w:w="1284" w:type="pct"/>
            <w:tcBorders>
              <w:top w:val="single" w:sz="4" w:space="0" w:color="auto"/>
              <w:left w:val="single" w:sz="4" w:space="0" w:color="auto"/>
              <w:bottom w:val="single" w:sz="4" w:space="0" w:color="auto"/>
              <w:right w:val="single" w:sz="4" w:space="0" w:color="auto"/>
            </w:tcBorders>
            <w:vAlign w:val="center"/>
          </w:tcPr>
          <w:p w14:paraId="5755AB87" w14:textId="77777777" w:rsidR="00EA06C7" w:rsidRPr="00F349EA" w:rsidRDefault="00EA06C7" w:rsidP="00221747">
            <w:pPr>
              <w:textAlignment w:val="baseline"/>
              <w:rPr>
                <w:rFonts w:ascii="Arial" w:eastAsia="Times New Roman" w:hAnsi="Arial" w:cs="Arial"/>
                <w:lang w:eastAsia="en-GB"/>
              </w:rPr>
            </w:pPr>
            <w:r w:rsidRPr="00F349EA">
              <w:rPr>
                <w:rFonts w:ascii="Arial" w:eastAsia="Times New Roman" w:hAnsi="Arial" w:cs="Arial"/>
                <w:b/>
                <w:bCs/>
                <w:lang w:eastAsia="en-GB"/>
              </w:rPr>
              <w:t>Key result complete in Q2</w:t>
            </w:r>
            <w:r w:rsidRPr="00F349EA">
              <w:rPr>
                <w:rFonts w:ascii="Arial" w:eastAsia="Times New Roman" w:hAnsi="Arial" w:cs="Arial"/>
                <w:lang w:eastAsia="en-GB"/>
              </w:rPr>
              <w:t xml:space="preserve">. </w:t>
            </w:r>
          </w:p>
          <w:p w14:paraId="08F05BC3" w14:textId="105CE8A5" w:rsidR="002B5086" w:rsidRPr="00F349EA" w:rsidRDefault="00F767D4" w:rsidP="00221747">
            <w:pPr>
              <w:textAlignment w:val="baseline"/>
              <w:rPr>
                <w:rFonts w:ascii="Arial" w:eastAsia="Times New Roman" w:hAnsi="Arial" w:cs="Arial"/>
                <w:lang w:eastAsia="en-GB"/>
              </w:rPr>
            </w:pPr>
            <w:r w:rsidRPr="00F349EA">
              <w:rPr>
                <w:rFonts w:ascii="Arial" w:eastAsia="Times New Roman" w:hAnsi="Arial" w:cs="Arial"/>
                <w:lang w:eastAsia="en-GB"/>
              </w:rPr>
              <w:t>We have exceeded our target for 2025/26</w:t>
            </w:r>
            <w:r w:rsidR="00304D00" w:rsidRPr="00F349EA">
              <w:rPr>
                <w:rFonts w:ascii="Arial" w:eastAsia="Times New Roman" w:hAnsi="Arial" w:cs="Arial"/>
                <w:lang w:eastAsia="en-GB"/>
              </w:rPr>
              <w:t xml:space="preserve">, with 54.8% </w:t>
            </w:r>
            <w:r w:rsidR="00304D00" w:rsidRPr="00F349EA">
              <w:rPr>
                <w:rFonts w:ascii="Arial" w:hAnsi="Arial" w:cs="Arial"/>
                <w:color w:val="000000"/>
              </w:rPr>
              <w:t>of colleagues accessing leadership or personal development opportunities through e-learning, workshops and facilitated programmes</w:t>
            </w:r>
            <w:r w:rsidR="009725E3" w:rsidRPr="00F349EA">
              <w:rPr>
                <w:rFonts w:ascii="Arial" w:eastAsia="Times New Roman" w:hAnsi="Arial" w:cs="Arial"/>
                <w:lang w:eastAsia="en-GB"/>
              </w:rPr>
              <w:t xml:space="preserve">. </w:t>
            </w:r>
          </w:p>
        </w:tc>
        <w:tc>
          <w:tcPr>
            <w:tcW w:w="590" w:type="pct"/>
            <w:tcBorders>
              <w:top w:val="single" w:sz="4" w:space="0" w:color="auto"/>
              <w:left w:val="single" w:sz="4" w:space="0" w:color="auto"/>
              <w:bottom w:val="single" w:sz="4" w:space="0" w:color="auto"/>
              <w:right w:val="single" w:sz="4" w:space="0" w:color="auto"/>
            </w:tcBorders>
            <w:vAlign w:val="center"/>
          </w:tcPr>
          <w:p w14:paraId="07FCF88C" w14:textId="1BED965E" w:rsidR="007C7C39" w:rsidRPr="00F349EA" w:rsidRDefault="007C7C39" w:rsidP="00221747">
            <w:pPr>
              <w:jc w:val="center"/>
              <w:textAlignment w:val="baseline"/>
              <w:rPr>
                <w:rFonts w:ascii="Arial" w:eastAsia="Times New Roman" w:hAnsi="Arial" w:cs="Arial"/>
                <w:szCs w:val="28"/>
                <w:lang w:eastAsia="en-GB"/>
              </w:rPr>
            </w:pPr>
            <w:r w:rsidRPr="00F349EA">
              <w:rPr>
                <w:rFonts w:ascii="Arial" w:eastAsia="Times New Roman" w:hAnsi="Arial" w:cs="Arial"/>
                <w:lang w:eastAsia="en-GB"/>
              </w:rPr>
              <w:t>Delivered</w:t>
            </w:r>
          </w:p>
        </w:tc>
      </w:tr>
    </w:tbl>
    <w:p w14:paraId="756A00A4" w14:textId="386EB08C" w:rsidR="00202277" w:rsidRPr="00573404" w:rsidRDefault="000111F4" w:rsidP="00221747">
      <w:pPr>
        <w:spacing w:before="80" w:after="120"/>
        <w:rPr>
          <w:sz w:val="28"/>
          <w:szCs w:val="28"/>
        </w:rPr>
      </w:pPr>
      <w:r w:rsidRPr="00F349EA">
        <w:rPr>
          <w:b/>
          <w:bCs/>
          <w:sz w:val="28"/>
          <w:szCs w:val="28"/>
        </w:rPr>
        <w:t>Overall objective score</w:t>
      </w:r>
      <w:r w:rsidRPr="00F349EA">
        <w:rPr>
          <w:sz w:val="28"/>
          <w:szCs w:val="28"/>
        </w:rPr>
        <w:t xml:space="preserve"> =</w:t>
      </w:r>
      <w:r w:rsidRPr="00F349EA">
        <w:rPr>
          <w:color w:val="016574"/>
          <w:sz w:val="28"/>
          <w:szCs w:val="28"/>
        </w:rPr>
        <w:t xml:space="preserve"> </w:t>
      </w:r>
      <w:r w:rsidRPr="00F349EA">
        <w:rPr>
          <w:sz w:val="28"/>
          <w:szCs w:val="28"/>
        </w:rPr>
        <w:t>0.</w:t>
      </w:r>
      <w:bookmarkEnd w:id="38"/>
      <w:r w:rsidR="00AA6B79" w:rsidRPr="00F349EA">
        <w:rPr>
          <w:sz w:val="28"/>
          <w:szCs w:val="28"/>
        </w:rPr>
        <w:t>66</w:t>
      </w:r>
    </w:p>
    <w:sectPr w:rsidR="00202277" w:rsidRPr="00573404" w:rsidSect="002B6A66">
      <w:pgSz w:w="16838" w:h="11906" w:orient="landscape" w:code="9"/>
      <w:pgMar w:top="1083" w:right="1134" w:bottom="1083"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F710" w14:textId="77777777" w:rsidR="00E53217" w:rsidRPr="00F349EA" w:rsidRDefault="00E53217" w:rsidP="00660C79">
      <w:pPr>
        <w:spacing w:line="240" w:lineRule="auto"/>
      </w:pPr>
      <w:r w:rsidRPr="00F349EA">
        <w:separator/>
      </w:r>
    </w:p>
  </w:endnote>
  <w:endnote w:type="continuationSeparator" w:id="0">
    <w:p w14:paraId="5827D199" w14:textId="77777777" w:rsidR="00E53217" w:rsidRPr="00F349EA" w:rsidRDefault="00E53217" w:rsidP="00660C79">
      <w:pPr>
        <w:spacing w:line="240" w:lineRule="auto"/>
      </w:pPr>
      <w:r w:rsidRPr="00F349EA">
        <w:continuationSeparator/>
      </w:r>
    </w:p>
  </w:endnote>
  <w:endnote w:type="continuationNotice" w:id="1">
    <w:p w14:paraId="533BF923" w14:textId="77777777" w:rsidR="00E53217" w:rsidRPr="00F349EA" w:rsidRDefault="00E532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AAFE" w14:textId="16BC9EB9" w:rsidR="00472315" w:rsidRPr="00F349EA" w:rsidRDefault="008C52C6">
    <w:pPr>
      <w:pStyle w:val="Footer"/>
    </w:pPr>
    <w:r>
      <w:rPr>
        <w:noProof/>
      </w:rPr>
      <mc:AlternateContent>
        <mc:Choice Requires="wps">
          <w:drawing>
            <wp:anchor distT="0" distB="0" distL="0" distR="0" simplePos="0" relativeHeight="251663367" behindDoc="0" locked="0" layoutInCell="1" allowOverlap="1" wp14:anchorId="5D21D7A0" wp14:editId="46A4D690">
              <wp:simplePos x="635" y="635"/>
              <wp:positionH relativeFrom="page">
                <wp:align>center</wp:align>
              </wp:positionH>
              <wp:positionV relativeFrom="page">
                <wp:align>bottom</wp:align>
              </wp:positionV>
              <wp:extent cx="518795" cy="422910"/>
              <wp:effectExtent l="0" t="0" r="14605" b="0"/>
              <wp:wrapNone/>
              <wp:docPr id="67869996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77A6780F" w14:textId="4858BE7A" w:rsidR="008C52C6" w:rsidRPr="008C52C6" w:rsidRDefault="008C52C6" w:rsidP="008C52C6">
                          <w:pPr>
                            <w:rPr>
                              <w:rFonts w:ascii="Aptos" w:eastAsia="Aptos" w:hAnsi="Aptos" w:cs="Aptos"/>
                              <w:noProof/>
                              <w:color w:val="0000FF"/>
                              <w:sz w:val="20"/>
                              <w:szCs w:val="20"/>
                            </w:rPr>
                          </w:pPr>
                          <w:r w:rsidRPr="008C52C6">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21D7A0" id="_x0000_t202" coordsize="21600,21600" o:spt="202" path="m,l,21600r21600,l21600,xe">
              <v:stroke joinstyle="miter"/>
              <v:path gradientshapeok="t" o:connecttype="rect"/>
            </v:shapetype>
            <v:shape id="Text Box 15" o:spid="_x0000_s1030" type="#_x0000_t202" alt="OFFICIAL" style="position:absolute;margin-left:0;margin-top:0;width:40.85pt;height:33.3pt;z-index:2516633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77A6780F" w14:textId="4858BE7A" w:rsidR="008C52C6" w:rsidRPr="008C52C6" w:rsidRDefault="008C52C6" w:rsidP="008C52C6">
                    <w:pPr>
                      <w:rPr>
                        <w:rFonts w:ascii="Aptos" w:eastAsia="Aptos" w:hAnsi="Aptos" w:cs="Aptos"/>
                        <w:noProof/>
                        <w:color w:val="0000FF"/>
                        <w:sz w:val="20"/>
                        <w:szCs w:val="20"/>
                      </w:rPr>
                    </w:pPr>
                    <w:r w:rsidRPr="008C52C6">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6242" w14:textId="67105D4D" w:rsidR="00480059" w:rsidRPr="00F349EA" w:rsidRDefault="008C52C6">
    <w:pPr>
      <w:pStyle w:val="Footer"/>
      <w:jc w:val="right"/>
    </w:pPr>
    <w:r>
      <w:rPr>
        <w:noProof/>
      </w:rPr>
      <mc:AlternateContent>
        <mc:Choice Requires="wps">
          <w:drawing>
            <wp:anchor distT="0" distB="0" distL="0" distR="0" simplePos="0" relativeHeight="251664391" behindDoc="0" locked="0" layoutInCell="1" allowOverlap="1" wp14:anchorId="79D84F47" wp14:editId="60621ACC">
              <wp:simplePos x="688340" y="9982200"/>
              <wp:positionH relativeFrom="page">
                <wp:align>center</wp:align>
              </wp:positionH>
              <wp:positionV relativeFrom="page">
                <wp:align>bottom</wp:align>
              </wp:positionV>
              <wp:extent cx="518795" cy="422910"/>
              <wp:effectExtent l="0" t="0" r="14605" b="0"/>
              <wp:wrapNone/>
              <wp:docPr id="208711370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F5B920B" w14:textId="36FE78C1" w:rsidR="008C52C6" w:rsidRPr="008C52C6" w:rsidRDefault="008C52C6" w:rsidP="008C52C6">
                          <w:pPr>
                            <w:rPr>
                              <w:rFonts w:ascii="Aptos" w:eastAsia="Aptos" w:hAnsi="Aptos" w:cs="Aptos"/>
                              <w:noProof/>
                              <w:color w:val="0000FF"/>
                              <w:sz w:val="20"/>
                              <w:szCs w:val="20"/>
                            </w:rPr>
                          </w:pPr>
                          <w:r w:rsidRPr="008C52C6">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D84F47" id="_x0000_t202" coordsize="21600,21600" o:spt="202" path="m,l,21600r21600,l21600,xe">
              <v:stroke joinstyle="miter"/>
              <v:path gradientshapeok="t" o:connecttype="rect"/>
            </v:shapetype>
            <v:shape id="Text Box 16" o:spid="_x0000_s1031" type="#_x0000_t202" alt="OFFICIAL" style="position:absolute;left:0;text-align:left;margin-left:0;margin-top:0;width:40.85pt;height:33.3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fill o:detectmouseclick="t"/>
              <v:textbox style="mso-fit-shape-to-text:t" inset="0,0,0,15pt">
                <w:txbxContent>
                  <w:p w14:paraId="3F5B920B" w14:textId="36FE78C1" w:rsidR="008C52C6" w:rsidRPr="008C52C6" w:rsidRDefault="008C52C6" w:rsidP="008C52C6">
                    <w:pPr>
                      <w:rPr>
                        <w:rFonts w:ascii="Aptos" w:eastAsia="Aptos" w:hAnsi="Aptos" w:cs="Aptos"/>
                        <w:noProof/>
                        <w:color w:val="0000FF"/>
                        <w:sz w:val="20"/>
                        <w:szCs w:val="20"/>
                      </w:rPr>
                    </w:pPr>
                    <w:r w:rsidRPr="008C52C6">
                      <w:rPr>
                        <w:rFonts w:ascii="Aptos" w:eastAsia="Aptos" w:hAnsi="Aptos" w:cs="Aptos"/>
                        <w:noProof/>
                        <w:color w:val="0000FF"/>
                        <w:sz w:val="20"/>
                        <w:szCs w:val="20"/>
                      </w:rPr>
                      <w:t>OFFICIAL</w:t>
                    </w:r>
                  </w:p>
                </w:txbxContent>
              </v:textbox>
              <w10:wrap anchorx="page" anchory="page"/>
            </v:shape>
          </w:pict>
        </mc:Fallback>
      </mc:AlternateContent>
    </w:r>
    <w:sdt>
      <w:sdtPr>
        <w:id w:val="-1532182619"/>
        <w:docPartObj>
          <w:docPartGallery w:val="Page Numbers (Bottom of Page)"/>
          <w:docPartUnique/>
        </w:docPartObj>
      </w:sdtPr>
      <w:sdtContent>
        <w:r w:rsidR="00480059" w:rsidRPr="00F349EA">
          <w:fldChar w:fldCharType="begin"/>
        </w:r>
        <w:r w:rsidR="00480059" w:rsidRPr="00F349EA">
          <w:instrText xml:space="preserve"> PAGE   \* MERGEFORMAT </w:instrText>
        </w:r>
        <w:r w:rsidR="00480059" w:rsidRPr="00F349EA">
          <w:fldChar w:fldCharType="separate"/>
        </w:r>
        <w:r w:rsidR="00480059" w:rsidRPr="00F349EA">
          <w:t>2</w:t>
        </w:r>
        <w:r w:rsidR="00480059" w:rsidRPr="00F349EA">
          <w:fldChar w:fldCharType="end"/>
        </w:r>
      </w:sdtContent>
    </w:sdt>
  </w:p>
  <w:p w14:paraId="1446342F" w14:textId="534C39A5" w:rsidR="0000289D" w:rsidRPr="00F349EA" w:rsidRDefault="00002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A3BE" w14:textId="2119566B" w:rsidR="007A1B67" w:rsidRPr="00F349EA" w:rsidRDefault="008C52C6">
    <w:pPr>
      <w:pStyle w:val="Footer"/>
      <w:jc w:val="right"/>
    </w:pPr>
    <w:r>
      <w:rPr>
        <w:noProof/>
      </w:rPr>
      <mc:AlternateContent>
        <mc:Choice Requires="wps">
          <w:drawing>
            <wp:anchor distT="0" distB="0" distL="0" distR="0" simplePos="0" relativeHeight="251662343" behindDoc="0" locked="0" layoutInCell="1" allowOverlap="1" wp14:anchorId="6414F939" wp14:editId="4BA120B4">
              <wp:simplePos x="688694" y="9983165"/>
              <wp:positionH relativeFrom="page">
                <wp:align>center</wp:align>
              </wp:positionH>
              <wp:positionV relativeFrom="page">
                <wp:align>bottom</wp:align>
              </wp:positionV>
              <wp:extent cx="518795" cy="422910"/>
              <wp:effectExtent l="0" t="0" r="14605" b="0"/>
              <wp:wrapNone/>
              <wp:docPr id="156516471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76679D64" w14:textId="000DF44D" w:rsidR="008C52C6" w:rsidRPr="008C52C6" w:rsidRDefault="008C52C6" w:rsidP="008C52C6">
                          <w:pPr>
                            <w:rPr>
                              <w:rFonts w:ascii="Aptos" w:eastAsia="Aptos" w:hAnsi="Aptos" w:cs="Aptos"/>
                              <w:noProof/>
                              <w:color w:val="0000FF"/>
                              <w:sz w:val="20"/>
                              <w:szCs w:val="20"/>
                            </w:rPr>
                          </w:pPr>
                          <w:r w:rsidRPr="008C52C6">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14F939" id="_x0000_t202" coordsize="21600,21600" o:spt="202" path="m,l,21600r21600,l21600,xe">
              <v:stroke joinstyle="miter"/>
              <v:path gradientshapeok="t" o:connecttype="rect"/>
            </v:shapetype>
            <v:shape id="Text Box 14" o:spid="_x0000_s1033" type="#_x0000_t202" alt="OFFICIAL" style="position:absolute;left:0;text-align:left;margin-left:0;margin-top:0;width:40.85pt;height:33.3pt;z-index:2516623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TYOM02+hPtJSCCe+vZPrllo/CB+eBRLBtAeJ&#10;NjzRoQ30FYezxVkD+ONv/phPuFOUs54EU3FLiubMfLPER9TWaOBobJNRzPNZTnG77+6AZFjQi3Ay&#10;meTFYEZTI3SvJOdVbEQhYSW1q/h2NO/CSbn0HKRarVISyciJ8GA3TsbSEa6I5cvwKtCdAQ/E1COM&#10;ahLlG9xPufGmd6t9IPQTKRHaE5BnxEmCiavzc4ka//U/ZV0f9fIn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U+0H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76679D64" w14:textId="000DF44D" w:rsidR="008C52C6" w:rsidRPr="008C52C6" w:rsidRDefault="008C52C6" w:rsidP="008C52C6">
                    <w:pPr>
                      <w:rPr>
                        <w:rFonts w:ascii="Aptos" w:eastAsia="Aptos" w:hAnsi="Aptos" w:cs="Aptos"/>
                        <w:noProof/>
                        <w:color w:val="0000FF"/>
                        <w:sz w:val="20"/>
                        <w:szCs w:val="20"/>
                      </w:rPr>
                    </w:pPr>
                    <w:r w:rsidRPr="008C52C6">
                      <w:rPr>
                        <w:rFonts w:ascii="Aptos" w:eastAsia="Aptos" w:hAnsi="Aptos" w:cs="Aptos"/>
                        <w:noProof/>
                        <w:color w:val="0000FF"/>
                        <w:sz w:val="20"/>
                        <w:szCs w:val="20"/>
                      </w:rPr>
                      <w:t>OFFICIAL</w:t>
                    </w:r>
                  </w:p>
                </w:txbxContent>
              </v:textbox>
              <w10:wrap anchorx="page" anchory="page"/>
            </v:shape>
          </w:pict>
        </mc:Fallback>
      </mc:AlternateContent>
    </w:r>
    <w:sdt>
      <w:sdtPr>
        <w:id w:val="1661574920"/>
        <w:docPartObj>
          <w:docPartGallery w:val="Page Numbers (Bottom of Page)"/>
          <w:docPartUnique/>
        </w:docPartObj>
      </w:sdtPr>
      <w:sdtContent>
        <w:r w:rsidR="007A1B67" w:rsidRPr="00F349EA">
          <w:fldChar w:fldCharType="begin"/>
        </w:r>
        <w:r w:rsidR="007A1B67" w:rsidRPr="00F349EA">
          <w:instrText xml:space="preserve"> PAGE   \* MERGEFORMAT </w:instrText>
        </w:r>
        <w:r w:rsidR="007A1B67" w:rsidRPr="00F349EA">
          <w:fldChar w:fldCharType="separate"/>
        </w:r>
        <w:r w:rsidR="007A1B67" w:rsidRPr="00F349EA">
          <w:t>2</w:t>
        </w:r>
        <w:r w:rsidR="007A1B67" w:rsidRPr="00F349EA">
          <w:fldChar w:fldCharType="end"/>
        </w:r>
      </w:sdtContent>
    </w:sdt>
  </w:p>
  <w:p w14:paraId="07FF3BA0" w14:textId="75FD72E3" w:rsidR="00472315" w:rsidRPr="00F349EA" w:rsidRDefault="0047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4812" w14:textId="77777777" w:rsidR="00E53217" w:rsidRPr="00F349EA" w:rsidRDefault="00E53217" w:rsidP="00660C79">
      <w:pPr>
        <w:spacing w:line="240" w:lineRule="auto"/>
      </w:pPr>
      <w:r w:rsidRPr="00F349EA">
        <w:separator/>
      </w:r>
    </w:p>
  </w:footnote>
  <w:footnote w:type="continuationSeparator" w:id="0">
    <w:p w14:paraId="5E8847C2" w14:textId="77777777" w:rsidR="00E53217" w:rsidRPr="00F349EA" w:rsidRDefault="00E53217" w:rsidP="00660C79">
      <w:pPr>
        <w:spacing w:line="240" w:lineRule="auto"/>
      </w:pPr>
      <w:r w:rsidRPr="00F349EA">
        <w:continuationSeparator/>
      </w:r>
    </w:p>
  </w:footnote>
  <w:footnote w:type="continuationNotice" w:id="1">
    <w:p w14:paraId="05249DCB" w14:textId="77777777" w:rsidR="00E53217" w:rsidRPr="00F349EA" w:rsidRDefault="00E53217">
      <w:pPr>
        <w:spacing w:line="240" w:lineRule="auto"/>
      </w:pPr>
    </w:p>
  </w:footnote>
  <w:footnote w:id="2">
    <w:p w14:paraId="5FB2DC98" w14:textId="77777777" w:rsidR="00F36988" w:rsidRPr="00F349EA" w:rsidRDefault="00F36988" w:rsidP="00886299">
      <w:pPr>
        <w:spacing w:line="240" w:lineRule="auto"/>
        <w:rPr>
          <w:rFonts w:eastAsiaTheme="minorHAnsi"/>
        </w:rPr>
      </w:pPr>
      <w:r w:rsidRPr="00F349EA">
        <w:rPr>
          <w:rStyle w:val="FootnoteReference"/>
        </w:rPr>
        <w:footnoteRef/>
      </w:r>
      <w:r w:rsidRPr="00F349EA">
        <w:t xml:space="preserve"> These are national outcomes for Scotland and SEPA plays a contributing role. </w:t>
      </w:r>
    </w:p>
  </w:footnote>
  <w:footnote w:id="3">
    <w:p w14:paraId="0D7AD565" w14:textId="77777777" w:rsidR="000E4397" w:rsidRPr="00F349EA" w:rsidRDefault="000E4397" w:rsidP="00320559">
      <w:pPr>
        <w:pStyle w:val="FootnoteText"/>
      </w:pPr>
      <w:r w:rsidRPr="00F349EA">
        <w:rPr>
          <w:rStyle w:val="FootnoteReference"/>
          <w:sz w:val="24"/>
          <w:szCs w:val="24"/>
        </w:rPr>
        <w:footnoteRef/>
      </w:r>
      <w:r w:rsidRPr="00F349EA">
        <w:rPr>
          <w:sz w:val="24"/>
          <w:szCs w:val="24"/>
        </w:rPr>
        <w:t xml:space="preserve"> These are national outcomes for Scotland and SEPA plays a contributing role.</w:t>
      </w:r>
    </w:p>
  </w:footnote>
  <w:footnote w:id="4">
    <w:p w14:paraId="197F9A16" w14:textId="77777777" w:rsidR="00312056" w:rsidRPr="00F349EA" w:rsidRDefault="00312056" w:rsidP="006B7358">
      <w:pPr>
        <w:spacing w:line="240" w:lineRule="auto"/>
      </w:pPr>
      <w:r w:rsidRPr="00F349EA">
        <w:rPr>
          <w:rStyle w:val="FootnoteReference"/>
        </w:rPr>
        <w:footnoteRef/>
      </w:r>
      <w:r w:rsidRPr="00F349EA">
        <w:t xml:space="preserve"> These are national outcomes for Scotland and SEPA plays a contributing role. </w:t>
      </w:r>
    </w:p>
    <w:p w14:paraId="4F46EB79" w14:textId="77777777" w:rsidR="00312056" w:rsidRPr="00F349EA" w:rsidRDefault="00312056" w:rsidP="006B7358">
      <w:pPr>
        <w:rPr>
          <w:rFonts w:eastAsiaTheme="minorHAnsi"/>
        </w:rPr>
      </w:pPr>
    </w:p>
    <w:p w14:paraId="6EC4649C" w14:textId="77777777" w:rsidR="00312056" w:rsidRPr="00F349EA" w:rsidRDefault="00312056" w:rsidP="006B7358">
      <w:pPr>
        <w:pStyle w:val="FootnoteText"/>
      </w:pPr>
    </w:p>
  </w:footnote>
  <w:footnote w:id="5">
    <w:p w14:paraId="567AFD19" w14:textId="21F66112" w:rsidR="00834CF6" w:rsidRDefault="00834CF6">
      <w:pPr>
        <w:pStyle w:val="FootnoteText"/>
      </w:pPr>
      <w:r w:rsidRPr="00F349EA">
        <w:rPr>
          <w:rStyle w:val="FootnoteReference"/>
        </w:rPr>
        <w:footnoteRef/>
      </w:r>
      <w:r w:rsidRPr="00F349EA">
        <w:t xml:space="preserve"> Please note, the Q1 report incorrectly </w:t>
      </w:r>
      <w:r w:rsidR="006C57B0" w:rsidRPr="00F349EA">
        <w:t>showed a score of 0.5 for KR11.4</w:t>
      </w:r>
      <w:r w:rsidR="00900A4B" w:rsidRPr="00F349EA">
        <w:t>. This should have been 0.74.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C67C" w14:textId="4E31D8B7" w:rsidR="00472315" w:rsidRPr="00F349EA" w:rsidRDefault="008C52C6">
    <w:pPr>
      <w:pStyle w:val="Header"/>
    </w:pPr>
    <w:r>
      <w:rPr>
        <w:noProof/>
      </w:rPr>
      <mc:AlternateContent>
        <mc:Choice Requires="wps">
          <w:drawing>
            <wp:anchor distT="0" distB="0" distL="0" distR="0" simplePos="0" relativeHeight="251660295" behindDoc="0" locked="0" layoutInCell="1" allowOverlap="1" wp14:anchorId="6953C942" wp14:editId="75639032">
              <wp:simplePos x="635" y="635"/>
              <wp:positionH relativeFrom="page">
                <wp:align>center</wp:align>
              </wp:positionH>
              <wp:positionV relativeFrom="page">
                <wp:align>top</wp:align>
              </wp:positionV>
              <wp:extent cx="518795" cy="422910"/>
              <wp:effectExtent l="0" t="0" r="14605" b="15240"/>
              <wp:wrapNone/>
              <wp:docPr id="233709243"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596DE94B" w14:textId="689BC0CE" w:rsidR="008C52C6" w:rsidRPr="008C52C6" w:rsidRDefault="008C52C6" w:rsidP="008C52C6">
                          <w:pPr>
                            <w:rPr>
                              <w:rFonts w:ascii="Aptos" w:eastAsia="Aptos" w:hAnsi="Aptos" w:cs="Aptos"/>
                              <w:noProof/>
                              <w:color w:val="0000FF"/>
                              <w:sz w:val="20"/>
                              <w:szCs w:val="20"/>
                            </w:rPr>
                          </w:pPr>
                          <w:r w:rsidRPr="008C52C6">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3C942" id="_x0000_t202" coordsize="21600,21600" o:spt="202" path="m,l,21600r21600,l21600,xe">
              <v:stroke joinstyle="miter"/>
              <v:path gradientshapeok="t" o:connecttype="rect"/>
            </v:shapetype>
            <v:shape id="Text Box 12" o:spid="_x0000_s1028" type="#_x0000_t202" alt="OFFICIAL" style="position:absolute;margin-left:0;margin-top:0;width:40.85pt;height:33.3pt;z-index:251660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fill o:detectmouseclick="t"/>
              <v:textbox style="mso-fit-shape-to-text:t" inset="0,15pt,0,0">
                <w:txbxContent>
                  <w:p w14:paraId="596DE94B" w14:textId="689BC0CE" w:rsidR="008C52C6" w:rsidRPr="008C52C6" w:rsidRDefault="008C52C6" w:rsidP="008C52C6">
                    <w:pPr>
                      <w:rPr>
                        <w:rFonts w:ascii="Aptos" w:eastAsia="Aptos" w:hAnsi="Aptos" w:cs="Aptos"/>
                        <w:noProof/>
                        <w:color w:val="0000FF"/>
                        <w:sz w:val="20"/>
                        <w:szCs w:val="20"/>
                      </w:rPr>
                    </w:pPr>
                    <w:r w:rsidRPr="008C52C6">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0932" w14:textId="1977956B" w:rsidR="00472315" w:rsidRPr="00F349EA" w:rsidRDefault="008C52C6" w:rsidP="00BF23E6">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19" behindDoc="0" locked="0" layoutInCell="1" allowOverlap="1" wp14:anchorId="1BABDD93" wp14:editId="7E9CA6B5">
              <wp:simplePos x="688340" y="360680"/>
              <wp:positionH relativeFrom="page">
                <wp:align>center</wp:align>
              </wp:positionH>
              <wp:positionV relativeFrom="page">
                <wp:align>top</wp:align>
              </wp:positionV>
              <wp:extent cx="518795" cy="422910"/>
              <wp:effectExtent l="0" t="0" r="14605" b="15240"/>
              <wp:wrapNone/>
              <wp:docPr id="823846511"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F6A4A6D" w14:textId="4BB606F2" w:rsidR="008C52C6" w:rsidRPr="008C52C6" w:rsidRDefault="008C52C6" w:rsidP="008C52C6">
                          <w:pPr>
                            <w:rPr>
                              <w:rFonts w:ascii="Aptos" w:eastAsia="Aptos" w:hAnsi="Aptos" w:cs="Aptos"/>
                              <w:noProof/>
                              <w:color w:val="0000FF"/>
                              <w:sz w:val="20"/>
                              <w:szCs w:val="20"/>
                            </w:rPr>
                          </w:pPr>
                          <w:r w:rsidRPr="008C52C6">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ABDD93" id="_x0000_t202" coordsize="21600,21600" o:spt="202" path="m,l,21600r21600,l21600,xe">
              <v:stroke joinstyle="miter"/>
              <v:path gradientshapeok="t" o:connecttype="rect"/>
            </v:shapetype>
            <v:shape id="Text Box 13" o:spid="_x0000_s1029" type="#_x0000_t202" alt="OFFICIAL" style="position:absolute;left:0;text-align:left;margin-left:0;margin-top:0;width:40.85pt;height:33.3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fill o:detectmouseclick="t"/>
              <v:textbox style="mso-fit-shape-to-text:t" inset="0,15pt,0,0">
                <w:txbxContent>
                  <w:p w14:paraId="1F6A4A6D" w14:textId="4BB606F2" w:rsidR="008C52C6" w:rsidRPr="008C52C6" w:rsidRDefault="008C52C6" w:rsidP="008C52C6">
                    <w:pPr>
                      <w:rPr>
                        <w:rFonts w:ascii="Aptos" w:eastAsia="Aptos" w:hAnsi="Aptos" w:cs="Aptos"/>
                        <w:noProof/>
                        <w:color w:val="0000FF"/>
                        <w:sz w:val="20"/>
                        <w:szCs w:val="20"/>
                      </w:rPr>
                    </w:pPr>
                    <w:r w:rsidRPr="008C52C6">
                      <w:rPr>
                        <w:rFonts w:ascii="Aptos" w:eastAsia="Aptos" w:hAnsi="Aptos" w:cs="Aptos"/>
                        <w:noProof/>
                        <w:color w:val="0000FF"/>
                        <w:sz w:val="20"/>
                        <w:szCs w:val="20"/>
                      </w:rPr>
                      <w:t>OFFICIAL</w:t>
                    </w:r>
                  </w:p>
                </w:txbxContent>
              </v:textbox>
              <w10:wrap anchorx="page" anchory="page"/>
            </v:shape>
          </w:pict>
        </mc:Fallback>
      </mc:AlternateContent>
    </w:r>
    <w:r w:rsidR="00BF23E6" w:rsidRPr="00F349EA">
      <w:rPr>
        <w:color w:val="6E7571" w:themeColor="text2"/>
      </w:rPr>
      <w:t xml:space="preserve">SEPA </w:t>
    </w:r>
    <w:r w:rsidR="00CA7DC8" w:rsidRPr="00F349EA">
      <w:rPr>
        <w:color w:val="6E7571" w:themeColor="text2"/>
      </w:rPr>
      <w:t>2025-2026</w:t>
    </w:r>
    <w:r w:rsidR="00BF23E6" w:rsidRPr="00F349EA">
      <w:rPr>
        <w:color w:val="6E7571" w:themeColor="text2"/>
      </w:rPr>
      <w:t xml:space="preserve"> </w:t>
    </w:r>
    <w:r w:rsidR="00964696">
      <w:br/>
    </w:r>
    <w:r w:rsidR="00BF23E6" w:rsidRPr="00F349EA">
      <w:rPr>
        <w:noProof/>
      </w:rPr>
      <mc:AlternateContent>
        <mc:Choice Requires="wps">
          <w:drawing>
            <wp:anchor distT="0" distB="0" distL="114300" distR="114300" simplePos="0" relativeHeight="251658241" behindDoc="1" locked="0" layoutInCell="1" allowOverlap="1" wp14:anchorId="30A08781" wp14:editId="197B3F53">
              <wp:simplePos x="0" y="0"/>
              <wp:positionH relativeFrom="column">
                <wp:posOffset>19050</wp:posOffset>
              </wp:positionH>
              <wp:positionV relativeFrom="paragraph">
                <wp:posOffset>266700</wp:posOffset>
              </wp:positionV>
              <wp:extent cx="9316085" cy="0"/>
              <wp:effectExtent l="0" t="0" r="0" b="0"/>
              <wp:wrapTight wrapText="bothSides">
                <wp:wrapPolygon edited="0">
                  <wp:start x="0" y="0"/>
                  <wp:lineTo x="0" y="21600"/>
                  <wp:lineTo x="21600" y="21600"/>
                  <wp:lineTo x="21600" y="0"/>
                </wp:wrapPolygon>
              </wp:wrapTight>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931608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C7D17A" id="Straight Connector 8" o:spid="_x0000_s1026" alt="&quot;&quot;" style="position:absolute;flip:x 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1pt" to="73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" strokecolor="#016574 [3205]" strokeweight=".5pt">
              <v:stroke joinstyle="miter"/>
              <w10:wrap type="tight"/>
            </v:line>
          </w:pict>
        </mc:Fallback>
      </mc:AlternateContent>
    </w:r>
    <w:r w:rsidR="003547BD" w:rsidRPr="00F349EA">
      <w:rPr>
        <w:color w:val="6E7571" w:themeColor="text2"/>
      </w:rPr>
      <w:t xml:space="preserve">Quarter </w:t>
    </w:r>
    <w:r w:rsidR="008E5028" w:rsidRPr="00F349EA">
      <w:rPr>
        <w:color w:val="6E7571" w:themeColor="text2"/>
      </w:rPr>
      <w:t>2</w:t>
    </w:r>
    <w:r w:rsidR="003547BD" w:rsidRPr="00F349EA">
      <w:rPr>
        <w:color w:val="6E7571" w:themeColor="text2"/>
      </w:rPr>
      <w:t xml:space="preserve"> </w:t>
    </w:r>
    <w:r w:rsidR="00BF23E6" w:rsidRPr="00F349EA">
      <w:rPr>
        <w:color w:val="6E7571" w:themeColor="text2"/>
      </w:rPr>
      <w:t>Corporate Performance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E487" w14:textId="39E441B0" w:rsidR="00CA7DC8" w:rsidRPr="00F349EA" w:rsidRDefault="008C52C6" w:rsidP="00BF23E6">
    <w:pPr>
      <w:pStyle w:val="BodyText1"/>
      <w:spacing w:line="240" w:lineRule="auto"/>
      <w:jc w:val="right"/>
      <w:rPr>
        <w:color w:val="6E7571" w:themeColor="text2"/>
      </w:rPr>
    </w:pPr>
    <w:r>
      <w:rPr>
        <w:noProof/>
      </w:rPr>
      <mc:AlternateContent>
        <mc:Choice Requires="wps">
          <w:drawing>
            <wp:anchor distT="0" distB="0" distL="0" distR="0" simplePos="0" relativeHeight="251659271" behindDoc="0" locked="0" layoutInCell="1" allowOverlap="1" wp14:anchorId="04B8DCED" wp14:editId="67E660A3">
              <wp:simplePos x="688694" y="358815"/>
              <wp:positionH relativeFrom="page">
                <wp:align>center</wp:align>
              </wp:positionH>
              <wp:positionV relativeFrom="page">
                <wp:align>top</wp:align>
              </wp:positionV>
              <wp:extent cx="518795" cy="422910"/>
              <wp:effectExtent l="0" t="0" r="14605" b="15240"/>
              <wp:wrapNone/>
              <wp:docPr id="135853113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758D0527" w14:textId="3E0B961D" w:rsidR="008C52C6" w:rsidRPr="008C52C6" w:rsidRDefault="008C52C6" w:rsidP="008C52C6">
                          <w:pPr>
                            <w:rPr>
                              <w:rFonts w:ascii="Aptos" w:eastAsia="Aptos" w:hAnsi="Aptos" w:cs="Aptos"/>
                              <w:noProof/>
                              <w:color w:val="0000FF"/>
                              <w:sz w:val="20"/>
                              <w:szCs w:val="20"/>
                            </w:rPr>
                          </w:pPr>
                          <w:r w:rsidRPr="008C52C6">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B8DCED" id="_x0000_t202" coordsize="21600,21600" o:spt="202" path="m,l,21600r21600,l21600,xe">
              <v:stroke joinstyle="miter"/>
              <v:path gradientshapeok="t" o:connecttype="rect"/>
            </v:shapetype>
            <v:shape id="Text Box 11" o:spid="_x0000_s1032" type="#_x0000_t202" alt="OFFICIAL" style="position:absolute;left:0;text-align:left;margin-left:0;margin-top:0;width:40.85pt;height:33.3pt;z-index:251659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fill o:detectmouseclick="t"/>
              <v:textbox style="mso-fit-shape-to-text:t" inset="0,15pt,0,0">
                <w:txbxContent>
                  <w:p w14:paraId="758D0527" w14:textId="3E0B961D" w:rsidR="008C52C6" w:rsidRPr="008C52C6" w:rsidRDefault="008C52C6" w:rsidP="008C52C6">
                    <w:pPr>
                      <w:rPr>
                        <w:rFonts w:ascii="Aptos" w:eastAsia="Aptos" w:hAnsi="Aptos" w:cs="Aptos"/>
                        <w:noProof/>
                        <w:color w:val="0000FF"/>
                        <w:sz w:val="20"/>
                        <w:szCs w:val="20"/>
                      </w:rPr>
                    </w:pPr>
                    <w:r w:rsidRPr="008C52C6">
                      <w:rPr>
                        <w:rFonts w:ascii="Aptos" w:eastAsia="Aptos" w:hAnsi="Aptos" w:cs="Aptos"/>
                        <w:noProof/>
                        <w:color w:val="0000FF"/>
                        <w:sz w:val="20"/>
                        <w:szCs w:val="20"/>
                      </w:rPr>
                      <w:t>OFFICIAL</w:t>
                    </w:r>
                  </w:p>
                </w:txbxContent>
              </v:textbox>
              <w10:wrap anchorx="page" anchory="page"/>
            </v:shape>
          </w:pict>
        </mc:Fallback>
      </mc:AlternateContent>
    </w:r>
    <w:r w:rsidR="00BF23E6" w:rsidRPr="00F349EA">
      <w:rPr>
        <w:noProof/>
      </w:rPr>
      <mc:AlternateContent>
        <mc:Choice Requires="wps">
          <w:drawing>
            <wp:anchor distT="0" distB="0" distL="114300" distR="114300" simplePos="0" relativeHeight="251658240" behindDoc="1" locked="0" layoutInCell="1" allowOverlap="1" wp14:anchorId="7E56229B" wp14:editId="6BD3C031">
              <wp:simplePos x="0" y="0"/>
              <wp:positionH relativeFrom="column">
                <wp:posOffset>19050</wp:posOffset>
              </wp:positionH>
              <wp:positionV relativeFrom="paragraph">
                <wp:posOffset>266700</wp:posOffset>
              </wp:positionV>
              <wp:extent cx="9316085" cy="0"/>
              <wp:effectExtent l="0" t="0" r="0" b="0"/>
              <wp:wrapTight wrapText="bothSides">
                <wp:wrapPolygon edited="0">
                  <wp:start x="0" y="0"/>
                  <wp:lineTo x="0" y="21600"/>
                  <wp:lineTo x="21600" y="21600"/>
                  <wp:lineTo x="21600" y="0"/>
                </wp:wrapPolygon>
              </wp:wrapTight>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931608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40025" id="Straight Connector 5" o:spid="_x0000_s1026" alt="&quot;&quot;"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1pt" to="73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" strokecolor="#016574 [3205]" strokeweight=".5pt">
              <v:stroke joinstyle="miter"/>
              <w10:wrap type="tight"/>
            </v:line>
          </w:pict>
        </mc:Fallback>
      </mc:AlternateContent>
    </w:r>
    <w:r w:rsidR="00CA7DC8" w:rsidRPr="00F349EA">
      <w:rPr>
        <w:color w:val="6E7571" w:themeColor="text2"/>
      </w:rPr>
      <w:t>SEPA 2025-2026</w:t>
    </w:r>
  </w:p>
  <w:p w14:paraId="703F0412" w14:textId="6D52F4EC" w:rsidR="00BF23E6" w:rsidRPr="00F349EA" w:rsidRDefault="00ED736B" w:rsidP="00BF23E6">
    <w:pPr>
      <w:pStyle w:val="BodyText1"/>
      <w:spacing w:line="240" w:lineRule="auto"/>
      <w:jc w:val="right"/>
      <w:rPr>
        <w:color w:val="6E7571" w:themeColor="text2"/>
      </w:rPr>
    </w:pPr>
    <w:r w:rsidRPr="00F349EA">
      <w:rPr>
        <w:color w:val="6E7571" w:themeColor="text2"/>
      </w:rPr>
      <w:t xml:space="preserve">Quarter </w:t>
    </w:r>
    <w:r w:rsidR="00255984">
      <w:rPr>
        <w:color w:val="6E7571" w:themeColor="text2"/>
      </w:rPr>
      <w:t>2</w:t>
    </w:r>
    <w:r w:rsidRPr="00F349EA">
      <w:rPr>
        <w:color w:val="6E7571" w:themeColor="text2"/>
      </w:rPr>
      <w:t xml:space="preserve"> </w:t>
    </w:r>
    <w:r w:rsidR="00BF23E6" w:rsidRPr="00F349EA">
      <w:rPr>
        <w:color w:val="6E7571" w:themeColor="text2"/>
      </w:rPr>
      <w:t xml:space="preserve">Corporate Performance </w:t>
    </w:r>
    <w:r w:rsidR="00CD51D0" w:rsidRPr="00F349EA">
      <w:rPr>
        <w:color w:val="6E7571" w:themeColor="text2"/>
      </w:rPr>
      <w:t xml:space="preserve">Summary </w:t>
    </w:r>
    <w:r w:rsidR="00BF23E6" w:rsidRPr="00F349EA">
      <w:rPr>
        <w:color w:val="6E7571" w:themeColor="text2"/>
      </w:rPr>
      <w:t>Report</w:t>
    </w:r>
    <w:r w:rsidR="00930F12" w:rsidRPr="00F349EA">
      <w:rPr>
        <w:color w:val="6E7571" w:themeColor="text2"/>
      </w:rPr>
      <w:t xml:space="preserve"> </w:t>
    </w:r>
  </w:p>
  <w:p w14:paraId="17636174" w14:textId="2B19E55B" w:rsidR="00472315" w:rsidRPr="00F349EA" w:rsidRDefault="00472315">
    <w:pPr>
      <w:pStyle w:val="Header"/>
    </w:pPr>
  </w:p>
</w:hdr>
</file>

<file path=word/intelligence2.xml><?xml version="1.0" encoding="utf-8"?>
<int2:intelligence xmlns:int2="http://schemas.microsoft.com/office/intelligence/2020/intelligence" xmlns:oel="http://schemas.microsoft.com/office/2019/extlst">
  <int2:observations>
    <int2:textHash int2:hashCode="87nVp0WdoxBK73" int2:id="81IT0t8h">
      <int2:state int2:value="Rejected" int2:type="spell"/>
    </int2:textHash>
    <int2:textHash int2:hashCode="wKYzTAp/BMiFTW" int2:id="9dWgxU5T">
      <int2:state int2:value="Rejected" int2:type="spell"/>
    </int2:textHash>
    <int2:textHash int2:hashCode="8AxQT4evrNVgHd" int2:id="Cd1s3XNy">
      <int2:state int2:value="Rejected" int2:type="spell"/>
    </int2:textHash>
    <int2:textHash int2:hashCode="+qUNn+zn2ZIPmN" int2:id="rbMoOgDb">
      <int2:state int2:value="Rejected" int2:type="spell"/>
    </int2:textHash>
    <int2:textHash int2:hashCode="p7gnUYjwy7FwwM" int2:id="i68C6is2">
      <int2:state int2:value="Rejected" int2:type="spell"/>
    </int2:textHash>
    <int2:bookmark int2:bookmarkName="_Int_F0TkwZId" int2:invalidationBookmarkName="" int2:hashCode="b0kxACN2sT9WYw" int2:id="z3KEwpSo">
      <int2:state int2:value="Rejected" int2:type="style"/>
    </int2:bookmark>
    <int2:bookmark int2:bookmarkName="_Int_NQunCUMO" int2:invalidationBookmarkName="" int2:hashCode="v8O6W2J3I4s6v9" int2:id="38PjAOLR">
      <int2:state int2:value="Rejected" int2:type="style"/>
    </int2:bookmark>
    <int2:bookmark int2:bookmarkName="_Int_rzkWmOVm" int2:invalidationBookmarkName="" int2:hashCode="nCpuSAmu73t3Es" int2:id="4E8UQmv8">
      <int2:state int2:value="Rejected" int2:type="gram"/>
    </int2:bookmark>
    <int2:bookmark int2:bookmarkName="_Int_HfNDMHHb" int2:invalidationBookmarkName="" int2:hashCode="pwqWBh93OjNzDE" int2:id="69dAhkq5">
      <int2:state int2:value="Rejected" int2:type="style"/>
    </int2:bookmark>
    <int2:bookmark int2:bookmarkName="_Int_AZDKppJW" int2:invalidationBookmarkName="" int2:hashCode="UDqwSxsZgniEox" int2:id="7xD6CdtB">
      <int2:state int2:value="Rejected" int2:type="gram"/>
    </int2:bookmark>
    <int2:bookmark int2:bookmarkName="_Int_O3n6rNXt" int2:invalidationBookmarkName="" int2:hashCode="v1ldP4N3nCEiDw" int2:id="KCvKqZdy">
      <int2:state int2:value="Rejected" int2:type="style"/>
    </int2:bookmark>
    <int2:bookmark int2:bookmarkName="_Int_62tex9so" int2:invalidationBookmarkName="" int2:hashCode="VRd/LyDcPFdCnc" int2:id="QsXuCCkW">
      <int2:state int2:value="Rejected" int2:type="style"/>
    </int2:bookmark>
    <int2:bookmark int2:bookmarkName="_Int_83gSWzLH" int2:invalidationBookmarkName="" int2:hashCode="bWE6HuAe7EwPjK" int2:id="SEtEvYjE">
      <int2:state int2:value="Rejected" int2:type="gram"/>
    </int2:bookmark>
    <int2:bookmark int2:bookmarkName="_Int_XQGqDp89" int2:invalidationBookmarkName="" int2:hashCode="eM0SV8N/2oIcer" int2:id="Ul6GrMBq">
      <int2:state int2:value="Rejected" int2:type="gram"/>
    </int2:bookmark>
    <int2:bookmark int2:bookmarkName="_Int_cMGUZusY" int2:invalidationBookmarkName="" int2:hashCode="9NfCN4ZVBEF2Na" int2:id="bzfCZWTP">
      <int2:state int2:value="Rejected" int2:type="style"/>
    </int2:bookmark>
    <int2:bookmark int2:bookmarkName="_Int_Ip8rHECl" int2:invalidationBookmarkName="" int2:hashCode="NLQZY08bGCjHiH" int2:id="d9SDyN1m">
      <int2:state int2:value="Rejected" int2:type="gram"/>
    </int2:bookmark>
    <int2:bookmark int2:bookmarkName="_Int_xG2SxFbJ" int2:invalidationBookmarkName="" int2:hashCode="jx26drVhaEkwol" int2:id="ezMNyCuL">
      <int2:state int2:value="Rejected" int2:type="gram"/>
    </int2:bookmark>
    <int2:bookmark int2:bookmarkName="_Int_VA3rzhbv" int2:invalidationBookmarkName="" int2:hashCode="WczL9/nQfbg0LR" int2:id="fLQBFbfz">
      <int2:state int2:value="Rejected" int2:type="style"/>
    </int2:bookmark>
    <int2:bookmark int2:bookmarkName="_Int_xIEmGY3K" int2:invalidationBookmarkName="" int2:hashCode="teiPAVZQIBpI6q" int2:id="hN5LPUnP">
      <int2:state int2:value="Rejected" int2:type="style"/>
    </int2:bookmark>
    <int2:bookmark int2:bookmarkName="_Int_xsagSwaB" int2:invalidationBookmarkName="" int2:hashCode="jx26drVhaEkwol" int2:id="jMsbLDy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4F4"/>
    <w:multiLevelType w:val="multilevel"/>
    <w:tmpl w:val="CE7016EA"/>
    <w:lvl w:ilvl="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1635E6"/>
    <w:multiLevelType w:val="hybridMultilevel"/>
    <w:tmpl w:val="EBA6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22D38"/>
    <w:multiLevelType w:val="hybridMultilevel"/>
    <w:tmpl w:val="FCCC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53977"/>
    <w:multiLevelType w:val="hybridMultilevel"/>
    <w:tmpl w:val="8E96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44B8F"/>
    <w:multiLevelType w:val="hybridMultilevel"/>
    <w:tmpl w:val="D176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E1EF3"/>
    <w:multiLevelType w:val="hybridMultilevel"/>
    <w:tmpl w:val="8DD23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0B2117"/>
    <w:multiLevelType w:val="hybridMultilevel"/>
    <w:tmpl w:val="BD945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C4FE8"/>
    <w:multiLevelType w:val="hybridMultilevel"/>
    <w:tmpl w:val="6DF25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995CFF"/>
    <w:multiLevelType w:val="hybridMultilevel"/>
    <w:tmpl w:val="D85C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77C54"/>
    <w:multiLevelType w:val="hybridMultilevel"/>
    <w:tmpl w:val="C658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B4DEF"/>
    <w:multiLevelType w:val="hybridMultilevel"/>
    <w:tmpl w:val="1FA4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40EBE"/>
    <w:multiLevelType w:val="hybridMultilevel"/>
    <w:tmpl w:val="8B84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F7B7BD1"/>
    <w:multiLevelType w:val="hybridMultilevel"/>
    <w:tmpl w:val="5A587CB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7C26AC"/>
    <w:multiLevelType w:val="hybridMultilevel"/>
    <w:tmpl w:val="40186934"/>
    <w:lvl w:ilvl="0" w:tplc="E09098E6">
      <w:start w:val="3"/>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E30161"/>
    <w:multiLevelType w:val="hybridMultilevel"/>
    <w:tmpl w:val="23CE1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2406C"/>
    <w:multiLevelType w:val="hybridMultilevel"/>
    <w:tmpl w:val="5F965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4F6596"/>
    <w:multiLevelType w:val="hybridMultilevel"/>
    <w:tmpl w:val="5A587CB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9A7E43"/>
    <w:multiLevelType w:val="hybridMultilevel"/>
    <w:tmpl w:val="4BDC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4003D7"/>
    <w:multiLevelType w:val="hybridMultilevel"/>
    <w:tmpl w:val="8A2C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CB6409"/>
    <w:multiLevelType w:val="hybridMultilevel"/>
    <w:tmpl w:val="EDE06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236776"/>
    <w:multiLevelType w:val="multilevel"/>
    <w:tmpl w:val="C39491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7A7A1B"/>
    <w:multiLevelType w:val="hybridMultilevel"/>
    <w:tmpl w:val="8092C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D141B2"/>
    <w:multiLevelType w:val="hybridMultilevel"/>
    <w:tmpl w:val="21C87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02142"/>
    <w:multiLevelType w:val="hybridMultilevel"/>
    <w:tmpl w:val="73B42B1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513DC7"/>
    <w:multiLevelType w:val="hybridMultilevel"/>
    <w:tmpl w:val="B2B8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F63DF6"/>
    <w:multiLevelType w:val="hybridMultilevel"/>
    <w:tmpl w:val="F9BEA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A343C0"/>
    <w:multiLevelType w:val="hybridMultilevel"/>
    <w:tmpl w:val="7C6CB7BE"/>
    <w:lvl w:ilvl="0" w:tplc="BF3ACF00">
      <w:numFmt w:val="bullet"/>
      <w:lvlText w:val="-"/>
      <w:lvlJc w:val="left"/>
      <w:pPr>
        <w:ind w:left="360" w:hanging="360"/>
      </w:pPr>
      <w:rPr>
        <w:rFonts w:ascii="Calibri" w:hAnsi="Calibri" w:hint="default"/>
        <w:u w:color="3C4741" w:themeColor="text1"/>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4FCFB79A"/>
    <w:multiLevelType w:val="hybridMultilevel"/>
    <w:tmpl w:val="3B581DD2"/>
    <w:lvl w:ilvl="0" w:tplc="581C9C5E">
      <w:start w:val="1"/>
      <w:numFmt w:val="bullet"/>
      <w:lvlText w:val=""/>
      <w:lvlJc w:val="left"/>
      <w:pPr>
        <w:ind w:left="360" w:hanging="360"/>
      </w:pPr>
      <w:rPr>
        <w:rFonts w:ascii="Symbol" w:hAnsi="Symbol" w:hint="default"/>
      </w:rPr>
    </w:lvl>
    <w:lvl w:ilvl="1" w:tplc="5B683334">
      <w:start w:val="1"/>
      <w:numFmt w:val="bullet"/>
      <w:lvlText w:val="o"/>
      <w:lvlJc w:val="left"/>
      <w:pPr>
        <w:ind w:left="1080" w:hanging="360"/>
      </w:pPr>
      <w:rPr>
        <w:rFonts w:ascii="Courier New" w:hAnsi="Courier New" w:hint="default"/>
      </w:rPr>
    </w:lvl>
    <w:lvl w:ilvl="2" w:tplc="B1AEF04A">
      <w:start w:val="1"/>
      <w:numFmt w:val="bullet"/>
      <w:lvlText w:val=""/>
      <w:lvlJc w:val="left"/>
      <w:pPr>
        <w:ind w:left="1800" w:hanging="360"/>
      </w:pPr>
      <w:rPr>
        <w:rFonts w:ascii="Wingdings" w:hAnsi="Wingdings" w:hint="default"/>
      </w:rPr>
    </w:lvl>
    <w:lvl w:ilvl="3" w:tplc="FDB0CFEE">
      <w:start w:val="1"/>
      <w:numFmt w:val="bullet"/>
      <w:lvlText w:val=""/>
      <w:lvlJc w:val="left"/>
      <w:pPr>
        <w:ind w:left="2520" w:hanging="360"/>
      </w:pPr>
      <w:rPr>
        <w:rFonts w:ascii="Symbol" w:hAnsi="Symbol" w:hint="default"/>
      </w:rPr>
    </w:lvl>
    <w:lvl w:ilvl="4" w:tplc="865E5FE6">
      <w:start w:val="1"/>
      <w:numFmt w:val="bullet"/>
      <w:lvlText w:val="o"/>
      <w:lvlJc w:val="left"/>
      <w:pPr>
        <w:ind w:left="3240" w:hanging="360"/>
      </w:pPr>
      <w:rPr>
        <w:rFonts w:ascii="Courier New" w:hAnsi="Courier New" w:hint="default"/>
      </w:rPr>
    </w:lvl>
    <w:lvl w:ilvl="5" w:tplc="5CC4536C">
      <w:start w:val="1"/>
      <w:numFmt w:val="bullet"/>
      <w:lvlText w:val=""/>
      <w:lvlJc w:val="left"/>
      <w:pPr>
        <w:ind w:left="3960" w:hanging="360"/>
      </w:pPr>
      <w:rPr>
        <w:rFonts w:ascii="Wingdings" w:hAnsi="Wingdings" w:hint="default"/>
      </w:rPr>
    </w:lvl>
    <w:lvl w:ilvl="6" w:tplc="EFC046E2">
      <w:start w:val="1"/>
      <w:numFmt w:val="bullet"/>
      <w:lvlText w:val=""/>
      <w:lvlJc w:val="left"/>
      <w:pPr>
        <w:ind w:left="4680" w:hanging="360"/>
      </w:pPr>
      <w:rPr>
        <w:rFonts w:ascii="Symbol" w:hAnsi="Symbol" w:hint="default"/>
      </w:rPr>
    </w:lvl>
    <w:lvl w:ilvl="7" w:tplc="C51E82A4">
      <w:start w:val="1"/>
      <w:numFmt w:val="bullet"/>
      <w:lvlText w:val="o"/>
      <w:lvlJc w:val="left"/>
      <w:pPr>
        <w:ind w:left="5400" w:hanging="360"/>
      </w:pPr>
      <w:rPr>
        <w:rFonts w:ascii="Courier New" w:hAnsi="Courier New" w:hint="default"/>
      </w:rPr>
    </w:lvl>
    <w:lvl w:ilvl="8" w:tplc="57F854A6">
      <w:start w:val="1"/>
      <w:numFmt w:val="bullet"/>
      <w:lvlText w:val=""/>
      <w:lvlJc w:val="left"/>
      <w:pPr>
        <w:ind w:left="6120" w:hanging="360"/>
      </w:pPr>
      <w:rPr>
        <w:rFonts w:ascii="Wingdings" w:hAnsi="Wingdings" w:hint="default"/>
      </w:rPr>
    </w:lvl>
  </w:abstractNum>
  <w:abstractNum w:abstractNumId="28" w15:restartNumberingAfterBreak="0">
    <w:nsid w:val="518A5CC5"/>
    <w:multiLevelType w:val="hybridMultilevel"/>
    <w:tmpl w:val="94DC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B956C1"/>
    <w:multiLevelType w:val="hybridMultilevel"/>
    <w:tmpl w:val="D7849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BB240B"/>
    <w:multiLevelType w:val="hybridMultilevel"/>
    <w:tmpl w:val="5A587CB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6C190A"/>
    <w:multiLevelType w:val="hybridMultilevel"/>
    <w:tmpl w:val="79BE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5C910F"/>
    <w:multiLevelType w:val="hybridMultilevel"/>
    <w:tmpl w:val="509033FE"/>
    <w:lvl w:ilvl="0" w:tplc="143A3EDC">
      <w:start w:val="1"/>
      <w:numFmt w:val="bullet"/>
      <w:lvlText w:val=""/>
      <w:lvlJc w:val="left"/>
      <w:pPr>
        <w:ind w:left="360" w:hanging="360"/>
      </w:pPr>
      <w:rPr>
        <w:rFonts w:ascii="Symbol" w:hAnsi="Symbol" w:hint="default"/>
      </w:rPr>
    </w:lvl>
    <w:lvl w:ilvl="1" w:tplc="136A0FA0">
      <w:start w:val="1"/>
      <w:numFmt w:val="bullet"/>
      <w:lvlText w:val="o"/>
      <w:lvlJc w:val="left"/>
      <w:pPr>
        <w:ind w:left="1080" w:hanging="360"/>
      </w:pPr>
      <w:rPr>
        <w:rFonts w:ascii="Courier New" w:hAnsi="Courier New" w:hint="default"/>
      </w:rPr>
    </w:lvl>
    <w:lvl w:ilvl="2" w:tplc="DAD2329E">
      <w:start w:val="1"/>
      <w:numFmt w:val="bullet"/>
      <w:lvlText w:val=""/>
      <w:lvlJc w:val="left"/>
      <w:pPr>
        <w:ind w:left="1800" w:hanging="360"/>
      </w:pPr>
      <w:rPr>
        <w:rFonts w:ascii="Wingdings" w:hAnsi="Wingdings" w:hint="default"/>
      </w:rPr>
    </w:lvl>
    <w:lvl w:ilvl="3" w:tplc="1D42E8BA">
      <w:start w:val="1"/>
      <w:numFmt w:val="bullet"/>
      <w:lvlText w:val=""/>
      <w:lvlJc w:val="left"/>
      <w:pPr>
        <w:ind w:left="2520" w:hanging="360"/>
      </w:pPr>
      <w:rPr>
        <w:rFonts w:ascii="Symbol" w:hAnsi="Symbol" w:hint="default"/>
      </w:rPr>
    </w:lvl>
    <w:lvl w:ilvl="4" w:tplc="A79487D8">
      <w:start w:val="1"/>
      <w:numFmt w:val="bullet"/>
      <w:lvlText w:val="o"/>
      <w:lvlJc w:val="left"/>
      <w:pPr>
        <w:ind w:left="3240" w:hanging="360"/>
      </w:pPr>
      <w:rPr>
        <w:rFonts w:ascii="Courier New" w:hAnsi="Courier New" w:hint="default"/>
      </w:rPr>
    </w:lvl>
    <w:lvl w:ilvl="5" w:tplc="EA706B82">
      <w:start w:val="1"/>
      <w:numFmt w:val="bullet"/>
      <w:lvlText w:val=""/>
      <w:lvlJc w:val="left"/>
      <w:pPr>
        <w:ind w:left="3960" w:hanging="360"/>
      </w:pPr>
      <w:rPr>
        <w:rFonts w:ascii="Wingdings" w:hAnsi="Wingdings" w:hint="default"/>
      </w:rPr>
    </w:lvl>
    <w:lvl w:ilvl="6" w:tplc="E68C4B28">
      <w:start w:val="1"/>
      <w:numFmt w:val="bullet"/>
      <w:lvlText w:val=""/>
      <w:lvlJc w:val="left"/>
      <w:pPr>
        <w:ind w:left="4680" w:hanging="360"/>
      </w:pPr>
      <w:rPr>
        <w:rFonts w:ascii="Symbol" w:hAnsi="Symbol" w:hint="default"/>
      </w:rPr>
    </w:lvl>
    <w:lvl w:ilvl="7" w:tplc="C9EA9D7E">
      <w:start w:val="1"/>
      <w:numFmt w:val="bullet"/>
      <w:lvlText w:val="o"/>
      <w:lvlJc w:val="left"/>
      <w:pPr>
        <w:ind w:left="5400" w:hanging="360"/>
      </w:pPr>
      <w:rPr>
        <w:rFonts w:ascii="Courier New" w:hAnsi="Courier New" w:hint="default"/>
      </w:rPr>
    </w:lvl>
    <w:lvl w:ilvl="8" w:tplc="8B7EC872">
      <w:start w:val="1"/>
      <w:numFmt w:val="bullet"/>
      <w:lvlText w:val=""/>
      <w:lvlJc w:val="left"/>
      <w:pPr>
        <w:ind w:left="6120" w:hanging="360"/>
      </w:pPr>
      <w:rPr>
        <w:rFonts w:ascii="Wingdings" w:hAnsi="Wingdings" w:hint="default"/>
      </w:rPr>
    </w:lvl>
  </w:abstractNum>
  <w:abstractNum w:abstractNumId="33" w15:restartNumberingAfterBreak="0">
    <w:nsid w:val="5F22673D"/>
    <w:multiLevelType w:val="hybridMultilevel"/>
    <w:tmpl w:val="D5F265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2872559"/>
    <w:multiLevelType w:val="hybridMultilevel"/>
    <w:tmpl w:val="044C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06736E"/>
    <w:multiLevelType w:val="hybridMultilevel"/>
    <w:tmpl w:val="49E2F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7537B7"/>
    <w:multiLevelType w:val="hybridMultilevel"/>
    <w:tmpl w:val="4062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444D86"/>
    <w:multiLevelType w:val="multilevel"/>
    <w:tmpl w:val="A1F6FE54"/>
    <w:lvl w:ilvl="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E52048F"/>
    <w:multiLevelType w:val="hybridMultilevel"/>
    <w:tmpl w:val="07B8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E23359"/>
    <w:multiLevelType w:val="hybridMultilevel"/>
    <w:tmpl w:val="5A587CB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8F18F1"/>
    <w:multiLevelType w:val="hybridMultilevel"/>
    <w:tmpl w:val="35CE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B74300"/>
    <w:multiLevelType w:val="multilevel"/>
    <w:tmpl w:val="14660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416473"/>
    <w:multiLevelType w:val="hybridMultilevel"/>
    <w:tmpl w:val="D5FE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E225DC"/>
    <w:multiLevelType w:val="hybridMultilevel"/>
    <w:tmpl w:val="5A587CB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0C336B"/>
    <w:multiLevelType w:val="hybridMultilevel"/>
    <w:tmpl w:val="7416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5B3DCA"/>
    <w:multiLevelType w:val="hybridMultilevel"/>
    <w:tmpl w:val="3966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62039">
    <w:abstractNumId w:val="38"/>
  </w:num>
  <w:num w:numId="2" w16cid:durableId="567418593">
    <w:abstractNumId w:val="5"/>
  </w:num>
  <w:num w:numId="3" w16cid:durableId="394206421">
    <w:abstractNumId w:val="11"/>
  </w:num>
  <w:num w:numId="4" w16cid:durableId="2471584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8284632">
    <w:abstractNumId w:val="27"/>
  </w:num>
  <w:num w:numId="6" w16cid:durableId="10838902">
    <w:abstractNumId w:val="32"/>
  </w:num>
  <w:num w:numId="7" w16cid:durableId="641691715">
    <w:abstractNumId w:val="7"/>
  </w:num>
  <w:num w:numId="8" w16cid:durableId="1785274050">
    <w:abstractNumId w:val="26"/>
  </w:num>
  <w:num w:numId="9" w16cid:durableId="501361300">
    <w:abstractNumId w:val="11"/>
  </w:num>
  <w:num w:numId="10" w16cid:durableId="463473644">
    <w:abstractNumId w:val="44"/>
  </w:num>
  <w:num w:numId="11" w16cid:durableId="504710671">
    <w:abstractNumId w:val="33"/>
  </w:num>
  <w:num w:numId="12" w16cid:durableId="1813403171">
    <w:abstractNumId w:val="19"/>
  </w:num>
  <w:num w:numId="13" w16cid:durableId="2075740854">
    <w:abstractNumId w:val="42"/>
  </w:num>
  <w:num w:numId="14" w16cid:durableId="1705593228">
    <w:abstractNumId w:val="22"/>
  </w:num>
  <w:num w:numId="15" w16cid:durableId="417556595">
    <w:abstractNumId w:val="29"/>
  </w:num>
  <w:num w:numId="16" w16cid:durableId="835727763">
    <w:abstractNumId w:val="9"/>
  </w:num>
  <w:num w:numId="17" w16cid:durableId="1035078432">
    <w:abstractNumId w:val="40"/>
  </w:num>
  <w:num w:numId="18" w16cid:durableId="978151007">
    <w:abstractNumId w:val="10"/>
  </w:num>
  <w:num w:numId="19" w16cid:durableId="1268075920">
    <w:abstractNumId w:val="31"/>
  </w:num>
  <w:num w:numId="20" w16cid:durableId="1491630684">
    <w:abstractNumId w:val="45"/>
  </w:num>
  <w:num w:numId="21" w16cid:durableId="74985814">
    <w:abstractNumId w:val="39"/>
  </w:num>
  <w:num w:numId="22" w16cid:durableId="1029333784">
    <w:abstractNumId w:val="0"/>
  </w:num>
  <w:num w:numId="23" w16cid:durableId="565576457">
    <w:abstractNumId w:val="15"/>
  </w:num>
  <w:num w:numId="24" w16cid:durableId="1434014301">
    <w:abstractNumId w:val="37"/>
  </w:num>
  <w:num w:numId="25" w16cid:durableId="310795553">
    <w:abstractNumId w:val="1"/>
  </w:num>
  <w:num w:numId="26" w16cid:durableId="170144896">
    <w:abstractNumId w:val="23"/>
  </w:num>
  <w:num w:numId="27" w16cid:durableId="1651009655">
    <w:abstractNumId w:val="12"/>
  </w:num>
  <w:num w:numId="28" w16cid:durableId="2095200666">
    <w:abstractNumId w:val="30"/>
  </w:num>
  <w:num w:numId="29" w16cid:durableId="776100452">
    <w:abstractNumId w:val="4"/>
  </w:num>
  <w:num w:numId="30" w16cid:durableId="1770927603">
    <w:abstractNumId w:val="16"/>
  </w:num>
  <w:num w:numId="31" w16cid:durableId="1391929275">
    <w:abstractNumId w:val="13"/>
  </w:num>
  <w:num w:numId="32" w16cid:durableId="626934220">
    <w:abstractNumId w:val="43"/>
  </w:num>
  <w:num w:numId="33" w16cid:durableId="511141333">
    <w:abstractNumId w:val="20"/>
  </w:num>
  <w:num w:numId="34" w16cid:durableId="1346904514">
    <w:abstractNumId w:val="28"/>
  </w:num>
  <w:num w:numId="35" w16cid:durableId="190922011">
    <w:abstractNumId w:val="36"/>
  </w:num>
  <w:num w:numId="36" w16cid:durableId="501315814">
    <w:abstractNumId w:val="35"/>
  </w:num>
  <w:num w:numId="37" w16cid:durableId="801579757">
    <w:abstractNumId w:val="8"/>
  </w:num>
  <w:num w:numId="38" w16cid:durableId="533930922">
    <w:abstractNumId w:val="34"/>
  </w:num>
  <w:num w:numId="39" w16cid:durableId="1019157095">
    <w:abstractNumId w:val="3"/>
  </w:num>
  <w:num w:numId="40" w16cid:durableId="825588648">
    <w:abstractNumId w:val="21"/>
  </w:num>
  <w:num w:numId="41" w16cid:durableId="1482843223">
    <w:abstractNumId w:val="18"/>
  </w:num>
  <w:num w:numId="42" w16cid:durableId="178978849">
    <w:abstractNumId w:val="14"/>
  </w:num>
  <w:num w:numId="43" w16cid:durableId="2061901082">
    <w:abstractNumId w:val="17"/>
  </w:num>
  <w:num w:numId="44" w16cid:durableId="1727947937">
    <w:abstractNumId w:val="25"/>
  </w:num>
  <w:num w:numId="45" w16cid:durableId="266739578">
    <w:abstractNumId w:val="24"/>
  </w:num>
  <w:num w:numId="46" w16cid:durableId="1491872080">
    <w:abstractNumId w:val="6"/>
  </w:num>
  <w:num w:numId="47" w16cid:durableId="286200389">
    <w:abstractNumId w:val="2"/>
  </w:num>
  <w:num w:numId="48" w16cid:durableId="1340810285">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6D"/>
    <w:rsid w:val="00000324"/>
    <w:rsid w:val="00000418"/>
    <w:rsid w:val="00000519"/>
    <w:rsid w:val="00000620"/>
    <w:rsid w:val="00000693"/>
    <w:rsid w:val="00000921"/>
    <w:rsid w:val="00000C0C"/>
    <w:rsid w:val="00000C3D"/>
    <w:rsid w:val="00000C8E"/>
    <w:rsid w:val="00000CE9"/>
    <w:rsid w:val="000011FA"/>
    <w:rsid w:val="000013F2"/>
    <w:rsid w:val="0000166E"/>
    <w:rsid w:val="00001B25"/>
    <w:rsid w:val="00001C2E"/>
    <w:rsid w:val="00001C68"/>
    <w:rsid w:val="000022F1"/>
    <w:rsid w:val="00002480"/>
    <w:rsid w:val="0000263C"/>
    <w:rsid w:val="000026B7"/>
    <w:rsid w:val="0000280F"/>
    <w:rsid w:val="0000289D"/>
    <w:rsid w:val="000029A8"/>
    <w:rsid w:val="00002DCD"/>
    <w:rsid w:val="00002DFC"/>
    <w:rsid w:val="000033AE"/>
    <w:rsid w:val="00003A75"/>
    <w:rsid w:val="00003D59"/>
    <w:rsid w:val="00003E61"/>
    <w:rsid w:val="000042A0"/>
    <w:rsid w:val="000045F9"/>
    <w:rsid w:val="000047BA"/>
    <w:rsid w:val="000048E5"/>
    <w:rsid w:val="000049B9"/>
    <w:rsid w:val="00004A26"/>
    <w:rsid w:val="000050F1"/>
    <w:rsid w:val="000052BA"/>
    <w:rsid w:val="000056B2"/>
    <w:rsid w:val="0000578E"/>
    <w:rsid w:val="00005B75"/>
    <w:rsid w:val="00005C0B"/>
    <w:rsid w:val="00005F7D"/>
    <w:rsid w:val="0000609C"/>
    <w:rsid w:val="0000664F"/>
    <w:rsid w:val="00006873"/>
    <w:rsid w:val="00006A5F"/>
    <w:rsid w:val="00007BA2"/>
    <w:rsid w:val="00007D0C"/>
    <w:rsid w:val="00007EA9"/>
    <w:rsid w:val="00010542"/>
    <w:rsid w:val="000107CA"/>
    <w:rsid w:val="00010D49"/>
    <w:rsid w:val="00010FA9"/>
    <w:rsid w:val="0001113C"/>
    <w:rsid w:val="000111F4"/>
    <w:rsid w:val="0001184A"/>
    <w:rsid w:val="000122EE"/>
    <w:rsid w:val="00012476"/>
    <w:rsid w:val="000124EA"/>
    <w:rsid w:val="00012F01"/>
    <w:rsid w:val="00013000"/>
    <w:rsid w:val="0001387C"/>
    <w:rsid w:val="00013CD3"/>
    <w:rsid w:val="0001400F"/>
    <w:rsid w:val="00014153"/>
    <w:rsid w:val="00014410"/>
    <w:rsid w:val="00014827"/>
    <w:rsid w:val="00014ACD"/>
    <w:rsid w:val="00014CA6"/>
    <w:rsid w:val="00014F2D"/>
    <w:rsid w:val="00015820"/>
    <w:rsid w:val="00015D6A"/>
    <w:rsid w:val="00015DCB"/>
    <w:rsid w:val="0001625B"/>
    <w:rsid w:val="00016487"/>
    <w:rsid w:val="00016C4F"/>
    <w:rsid w:val="000179A1"/>
    <w:rsid w:val="00020097"/>
    <w:rsid w:val="00020539"/>
    <w:rsid w:val="0002106C"/>
    <w:rsid w:val="0002193A"/>
    <w:rsid w:val="00021D89"/>
    <w:rsid w:val="00022011"/>
    <w:rsid w:val="00022582"/>
    <w:rsid w:val="00023585"/>
    <w:rsid w:val="000236EE"/>
    <w:rsid w:val="0002395E"/>
    <w:rsid w:val="000239BC"/>
    <w:rsid w:val="00023B7F"/>
    <w:rsid w:val="00023FD7"/>
    <w:rsid w:val="0002403A"/>
    <w:rsid w:val="0002411E"/>
    <w:rsid w:val="000242E6"/>
    <w:rsid w:val="000245F0"/>
    <w:rsid w:val="00024702"/>
    <w:rsid w:val="00024790"/>
    <w:rsid w:val="000247B9"/>
    <w:rsid w:val="000247E6"/>
    <w:rsid w:val="00024B03"/>
    <w:rsid w:val="0002586A"/>
    <w:rsid w:val="00025D0B"/>
    <w:rsid w:val="00025D1E"/>
    <w:rsid w:val="000267FD"/>
    <w:rsid w:val="0002686E"/>
    <w:rsid w:val="000268EA"/>
    <w:rsid w:val="00026A8B"/>
    <w:rsid w:val="00026B95"/>
    <w:rsid w:val="00026EAD"/>
    <w:rsid w:val="00026FD1"/>
    <w:rsid w:val="00027649"/>
    <w:rsid w:val="000278B0"/>
    <w:rsid w:val="00027D88"/>
    <w:rsid w:val="00027DD0"/>
    <w:rsid w:val="00027E39"/>
    <w:rsid w:val="00027E6D"/>
    <w:rsid w:val="000303BB"/>
    <w:rsid w:val="000308BC"/>
    <w:rsid w:val="000308D8"/>
    <w:rsid w:val="00031031"/>
    <w:rsid w:val="00031529"/>
    <w:rsid w:val="000317F6"/>
    <w:rsid w:val="000318E0"/>
    <w:rsid w:val="00031944"/>
    <w:rsid w:val="00031DEE"/>
    <w:rsid w:val="0003217B"/>
    <w:rsid w:val="00032227"/>
    <w:rsid w:val="000323C2"/>
    <w:rsid w:val="00032829"/>
    <w:rsid w:val="00032DCC"/>
    <w:rsid w:val="00032F48"/>
    <w:rsid w:val="00033244"/>
    <w:rsid w:val="000333E4"/>
    <w:rsid w:val="00033E18"/>
    <w:rsid w:val="000340B0"/>
    <w:rsid w:val="00034A42"/>
    <w:rsid w:val="00034A71"/>
    <w:rsid w:val="00034AC4"/>
    <w:rsid w:val="00034CBB"/>
    <w:rsid w:val="00034DA4"/>
    <w:rsid w:val="00034E87"/>
    <w:rsid w:val="00035021"/>
    <w:rsid w:val="00035386"/>
    <w:rsid w:val="00035838"/>
    <w:rsid w:val="000358C8"/>
    <w:rsid w:val="00035A74"/>
    <w:rsid w:val="00035B81"/>
    <w:rsid w:val="00035BDC"/>
    <w:rsid w:val="000370A7"/>
    <w:rsid w:val="0003724E"/>
    <w:rsid w:val="000377AE"/>
    <w:rsid w:val="00037F09"/>
    <w:rsid w:val="00037F17"/>
    <w:rsid w:val="00040257"/>
    <w:rsid w:val="00040424"/>
    <w:rsid w:val="00040561"/>
    <w:rsid w:val="000406C3"/>
    <w:rsid w:val="000407C5"/>
    <w:rsid w:val="00040828"/>
    <w:rsid w:val="00040D9E"/>
    <w:rsid w:val="000411EB"/>
    <w:rsid w:val="0004120C"/>
    <w:rsid w:val="00041B2A"/>
    <w:rsid w:val="00041DB0"/>
    <w:rsid w:val="00041FD5"/>
    <w:rsid w:val="00042123"/>
    <w:rsid w:val="0004255B"/>
    <w:rsid w:val="000428E4"/>
    <w:rsid w:val="00042956"/>
    <w:rsid w:val="000429D0"/>
    <w:rsid w:val="00042DE1"/>
    <w:rsid w:val="00042E7F"/>
    <w:rsid w:val="0004304D"/>
    <w:rsid w:val="00043589"/>
    <w:rsid w:val="00043ACA"/>
    <w:rsid w:val="00043DC5"/>
    <w:rsid w:val="00044592"/>
    <w:rsid w:val="000447CE"/>
    <w:rsid w:val="000447DB"/>
    <w:rsid w:val="00044929"/>
    <w:rsid w:val="00045012"/>
    <w:rsid w:val="00045071"/>
    <w:rsid w:val="00045252"/>
    <w:rsid w:val="000453CD"/>
    <w:rsid w:val="0004541F"/>
    <w:rsid w:val="000454F4"/>
    <w:rsid w:val="000455B4"/>
    <w:rsid w:val="000456DE"/>
    <w:rsid w:val="000461DC"/>
    <w:rsid w:val="00046973"/>
    <w:rsid w:val="0004733C"/>
    <w:rsid w:val="00047511"/>
    <w:rsid w:val="0004786A"/>
    <w:rsid w:val="000479F2"/>
    <w:rsid w:val="00047EE2"/>
    <w:rsid w:val="0005020C"/>
    <w:rsid w:val="000504D6"/>
    <w:rsid w:val="000507F1"/>
    <w:rsid w:val="00050842"/>
    <w:rsid w:val="0005086F"/>
    <w:rsid w:val="00050AD0"/>
    <w:rsid w:val="00050B2F"/>
    <w:rsid w:val="00050F1B"/>
    <w:rsid w:val="0005102B"/>
    <w:rsid w:val="0005132B"/>
    <w:rsid w:val="00051677"/>
    <w:rsid w:val="000519DD"/>
    <w:rsid w:val="00051AC7"/>
    <w:rsid w:val="00051AFB"/>
    <w:rsid w:val="00051C4C"/>
    <w:rsid w:val="00051FBB"/>
    <w:rsid w:val="00052395"/>
    <w:rsid w:val="0005287E"/>
    <w:rsid w:val="00052A06"/>
    <w:rsid w:val="00052CA7"/>
    <w:rsid w:val="000531FA"/>
    <w:rsid w:val="00053224"/>
    <w:rsid w:val="000532AF"/>
    <w:rsid w:val="00053E15"/>
    <w:rsid w:val="00053EAB"/>
    <w:rsid w:val="000540AE"/>
    <w:rsid w:val="000540E3"/>
    <w:rsid w:val="00054188"/>
    <w:rsid w:val="000547B4"/>
    <w:rsid w:val="00055245"/>
    <w:rsid w:val="00055328"/>
    <w:rsid w:val="000555B3"/>
    <w:rsid w:val="00055B59"/>
    <w:rsid w:val="00055CE5"/>
    <w:rsid w:val="00055D7D"/>
    <w:rsid w:val="00055DB4"/>
    <w:rsid w:val="0005672F"/>
    <w:rsid w:val="000567B6"/>
    <w:rsid w:val="000567F5"/>
    <w:rsid w:val="000568F3"/>
    <w:rsid w:val="00056E9A"/>
    <w:rsid w:val="00056EC6"/>
    <w:rsid w:val="0005712F"/>
    <w:rsid w:val="000572C2"/>
    <w:rsid w:val="00057CFF"/>
    <w:rsid w:val="00057ED7"/>
    <w:rsid w:val="00057F8D"/>
    <w:rsid w:val="00057FFB"/>
    <w:rsid w:val="00060195"/>
    <w:rsid w:val="000605A6"/>
    <w:rsid w:val="00060766"/>
    <w:rsid w:val="000607E9"/>
    <w:rsid w:val="00060A50"/>
    <w:rsid w:val="00060EF3"/>
    <w:rsid w:val="00060F43"/>
    <w:rsid w:val="00061168"/>
    <w:rsid w:val="00061AD5"/>
    <w:rsid w:val="0006216A"/>
    <w:rsid w:val="00062672"/>
    <w:rsid w:val="00062695"/>
    <w:rsid w:val="00062789"/>
    <w:rsid w:val="00062E21"/>
    <w:rsid w:val="00062E5F"/>
    <w:rsid w:val="000630A5"/>
    <w:rsid w:val="0006332D"/>
    <w:rsid w:val="00063A10"/>
    <w:rsid w:val="00063C98"/>
    <w:rsid w:val="00063D1A"/>
    <w:rsid w:val="00063F07"/>
    <w:rsid w:val="000640DA"/>
    <w:rsid w:val="0006432F"/>
    <w:rsid w:val="000645B5"/>
    <w:rsid w:val="000648D9"/>
    <w:rsid w:val="000658EA"/>
    <w:rsid w:val="00065CE4"/>
    <w:rsid w:val="00065EF5"/>
    <w:rsid w:val="00065FA0"/>
    <w:rsid w:val="00065FE5"/>
    <w:rsid w:val="000662C7"/>
    <w:rsid w:val="000665CC"/>
    <w:rsid w:val="0006663D"/>
    <w:rsid w:val="000667C6"/>
    <w:rsid w:val="00066B85"/>
    <w:rsid w:val="00066D69"/>
    <w:rsid w:val="00067038"/>
    <w:rsid w:val="00067194"/>
    <w:rsid w:val="00067C99"/>
    <w:rsid w:val="00067D6A"/>
    <w:rsid w:val="000701BD"/>
    <w:rsid w:val="00070425"/>
    <w:rsid w:val="0007047D"/>
    <w:rsid w:val="00070636"/>
    <w:rsid w:val="000706A1"/>
    <w:rsid w:val="00070937"/>
    <w:rsid w:val="00070CBD"/>
    <w:rsid w:val="00070F9A"/>
    <w:rsid w:val="00071002"/>
    <w:rsid w:val="00071012"/>
    <w:rsid w:val="000710E9"/>
    <w:rsid w:val="00071226"/>
    <w:rsid w:val="00071707"/>
    <w:rsid w:val="00071D74"/>
    <w:rsid w:val="00071E1F"/>
    <w:rsid w:val="0007204D"/>
    <w:rsid w:val="000721B5"/>
    <w:rsid w:val="00072239"/>
    <w:rsid w:val="00072FF0"/>
    <w:rsid w:val="00073236"/>
    <w:rsid w:val="00073351"/>
    <w:rsid w:val="00073574"/>
    <w:rsid w:val="00073854"/>
    <w:rsid w:val="00073EC0"/>
    <w:rsid w:val="00073EFA"/>
    <w:rsid w:val="00074411"/>
    <w:rsid w:val="000746BC"/>
    <w:rsid w:val="00074BF2"/>
    <w:rsid w:val="000752EF"/>
    <w:rsid w:val="000753C3"/>
    <w:rsid w:val="00075BC4"/>
    <w:rsid w:val="00075E60"/>
    <w:rsid w:val="0007614F"/>
    <w:rsid w:val="00076342"/>
    <w:rsid w:val="0007639D"/>
    <w:rsid w:val="00076454"/>
    <w:rsid w:val="000769C4"/>
    <w:rsid w:val="00076B8F"/>
    <w:rsid w:val="00076D4F"/>
    <w:rsid w:val="00077038"/>
    <w:rsid w:val="00077329"/>
    <w:rsid w:val="000774B4"/>
    <w:rsid w:val="000777E2"/>
    <w:rsid w:val="00077B61"/>
    <w:rsid w:val="00077DDF"/>
    <w:rsid w:val="00077E1A"/>
    <w:rsid w:val="0007E7C5"/>
    <w:rsid w:val="0008012C"/>
    <w:rsid w:val="0008023D"/>
    <w:rsid w:val="00080701"/>
    <w:rsid w:val="00080955"/>
    <w:rsid w:val="00080DF9"/>
    <w:rsid w:val="000812DE"/>
    <w:rsid w:val="00081585"/>
    <w:rsid w:val="00081D22"/>
    <w:rsid w:val="00081E6E"/>
    <w:rsid w:val="00081FD2"/>
    <w:rsid w:val="00082077"/>
    <w:rsid w:val="000821AC"/>
    <w:rsid w:val="000829AE"/>
    <w:rsid w:val="00082ED1"/>
    <w:rsid w:val="00083042"/>
    <w:rsid w:val="00083AA9"/>
    <w:rsid w:val="00083E10"/>
    <w:rsid w:val="00084088"/>
    <w:rsid w:val="000840ED"/>
    <w:rsid w:val="0008442B"/>
    <w:rsid w:val="0008478D"/>
    <w:rsid w:val="000849D7"/>
    <w:rsid w:val="00084A90"/>
    <w:rsid w:val="00085055"/>
    <w:rsid w:val="000857F5"/>
    <w:rsid w:val="0008584A"/>
    <w:rsid w:val="00085983"/>
    <w:rsid w:val="00085DB8"/>
    <w:rsid w:val="000867A9"/>
    <w:rsid w:val="00086DD3"/>
    <w:rsid w:val="00086E05"/>
    <w:rsid w:val="00087603"/>
    <w:rsid w:val="00087870"/>
    <w:rsid w:val="00087B87"/>
    <w:rsid w:val="00087EAE"/>
    <w:rsid w:val="000900C9"/>
    <w:rsid w:val="000901DD"/>
    <w:rsid w:val="00090352"/>
    <w:rsid w:val="000904F5"/>
    <w:rsid w:val="00090A30"/>
    <w:rsid w:val="00090C67"/>
    <w:rsid w:val="00090C69"/>
    <w:rsid w:val="00090CF0"/>
    <w:rsid w:val="00090D3D"/>
    <w:rsid w:val="0009114B"/>
    <w:rsid w:val="00091153"/>
    <w:rsid w:val="000912F3"/>
    <w:rsid w:val="0009180F"/>
    <w:rsid w:val="0009185D"/>
    <w:rsid w:val="0009220C"/>
    <w:rsid w:val="0009243E"/>
    <w:rsid w:val="000925DF"/>
    <w:rsid w:val="00092801"/>
    <w:rsid w:val="000928A1"/>
    <w:rsid w:val="00093684"/>
    <w:rsid w:val="000937DE"/>
    <w:rsid w:val="00094065"/>
    <w:rsid w:val="00094354"/>
    <w:rsid w:val="00094857"/>
    <w:rsid w:val="00094C0A"/>
    <w:rsid w:val="00094C11"/>
    <w:rsid w:val="00094D98"/>
    <w:rsid w:val="00095604"/>
    <w:rsid w:val="00095873"/>
    <w:rsid w:val="00095E83"/>
    <w:rsid w:val="00096232"/>
    <w:rsid w:val="000962B1"/>
    <w:rsid w:val="0009671E"/>
    <w:rsid w:val="00096773"/>
    <w:rsid w:val="00096862"/>
    <w:rsid w:val="000972D7"/>
    <w:rsid w:val="000973B4"/>
    <w:rsid w:val="00097A34"/>
    <w:rsid w:val="000A01DD"/>
    <w:rsid w:val="000A04C7"/>
    <w:rsid w:val="000A05A2"/>
    <w:rsid w:val="000A0690"/>
    <w:rsid w:val="000A0960"/>
    <w:rsid w:val="000A0A49"/>
    <w:rsid w:val="000A0D2F"/>
    <w:rsid w:val="000A1386"/>
    <w:rsid w:val="000A146E"/>
    <w:rsid w:val="000A147F"/>
    <w:rsid w:val="000A1A34"/>
    <w:rsid w:val="000A2757"/>
    <w:rsid w:val="000A291F"/>
    <w:rsid w:val="000A29C9"/>
    <w:rsid w:val="000A3142"/>
    <w:rsid w:val="000A366A"/>
    <w:rsid w:val="000A36B6"/>
    <w:rsid w:val="000A36CE"/>
    <w:rsid w:val="000A3713"/>
    <w:rsid w:val="000A384C"/>
    <w:rsid w:val="000A469F"/>
    <w:rsid w:val="000A46ED"/>
    <w:rsid w:val="000A484E"/>
    <w:rsid w:val="000A4B62"/>
    <w:rsid w:val="000A4BB7"/>
    <w:rsid w:val="000A4CE3"/>
    <w:rsid w:val="000A51F9"/>
    <w:rsid w:val="000A5334"/>
    <w:rsid w:val="000A58EC"/>
    <w:rsid w:val="000A5B91"/>
    <w:rsid w:val="000A6101"/>
    <w:rsid w:val="000A65DA"/>
    <w:rsid w:val="000A6F22"/>
    <w:rsid w:val="000A6F33"/>
    <w:rsid w:val="000A7169"/>
    <w:rsid w:val="000A77DD"/>
    <w:rsid w:val="000A78D6"/>
    <w:rsid w:val="000A78FD"/>
    <w:rsid w:val="000A7C0B"/>
    <w:rsid w:val="000A7CB7"/>
    <w:rsid w:val="000A7F74"/>
    <w:rsid w:val="000B010E"/>
    <w:rsid w:val="000B0AFC"/>
    <w:rsid w:val="000B0B05"/>
    <w:rsid w:val="000B1729"/>
    <w:rsid w:val="000B2070"/>
    <w:rsid w:val="000B2614"/>
    <w:rsid w:val="000B28B8"/>
    <w:rsid w:val="000B2942"/>
    <w:rsid w:val="000B2A4A"/>
    <w:rsid w:val="000B2AAB"/>
    <w:rsid w:val="000B2AE5"/>
    <w:rsid w:val="000B317F"/>
    <w:rsid w:val="000B3A6C"/>
    <w:rsid w:val="000B3BBA"/>
    <w:rsid w:val="000B409F"/>
    <w:rsid w:val="000B418A"/>
    <w:rsid w:val="000B4D3F"/>
    <w:rsid w:val="000B5065"/>
    <w:rsid w:val="000B5202"/>
    <w:rsid w:val="000B5C71"/>
    <w:rsid w:val="000B5E47"/>
    <w:rsid w:val="000B6003"/>
    <w:rsid w:val="000B6029"/>
    <w:rsid w:val="000B66DC"/>
    <w:rsid w:val="000B6A81"/>
    <w:rsid w:val="000B6B4A"/>
    <w:rsid w:val="000B6D3B"/>
    <w:rsid w:val="000B7170"/>
    <w:rsid w:val="000B71CC"/>
    <w:rsid w:val="000B7559"/>
    <w:rsid w:val="000B7A74"/>
    <w:rsid w:val="000C015E"/>
    <w:rsid w:val="000C02A5"/>
    <w:rsid w:val="000C02E4"/>
    <w:rsid w:val="000C0646"/>
    <w:rsid w:val="000C0784"/>
    <w:rsid w:val="000C08DA"/>
    <w:rsid w:val="000C0C0F"/>
    <w:rsid w:val="000C0CAA"/>
    <w:rsid w:val="000C0D64"/>
    <w:rsid w:val="000C1079"/>
    <w:rsid w:val="000C15E3"/>
    <w:rsid w:val="000C167E"/>
    <w:rsid w:val="000C1C33"/>
    <w:rsid w:val="000C1E4A"/>
    <w:rsid w:val="000C1E50"/>
    <w:rsid w:val="000C2447"/>
    <w:rsid w:val="000C2ED0"/>
    <w:rsid w:val="000C32AE"/>
    <w:rsid w:val="000C3366"/>
    <w:rsid w:val="000C365F"/>
    <w:rsid w:val="000C42DB"/>
    <w:rsid w:val="000C4AC3"/>
    <w:rsid w:val="000C4C55"/>
    <w:rsid w:val="000C545A"/>
    <w:rsid w:val="000C5959"/>
    <w:rsid w:val="000C5C49"/>
    <w:rsid w:val="000C5EEA"/>
    <w:rsid w:val="000C6036"/>
    <w:rsid w:val="000C61F4"/>
    <w:rsid w:val="000C6339"/>
    <w:rsid w:val="000C63D1"/>
    <w:rsid w:val="000C69EB"/>
    <w:rsid w:val="000C6C81"/>
    <w:rsid w:val="000C6F26"/>
    <w:rsid w:val="000C72A6"/>
    <w:rsid w:val="000C747C"/>
    <w:rsid w:val="000C748E"/>
    <w:rsid w:val="000C76D4"/>
    <w:rsid w:val="000C7BB8"/>
    <w:rsid w:val="000D0068"/>
    <w:rsid w:val="000D01A4"/>
    <w:rsid w:val="000D0C28"/>
    <w:rsid w:val="000D0E2F"/>
    <w:rsid w:val="000D0FC8"/>
    <w:rsid w:val="000D10CB"/>
    <w:rsid w:val="000D1149"/>
    <w:rsid w:val="000D18A4"/>
    <w:rsid w:val="000D1ABF"/>
    <w:rsid w:val="000D1DD6"/>
    <w:rsid w:val="000D1EA6"/>
    <w:rsid w:val="000D1FC3"/>
    <w:rsid w:val="000D20D0"/>
    <w:rsid w:val="000D27BC"/>
    <w:rsid w:val="000D2972"/>
    <w:rsid w:val="000D2AC6"/>
    <w:rsid w:val="000D2CE0"/>
    <w:rsid w:val="000D329B"/>
    <w:rsid w:val="000D33B2"/>
    <w:rsid w:val="000D34CA"/>
    <w:rsid w:val="000D3568"/>
    <w:rsid w:val="000D3612"/>
    <w:rsid w:val="000D3B8C"/>
    <w:rsid w:val="000D3C14"/>
    <w:rsid w:val="000D3C2D"/>
    <w:rsid w:val="000D4174"/>
    <w:rsid w:val="000D4323"/>
    <w:rsid w:val="000D4A79"/>
    <w:rsid w:val="000D4DEF"/>
    <w:rsid w:val="000D524B"/>
    <w:rsid w:val="000D5F0F"/>
    <w:rsid w:val="000D61F7"/>
    <w:rsid w:val="000D63E4"/>
    <w:rsid w:val="000D6506"/>
    <w:rsid w:val="000D659F"/>
    <w:rsid w:val="000D670C"/>
    <w:rsid w:val="000D68BC"/>
    <w:rsid w:val="000D6A80"/>
    <w:rsid w:val="000D6B3C"/>
    <w:rsid w:val="000D6DCF"/>
    <w:rsid w:val="000D71D3"/>
    <w:rsid w:val="000D7650"/>
    <w:rsid w:val="000D777C"/>
    <w:rsid w:val="000D7CDC"/>
    <w:rsid w:val="000D7E5F"/>
    <w:rsid w:val="000D7E79"/>
    <w:rsid w:val="000D7FD3"/>
    <w:rsid w:val="000D7FF7"/>
    <w:rsid w:val="000E02FE"/>
    <w:rsid w:val="000E0B84"/>
    <w:rsid w:val="000E0D15"/>
    <w:rsid w:val="000E0D80"/>
    <w:rsid w:val="000E2506"/>
    <w:rsid w:val="000E25F6"/>
    <w:rsid w:val="000E277A"/>
    <w:rsid w:val="000E2CB7"/>
    <w:rsid w:val="000E3105"/>
    <w:rsid w:val="000E3298"/>
    <w:rsid w:val="000E3915"/>
    <w:rsid w:val="000E3B15"/>
    <w:rsid w:val="000E3C7B"/>
    <w:rsid w:val="000E4397"/>
    <w:rsid w:val="000E43C5"/>
    <w:rsid w:val="000E4414"/>
    <w:rsid w:val="000E45DC"/>
    <w:rsid w:val="000E4862"/>
    <w:rsid w:val="000E4CF5"/>
    <w:rsid w:val="000E50DE"/>
    <w:rsid w:val="000E5287"/>
    <w:rsid w:val="000E56F9"/>
    <w:rsid w:val="000E5BCB"/>
    <w:rsid w:val="000E63A7"/>
    <w:rsid w:val="000E6544"/>
    <w:rsid w:val="000E6A8E"/>
    <w:rsid w:val="000E6EB3"/>
    <w:rsid w:val="000E7186"/>
    <w:rsid w:val="000E735B"/>
    <w:rsid w:val="000E73FE"/>
    <w:rsid w:val="000E74F6"/>
    <w:rsid w:val="000E7600"/>
    <w:rsid w:val="000E7C0B"/>
    <w:rsid w:val="000F0144"/>
    <w:rsid w:val="000F022E"/>
    <w:rsid w:val="000F02C3"/>
    <w:rsid w:val="000F034D"/>
    <w:rsid w:val="000F0754"/>
    <w:rsid w:val="000F0D2B"/>
    <w:rsid w:val="000F107A"/>
    <w:rsid w:val="000F1147"/>
    <w:rsid w:val="000F1241"/>
    <w:rsid w:val="000F1265"/>
    <w:rsid w:val="000F193E"/>
    <w:rsid w:val="000F1AC1"/>
    <w:rsid w:val="000F216D"/>
    <w:rsid w:val="000F21D3"/>
    <w:rsid w:val="000F2252"/>
    <w:rsid w:val="000F2C0C"/>
    <w:rsid w:val="000F2EE1"/>
    <w:rsid w:val="000F3A66"/>
    <w:rsid w:val="000F3B84"/>
    <w:rsid w:val="000F3DCE"/>
    <w:rsid w:val="000F4189"/>
    <w:rsid w:val="000F4A48"/>
    <w:rsid w:val="000F4E84"/>
    <w:rsid w:val="000F4F31"/>
    <w:rsid w:val="000F514B"/>
    <w:rsid w:val="000F565F"/>
    <w:rsid w:val="000F56C5"/>
    <w:rsid w:val="000F5EEE"/>
    <w:rsid w:val="000F69DB"/>
    <w:rsid w:val="000F6AD3"/>
    <w:rsid w:val="000F6E30"/>
    <w:rsid w:val="000F7030"/>
    <w:rsid w:val="000F76DD"/>
    <w:rsid w:val="000F7A1B"/>
    <w:rsid w:val="000F7A5C"/>
    <w:rsid w:val="000F7A8E"/>
    <w:rsid w:val="0010018B"/>
    <w:rsid w:val="00100266"/>
    <w:rsid w:val="001005B7"/>
    <w:rsid w:val="001009CC"/>
    <w:rsid w:val="00100AB6"/>
    <w:rsid w:val="0010149B"/>
    <w:rsid w:val="00101E59"/>
    <w:rsid w:val="00101FBC"/>
    <w:rsid w:val="00102943"/>
    <w:rsid w:val="001030E0"/>
    <w:rsid w:val="001034BC"/>
    <w:rsid w:val="001034ED"/>
    <w:rsid w:val="001036B3"/>
    <w:rsid w:val="001037A7"/>
    <w:rsid w:val="00103861"/>
    <w:rsid w:val="00103B3C"/>
    <w:rsid w:val="00104087"/>
    <w:rsid w:val="00104B36"/>
    <w:rsid w:val="001056BA"/>
    <w:rsid w:val="001058E5"/>
    <w:rsid w:val="00105B20"/>
    <w:rsid w:val="00105E52"/>
    <w:rsid w:val="00105F31"/>
    <w:rsid w:val="00105FB7"/>
    <w:rsid w:val="0010656E"/>
    <w:rsid w:val="00106C8E"/>
    <w:rsid w:val="00106F17"/>
    <w:rsid w:val="001075BD"/>
    <w:rsid w:val="00107976"/>
    <w:rsid w:val="00107ACE"/>
    <w:rsid w:val="00107FD9"/>
    <w:rsid w:val="0011001D"/>
    <w:rsid w:val="00110701"/>
    <w:rsid w:val="00110A23"/>
    <w:rsid w:val="00110C3E"/>
    <w:rsid w:val="00110F58"/>
    <w:rsid w:val="00111443"/>
    <w:rsid w:val="00111761"/>
    <w:rsid w:val="00111889"/>
    <w:rsid w:val="00111F1A"/>
    <w:rsid w:val="00112096"/>
    <w:rsid w:val="00112959"/>
    <w:rsid w:val="00112B7C"/>
    <w:rsid w:val="00112C15"/>
    <w:rsid w:val="00112E24"/>
    <w:rsid w:val="0011369F"/>
    <w:rsid w:val="001140F6"/>
    <w:rsid w:val="00114181"/>
    <w:rsid w:val="001143BF"/>
    <w:rsid w:val="001145F6"/>
    <w:rsid w:val="0011480D"/>
    <w:rsid w:val="0011499C"/>
    <w:rsid w:val="00114B11"/>
    <w:rsid w:val="00114E64"/>
    <w:rsid w:val="001151AF"/>
    <w:rsid w:val="0011552C"/>
    <w:rsid w:val="0011562F"/>
    <w:rsid w:val="00115742"/>
    <w:rsid w:val="00115975"/>
    <w:rsid w:val="00115A17"/>
    <w:rsid w:val="00115A37"/>
    <w:rsid w:val="00115C6A"/>
    <w:rsid w:val="00115D9E"/>
    <w:rsid w:val="00116084"/>
    <w:rsid w:val="0011698D"/>
    <w:rsid w:val="001169AD"/>
    <w:rsid w:val="00116C45"/>
    <w:rsid w:val="00116F53"/>
    <w:rsid w:val="0011717A"/>
    <w:rsid w:val="001172E8"/>
    <w:rsid w:val="00117336"/>
    <w:rsid w:val="00117481"/>
    <w:rsid w:val="00117AF4"/>
    <w:rsid w:val="00117C72"/>
    <w:rsid w:val="00120023"/>
    <w:rsid w:val="001203FE"/>
    <w:rsid w:val="0012065C"/>
    <w:rsid w:val="001207F5"/>
    <w:rsid w:val="001208BB"/>
    <w:rsid w:val="00120A0E"/>
    <w:rsid w:val="00120ED4"/>
    <w:rsid w:val="001211CB"/>
    <w:rsid w:val="00121282"/>
    <w:rsid w:val="00121379"/>
    <w:rsid w:val="00121653"/>
    <w:rsid w:val="001219A2"/>
    <w:rsid w:val="00121A9A"/>
    <w:rsid w:val="00121E45"/>
    <w:rsid w:val="00122049"/>
    <w:rsid w:val="0012228F"/>
    <w:rsid w:val="0012275F"/>
    <w:rsid w:val="0012297D"/>
    <w:rsid w:val="00122DC8"/>
    <w:rsid w:val="00122F84"/>
    <w:rsid w:val="00123182"/>
    <w:rsid w:val="001231CC"/>
    <w:rsid w:val="0012326B"/>
    <w:rsid w:val="0012405E"/>
    <w:rsid w:val="00124947"/>
    <w:rsid w:val="001251C1"/>
    <w:rsid w:val="00125667"/>
    <w:rsid w:val="0012571D"/>
    <w:rsid w:val="0012659D"/>
    <w:rsid w:val="00126955"/>
    <w:rsid w:val="00126C9B"/>
    <w:rsid w:val="00126D6E"/>
    <w:rsid w:val="0012711D"/>
    <w:rsid w:val="00127328"/>
    <w:rsid w:val="001273FD"/>
    <w:rsid w:val="00127613"/>
    <w:rsid w:val="00127973"/>
    <w:rsid w:val="00127D61"/>
    <w:rsid w:val="00127E45"/>
    <w:rsid w:val="0013063C"/>
    <w:rsid w:val="00130EF0"/>
    <w:rsid w:val="00130F81"/>
    <w:rsid w:val="001310C6"/>
    <w:rsid w:val="0013110D"/>
    <w:rsid w:val="001312D0"/>
    <w:rsid w:val="00131398"/>
    <w:rsid w:val="001322C3"/>
    <w:rsid w:val="001323AD"/>
    <w:rsid w:val="0013353D"/>
    <w:rsid w:val="00133CC9"/>
    <w:rsid w:val="00133E0E"/>
    <w:rsid w:val="001342D6"/>
    <w:rsid w:val="00134A9D"/>
    <w:rsid w:val="00134AC7"/>
    <w:rsid w:val="00134E02"/>
    <w:rsid w:val="00134EF9"/>
    <w:rsid w:val="0013517E"/>
    <w:rsid w:val="00135339"/>
    <w:rsid w:val="0013538F"/>
    <w:rsid w:val="00135600"/>
    <w:rsid w:val="00135C02"/>
    <w:rsid w:val="00135E0B"/>
    <w:rsid w:val="00135E65"/>
    <w:rsid w:val="00135F43"/>
    <w:rsid w:val="00136294"/>
    <w:rsid w:val="001365F8"/>
    <w:rsid w:val="0013766F"/>
    <w:rsid w:val="00137760"/>
    <w:rsid w:val="00137927"/>
    <w:rsid w:val="00137930"/>
    <w:rsid w:val="00137AEE"/>
    <w:rsid w:val="00137BBB"/>
    <w:rsid w:val="00137D49"/>
    <w:rsid w:val="001401B9"/>
    <w:rsid w:val="00140707"/>
    <w:rsid w:val="001407C5"/>
    <w:rsid w:val="00141128"/>
    <w:rsid w:val="0014114D"/>
    <w:rsid w:val="00141570"/>
    <w:rsid w:val="0014180F"/>
    <w:rsid w:val="00141E78"/>
    <w:rsid w:val="0014235D"/>
    <w:rsid w:val="001427A6"/>
    <w:rsid w:val="00142924"/>
    <w:rsid w:val="00142AE9"/>
    <w:rsid w:val="00142EDF"/>
    <w:rsid w:val="00142F8E"/>
    <w:rsid w:val="00142FD2"/>
    <w:rsid w:val="001434E2"/>
    <w:rsid w:val="00143588"/>
    <w:rsid w:val="00143C54"/>
    <w:rsid w:val="00143FA7"/>
    <w:rsid w:val="00144172"/>
    <w:rsid w:val="00144333"/>
    <w:rsid w:val="0014460C"/>
    <w:rsid w:val="00144611"/>
    <w:rsid w:val="00144F08"/>
    <w:rsid w:val="00145254"/>
    <w:rsid w:val="00145DAA"/>
    <w:rsid w:val="00145F05"/>
    <w:rsid w:val="00146286"/>
    <w:rsid w:val="001467BB"/>
    <w:rsid w:val="00146936"/>
    <w:rsid w:val="00146DC0"/>
    <w:rsid w:val="00146EFA"/>
    <w:rsid w:val="0014769E"/>
    <w:rsid w:val="00147E81"/>
    <w:rsid w:val="00150076"/>
    <w:rsid w:val="001500D6"/>
    <w:rsid w:val="00150235"/>
    <w:rsid w:val="0015032B"/>
    <w:rsid w:val="00150391"/>
    <w:rsid w:val="0015075D"/>
    <w:rsid w:val="001507A2"/>
    <w:rsid w:val="001508A0"/>
    <w:rsid w:val="00150937"/>
    <w:rsid w:val="00150CAA"/>
    <w:rsid w:val="0015117B"/>
    <w:rsid w:val="001512A3"/>
    <w:rsid w:val="00151618"/>
    <w:rsid w:val="00151868"/>
    <w:rsid w:val="00152208"/>
    <w:rsid w:val="001526F1"/>
    <w:rsid w:val="001527C8"/>
    <w:rsid w:val="00152C2F"/>
    <w:rsid w:val="00152E86"/>
    <w:rsid w:val="00152FD0"/>
    <w:rsid w:val="0015302B"/>
    <w:rsid w:val="00153460"/>
    <w:rsid w:val="00153541"/>
    <w:rsid w:val="00153763"/>
    <w:rsid w:val="00153A97"/>
    <w:rsid w:val="00154209"/>
    <w:rsid w:val="0015465D"/>
    <w:rsid w:val="00154959"/>
    <w:rsid w:val="00154984"/>
    <w:rsid w:val="00155013"/>
    <w:rsid w:val="00155045"/>
    <w:rsid w:val="00155209"/>
    <w:rsid w:val="00155212"/>
    <w:rsid w:val="0015582A"/>
    <w:rsid w:val="00155B2D"/>
    <w:rsid w:val="00155DCE"/>
    <w:rsid w:val="00155E21"/>
    <w:rsid w:val="001565BD"/>
    <w:rsid w:val="0015667E"/>
    <w:rsid w:val="00156A5A"/>
    <w:rsid w:val="001571AD"/>
    <w:rsid w:val="001571E7"/>
    <w:rsid w:val="001575BE"/>
    <w:rsid w:val="00157781"/>
    <w:rsid w:val="00157E65"/>
    <w:rsid w:val="00157F5E"/>
    <w:rsid w:val="0016006B"/>
    <w:rsid w:val="00160223"/>
    <w:rsid w:val="0016037A"/>
    <w:rsid w:val="0016080D"/>
    <w:rsid w:val="00160926"/>
    <w:rsid w:val="00160C33"/>
    <w:rsid w:val="00160E75"/>
    <w:rsid w:val="00160FD3"/>
    <w:rsid w:val="001610EA"/>
    <w:rsid w:val="00161275"/>
    <w:rsid w:val="001616B8"/>
    <w:rsid w:val="00161A67"/>
    <w:rsid w:val="00161B7A"/>
    <w:rsid w:val="00161E54"/>
    <w:rsid w:val="00161EA1"/>
    <w:rsid w:val="001623E4"/>
    <w:rsid w:val="001625DC"/>
    <w:rsid w:val="001627AF"/>
    <w:rsid w:val="001629CC"/>
    <w:rsid w:val="00162CCC"/>
    <w:rsid w:val="00163EC3"/>
    <w:rsid w:val="001640C5"/>
    <w:rsid w:val="0016420F"/>
    <w:rsid w:val="00164531"/>
    <w:rsid w:val="0016473D"/>
    <w:rsid w:val="0016475D"/>
    <w:rsid w:val="001649FE"/>
    <w:rsid w:val="00164B5A"/>
    <w:rsid w:val="00164E10"/>
    <w:rsid w:val="001651CD"/>
    <w:rsid w:val="00165677"/>
    <w:rsid w:val="00165BAD"/>
    <w:rsid w:val="00165F49"/>
    <w:rsid w:val="00165FAC"/>
    <w:rsid w:val="00165FBA"/>
    <w:rsid w:val="001663E9"/>
    <w:rsid w:val="00166BFB"/>
    <w:rsid w:val="00166DB3"/>
    <w:rsid w:val="00166EB6"/>
    <w:rsid w:val="001673F0"/>
    <w:rsid w:val="001678A8"/>
    <w:rsid w:val="00167A4F"/>
    <w:rsid w:val="00167AFE"/>
    <w:rsid w:val="00167B10"/>
    <w:rsid w:val="00167C10"/>
    <w:rsid w:val="00167DFD"/>
    <w:rsid w:val="00167FC6"/>
    <w:rsid w:val="0017008B"/>
    <w:rsid w:val="001701A5"/>
    <w:rsid w:val="00170357"/>
    <w:rsid w:val="001703C5"/>
    <w:rsid w:val="00170836"/>
    <w:rsid w:val="0017097F"/>
    <w:rsid w:val="00170CC5"/>
    <w:rsid w:val="00171073"/>
    <w:rsid w:val="0017139C"/>
    <w:rsid w:val="0017175C"/>
    <w:rsid w:val="00171B3C"/>
    <w:rsid w:val="00171DA3"/>
    <w:rsid w:val="00171F8E"/>
    <w:rsid w:val="0017228E"/>
    <w:rsid w:val="00172A60"/>
    <w:rsid w:val="00172C1C"/>
    <w:rsid w:val="00172C4A"/>
    <w:rsid w:val="00173E08"/>
    <w:rsid w:val="00174CAA"/>
    <w:rsid w:val="00174CFC"/>
    <w:rsid w:val="00174F77"/>
    <w:rsid w:val="0017588E"/>
    <w:rsid w:val="001758BD"/>
    <w:rsid w:val="00175998"/>
    <w:rsid w:val="00176B44"/>
    <w:rsid w:val="00176FDB"/>
    <w:rsid w:val="001771CA"/>
    <w:rsid w:val="0017739D"/>
    <w:rsid w:val="001773FA"/>
    <w:rsid w:val="00177451"/>
    <w:rsid w:val="00177E39"/>
    <w:rsid w:val="00177E3D"/>
    <w:rsid w:val="00180275"/>
    <w:rsid w:val="00180554"/>
    <w:rsid w:val="00181620"/>
    <w:rsid w:val="001819BE"/>
    <w:rsid w:val="00181EBA"/>
    <w:rsid w:val="001822BE"/>
    <w:rsid w:val="001826E0"/>
    <w:rsid w:val="00182A61"/>
    <w:rsid w:val="00182DD6"/>
    <w:rsid w:val="00183022"/>
    <w:rsid w:val="001834B6"/>
    <w:rsid w:val="0018370B"/>
    <w:rsid w:val="00183D64"/>
    <w:rsid w:val="0018423C"/>
    <w:rsid w:val="00184369"/>
    <w:rsid w:val="00184BBD"/>
    <w:rsid w:val="00184F4A"/>
    <w:rsid w:val="0018538F"/>
    <w:rsid w:val="0018559A"/>
    <w:rsid w:val="00185A36"/>
    <w:rsid w:val="00185FC4"/>
    <w:rsid w:val="001869B1"/>
    <w:rsid w:val="001869DB"/>
    <w:rsid w:val="00187633"/>
    <w:rsid w:val="001877D8"/>
    <w:rsid w:val="00187958"/>
    <w:rsid w:val="00187C9A"/>
    <w:rsid w:val="00187FF2"/>
    <w:rsid w:val="00190084"/>
    <w:rsid w:val="00190340"/>
    <w:rsid w:val="001904F2"/>
    <w:rsid w:val="001909FF"/>
    <w:rsid w:val="001914C8"/>
    <w:rsid w:val="001915F2"/>
    <w:rsid w:val="001916AD"/>
    <w:rsid w:val="0019182D"/>
    <w:rsid w:val="001918B7"/>
    <w:rsid w:val="00191AB6"/>
    <w:rsid w:val="00191B86"/>
    <w:rsid w:val="00191D9E"/>
    <w:rsid w:val="0019223E"/>
    <w:rsid w:val="001924F6"/>
    <w:rsid w:val="00192B83"/>
    <w:rsid w:val="00192D3F"/>
    <w:rsid w:val="00192E6C"/>
    <w:rsid w:val="00192FB2"/>
    <w:rsid w:val="00193BFB"/>
    <w:rsid w:val="00193D8E"/>
    <w:rsid w:val="00193F1D"/>
    <w:rsid w:val="00193FA6"/>
    <w:rsid w:val="001943A2"/>
    <w:rsid w:val="00194421"/>
    <w:rsid w:val="001945DC"/>
    <w:rsid w:val="001948DB"/>
    <w:rsid w:val="00194B6F"/>
    <w:rsid w:val="00194C0B"/>
    <w:rsid w:val="00195267"/>
    <w:rsid w:val="0019571A"/>
    <w:rsid w:val="00195D34"/>
    <w:rsid w:val="00196732"/>
    <w:rsid w:val="00196D73"/>
    <w:rsid w:val="00196E5F"/>
    <w:rsid w:val="00196FC9"/>
    <w:rsid w:val="00197242"/>
    <w:rsid w:val="00197432"/>
    <w:rsid w:val="001976EB"/>
    <w:rsid w:val="00197BC4"/>
    <w:rsid w:val="00197D0F"/>
    <w:rsid w:val="001A05B3"/>
    <w:rsid w:val="001A067C"/>
    <w:rsid w:val="001A06F5"/>
    <w:rsid w:val="001A07EA"/>
    <w:rsid w:val="001A0855"/>
    <w:rsid w:val="001A0875"/>
    <w:rsid w:val="001A0DC7"/>
    <w:rsid w:val="001A1403"/>
    <w:rsid w:val="001A2436"/>
    <w:rsid w:val="001A2583"/>
    <w:rsid w:val="001A25FD"/>
    <w:rsid w:val="001A2B7E"/>
    <w:rsid w:val="001A33E3"/>
    <w:rsid w:val="001A38F1"/>
    <w:rsid w:val="001A3B91"/>
    <w:rsid w:val="001A45B8"/>
    <w:rsid w:val="001A497C"/>
    <w:rsid w:val="001A4D75"/>
    <w:rsid w:val="001A4E75"/>
    <w:rsid w:val="001A525F"/>
    <w:rsid w:val="001A5269"/>
    <w:rsid w:val="001A53C3"/>
    <w:rsid w:val="001A53D0"/>
    <w:rsid w:val="001A5486"/>
    <w:rsid w:val="001A5627"/>
    <w:rsid w:val="001A5B3B"/>
    <w:rsid w:val="001A5B76"/>
    <w:rsid w:val="001A5C66"/>
    <w:rsid w:val="001A5D54"/>
    <w:rsid w:val="001A6345"/>
    <w:rsid w:val="001A64D5"/>
    <w:rsid w:val="001A6689"/>
    <w:rsid w:val="001A6715"/>
    <w:rsid w:val="001A67B9"/>
    <w:rsid w:val="001A6C89"/>
    <w:rsid w:val="001A6D2B"/>
    <w:rsid w:val="001A6EF7"/>
    <w:rsid w:val="001A73A6"/>
    <w:rsid w:val="001A74DB"/>
    <w:rsid w:val="001A7CD7"/>
    <w:rsid w:val="001A7E21"/>
    <w:rsid w:val="001A7EEC"/>
    <w:rsid w:val="001B0021"/>
    <w:rsid w:val="001B021B"/>
    <w:rsid w:val="001B031A"/>
    <w:rsid w:val="001B06D9"/>
    <w:rsid w:val="001B0F02"/>
    <w:rsid w:val="001B10D8"/>
    <w:rsid w:val="001B1DD6"/>
    <w:rsid w:val="001B27C6"/>
    <w:rsid w:val="001B2A53"/>
    <w:rsid w:val="001B2D9D"/>
    <w:rsid w:val="001B2F5E"/>
    <w:rsid w:val="001B31F3"/>
    <w:rsid w:val="001B34A3"/>
    <w:rsid w:val="001B35D1"/>
    <w:rsid w:val="001B399B"/>
    <w:rsid w:val="001B3BAB"/>
    <w:rsid w:val="001B3C7F"/>
    <w:rsid w:val="001B3D88"/>
    <w:rsid w:val="001B3D8B"/>
    <w:rsid w:val="001B3FC0"/>
    <w:rsid w:val="001B4166"/>
    <w:rsid w:val="001B431A"/>
    <w:rsid w:val="001B4716"/>
    <w:rsid w:val="001B480C"/>
    <w:rsid w:val="001B4820"/>
    <w:rsid w:val="001B492A"/>
    <w:rsid w:val="001B49B1"/>
    <w:rsid w:val="001B4C76"/>
    <w:rsid w:val="001B4E44"/>
    <w:rsid w:val="001B5082"/>
    <w:rsid w:val="001B5089"/>
    <w:rsid w:val="001B51B8"/>
    <w:rsid w:val="001B51C5"/>
    <w:rsid w:val="001B53DD"/>
    <w:rsid w:val="001B53E7"/>
    <w:rsid w:val="001B5BDC"/>
    <w:rsid w:val="001B5E32"/>
    <w:rsid w:val="001B5E6A"/>
    <w:rsid w:val="001B6108"/>
    <w:rsid w:val="001B6996"/>
    <w:rsid w:val="001B6E36"/>
    <w:rsid w:val="001B78C2"/>
    <w:rsid w:val="001B7A7A"/>
    <w:rsid w:val="001B7A81"/>
    <w:rsid w:val="001B7ECE"/>
    <w:rsid w:val="001B7FD2"/>
    <w:rsid w:val="001C08D5"/>
    <w:rsid w:val="001C0990"/>
    <w:rsid w:val="001C0D4F"/>
    <w:rsid w:val="001C1037"/>
    <w:rsid w:val="001C1635"/>
    <w:rsid w:val="001C1702"/>
    <w:rsid w:val="001C1803"/>
    <w:rsid w:val="001C18F3"/>
    <w:rsid w:val="001C1EDA"/>
    <w:rsid w:val="001C20AE"/>
    <w:rsid w:val="001C23DC"/>
    <w:rsid w:val="001C2A90"/>
    <w:rsid w:val="001C2B45"/>
    <w:rsid w:val="001C2DE7"/>
    <w:rsid w:val="001C3710"/>
    <w:rsid w:val="001C3F7C"/>
    <w:rsid w:val="001C4158"/>
    <w:rsid w:val="001C436D"/>
    <w:rsid w:val="001C45A1"/>
    <w:rsid w:val="001C4B1F"/>
    <w:rsid w:val="001C4DC0"/>
    <w:rsid w:val="001C4F27"/>
    <w:rsid w:val="001C514C"/>
    <w:rsid w:val="001C56D7"/>
    <w:rsid w:val="001C5D7B"/>
    <w:rsid w:val="001C5E20"/>
    <w:rsid w:val="001C5E6E"/>
    <w:rsid w:val="001C5F4A"/>
    <w:rsid w:val="001C6058"/>
    <w:rsid w:val="001C6AB4"/>
    <w:rsid w:val="001C6D6B"/>
    <w:rsid w:val="001C6E7E"/>
    <w:rsid w:val="001C7258"/>
    <w:rsid w:val="001C73FF"/>
    <w:rsid w:val="001C7448"/>
    <w:rsid w:val="001C7620"/>
    <w:rsid w:val="001C774D"/>
    <w:rsid w:val="001C7A71"/>
    <w:rsid w:val="001C7DAC"/>
    <w:rsid w:val="001D0332"/>
    <w:rsid w:val="001D0A39"/>
    <w:rsid w:val="001D0EA8"/>
    <w:rsid w:val="001D1212"/>
    <w:rsid w:val="001D1432"/>
    <w:rsid w:val="001D17F3"/>
    <w:rsid w:val="001D1E9F"/>
    <w:rsid w:val="001D1EDA"/>
    <w:rsid w:val="001D2396"/>
    <w:rsid w:val="001D262E"/>
    <w:rsid w:val="001D2937"/>
    <w:rsid w:val="001D2EBD"/>
    <w:rsid w:val="001D3082"/>
    <w:rsid w:val="001D3685"/>
    <w:rsid w:val="001D418E"/>
    <w:rsid w:val="001D4BBF"/>
    <w:rsid w:val="001D51B4"/>
    <w:rsid w:val="001D5450"/>
    <w:rsid w:val="001D56FB"/>
    <w:rsid w:val="001D5710"/>
    <w:rsid w:val="001D64FD"/>
    <w:rsid w:val="001D6587"/>
    <w:rsid w:val="001D6794"/>
    <w:rsid w:val="001D679D"/>
    <w:rsid w:val="001D6924"/>
    <w:rsid w:val="001D6B6C"/>
    <w:rsid w:val="001D6D59"/>
    <w:rsid w:val="001D712A"/>
    <w:rsid w:val="001D712D"/>
    <w:rsid w:val="001D71AB"/>
    <w:rsid w:val="001D7740"/>
    <w:rsid w:val="001D7AA7"/>
    <w:rsid w:val="001D7CF2"/>
    <w:rsid w:val="001D7D48"/>
    <w:rsid w:val="001E0097"/>
    <w:rsid w:val="001E03D7"/>
    <w:rsid w:val="001E0BF4"/>
    <w:rsid w:val="001E0DD4"/>
    <w:rsid w:val="001E0FD1"/>
    <w:rsid w:val="001E1446"/>
    <w:rsid w:val="001E160E"/>
    <w:rsid w:val="001E2612"/>
    <w:rsid w:val="001E27AB"/>
    <w:rsid w:val="001E2FFA"/>
    <w:rsid w:val="001E3880"/>
    <w:rsid w:val="001E402A"/>
    <w:rsid w:val="001E41D6"/>
    <w:rsid w:val="001E43B4"/>
    <w:rsid w:val="001E4434"/>
    <w:rsid w:val="001E4A01"/>
    <w:rsid w:val="001E4BAA"/>
    <w:rsid w:val="001E5050"/>
    <w:rsid w:val="001E50CE"/>
    <w:rsid w:val="001E567B"/>
    <w:rsid w:val="001E5DA3"/>
    <w:rsid w:val="001E61E0"/>
    <w:rsid w:val="001E61E4"/>
    <w:rsid w:val="001E65DF"/>
    <w:rsid w:val="001E6A11"/>
    <w:rsid w:val="001E6F5B"/>
    <w:rsid w:val="001E7387"/>
    <w:rsid w:val="001E7A31"/>
    <w:rsid w:val="001F03BC"/>
    <w:rsid w:val="001F066A"/>
    <w:rsid w:val="001F0703"/>
    <w:rsid w:val="001F0982"/>
    <w:rsid w:val="001F0AAB"/>
    <w:rsid w:val="001F0D4E"/>
    <w:rsid w:val="001F0E92"/>
    <w:rsid w:val="001F1166"/>
    <w:rsid w:val="001F145D"/>
    <w:rsid w:val="001F14BB"/>
    <w:rsid w:val="001F1830"/>
    <w:rsid w:val="001F1952"/>
    <w:rsid w:val="001F1F82"/>
    <w:rsid w:val="001F2A2F"/>
    <w:rsid w:val="001F2B54"/>
    <w:rsid w:val="001F2D8A"/>
    <w:rsid w:val="001F2DB5"/>
    <w:rsid w:val="001F30BE"/>
    <w:rsid w:val="001F3132"/>
    <w:rsid w:val="001F3519"/>
    <w:rsid w:val="001F3B62"/>
    <w:rsid w:val="001F3DE1"/>
    <w:rsid w:val="001F3F78"/>
    <w:rsid w:val="001F3FA2"/>
    <w:rsid w:val="001F40F2"/>
    <w:rsid w:val="001F43F3"/>
    <w:rsid w:val="001F4441"/>
    <w:rsid w:val="001F45F3"/>
    <w:rsid w:val="001F4685"/>
    <w:rsid w:val="001F47D4"/>
    <w:rsid w:val="001F48A0"/>
    <w:rsid w:val="001F4B74"/>
    <w:rsid w:val="001F4F17"/>
    <w:rsid w:val="001F509E"/>
    <w:rsid w:val="001F5564"/>
    <w:rsid w:val="001F577E"/>
    <w:rsid w:val="001F5939"/>
    <w:rsid w:val="001F5D08"/>
    <w:rsid w:val="001F62C1"/>
    <w:rsid w:val="001F6418"/>
    <w:rsid w:val="001F6A5C"/>
    <w:rsid w:val="001F6B68"/>
    <w:rsid w:val="001F704A"/>
    <w:rsid w:val="001F715C"/>
    <w:rsid w:val="001F76EE"/>
    <w:rsid w:val="001F77FE"/>
    <w:rsid w:val="001F7816"/>
    <w:rsid w:val="001F7921"/>
    <w:rsid w:val="001F7A6F"/>
    <w:rsid w:val="001F7DA0"/>
    <w:rsid w:val="001F7FD8"/>
    <w:rsid w:val="001F7FE4"/>
    <w:rsid w:val="00200012"/>
    <w:rsid w:val="00200064"/>
    <w:rsid w:val="00200166"/>
    <w:rsid w:val="00200537"/>
    <w:rsid w:val="002006D1"/>
    <w:rsid w:val="00200737"/>
    <w:rsid w:val="0020080C"/>
    <w:rsid w:val="00200BBA"/>
    <w:rsid w:val="00200D94"/>
    <w:rsid w:val="00200EE2"/>
    <w:rsid w:val="00201524"/>
    <w:rsid w:val="0020164A"/>
    <w:rsid w:val="00201771"/>
    <w:rsid w:val="002019FA"/>
    <w:rsid w:val="00202277"/>
    <w:rsid w:val="002023E2"/>
    <w:rsid w:val="00202D6B"/>
    <w:rsid w:val="0020301F"/>
    <w:rsid w:val="00203042"/>
    <w:rsid w:val="00203563"/>
    <w:rsid w:val="002035C7"/>
    <w:rsid w:val="00203829"/>
    <w:rsid w:val="00203C3E"/>
    <w:rsid w:val="00203CBB"/>
    <w:rsid w:val="0020406C"/>
    <w:rsid w:val="002046C8"/>
    <w:rsid w:val="00204CA4"/>
    <w:rsid w:val="00204FCB"/>
    <w:rsid w:val="00205822"/>
    <w:rsid w:val="00205EFF"/>
    <w:rsid w:val="00206CFF"/>
    <w:rsid w:val="002073B7"/>
    <w:rsid w:val="0020753C"/>
    <w:rsid w:val="00207822"/>
    <w:rsid w:val="00207F39"/>
    <w:rsid w:val="00210817"/>
    <w:rsid w:val="002108E9"/>
    <w:rsid w:val="00210AC1"/>
    <w:rsid w:val="00210CC1"/>
    <w:rsid w:val="002111E0"/>
    <w:rsid w:val="002114A2"/>
    <w:rsid w:val="00211B6E"/>
    <w:rsid w:val="00211DE9"/>
    <w:rsid w:val="00212108"/>
    <w:rsid w:val="00213643"/>
    <w:rsid w:val="00213889"/>
    <w:rsid w:val="00213999"/>
    <w:rsid w:val="00213B2D"/>
    <w:rsid w:val="00213BD9"/>
    <w:rsid w:val="00213D11"/>
    <w:rsid w:val="002141D1"/>
    <w:rsid w:val="002143B0"/>
    <w:rsid w:val="002143B7"/>
    <w:rsid w:val="0021486E"/>
    <w:rsid w:val="002149CC"/>
    <w:rsid w:val="00214BC3"/>
    <w:rsid w:val="00214FB8"/>
    <w:rsid w:val="002154A1"/>
    <w:rsid w:val="00216002"/>
    <w:rsid w:val="00216266"/>
    <w:rsid w:val="00216A07"/>
    <w:rsid w:val="00216DD0"/>
    <w:rsid w:val="00217802"/>
    <w:rsid w:val="002179B2"/>
    <w:rsid w:val="00217B55"/>
    <w:rsid w:val="00217CAD"/>
    <w:rsid w:val="002205CD"/>
    <w:rsid w:val="00220F21"/>
    <w:rsid w:val="0022112F"/>
    <w:rsid w:val="00221359"/>
    <w:rsid w:val="00221747"/>
    <w:rsid w:val="00221BF3"/>
    <w:rsid w:val="00221EAE"/>
    <w:rsid w:val="00222667"/>
    <w:rsid w:val="002227A2"/>
    <w:rsid w:val="00222872"/>
    <w:rsid w:val="00222E8A"/>
    <w:rsid w:val="00223657"/>
    <w:rsid w:val="0022392C"/>
    <w:rsid w:val="00223BC6"/>
    <w:rsid w:val="002242EC"/>
    <w:rsid w:val="0022442F"/>
    <w:rsid w:val="0022450D"/>
    <w:rsid w:val="00224C1A"/>
    <w:rsid w:val="0022509F"/>
    <w:rsid w:val="002252C4"/>
    <w:rsid w:val="00225902"/>
    <w:rsid w:val="00225946"/>
    <w:rsid w:val="00225980"/>
    <w:rsid w:val="002263E7"/>
    <w:rsid w:val="00226A1C"/>
    <w:rsid w:val="00226C87"/>
    <w:rsid w:val="002276BC"/>
    <w:rsid w:val="00227846"/>
    <w:rsid w:val="0022794F"/>
    <w:rsid w:val="00227D17"/>
    <w:rsid w:val="00227DE1"/>
    <w:rsid w:val="00227FE8"/>
    <w:rsid w:val="002301CC"/>
    <w:rsid w:val="0023050B"/>
    <w:rsid w:val="00230633"/>
    <w:rsid w:val="002308F0"/>
    <w:rsid w:val="00230BB7"/>
    <w:rsid w:val="00230C1C"/>
    <w:rsid w:val="00230D41"/>
    <w:rsid w:val="002310D8"/>
    <w:rsid w:val="00232013"/>
    <w:rsid w:val="00232320"/>
    <w:rsid w:val="00232394"/>
    <w:rsid w:val="00232701"/>
    <w:rsid w:val="002328A0"/>
    <w:rsid w:val="00232E39"/>
    <w:rsid w:val="00233555"/>
    <w:rsid w:val="002338EB"/>
    <w:rsid w:val="00233A7A"/>
    <w:rsid w:val="00233ABE"/>
    <w:rsid w:val="00233DBA"/>
    <w:rsid w:val="002344A8"/>
    <w:rsid w:val="0023461D"/>
    <w:rsid w:val="002346B8"/>
    <w:rsid w:val="00234971"/>
    <w:rsid w:val="00234C40"/>
    <w:rsid w:val="00234ED2"/>
    <w:rsid w:val="00235BB9"/>
    <w:rsid w:val="00235DDE"/>
    <w:rsid w:val="00235F8E"/>
    <w:rsid w:val="00236285"/>
    <w:rsid w:val="00236532"/>
    <w:rsid w:val="00236552"/>
    <w:rsid w:val="00236833"/>
    <w:rsid w:val="002368D9"/>
    <w:rsid w:val="00237207"/>
    <w:rsid w:val="002372D6"/>
    <w:rsid w:val="00237947"/>
    <w:rsid w:val="00237A0A"/>
    <w:rsid w:val="00237BCD"/>
    <w:rsid w:val="00237FEC"/>
    <w:rsid w:val="00240BD3"/>
    <w:rsid w:val="00240CFE"/>
    <w:rsid w:val="00240EC9"/>
    <w:rsid w:val="00240EDB"/>
    <w:rsid w:val="00241320"/>
    <w:rsid w:val="0024173C"/>
    <w:rsid w:val="00241A4B"/>
    <w:rsid w:val="00241AF6"/>
    <w:rsid w:val="00241CE1"/>
    <w:rsid w:val="00241E43"/>
    <w:rsid w:val="002425A6"/>
    <w:rsid w:val="00242A37"/>
    <w:rsid w:val="00242BA0"/>
    <w:rsid w:val="00242D08"/>
    <w:rsid w:val="00242D65"/>
    <w:rsid w:val="0024347F"/>
    <w:rsid w:val="002434A5"/>
    <w:rsid w:val="00243947"/>
    <w:rsid w:val="00243B04"/>
    <w:rsid w:val="00243D69"/>
    <w:rsid w:val="00243EE9"/>
    <w:rsid w:val="0024412C"/>
    <w:rsid w:val="00244945"/>
    <w:rsid w:val="00245216"/>
    <w:rsid w:val="0024542F"/>
    <w:rsid w:val="002455E2"/>
    <w:rsid w:val="00245998"/>
    <w:rsid w:val="00245C0B"/>
    <w:rsid w:val="002460F6"/>
    <w:rsid w:val="002464CC"/>
    <w:rsid w:val="002467EA"/>
    <w:rsid w:val="00246A26"/>
    <w:rsid w:val="00246BF4"/>
    <w:rsid w:val="00246D3F"/>
    <w:rsid w:val="00246E85"/>
    <w:rsid w:val="00246ED3"/>
    <w:rsid w:val="00247047"/>
    <w:rsid w:val="00247592"/>
    <w:rsid w:val="00247EA8"/>
    <w:rsid w:val="00250009"/>
    <w:rsid w:val="00250155"/>
    <w:rsid w:val="00250599"/>
    <w:rsid w:val="0025080E"/>
    <w:rsid w:val="00251C43"/>
    <w:rsid w:val="00251E3E"/>
    <w:rsid w:val="00251FB7"/>
    <w:rsid w:val="00252005"/>
    <w:rsid w:val="002522EE"/>
    <w:rsid w:val="0025274E"/>
    <w:rsid w:val="002527D7"/>
    <w:rsid w:val="00252A66"/>
    <w:rsid w:val="00252BBF"/>
    <w:rsid w:val="00252EB2"/>
    <w:rsid w:val="00253157"/>
    <w:rsid w:val="0025359F"/>
    <w:rsid w:val="00253EE8"/>
    <w:rsid w:val="00253EF9"/>
    <w:rsid w:val="00253F58"/>
    <w:rsid w:val="002540E0"/>
    <w:rsid w:val="00254199"/>
    <w:rsid w:val="002542B2"/>
    <w:rsid w:val="00254491"/>
    <w:rsid w:val="00254538"/>
    <w:rsid w:val="00254909"/>
    <w:rsid w:val="00254929"/>
    <w:rsid w:val="00254DAC"/>
    <w:rsid w:val="002552D6"/>
    <w:rsid w:val="0025592F"/>
    <w:rsid w:val="00255984"/>
    <w:rsid w:val="00255F14"/>
    <w:rsid w:val="00255FF9"/>
    <w:rsid w:val="002564C4"/>
    <w:rsid w:val="00256C05"/>
    <w:rsid w:val="00256D7F"/>
    <w:rsid w:val="0025703D"/>
    <w:rsid w:val="0025799E"/>
    <w:rsid w:val="002579B4"/>
    <w:rsid w:val="00257A96"/>
    <w:rsid w:val="00257EBF"/>
    <w:rsid w:val="0026008F"/>
    <w:rsid w:val="00260567"/>
    <w:rsid w:val="002608DE"/>
    <w:rsid w:val="00260A5B"/>
    <w:rsid w:val="00260A71"/>
    <w:rsid w:val="00260D66"/>
    <w:rsid w:val="00260E14"/>
    <w:rsid w:val="00260E26"/>
    <w:rsid w:val="00260E7A"/>
    <w:rsid w:val="0026109F"/>
    <w:rsid w:val="002614AA"/>
    <w:rsid w:val="00261569"/>
    <w:rsid w:val="00261729"/>
    <w:rsid w:val="00261AE1"/>
    <w:rsid w:val="00261B2D"/>
    <w:rsid w:val="00261DC6"/>
    <w:rsid w:val="0026255E"/>
    <w:rsid w:val="00262691"/>
    <w:rsid w:val="00262B79"/>
    <w:rsid w:val="00262C89"/>
    <w:rsid w:val="00262CA2"/>
    <w:rsid w:val="00262CE2"/>
    <w:rsid w:val="00262E18"/>
    <w:rsid w:val="00262E5A"/>
    <w:rsid w:val="00262FE0"/>
    <w:rsid w:val="0026345D"/>
    <w:rsid w:val="002634D2"/>
    <w:rsid w:val="00263B98"/>
    <w:rsid w:val="00263C91"/>
    <w:rsid w:val="0026419D"/>
    <w:rsid w:val="00264339"/>
    <w:rsid w:val="002649CC"/>
    <w:rsid w:val="00264BE7"/>
    <w:rsid w:val="00264CD0"/>
    <w:rsid w:val="00264EEE"/>
    <w:rsid w:val="00264F8A"/>
    <w:rsid w:val="00264F9D"/>
    <w:rsid w:val="00265034"/>
    <w:rsid w:val="002650E3"/>
    <w:rsid w:val="00265514"/>
    <w:rsid w:val="00265741"/>
    <w:rsid w:val="002659CB"/>
    <w:rsid w:val="00265E95"/>
    <w:rsid w:val="00266AE3"/>
    <w:rsid w:val="0026738B"/>
    <w:rsid w:val="002675D1"/>
    <w:rsid w:val="00267908"/>
    <w:rsid w:val="00267B0D"/>
    <w:rsid w:val="002701A2"/>
    <w:rsid w:val="002706A8"/>
    <w:rsid w:val="00270994"/>
    <w:rsid w:val="002709F9"/>
    <w:rsid w:val="00270BAE"/>
    <w:rsid w:val="00270EC3"/>
    <w:rsid w:val="0027162B"/>
    <w:rsid w:val="002718E8"/>
    <w:rsid w:val="002719C8"/>
    <w:rsid w:val="00271C1B"/>
    <w:rsid w:val="00271CD4"/>
    <w:rsid w:val="00272192"/>
    <w:rsid w:val="00272381"/>
    <w:rsid w:val="0027246F"/>
    <w:rsid w:val="0027311F"/>
    <w:rsid w:val="00273584"/>
    <w:rsid w:val="00273EC8"/>
    <w:rsid w:val="00274818"/>
    <w:rsid w:val="0027522B"/>
    <w:rsid w:val="002753ED"/>
    <w:rsid w:val="00275419"/>
    <w:rsid w:val="0027646E"/>
    <w:rsid w:val="002764A3"/>
    <w:rsid w:val="0027696A"/>
    <w:rsid w:val="00276977"/>
    <w:rsid w:val="00276E0C"/>
    <w:rsid w:val="002775A6"/>
    <w:rsid w:val="002775E8"/>
    <w:rsid w:val="00277C8A"/>
    <w:rsid w:val="00280673"/>
    <w:rsid w:val="002808EA"/>
    <w:rsid w:val="00280A87"/>
    <w:rsid w:val="00280B0F"/>
    <w:rsid w:val="00280F94"/>
    <w:rsid w:val="00281405"/>
    <w:rsid w:val="00281548"/>
    <w:rsid w:val="002819BB"/>
    <w:rsid w:val="00281BB1"/>
    <w:rsid w:val="00281CF5"/>
    <w:rsid w:val="00281DA7"/>
    <w:rsid w:val="00282037"/>
    <w:rsid w:val="00282E89"/>
    <w:rsid w:val="00283BBB"/>
    <w:rsid w:val="00283D50"/>
    <w:rsid w:val="00284068"/>
    <w:rsid w:val="002841D2"/>
    <w:rsid w:val="00284234"/>
    <w:rsid w:val="002845C4"/>
    <w:rsid w:val="00284E4C"/>
    <w:rsid w:val="00284E5F"/>
    <w:rsid w:val="00285055"/>
    <w:rsid w:val="0028554F"/>
    <w:rsid w:val="002855C2"/>
    <w:rsid w:val="0028579B"/>
    <w:rsid w:val="00285953"/>
    <w:rsid w:val="00285A55"/>
    <w:rsid w:val="00285E19"/>
    <w:rsid w:val="0028601B"/>
    <w:rsid w:val="002860E4"/>
    <w:rsid w:val="00286523"/>
    <w:rsid w:val="00286578"/>
    <w:rsid w:val="0028674E"/>
    <w:rsid w:val="002869FB"/>
    <w:rsid w:val="00286F0E"/>
    <w:rsid w:val="0028705E"/>
    <w:rsid w:val="0028717B"/>
    <w:rsid w:val="00287521"/>
    <w:rsid w:val="00287965"/>
    <w:rsid w:val="002907FE"/>
    <w:rsid w:val="00290B1F"/>
    <w:rsid w:val="002916A5"/>
    <w:rsid w:val="00291EFC"/>
    <w:rsid w:val="00291FB8"/>
    <w:rsid w:val="00291FFF"/>
    <w:rsid w:val="0029265D"/>
    <w:rsid w:val="002926EF"/>
    <w:rsid w:val="00292872"/>
    <w:rsid w:val="002929BE"/>
    <w:rsid w:val="00292AE8"/>
    <w:rsid w:val="00292E12"/>
    <w:rsid w:val="00292E62"/>
    <w:rsid w:val="002932D5"/>
    <w:rsid w:val="00293866"/>
    <w:rsid w:val="0029413C"/>
    <w:rsid w:val="0029417F"/>
    <w:rsid w:val="002945DC"/>
    <w:rsid w:val="00294811"/>
    <w:rsid w:val="0029498E"/>
    <w:rsid w:val="00294B39"/>
    <w:rsid w:val="00294BB3"/>
    <w:rsid w:val="00294CC3"/>
    <w:rsid w:val="00294E8B"/>
    <w:rsid w:val="002950D2"/>
    <w:rsid w:val="002950DD"/>
    <w:rsid w:val="00295971"/>
    <w:rsid w:val="00295D0A"/>
    <w:rsid w:val="00296459"/>
    <w:rsid w:val="002965BC"/>
    <w:rsid w:val="00296B43"/>
    <w:rsid w:val="00296CEF"/>
    <w:rsid w:val="00296E5A"/>
    <w:rsid w:val="00296F63"/>
    <w:rsid w:val="00297592"/>
    <w:rsid w:val="00297629"/>
    <w:rsid w:val="002A0332"/>
    <w:rsid w:val="002A05BE"/>
    <w:rsid w:val="002A0D97"/>
    <w:rsid w:val="002A0D98"/>
    <w:rsid w:val="002A127F"/>
    <w:rsid w:val="002A1839"/>
    <w:rsid w:val="002A1A04"/>
    <w:rsid w:val="002A1F87"/>
    <w:rsid w:val="002A2209"/>
    <w:rsid w:val="002A2880"/>
    <w:rsid w:val="002A2899"/>
    <w:rsid w:val="002A2CDD"/>
    <w:rsid w:val="002A2E55"/>
    <w:rsid w:val="002A3672"/>
    <w:rsid w:val="002A373B"/>
    <w:rsid w:val="002A3D5C"/>
    <w:rsid w:val="002A40F6"/>
    <w:rsid w:val="002A4202"/>
    <w:rsid w:val="002A485D"/>
    <w:rsid w:val="002A4CAD"/>
    <w:rsid w:val="002A4D7C"/>
    <w:rsid w:val="002A4E61"/>
    <w:rsid w:val="002A4F54"/>
    <w:rsid w:val="002A501B"/>
    <w:rsid w:val="002A53BB"/>
    <w:rsid w:val="002A59C2"/>
    <w:rsid w:val="002A5AD6"/>
    <w:rsid w:val="002A5B8B"/>
    <w:rsid w:val="002A6029"/>
    <w:rsid w:val="002A609E"/>
    <w:rsid w:val="002A631D"/>
    <w:rsid w:val="002A637D"/>
    <w:rsid w:val="002A7008"/>
    <w:rsid w:val="002A717A"/>
    <w:rsid w:val="002A71C2"/>
    <w:rsid w:val="002A74AB"/>
    <w:rsid w:val="002A780C"/>
    <w:rsid w:val="002A7914"/>
    <w:rsid w:val="002A79A3"/>
    <w:rsid w:val="002A7A46"/>
    <w:rsid w:val="002A7ACC"/>
    <w:rsid w:val="002B0125"/>
    <w:rsid w:val="002B016E"/>
    <w:rsid w:val="002B091D"/>
    <w:rsid w:val="002B12C3"/>
    <w:rsid w:val="002B1BE3"/>
    <w:rsid w:val="002B1DA9"/>
    <w:rsid w:val="002B200D"/>
    <w:rsid w:val="002B20CE"/>
    <w:rsid w:val="002B2269"/>
    <w:rsid w:val="002B26EF"/>
    <w:rsid w:val="002B2749"/>
    <w:rsid w:val="002B27B7"/>
    <w:rsid w:val="002B28C3"/>
    <w:rsid w:val="002B2AC9"/>
    <w:rsid w:val="002B2B4A"/>
    <w:rsid w:val="002B32A5"/>
    <w:rsid w:val="002B3362"/>
    <w:rsid w:val="002B3B29"/>
    <w:rsid w:val="002B421E"/>
    <w:rsid w:val="002B46E9"/>
    <w:rsid w:val="002B47E6"/>
    <w:rsid w:val="002B4819"/>
    <w:rsid w:val="002B4830"/>
    <w:rsid w:val="002B4A0F"/>
    <w:rsid w:val="002B4BA8"/>
    <w:rsid w:val="002B4D55"/>
    <w:rsid w:val="002B5086"/>
    <w:rsid w:val="002B55AA"/>
    <w:rsid w:val="002B565C"/>
    <w:rsid w:val="002B5A23"/>
    <w:rsid w:val="002B5AAD"/>
    <w:rsid w:val="002B5AB9"/>
    <w:rsid w:val="002B5C3E"/>
    <w:rsid w:val="002B5E40"/>
    <w:rsid w:val="002B5FC5"/>
    <w:rsid w:val="002B5FC9"/>
    <w:rsid w:val="002B6402"/>
    <w:rsid w:val="002B65CA"/>
    <w:rsid w:val="002B65F9"/>
    <w:rsid w:val="002B6A66"/>
    <w:rsid w:val="002B6A91"/>
    <w:rsid w:val="002B6C49"/>
    <w:rsid w:val="002B6FA5"/>
    <w:rsid w:val="002B74E8"/>
    <w:rsid w:val="002B764B"/>
    <w:rsid w:val="002B7C88"/>
    <w:rsid w:val="002C0085"/>
    <w:rsid w:val="002C00E0"/>
    <w:rsid w:val="002C0132"/>
    <w:rsid w:val="002C03C0"/>
    <w:rsid w:val="002C0999"/>
    <w:rsid w:val="002C13C1"/>
    <w:rsid w:val="002C15A6"/>
    <w:rsid w:val="002C183F"/>
    <w:rsid w:val="002C18BD"/>
    <w:rsid w:val="002C20B4"/>
    <w:rsid w:val="002C2429"/>
    <w:rsid w:val="002C2872"/>
    <w:rsid w:val="002C2C64"/>
    <w:rsid w:val="002C2E5C"/>
    <w:rsid w:val="002C2FED"/>
    <w:rsid w:val="002C310F"/>
    <w:rsid w:val="002C385C"/>
    <w:rsid w:val="002C3F56"/>
    <w:rsid w:val="002C4693"/>
    <w:rsid w:val="002C46BB"/>
    <w:rsid w:val="002C49D3"/>
    <w:rsid w:val="002C4A7E"/>
    <w:rsid w:val="002C4BEF"/>
    <w:rsid w:val="002C4C2F"/>
    <w:rsid w:val="002C4D54"/>
    <w:rsid w:val="002C4E0A"/>
    <w:rsid w:val="002C4E3F"/>
    <w:rsid w:val="002C506F"/>
    <w:rsid w:val="002C5376"/>
    <w:rsid w:val="002C54E3"/>
    <w:rsid w:val="002C557B"/>
    <w:rsid w:val="002C5637"/>
    <w:rsid w:val="002C5664"/>
    <w:rsid w:val="002C5677"/>
    <w:rsid w:val="002C58C5"/>
    <w:rsid w:val="002C5E1B"/>
    <w:rsid w:val="002C5EB2"/>
    <w:rsid w:val="002C6385"/>
    <w:rsid w:val="002C64EC"/>
    <w:rsid w:val="002C6A2A"/>
    <w:rsid w:val="002C6C40"/>
    <w:rsid w:val="002C6D39"/>
    <w:rsid w:val="002C7105"/>
    <w:rsid w:val="002C72B7"/>
    <w:rsid w:val="002C746E"/>
    <w:rsid w:val="002C7509"/>
    <w:rsid w:val="002C7A4E"/>
    <w:rsid w:val="002C7AD8"/>
    <w:rsid w:val="002C7F08"/>
    <w:rsid w:val="002D0111"/>
    <w:rsid w:val="002D0751"/>
    <w:rsid w:val="002D0899"/>
    <w:rsid w:val="002D10F4"/>
    <w:rsid w:val="002D15B7"/>
    <w:rsid w:val="002D17BD"/>
    <w:rsid w:val="002D1982"/>
    <w:rsid w:val="002D1AAA"/>
    <w:rsid w:val="002D1B4A"/>
    <w:rsid w:val="002D1B4E"/>
    <w:rsid w:val="002D1C0A"/>
    <w:rsid w:val="002D20F5"/>
    <w:rsid w:val="002D22D7"/>
    <w:rsid w:val="002D26D0"/>
    <w:rsid w:val="002D295A"/>
    <w:rsid w:val="002D2970"/>
    <w:rsid w:val="002D2C9A"/>
    <w:rsid w:val="002D30C8"/>
    <w:rsid w:val="002D3AEF"/>
    <w:rsid w:val="002D3B9E"/>
    <w:rsid w:val="002D3E7A"/>
    <w:rsid w:val="002D4373"/>
    <w:rsid w:val="002D43E4"/>
    <w:rsid w:val="002D49D4"/>
    <w:rsid w:val="002D4B1C"/>
    <w:rsid w:val="002D4FE1"/>
    <w:rsid w:val="002D512E"/>
    <w:rsid w:val="002D52AA"/>
    <w:rsid w:val="002D53E3"/>
    <w:rsid w:val="002D58F0"/>
    <w:rsid w:val="002D5C24"/>
    <w:rsid w:val="002D64C8"/>
    <w:rsid w:val="002D6975"/>
    <w:rsid w:val="002D6A96"/>
    <w:rsid w:val="002D6ADA"/>
    <w:rsid w:val="002D6CD8"/>
    <w:rsid w:val="002D6F3B"/>
    <w:rsid w:val="002D7181"/>
    <w:rsid w:val="002D73C8"/>
    <w:rsid w:val="002D76F4"/>
    <w:rsid w:val="002D7D97"/>
    <w:rsid w:val="002D7DE8"/>
    <w:rsid w:val="002E0098"/>
    <w:rsid w:val="002E0476"/>
    <w:rsid w:val="002E05B6"/>
    <w:rsid w:val="002E0B0F"/>
    <w:rsid w:val="002E13D1"/>
    <w:rsid w:val="002E1536"/>
    <w:rsid w:val="002E1602"/>
    <w:rsid w:val="002E1AE8"/>
    <w:rsid w:val="002E1D21"/>
    <w:rsid w:val="002E1D88"/>
    <w:rsid w:val="002E206F"/>
    <w:rsid w:val="002E29B5"/>
    <w:rsid w:val="002E2AC6"/>
    <w:rsid w:val="002E32EB"/>
    <w:rsid w:val="002E3341"/>
    <w:rsid w:val="002E3CB2"/>
    <w:rsid w:val="002E3DAD"/>
    <w:rsid w:val="002E3FED"/>
    <w:rsid w:val="002E4618"/>
    <w:rsid w:val="002E4968"/>
    <w:rsid w:val="002E4A22"/>
    <w:rsid w:val="002E4A78"/>
    <w:rsid w:val="002E4AA0"/>
    <w:rsid w:val="002E4AE5"/>
    <w:rsid w:val="002E4BE0"/>
    <w:rsid w:val="002E5325"/>
    <w:rsid w:val="002E5710"/>
    <w:rsid w:val="002E5735"/>
    <w:rsid w:val="002E5A71"/>
    <w:rsid w:val="002E5D93"/>
    <w:rsid w:val="002E5E1F"/>
    <w:rsid w:val="002E6214"/>
    <w:rsid w:val="002E640B"/>
    <w:rsid w:val="002E6AEB"/>
    <w:rsid w:val="002E6FE4"/>
    <w:rsid w:val="002E7194"/>
    <w:rsid w:val="002E7797"/>
    <w:rsid w:val="002E7F1F"/>
    <w:rsid w:val="002F01F7"/>
    <w:rsid w:val="002F044A"/>
    <w:rsid w:val="002F0455"/>
    <w:rsid w:val="002F0518"/>
    <w:rsid w:val="002F1026"/>
    <w:rsid w:val="002F16E7"/>
    <w:rsid w:val="002F1912"/>
    <w:rsid w:val="002F1AE8"/>
    <w:rsid w:val="002F21D6"/>
    <w:rsid w:val="002F2214"/>
    <w:rsid w:val="002F2674"/>
    <w:rsid w:val="002F26C5"/>
    <w:rsid w:val="002F282F"/>
    <w:rsid w:val="002F2EDF"/>
    <w:rsid w:val="002F2F02"/>
    <w:rsid w:val="002F3018"/>
    <w:rsid w:val="002F309F"/>
    <w:rsid w:val="002F3130"/>
    <w:rsid w:val="002F37E2"/>
    <w:rsid w:val="002F39E4"/>
    <w:rsid w:val="002F3A18"/>
    <w:rsid w:val="002F3EF6"/>
    <w:rsid w:val="002F4141"/>
    <w:rsid w:val="002F4961"/>
    <w:rsid w:val="002F49E8"/>
    <w:rsid w:val="002F4B82"/>
    <w:rsid w:val="002F5761"/>
    <w:rsid w:val="002F6463"/>
    <w:rsid w:val="002F68AB"/>
    <w:rsid w:val="002F6B9C"/>
    <w:rsid w:val="002F6F0D"/>
    <w:rsid w:val="002F75F9"/>
    <w:rsid w:val="002F78A5"/>
    <w:rsid w:val="002F7EBA"/>
    <w:rsid w:val="002F7F3E"/>
    <w:rsid w:val="00300634"/>
    <w:rsid w:val="003006BE"/>
    <w:rsid w:val="0030096D"/>
    <w:rsid w:val="00301326"/>
    <w:rsid w:val="00301354"/>
    <w:rsid w:val="003014C2"/>
    <w:rsid w:val="003014EF"/>
    <w:rsid w:val="00301832"/>
    <w:rsid w:val="00301956"/>
    <w:rsid w:val="00301C75"/>
    <w:rsid w:val="00301E06"/>
    <w:rsid w:val="00302ADC"/>
    <w:rsid w:val="00303277"/>
    <w:rsid w:val="00303519"/>
    <w:rsid w:val="00303F4B"/>
    <w:rsid w:val="00304155"/>
    <w:rsid w:val="003044A7"/>
    <w:rsid w:val="003045B0"/>
    <w:rsid w:val="00304618"/>
    <w:rsid w:val="00304AFF"/>
    <w:rsid w:val="00304C30"/>
    <w:rsid w:val="00304C65"/>
    <w:rsid w:val="00304D00"/>
    <w:rsid w:val="00304E96"/>
    <w:rsid w:val="003052C2"/>
    <w:rsid w:val="00305569"/>
    <w:rsid w:val="00305643"/>
    <w:rsid w:val="0030608D"/>
    <w:rsid w:val="003060BD"/>
    <w:rsid w:val="003066D3"/>
    <w:rsid w:val="00307E68"/>
    <w:rsid w:val="00307F77"/>
    <w:rsid w:val="0031060B"/>
    <w:rsid w:val="0031077C"/>
    <w:rsid w:val="00310C60"/>
    <w:rsid w:val="00310DEF"/>
    <w:rsid w:val="00310ED1"/>
    <w:rsid w:val="003110A9"/>
    <w:rsid w:val="003114C4"/>
    <w:rsid w:val="0031153D"/>
    <w:rsid w:val="00311790"/>
    <w:rsid w:val="003118D7"/>
    <w:rsid w:val="00311DC2"/>
    <w:rsid w:val="00311FEF"/>
    <w:rsid w:val="00312056"/>
    <w:rsid w:val="00312554"/>
    <w:rsid w:val="0031278C"/>
    <w:rsid w:val="00312962"/>
    <w:rsid w:val="00312CE5"/>
    <w:rsid w:val="0031378F"/>
    <w:rsid w:val="003137B9"/>
    <w:rsid w:val="00313CE8"/>
    <w:rsid w:val="00313E2E"/>
    <w:rsid w:val="00314031"/>
    <w:rsid w:val="00314207"/>
    <w:rsid w:val="00314476"/>
    <w:rsid w:val="00314672"/>
    <w:rsid w:val="0031498D"/>
    <w:rsid w:val="00314F84"/>
    <w:rsid w:val="00315335"/>
    <w:rsid w:val="00315899"/>
    <w:rsid w:val="00315937"/>
    <w:rsid w:val="00315B85"/>
    <w:rsid w:val="00315C3B"/>
    <w:rsid w:val="00315D63"/>
    <w:rsid w:val="00316A86"/>
    <w:rsid w:val="00316BE0"/>
    <w:rsid w:val="00316DF1"/>
    <w:rsid w:val="003172FB"/>
    <w:rsid w:val="003173BC"/>
    <w:rsid w:val="00317492"/>
    <w:rsid w:val="00317618"/>
    <w:rsid w:val="0031763D"/>
    <w:rsid w:val="00320559"/>
    <w:rsid w:val="00320B3D"/>
    <w:rsid w:val="00320E77"/>
    <w:rsid w:val="003211F2"/>
    <w:rsid w:val="00321950"/>
    <w:rsid w:val="00321EBD"/>
    <w:rsid w:val="00322116"/>
    <w:rsid w:val="0032215A"/>
    <w:rsid w:val="00322248"/>
    <w:rsid w:val="00322F72"/>
    <w:rsid w:val="0032300D"/>
    <w:rsid w:val="00323064"/>
    <w:rsid w:val="00323D4D"/>
    <w:rsid w:val="00324227"/>
    <w:rsid w:val="00324271"/>
    <w:rsid w:val="00324284"/>
    <w:rsid w:val="00324317"/>
    <w:rsid w:val="00324428"/>
    <w:rsid w:val="003249AB"/>
    <w:rsid w:val="00324BA6"/>
    <w:rsid w:val="00324D1A"/>
    <w:rsid w:val="00325451"/>
    <w:rsid w:val="00325481"/>
    <w:rsid w:val="00325869"/>
    <w:rsid w:val="003259DE"/>
    <w:rsid w:val="003262CF"/>
    <w:rsid w:val="00326654"/>
    <w:rsid w:val="00326673"/>
    <w:rsid w:val="00327348"/>
    <w:rsid w:val="0032740C"/>
    <w:rsid w:val="0032754C"/>
    <w:rsid w:val="003278ED"/>
    <w:rsid w:val="003278F8"/>
    <w:rsid w:val="00327A26"/>
    <w:rsid w:val="00327CA5"/>
    <w:rsid w:val="00327DFC"/>
    <w:rsid w:val="003301B6"/>
    <w:rsid w:val="00330275"/>
    <w:rsid w:val="0033048F"/>
    <w:rsid w:val="00330677"/>
    <w:rsid w:val="00330838"/>
    <w:rsid w:val="00330B94"/>
    <w:rsid w:val="00330CB5"/>
    <w:rsid w:val="00330D7D"/>
    <w:rsid w:val="003310A6"/>
    <w:rsid w:val="003311A9"/>
    <w:rsid w:val="003311BF"/>
    <w:rsid w:val="003315A4"/>
    <w:rsid w:val="00331BDC"/>
    <w:rsid w:val="00331D12"/>
    <w:rsid w:val="0033271B"/>
    <w:rsid w:val="00332FE5"/>
    <w:rsid w:val="003331DB"/>
    <w:rsid w:val="00333356"/>
    <w:rsid w:val="00333467"/>
    <w:rsid w:val="00333588"/>
    <w:rsid w:val="00333B6F"/>
    <w:rsid w:val="00333C32"/>
    <w:rsid w:val="00333E61"/>
    <w:rsid w:val="00334777"/>
    <w:rsid w:val="00334930"/>
    <w:rsid w:val="003356F2"/>
    <w:rsid w:val="0033593F"/>
    <w:rsid w:val="00335B15"/>
    <w:rsid w:val="003361FC"/>
    <w:rsid w:val="00336528"/>
    <w:rsid w:val="003368A7"/>
    <w:rsid w:val="00336B60"/>
    <w:rsid w:val="003373D1"/>
    <w:rsid w:val="00337622"/>
    <w:rsid w:val="0033781E"/>
    <w:rsid w:val="00337DB1"/>
    <w:rsid w:val="0034006A"/>
    <w:rsid w:val="00340101"/>
    <w:rsid w:val="00340215"/>
    <w:rsid w:val="00340B2A"/>
    <w:rsid w:val="00340C04"/>
    <w:rsid w:val="00341012"/>
    <w:rsid w:val="0034101F"/>
    <w:rsid w:val="0034104D"/>
    <w:rsid w:val="00341174"/>
    <w:rsid w:val="003411A2"/>
    <w:rsid w:val="003413CB"/>
    <w:rsid w:val="00341A13"/>
    <w:rsid w:val="00341A14"/>
    <w:rsid w:val="00341E9A"/>
    <w:rsid w:val="00341EF9"/>
    <w:rsid w:val="003424F9"/>
    <w:rsid w:val="0034258F"/>
    <w:rsid w:val="00342757"/>
    <w:rsid w:val="00342822"/>
    <w:rsid w:val="00342881"/>
    <w:rsid w:val="003428D2"/>
    <w:rsid w:val="003428F7"/>
    <w:rsid w:val="00342A4E"/>
    <w:rsid w:val="00342EBB"/>
    <w:rsid w:val="003438C9"/>
    <w:rsid w:val="00343936"/>
    <w:rsid w:val="00343B11"/>
    <w:rsid w:val="00343C99"/>
    <w:rsid w:val="00343EBD"/>
    <w:rsid w:val="00344244"/>
    <w:rsid w:val="003447AD"/>
    <w:rsid w:val="00344CF2"/>
    <w:rsid w:val="00345057"/>
    <w:rsid w:val="00345497"/>
    <w:rsid w:val="003457A2"/>
    <w:rsid w:val="0034594D"/>
    <w:rsid w:val="003459B7"/>
    <w:rsid w:val="00346022"/>
    <w:rsid w:val="003460D6"/>
    <w:rsid w:val="0034620F"/>
    <w:rsid w:val="003466BA"/>
    <w:rsid w:val="00346A0D"/>
    <w:rsid w:val="00346A36"/>
    <w:rsid w:val="00346BCE"/>
    <w:rsid w:val="003470A7"/>
    <w:rsid w:val="0034731F"/>
    <w:rsid w:val="00347468"/>
    <w:rsid w:val="003474C5"/>
    <w:rsid w:val="003476E3"/>
    <w:rsid w:val="00347773"/>
    <w:rsid w:val="00347889"/>
    <w:rsid w:val="00347E7D"/>
    <w:rsid w:val="0035017E"/>
    <w:rsid w:val="003502DB"/>
    <w:rsid w:val="00350420"/>
    <w:rsid w:val="00350726"/>
    <w:rsid w:val="00350B15"/>
    <w:rsid w:val="00350BAA"/>
    <w:rsid w:val="00350D8C"/>
    <w:rsid w:val="00350E05"/>
    <w:rsid w:val="003511C9"/>
    <w:rsid w:val="0035128F"/>
    <w:rsid w:val="0035148C"/>
    <w:rsid w:val="00351625"/>
    <w:rsid w:val="00351ABC"/>
    <w:rsid w:val="00352087"/>
    <w:rsid w:val="003520E4"/>
    <w:rsid w:val="003525C4"/>
    <w:rsid w:val="00352871"/>
    <w:rsid w:val="003528D8"/>
    <w:rsid w:val="00352E10"/>
    <w:rsid w:val="00353844"/>
    <w:rsid w:val="00353DEB"/>
    <w:rsid w:val="0035440A"/>
    <w:rsid w:val="00354601"/>
    <w:rsid w:val="003547AD"/>
    <w:rsid w:val="003547BD"/>
    <w:rsid w:val="00354D89"/>
    <w:rsid w:val="00355485"/>
    <w:rsid w:val="00355730"/>
    <w:rsid w:val="00355745"/>
    <w:rsid w:val="00355908"/>
    <w:rsid w:val="00355F1F"/>
    <w:rsid w:val="00356309"/>
    <w:rsid w:val="003563CB"/>
    <w:rsid w:val="00356B53"/>
    <w:rsid w:val="00356DA4"/>
    <w:rsid w:val="00356EA6"/>
    <w:rsid w:val="0035763C"/>
    <w:rsid w:val="00357A33"/>
    <w:rsid w:val="00357DFA"/>
    <w:rsid w:val="003603A5"/>
    <w:rsid w:val="003618F7"/>
    <w:rsid w:val="0036267F"/>
    <w:rsid w:val="0036289E"/>
    <w:rsid w:val="00362954"/>
    <w:rsid w:val="00362F17"/>
    <w:rsid w:val="0036313C"/>
    <w:rsid w:val="0036333C"/>
    <w:rsid w:val="0036365E"/>
    <w:rsid w:val="00363B4E"/>
    <w:rsid w:val="00363ED4"/>
    <w:rsid w:val="00363FD5"/>
    <w:rsid w:val="00364024"/>
    <w:rsid w:val="00364254"/>
    <w:rsid w:val="003642AD"/>
    <w:rsid w:val="00364A05"/>
    <w:rsid w:val="00364B42"/>
    <w:rsid w:val="00364FB2"/>
    <w:rsid w:val="00365B71"/>
    <w:rsid w:val="00365DF8"/>
    <w:rsid w:val="00365F1C"/>
    <w:rsid w:val="003662BB"/>
    <w:rsid w:val="00366365"/>
    <w:rsid w:val="00366572"/>
    <w:rsid w:val="00366E26"/>
    <w:rsid w:val="00366E56"/>
    <w:rsid w:val="00366F75"/>
    <w:rsid w:val="00367274"/>
    <w:rsid w:val="0036727B"/>
    <w:rsid w:val="0036754E"/>
    <w:rsid w:val="00367EAB"/>
    <w:rsid w:val="0037099C"/>
    <w:rsid w:val="00370CB3"/>
    <w:rsid w:val="00371195"/>
    <w:rsid w:val="00371204"/>
    <w:rsid w:val="003714AC"/>
    <w:rsid w:val="003714D8"/>
    <w:rsid w:val="003716BF"/>
    <w:rsid w:val="00371B35"/>
    <w:rsid w:val="00371FCA"/>
    <w:rsid w:val="003723CF"/>
    <w:rsid w:val="0037283A"/>
    <w:rsid w:val="00373003"/>
    <w:rsid w:val="003731AA"/>
    <w:rsid w:val="00373244"/>
    <w:rsid w:val="00373632"/>
    <w:rsid w:val="0037364D"/>
    <w:rsid w:val="003737BC"/>
    <w:rsid w:val="00373947"/>
    <w:rsid w:val="00373F47"/>
    <w:rsid w:val="0037414E"/>
    <w:rsid w:val="003741BD"/>
    <w:rsid w:val="00374310"/>
    <w:rsid w:val="003743B1"/>
    <w:rsid w:val="00374B22"/>
    <w:rsid w:val="00374E8A"/>
    <w:rsid w:val="00375A3F"/>
    <w:rsid w:val="00375EB4"/>
    <w:rsid w:val="00375EE8"/>
    <w:rsid w:val="00376160"/>
    <w:rsid w:val="00376278"/>
    <w:rsid w:val="00376486"/>
    <w:rsid w:val="0037661B"/>
    <w:rsid w:val="00376B63"/>
    <w:rsid w:val="00376E10"/>
    <w:rsid w:val="00376E3D"/>
    <w:rsid w:val="00376FE0"/>
    <w:rsid w:val="0037786C"/>
    <w:rsid w:val="00377A78"/>
    <w:rsid w:val="00377EE0"/>
    <w:rsid w:val="00377F94"/>
    <w:rsid w:val="00380301"/>
    <w:rsid w:val="003807DA"/>
    <w:rsid w:val="00380BD2"/>
    <w:rsid w:val="003811BF"/>
    <w:rsid w:val="0038157B"/>
    <w:rsid w:val="00381592"/>
    <w:rsid w:val="00381730"/>
    <w:rsid w:val="0038198B"/>
    <w:rsid w:val="00381F32"/>
    <w:rsid w:val="00381FE5"/>
    <w:rsid w:val="003823CA"/>
    <w:rsid w:val="00382469"/>
    <w:rsid w:val="003824C4"/>
    <w:rsid w:val="00382626"/>
    <w:rsid w:val="00382741"/>
    <w:rsid w:val="003827C1"/>
    <w:rsid w:val="003828C0"/>
    <w:rsid w:val="00382AD9"/>
    <w:rsid w:val="00382EF1"/>
    <w:rsid w:val="00382FEA"/>
    <w:rsid w:val="00383215"/>
    <w:rsid w:val="0038324B"/>
    <w:rsid w:val="0038340C"/>
    <w:rsid w:val="003835EC"/>
    <w:rsid w:val="00383D67"/>
    <w:rsid w:val="003840B0"/>
    <w:rsid w:val="003840D7"/>
    <w:rsid w:val="003841D3"/>
    <w:rsid w:val="003843DC"/>
    <w:rsid w:val="00384844"/>
    <w:rsid w:val="003849C1"/>
    <w:rsid w:val="0038524C"/>
    <w:rsid w:val="0038569D"/>
    <w:rsid w:val="0038579C"/>
    <w:rsid w:val="00385C21"/>
    <w:rsid w:val="003860A2"/>
    <w:rsid w:val="003861E4"/>
    <w:rsid w:val="0038626C"/>
    <w:rsid w:val="0038667F"/>
    <w:rsid w:val="00387408"/>
    <w:rsid w:val="00387AB7"/>
    <w:rsid w:val="00387B73"/>
    <w:rsid w:val="00390397"/>
    <w:rsid w:val="0039083E"/>
    <w:rsid w:val="00390AB1"/>
    <w:rsid w:val="00390F2C"/>
    <w:rsid w:val="00391266"/>
    <w:rsid w:val="00391605"/>
    <w:rsid w:val="003917A4"/>
    <w:rsid w:val="00391A20"/>
    <w:rsid w:val="00392055"/>
    <w:rsid w:val="00392CD1"/>
    <w:rsid w:val="0039355E"/>
    <w:rsid w:val="0039377A"/>
    <w:rsid w:val="0039389D"/>
    <w:rsid w:val="003939A4"/>
    <w:rsid w:val="00393C25"/>
    <w:rsid w:val="00393E60"/>
    <w:rsid w:val="00394340"/>
    <w:rsid w:val="0039455F"/>
    <w:rsid w:val="00394818"/>
    <w:rsid w:val="00394862"/>
    <w:rsid w:val="00394E32"/>
    <w:rsid w:val="00394EC8"/>
    <w:rsid w:val="003951AF"/>
    <w:rsid w:val="00395C29"/>
    <w:rsid w:val="00395FD9"/>
    <w:rsid w:val="00396606"/>
    <w:rsid w:val="00396AFA"/>
    <w:rsid w:val="003974DD"/>
    <w:rsid w:val="00397C62"/>
    <w:rsid w:val="00397D0D"/>
    <w:rsid w:val="00397D85"/>
    <w:rsid w:val="00397FA5"/>
    <w:rsid w:val="003A0A05"/>
    <w:rsid w:val="003A1184"/>
    <w:rsid w:val="003A1316"/>
    <w:rsid w:val="003A1A9F"/>
    <w:rsid w:val="003A1F8F"/>
    <w:rsid w:val="003A20F3"/>
    <w:rsid w:val="003A2183"/>
    <w:rsid w:val="003A22D9"/>
    <w:rsid w:val="003A22EF"/>
    <w:rsid w:val="003A2814"/>
    <w:rsid w:val="003A2937"/>
    <w:rsid w:val="003A2B99"/>
    <w:rsid w:val="003A34FB"/>
    <w:rsid w:val="003A3654"/>
    <w:rsid w:val="003A36D3"/>
    <w:rsid w:val="003A3EE0"/>
    <w:rsid w:val="003A3F76"/>
    <w:rsid w:val="003A4411"/>
    <w:rsid w:val="003A470C"/>
    <w:rsid w:val="003A4868"/>
    <w:rsid w:val="003A4C03"/>
    <w:rsid w:val="003A4C33"/>
    <w:rsid w:val="003A4DC7"/>
    <w:rsid w:val="003A4F77"/>
    <w:rsid w:val="003A534D"/>
    <w:rsid w:val="003A5532"/>
    <w:rsid w:val="003A5728"/>
    <w:rsid w:val="003A5D5D"/>
    <w:rsid w:val="003A677E"/>
    <w:rsid w:val="003A6849"/>
    <w:rsid w:val="003A6D2E"/>
    <w:rsid w:val="003A700A"/>
    <w:rsid w:val="003A71D7"/>
    <w:rsid w:val="003A7555"/>
    <w:rsid w:val="003A7B76"/>
    <w:rsid w:val="003B006C"/>
    <w:rsid w:val="003B008A"/>
    <w:rsid w:val="003B05B2"/>
    <w:rsid w:val="003B0964"/>
    <w:rsid w:val="003B0D27"/>
    <w:rsid w:val="003B1041"/>
    <w:rsid w:val="003B140F"/>
    <w:rsid w:val="003B1AE8"/>
    <w:rsid w:val="003B1C44"/>
    <w:rsid w:val="003B1DA2"/>
    <w:rsid w:val="003B1F69"/>
    <w:rsid w:val="003B2026"/>
    <w:rsid w:val="003B204B"/>
    <w:rsid w:val="003B2069"/>
    <w:rsid w:val="003B2195"/>
    <w:rsid w:val="003B2355"/>
    <w:rsid w:val="003B2D80"/>
    <w:rsid w:val="003B2DED"/>
    <w:rsid w:val="003B2E13"/>
    <w:rsid w:val="003B3031"/>
    <w:rsid w:val="003B3091"/>
    <w:rsid w:val="003B38F2"/>
    <w:rsid w:val="003B3D2F"/>
    <w:rsid w:val="003B3E78"/>
    <w:rsid w:val="003B3E79"/>
    <w:rsid w:val="003B42D4"/>
    <w:rsid w:val="003B4849"/>
    <w:rsid w:val="003B4ABD"/>
    <w:rsid w:val="003B4CB6"/>
    <w:rsid w:val="003B4FCC"/>
    <w:rsid w:val="003B50BE"/>
    <w:rsid w:val="003B56FB"/>
    <w:rsid w:val="003B589D"/>
    <w:rsid w:val="003B5B77"/>
    <w:rsid w:val="003B5C99"/>
    <w:rsid w:val="003B60BB"/>
    <w:rsid w:val="003B62A0"/>
    <w:rsid w:val="003B65AA"/>
    <w:rsid w:val="003B6673"/>
    <w:rsid w:val="003B6744"/>
    <w:rsid w:val="003B678D"/>
    <w:rsid w:val="003B6FD9"/>
    <w:rsid w:val="003B6FF1"/>
    <w:rsid w:val="003B7101"/>
    <w:rsid w:val="003B773F"/>
    <w:rsid w:val="003B7A94"/>
    <w:rsid w:val="003C002A"/>
    <w:rsid w:val="003C014A"/>
    <w:rsid w:val="003C02B5"/>
    <w:rsid w:val="003C03F0"/>
    <w:rsid w:val="003C0784"/>
    <w:rsid w:val="003C10BE"/>
    <w:rsid w:val="003C1179"/>
    <w:rsid w:val="003C11E9"/>
    <w:rsid w:val="003C1449"/>
    <w:rsid w:val="003C1873"/>
    <w:rsid w:val="003C194C"/>
    <w:rsid w:val="003C19FF"/>
    <w:rsid w:val="003C208D"/>
    <w:rsid w:val="003C20F6"/>
    <w:rsid w:val="003C2265"/>
    <w:rsid w:val="003C2A40"/>
    <w:rsid w:val="003C2C93"/>
    <w:rsid w:val="003C3324"/>
    <w:rsid w:val="003C33E4"/>
    <w:rsid w:val="003C3702"/>
    <w:rsid w:val="003C3B65"/>
    <w:rsid w:val="003C3FC3"/>
    <w:rsid w:val="003C41A3"/>
    <w:rsid w:val="003C46E9"/>
    <w:rsid w:val="003C4B33"/>
    <w:rsid w:val="003C4C84"/>
    <w:rsid w:val="003C4E12"/>
    <w:rsid w:val="003C5115"/>
    <w:rsid w:val="003C5382"/>
    <w:rsid w:val="003C5579"/>
    <w:rsid w:val="003C57DC"/>
    <w:rsid w:val="003C59AD"/>
    <w:rsid w:val="003C5AAE"/>
    <w:rsid w:val="003C6215"/>
    <w:rsid w:val="003C65CA"/>
    <w:rsid w:val="003C68F9"/>
    <w:rsid w:val="003C6B40"/>
    <w:rsid w:val="003C6BF4"/>
    <w:rsid w:val="003C6E81"/>
    <w:rsid w:val="003C70AD"/>
    <w:rsid w:val="003C7532"/>
    <w:rsid w:val="003C7613"/>
    <w:rsid w:val="003C76B2"/>
    <w:rsid w:val="003C7F14"/>
    <w:rsid w:val="003D095E"/>
    <w:rsid w:val="003D0C28"/>
    <w:rsid w:val="003D1A70"/>
    <w:rsid w:val="003D1C2E"/>
    <w:rsid w:val="003D2594"/>
    <w:rsid w:val="003D2841"/>
    <w:rsid w:val="003D28EB"/>
    <w:rsid w:val="003D2D9F"/>
    <w:rsid w:val="003D3065"/>
    <w:rsid w:val="003D3271"/>
    <w:rsid w:val="003D3CE8"/>
    <w:rsid w:val="003D3D63"/>
    <w:rsid w:val="003D469A"/>
    <w:rsid w:val="003D4FB6"/>
    <w:rsid w:val="003D4FC1"/>
    <w:rsid w:val="003D52C5"/>
    <w:rsid w:val="003D58C4"/>
    <w:rsid w:val="003D5C96"/>
    <w:rsid w:val="003D5E3C"/>
    <w:rsid w:val="003D5EB2"/>
    <w:rsid w:val="003D5F32"/>
    <w:rsid w:val="003D62E0"/>
    <w:rsid w:val="003D64C9"/>
    <w:rsid w:val="003D65C5"/>
    <w:rsid w:val="003D6A8D"/>
    <w:rsid w:val="003D767A"/>
    <w:rsid w:val="003D769F"/>
    <w:rsid w:val="003D78A2"/>
    <w:rsid w:val="003E02CC"/>
    <w:rsid w:val="003E046E"/>
    <w:rsid w:val="003E04DC"/>
    <w:rsid w:val="003E0BF0"/>
    <w:rsid w:val="003E0F04"/>
    <w:rsid w:val="003E141D"/>
    <w:rsid w:val="003E1967"/>
    <w:rsid w:val="003E1A3B"/>
    <w:rsid w:val="003E1A88"/>
    <w:rsid w:val="003E1CBF"/>
    <w:rsid w:val="003E1D65"/>
    <w:rsid w:val="003E2108"/>
    <w:rsid w:val="003E242F"/>
    <w:rsid w:val="003E2B38"/>
    <w:rsid w:val="003E2BA5"/>
    <w:rsid w:val="003E2D79"/>
    <w:rsid w:val="003E3813"/>
    <w:rsid w:val="003E38A0"/>
    <w:rsid w:val="003E3942"/>
    <w:rsid w:val="003E3FDE"/>
    <w:rsid w:val="003E4122"/>
    <w:rsid w:val="003E4185"/>
    <w:rsid w:val="003E4687"/>
    <w:rsid w:val="003E4816"/>
    <w:rsid w:val="003E488B"/>
    <w:rsid w:val="003E497F"/>
    <w:rsid w:val="003E4A62"/>
    <w:rsid w:val="003E4B0F"/>
    <w:rsid w:val="003E4F29"/>
    <w:rsid w:val="003E57CB"/>
    <w:rsid w:val="003E57F8"/>
    <w:rsid w:val="003E59B9"/>
    <w:rsid w:val="003E59DC"/>
    <w:rsid w:val="003E5A24"/>
    <w:rsid w:val="003E5AFF"/>
    <w:rsid w:val="003E64D7"/>
    <w:rsid w:val="003E654C"/>
    <w:rsid w:val="003E6599"/>
    <w:rsid w:val="003E67F8"/>
    <w:rsid w:val="003E69A1"/>
    <w:rsid w:val="003E6AE5"/>
    <w:rsid w:val="003E7546"/>
    <w:rsid w:val="003E7C5D"/>
    <w:rsid w:val="003F02B4"/>
    <w:rsid w:val="003F06CF"/>
    <w:rsid w:val="003F08D2"/>
    <w:rsid w:val="003F0B14"/>
    <w:rsid w:val="003F0EB8"/>
    <w:rsid w:val="003F150E"/>
    <w:rsid w:val="003F167F"/>
    <w:rsid w:val="003F1F90"/>
    <w:rsid w:val="003F257E"/>
    <w:rsid w:val="003F2663"/>
    <w:rsid w:val="003F2A77"/>
    <w:rsid w:val="003F343D"/>
    <w:rsid w:val="003F34A4"/>
    <w:rsid w:val="003F3790"/>
    <w:rsid w:val="003F38C2"/>
    <w:rsid w:val="003F39EB"/>
    <w:rsid w:val="003F3C13"/>
    <w:rsid w:val="003F3CEE"/>
    <w:rsid w:val="003F3D60"/>
    <w:rsid w:val="003F3FB8"/>
    <w:rsid w:val="003F4280"/>
    <w:rsid w:val="003F4582"/>
    <w:rsid w:val="003F4816"/>
    <w:rsid w:val="003F4ACF"/>
    <w:rsid w:val="003F4E64"/>
    <w:rsid w:val="003F5129"/>
    <w:rsid w:val="003F5384"/>
    <w:rsid w:val="003F564A"/>
    <w:rsid w:val="003F603A"/>
    <w:rsid w:val="003F6203"/>
    <w:rsid w:val="003F6455"/>
    <w:rsid w:val="003F65E2"/>
    <w:rsid w:val="003F6A86"/>
    <w:rsid w:val="004004F4"/>
    <w:rsid w:val="004007C6"/>
    <w:rsid w:val="00400C28"/>
    <w:rsid w:val="00400C99"/>
    <w:rsid w:val="00400E83"/>
    <w:rsid w:val="00401321"/>
    <w:rsid w:val="004014CC"/>
    <w:rsid w:val="00401B07"/>
    <w:rsid w:val="00401B72"/>
    <w:rsid w:val="00401BBC"/>
    <w:rsid w:val="00401C6F"/>
    <w:rsid w:val="00401E4B"/>
    <w:rsid w:val="004020FD"/>
    <w:rsid w:val="004022D5"/>
    <w:rsid w:val="00402349"/>
    <w:rsid w:val="0040243F"/>
    <w:rsid w:val="004027A2"/>
    <w:rsid w:val="00402DAA"/>
    <w:rsid w:val="00402E7D"/>
    <w:rsid w:val="004034D1"/>
    <w:rsid w:val="0040413A"/>
    <w:rsid w:val="0040421A"/>
    <w:rsid w:val="004048A2"/>
    <w:rsid w:val="004051F2"/>
    <w:rsid w:val="00405C93"/>
    <w:rsid w:val="00405D3D"/>
    <w:rsid w:val="00406014"/>
    <w:rsid w:val="00406111"/>
    <w:rsid w:val="00406705"/>
    <w:rsid w:val="00406AF6"/>
    <w:rsid w:val="00406E1A"/>
    <w:rsid w:val="0040705A"/>
    <w:rsid w:val="004073BC"/>
    <w:rsid w:val="004101C0"/>
    <w:rsid w:val="00410414"/>
    <w:rsid w:val="004109B3"/>
    <w:rsid w:val="00410ACC"/>
    <w:rsid w:val="00410C14"/>
    <w:rsid w:val="00410CCA"/>
    <w:rsid w:val="0041123B"/>
    <w:rsid w:val="004112D3"/>
    <w:rsid w:val="00411453"/>
    <w:rsid w:val="004114E5"/>
    <w:rsid w:val="00411555"/>
    <w:rsid w:val="00411637"/>
    <w:rsid w:val="00411670"/>
    <w:rsid w:val="004118D3"/>
    <w:rsid w:val="00411BEA"/>
    <w:rsid w:val="004125E0"/>
    <w:rsid w:val="0041294C"/>
    <w:rsid w:val="00412F05"/>
    <w:rsid w:val="004131C3"/>
    <w:rsid w:val="00413DC4"/>
    <w:rsid w:val="0041422C"/>
    <w:rsid w:val="0041440C"/>
    <w:rsid w:val="00414452"/>
    <w:rsid w:val="004147C8"/>
    <w:rsid w:val="004148B4"/>
    <w:rsid w:val="004149A8"/>
    <w:rsid w:val="00414A4D"/>
    <w:rsid w:val="00414B31"/>
    <w:rsid w:val="00414FE2"/>
    <w:rsid w:val="0041521D"/>
    <w:rsid w:val="00415757"/>
    <w:rsid w:val="004159B7"/>
    <w:rsid w:val="00415E95"/>
    <w:rsid w:val="00416621"/>
    <w:rsid w:val="00416709"/>
    <w:rsid w:val="0041688B"/>
    <w:rsid w:val="00416943"/>
    <w:rsid w:val="00417355"/>
    <w:rsid w:val="004173FD"/>
    <w:rsid w:val="004179AF"/>
    <w:rsid w:val="00417B8B"/>
    <w:rsid w:val="00417CB6"/>
    <w:rsid w:val="00417DE9"/>
    <w:rsid w:val="00417F14"/>
    <w:rsid w:val="00420319"/>
    <w:rsid w:val="00420363"/>
    <w:rsid w:val="00420951"/>
    <w:rsid w:val="00420D51"/>
    <w:rsid w:val="00420F9E"/>
    <w:rsid w:val="00421586"/>
    <w:rsid w:val="00421B0B"/>
    <w:rsid w:val="00421E76"/>
    <w:rsid w:val="00421FC4"/>
    <w:rsid w:val="004220C0"/>
    <w:rsid w:val="00422241"/>
    <w:rsid w:val="004222B2"/>
    <w:rsid w:val="004224EC"/>
    <w:rsid w:val="0042289F"/>
    <w:rsid w:val="004228FA"/>
    <w:rsid w:val="00422C92"/>
    <w:rsid w:val="00422D6A"/>
    <w:rsid w:val="004230F5"/>
    <w:rsid w:val="00423178"/>
    <w:rsid w:val="0042374D"/>
    <w:rsid w:val="00423A51"/>
    <w:rsid w:val="00423D63"/>
    <w:rsid w:val="00423D98"/>
    <w:rsid w:val="0042417F"/>
    <w:rsid w:val="004241AB"/>
    <w:rsid w:val="004242AA"/>
    <w:rsid w:val="00424AFF"/>
    <w:rsid w:val="00424DDD"/>
    <w:rsid w:val="00424F33"/>
    <w:rsid w:val="00424FD3"/>
    <w:rsid w:val="00425006"/>
    <w:rsid w:val="00425058"/>
    <w:rsid w:val="00425714"/>
    <w:rsid w:val="00425C24"/>
    <w:rsid w:val="00425E9D"/>
    <w:rsid w:val="00426457"/>
    <w:rsid w:val="00426FA9"/>
    <w:rsid w:val="00427061"/>
    <w:rsid w:val="00427155"/>
    <w:rsid w:val="00427174"/>
    <w:rsid w:val="00427229"/>
    <w:rsid w:val="00430215"/>
    <w:rsid w:val="004302B0"/>
    <w:rsid w:val="004302E4"/>
    <w:rsid w:val="004304EC"/>
    <w:rsid w:val="004308F6"/>
    <w:rsid w:val="00430B67"/>
    <w:rsid w:val="0043108E"/>
    <w:rsid w:val="004310E7"/>
    <w:rsid w:val="004311F4"/>
    <w:rsid w:val="004313A9"/>
    <w:rsid w:val="004319B2"/>
    <w:rsid w:val="00431B0F"/>
    <w:rsid w:val="00431BA8"/>
    <w:rsid w:val="00431C1F"/>
    <w:rsid w:val="00431C74"/>
    <w:rsid w:val="00431F21"/>
    <w:rsid w:val="00432158"/>
    <w:rsid w:val="004328B7"/>
    <w:rsid w:val="004329A1"/>
    <w:rsid w:val="00432B2F"/>
    <w:rsid w:val="00432C5F"/>
    <w:rsid w:val="00432D41"/>
    <w:rsid w:val="00433146"/>
    <w:rsid w:val="004332DB"/>
    <w:rsid w:val="00433362"/>
    <w:rsid w:val="004333FB"/>
    <w:rsid w:val="00433608"/>
    <w:rsid w:val="00433647"/>
    <w:rsid w:val="004339E1"/>
    <w:rsid w:val="004339F2"/>
    <w:rsid w:val="00433D91"/>
    <w:rsid w:val="00433F1B"/>
    <w:rsid w:val="00434179"/>
    <w:rsid w:val="00434ED7"/>
    <w:rsid w:val="0043525A"/>
    <w:rsid w:val="0043599A"/>
    <w:rsid w:val="00435ABA"/>
    <w:rsid w:val="00435F72"/>
    <w:rsid w:val="004363D9"/>
    <w:rsid w:val="00436517"/>
    <w:rsid w:val="004366B3"/>
    <w:rsid w:val="0043686B"/>
    <w:rsid w:val="00436A91"/>
    <w:rsid w:val="0043736E"/>
    <w:rsid w:val="00437530"/>
    <w:rsid w:val="00437575"/>
    <w:rsid w:val="00437720"/>
    <w:rsid w:val="004378C6"/>
    <w:rsid w:val="00440337"/>
    <w:rsid w:val="004405A7"/>
    <w:rsid w:val="004405DF"/>
    <w:rsid w:val="00440B07"/>
    <w:rsid w:val="00440CC1"/>
    <w:rsid w:val="00440EB9"/>
    <w:rsid w:val="0044111C"/>
    <w:rsid w:val="0044124D"/>
    <w:rsid w:val="004412E6"/>
    <w:rsid w:val="00441C2F"/>
    <w:rsid w:val="00442063"/>
    <w:rsid w:val="00442481"/>
    <w:rsid w:val="004425CA"/>
    <w:rsid w:val="0044270F"/>
    <w:rsid w:val="00442A95"/>
    <w:rsid w:val="00442AF0"/>
    <w:rsid w:val="00442B6F"/>
    <w:rsid w:val="004431BE"/>
    <w:rsid w:val="00443506"/>
    <w:rsid w:val="004435C9"/>
    <w:rsid w:val="00443742"/>
    <w:rsid w:val="00443810"/>
    <w:rsid w:val="00443985"/>
    <w:rsid w:val="00443CBA"/>
    <w:rsid w:val="00443DBC"/>
    <w:rsid w:val="0044460C"/>
    <w:rsid w:val="004447A6"/>
    <w:rsid w:val="00444AA1"/>
    <w:rsid w:val="004450A3"/>
    <w:rsid w:val="004456CE"/>
    <w:rsid w:val="00445D0D"/>
    <w:rsid w:val="00445FD8"/>
    <w:rsid w:val="004460E0"/>
    <w:rsid w:val="0044626F"/>
    <w:rsid w:val="004466FB"/>
    <w:rsid w:val="00447057"/>
    <w:rsid w:val="004470A2"/>
    <w:rsid w:val="00447247"/>
    <w:rsid w:val="004473AF"/>
    <w:rsid w:val="004473E8"/>
    <w:rsid w:val="004476C9"/>
    <w:rsid w:val="00447AD3"/>
    <w:rsid w:val="00447C35"/>
    <w:rsid w:val="00447C8E"/>
    <w:rsid w:val="00447F48"/>
    <w:rsid w:val="00447F74"/>
    <w:rsid w:val="00450051"/>
    <w:rsid w:val="0045017E"/>
    <w:rsid w:val="004501A0"/>
    <w:rsid w:val="00450258"/>
    <w:rsid w:val="0045025B"/>
    <w:rsid w:val="00450527"/>
    <w:rsid w:val="004507E3"/>
    <w:rsid w:val="004507FF"/>
    <w:rsid w:val="004509F2"/>
    <w:rsid w:val="00450AEE"/>
    <w:rsid w:val="00450E42"/>
    <w:rsid w:val="00450F3B"/>
    <w:rsid w:val="004510CA"/>
    <w:rsid w:val="0045165E"/>
    <w:rsid w:val="00451691"/>
    <w:rsid w:val="0045187B"/>
    <w:rsid w:val="004522A7"/>
    <w:rsid w:val="00452BF9"/>
    <w:rsid w:val="004535F8"/>
    <w:rsid w:val="0045380A"/>
    <w:rsid w:val="00453DC5"/>
    <w:rsid w:val="00454900"/>
    <w:rsid w:val="004551A5"/>
    <w:rsid w:val="004552E4"/>
    <w:rsid w:val="00455340"/>
    <w:rsid w:val="004556D6"/>
    <w:rsid w:val="00455989"/>
    <w:rsid w:val="00455AB5"/>
    <w:rsid w:val="0045651C"/>
    <w:rsid w:val="00456915"/>
    <w:rsid w:val="004570C8"/>
    <w:rsid w:val="004572A0"/>
    <w:rsid w:val="004574FF"/>
    <w:rsid w:val="00457E27"/>
    <w:rsid w:val="00457FE3"/>
    <w:rsid w:val="0046078A"/>
    <w:rsid w:val="00460BAE"/>
    <w:rsid w:val="00460F75"/>
    <w:rsid w:val="00461A08"/>
    <w:rsid w:val="00461A4E"/>
    <w:rsid w:val="00461A64"/>
    <w:rsid w:val="00461D78"/>
    <w:rsid w:val="004622D9"/>
    <w:rsid w:val="004623A9"/>
    <w:rsid w:val="004624AD"/>
    <w:rsid w:val="00462660"/>
    <w:rsid w:val="004629C7"/>
    <w:rsid w:val="00462BC5"/>
    <w:rsid w:val="00462C46"/>
    <w:rsid w:val="00462CB0"/>
    <w:rsid w:val="00462D4C"/>
    <w:rsid w:val="0046346B"/>
    <w:rsid w:val="00463AF8"/>
    <w:rsid w:val="00463F5C"/>
    <w:rsid w:val="004641BB"/>
    <w:rsid w:val="0046440F"/>
    <w:rsid w:val="004644AA"/>
    <w:rsid w:val="00464BBF"/>
    <w:rsid w:val="00464F3C"/>
    <w:rsid w:val="00465893"/>
    <w:rsid w:val="004658DA"/>
    <w:rsid w:val="00465A25"/>
    <w:rsid w:val="00465B4A"/>
    <w:rsid w:val="00465C06"/>
    <w:rsid w:val="00465C59"/>
    <w:rsid w:val="00466243"/>
    <w:rsid w:val="00466266"/>
    <w:rsid w:val="00466612"/>
    <w:rsid w:val="00466978"/>
    <w:rsid w:val="00466B14"/>
    <w:rsid w:val="00466F63"/>
    <w:rsid w:val="004677D9"/>
    <w:rsid w:val="00467EF6"/>
    <w:rsid w:val="0047033D"/>
    <w:rsid w:val="004704CF"/>
    <w:rsid w:val="004705DB"/>
    <w:rsid w:val="00470753"/>
    <w:rsid w:val="00470797"/>
    <w:rsid w:val="004707A9"/>
    <w:rsid w:val="00471117"/>
    <w:rsid w:val="00471143"/>
    <w:rsid w:val="004711C6"/>
    <w:rsid w:val="004713AF"/>
    <w:rsid w:val="00471665"/>
    <w:rsid w:val="00471799"/>
    <w:rsid w:val="00471C19"/>
    <w:rsid w:val="0047215B"/>
    <w:rsid w:val="004721F3"/>
    <w:rsid w:val="00472315"/>
    <w:rsid w:val="004728E1"/>
    <w:rsid w:val="00472BF0"/>
    <w:rsid w:val="00472E3D"/>
    <w:rsid w:val="00472E42"/>
    <w:rsid w:val="00472E85"/>
    <w:rsid w:val="004732A0"/>
    <w:rsid w:val="0047357D"/>
    <w:rsid w:val="004736D8"/>
    <w:rsid w:val="00473849"/>
    <w:rsid w:val="0047384D"/>
    <w:rsid w:val="004738A1"/>
    <w:rsid w:val="00473BCE"/>
    <w:rsid w:val="00473DDB"/>
    <w:rsid w:val="0047427A"/>
    <w:rsid w:val="00474432"/>
    <w:rsid w:val="0047496D"/>
    <w:rsid w:val="00474A86"/>
    <w:rsid w:val="00474BAD"/>
    <w:rsid w:val="00474DCD"/>
    <w:rsid w:val="00475B41"/>
    <w:rsid w:val="00476013"/>
    <w:rsid w:val="00476120"/>
    <w:rsid w:val="00476377"/>
    <w:rsid w:val="0047668B"/>
    <w:rsid w:val="00476735"/>
    <w:rsid w:val="00476775"/>
    <w:rsid w:val="0047688A"/>
    <w:rsid w:val="00476A91"/>
    <w:rsid w:val="00476BA6"/>
    <w:rsid w:val="00477188"/>
    <w:rsid w:val="004775D9"/>
    <w:rsid w:val="00477BEB"/>
    <w:rsid w:val="00477DF1"/>
    <w:rsid w:val="00480059"/>
    <w:rsid w:val="00480084"/>
    <w:rsid w:val="00480195"/>
    <w:rsid w:val="00480981"/>
    <w:rsid w:val="00480BBE"/>
    <w:rsid w:val="00480E2E"/>
    <w:rsid w:val="0048119E"/>
    <w:rsid w:val="004811A4"/>
    <w:rsid w:val="0048133B"/>
    <w:rsid w:val="00481838"/>
    <w:rsid w:val="004818CD"/>
    <w:rsid w:val="00481AAC"/>
    <w:rsid w:val="00481E77"/>
    <w:rsid w:val="00481F68"/>
    <w:rsid w:val="0048209B"/>
    <w:rsid w:val="0048237D"/>
    <w:rsid w:val="004824E5"/>
    <w:rsid w:val="0048301C"/>
    <w:rsid w:val="0048323D"/>
    <w:rsid w:val="0048328C"/>
    <w:rsid w:val="0048344C"/>
    <w:rsid w:val="00483E6D"/>
    <w:rsid w:val="00484447"/>
    <w:rsid w:val="004847B9"/>
    <w:rsid w:val="00485080"/>
    <w:rsid w:val="004850BC"/>
    <w:rsid w:val="0048658B"/>
    <w:rsid w:val="0048672D"/>
    <w:rsid w:val="00486AF9"/>
    <w:rsid w:val="00486E5A"/>
    <w:rsid w:val="00486FD9"/>
    <w:rsid w:val="004876DD"/>
    <w:rsid w:val="004876F3"/>
    <w:rsid w:val="00487875"/>
    <w:rsid w:val="004879A7"/>
    <w:rsid w:val="0049014B"/>
    <w:rsid w:val="00490150"/>
    <w:rsid w:val="004903B2"/>
    <w:rsid w:val="004903C4"/>
    <w:rsid w:val="00490475"/>
    <w:rsid w:val="00490E3B"/>
    <w:rsid w:val="004910E8"/>
    <w:rsid w:val="00491271"/>
    <w:rsid w:val="004916A9"/>
    <w:rsid w:val="004923D3"/>
    <w:rsid w:val="00492783"/>
    <w:rsid w:val="00492824"/>
    <w:rsid w:val="00492D1E"/>
    <w:rsid w:val="00492DFD"/>
    <w:rsid w:val="00492E26"/>
    <w:rsid w:val="0049322A"/>
    <w:rsid w:val="00493259"/>
    <w:rsid w:val="004936AD"/>
    <w:rsid w:val="00493A25"/>
    <w:rsid w:val="00493C5E"/>
    <w:rsid w:val="004943E2"/>
    <w:rsid w:val="004947D4"/>
    <w:rsid w:val="004947EC"/>
    <w:rsid w:val="00494A55"/>
    <w:rsid w:val="00494F68"/>
    <w:rsid w:val="004950AE"/>
    <w:rsid w:val="00495550"/>
    <w:rsid w:val="00495A99"/>
    <w:rsid w:val="00495C48"/>
    <w:rsid w:val="00495EB2"/>
    <w:rsid w:val="0049616B"/>
    <w:rsid w:val="00496285"/>
    <w:rsid w:val="00496362"/>
    <w:rsid w:val="00496409"/>
    <w:rsid w:val="0049661E"/>
    <w:rsid w:val="00496746"/>
    <w:rsid w:val="00496806"/>
    <w:rsid w:val="00496EF5"/>
    <w:rsid w:val="004976D2"/>
    <w:rsid w:val="0049771D"/>
    <w:rsid w:val="00497997"/>
    <w:rsid w:val="00497A92"/>
    <w:rsid w:val="00497CE7"/>
    <w:rsid w:val="00497F31"/>
    <w:rsid w:val="004A016A"/>
    <w:rsid w:val="004A020A"/>
    <w:rsid w:val="004A0572"/>
    <w:rsid w:val="004A058A"/>
    <w:rsid w:val="004A06F0"/>
    <w:rsid w:val="004A06FC"/>
    <w:rsid w:val="004A0B52"/>
    <w:rsid w:val="004A0D1C"/>
    <w:rsid w:val="004A0DB5"/>
    <w:rsid w:val="004A162C"/>
    <w:rsid w:val="004A1B3F"/>
    <w:rsid w:val="004A1C73"/>
    <w:rsid w:val="004A201E"/>
    <w:rsid w:val="004A21CE"/>
    <w:rsid w:val="004A21F7"/>
    <w:rsid w:val="004A2360"/>
    <w:rsid w:val="004A2452"/>
    <w:rsid w:val="004A2832"/>
    <w:rsid w:val="004A316B"/>
    <w:rsid w:val="004A34CB"/>
    <w:rsid w:val="004A34EA"/>
    <w:rsid w:val="004A3D4D"/>
    <w:rsid w:val="004A3D5D"/>
    <w:rsid w:val="004A421A"/>
    <w:rsid w:val="004A457A"/>
    <w:rsid w:val="004A5619"/>
    <w:rsid w:val="004A5C75"/>
    <w:rsid w:val="004A5DCF"/>
    <w:rsid w:val="004A6559"/>
    <w:rsid w:val="004A6673"/>
    <w:rsid w:val="004A675C"/>
    <w:rsid w:val="004A683E"/>
    <w:rsid w:val="004A6A0E"/>
    <w:rsid w:val="004A6B18"/>
    <w:rsid w:val="004A6BE9"/>
    <w:rsid w:val="004A6D2B"/>
    <w:rsid w:val="004A73DC"/>
    <w:rsid w:val="004A7CD6"/>
    <w:rsid w:val="004A7E95"/>
    <w:rsid w:val="004B06A9"/>
    <w:rsid w:val="004B0843"/>
    <w:rsid w:val="004B0A7A"/>
    <w:rsid w:val="004B10C8"/>
    <w:rsid w:val="004B1378"/>
    <w:rsid w:val="004B1634"/>
    <w:rsid w:val="004B1AFD"/>
    <w:rsid w:val="004B1BBD"/>
    <w:rsid w:val="004B1EBC"/>
    <w:rsid w:val="004B2195"/>
    <w:rsid w:val="004B219D"/>
    <w:rsid w:val="004B260D"/>
    <w:rsid w:val="004B2A5E"/>
    <w:rsid w:val="004B2C52"/>
    <w:rsid w:val="004B34BC"/>
    <w:rsid w:val="004B34EB"/>
    <w:rsid w:val="004B3847"/>
    <w:rsid w:val="004B38B4"/>
    <w:rsid w:val="004B3CE3"/>
    <w:rsid w:val="004B421F"/>
    <w:rsid w:val="004B431F"/>
    <w:rsid w:val="004B4362"/>
    <w:rsid w:val="004B43DA"/>
    <w:rsid w:val="004B4572"/>
    <w:rsid w:val="004B4743"/>
    <w:rsid w:val="004B476B"/>
    <w:rsid w:val="004B494E"/>
    <w:rsid w:val="004B552F"/>
    <w:rsid w:val="004B5541"/>
    <w:rsid w:val="004B57D5"/>
    <w:rsid w:val="004B59F4"/>
    <w:rsid w:val="004B5E5F"/>
    <w:rsid w:val="004B5EA4"/>
    <w:rsid w:val="004B6121"/>
    <w:rsid w:val="004B6211"/>
    <w:rsid w:val="004B64A9"/>
    <w:rsid w:val="004B65F6"/>
    <w:rsid w:val="004B696F"/>
    <w:rsid w:val="004B6C9E"/>
    <w:rsid w:val="004B6FA4"/>
    <w:rsid w:val="004B704B"/>
    <w:rsid w:val="004B76A9"/>
    <w:rsid w:val="004B76EB"/>
    <w:rsid w:val="004B777F"/>
    <w:rsid w:val="004B7A05"/>
    <w:rsid w:val="004C0023"/>
    <w:rsid w:val="004C0241"/>
    <w:rsid w:val="004C048E"/>
    <w:rsid w:val="004C15A0"/>
    <w:rsid w:val="004C180E"/>
    <w:rsid w:val="004C18EC"/>
    <w:rsid w:val="004C1A08"/>
    <w:rsid w:val="004C1D43"/>
    <w:rsid w:val="004C1E6E"/>
    <w:rsid w:val="004C1E99"/>
    <w:rsid w:val="004C1F31"/>
    <w:rsid w:val="004C2E26"/>
    <w:rsid w:val="004C337A"/>
    <w:rsid w:val="004C34A0"/>
    <w:rsid w:val="004C38A1"/>
    <w:rsid w:val="004C3ABF"/>
    <w:rsid w:val="004C41DD"/>
    <w:rsid w:val="004C42B2"/>
    <w:rsid w:val="004C49F2"/>
    <w:rsid w:val="004C4F7C"/>
    <w:rsid w:val="004C5020"/>
    <w:rsid w:val="004C5754"/>
    <w:rsid w:val="004C5A0C"/>
    <w:rsid w:val="004C5B85"/>
    <w:rsid w:val="004C5BA1"/>
    <w:rsid w:val="004C5C72"/>
    <w:rsid w:val="004C64DB"/>
    <w:rsid w:val="004C6630"/>
    <w:rsid w:val="004C6679"/>
    <w:rsid w:val="004C6783"/>
    <w:rsid w:val="004C68D1"/>
    <w:rsid w:val="004C6933"/>
    <w:rsid w:val="004C6E5B"/>
    <w:rsid w:val="004C71BB"/>
    <w:rsid w:val="004C7706"/>
    <w:rsid w:val="004D0946"/>
    <w:rsid w:val="004D09E7"/>
    <w:rsid w:val="004D0B9B"/>
    <w:rsid w:val="004D1669"/>
    <w:rsid w:val="004D194A"/>
    <w:rsid w:val="004D1C2C"/>
    <w:rsid w:val="004D21CC"/>
    <w:rsid w:val="004D2414"/>
    <w:rsid w:val="004D2483"/>
    <w:rsid w:val="004D2721"/>
    <w:rsid w:val="004D2C5A"/>
    <w:rsid w:val="004D2C6B"/>
    <w:rsid w:val="004D2CDA"/>
    <w:rsid w:val="004D2F1A"/>
    <w:rsid w:val="004D2FBB"/>
    <w:rsid w:val="004D3062"/>
    <w:rsid w:val="004D3348"/>
    <w:rsid w:val="004D3417"/>
    <w:rsid w:val="004D34FF"/>
    <w:rsid w:val="004D37FC"/>
    <w:rsid w:val="004D3C5D"/>
    <w:rsid w:val="004D40D8"/>
    <w:rsid w:val="004D41B9"/>
    <w:rsid w:val="004D41D9"/>
    <w:rsid w:val="004D44C6"/>
    <w:rsid w:val="004D4862"/>
    <w:rsid w:val="004D4996"/>
    <w:rsid w:val="004D4A40"/>
    <w:rsid w:val="004D4A9E"/>
    <w:rsid w:val="004D4E87"/>
    <w:rsid w:val="004D4FD5"/>
    <w:rsid w:val="004D54EF"/>
    <w:rsid w:val="004D58D7"/>
    <w:rsid w:val="004D604F"/>
    <w:rsid w:val="004D61EB"/>
    <w:rsid w:val="004D638F"/>
    <w:rsid w:val="004D63C5"/>
    <w:rsid w:val="004D63EA"/>
    <w:rsid w:val="004D66BB"/>
    <w:rsid w:val="004D6F3D"/>
    <w:rsid w:val="004D6FF8"/>
    <w:rsid w:val="004D71BB"/>
    <w:rsid w:val="004D75A5"/>
    <w:rsid w:val="004D7A40"/>
    <w:rsid w:val="004D7AD0"/>
    <w:rsid w:val="004D7B95"/>
    <w:rsid w:val="004D7DC2"/>
    <w:rsid w:val="004D7DEC"/>
    <w:rsid w:val="004D7FE7"/>
    <w:rsid w:val="004E0085"/>
    <w:rsid w:val="004E0269"/>
    <w:rsid w:val="004E05A1"/>
    <w:rsid w:val="004E0B50"/>
    <w:rsid w:val="004E1541"/>
    <w:rsid w:val="004E199A"/>
    <w:rsid w:val="004E1F3F"/>
    <w:rsid w:val="004E2104"/>
    <w:rsid w:val="004E213F"/>
    <w:rsid w:val="004E23F6"/>
    <w:rsid w:val="004E258A"/>
    <w:rsid w:val="004E27A1"/>
    <w:rsid w:val="004E2813"/>
    <w:rsid w:val="004E2976"/>
    <w:rsid w:val="004E2A97"/>
    <w:rsid w:val="004E2CD8"/>
    <w:rsid w:val="004E3013"/>
    <w:rsid w:val="004E33AE"/>
    <w:rsid w:val="004E34D9"/>
    <w:rsid w:val="004E3598"/>
    <w:rsid w:val="004E36A7"/>
    <w:rsid w:val="004E36FA"/>
    <w:rsid w:val="004E3A13"/>
    <w:rsid w:val="004E3FAA"/>
    <w:rsid w:val="004E4346"/>
    <w:rsid w:val="004E4668"/>
    <w:rsid w:val="004E4A6A"/>
    <w:rsid w:val="004E4C4A"/>
    <w:rsid w:val="004E53AB"/>
    <w:rsid w:val="004E5575"/>
    <w:rsid w:val="004E5872"/>
    <w:rsid w:val="004E58BB"/>
    <w:rsid w:val="004E5AD3"/>
    <w:rsid w:val="004E5C79"/>
    <w:rsid w:val="004E612C"/>
    <w:rsid w:val="004E6DD1"/>
    <w:rsid w:val="004E7080"/>
    <w:rsid w:val="004E70ED"/>
    <w:rsid w:val="004E70F2"/>
    <w:rsid w:val="004E7D80"/>
    <w:rsid w:val="004F0302"/>
    <w:rsid w:val="004F06A0"/>
    <w:rsid w:val="004F06F8"/>
    <w:rsid w:val="004F096F"/>
    <w:rsid w:val="004F10F0"/>
    <w:rsid w:val="004F114C"/>
    <w:rsid w:val="004F1380"/>
    <w:rsid w:val="004F1A2C"/>
    <w:rsid w:val="004F21BD"/>
    <w:rsid w:val="004F2A30"/>
    <w:rsid w:val="004F2F00"/>
    <w:rsid w:val="004F3112"/>
    <w:rsid w:val="004F3160"/>
    <w:rsid w:val="004F323F"/>
    <w:rsid w:val="004F33D6"/>
    <w:rsid w:val="004F3988"/>
    <w:rsid w:val="004F3B04"/>
    <w:rsid w:val="004F418C"/>
    <w:rsid w:val="004F43AC"/>
    <w:rsid w:val="004F4436"/>
    <w:rsid w:val="004F4CDD"/>
    <w:rsid w:val="004F52C4"/>
    <w:rsid w:val="004F54A2"/>
    <w:rsid w:val="004F54E1"/>
    <w:rsid w:val="004F5544"/>
    <w:rsid w:val="004F5635"/>
    <w:rsid w:val="004F5645"/>
    <w:rsid w:val="004F588D"/>
    <w:rsid w:val="004F5892"/>
    <w:rsid w:val="004F58EF"/>
    <w:rsid w:val="004F5B2D"/>
    <w:rsid w:val="004F5CBC"/>
    <w:rsid w:val="004F5DF8"/>
    <w:rsid w:val="004F648B"/>
    <w:rsid w:val="004F66F8"/>
    <w:rsid w:val="004F677E"/>
    <w:rsid w:val="004F6802"/>
    <w:rsid w:val="004F68A5"/>
    <w:rsid w:val="004F6AFF"/>
    <w:rsid w:val="004F6DF6"/>
    <w:rsid w:val="004F6E00"/>
    <w:rsid w:val="004F6EB4"/>
    <w:rsid w:val="004F70CB"/>
    <w:rsid w:val="004F72A2"/>
    <w:rsid w:val="004F7692"/>
    <w:rsid w:val="004F773F"/>
    <w:rsid w:val="004F777E"/>
    <w:rsid w:val="004F7859"/>
    <w:rsid w:val="004F7AA8"/>
    <w:rsid w:val="004F7BEB"/>
    <w:rsid w:val="004F7CA3"/>
    <w:rsid w:val="004F7DD1"/>
    <w:rsid w:val="004F7DF3"/>
    <w:rsid w:val="005000EE"/>
    <w:rsid w:val="005001ED"/>
    <w:rsid w:val="00500520"/>
    <w:rsid w:val="0050061A"/>
    <w:rsid w:val="005011A5"/>
    <w:rsid w:val="00501496"/>
    <w:rsid w:val="00501CCF"/>
    <w:rsid w:val="005021DD"/>
    <w:rsid w:val="00502231"/>
    <w:rsid w:val="00502272"/>
    <w:rsid w:val="00502397"/>
    <w:rsid w:val="005029AC"/>
    <w:rsid w:val="00502BDB"/>
    <w:rsid w:val="0050319D"/>
    <w:rsid w:val="0050349E"/>
    <w:rsid w:val="0050367C"/>
    <w:rsid w:val="00503989"/>
    <w:rsid w:val="005041BB"/>
    <w:rsid w:val="00504363"/>
    <w:rsid w:val="005047E2"/>
    <w:rsid w:val="0050493B"/>
    <w:rsid w:val="00504AA3"/>
    <w:rsid w:val="00504C86"/>
    <w:rsid w:val="00505025"/>
    <w:rsid w:val="0050511B"/>
    <w:rsid w:val="0050553A"/>
    <w:rsid w:val="005056DE"/>
    <w:rsid w:val="00505703"/>
    <w:rsid w:val="00505BC5"/>
    <w:rsid w:val="00505E8A"/>
    <w:rsid w:val="0050616E"/>
    <w:rsid w:val="00506B4D"/>
    <w:rsid w:val="0050736D"/>
    <w:rsid w:val="0050758D"/>
    <w:rsid w:val="00507D49"/>
    <w:rsid w:val="005100F7"/>
    <w:rsid w:val="00510221"/>
    <w:rsid w:val="0051023B"/>
    <w:rsid w:val="0051032C"/>
    <w:rsid w:val="005103F5"/>
    <w:rsid w:val="00510644"/>
    <w:rsid w:val="00510683"/>
    <w:rsid w:val="00510D82"/>
    <w:rsid w:val="00510E17"/>
    <w:rsid w:val="00511211"/>
    <w:rsid w:val="00511448"/>
    <w:rsid w:val="00511713"/>
    <w:rsid w:val="00511876"/>
    <w:rsid w:val="005118E6"/>
    <w:rsid w:val="005119A7"/>
    <w:rsid w:val="00511A89"/>
    <w:rsid w:val="00512168"/>
    <w:rsid w:val="00512337"/>
    <w:rsid w:val="00512512"/>
    <w:rsid w:val="00512676"/>
    <w:rsid w:val="00512BB7"/>
    <w:rsid w:val="00512FA9"/>
    <w:rsid w:val="00513034"/>
    <w:rsid w:val="005130B4"/>
    <w:rsid w:val="005133B8"/>
    <w:rsid w:val="00513F56"/>
    <w:rsid w:val="0051474A"/>
    <w:rsid w:val="0051491B"/>
    <w:rsid w:val="005149E5"/>
    <w:rsid w:val="005149F5"/>
    <w:rsid w:val="00514B50"/>
    <w:rsid w:val="00514D49"/>
    <w:rsid w:val="00514DA1"/>
    <w:rsid w:val="0051570C"/>
    <w:rsid w:val="005157DB"/>
    <w:rsid w:val="00515F79"/>
    <w:rsid w:val="00516603"/>
    <w:rsid w:val="00516C1D"/>
    <w:rsid w:val="00516D8E"/>
    <w:rsid w:val="0051736E"/>
    <w:rsid w:val="00517721"/>
    <w:rsid w:val="00517872"/>
    <w:rsid w:val="00517D99"/>
    <w:rsid w:val="00520183"/>
    <w:rsid w:val="005201B2"/>
    <w:rsid w:val="005201DB"/>
    <w:rsid w:val="005202CD"/>
    <w:rsid w:val="005204EB"/>
    <w:rsid w:val="005207C8"/>
    <w:rsid w:val="00520B99"/>
    <w:rsid w:val="00520F07"/>
    <w:rsid w:val="005210EA"/>
    <w:rsid w:val="005211F7"/>
    <w:rsid w:val="00521290"/>
    <w:rsid w:val="005212D1"/>
    <w:rsid w:val="0052174D"/>
    <w:rsid w:val="005217F3"/>
    <w:rsid w:val="00521905"/>
    <w:rsid w:val="00521BDF"/>
    <w:rsid w:val="00521ECB"/>
    <w:rsid w:val="00521FE0"/>
    <w:rsid w:val="00522108"/>
    <w:rsid w:val="00522170"/>
    <w:rsid w:val="005221AA"/>
    <w:rsid w:val="00522371"/>
    <w:rsid w:val="005224A0"/>
    <w:rsid w:val="00522761"/>
    <w:rsid w:val="0052278C"/>
    <w:rsid w:val="00522862"/>
    <w:rsid w:val="005229ED"/>
    <w:rsid w:val="00522E4D"/>
    <w:rsid w:val="005231AB"/>
    <w:rsid w:val="0052374B"/>
    <w:rsid w:val="00523752"/>
    <w:rsid w:val="00523F98"/>
    <w:rsid w:val="005241C9"/>
    <w:rsid w:val="005249E3"/>
    <w:rsid w:val="0052591C"/>
    <w:rsid w:val="00525A91"/>
    <w:rsid w:val="00525DBC"/>
    <w:rsid w:val="005260B3"/>
    <w:rsid w:val="005266D2"/>
    <w:rsid w:val="00526891"/>
    <w:rsid w:val="00526A2A"/>
    <w:rsid w:val="00526D56"/>
    <w:rsid w:val="00526E94"/>
    <w:rsid w:val="005273DC"/>
    <w:rsid w:val="005276E0"/>
    <w:rsid w:val="0052791D"/>
    <w:rsid w:val="00527A48"/>
    <w:rsid w:val="00527CDB"/>
    <w:rsid w:val="00527E4E"/>
    <w:rsid w:val="005303C8"/>
    <w:rsid w:val="005306B0"/>
    <w:rsid w:val="00530724"/>
    <w:rsid w:val="00530741"/>
    <w:rsid w:val="00530BBD"/>
    <w:rsid w:val="00530D82"/>
    <w:rsid w:val="005310AD"/>
    <w:rsid w:val="005311F4"/>
    <w:rsid w:val="005318DB"/>
    <w:rsid w:val="0053194B"/>
    <w:rsid w:val="0053199B"/>
    <w:rsid w:val="00531D69"/>
    <w:rsid w:val="00532547"/>
    <w:rsid w:val="0053294E"/>
    <w:rsid w:val="00532A1E"/>
    <w:rsid w:val="00532D1F"/>
    <w:rsid w:val="0053316E"/>
    <w:rsid w:val="0053342E"/>
    <w:rsid w:val="00533678"/>
    <w:rsid w:val="00533A96"/>
    <w:rsid w:val="00533ACE"/>
    <w:rsid w:val="00533AD6"/>
    <w:rsid w:val="00533D9C"/>
    <w:rsid w:val="00533E3E"/>
    <w:rsid w:val="00533EB5"/>
    <w:rsid w:val="00533F89"/>
    <w:rsid w:val="005344E8"/>
    <w:rsid w:val="00534724"/>
    <w:rsid w:val="00534789"/>
    <w:rsid w:val="005348F4"/>
    <w:rsid w:val="00534AB3"/>
    <w:rsid w:val="00534AC2"/>
    <w:rsid w:val="00534C65"/>
    <w:rsid w:val="00534F30"/>
    <w:rsid w:val="00535053"/>
    <w:rsid w:val="005350FE"/>
    <w:rsid w:val="00535DEA"/>
    <w:rsid w:val="00535E33"/>
    <w:rsid w:val="00536467"/>
    <w:rsid w:val="005366A7"/>
    <w:rsid w:val="005366AE"/>
    <w:rsid w:val="005367BB"/>
    <w:rsid w:val="00536A83"/>
    <w:rsid w:val="00536C92"/>
    <w:rsid w:val="00536E11"/>
    <w:rsid w:val="00537236"/>
    <w:rsid w:val="0053732A"/>
    <w:rsid w:val="00537333"/>
    <w:rsid w:val="005373E4"/>
    <w:rsid w:val="005377D4"/>
    <w:rsid w:val="00537850"/>
    <w:rsid w:val="00537B95"/>
    <w:rsid w:val="00537EB6"/>
    <w:rsid w:val="00540B4A"/>
    <w:rsid w:val="00541082"/>
    <w:rsid w:val="0054121D"/>
    <w:rsid w:val="0054149A"/>
    <w:rsid w:val="00541665"/>
    <w:rsid w:val="005419B0"/>
    <w:rsid w:val="00541DFD"/>
    <w:rsid w:val="00542349"/>
    <w:rsid w:val="005425E7"/>
    <w:rsid w:val="00542776"/>
    <w:rsid w:val="00542BE9"/>
    <w:rsid w:val="00542DF1"/>
    <w:rsid w:val="00543160"/>
    <w:rsid w:val="00543687"/>
    <w:rsid w:val="00543DE6"/>
    <w:rsid w:val="005440EF"/>
    <w:rsid w:val="0054411F"/>
    <w:rsid w:val="005443B6"/>
    <w:rsid w:val="005447E8"/>
    <w:rsid w:val="00544CB1"/>
    <w:rsid w:val="00545233"/>
    <w:rsid w:val="00545252"/>
    <w:rsid w:val="0054538A"/>
    <w:rsid w:val="00545441"/>
    <w:rsid w:val="005464D7"/>
    <w:rsid w:val="00547642"/>
    <w:rsid w:val="005476B0"/>
    <w:rsid w:val="0054778A"/>
    <w:rsid w:val="005478C5"/>
    <w:rsid w:val="00547B0E"/>
    <w:rsid w:val="00550443"/>
    <w:rsid w:val="00550732"/>
    <w:rsid w:val="00550902"/>
    <w:rsid w:val="00550BB2"/>
    <w:rsid w:val="005517C3"/>
    <w:rsid w:val="00551989"/>
    <w:rsid w:val="00551C07"/>
    <w:rsid w:val="00551E8B"/>
    <w:rsid w:val="00551F78"/>
    <w:rsid w:val="005524B8"/>
    <w:rsid w:val="00552AB1"/>
    <w:rsid w:val="00552C28"/>
    <w:rsid w:val="00552F6E"/>
    <w:rsid w:val="005532A2"/>
    <w:rsid w:val="00553503"/>
    <w:rsid w:val="005535EC"/>
    <w:rsid w:val="00553821"/>
    <w:rsid w:val="005538C4"/>
    <w:rsid w:val="00553A4F"/>
    <w:rsid w:val="005543B5"/>
    <w:rsid w:val="00554522"/>
    <w:rsid w:val="005547C9"/>
    <w:rsid w:val="00554A67"/>
    <w:rsid w:val="00554CE0"/>
    <w:rsid w:val="00554D61"/>
    <w:rsid w:val="00554DA1"/>
    <w:rsid w:val="00554DEC"/>
    <w:rsid w:val="00554FC9"/>
    <w:rsid w:val="00555DFE"/>
    <w:rsid w:val="00556200"/>
    <w:rsid w:val="00556384"/>
    <w:rsid w:val="0055639D"/>
    <w:rsid w:val="00556638"/>
    <w:rsid w:val="00556CB2"/>
    <w:rsid w:val="00556F77"/>
    <w:rsid w:val="00557737"/>
    <w:rsid w:val="005579D2"/>
    <w:rsid w:val="00557B35"/>
    <w:rsid w:val="00560455"/>
    <w:rsid w:val="00560467"/>
    <w:rsid w:val="00560629"/>
    <w:rsid w:val="00560768"/>
    <w:rsid w:val="005619A2"/>
    <w:rsid w:val="00561BB8"/>
    <w:rsid w:val="00561DC7"/>
    <w:rsid w:val="00562485"/>
    <w:rsid w:val="00562722"/>
    <w:rsid w:val="005627B4"/>
    <w:rsid w:val="00562BA4"/>
    <w:rsid w:val="00563363"/>
    <w:rsid w:val="005634D7"/>
    <w:rsid w:val="00563720"/>
    <w:rsid w:val="00563EDA"/>
    <w:rsid w:val="0056409A"/>
    <w:rsid w:val="00564432"/>
    <w:rsid w:val="005644A7"/>
    <w:rsid w:val="005646D1"/>
    <w:rsid w:val="00564830"/>
    <w:rsid w:val="00564AE7"/>
    <w:rsid w:val="00564F20"/>
    <w:rsid w:val="00565774"/>
    <w:rsid w:val="00565FE3"/>
    <w:rsid w:val="005664B4"/>
    <w:rsid w:val="0056665F"/>
    <w:rsid w:val="005668EE"/>
    <w:rsid w:val="00566CBB"/>
    <w:rsid w:val="00566CDB"/>
    <w:rsid w:val="00566EF4"/>
    <w:rsid w:val="00566F7C"/>
    <w:rsid w:val="00567230"/>
    <w:rsid w:val="0056734F"/>
    <w:rsid w:val="00567705"/>
    <w:rsid w:val="00567BA3"/>
    <w:rsid w:val="0057060B"/>
    <w:rsid w:val="005708FE"/>
    <w:rsid w:val="005710A9"/>
    <w:rsid w:val="005711B1"/>
    <w:rsid w:val="00571280"/>
    <w:rsid w:val="00571315"/>
    <w:rsid w:val="0057177C"/>
    <w:rsid w:val="0057178F"/>
    <w:rsid w:val="0057208E"/>
    <w:rsid w:val="00572865"/>
    <w:rsid w:val="005728B1"/>
    <w:rsid w:val="005728D1"/>
    <w:rsid w:val="00572B1B"/>
    <w:rsid w:val="00572CB3"/>
    <w:rsid w:val="00573356"/>
    <w:rsid w:val="00573404"/>
    <w:rsid w:val="005738B8"/>
    <w:rsid w:val="00573F3D"/>
    <w:rsid w:val="00574519"/>
    <w:rsid w:val="005746D2"/>
    <w:rsid w:val="00574A32"/>
    <w:rsid w:val="00574F1A"/>
    <w:rsid w:val="00575344"/>
    <w:rsid w:val="0057542A"/>
    <w:rsid w:val="00575676"/>
    <w:rsid w:val="00575784"/>
    <w:rsid w:val="005759CB"/>
    <w:rsid w:val="00576B9D"/>
    <w:rsid w:val="00576BB9"/>
    <w:rsid w:val="00577181"/>
    <w:rsid w:val="00577207"/>
    <w:rsid w:val="0057769C"/>
    <w:rsid w:val="005776CA"/>
    <w:rsid w:val="00577724"/>
    <w:rsid w:val="00577AB1"/>
    <w:rsid w:val="00577C7F"/>
    <w:rsid w:val="00580382"/>
    <w:rsid w:val="005807C9"/>
    <w:rsid w:val="00580A1A"/>
    <w:rsid w:val="00580EF7"/>
    <w:rsid w:val="005813BA"/>
    <w:rsid w:val="00581B68"/>
    <w:rsid w:val="00582489"/>
    <w:rsid w:val="005824C8"/>
    <w:rsid w:val="0058250F"/>
    <w:rsid w:val="00582C5B"/>
    <w:rsid w:val="00582F3C"/>
    <w:rsid w:val="005830A3"/>
    <w:rsid w:val="00583B48"/>
    <w:rsid w:val="00583C8A"/>
    <w:rsid w:val="00583FC7"/>
    <w:rsid w:val="00583FD0"/>
    <w:rsid w:val="005840B8"/>
    <w:rsid w:val="005846CA"/>
    <w:rsid w:val="00584A31"/>
    <w:rsid w:val="00584D3B"/>
    <w:rsid w:val="0058547F"/>
    <w:rsid w:val="00585559"/>
    <w:rsid w:val="00585A42"/>
    <w:rsid w:val="00585FDC"/>
    <w:rsid w:val="00586025"/>
    <w:rsid w:val="005865BF"/>
    <w:rsid w:val="00586646"/>
    <w:rsid w:val="00586853"/>
    <w:rsid w:val="00586E05"/>
    <w:rsid w:val="00586EB3"/>
    <w:rsid w:val="00586EFA"/>
    <w:rsid w:val="00586F6C"/>
    <w:rsid w:val="005872C3"/>
    <w:rsid w:val="005874C6"/>
    <w:rsid w:val="00587550"/>
    <w:rsid w:val="00587956"/>
    <w:rsid w:val="005879C3"/>
    <w:rsid w:val="00587C63"/>
    <w:rsid w:val="00590222"/>
    <w:rsid w:val="00590515"/>
    <w:rsid w:val="005905D7"/>
    <w:rsid w:val="00590A50"/>
    <w:rsid w:val="00590C12"/>
    <w:rsid w:val="00591164"/>
    <w:rsid w:val="005913DC"/>
    <w:rsid w:val="005916A9"/>
    <w:rsid w:val="00591842"/>
    <w:rsid w:val="00591C32"/>
    <w:rsid w:val="0059241C"/>
    <w:rsid w:val="00592618"/>
    <w:rsid w:val="00592695"/>
    <w:rsid w:val="00592848"/>
    <w:rsid w:val="00592CF4"/>
    <w:rsid w:val="00592D40"/>
    <w:rsid w:val="0059334D"/>
    <w:rsid w:val="005934E9"/>
    <w:rsid w:val="005936A5"/>
    <w:rsid w:val="00593817"/>
    <w:rsid w:val="005938D7"/>
    <w:rsid w:val="00593D2E"/>
    <w:rsid w:val="00593D66"/>
    <w:rsid w:val="00593F00"/>
    <w:rsid w:val="00593F64"/>
    <w:rsid w:val="00593FAF"/>
    <w:rsid w:val="00594610"/>
    <w:rsid w:val="00594681"/>
    <w:rsid w:val="005949C6"/>
    <w:rsid w:val="00594A34"/>
    <w:rsid w:val="005959B6"/>
    <w:rsid w:val="00595C15"/>
    <w:rsid w:val="00595DA7"/>
    <w:rsid w:val="00595EBC"/>
    <w:rsid w:val="0059630C"/>
    <w:rsid w:val="0059680C"/>
    <w:rsid w:val="00596B4D"/>
    <w:rsid w:val="00596C26"/>
    <w:rsid w:val="00597068"/>
    <w:rsid w:val="0059721E"/>
    <w:rsid w:val="00597501"/>
    <w:rsid w:val="00597509"/>
    <w:rsid w:val="0059779D"/>
    <w:rsid w:val="005977D3"/>
    <w:rsid w:val="00597D0C"/>
    <w:rsid w:val="005A00A5"/>
    <w:rsid w:val="005A0C1B"/>
    <w:rsid w:val="005A122E"/>
    <w:rsid w:val="005A1D02"/>
    <w:rsid w:val="005A2059"/>
    <w:rsid w:val="005A288C"/>
    <w:rsid w:val="005A2A54"/>
    <w:rsid w:val="005A2B5B"/>
    <w:rsid w:val="005A2BAA"/>
    <w:rsid w:val="005A2D45"/>
    <w:rsid w:val="005A2E99"/>
    <w:rsid w:val="005A2FB9"/>
    <w:rsid w:val="005A30F6"/>
    <w:rsid w:val="005A355E"/>
    <w:rsid w:val="005A39B8"/>
    <w:rsid w:val="005A3CB3"/>
    <w:rsid w:val="005A3DD9"/>
    <w:rsid w:val="005A4236"/>
    <w:rsid w:val="005A4242"/>
    <w:rsid w:val="005A45DC"/>
    <w:rsid w:val="005A4768"/>
    <w:rsid w:val="005A4784"/>
    <w:rsid w:val="005A5083"/>
    <w:rsid w:val="005A51B5"/>
    <w:rsid w:val="005A561A"/>
    <w:rsid w:val="005A5630"/>
    <w:rsid w:val="005A5803"/>
    <w:rsid w:val="005A5DA4"/>
    <w:rsid w:val="005A66BD"/>
    <w:rsid w:val="005A67D4"/>
    <w:rsid w:val="005A76C2"/>
    <w:rsid w:val="005A76E9"/>
    <w:rsid w:val="005A79AF"/>
    <w:rsid w:val="005A7AB5"/>
    <w:rsid w:val="005B009D"/>
    <w:rsid w:val="005B00E7"/>
    <w:rsid w:val="005B01F8"/>
    <w:rsid w:val="005B073C"/>
    <w:rsid w:val="005B09CE"/>
    <w:rsid w:val="005B0D79"/>
    <w:rsid w:val="005B0E76"/>
    <w:rsid w:val="005B1111"/>
    <w:rsid w:val="005B1D97"/>
    <w:rsid w:val="005B1E9D"/>
    <w:rsid w:val="005B2026"/>
    <w:rsid w:val="005B2A87"/>
    <w:rsid w:val="005B2C00"/>
    <w:rsid w:val="005B2DCD"/>
    <w:rsid w:val="005B3169"/>
    <w:rsid w:val="005B3A8C"/>
    <w:rsid w:val="005B3CDD"/>
    <w:rsid w:val="005B405F"/>
    <w:rsid w:val="005B44D5"/>
    <w:rsid w:val="005B4753"/>
    <w:rsid w:val="005B4DA3"/>
    <w:rsid w:val="005B4DEA"/>
    <w:rsid w:val="005B551C"/>
    <w:rsid w:val="005B5614"/>
    <w:rsid w:val="005B56B0"/>
    <w:rsid w:val="005B56CB"/>
    <w:rsid w:val="005B56DC"/>
    <w:rsid w:val="005B57B4"/>
    <w:rsid w:val="005B5A76"/>
    <w:rsid w:val="005B5FF9"/>
    <w:rsid w:val="005B6045"/>
    <w:rsid w:val="005B65CD"/>
    <w:rsid w:val="005B67D4"/>
    <w:rsid w:val="005B6BF7"/>
    <w:rsid w:val="005B6C6E"/>
    <w:rsid w:val="005B755E"/>
    <w:rsid w:val="005B79AF"/>
    <w:rsid w:val="005B7E6A"/>
    <w:rsid w:val="005B7F8F"/>
    <w:rsid w:val="005C00C2"/>
    <w:rsid w:val="005C016E"/>
    <w:rsid w:val="005C044E"/>
    <w:rsid w:val="005C047F"/>
    <w:rsid w:val="005C04EA"/>
    <w:rsid w:val="005C086C"/>
    <w:rsid w:val="005C0891"/>
    <w:rsid w:val="005C0A8D"/>
    <w:rsid w:val="005C0E47"/>
    <w:rsid w:val="005C0F6D"/>
    <w:rsid w:val="005C10C3"/>
    <w:rsid w:val="005C1292"/>
    <w:rsid w:val="005C129B"/>
    <w:rsid w:val="005C15F9"/>
    <w:rsid w:val="005C1884"/>
    <w:rsid w:val="005C1928"/>
    <w:rsid w:val="005C1CA6"/>
    <w:rsid w:val="005C1EE4"/>
    <w:rsid w:val="005C20AA"/>
    <w:rsid w:val="005C2573"/>
    <w:rsid w:val="005C3191"/>
    <w:rsid w:val="005C3671"/>
    <w:rsid w:val="005C3BD3"/>
    <w:rsid w:val="005C3BFA"/>
    <w:rsid w:val="005C3C6C"/>
    <w:rsid w:val="005C3DB7"/>
    <w:rsid w:val="005C4736"/>
    <w:rsid w:val="005C4ABB"/>
    <w:rsid w:val="005C4ABF"/>
    <w:rsid w:val="005C4D70"/>
    <w:rsid w:val="005C514C"/>
    <w:rsid w:val="005C5712"/>
    <w:rsid w:val="005C5C35"/>
    <w:rsid w:val="005C5D93"/>
    <w:rsid w:val="005C5DD5"/>
    <w:rsid w:val="005C6053"/>
    <w:rsid w:val="005C62DD"/>
    <w:rsid w:val="005C6A26"/>
    <w:rsid w:val="005C6C64"/>
    <w:rsid w:val="005C6D67"/>
    <w:rsid w:val="005C78C1"/>
    <w:rsid w:val="005C7951"/>
    <w:rsid w:val="005C795C"/>
    <w:rsid w:val="005C7973"/>
    <w:rsid w:val="005C7BCA"/>
    <w:rsid w:val="005C7C99"/>
    <w:rsid w:val="005C7E10"/>
    <w:rsid w:val="005D005F"/>
    <w:rsid w:val="005D031A"/>
    <w:rsid w:val="005D085E"/>
    <w:rsid w:val="005D08DD"/>
    <w:rsid w:val="005D098D"/>
    <w:rsid w:val="005D0D45"/>
    <w:rsid w:val="005D0ECD"/>
    <w:rsid w:val="005D0EE1"/>
    <w:rsid w:val="005D1213"/>
    <w:rsid w:val="005D15CE"/>
    <w:rsid w:val="005D1AD7"/>
    <w:rsid w:val="005D1FBA"/>
    <w:rsid w:val="005D24F4"/>
    <w:rsid w:val="005D250F"/>
    <w:rsid w:val="005D2609"/>
    <w:rsid w:val="005D27C3"/>
    <w:rsid w:val="005D28F8"/>
    <w:rsid w:val="005D29A5"/>
    <w:rsid w:val="005D29FC"/>
    <w:rsid w:val="005D31D0"/>
    <w:rsid w:val="005D37CB"/>
    <w:rsid w:val="005D3D19"/>
    <w:rsid w:val="005D469F"/>
    <w:rsid w:val="005D4792"/>
    <w:rsid w:val="005D4CE6"/>
    <w:rsid w:val="005D5043"/>
    <w:rsid w:val="005D50E3"/>
    <w:rsid w:val="005D519D"/>
    <w:rsid w:val="005D51C4"/>
    <w:rsid w:val="005D5236"/>
    <w:rsid w:val="005D54EC"/>
    <w:rsid w:val="005D5B42"/>
    <w:rsid w:val="005D5F94"/>
    <w:rsid w:val="005D5F97"/>
    <w:rsid w:val="005D6223"/>
    <w:rsid w:val="005D64FD"/>
    <w:rsid w:val="005D6A2C"/>
    <w:rsid w:val="005D6A85"/>
    <w:rsid w:val="005D6C67"/>
    <w:rsid w:val="005D6C78"/>
    <w:rsid w:val="005D6F61"/>
    <w:rsid w:val="005D7011"/>
    <w:rsid w:val="005D70E5"/>
    <w:rsid w:val="005D76BA"/>
    <w:rsid w:val="005D7984"/>
    <w:rsid w:val="005D7E5A"/>
    <w:rsid w:val="005D7EE1"/>
    <w:rsid w:val="005E0E76"/>
    <w:rsid w:val="005E0EF7"/>
    <w:rsid w:val="005E109C"/>
    <w:rsid w:val="005E1421"/>
    <w:rsid w:val="005E1888"/>
    <w:rsid w:val="005E1B95"/>
    <w:rsid w:val="005E243D"/>
    <w:rsid w:val="005E3BCB"/>
    <w:rsid w:val="005E44AF"/>
    <w:rsid w:val="005E4AB1"/>
    <w:rsid w:val="005E4C58"/>
    <w:rsid w:val="005E4E92"/>
    <w:rsid w:val="005E4EF1"/>
    <w:rsid w:val="005E50E7"/>
    <w:rsid w:val="005E547F"/>
    <w:rsid w:val="005E5817"/>
    <w:rsid w:val="005E599B"/>
    <w:rsid w:val="005E5FBC"/>
    <w:rsid w:val="005E61B1"/>
    <w:rsid w:val="005E6299"/>
    <w:rsid w:val="005E6AFD"/>
    <w:rsid w:val="005E6D0D"/>
    <w:rsid w:val="005E6E33"/>
    <w:rsid w:val="005E70B4"/>
    <w:rsid w:val="005E73B3"/>
    <w:rsid w:val="005E74FC"/>
    <w:rsid w:val="005E75C0"/>
    <w:rsid w:val="005E7A9F"/>
    <w:rsid w:val="005E7AD3"/>
    <w:rsid w:val="005E7B2E"/>
    <w:rsid w:val="005E7D39"/>
    <w:rsid w:val="005E7E81"/>
    <w:rsid w:val="005E7FEA"/>
    <w:rsid w:val="005F01BF"/>
    <w:rsid w:val="005F0435"/>
    <w:rsid w:val="005F0621"/>
    <w:rsid w:val="005F1149"/>
    <w:rsid w:val="005F1593"/>
    <w:rsid w:val="005F1860"/>
    <w:rsid w:val="005F18D7"/>
    <w:rsid w:val="005F26CA"/>
    <w:rsid w:val="005F2837"/>
    <w:rsid w:val="005F3158"/>
    <w:rsid w:val="005F325B"/>
    <w:rsid w:val="005F3348"/>
    <w:rsid w:val="005F33AF"/>
    <w:rsid w:val="005F3446"/>
    <w:rsid w:val="005F38AC"/>
    <w:rsid w:val="005F3AA4"/>
    <w:rsid w:val="005F4871"/>
    <w:rsid w:val="005F489A"/>
    <w:rsid w:val="005F4C42"/>
    <w:rsid w:val="005F5504"/>
    <w:rsid w:val="005F5903"/>
    <w:rsid w:val="005F5D39"/>
    <w:rsid w:val="005F6261"/>
    <w:rsid w:val="005F64D9"/>
    <w:rsid w:val="005F667A"/>
    <w:rsid w:val="005F669E"/>
    <w:rsid w:val="005F6CB5"/>
    <w:rsid w:val="005F6FD4"/>
    <w:rsid w:val="005F7330"/>
    <w:rsid w:val="005F73FA"/>
    <w:rsid w:val="005F743D"/>
    <w:rsid w:val="005F7464"/>
    <w:rsid w:val="005F7ECF"/>
    <w:rsid w:val="005F7FF4"/>
    <w:rsid w:val="006005BA"/>
    <w:rsid w:val="00600692"/>
    <w:rsid w:val="006006D9"/>
    <w:rsid w:val="00600736"/>
    <w:rsid w:val="00600B97"/>
    <w:rsid w:val="00600CF3"/>
    <w:rsid w:val="00600D9E"/>
    <w:rsid w:val="00600EF1"/>
    <w:rsid w:val="0060138D"/>
    <w:rsid w:val="006014F2"/>
    <w:rsid w:val="0060151E"/>
    <w:rsid w:val="00601931"/>
    <w:rsid w:val="00601968"/>
    <w:rsid w:val="00601FB6"/>
    <w:rsid w:val="00601FD7"/>
    <w:rsid w:val="00603575"/>
    <w:rsid w:val="00604133"/>
    <w:rsid w:val="0060489B"/>
    <w:rsid w:val="00604A93"/>
    <w:rsid w:val="00604BD1"/>
    <w:rsid w:val="00604BE5"/>
    <w:rsid w:val="00604DF0"/>
    <w:rsid w:val="00605CEF"/>
    <w:rsid w:val="00605D02"/>
    <w:rsid w:val="00605D5F"/>
    <w:rsid w:val="006060CC"/>
    <w:rsid w:val="00606D00"/>
    <w:rsid w:val="006074A3"/>
    <w:rsid w:val="0060750F"/>
    <w:rsid w:val="0060780B"/>
    <w:rsid w:val="00607F19"/>
    <w:rsid w:val="00607F80"/>
    <w:rsid w:val="0061009B"/>
    <w:rsid w:val="006108D8"/>
    <w:rsid w:val="00610B1E"/>
    <w:rsid w:val="00610C14"/>
    <w:rsid w:val="00610FB0"/>
    <w:rsid w:val="006110B0"/>
    <w:rsid w:val="00611475"/>
    <w:rsid w:val="00611F14"/>
    <w:rsid w:val="00611F62"/>
    <w:rsid w:val="00612881"/>
    <w:rsid w:val="00612986"/>
    <w:rsid w:val="00612A9E"/>
    <w:rsid w:val="00612B70"/>
    <w:rsid w:val="00612DED"/>
    <w:rsid w:val="00612FD2"/>
    <w:rsid w:val="00613248"/>
    <w:rsid w:val="00613463"/>
    <w:rsid w:val="006137D6"/>
    <w:rsid w:val="00613850"/>
    <w:rsid w:val="006139AF"/>
    <w:rsid w:val="006139DF"/>
    <w:rsid w:val="00613BF1"/>
    <w:rsid w:val="00614384"/>
    <w:rsid w:val="00614554"/>
    <w:rsid w:val="0061459C"/>
    <w:rsid w:val="006146DF"/>
    <w:rsid w:val="00614A51"/>
    <w:rsid w:val="00614A98"/>
    <w:rsid w:val="00615A1E"/>
    <w:rsid w:val="00615B65"/>
    <w:rsid w:val="00615DFB"/>
    <w:rsid w:val="00616180"/>
    <w:rsid w:val="0061651E"/>
    <w:rsid w:val="00616D81"/>
    <w:rsid w:val="00616D89"/>
    <w:rsid w:val="00616D97"/>
    <w:rsid w:val="00616E40"/>
    <w:rsid w:val="00617110"/>
    <w:rsid w:val="0061725A"/>
    <w:rsid w:val="0061757F"/>
    <w:rsid w:val="006202C3"/>
    <w:rsid w:val="0062114B"/>
    <w:rsid w:val="006212F7"/>
    <w:rsid w:val="00621453"/>
    <w:rsid w:val="00621537"/>
    <w:rsid w:val="006216A8"/>
    <w:rsid w:val="006222C7"/>
    <w:rsid w:val="00622637"/>
    <w:rsid w:val="00622B01"/>
    <w:rsid w:val="00622CED"/>
    <w:rsid w:val="00622F5C"/>
    <w:rsid w:val="006235DE"/>
    <w:rsid w:val="0062382C"/>
    <w:rsid w:val="00623A9F"/>
    <w:rsid w:val="00624118"/>
    <w:rsid w:val="00624213"/>
    <w:rsid w:val="0062432E"/>
    <w:rsid w:val="006243FF"/>
    <w:rsid w:val="00624703"/>
    <w:rsid w:val="0062474C"/>
    <w:rsid w:val="00624CB6"/>
    <w:rsid w:val="006250F2"/>
    <w:rsid w:val="0062533A"/>
    <w:rsid w:val="00625534"/>
    <w:rsid w:val="00625A5F"/>
    <w:rsid w:val="00625DD5"/>
    <w:rsid w:val="00625FDB"/>
    <w:rsid w:val="00626110"/>
    <w:rsid w:val="00626477"/>
    <w:rsid w:val="0062647E"/>
    <w:rsid w:val="006267D9"/>
    <w:rsid w:val="00626ACF"/>
    <w:rsid w:val="006271EF"/>
    <w:rsid w:val="0062724D"/>
    <w:rsid w:val="006277D4"/>
    <w:rsid w:val="00627A74"/>
    <w:rsid w:val="00627B64"/>
    <w:rsid w:val="00627B7B"/>
    <w:rsid w:val="00627BFF"/>
    <w:rsid w:val="00627DB2"/>
    <w:rsid w:val="00630239"/>
    <w:rsid w:val="006309B8"/>
    <w:rsid w:val="00630AF5"/>
    <w:rsid w:val="00630D1B"/>
    <w:rsid w:val="00630E2D"/>
    <w:rsid w:val="00631BFF"/>
    <w:rsid w:val="00632218"/>
    <w:rsid w:val="00632326"/>
    <w:rsid w:val="0063289B"/>
    <w:rsid w:val="0063295A"/>
    <w:rsid w:val="00632E46"/>
    <w:rsid w:val="0063331F"/>
    <w:rsid w:val="0063362F"/>
    <w:rsid w:val="00633709"/>
    <w:rsid w:val="00633774"/>
    <w:rsid w:val="00633923"/>
    <w:rsid w:val="0063411B"/>
    <w:rsid w:val="006343B1"/>
    <w:rsid w:val="006352AB"/>
    <w:rsid w:val="006357CD"/>
    <w:rsid w:val="0063584A"/>
    <w:rsid w:val="00635C19"/>
    <w:rsid w:val="00635D2E"/>
    <w:rsid w:val="00636238"/>
    <w:rsid w:val="00636442"/>
    <w:rsid w:val="0063679A"/>
    <w:rsid w:val="00636B62"/>
    <w:rsid w:val="00636BE1"/>
    <w:rsid w:val="00636C56"/>
    <w:rsid w:val="00636CCA"/>
    <w:rsid w:val="00636E41"/>
    <w:rsid w:val="00636FB6"/>
    <w:rsid w:val="006376DA"/>
    <w:rsid w:val="00637F40"/>
    <w:rsid w:val="006401BA"/>
    <w:rsid w:val="006401E0"/>
    <w:rsid w:val="006404B3"/>
    <w:rsid w:val="006407F0"/>
    <w:rsid w:val="00640BB3"/>
    <w:rsid w:val="00640CDF"/>
    <w:rsid w:val="00640D75"/>
    <w:rsid w:val="00640ECF"/>
    <w:rsid w:val="00641988"/>
    <w:rsid w:val="00641A3E"/>
    <w:rsid w:val="00641B0A"/>
    <w:rsid w:val="00641CFC"/>
    <w:rsid w:val="0064212B"/>
    <w:rsid w:val="0064236D"/>
    <w:rsid w:val="00642446"/>
    <w:rsid w:val="0064265D"/>
    <w:rsid w:val="00642698"/>
    <w:rsid w:val="006427CC"/>
    <w:rsid w:val="00642903"/>
    <w:rsid w:val="00642A66"/>
    <w:rsid w:val="00642DEA"/>
    <w:rsid w:val="006430D2"/>
    <w:rsid w:val="006431D8"/>
    <w:rsid w:val="006432E4"/>
    <w:rsid w:val="006435D7"/>
    <w:rsid w:val="00643DAE"/>
    <w:rsid w:val="00644240"/>
    <w:rsid w:val="00644396"/>
    <w:rsid w:val="0064439B"/>
    <w:rsid w:val="0064474F"/>
    <w:rsid w:val="00644BC5"/>
    <w:rsid w:val="00644E2F"/>
    <w:rsid w:val="00644F4E"/>
    <w:rsid w:val="00645204"/>
    <w:rsid w:val="00645B8B"/>
    <w:rsid w:val="00645E6D"/>
    <w:rsid w:val="00645E78"/>
    <w:rsid w:val="00645F51"/>
    <w:rsid w:val="006461AB"/>
    <w:rsid w:val="00646B97"/>
    <w:rsid w:val="00646D3F"/>
    <w:rsid w:val="00647026"/>
    <w:rsid w:val="00647399"/>
    <w:rsid w:val="006473E4"/>
    <w:rsid w:val="00647A3A"/>
    <w:rsid w:val="00650025"/>
    <w:rsid w:val="0065019D"/>
    <w:rsid w:val="006501AC"/>
    <w:rsid w:val="00650441"/>
    <w:rsid w:val="006508BE"/>
    <w:rsid w:val="00650BA0"/>
    <w:rsid w:val="006511FF"/>
    <w:rsid w:val="006515CB"/>
    <w:rsid w:val="00651A45"/>
    <w:rsid w:val="00651B62"/>
    <w:rsid w:val="0065235A"/>
    <w:rsid w:val="0065259B"/>
    <w:rsid w:val="0065262A"/>
    <w:rsid w:val="0065295E"/>
    <w:rsid w:val="00652D92"/>
    <w:rsid w:val="00653248"/>
    <w:rsid w:val="0065333C"/>
    <w:rsid w:val="00653485"/>
    <w:rsid w:val="00653729"/>
    <w:rsid w:val="00653A6E"/>
    <w:rsid w:val="00654198"/>
    <w:rsid w:val="0065446E"/>
    <w:rsid w:val="0065473F"/>
    <w:rsid w:val="0065491F"/>
    <w:rsid w:val="006555FF"/>
    <w:rsid w:val="00655628"/>
    <w:rsid w:val="006556A5"/>
    <w:rsid w:val="00655AE3"/>
    <w:rsid w:val="00655B5A"/>
    <w:rsid w:val="00655B7D"/>
    <w:rsid w:val="00655C0F"/>
    <w:rsid w:val="00655C98"/>
    <w:rsid w:val="00655FF5"/>
    <w:rsid w:val="00656025"/>
    <w:rsid w:val="00656212"/>
    <w:rsid w:val="00656411"/>
    <w:rsid w:val="0065665E"/>
    <w:rsid w:val="00656710"/>
    <w:rsid w:val="0065694C"/>
    <w:rsid w:val="00656A2C"/>
    <w:rsid w:val="0065727E"/>
    <w:rsid w:val="006575C3"/>
    <w:rsid w:val="006579D5"/>
    <w:rsid w:val="00657B19"/>
    <w:rsid w:val="00657CEB"/>
    <w:rsid w:val="00660601"/>
    <w:rsid w:val="00660890"/>
    <w:rsid w:val="00660979"/>
    <w:rsid w:val="00660981"/>
    <w:rsid w:val="00660B0F"/>
    <w:rsid w:val="00660C79"/>
    <w:rsid w:val="00660CCC"/>
    <w:rsid w:val="00660E0B"/>
    <w:rsid w:val="0066138F"/>
    <w:rsid w:val="0066176B"/>
    <w:rsid w:val="0066203F"/>
    <w:rsid w:val="0066223C"/>
    <w:rsid w:val="006622DF"/>
    <w:rsid w:val="00662D3A"/>
    <w:rsid w:val="00662FD9"/>
    <w:rsid w:val="0066335A"/>
    <w:rsid w:val="00663455"/>
    <w:rsid w:val="006635D1"/>
    <w:rsid w:val="0066383A"/>
    <w:rsid w:val="00663F3B"/>
    <w:rsid w:val="00663F85"/>
    <w:rsid w:val="006643B8"/>
    <w:rsid w:val="00664B52"/>
    <w:rsid w:val="00664C65"/>
    <w:rsid w:val="00664F72"/>
    <w:rsid w:val="00665293"/>
    <w:rsid w:val="00665536"/>
    <w:rsid w:val="00665714"/>
    <w:rsid w:val="00665796"/>
    <w:rsid w:val="006658B7"/>
    <w:rsid w:val="006658D6"/>
    <w:rsid w:val="006658EA"/>
    <w:rsid w:val="006659FD"/>
    <w:rsid w:val="00665D22"/>
    <w:rsid w:val="006661AF"/>
    <w:rsid w:val="00666686"/>
    <w:rsid w:val="00666977"/>
    <w:rsid w:val="00666B73"/>
    <w:rsid w:val="00667186"/>
    <w:rsid w:val="006672F6"/>
    <w:rsid w:val="006673A8"/>
    <w:rsid w:val="00667460"/>
    <w:rsid w:val="00667906"/>
    <w:rsid w:val="00667BD1"/>
    <w:rsid w:val="00667CEA"/>
    <w:rsid w:val="0067039D"/>
    <w:rsid w:val="006704FA"/>
    <w:rsid w:val="00670510"/>
    <w:rsid w:val="0067061E"/>
    <w:rsid w:val="006709DE"/>
    <w:rsid w:val="00670DB8"/>
    <w:rsid w:val="00670F2F"/>
    <w:rsid w:val="00671390"/>
    <w:rsid w:val="006713B3"/>
    <w:rsid w:val="006714A3"/>
    <w:rsid w:val="006714C9"/>
    <w:rsid w:val="006717AA"/>
    <w:rsid w:val="00671BBF"/>
    <w:rsid w:val="00671C47"/>
    <w:rsid w:val="00671FC3"/>
    <w:rsid w:val="00672174"/>
    <w:rsid w:val="006724A2"/>
    <w:rsid w:val="00672824"/>
    <w:rsid w:val="00672BD0"/>
    <w:rsid w:val="00672FD9"/>
    <w:rsid w:val="006735D8"/>
    <w:rsid w:val="0067407E"/>
    <w:rsid w:val="006740EB"/>
    <w:rsid w:val="006749C2"/>
    <w:rsid w:val="006749E2"/>
    <w:rsid w:val="00674A2A"/>
    <w:rsid w:val="00674AB6"/>
    <w:rsid w:val="00674D15"/>
    <w:rsid w:val="006750B1"/>
    <w:rsid w:val="0067516D"/>
    <w:rsid w:val="00675282"/>
    <w:rsid w:val="00675873"/>
    <w:rsid w:val="00675A1D"/>
    <w:rsid w:val="006764F0"/>
    <w:rsid w:val="00676653"/>
    <w:rsid w:val="00676698"/>
    <w:rsid w:val="006767F7"/>
    <w:rsid w:val="0067740C"/>
    <w:rsid w:val="0067746D"/>
    <w:rsid w:val="0067782A"/>
    <w:rsid w:val="00677EE5"/>
    <w:rsid w:val="006800FA"/>
    <w:rsid w:val="00680386"/>
    <w:rsid w:val="006803E3"/>
    <w:rsid w:val="0068091F"/>
    <w:rsid w:val="00681374"/>
    <w:rsid w:val="00681377"/>
    <w:rsid w:val="006814DB"/>
    <w:rsid w:val="00681B0E"/>
    <w:rsid w:val="00681C78"/>
    <w:rsid w:val="00681D70"/>
    <w:rsid w:val="00682062"/>
    <w:rsid w:val="00682469"/>
    <w:rsid w:val="00682663"/>
    <w:rsid w:val="00682D55"/>
    <w:rsid w:val="006834DB"/>
    <w:rsid w:val="00683590"/>
    <w:rsid w:val="0068361F"/>
    <w:rsid w:val="00683A74"/>
    <w:rsid w:val="00683C02"/>
    <w:rsid w:val="00683F1A"/>
    <w:rsid w:val="0068435D"/>
    <w:rsid w:val="006843EC"/>
    <w:rsid w:val="00684408"/>
    <w:rsid w:val="00684D19"/>
    <w:rsid w:val="00685104"/>
    <w:rsid w:val="00685D28"/>
    <w:rsid w:val="00685DFA"/>
    <w:rsid w:val="00686081"/>
    <w:rsid w:val="00686A08"/>
    <w:rsid w:val="00686A96"/>
    <w:rsid w:val="00686AE8"/>
    <w:rsid w:val="00686B00"/>
    <w:rsid w:val="00687573"/>
    <w:rsid w:val="00687796"/>
    <w:rsid w:val="00687F19"/>
    <w:rsid w:val="0069009B"/>
    <w:rsid w:val="00690548"/>
    <w:rsid w:val="00690DC0"/>
    <w:rsid w:val="00690F27"/>
    <w:rsid w:val="00690FAD"/>
    <w:rsid w:val="00690FC2"/>
    <w:rsid w:val="006911E2"/>
    <w:rsid w:val="006912D5"/>
    <w:rsid w:val="00691426"/>
    <w:rsid w:val="006914A5"/>
    <w:rsid w:val="00691A4A"/>
    <w:rsid w:val="00691A82"/>
    <w:rsid w:val="00691C16"/>
    <w:rsid w:val="00692056"/>
    <w:rsid w:val="0069219F"/>
    <w:rsid w:val="006924CE"/>
    <w:rsid w:val="0069255D"/>
    <w:rsid w:val="00692599"/>
    <w:rsid w:val="00692639"/>
    <w:rsid w:val="00692706"/>
    <w:rsid w:val="00692814"/>
    <w:rsid w:val="006928B0"/>
    <w:rsid w:val="006928B6"/>
    <w:rsid w:val="006928C4"/>
    <w:rsid w:val="0069296E"/>
    <w:rsid w:val="006929F6"/>
    <w:rsid w:val="00693032"/>
    <w:rsid w:val="00693607"/>
    <w:rsid w:val="006938D1"/>
    <w:rsid w:val="00693A76"/>
    <w:rsid w:val="00693E14"/>
    <w:rsid w:val="00694070"/>
    <w:rsid w:val="00694127"/>
    <w:rsid w:val="006941A2"/>
    <w:rsid w:val="006943D3"/>
    <w:rsid w:val="00694822"/>
    <w:rsid w:val="00694866"/>
    <w:rsid w:val="0069497E"/>
    <w:rsid w:val="00695279"/>
    <w:rsid w:val="006962DE"/>
    <w:rsid w:val="0069637D"/>
    <w:rsid w:val="00696598"/>
    <w:rsid w:val="00696912"/>
    <w:rsid w:val="0069697F"/>
    <w:rsid w:val="00696C0E"/>
    <w:rsid w:val="00696F8E"/>
    <w:rsid w:val="00696FBF"/>
    <w:rsid w:val="006970D5"/>
    <w:rsid w:val="006975A6"/>
    <w:rsid w:val="00697784"/>
    <w:rsid w:val="00697EE6"/>
    <w:rsid w:val="006A0831"/>
    <w:rsid w:val="006A0AD8"/>
    <w:rsid w:val="006A0D4F"/>
    <w:rsid w:val="006A0D83"/>
    <w:rsid w:val="006A0E5C"/>
    <w:rsid w:val="006A1029"/>
    <w:rsid w:val="006A10D5"/>
    <w:rsid w:val="006A111C"/>
    <w:rsid w:val="006A1585"/>
    <w:rsid w:val="006A1BC1"/>
    <w:rsid w:val="006A1C5A"/>
    <w:rsid w:val="006A1EC2"/>
    <w:rsid w:val="006A1F66"/>
    <w:rsid w:val="006A1FA9"/>
    <w:rsid w:val="006A25C2"/>
    <w:rsid w:val="006A26F6"/>
    <w:rsid w:val="006A2DA6"/>
    <w:rsid w:val="006A2E7A"/>
    <w:rsid w:val="006A3186"/>
    <w:rsid w:val="006A33FA"/>
    <w:rsid w:val="006A3565"/>
    <w:rsid w:val="006A356B"/>
    <w:rsid w:val="006A4594"/>
    <w:rsid w:val="006A45BE"/>
    <w:rsid w:val="006A4672"/>
    <w:rsid w:val="006A4850"/>
    <w:rsid w:val="006A4C3D"/>
    <w:rsid w:val="006A4E39"/>
    <w:rsid w:val="006A5282"/>
    <w:rsid w:val="006A5410"/>
    <w:rsid w:val="006A5531"/>
    <w:rsid w:val="006A5FFC"/>
    <w:rsid w:val="006A6876"/>
    <w:rsid w:val="006A69F0"/>
    <w:rsid w:val="006A6BA1"/>
    <w:rsid w:val="006A6CCF"/>
    <w:rsid w:val="006A716C"/>
    <w:rsid w:val="006A7722"/>
    <w:rsid w:val="006A793C"/>
    <w:rsid w:val="006A7BA7"/>
    <w:rsid w:val="006B039D"/>
    <w:rsid w:val="006B04CA"/>
    <w:rsid w:val="006B07E2"/>
    <w:rsid w:val="006B0AB5"/>
    <w:rsid w:val="006B0B50"/>
    <w:rsid w:val="006B14AA"/>
    <w:rsid w:val="006B14AD"/>
    <w:rsid w:val="006B15E4"/>
    <w:rsid w:val="006B1822"/>
    <w:rsid w:val="006B1961"/>
    <w:rsid w:val="006B1BCC"/>
    <w:rsid w:val="006B1E8C"/>
    <w:rsid w:val="006B246E"/>
    <w:rsid w:val="006B284A"/>
    <w:rsid w:val="006B2A04"/>
    <w:rsid w:val="006B2BB1"/>
    <w:rsid w:val="006B30F5"/>
    <w:rsid w:val="006B32F1"/>
    <w:rsid w:val="006B35D6"/>
    <w:rsid w:val="006B3669"/>
    <w:rsid w:val="006B3946"/>
    <w:rsid w:val="006B3A31"/>
    <w:rsid w:val="006B3D09"/>
    <w:rsid w:val="006B3D7C"/>
    <w:rsid w:val="006B40C3"/>
    <w:rsid w:val="006B47FE"/>
    <w:rsid w:val="006B49E9"/>
    <w:rsid w:val="006B4B11"/>
    <w:rsid w:val="006B4BE2"/>
    <w:rsid w:val="006B4BF0"/>
    <w:rsid w:val="006B4CCF"/>
    <w:rsid w:val="006B54B4"/>
    <w:rsid w:val="006B55CD"/>
    <w:rsid w:val="006B56FA"/>
    <w:rsid w:val="006B570B"/>
    <w:rsid w:val="006B5881"/>
    <w:rsid w:val="006B5942"/>
    <w:rsid w:val="006B5D41"/>
    <w:rsid w:val="006B620E"/>
    <w:rsid w:val="006B6575"/>
    <w:rsid w:val="006B68C3"/>
    <w:rsid w:val="006B6C87"/>
    <w:rsid w:val="006B6F7B"/>
    <w:rsid w:val="006B7002"/>
    <w:rsid w:val="006B7206"/>
    <w:rsid w:val="006B7358"/>
    <w:rsid w:val="006B7381"/>
    <w:rsid w:val="006B7429"/>
    <w:rsid w:val="006B750F"/>
    <w:rsid w:val="006B78FA"/>
    <w:rsid w:val="006B7925"/>
    <w:rsid w:val="006C139B"/>
    <w:rsid w:val="006C1861"/>
    <w:rsid w:val="006C1948"/>
    <w:rsid w:val="006C27D9"/>
    <w:rsid w:val="006C2810"/>
    <w:rsid w:val="006C2FDF"/>
    <w:rsid w:val="006C31EA"/>
    <w:rsid w:val="006C3278"/>
    <w:rsid w:val="006C39A9"/>
    <w:rsid w:val="006C3F57"/>
    <w:rsid w:val="006C429B"/>
    <w:rsid w:val="006C438C"/>
    <w:rsid w:val="006C46EC"/>
    <w:rsid w:val="006C47D5"/>
    <w:rsid w:val="006C4BAE"/>
    <w:rsid w:val="006C54F3"/>
    <w:rsid w:val="006C571E"/>
    <w:rsid w:val="006C57B0"/>
    <w:rsid w:val="006C5915"/>
    <w:rsid w:val="006C5B17"/>
    <w:rsid w:val="006C5B81"/>
    <w:rsid w:val="006C60BD"/>
    <w:rsid w:val="006C60CB"/>
    <w:rsid w:val="006C6567"/>
    <w:rsid w:val="006C66F0"/>
    <w:rsid w:val="006C6996"/>
    <w:rsid w:val="006C6EBA"/>
    <w:rsid w:val="006C7028"/>
    <w:rsid w:val="006C7324"/>
    <w:rsid w:val="006C7CB4"/>
    <w:rsid w:val="006C7D09"/>
    <w:rsid w:val="006D00C9"/>
    <w:rsid w:val="006D00E4"/>
    <w:rsid w:val="006D0270"/>
    <w:rsid w:val="006D0776"/>
    <w:rsid w:val="006D0826"/>
    <w:rsid w:val="006D0D1E"/>
    <w:rsid w:val="006D0F3B"/>
    <w:rsid w:val="006D10F1"/>
    <w:rsid w:val="006D137F"/>
    <w:rsid w:val="006D16CE"/>
    <w:rsid w:val="006D1F7B"/>
    <w:rsid w:val="006D2562"/>
    <w:rsid w:val="006D261F"/>
    <w:rsid w:val="006D2671"/>
    <w:rsid w:val="006D26D4"/>
    <w:rsid w:val="006D2A05"/>
    <w:rsid w:val="006D2AF7"/>
    <w:rsid w:val="006D2FE0"/>
    <w:rsid w:val="006D2FEE"/>
    <w:rsid w:val="006D30D5"/>
    <w:rsid w:val="006D3106"/>
    <w:rsid w:val="006D3353"/>
    <w:rsid w:val="006D393D"/>
    <w:rsid w:val="006D3AF9"/>
    <w:rsid w:val="006D3C46"/>
    <w:rsid w:val="006D3E67"/>
    <w:rsid w:val="006D44EA"/>
    <w:rsid w:val="006D4AB6"/>
    <w:rsid w:val="006D4B2D"/>
    <w:rsid w:val="006D4C78"/>
    <w:rsid w:val="006D4D08"/>
    <w:rsid w:val="006D4D7A"/>
    <w:rsid w:val="006D528E"/>
    <w:rsid w:val="006D56B5"/>
    <w:rsid w:val="006D58A9"/>
    <w:rsid w:val="006D5C11"/>
    <w:rsid w:val="006D5C91"/>
    <w:rsid w:val="006D5F38"/>
    <w:rsid w:val="006D6059"/>
    <w:rsid w:val="006D66A5"/>
    <w:rsid w:val="006D6722"/>
    <w:rsid w:val="006D6B59"/>
    <w:rsid w:val="006D70EE"/>
    <w:rsid w:val="006D7233"/>
    <w:rsid w:val="006D7243"/>
    <w:rsid w:val="006D72AC"/>
    <w:rsid w:val="006D784D"/>
    <w:rsid w:val="006D797E"/>
    <w:rsid w:val="006D7F93"/>
    <w:rsid w:val="006E0047"/>
    <w:rsid w:val="006E00EF"/>
    <w:rsid w:val="006E0336"/>
    <w:rsid w:val="006E080A"/>
    <w:rsid w:val="006E10CE"/>
    <w:rsid w:val="006E1563"/>
    <w:rsid w:val="006E167B"/>
    <w:rsid w:val="006E1DCE"/>
    <w:rsid w:val="006E2137"/>
    <w:rsid w:val="006E2397"/>
    <w:rsid w:val="006E2B4A"/>
    <w:rsid w:val="006E3025"/>
    <w:rsid w:val="006E356A"/>
    <w:rsid w:val="006E38B9"/>
    <w:rsid w:val="006E3BC1"/>
    <w:rsid w:val="006E3EA0"/>
    <w:rsid w:val="006E41C6"/>
    <w:rsid w:val="006E424A"/>
    <w:rsid w:val="006E42D4"/>
    <w:rsid w:val="006E4494"/>
    <w:rsid w:val="006E4620"/>
    <w:rsid w:val="006E4788"/>
    <w:rsid w:val="006E4910"/>
    <w:rsid w:val="006E514D"/>
    <w:rsid w:val="006E55F6"/>
    <w:rsid w:val="006E57BE"/>
    <w:rsid w:val="006E57CA"/>
    <w:rsid w:val="006E5DCB"/>
    <w:rsid w:val="006E5E18"/>
    <w:rsid w:val="006E60C6"/>
    <w:rsid w:val="006E6344"/>
    <w:rsid w:val="006E640B"/>
    <w:rsid w:val="006E6441"/>
    <w:rsid w:val="006E64B8"/>
    <w:rsid w:val="006E675A"/>
    <w:rsid w:val="006E68F4"/>
    <w:rsid w:val="006E7659"/>
    <w:rsid w:val="006E76A0"/>
    <w:rsid w:val="006E7877"/>
    <w:rsid w:val="006E7B4B"/>
    <w:rsid w:val="006E7D59"/>
    <w:rsid w:val="006F0344"/>
    <w:rsid w:val="006F124C"/>
    <w:rsid w:val="006F15E4"/>
    <w:rsid w:val="006F1714"/>
    <w:rsid w:val="006F172C"/>
    <w:rsid w:val="006F1849"/>
    <w:rsid w:val="006F18CB"/>
    <w:rsid w:val="006F192F"/>
    <w:rsid w:val="006F1C0F"/>
    <w:rsid w:val="006F1D60"/>
    <w:rsid w:val="006F1FEF"/>
    <w:rsid w:val="006F204B"/>
    <w:rsid w:val="006F2827"/>
    <w:rsid w:val="006F29A9"/>
    <w:rsid w:val="006F2AFE"/>
    <w:rsid w:val="006F2C2C"/>
    <w:rsid w:val="006F2FF0"/>
    <w:rsid w:val="006F343F"/>
    <w:rsid w:val="006F3770"/>
    <w:rsid w:val="006F3AAA"/>
    <w:rsid w:val="006F3F75"/>
    <w:rsid w:val="006F4055"/>
    <w:rsid w:val="006F46C6"/>
    <w:rsid w:val="006F482D"/>
    <w:rsid w:val="006F4FAC"/>
    <w:rsid w:val="006F5245"/>
    <w:rsid w:val="006F5697"/>
    <w:rsid w:val="006F5DDC"/>
    <w:rsid w:val="006F607E"/>
    <w:rsid w:val="006F620D"/>
    <w:rsid w:val="006F69A3"/>
    <w:rsid w:val="006F6AFA"/>
    <w:rsid w:val="006F6BA7"/>
    <w:rsid w:val="006F6D22"/>
    <w:rsid w:val="006F730B"/>
    <w:rsid w:val="006F775E"/>
    <w:rsid w:val="006F7855"/>
    <w:rsid w:val="006F7C07"/>
    <w:rsid w:val="007002AD"/>
    <w:rsid w:val="00700615"/>
    <w:rsid w:val="007006E8"/>
    <w:rsid w:val="0070096E"/>
    <w:rsid w:val="007009C4"/>
    <w:rsid w:val="00700BB7"/>
    <w:rsid w:val="00700C77"/>
    <w:rsid w:val="007016DA"/>
    <w:rsid w:val="00701702"/>
    <w:rsid w:val="00701B05"/>
    <w:rsid w:val="00701B48"/>
    <w:rsid w:val="00701BBF"/>
    <w:rsid w:val="00701DCE"/>
    <w:rsid w:val="007025B3"/>
    <w:rsid w:val="00702703"/>
    <w:rsid w:val="00702A78"/>
    <w:rsid w:val="00702BF9"/>
    <w:rsid w:val="00702EB1"/>
    <w:rsid w:val="007033D2"/>
    <w:rsid w:val="007033D9"/>
    <w:rsid w:val="007034D1"/>
    <w:rsid w:val="00703C62"/>
    <w:rsid w:val="00703DBD"/>
    <w:rsid w:val="007044B9"/>
    <w:rsid w:val="0070477E"/>
    <w:rsid w:val="00704970"/>
    <w:rsid w:val="00704CED"/>
    <w:rsid w:val="00704D61"/>
    <w:rsid w:val="00705013"/>
    <w:rsid w:val="007050F9"/>
    <w:rsid w:val="0070549A"/>
    <w:rsid w:val="007055FA"/>
    <w:rsid w:val="0070583C"/>
    <w:rsid w:val="007059D4"/>
    <w:rsid w:val="00705CB0"/>
    <w:rsid w:val="00705E1E"/>
    <w:rsid w:val="00705FB5"/>
    <w:rsid w:val="007062D1"/>
    <w:rsid w:val="00707438"/>
    <w:rsid w:val="00707DA2"/>
    <w:rsid w:val="00707DA3"/>
    <w:rsid w:val="00707EE4"/>
    <w:rsid w:val="0071010F"/>
    <w:rsid w:val="00710391"/>
    <w:rsid w:val="0071049B"/>
    <w:rsid w:val="00710506"/>
    <w:rsid w:val="0071068A"/>
    <w:rsid w:val="00710A70"/>
    <w:rsid w:val="00710E6C"/>
    <w:rsid w:val="00710FAD"/>
    <w:rsid w:val="00711414"/>
    <w:rsid w:val="0071163D"/>
    <w:rsid w:val="00711E02"/>
    <w:rsid w:val="0071200D"/>
    <w:rsid w:val="007123A6"/>
    <w:rsid w:val="00712B5F"/>
    <w:rsid w:val="00712B74"/>
    <w:rsid w:val="00712BE1"/>
    <w:rsid w:val="00712CA9"/>
    <w:rsid w:val="00712D6D"/>
    <w:rsid w:val="007130CA"/>
    <w:rsid w:val="0071318C"/>
    <w:rsid w:val="007140F4"/>
    <w:rsid w:val="00714155"/>
    <w:rsid w:val="007148C8"/>
    <w:rsid w:val="00714BB2"/>
    <w:rsid w:val="00714E7C"/>
    <w:rsid w:val="00715538"/>
    <w:rsid w:val="00715663"/>
    <w:rsid w:val="00715779"/>
    <w:rsid w:val="007157E1"/>
    <w:rsid w:val="00715840"/>
    <w:rsid w:val="00715A6C"/>
    <w:rsid w:val="00715C12"/>
    <w:rsid w:val="00715D95"/>
    <w:rsid w:val="00716705"/>
    <w:rsid w:val="00716785"/>
    <w:rsid w:val="00716A1A"/>
    <w:rsid w:val="00716AFC"/>
    <w:rsid w:val="00716DF5"/>
    <w:rsid w:val="00716F54"/>
    <w:rsid w:val="0071731B"/>
    <w:rsid w:val="00717708"/>
    <w:rsid w:val="00717B60"/>
    <w:rsid w:val="00717BED"/>
    <w:rsid w:val="007203FC"/>
    <w:rsid w:val="0072053D"/>
    <w:rsid w:val="00720A36"/>
    <w:rsid w:val="00720D43"/>
    <w:rsid w:val="00721038"/>
    <w:rsid w:val="00721410"/>
    <w:rsid w:val="00721463"/>
    <w:rsid w:val="00721859"/>
    <w:rsid w:val="0072193C"/>
    <w:rsid w:val="00721AAB"/>
    <w:rsid w:val="00721BAE"/>
    <w:rsid w:val="00721FC6"/>
    <w:rsid w:val="0072235C"/>
    <w:rsid w:val="0072237A"/>
    <w:rsid w:val="00722843"/>
    <w:rsid w:val="0072301D"/>
    <w:rsid w:val="00723026"/>
    <w:rsid w:val="00723526"/>
    <w:rsid w:val="00723A14"/>
    <w:rsid w:val="0072477E"/>
    <w:rsid w:val="00724BC3"/>
    <w:rsid w:val="00724E13"/>
    <w:rsid w:val="00724E5E"/>
    <w:rsid w:val="0072545F"/>
    <w:rsid w:val="007256F0"/>
    <w:rsid w:val="00725C79"/>
    <w:rsid w:val="00725DB9"/>
    <w:rsid w:val="00725E74"/>
    <w:rsid w:val="00725E79"/>
    <w:rsid w:val="00726034"/>
    <w:rsid w:val="007261EC"/>
    <w:rsid w:val="00726B0B"/>
    <w:rsid w:val="00726C4A"/>
    <w:rsid w:val="00726DCD"/>
    <w:rsid w:val="0072730E"/>
    <w:rsid w:val="00727390"/>
    <w:rsid w:val="007277A9"/>
    <w:rsid w:val="00727A30"/>
    <w:rsid w:val="00727C8A"/>
    <w:rsid w:val="00730280"/>
    <w:rsid w:val="007302BC"/>
    <w:rsid w:val="00730379"/>
    <w:rsid w:val="0073081E"/>
    <w:rsid w:val="00730870"/>
    <w:rsid w:val="00730875"/>
    <w:rsid w:val="0073130A"/>
    <w:rsid w:val="007314B0"/>
    <w:rsid w:val="00731807"/>
    <w:rsid w:val="00731EE5"/>
    <w:rsid w:val="007329D8"/>
    <w:rsid w:val="00732E66"/>
    <w:rsid w:val="00732F6D"/>
    <w:rsid w:val="00733230"/>
    <w:rsid w:val="0073370F"/>
    <w:rsid w:val="00733763"/>
    <w:rsid w:val="00733839"/>
    <w:rsid w:val="007338AA"/>
    <w:rsid w:val="00733A83"/>
    <w:rsid w:val="00733C03"/>
    <w:rsid w:val="00733F97"/>
    <w:rsid w:val="007349C5"/>
    <w:rsid w:val="00734C46"/>
    <w:rsid w:val="00734D5D"/>
    <w:rsid w:val="00734F7A"/>
    <w:rsid w:val="00735648"/>
    <w:rsid w:val="00735AD5"/>
    <w:rsid w:val="0073610C"/>
    <w:rsid w:val="00736289"/>
    <w:rsid w:val="007363A8"/>
    <w:rsid w:val="007364B6"/>
    <w:rsid w:val="007364BC"/>
    <w:rsid w:val="0073671A"/>
    <w:rsid w:val="00736BF3"/>
    <w:rsid w:val="00737122"/>
    <w:rsid w:val="00737149"/>
    <w:rsid w:val="007373D4"/>
    <w:rsid w:val="00737A0F"/>
    <w:rsid w:val="00737DD5"/>
    <w:rsid w:val="00740092"/>
    <w:rsid w:val="007405A9"/>
    <w:rsid w:val="007405B8"/>
    <w:rsid w:val="00740B9A"/>
    <w:rsid w:val="00740D7F"/>
    <w:rsid w:val="00740DF7"/>
    <w:rsid w:val="00741127"/>
    <w:rsid w:val="007413E7"/>
    <w:rsid w:val="007414F5"/>
    <w:rsid w:val="00741531"/>
    <w:rsid w:val="0074166C"/>
    <w:rsid w:val="00741670"/>
    <w:rsid w:val="00741998"/>
    <w:rsid w:val="007420ED"/>
    <w:rsid w:val="00742286"/>
    <w:rsid w:val="007424EC"/>
    <w:rsid w:val="007426AD"/>
    <w:rsid w:val="007434AF"/>
    <w:rsid w:val="007438C6"/>
    <w:rsid w:val="00743ED5"/>
    <w:rsid w:val="00744259"/>
    <w:rsid w:val="007442EB"/>
    <w:rsid w:val="00744C2B"/>
    <w:rsid w:val="00744EB1"/>
    <w:rsid w:val="007453A7"/>
    <w:rsid w:val="00745C4A"/>
    <w:rsid w:val="00745F93"/>
    <w:rsid w:val="0074633A"/>
    <w:rsid w:val="00746767"/>
    <w:rsid w:val="00746789"/>
    <w:rsid w:val="00747076"/>
    <w:rsid w:val="00747257"/>
    <w:rsid w:val="0074767D"/>
    <w:rsid w:val="007478F0"/>
    <w:rsid w:val="00747C65"/>
    <w:rsid w:val="00747EAA"/>
    <w:rsid w:val="00747F26"/>
    <w:rsid w:val="007505FD"/>
    <w:rsid w:val="00750602"/>
    <w:rsid w:val="0075061B"/>
    <w:rsid w:val="0075068D"/>
    <w:rsid w:val="00750C36"/>
    <w:rsid w:val="00750FF5"/>
    <w:rsid w:val="007510E7"/>
    <w:rsid w:val="007512CD"/>
    <w:rsid w:val="0075136D"/>
    <w:rsid w:val="007514E8"/>
    <w:rsid w:val="00751989"/>
    <w:rsid w:val="00751EDA"/>
    <w:rsid w:val="00751F2B"/>
    <w:rsid w:val="0075244C"/>
    <w:rsid w:val="007529BB"/>
    <w:rsid w:val="007529FC"/>
    <w:rsid w:val="00752D6A"/>
    <w:rsid w:val="00752FBF"/>
    <w:rsid w:val="007533AA"/>
    <w:rsid w:val="007534D5"/>
    <w:rsid w:val="00753699"/>
    <w:rsid w:val="00753A26"/>
    <w:rsid w:val="007540F0"/>
    <w:rsid w:val="00754165"/>
    <w:rsid w:val="007542B6"/>
    <w:rsid w:val="00754426"/>
    <w:rsid w:val="007547B6"/>
    <w:rsid w:val="00754F38"/>
    <w:rsid w:val="00754FB7"/>
    <w:rsid w:val="00755310"/>
    <w:rsid w:val="00755375"/>
    <w:rsid w:val="007556B1"/>
    <w:rsid w:val="007556DD"/>
    <w:rsid w:val="00755CDD"/>
    <w:rsid w:val="00755F38"/>
    <w:rsid w:val="0075603C"/>
    <w:rsid w:val="00756659"/>
    <w:rsid w:val="00756BD6"/>
    <w:rsid w:val="00756CBC"/>
    <w:rsid w:val="00756EE8"/>
    <w:rsid w:val="00756F08"/>
    <w:rsid w:val="007572E2"/>
    <w:rsid w:val="00757608"/>
    <w:rsid w:val="00757E53"/>
    <w:rsid w:val="00757FF7"/>
    <w:rsid w:val="00760532"/>
    <w:rsid w:val="00760C5A"/>
    <w:rsid w:val="00760E08"/>
    <w:rsid w:val="0076150B"/>
    <w:rsid w:val="0076171D"/>
    <w:rsid w:val="0076227D"/>
    <w:rsid w:val="0076242C"/>
    <w:rsid w:val="00762529"/>
    <w:rsid w:val="007625EA"/>
    <w:rsid w:val="00762D73"/>
    <w:rsid w:val="0076337F"/>
    <w:rsid w:val="00763384"/>
    <w:rsid w:val="0076362D"/>
    <w:rsid w:val="007636CF"/>
    <w:rsid w:val="007641A8"/>
    <w:rsid w:val="0076478E"/>
    <w:rsid w:val="007647FB"/>
    <w:rsid w:val="0076494E"/>
    <w:rsid w:val="007649B6"/>
    <w:rsid w:val="00764AD2"/>
    <w:rsid w:val="00764B57"/>
    <w:rsid w:val="00764D9D"/>
    <w:rsid w:val="007652CE"/>
    <w:rsid w:val="0076530F"/>
    <w:rsid w:val="00765AD8"/>
    <w:rsid w:val="00766189"/>
    <w:rsid w:val="0076624B"/>
    <w:rsid w:val="007662E4"/>
    <w:rsid w:val="00766651"/>
    <w:rsid w:val="007666F6"/>
    <w:rsid w:val="00766905"/>
    <w:rsid w:val="00766912"/>
    <w:rsid w:val="0076783C"/>
    <w:rsid w:val="007679B1"/>
    <w:rsid w:val="00770145"/>
    <w:rsid w:val="007702AD"/>
    <w:rsid w:val="00770541"/>
    <w:rsid w:val="00770834"/>
    <w:rsid w:val="00770A7A"/>
    <w:rsid w:val="00771295"/>
    <w:rsid w:val="00771866"/>
    <w:rsid w:val="0077191F"/>
    <w:rsid w:val="00771983"/>
    <w:rsid w:val="00771A28"/>
    <w:rsid w:val="00771B38"/>
    <w:rsid w:val="00771DAF"/>
    <w:rsid w:val="0077209B"/>
    <w:rsid w:val="007727B9"/>
    <w:rsid w:val="00773069"/>
    <w:rsid w:val="0077321B"/>
    <w:rsid w:val="007733AA"/>
    <w:rsid w:val="007735B1"/>
    <w:rsid w:val="007741DE"/>
    <w:rsid w:val="007741FD"/>
    <w:rsid w:val="007744E0"/>
    <w:rsid w:val="00774A60"/>
    <w:rsid w:val="00774BE5"/>
    <w:rsid w:val="00774EE4"/>
    <w:rsid w:val="00774FF1"/>
    <w:rsid w:val="007759E4"/>
    <w:rsid w:val="00775C53"/>
    <w:rsid w:val="00775D9C"/>
    <w:rsid w:val="00775FA8"/>
    <w:rsid w:val="00776186"/>
    <w:rsid w:val="0077632E"/>
    <w:rsid w:val="007766C8"/>
    <w:rsid w:val="00776AA2"/>
    <w:rsid w:val="00776D22"/>
    <w:rsid w:val="007775A8"/>
    <w:rsid w:val="0077774F"/>
    <w:rsid w:val="00777821"/>
    <w:rsid w:val="00777A95"/>
    <w:rsid w:val="00777FCF"/>
    <w:rsid w:val="00777FED"/>
    <w:rsid w:val="0078012D"/>
    <w:rsid w:val="007802A2"/>
    <w:rsid w:val="007803FE"/>
    <w:rsid w:val="00780659"/>
    <w:rsid w:val="0078070E"/>
    <w:rsid w:val="0078078F"/>
    <w:rsid w:val="0078087A"/>
    <w:rsid w:val="007809B8"/>
    <w:rsid w:val="00780ABE"/>
    <w:rsid w:val="00780FC4"/>
    <w:rsid w:val="007816CA"/>
    <w:rsid w:val="00781A56"/>
    <w:rsid w:val="00781D28"/>
    <w:rsid w:val="007821AC"/>
    <w:rsid w:val="007826AC"/>
    <w:rsid w:val="007829C7"/>
    <w:rsid w:val="00782D52"/>
    <w:rsid w:val="00782E1E"/>
    <w:rsid w:val="00783A94"/>
    <w:rsid w:val="00783B98"/>
    <w:rsid w:val="0078413A"/>
    <w:rsid w:val="00784202"/>
    <w:rsid w:val="007847D6"/>
    <w:rsid w:val="007848CA"/>
    <w:rsid w:val="00784B41"/>
    <w:rsid w:val="007853FA"/>
    <w:rsid w:val="007859CD"/>
    <w:rsid w:val="00785C54"/>
    <w:rsid w:val="00785F70"/>
    <w:rsid w:val="0078610B"/>
    <w:rsid w:val="007861B1"/>
    <w:rsid w:val="007861CA"/>
    <w:rsid w:val="007864DB"/>
    <w:rsid w:val="0078664F"/>
    <w:rsid w:val="00786CB0"/>
    <w:rsid w:val="00786E8F"/>
    <w:rsid w:val="0078709B"/>
    <w:rsid w:val="007872B4"/>
    <w:rsid w:val="00787656"/>
    <w:rsid w:val="0078773B"/>
    <w:rsid w:val="00787B78"/>
    <w:rsid w:val="00787E88"/>
    <w:rsid w:val="00790352"/>
    <w:rsid w:val="007903E5"/>
    <w:rsid w:val="00790CCF"/>
    <w:rsid w:val="00790EE4"/>
    <w:rsid w:val="00790FA6"/>
    <w:rsid w:val="00791099"/>
    <w:rsid w:val="007911EF"/>
    <w:rsid w:val="0079198C"/>
    <w:rsid w:val="00792534"/>
    <w:rsid w:val="0079292E"/>
    <w:rsid w:val="00792C8E"/>
    <w:rsid w:val="00792E75"/>
    <w:rsid w:val="00793434"/>
    <w:rsid w:val="0079345E"/>
    <w:rsid w:val="00793BF1"/>
    <w:rsid w:val="00793E34"/>
    <w:rsid w:val="00793F32"/>
    <w:rsid w:val="00794352"/>
    <w:rsid w:val="00794471"/>
    <w:rsid w:val="0079457D"/>
    <w:rsid w:val="00794839"/>
    <w:rsid w:val="00794B22"/>
    <w:rsid w:val="00794B8F"/>
    <w:rsid w:val="00794B91"/>
    <w:rsid w:val="00794F33"/>
    <w:rsid w:val="007954F8"/>
    <w:rsid w:val="0079593D"/>
    <w:rsid w:val="00796982"/>
    <w:rsid w:val="007A04C1"/>
    <w:rsid w:val="007A0B04"/>
    <w:rsid w:val="007A0BBE"/>
    <w:rsid w:val="007A0C74"/>
    <w:rsid w:val="007A0D17"/>
    <w:rsid w:val="007A120B"/>
    <w:rsid w:val="007A1225"/>
    <w:rsid w:val="007A1795"/>
    <w:rsid w:val="007A1B67"/>
    <w:rsid w:val="007A1CE4"/>
    <w:rsid w:val="007A1D0C"/>
    <w:rsid w:val="007A1F10"/>
    <w:rsid w:val="007A2077"/>
    <w:rsid w:val="007A2335"/>
    <w:rsid w:val="007A260B"/>
    <w:rsid w:val="007A2ABE"/>
    <w:rsid w:val="007A2D25"/>
    <w:rsid w:val="007A2D5F"/>
    <w:rsid w:val="007A3082"/>
    <w:rsid w:val="007A31BE"/>
    <w:rsid w:val="007A33F1"/>
    <w:rsid w:val="007A34D0"/>
    <w:rsid w:val="007A3534"/>
    <w:rsid w:val="007A36C3"/>
    <w:rsid w:val="007A3724"/>
    <w:rsid w:val="007A37CB"/>
    <w:rsid w:val="007A3AA6"/>
    <w:rsid w:val="007A3AAA"/>
    <w:rsid w:val="007A3FCC"/>
    <w:rsid w:val="007A4C5F"/>
    <w:rsid w:val="007A4DAA"/>
    <w:rsid w:val="007A53A2"/>
    <w:rsid w:val="007A5764"/>
    <w:rsid w:val="007A5D4A"/>
    <w:rsid w:val="007A62D9"/>
    <w:rsid w:val="007A6427"/>
    <w:rsid w:val="007A66AD"/>
    <w:rsid w:val="007A6948"/>
    <w:rsid w:val="007A6B39"/>
    <w:rsid w:val="007A70CD"/>
    <w:rsid w:val="007A7593"/>
    <w:rsid w:val="007A76C5"/>
    <w:rsid w:val="007A7B43"/>
    <w:rsid w:val="007A7C58"/>
    <w:rsid w:val="007B0696"/>
    <w:rsid w:val="007B0951"/>
    <w:rsid w:val="007B0C1B"/>
    <w:rsid w:val="007B0E81"/>
    <w:rsid w:val="007B0F2E"/>
    <w:rsid w:val="007B1320"/>
    <w:rsid w:val="007B188A"/>
    <w:rsid w:val="007B1C3E"/>
    <w:rsid w:val="007B1D66"/>
    <w:rsid w:val="007B2058"/>
    <w:rsid w:val="007B2B8F"/>
    <w:rsid w:val="007B2EEC"/>
    <w:rsid w:val="007B2F6C"/>
    <w:rsid w:val="007B3291"/>
    <w:rsid w:val="007B36B8"/>
    <w:rsid w:val="007B38F9"/>
    <w:rsid w:val="007B3EE7"/>
    <w:rsid w:val="007B42BA"/>
    <w:rsid w:val="007B4A12"/>
    <w:rsid w:val="007B4C37"/>
    <w:rsid w:val="007B536C"/>
    <w:rsid w:val="007B543D"/>
    <w:rsid w:val="007B5459"/>
    <w:rsid w:val="007B5DA6"/>
    <w:rsid w:val="007B60D5"/>
    <w:rsid w:val="007B6943"/>
    <w:rsid w:val="007B6C1F"/>
    <w:rsid w:val="007B6C54"/>
    <w:rsid w:val="007B727E"/>
    <w:rsid w:val="007B763D"/>
    <w:rsid w:val="007B7675"/>
    <w:rsid w:val="007B76D3"/>
    <w:rsid w:val="007B7DEC"/>
    <w:rsid w:val="007B7F01"/>
    <w:rsid w:val="007C00A9"/>
    <w:rsid w:val="007C0151"/>
    <w:rsid w:val="007C027C"/>
    <w:rsid w:val="007C03D9"/>
    <w:rsid w:val="007C0559"/>
    <w:rsid w:val="007C06F2"/>
    <w:rsid w:val="007C07EF"/>
    <w:rsid w:val="007C0A27"/>
    <w:rsid w:val="007C1D0B"/>
    <w:rsid w:val="007C221C"/>
    <w:rsid w:val="007C221E"/>
    <w:rsid w:val="007C2923"/>
    <w:rsid w:val="007C2BFE"/>
    <w:rsid w:val="007C2F7C"/>
    <w:rsid w:val="007C3260"/>
    <w:rsid w:val="007C32AD"/>
    <w:rsid w:val="007C338F"/>
    <w:rsid w:val="007C3423"/>
    <w:rsid w:val="007C3545"/>
    <w:rsid w:val="007C35C0"/>
    <w:rsid w:val="007C37F9"/>
    <w:rsid w:val="007C3CE5"/>
    <w:rsid w:val="007C3D0C"/>
    <w:rsid w:val="007C3E85"/>
    <w:rsid w:val="007C3F12"/>
    <w:rsid w:val="007C41AF"/>
    <w:rsid w:val="007C47E5"/>
    <w:rsid w:val="007C4AAE"/>
    <w:rsid w:val="007C4DDC"/>
    <w:rsid w:val="007C4E74"/>
    <w:rsid w:val="007C5833"/>
    <w:rsid w:val="007C59D7"/>
    <w:rsid w:val="007C62CD"/>
    <w:rsid w:val="007C6993"/>
    <w:rsid w:val="007C69AC"/>
    <w:rsid w:val="007C6FE0"/>
    <w:rsid w:val="007C716F"/>
    <w:rsid w:val="007C723F"/>
    <w:rsid w:val="007C759D"/>
    <w:rsid w:val="007C7C39"/>
    <w:rsid w:val="007D00FB"/>
    <w:rsid w:val="007D0649"/>
    <w:rsid w:val="007D06A6"/>
    <w:rsid w:val="007D09C9"/>
    <w:rsid w:val="007D107C"/>
    <w:rsid w:val="007D1327"/>
    <w:rsid w:val="007D13EF"/>
    <w:rsid w:val="007D1798"/>
    <w:rsid w:val="007D200B"/>
    <w:rsid w:val="007D2144"/>
    <w:rsid w:val="007D2545"/>
    <w:rsid w:val="007D2722"/>
    <w:rsid w:val="007D2BB3"/>
    <w:rsid w:val="007D2FCB"/>
    <w:rsid w:val="007D31E2"/>
    <w:rsid w:val="007D330D"/>
    <w:rsid w:val="007D342E"/>
    <w:rsid w:val="007D3748"/>
    <w:rsid w:val="007D375D"/>
    <w:rsid w:val="007D3BB5"/>
    <w:rsid w:val="007D3FCC"/>
    <w:rsid w:val="007D4158"/>
    <w:rsid w:val="007D4401"/>
    <w:rsid w:val="007D441B"/>
    <w:rsid w:val="007D4675"/>
    <w:rsid w:val="007D49B4"/>
    <w:rsid w:val="007D4E8E"/>
    <w:rsid w:val="007D50CA"/>
    <w:rsid w:val="007D535D"/>
    <w:rsid w:val="007D55DE"/>
    <w:rsid w:val="007D587B"/>
    <w:rsid w:val="007D5950"/>
    <w:rsid w:val="007D5E85"/>
    <w:rsid w:val="007D60CE"/>
    <w:rsid w:val="007D62EA"/>
    <w:rsid w:val="007D6895"/>
    <w:rsid w:val="007D6A11"/>
    <w:rsid w:val="007D6CE9"/>
    <w:rsid w:val="007D6F4A"/>
    <w:rsid w:val="007D71EC"/>
    <w:rsid w:val="007D73E8"/>
    <w:rsid w:val="007D73F6"/>
    <w:rsid w:val="007E0917"/>
    <w:rsid w:val="007E0AF9"/>
    <w:rsid w:val="007E0CC8"/>
    <w:rsid w:val="007E0D66"/>
    <w:rsid w:val="007E10BD"/>
    <w:rsid w:val="007E128B"/>
    <w:rsid w:val="007E16D4"/>
    <w:rsid w:val="007E1E7F"/>
    <w:rsid w:val="007E2861"/>
    <w:rsid w:val="007E2B61"/>
    <w:rsid w:val="007E2ED0"/>
    <w:rsid w:val="007E39A3"/>
    <w:rsid w:val="007E39FA"/>
    <w:rsid w:val="007E496F"/>
    <w:rsid w:val="007E4BD9"/>
    <w:rsid w:val="007E55FC"/>
    <w:rsid w:val="007E576D"/>
    <w:rsid w:val="007E61C9"/>
    <w:rsid w:val="007E68F0"/>
    <w:rsid w:val="007E6F46"/>
    <w:rsid w:val="007E6FC0"/>
    <w:rsid w:val="007E70D3"/>
    <w:rsid w:val="007E76A9"/>
    <w:rsid w:val="007E7725"/>
    <w:rsid w:val="007E7E55"/>
    <w:rsid w:val="007F0782"/>
    <w:rsid w:val="007F08C3"/>
    <w:rsid w:val="007F0A96"/>
    <w:rsid w:val="007F0CA8"/>
    <w:rsid w:val="007F175F"/>
    <w:rsid w:val="007F1A5A"/>
    <w:rsid w:val="007F1C17"/>
    <w:rsid w:val="007F1E6C"/>
    <w:rsid w:val="007F2451"/>
    <w:rsid w:val="007F24CF"/>
    <w:rsid w:val="007F2AF9"/>
    <w:rsid w:val="007F2BC7"/>
    <w:rsid w:val="007F2CAB"/>
    <w:rsid w:val="007F2CBE"/>
    <w:rsid w:val="007F343F"/>
    <w:rsid w:val="007F428E"/>
    <w:rsid w:val="007F45A0"/>
    <w:rsid w:val="007F489C"/>
    <w:rsid w:val="007F4FE0"/>
    <w:rsid w:val="007F51AB"/>
    <w:rsid w:val="007F5733"/>
    <w:rsid w:val="007F5AB3"/>
    <w:rsid w:val="007F5F49"/>
    <w:rsid w:val="007F5FC4"/>
    <w:rsid w:val="007F6451"/>
    <w:rsid w:val="007F64F5"/>
    <w:rsid w:val="007F6C41"/>
    <w:rsid w:val="007F70F9"/>
    <w:rsid w:val="007F716F"/>
    <w:rsid w:val="007F7300"/>
    <w:rsid w:val="00800116"/>
    <w:rsid w:val="0080079B"/>
    <w:rsid w:val="00800A39"/>
    <w:rsid w:val="00800AD5"/>
    <w:rsid w:val="00800C5C"/>
    <w:rsid w:val="00800F29"/>
    <w:rsid w:val="00801105"/>
    <w:rsid w:val="0080145D"/>
    <w:rsid w:val="00801F32"/>
    <w:rsid w:val="0080230C"/>
    <w:rsid w:val="0080258E"/>
    <w:rsid w:val="0080275F"/>
    <w:rsid w:val="00802D64"/>
    <w:rsid w:val="00802E71"/>
    <w:rsid w:val="00803127"/>
    <w:rsid w:val="008035BB"/>
    <w:rsid w:val="008036BB"/>
    <w:rsid w:val="0080373B"/>
    <w:rsid w:val="00803B2D"/>
    <w:rsid w:val="00803D4F"/>
    <w:rsid w:val="00804002"/>
    <w:rsid w:val="00804169"/>
    <w:rsid w:val="00804447"/>
    <w:rsid w:val="008045E1"/>
    <w:rsid w:val="0080499D"/>
    <w:rsid w:val="008049B1"/>
    <w:rsid w:val="00804A48"/>
    <w:rsid w:val="0080527B"/>
    <w:rsid w:val="00805C0E"/>
    <w:rsid w:val="00805C2B"/>
    <w:rsid w:val="00805CCC"/>
    <w:rsid w:val="00805E08"/>
    <w:rsid w:val="00805EA8"/>
    <w:rsid w:val="008061C6"/>
    <w:rsid w:val="00806367"/>
    <w:rsid w:val="00806BD2"/>
    <w:rsid w:val="00807139"/>
    <w:rsid w:val="00807273"/>
    <w:rsid w:val="008072A5"/>
    <w:rsid w:val="008073AB"/>
    <w:rsid w:val="00807AA2"/>
    <w:rsid w:val="00807B6A"/>
    <w:rsid w:val="00807F6A"/>
    <w:rsid w:val="008105A6"/>
    <w:rsid w:val="00810BB9"/>
    <w:rsid w:val="00811315"/>
    <w:rsid w:val="0081188C"/>
    <w:rsid w:val="00811C5C"/>
    <w:rsid w:val="00811D74"/>
    <w:rsid w:val="00811F9B"/>
    <w:rsid w:val="00811FE6"/>
    <w:rsid w:val="00811FFE"/>
    <w:rsid w:val="0081215E"/>
    <w:rsid w:val="00812282"/>
    <w:rsid w:val="00812380"/>
    <w:rsid w:val="00812593"/>
    <w:rsid w:val="008128E8"/>
    <w:rsid w:val="00812A99"/>
    <w:rsid w:val="00812B22"/>
    <w:rsid w:val="00812B2C"/>
    <w:rsid w:val="00812CA7"/>
    <w:rsid w:val="00812DF6"/>
    <w:rsid w:val="008133C0"/>
    <w:rsid w:val="008135AF"/>
    <w:rsid w:val="008135C7"/>
    <w:rsid w:val="00813683"/>
    <w:rsid w:val="00813F1B"/>
    <w:rsid w:val="00814471"/>
    <w:rsid w:val="0081498E"/>
    <w:rsid w:val="00814A7D"/>
    <w:rsid w:val="00814EE2"/>
    <w:rsid w:val="00815100"/>
    <w:rsid w:val="008154EC"/>
    <w:rsid w:val="00815641"/>
    <w:rsid w:val="0081577A"/>
    <w:rsid w:val="008158C5"/>
    <w:rsid w:val="00815A09"/>
    <w:rsid w:val="00815BCB"/>
    <w:rsid w:val="00815EDC"/>
    <w:rsid w:val="00816DC9"/>
    <w:rsid w:val="0081702C"/>
    <w:rsid w:val="00817537"/>
    <w:rsid w:val="0081771E"/>
    <w:rsid w:val="0081797A"/>
    <w:rsid w:val="0082020C"/>
    <w:rsid w:val="008205D1"/>
    <w:rsid w:val="00820679"/>
    <w:rsid w:val="008207D6"/>
    <w:rsid w:val="008208C7"/>
    <w:rsid w:val="008209B8"/>
    <w:rsid w:val="00820CD2"/>
    <w:rsid w:val="00820DB1"/>
    <w:rsid w:val="00821268"/>
    <w:rsid w:val="0082127A"/>
    <w:rsid w:val="008212C2"/>
    <w:rsid w:val="00821589"/>
    <w:rsid w:val="008218F9"/>
    <w:rsid w:val="00821F74"/>
    <w:rsid w:val="00822133"/>
    <w:rsid w:val="00822AD3"/>
    <w:rsid w:val="00822FDA"/>
    <w:rsid w:val="00823056"/>
    <w:rsid w:val="00823429"/>
    <w:rsid w:val="008239BE"/>
    <w:rsid w:val="00823AC1"/>
    <w:rsid w:val="00823CDE"/>
    <w:rsid w:val="00824314"/>
    <w:rsid w:val="00824707"/>
    <w:rsid w:val="00824AD9"/>
    <w:rsid w:val="008252F5"/>
    <w:rsid w:val="00825565"/>
    <w:rsid w:val="00825651"/>
    <w:rsid w:val="00825C52"/>
    <w:rsid w:val="00826A8D"/>
    <w:rsid w:val="00826D21"/>
    <w:rsid w:val="0082755E"/>
    <w:rsid w:val="008275AC"/>
    <w:rsid w:val="00827B97"/>
    <w:rsid w:val="00830354"/>
    <w:rsid w:val="00830482"/>
    <w:rsid w:val="0083066F"/>
    <w:rsid w:val="008307BF"/>
    <w:rsid w:val="00830E27"/>
    <w:rsid w:val="0083137B"/>
    <w:rsid w:val="0083158F"/>
    <w:rsid w:val="008317DC"/>
    <w:rsid w:val="008317F0"/>
    <w:rsid w:val="008319CF"/>
    <w:rsid w:val="00831A7E"/>
    <w:rsid w:val="00831DBC"/>
    <w:rsid w:val="00831F7E"/>
    <w:rsid w:val="00832808"/>
    <w:rsid w:val="0083286F"/>
    <w:rsid w:val="00832AF8"/>
    <w:rsid w:val="00832F19"/>
    <w:rsid w:val="008330AB"/>
    <w:rsid w:val="0083333E"/>
    <w:rsid w:val="008335F0"/>
    <w:rsid w:val="00833761"/>
    <w:rsid w:val="008337A6"/>
    <w:rsid w:val="00833991"/>
    <w:rsid w:val="00833C78"/>
    <w:rsid w:val="00833EB5"/>
    <w:rsid w:val="00834061"/>
    <w:rsid w:val="008340AA"/>
    <w:rsid w:val="0083428F"/>
    <w:rsid w:val="0083438B"/>
    <w:rsid w:val="0083468F"/>
    <w:rsid w:val="0083494D"/>
    <w:rsid w:val="00834CF6"/>
    <w:rsid w:val="00835011"/>
    <w:rsid w:val="00835067"/>
    <w:rsid w:val="008351C4"/>
    <w:rsid w:val="00835586"/>
    <w:rsid w:val="00835696"/>
    <w:rsid w:val="00835721"/>
    <w:rsid w:val="00835758"/>
    <w:rsid w:val="00835E28"/>
    <w:rsid w:val="008367C9"/>
    <w:rsid w:val="00837BC2"/>
    <w:rsid w:val="008400F9"/>
    <w:rsid w:val="008403E4"/>
    <w:rsid w:val="008408C3"/>
    <w:rsid w:val="00840906"/>
    <w:rsid w:val="0084099B"/>
    <w:rsid w:val="00841283"/>
    <w:rsid w:val="0084196E"/>
    <w:rsid w:val="00841DA6"/>
    <w:rsid w:val="00842E4B"/>
    <w:rsid w:val="008430C3"/>
    <w:rsid w:val="00843524"/>
    <w:rsid w:val="00843538"/>
    <w:rsid w:val="0084360A"/>
    <w:rsid w:val="00843846"/>
    <w:rsid w:val="0084399A"/>
    <w:rsid w:val="00843B96"/>
    <w:rsid w:val="00843F28"/>
    <w:rsid w:val="00844515"/>
    <w:rsid w:val="00844D1B"/>
    <w:rsid w:val="00844F85"/>
    <w:rsid w:val="008454C2"/>
    <w:rsid w:val="008459F7"/>
    <w:rsid w:val="008459FF"/>
    <w:rsid w:val="00845AF7"/>
    <w:rsid w:val="0084632B"/>
    <w:rsid w:val="00846A87"/>
    <w:rsid w:val="00846B60"/>
    <w:rsid w:val="00846C43"/>
    <w:rsid w:val="00846CDD"/>
    <w:rsid w:val="00846E34"/>
    <w:rsid w:val="00846E44"/>
    <w:rsid w:val="00846EE3"/>
    <w:rsid w:val="00847010"/>
    <w:rsid w:val="008470EE"/>
    <w:rsid w:val="00847178"/>
    <w:rsid w:val="0084776E"/>
    <w:rsid w:val="008502DB"/>
    <w:rsid w:val="008515C2"/>
    <w:rsid w:val="008515F5"/>
    <w:rsid w:val="00851787"/>
    <w:rsid w:val="00851A67"/>
    <w:rsid w:val="00851B8D"/>
    <w:rsid w:val="008520F7"/>
    <w:rsid w:val="0085227D"/>
    <w:rsid w:val="008523C4"/>
    <w:rsid w:val="008524F2"/>
    <w:rsid w:val="00852816"/>
    <w:rsid w:val="00852B14"/>
    <w:rsid w:val="00852BC3"/>
    <w:rsid w:val="00852BCB"/>
    <w:rsid w:val="00852F11"/>
    <w:rsid w:val="00852FB0"/>
    <w:rsid w:val="00853670"/>
    <w:rsid w:val="00853760"/>
    <w:rsid w:val="008537CD"/>
    <w:rsid w:val="00853872"/>
    <w:rsid w:val="00853C58"/>
    <w:rsid w:val="00853CCD"/>
    <w:rsid w:val="00853D62"/>
    <w:rsid w:val="00854370"/>
    <w:rsid w:val="0085450F"/>
    <w:rsid w:val="00854924"/>
    <w:rsid w:val="00854F9D"/>
    <w:rsid w:val="0085502C"/>
    <w:rsid w:val="008551CB"/>
    <w:rsid w:val="008552A2"/>
    <w:rsid w:val="00855AF5"/>
    <w:rsid w:val="00855B31"/>
    <w:rsid w:val="00855C44"/>
    <w:rsid w:val="00855F4B"/>
    <w:rsid w:val="00855FDA"/>
    <w:rsid w:val="00856545"/>
    <w:rsid w:val="00856936"/>
    <w:rsid w:val="00856998"/>
    <w:rsid w:val="008574C8"/>
    <w:rsid w:val="00857601"/>
    <w:rsid w:val="0085767A"/>
    <w:rsid w:val="008577BE"/>
    <w:rsid w:val="00857B16"/>
    <w:rsid w:val="00857CDD"/>
    <w:rsid w:val="00857FC8"/>
    <w:rsid w:val="008602C4"/>
    <w:rsid w:val="0086032A"/>
    <w:rsid w:val="00860910"/>
    <w:rsid w:val="00860C3D"/>
    <w:rsid w:val="00860D50"/>
    <w:rsid w:val="00860F69"/>
    <w:rsid w:val="00860FE4"/>
    <w:rsid w:val="00861499"/>
    <w:rsid w:val="0086165B"/>
    <w:rsid w:val="008618A1"/>
    <w:rsid w:val="00861B46"/>
    <w:rsid w:val="00861B48"/>
    <w:rsid w:val="00861C90"/>
    <w:rsid w:val="00861F04"/>
    <w:rsid w:val="00862360"/>
    <w:rsid w:val="00862590"/>
    <w:rsid w:val="00862F54"/>
    <w:rsid w:val="00863068"/>
    <w:rsid w:val="00863562"/>
    <w:rsid w:val="008636CE"/>
    <w:rsid w:val="00863AFC"/>
    <w:rsid w:val="00863B9C"/>
    <w:rsid w:val="00863D5F"/>
    <w:rsid w:val="0086403D"/>
    <w:rsid w:val="008646BA"/>
    <w:rsid w:val="00864A45"/>
    <w:rsid w:val="00864E00"/>
    <w:rsid w:val="00865037"/>
    <w:rsid w:val="008667D6"/>
    <w:rsid w:val="00866AE6"/>
    <w:rsid w:val="00866F33"/>
    <w:rsid w:val="00866F9D"/>
    <w:rsid w:val="00867102"/>
    <w:rsid w:val="0086778E"/>
    <w:rsid w:val="00867EC4"/>
    <w:rsid w:val="0087048B"/>
    <w:rsid w:val="0087078B"/>
    <w:rsid w:val="008709EF"/>
    <w:rsid w:val="00870ADB"/>
    <w:rsid w:val="00870B99"/>
    <w:rsid w:val="00870BD5"/>
    <w:rsid w:val="00870C08"/>
    <w:rsid w:val="00870C73"/>
    <w:rsid w:val="00871052"/>
    <w:rsid w:val="008710BA"/>
    <w:rsid w:val="0087113E"/>
    <w:rsid w:val="0087133F"/>
    <w:rsid w:val="00871B37"/>
    <w:rsid w:val="00871CF3"/>
    <w:rsid w:val="00871D6F"/>
    <w:rsid w:val="008722BB"/>
    <w:rsid w:val="0087250F"/>
    <w:rsid w:val="00872D59"/>
    <w:rsid w:val="00872E52"/>
    <w:rsid w:val="00873530"/>
    <w:rsid w:val="008736B0"/>
    <w:rsid w:val="00873907"/>
    <w:rsid w:val="00873961"/>
    <w:rsid w:val="00873978"/>
    <w:rsid w:val="00874067"/>
    <w:rsid w:val="0087436B"/>
    <w:rsid w:val="0087437F"/>
    <w:rsid w:val="00874559"/>
    <w:rsid w:val="0087468A"/>
    <w:rsid w:val="0087492B"/>
    <w:rsid w:val="00874E83"/>
    <w:rsid w:val="00875012"/>
    <w:rsid w:val="0087502C"/>
    <w:rsid w:val="008750C2"/>
    <w:rsid w:val="008750CC"/>
    <w:rsid w:val="0087556B"/>
    <w:rsid w:val="008756F7"/>
    <w:rsid w:val="00875819"/>
    <w:rsid w:val="0087592F"/>
    <w:rsid w:val="008759F2"/>
    <w:rsid w:val="00875C4E"/>
    <w:rsid w:val="00876355"/>
    <w:rsid w:val="008763D3"/>
    <w:rsid w:val="0087691A"/>
    <w:rsid w:val="008769EF"/>
    <w:rsid w:val="00876D64"/>
    <w:rsid w:val="00877179"/>
    <w:rsid w:val="0087765B"/>
    <w:rsid w:val="008776BC"/>
    <w:rsid w:val="0087799F"/>
    <w:rsid w:val="00877B8E"/>
    <w:rsid w:val="00877D16"/>
    <w:rsid w:val="00877F2F"/>
    <w:rsid w:val="00880192"/>
    <w:rsid w:val="00880242"/>
    <w:rsid w:val="008802AA"/>
    <w:rsid w:val="00880E4F"/>
    <w:rsid w:val="00880EA8"/>
    <w:rsid w:val="00880FC4"/>
    <w:rsid w:val="00881335"/>
    <w:rsid w:val="00881765"/>
    <w:rsid w:val="008817E3"/>
    <w:rsid w:val="00881B00"/>
    <w:rsid w:val="00881D4A"/>
    <w:rsid w:val="00882773"/>
    <w:rsid w:val="00882887"/>
    <w:rsid w:val="00882A1D"/>
    <w:rsid w:val="00882A22"/>
    <w:rsid w:val="008833C2"/>
    <w:rsid w:val="008834C7"/>
    <w:rsid w:val="00883667"/>
    <w:rsid w:val="0088383A"/>
    <w:rsid w:val="0088384F"/>
    <w:rsid w:val="00883955"/>
    <w:rsid w:val="008839D5"/>
    <w:rsid w:val="00883AD1"/>
    <w:rsid w:val="00883B26"/>
    <w:rsid w:val="00884362"/>
    <w:rsid w:val="00884693"/>
    <w:rsid w:val="00884F71"/>
    <w:rsid w:val="00884FC2"/>
    <w:rsid w:val="0088517D"/>
    <w:rsid w:val="008860AD"/>
    <w:rsid w:val="00886256"/>
    <w:rsid w:val="00886299"/>
    <w:rsid w:val="00886660"/>
    <w:rsid w:val="00886909"/>
    <w:rsid w:val="008869F3"/>
    <w:rsid w:val="00886B01"/>
    <w:rsid w:val="00887006"/>
    <w:rsid w:val="008876E9"/>
    <w:rsid w:val="008876F4"/>
    <w:rsid w:val="00887F55"/>
    <w:rsid w:val="00887FBF"/>
    <w:rsid w:val="0089039B"/>
    <w:rsid w:val="008906E6"/>
    <w:rsid w:val="0089072D"/>
    <w:rsid w:val="0089095A"/>
    <w:rsid w:val="00890DFD"/>
    <w:rsid w:val="00890FE8"/>
    <w:rsid w:val="00891849"/>
    <w:rsid w:val="00891C29"/>
    <w:rsid w:val="00891C90"/>
    <w:rsid w:val="00891D89"/>
    <w:rsid w:val="00891F8E"/>
    <w:rsid w:val="00892A95"/>
    <w:rsid w:val="0089303A"/>
    <w:rsid w:val="0089323A"/>
    <w:rsid w:val="00893332"/>
    <w:rsid w:val="00893689"/>
    <w:rsid w:val="00893974"/>
    <w:rsid w:val="008948D8"/>
    <w:rsid w:val="0089519C"/>
    <w:rsid w:val="008957B8"/>
    <w:rsid w:val="008959C6"/>
    <w:rsid w:val="00895AA0"/>
    <w:rsid w:val="008961F9"/>
    <w:rsid w:val="0089623A"/>
    <w:rsid w:val="008963CF"/>
    <w:rsid w:val="008967E9"/>
    <w:rsid w:val="008969E9"/>
    <w:rsid w:val="00896E0B"/>
    <w:rsid w:val="00897049"/>
    <w:rsid w:val="00897A79"/>
    <w:rsid w:val="008A0044"/>
    <w:rsid w:val="008A02D0"/>
    <w:rsid w:val="008A05BD"/>
    <w:rsid w:val="008A0BA9"/>
    <w:rsid w:val="008A0EB5"/>
    <w:rsid w:val="008A109B"/>
    <w:rsid w:val="008A15CA"/>
    <w:rsid w:val="008A1A95"/>
    <w:rsid w:val="008A251B"/>
    <w:rsid w:val="008A2B1D"/>
    <w:rsid w:val="008A30F8"/>
    <w:rsid w:val="008A3207"/>
    <w:rsid w:val="008A35E7"/>
    <w:rsid w:val="008A3BDF"/>
    <w:rsid w:val="008A3C8F"/>
    <w:rsid w:val="008A44E0"/>
    <w:rsid w:val="008A4749"/>
    <w:rsid w:val="008A4C73"/>
    <w:rsid w:val="008A4DC5"/>
    <w:rsid w:val="008A4FE5"/>
    <w:rsid w:val="008A506C"/>
    <w:rsid w:val="008A53A5"/>
    <w:rsid w:val="008A5711"/>
    <w:rsid w:val="008A5869"/>
    <w:rsid w:val="008A5DE2"/>
    <w:rsid w:val="008A5E45"/>
    <w:rsid w:val="008A61B1"/>
    <w:rsid w:val="008A63CD"/>
    <w:rsid w:val="008A6905"/>
    <w:rsid w:val="008A6A09"/>
    <w:rsid w:val="008A6E32"/>
    <w:rsid w:val="008A6E98"/>
    <w:rsid w:val="008A74CD"/>
    <w:rsid w:val="008A7745"/>
    <w:rsid w:val="008A798B"/>
    <w:rsid w:val="008A7ADA"/>
    <w:rsid w:val="008A7BC4"/>
    <w:rsid w:val="008B0085"/>
    <w:rsid w:val="008B041F"/>
    <w:rsid w:val="008B05B3"/>
    <w:rsid w:val="008B07ED"/>
    <w:rsid w:val="008B094D"/>
    <w:rsid w:val="008B0AFF"/>
    <w:rsid w:val="008B0C99"/>
    <w:rsid w:val="008B177D"/>
    <w:rsid w:val="008B18D7"/>
    <w:rsid w:val="008B18E5"/>
    <w:rsid w:val="008B1E22"/>
    <w:rsid w:val="008B205D"/>
    <w:rsid w:val="008B24AC"/>
    <w:rsid w:val="008B3197"/>
    <w:rsid w:val="008B3426"/>
    <w:rsid w:val="008B352F"/>
    <w:rsid w:val="008B3B3F"/>
    <w:rsid w:val="008B3E01"/>
    <w:rsid w:val="008B423D"/>
    <w:rsid w:val="008B4280"/>
    <w:rsid w:val="008B4BBD"/>
    <w:rsid w:val="008B4D9D"/>
    <w:rsid w:val="008B4E76"/>
    <w:rsid w:val="008B4EFB"/>
    <w:rsid w:val="008B51C1"/>
    <w:rsid w:val="008B53F5"/>
    <w:rsid w:val="008B541F"/>
    <w:rsid w:val="008B5A19"/>
    <w:rsid w:val="008B5C8A"/>
    <w:rsid w:val="008B641A"/>
    <w:rsid w:val="008B6532"/>
    <w:rsid w:val="008B6688"/>
    <w:rsid w:val="008B6E13"/>
    <w:rsid w:val="008B6E95"/>
    <w:rsid w:val="008B6FDE"/>
    <w:rsid w:val="008B71A6"/>
    <w:rsid w:val="008B7325"/>
    <w:rsid w:val="008B77AD"/>
    <w:rsid w:val="008B7B94"/>
    <w:rsid w:val="008C00FF"/>
    <w:rsid w:val="008C015C"/>
    <w:rsid w:val="008C03A5"/>
    <w:rsid w:val="008C0931"/>
    <w:rsid w:val="008C0A43"/>
    <w:rsid w:val="008C0A5F"/>
    <w:rsid w:val="008C0D25"/>
    <w:rsid w:val="008C0D97"/>
    <w:rsid w:val="008C11BE"/>
    <w:rsid w:val="008C142A"/>
    <w:rsid w:val="008C17C4"/>
    <w:rsid w:val="008C1A73"/>
    <w:rsid w:val="008C1D65"/>
    <w:rsid w:val="008C2588"/>
    <w:rsid w:val="008C2688"/>
    <w:rsid w:val="008C26C6"/>
    <w:rsid w:val="008C27F3"/>
    <w:rsid w:val="008C28EF"/>
    <w:rsid w:val="008C2DE5"/>
    <w:rsid w:val="008C2F1B"/>
    <w:rsid w:val="008C2FB4"/>
    <w:rsid w:val="008C340B"/>
    <w:rsid w:val="008C35D7"/>
    <w:rsid w:val="008C3E54"/>
    <w:rsid w:val="008C3F54"/>
    <w:rsid w:val="008C408B"/>
    <w:rsid w:val="008C40C5"/>
    <w:rsid w:val="008C52C6"/>
    <w:rsid w:val="008C560E"/>
    <w:rsid w:val="008C6161"/>
    <w:rsid w:val="008C62B9"/>
    <w:rsid w:val="008C635D"/>
    <w:rsid w:val="008C6454"/>
    <w:rsid w:val="008C66D5"/>
    <w:rsid w:val="008C67B6"/>
    <w:rsid w:val="008C6B67"/>
    <w:rsid w:val="008C6BA8"/>
    <w:rsid w:val="008C6CC2"/>
    <w:rsid w:val="008C6E0A"/>
    <w:rsid w:val="008C6E36"/>
    <w:rsid w:val="008C7088"/>
    <w:rsid w:val="008C7255"/>
    <w:rsid w:val="008C7697"/>
    <w:rsid w:val="008C7A38"/>
    <w:rsid w:val="008C7D7E"/>
    <w:rsid w:val="008C7DC9"/>
    <w:rsid w:val="008D0015"/>
    <w:rsid w:val="008D096B"/>
    <w:rsid w:val="008D0B08"/>
    <w:rsid w:val="008D1023"/>
    <w:rsid w:val="008D113C"/>
    <w:rsid w:val="008D198F"/>
    <w:rsid w:val="008D19FB"/>
    <w:rsid w:val="008D1BAB"/>
    <w:rsid w:val="008D1BBF"/>
    <w:rsid w:val="008D2150"/>
    <w:rsid w:val="008D23B4"/>
    <w:rsid w:val="008D25EE"/>
    <w:rsid w:val="008D26FD"/>
    <w:rsid w:val="008D270A"/>
    <w:rsid w:val="008D293C"/>
    <w:rsid w:val="008D2B47"/>
    <w:rsid w:val="008D2C86"/>
    <w:rsid w:val="008D3008"/>
    <w:rsid w:val="008D355C"/>
    <w:rsid w:val="008D359C"/>
    <w:rsid w:val="008D376F"/>
    <w:rsid w:val="008D3944"/>
    <w:rsid w:val="008D3DB7"/>
    <w:rsid w:val="008D41FC"/>
    <w:rsid w:val="008D426A"/>
    <w:rsid w:val="008D4765"/>
    <w:rsid w:val="008D488C"/>
    <w:rsid w:val="008D48B9"/>
    <w:rsid w:val="008D52ED"/>
    <w:rsid w:val="008D544F"/>
    <w:rsid w:val="008D55B0"/>
    <w:rsid w:val="008D58F4"/>
    <w:rsid w:val="008D5B2A"/>
    <w:rsid w:val="008D5C67"/>
    <w:rsid w:val="008D5E2C"/>
    <w:rsid w:val="008D5F93"/>
    <w:rsid w:val="008D612F"/>
    <w:rsid w:val="008D62E0"/>
    <w:rsid w:val="008D6401"/>
    <w:rsid w:val="008D736F"/>
    <w:rsid w:val="008D7639"/>
    <w:rsid w:val="008D7729"/>
    <w:rsid w:val="008D7759"/>
    <w:rsid w:val="008D7F1D"/>
    <w:rsid w:val="008E040B"/>
    <w:rsid w:val="008E098C"/>
    <w:rsid w:val="008E0FE8"/>
    <w:rsid w:val="008E127C"/>
    <w:rsid w:val="008E1A75"/>
    <w:rsid w:val="008E1B30"/>
    <w:rsid w:val="008E1BA5"/>
    <w:rsid w:val="008E1D58"/>
    <w:rsid w:val="008E1F35"/>
    <w:rsid w:val="008E1F66"/>
    <w:rsid w:val="008E1FA6"/>
    <w:rsid w:val="008E2022"/>
    <w:rsid w:val="008E2378"/>
    <w:rsid w:val="008E24D2"/>
    <w:rsid w:val="008E26CC"/>
    <w:rsid w:val="008E293F"/>
    <w:rsid w:val="008E2A10"/>
    <w:rsid w:val="008E2A1C"/>
    <w:rsid w:val="008E2F3C"/>
    <w:rsid w:val="008E30A9"/>
    <w:rsid w:val="008E3350"/>
    <w:rsid w:val="008E33DC"/>
    <w:rsid w:val="008E3594"/>
    <w:rsid w:val="008E3B43"/>
    <w:rsid w:val="008E3BDA"/>
    <w:rsid w:val="008E3E25"/>
    <w:rsid w:val="008E468C"/>
    <w:rsid w:val="008E47FE"/>
    <w:rsid w:val="008E4CFC"/>
    <w:rsid w:val="008E5028"/>
    <w:rsid w:val="008E50AD"/>
    <w:rsid w:val="008E5177"/>
    <w:rsid w:val="008E5504"/>
    <w:rsid w:val="008E5670"/>
    <w:rsid w:val="008E56FE"/>
    <w:rsid w:val="008E58FF"/>
    <w:rsid w:val="008E59CD"/>
    <w:rsid w:val="008E5A28"/>
    <w:rsid w:val="008E5A58"/>
    <w:rsid w:val="008E6F83"/>
    <w:rsid w:val="008E746F"/>
    <w:rsid w:val="008E799D"/>
    <w:rsid w:val="008E7EFB"/>
    <w:rsid w:val="008E7FD0"/>
    <w:rsid w:val="008F04A9"/>
    <w:rsid w:val="008F05A7"/>
    <w:rsid w:val="008F05C1"/>
    <w:rsid w:val="008F0A52"/>
    <w:rsid w:val="008F0C73"/>
    <w:rsid w:val="008F0F52"/>
    <w:rsid w:val="008F16D0"/>
    <w:rsid w:val="008F16DA"/>
    <w:rsid w:val="008F17D4"/>
    <w:rsid w:val="008F19FB"/>
    <w:rsid w:val="008F1BA4"/>
    <w:rsid w:val="008F1F43"/>
    <w:rsid w:val="008F20BF"/>
    <w:rsid w:val="008F20D1"/>
    <w:rsid w:val="008F25A2"/>
    <w:rsid w:val="008F260B"/>
    <w:rsid w:val="008F2A67"/>
    <w:rsid w:val="008F2B6A"/>
    <w:rsid w:val="008F2DEB"/>
    <w:rsid w:val="008F2F9F"/>
    <w:rsid w:val="008F3614"/>
    <w:rsid w:val="008F36A1"/>
    <w:rsid w:val="008F3932"/>
    <w:rsid w:val="008F3F2A"/>
    <w:rsid w:val="008F417D"/>
    <w:rsid w:val="008F4708"/>
    <w:rsid w:val="008F479A"/>
    <w:rsid w:val="008F4878"/>
    <w:rsid w:val="008F4B89"/>
    <w:rsid w:val="008F4E66"/>
    <w:rsid w:val="008F4E94"/>
    <w:rsid w:val="008F51D0"/>
    <w:rsid w:val="008F58AF"/>
    <w:rsid w:val="008F5E9D"/>
    <w:rsid w:val="008F600C"/>
    <w:rsid w:val="008F6040"/>
    <w:rsid w:val="008F6148"/>
    <w:rsid w:val="008F62F4"/>
    <w:rsid w:val="008F6361"/>
    <w:rsid w:val="008F63F2"/>
    <w:rsid w:val="008F6795"/>
    <w:rsid w:val="008F6BAE"/>
    <w:rsid w:val="008F6FE1"/>
    <w:rsid w:val="008F6FE6"/>
    <w:rsid w:val="008F707E"/>
    <w:rsid w:val="008F7127"/>
    <w:rsid w:val="008F71B2"/>
    <w:rsid w:val="008F7ED9"/>
    <w:rsid w:val="009001C5"/>
    <w:rsid w:val="0090026D"/>
    <w:rsid w:val="00900700"/>
    <w:rsid w:val="00900773"/>
    <w:rsid w:val="00900A4B"/>
    <w:rsid w:val="00900C1D"/>
    <w:rsid w:val="009011F8"/>
    <w:rsid w:val="0090136B"/>
    <w:rsid w:val="0090136D"/>
    <w:rsid w:val="00901A9F"/>
    <w:rsid w:val="00901EFF"/>
    <w:rsid w:val="00901F6B"/>
    <w:rsid w:val="009026A1"/>
    <w:rsid w:val="00902763"/>
    <w:rsid w:val="00902C1F"/>
    <w:rsid w:val="00902C36"/>
    <w:rsid w:val="00902E8C"/>
    <w:rsid w:val="009030D5"/>
    <w:rsid w:val="009031CF"/>
    <w:rsid w:val="009035CC"/>
    <w:rsid w:val="00903634"/>
    <w:rsid w:val="00903844"/>
    <w:rsid w:val="00903907"/>
    <w:rsid w:val="00903FEF"/>
    <w:rsid w:val="00904090"/>
    <w:rsid w:val="009048FE"/>
    <w:rsid w:val="00904B5D"/>
    <w:rsid w:val="00904CB0"/>
    <w:rsid w:val="00904CDD"/>
    <w:rsid w:val="00904D3F"/>
    <w:rsid w:val="009053AE"/>
    <w:rsid w:val="00905AA4"/>
    <w:rsid w:val="00905C19"/>
    <w:rsid w:val="0090643B"/>
    <w:rsid w:val="009064B7"/>
    <w:rsid w:val="009065AC"/>
    <w:rsid w:val="00906B0F"/>
    <w:rsid w:val="00906B98"/>
    <w:rsid w:val="00906C35"/>
    <w:rsid w:val="00906F69"/>
    <w:rsid w:val="009072D7"/>
    <w:rsid w:val="00910199"/>
    <w:rsid w:val="009106E1"/>
    <w:rsid w:val="00910874"/>
    <w:rsid w:val="009109FD"/>
    <w:rsid w:val="00910F4E"/>
    <w:rsid w:val="009110A2"/>
    <w:rsid w:val="00911356"/>
    <w:rsid w:val="0091146D"/>
    <w:rsid w:val="009119AC"/>
    <w:rsid w:val="00911AA5"/>
    <w:rsid w:val="00911AE3"/>
    <w:rsid w:val="00911B56"/>
    <w:rsid w:val="00911D28"/>
    <w:rsid w:val="00911D8F"/>
    <w:rsid w:val="00911F8B"/>
    <w:rsid w:val="009122DF"/>
    <w:rsid w:val="00912465"/>
    <w:rsid w:val="00912A3B"/>
    <w:rsid w:val="00912C3F"/>
    <w:rsid w:val="00912E7F"/>
    <w:rsid w:val="00912F2A"/>
    <w:rsid w:val="00913238"/>
    <w:rsid w:val="00913AB0"/>
    <w:rsid w:val="00913F68"/>
    <w:rsid w:val="00913F91"/>
    <w:rsid w:val="00914308"/>
    <w:rsid w:val="00914397"/>
    <w:rsid w:val="00914A8B"/>
    <w:rsid w:val="00914FFB"/>
    <w:rsid w:val="009150D3"/>
    <w:rsid w:val="0091510B"/>
    <w:rsid w:val="009156E5"/>
    <w:rsid w:val="00915834"/>
    <w:rsid w:val="0091623F"/>
    <w:rsid w:val="00916A73"/>
    <w:rsid w:val="00916C65"/>
    <w:rsid w:val="00916C9B"/>
    <w:rsid w:val="00916E60"/>
    <w:rsid w:val="0091726E"/>
    <w:rsid w:val="009172C3"/>
    <w:rsid w:val="00917329"/>
    <w:rsid w:val="009174BF"/>
    <w:rsid w:val="00917BA4"/>
    <w:rsid w:val="00917BB1"/>
    <w:rsid w:val="00917D99"/>
    <w:rsid w:val="009201D3"/>
    <w:rsid w:val="00920801"/>
    <w:rsid w:val="00920D9F"/>
    <w:rsid w:val="009217BF"/>
    <w:rsid w:val="009218FE"/>
    <w:rsid w:val="00921905"/>
    <w:rsid w:val="0092195D"/>
    <w:rsid w:val="00922075"/>
    <w:rsid w:val="00923048"/>
    <w:rsid w:val="009237A6"/>
    <w:rsid w:val="0092385C"/>
    <w:rsid w:val="00923FF1"/>
    <w:rsid w:val="00924121"/>
    <w:rsid w:val="00924406"/>
    <w:rsid w:val="00924407"/>
    <w:rsid w:val="00924541"/>
    <w:rsid w:val="00924606"/>
    <w:rsid w:val="00924924"/>
    <w:rsid w:val="00924E52"/>
    <w:rsid w:val="00924EDF"/>
    <w:rsid w:val="00925756"/>
    <w:rsid w:val="00925CB4"/>
    <w:rsid w:val="00925F5D"/>
    <w:rsid w:val="0092636B"/>
    <w:rsid w:val="00926883"/>
    <w:rsid w:val="00926B31"/>
    <w:rsid w:val="00926C45"/>
    <w:rsid w:val="00926D0B"/>
    <w:rsid w:val="00926E51"/>
    <w:rsid w:val="0092751D"/>
    <w:rsid w:val="00927727"/>
    <w:rsid w:val="00930179"/>
    <w:rsid w:val="009307E3"/>
    <w:rsid w:val="00930855"/>
    <w:rsid w:val="00930A6A"/>
    <w:rsid w:val="00930B56"/>
    <w:rsid w:val="00930B86"/>
    <w:rsid w:val="00930DA1"/>
    <w:rsid w:val="00930F12"/>
    <w:rsid w:val="009310BD"/>
    <w:rsid w:val="00931B38"/>
    <w:rsid w:val="009320E8"/>
    <w:rsid w:val="00932276"/>
    <w:rsid w:val="00932638"/>
    <w:rsid w:val="009326D9"/>
    <w:rsid w:val="00932840"/>
    <w:rsid w:val="00932CEB"/>
    <w:rsid w:val="00932EC5"/>
    <w:rsid w:val="00932F2F"/>
    <w:rsid w:val="0093325E"/>
    <w:rsid w:val="00933512"/>
    <w:rsid w:val="009335AC"/>
    <w:rsid w:val="00933DC1"/>
    <w:rsid w:val="009342E2"/>
    <w:rsid w:val="00934364"/>
    <w:rsid w:val="00934641"/>
    <w:rsid w:val="00934AA2"/>
    <w:rsid w:val="00934B29"/>
    <w:rsid w:val="00934BC3"/>
    <w:rsid w:val="00934D8D"/>
    <w:rsid w:val="00934EDA"/>
    <w:rsid w:val="0093534C"/>
    <w:rsid w:val="0093554A"/>
    <w:rsid w:val="00936005"/>
    <w:rsid w:val="00936047"/>
    <w:rsid w:val="00936279"/>
    <w:rsid w:val="00936294"/>
    <w:rsid w:val="0093670A"/>
    <w:rsid w:val="00936BC2"/>
    <w:rsid w:val="00936F81"/>
    <w:rsid w:val="00937179"/>
    <w:rsid w:val="009373AF"/>
    <w:rsid w:val="00937904"/>
    <w:rsid w:val="00937C10"/>
    <w:rsid w:val="00937D33"/>
    <w:rsid w:val="00937E28"/>
    <w:rsid w:val="00940144"/>
    <w:rsid w:val="009404A1"/>
    <w:rsid w:val="0094070A"/>
    <w:rsid w:val="0094085A"/>
    <w:rsid w:val="0094090D"/>
    <w:rsid w:val="009410C7"/>
    <w:rsid w:val="00941133"/>
    <w:rsid w:val="0094194C"/>
    <w:rsid w:val="00941A2F"/>
    <w:rsid w:val="00941CC9"/>
    <w:rsid w:val="0094220E"/>
    <w:rsid w:val="009423D2"/>
    <w:rsid w:val="0094297B"/>
    <w:rsid w:val="00942EA2"/>
    <w:rsid w:val="00943025"/>
    <w:rsid w:val="009434C8"/>
    <w:rsid w:val="00943982"/>
    <w:rsid w:val="00943988"/>
    <w:rsid w:val="009439D7"/>
    <w:rsid w:val="00943EE2"/>
    <w:rsid w:val="00944114"/>
    <w:rsid w:val="00944802"/>
    <w:rsid w:val="0094499F"/>
    <w:rsid w:val="00944FAE"/>
    <w:rsid w:val="00945263"/>
    <w:rsid w:val="0094528F"/>
    <w:rsid w:val="00945290"/>
    <w:rsid w:val="0094542C"/>
    <w:rsid w:val="009454FB"/>
    <w:rsid w:val="00945543"/>
    <w:rsid w:val="009459A2"/>
    <w:rsid w:val="00945AE1"/>
    <w:rsid w:val="00945CAA"/>
    <w:rsid w:val="00945D1D"/>
    <w:rsid w:val="00945E02"/>
    <w:rsid w:val="0094631E"/>
    <w:rsid w:val="009466CF"/>
    <w:rsid w:val="00946C8F"/>
    <w:rsid w:val="009473C8"/>
    <w:rsid w:val="00947462"/>
    <w:rsid w:val="00947939"/>
    <w:rsid w:val="0094796C"/>
    <w:rsid w:val="00947A9D"/>
    <w:rsid w:val="00947F9D"/>
    <w:rsid w:val="009500E2"/>
    <w:rsid w:val="00950963"/>
    <w:rsid w:val="00950E51"/>
    <w:rsid w:val="00951129"/>
    <w:rsid w:val="009512BF"/>
    <w:rsid w:val="009513BB"/>
    <w:rsid w:val="0095155A"/>
    <w:rsid w:val="009516B8"/>
    <w:rsid w:val="00951827"/>
    <w:rsid w:val="0095191C"/>
    <w:rsid w:val="00951EF6"/>
    <w:rsid w:val="009523A6"/>
    <w:rsid w:val="0095298E"/>
    <w:rsid w:val="009530EE"/>
    <w:rsid w:val="0095340E"/>
    <w:rsid w:val="009536AC"/>
    <w:rsid w:val="00953C3E"/>
    <w:rsid w:val="0095431B"/>
    <w:rsid w:val="00954D4B"/>
    <w:rsid w:val="00954F18"/>
    <w:rsid w:val="00955058"/>
    <w:rsid w:val="0095506F"/>
    <w:rsid w:val="0095517F"/>
    <w:rsid w:val="00955910"/>
    <w:rsid w:val="00955A5B"/>
    <w:rsid w:val="00955D35"/>
    <w:rsid w:val="00955EBB"/>
    <w:rsid w:val="00955F5F"/>
    <w:rsid w:val="00955F99"/>
    <w:rsid w:val="00955FCB"/>
    <w:rsid w:val="009561FA"/>
    <w:rsid w:val="00956DB0"/>
    <w:rsid w:val="009572C6"/>
    <w:rsid w:val="009573B0"/>
    <w:rsid w:val="009578FE"/>
    <w:rsid w:val="00957965"/>
    <w:rsid w:val="009579B5"/>
    <w:rsid w:val="009579BF"/>
    <w:rsid w:val="00957B20"/>
    <w:rsid w:val="00957C5E"/>
    <w:rsid w:val="0096021F"/>
    <w:rsid w:val="00960228"/>
    <w:rsid w:val="00960420"/>
    <w:rsid w:val="009604D2"/>
    <w:rsid w:val="00960795"/>
    <w:rsid w:val="00960ADE"/>
    <w:rsid w:val="00961078"/>
    <w:rsid w:val="009610D7"/>
    <w:rsid w:val="0096173D"/>
    <w:rsid w:val="00961F15"/>
    <w:rsid w:val="0096233D"/>
    <w:rsid w:val="0096251E"/>
    <w:rsid w:val="0096252D"/>
    <w:rsid w:val="00962606"/>
    <w:rsid w:val="00962782"/>
    <w:rsid w:val="00962B25"/>
    <w:rsid w:val="009630EE"/>
    <w:rsid w:val="00963554"/>
    <w:rsid w:val="00963A77"/>
    <w:rsid w:val="00963CDF"/>
    <w:rsid w:val="00963CE5"/>
    <w:rsid w:val="00963E52"/>
    <w:rsid w:val="00964279"/>
    <w:rsid w:val="00964329"/>
    <w:rsid w:val="00964696"/>
    <w:rsid w:val="00964DDD"/>
    <w:rsid w:val="009650ED"/>
    <w:rsid w:val="009659F7"/>
    <w:rsid w:val="00965E62"/>
    <w:rsid w:val="00966242"/>
    <w:rsid w:val="00966A5F"/>
    <w:rsid w:val="00966BFD"/>
    <w:rsid w:val="00966E78"/>
    <w:rsid w:val="0096700E"/>
    <w:rsid w:val="0096726D"/>
    <w:rsid w:val="00967904"/>
    <w:rsid w:val="00970404"/>
    <w:rsid w:val="00970461"/>
    <w:rsid w:val="009704B2"/>
    <w:rsid w:val="0097093C"/>
    <w:rsid w:val="00970966"/>
    <w:rsid w:val="00970B7E"/>
    <w:rsid w:val="00970B9A"/>
    <w:rsid w:val="00970DDC"/>
    <w:rsid w:val="00970E75"/>
    <w:rsid w:val="009711C4"/>
    <w:rsid w:val="00971235"/>
    <w:rsid w:val="00971284"/>
    <w:rsid w:val="00971360"/>
    <w:rsid w:val="0097169E"/>
    <w:rsid w:val="009717D9"/>
    <w:rsid w:val="00971B69"/>
    <w:rsid w:val="00971BAB"/>
    <w:rsid w:val="009720B2"/>
    <w:rsid w:val="009725E3"/>
    <w:rsid w:val="0097265E"/>
    <w:rsid w:val="00972A26"/>
    <w:rsid w:val="00972BAE"/>
    <w:rsid w:val="00972D93"/>
    <w:rsid w:val="00973012"/>
    <w:rsid w:val="00973026"/>
    <w:rsid w:val="00973175"/>
    <w:rsid w:val="009732F9"/>
    <w:rsid w:val="0097353B"/>
    <w:rsid w:val="0097399E"/>
    <w:rsid w:val="0097404E"/>
    <w:rsid w:val="00974563"/>
    <w:rsid w:val="0097461F"/>
    <w:rsid w:val="009747C6"/>
    <w:rsid w:val="00974BA9"/>
    <w:rsid w:val="00974C98"/>
    <w:rsid w:val="009750B7"/>
    <w:rsid w:val="00975366"/>
    <w:rsid w:val="009756C7"/>
    <w:rsid w:val="0097577B"/>
    <w:rsid w:val="00975970"/>
    <w:rsid w:val="00975B28"/>
    <w:rsid w:val="00975D21"/>
    <w:rsid w:val="00976117"/>
    <w:rsid w:val="00976429"/>
    <w:rsid w:val="00977015"/>
    <w:rsid w:val="00977264"/>
    <w:rsid w:val="009776A1"/>
    <w:rsid w:val="00977B35"/>
    <w:rsid w:val="0098024A"/>
    <w:rsid w:val="00980531"/>
    <w:rsid w:val="00980580"/>
    <w:rsid w:val="0098083E"/>
    <w:rsid w:val="00980A10"/>
    <w:rsid w:val="00980B95"/>
    <w:rsid w:val="00980BB0"/>
    <w:rsid w:val="00980E96"/>
    <w:rsid w:val="00980EE1"/>
    <w:rsid w:val="00980FB9"/>
    <w:rsid w:val="0098108B"/>
    <w:rsid w:val="00981339"/>
    <w:rsid w:val="009814F2"/>
    <w:rsid w:val="00981573"/>
    <w:rsid w:val="00981891"/>
    <w:rsid w:val="009819B4"/>
    <w:rsid w:val="00981CC0"/>
    <w:rsid w:val="00982D3F"/>
    <w:rsid w:val="00982DAA"/>
    <w:rsid w:val="00982E97"/>
    <w:rsid w:val="00982F3A"/>
    <w:rsid w:val="0098321C"/>
    <w:rsid w:val="00983750"/>
    <w:rsid w:val="00983C3D"/>
    <w:rsid w:val="00984137"/>
    <w:rsid w:val="00984761"/>
    <w:rsid w:val="00984E7C"/>
    <w:rsid w:val="00985B26"/>
    <w:rsid w:val="00985CFB"/>
    <w:rsid w:val="0098610D"/>
    <w:rsid w:val="00986613"/>
    <w:rsid w:val="00986CD2"/>
    <w:rsid w:val="00987602"/>
    <w:rsid w:val="00987A0D"/>
    <w:rsid w:val="00987B6B"/>
    <w:rsid w:val="00987D67"/>
    <w:rsid w:val="00987E3D"/>
    <w:rsid w:val="00990398"/>
    <w:rsid w:val="00990ACB"/>
    <w:rsid w:val="00990B89"/>
    <w:rsid w:val="00990B8C"/>
    <w:rsid w:val="00990CDA"/>
    <w:rsid w:val="00990D29"/>
    <w:rsid w:val="00990D47"/>
    <w:rsid w:val="00990F55"/>
    <w:rsid w:val="0099102B"/>
    <w:rsid w:val="00991066"/>
    <w:rsid w:val="0099188E"/>
    <w:rsid w:val="00991ECD"/>
    <w:rsid w:val="0099205D"/>
    <w:rsid w:val="0099219E"/>
    <w:rsid w:val="009922AB"/>
    <w:rsid w:val="009928FF"/>
    <w:rsid w:val="00992A49"/>
    <w:rsid w:val="00992C0D"/>
    <w:rsid w:val="00992CD1"/>
    <w:rsid w:val="009933C6"/>
    <w:rsid w:val="00993C92"/>
    <w:rsid w:val="00993FA5"/>
    <w:rsid w:val="00994228"/>
    <w:rsid w:val="0099426E"/>
    <w:rsid w:val="009942B7"/>
    <w:rsid w:val="0099468E"/>
    <w:rsid w:val="00994BCB"/>
    <w:rsid w:val="009950CF"/>
    <w:rsid w:val="00995182"/>
    <w:rsid w:val="0099524A"/>
    <w:rsid w:val="0099526C"/>
    <w:rsid w:val="009953FE"/>
    <w:rsid w:val="0099582C"/>
    <w:rsid w:val="00995A49"/>
    <w:rsid w:val="00995A76"/>
    <w:rsid w:val="009964CC"/>
    <w:rsid w:val="009965FF"/>
    <w:rsid w:val="00996FFF"/>
    <w:rsid w:val="009976A3"/>
    <w:rsid w:val="00997AD9"/>
    <w:rsid w:val="00997BCF"/>
    <w:rsid w:val="009A01F6"/>
    <w:rsid w:val="009A05C7"/>
    <w:rsid w:val="009A0867"/>
    <w:rsid w:val="009A0BAD"/>
    <w:rsid w:val="009A0D2C"/>
    <w:rsid w:val="009A1407"/>
    <w:rsid w:val="009A1715"/>
    <w:rsid w:val="009A1746"/>
    <w:rsid w:val="009A1BB5"/>
    <w:rsid w:val="009A20A6"/>
    <w:rsid w:val="009A2309"/>
    <w:rsid w:val="009A240D"/>
    <w:rsid w:val="009A27E5"/>
    <w:rsid w:val="009A2989"/>
    <w:rsid w:val="009A2A4D"/>
    <w:rsid w:val="009A2D86"/>
    <w:rsid w:val="009A3031"/>
    <w:rsid w:val="009A38AC"/>
    <w:rsid w:val="009A38D2"/>
    <w:rsid w:val="009A3C6F"/>
    <w:rsid w:val="009A3DEE"/>
    <w:rsid w:val="009A412D"/>
    <w:rsid w:val="009A4C69"/>
    <w:rsid w:val="009A4ECD"/>
    <w:rsid w:val="009A4F2C"/>
    <w:rsid w:val="009A5097"/>
    <w:rsid w:val="009A5EB4"/>
    <w:rsid w:val="009A5F67"/>
    <w:rsid w:val="009A64BC"/>
    <w:rsid w:val="009A6F50"/>
    <w:rsid w:val="009B0007"/>
    <w:rsid w:val="009B0595"/>
    <w:rsid w:val="009B0597"/>
    <w:rsid w:val="009B0648"/>
    <w:rsid w:val="009B06BF"/>
    <w:rsid w:val="009B0D2C"/>
    <w:rsid w:val="009B0F97"/>
    <w:rsid w:val="009B15F5"/>
    <w:rsid w:val="009B1630"/>
    <w:rsid w:val="009B1685"/>
    <w:rsid w:val="009B16EE"/>
    <w:rsid w:val="009B1712"/>
    <w:rsid w:val="009B19F2"/>
    <w:rsid w:val="009B1E1D"/>
    <w:rsid w:val="009B24B8"/>
    <w:rsid w:val="009B2B2D"/>
    <w:rsid w:val="009B2F71"/>
    <w:rsid w:val="009B2FE4"/>
    <w:rsid w:val="009B3470"/>
    <w:rsid w:val="009B34A6"/>
    <w:rsid w:val="009B3764"/>
    <w:rsid w:val="009B4097"/>
    <w:rsid w:val="009B498C"/>
    <w:rsid w:val="009B5961"/>
    <w:rsid w:val="009B63C6"/>
    <w:rsid w:val="009B63DC"/>
    <w:rsid w:val="009B68A2"/>
    <w:rsid w:val="009B6987"/>
    <w:rsid w:val="009B6EAF"/>
    <w:rsid w:val="009B6FDE"/>
    <w:rsid w:val="009B74B4"/>
    <w:rsid w:val="009B7DCA"/>
    <w:rsid w:val="009C013F"/>
    <w:rsid w:val="009C04EC"/>
    <w:rsid w:val="009C0849"/>
    <w:rsid w:val="009C087F"/>
    <w:rsid w:val="009C0BD3"/>
    <w:rsid w:val="009C0DEF"/>
    <w:rsid w:val="009C1709"/>
    <w:rsid w:val="009C1E67"/>
    <w:rsid w:val="009C1F81"/>
    <w:rsid w:val="009C2A82"/>
    <w:rsid w:val="009C31D6"/>
    <w:rsid w:val="009C4383"/>
    <w:rsid w:val="009C4666"/>
    <w:rsid w:val="009C4722"/>
    <w:rsid w:val="009C4A1C"/>
    <w:rsid w:val="009C4C03"/>
    <w:rsid w:val="009C512D"/>
    <w:rsid w:val="009C5195"/>
    <w:rsid w:val="009C56B8"/>
    <w:rsid w:val="009C5A7D"/>
    <w:rsid w:val="009C5FF9"/>
    <w:rsid w:val="009C6291"/>
    <w:rsid w:val="009C65B5"/>
    <w:rsid w:val="009C66FA"/>
    <w:rsid w:val="009C673D"/>
    <w:rsid w:val="009C6BCE"/>
    <w:rsid w:val="009C7604"/>
    <w:rsid w:val="009C7913"/>
    <w:rsid w:val="009C7B85"/>
    <w:rsid w:val="009C7EBD"/>
    <w:rsid w:val="009D0298"/>
    <w:rsid w:val="009D07D1"/>
    <w:rsid w:val="009D0ABD"/>
    <w:rsid w:val="009D138D"/>
    <w:rsid w:val="009D1B95"/>
    <w:rsid w:val="009D1E24"/>
    <w:rsid w:val="009D23FE"/>
    <w:rsid w:val="009D2BB2"/>
    <w:rsid w:val="009D2CFB"/>
    <w:rsid w:val="009D2D4E"/>
    <w:rsid w:val="009D2E6F"/>
    <w:rsid w:val="009D3696"/>
    <w:rsid w:val="009D3898"/>
    <w:rsid w:val="009D3B0A"/>
    <w:rsid w:val="009D3F77"/>
    <w:rsid w:val="009D405A"/>
    <w:rsid w:val="009D407D"/>
    <w:rsid w:val="009D436D"/>
    <w:rsid w:val="009D4616"/>
    <w:rsid w:val="009D4987"/>
    <w:rsid w:val="009D4AF0"/>
    <w:rsid w:val="009D512A"/>
    <w:rsid w:val="009D5175"/>
    <w:rsid w:val="009D5259"/>
    <w:rsid w:val="009D5736"/>
    <w:rsid w:val="009D5BBF"/>
    <w:rsid w:val="009D62B3"/>
    <w:rsid w:val="009D6633"/>
    <w:rsid w:val="009D67F4"/>
    <w:rsid w:val="009D68C1"/>
    <w:rsid w:val="009D6DCE"/>
    <w:rsid w:val="009D6EA9"/>
    <w:rsid w:val="009D70A1"/>
    <w:rsid w:val="009D70E9"/>
    <w:rsid w:val="009D7253"/>
    <w:rsid w:val="009D73A5"/>
    <w:rsid w:val="009D74B8"/>
    <w:rsid w:val="009D7645"/>
    <w:rsid w:val="009D789E"/>
    <w:rsid w:val="009D78D6"/>
    <w:rsid w:val="009D79D2"/>
    <w:rsid w:val="009D7BC7"/>
    <w:rsid w:val="009D7BD9"/>
    <w:rsid w:val="009D7DEE"/>
    <w:rsid w:val="009E0AE2"/>
    <w:rsid w:val="009E0C46"/>
    <w:rsid w:val="009E1352"/>
    <w:rsid w:val="009E1667"/>
    <w:rsid w:val="009E191B"/>
    <w:rsid w:val="009E1991"/>
    <w:rsid w:val="009E1F4B"/>
    <w:rsid w:val="009E2329"/>
    <w:rsid w:val="009E24D1"/>
    <w:rsid w:val="009E29E4"/>
    <w:rsid w:val="009E2B05"/>
    <w:rsid w:val="009E2C1B"/>
    <w:rsid w:val="009E302A"/>
    <w:rsid w:val="009E3122"/>
    <w:rsid w:val="009E3F51"/>
    <w:rsid w:val="009E4AB6"/>
    <w:rsid w:val="009E4C55"/>
    <w:rsid w:val="009E53FF"/>
    <w:rsid w:val="009E5402"/>
    <w:rsid w:val="009E5496"/>
    <w:rsid w:val="009E56DC"/>
    <w:rsid w:val="009E572D"/>
    <w:rsid w:val="009E61E8"/>
    <w:rsid w:val="009E62B3"/>
    <w:rsid w:val="009E665D"/>
    <w:rsid w:val="009E68BE"/>
    <w:rsid w:val="009E6E93"/>
    <w:rsid w:val="009E6FD5"/>
    <w:rsid w:val="009E7BB4"/>
    <w:rsid w:val="009F02B5"/>
    <w:rsid w:val="009F0837"/>
    <w:rsid w:val="009F0849"/>
    <w:rsid w:val="009F1847"/>
    <w:rsid w:val="009F18A5"/>
    <w:rsid w:val="009F2909"/>
    <w:rsid w:val="009F2A0F"/>
    <w:rsid w:val="009F2AE1"/>
    <w:rsid w:val="009F34BF"/>
    <w:rsid w:val="009F3748"/>
    <w:rsid w:val="009F37C8"/>
    <w:rsid w:val="009F3ED4"/>
    <w:rsid w:val="009F4095"/>
    <w:rsid w:val="009F40C5"/>
    <w:rsid w:val="009F434F"/>
    <w:rsid w:val="009F43A5"/>
    <w:rsid w:val="009F48D6"/>
    <w:rsid w:val="009F4904"/>
    <w:rsid w:val="009F4C25"/>
    <w:rsid w:val="009F4C61"/>
    <w:rsid w:val="009F4C98"/>
    <w:rsid w:val="009F4E61"/>
    <w:rsid w:val="009F5132"/>
    <w:rsid w:val="009F5386"/>
    <w:rsid w:val="009F5D03"/>
    <w:rsid w:val="009F62C7"/>
    <w:rsid w:val="009F66C9"/>
    <w:rsid w:val="009F7062"/>
    <w:rsid w:val="009F71C9"/>
    <w:rsid w:val="009F7E38"/>
    <w:rsid w:val="009F7E52"/>
    <w:rsid w:val="009F7F36"/>
    <w:rsid w:val="009F7FD8"/>
    <w:rsid w:val="00A00206"/>
    <w:rsid w:val="00A009AD"/>
    <w:rsid w:val="00A00AB7"/>
    <w:rsid w:val="00A01007"/>
    <w:rsid w:val="00A01176"/>
    <w:rsid w:val="00A01396"/>
    <w:rsid w:val="00A014E5"/>
    <w:rsid w:val="00A01992"/>
    <w:rsid w:val="00A01B5F"/>
    <w:rsid w:val="00A01C42"/>
    <w:rsid w:val="00A01E94"/>
    <w:rsid w:val="00A01EF4"/>
    <w:rsid w:val="00A01F69"/>
    <w:rsid w:val="00A01FD2"/>
    <w:rsid w:val="00A0269A"/>
    <w:rsid w:val="00A02CB8"/>
    <w:rsid w:val="00A02CD7"/>
    <w:rsid w:val="00A02CE7"/>
    <w:rsid w:val="00A03694"/>
    <w:rsid w:val="00A04021"/>
    <w:rsid w:val="00A049F9"/>
    <w:rsid w:val="00A04CBB"/>
    <w:rsid w:val="00A05053"/>
    <w:rsid w:val="00A055C9"/>
    <w:rsid w:val="00A05A88"/>
    <w:rsid w:val="00A05B9B"/>
    <w:rsid w:val="00A05E73"/>
    <w:rsid w:val="00A05F5F"/>
    <w:rsid w:val="00A065FF"/>
    <w:rsid w:val="00A06C51"/>
    <w:rsid w:val="00A06FA8"/>
    <w:rsid w:val="00A0759C"/>
    <w:rsid w:val="00A07CAC"/>
    <w:rsid w:val="00A07CF5"/>
    <w:rsid w:val="00A07F72"/>
    <w:rsid w:val="00A1011E"/>
    <w:rsid w:val="00A107D5"/>
    <w:rsid w:val="00A108DB"/>
    <w:rsid w:val="00A10A37"/>
    <w:rsid w:val="00A10C19"/>
    <w:rsid w:val="00A1130A"/>
    <w:rsid w:val="00A113B3"/>
    <w:rsid w:val="00A11A91"/>
    <w:rsid w:val="00A11E4A"/>
    <w:rsid w:val="00A120CA"/>
    <w:rsid w:val="00A12415"/>
    <w:rsid w:val="00A1243F"/>
    <w:rsid w:val="00A124B2"/>
    <w:rsid w:val="00A127C1"/>
    <w:rsid w:val="00A129D9"/>
    <w:rsid w:val="00A12C2A"/>
    <w:rsid w:val="00A12DA4"/>
    <w:rsid w:val="00A12F32"/>
    <w:rsid w:val="00A12FA9"/>
    <w:rsid w:val="00A133B5"/>
    <w:rsid w:val="00A1349B"/>
    <w:rsid w:val="00A135B5"/>
    <w:rsid w:val="00A13A48"/>
    <w:rsid w:val="00A14730"/>
    <w:rsid w:val="00A14890"/>
    <w:rsid w:val="00A14C7D"/>
    <w:rsid w:val="00A14EA7"/>
    <w:rsid w:val="00A15AB9"/>
    <w:rsid w:val="00A1620D"/>
    <w:rsid w:val="00A16529"/>
    <w:rsid w:val="00A16600"/>
    <w:rsid w:val="00A16811"/>
    <w:rsid w:val="00A16A5C"/>
    <w:rsid w:val="00A16B7C"/>
    <w:rsid w:val="00A17335"/>
    <w:rsid w:val="00A17463"/>
    <w:rsid w:val="00A177F3"/>
    <w:rsid w:val="00A17CBB"/>
    <w:rsid w:val="00A20757"/>
    <w:rsid w:val="00A20EF5"/>
    <w:rsid w:val="00A21CBA"/>
    <w:rsid w:val="00A21CC9"/>
    <w:rsid w:val="00A21CDE"/>
    <w:rsid w:val="00A21D97"/>
    <w:rsid w:val="00A22089"/>
    <w:rsid w:val="00A221DA"/>
    <w:rsid w:val="00A22260"/>
    <w:rsid w:val="00A22BC0"/>
    <w:rsid w:val="00A22D04"/>
    <w:rsid w:val="00A22EFF"/>
    <w:rsid w:val="00A233C3"/>
    <w:rsid w:val="00A23506"/>
    <w:rsid w:val="00A23642"/>
    <w:rsid w:val="00A2385F"/>
    <w:rsid w:val="00A24140"/>
    <w:rsid w:val="00A24583"/>
    <w:rsid w:val="00A24F61"/>
    <w:rsid w:val="00A25460"/>
    <w:rsid w:val="00A25A64"/>
    <w:rsid w:val="00A25CE4"/>
    <w:rsid w:val="00A25F26"/>
    <w:rsid w:val="00A260EE"/>
    <w:rsid w:val="00A2610D"/>
    <w:rsid w:val="00A262CD"/>
    <w:rsid w:val="00A26649"/>
    <w:rsid w:val="00A266A4"/>
    <w:rsid w:val="00A268DB"/>
    <w:rsid w:val="00A26EDF"/>
    <w:rsid w:val="00A26FBC"/>
    <w:rsid w:val="00A27807"/>
    <w:rsid w:val="00A27A35"/>
    <w:rsid w:val="00A27B78"/>
    <w:rsid w:val="00A27D08"/>
    <w:rsid w:val="00A30032"/>
    <w:rsid w:val="00A30A65"/>
    <w:rsid w:val="00A30AE9"/>
    <w:rsid w:val="00A30D03"/>
    <w:rsid w:val="00A31506"/>
    <w:rsid w:val="00A319C7"/>
    <w:rsid w:val="00A32359"/>
    <w:rsid w:val="00A32658"/>
    <w:rsid w:val="00A32672"/>
    <w:rsid w:val="00A32685"/>
    <w:rsid w:val="00A32747"/>
    <w:rsid w:val="00A32B6E"/>
    <w:rsid w:val="00A32EC2"/>
    <w:rsid w:val="00A33643"/>
    <w:rsid w:val="00A3364C"/>
    <w:rsid w:val="00A336B5"/>
    <w:rsid w:val="00A339B4"/>
    <w:rsid w:val="00A33AC4"/>
    <w:rsid w:val="00A33C74"/>
    <w:rsid w:val="00A33D4E"/>
    <w:rsid w:val="00A33E9D"/>
    <w:rsid w:val="00A33EFC"/>
    <w:rsid w:val="00A33FC2"/>
    <w:rsid w:val="00A3419F"/>
    <w:rsid w:val="00A341B2"/>
    <w:rsid w:val="00A34398"/>
    <w:rsid w:val="00A348F5"/>
    <w:rsid w:val="00A34B74"/>
    <w:rsid w:val="00A35536"/>
    <w:rsid w:val="00A35745"/>
    <w:rsid w:val="00A359BD"/>
    <w:rsid w:val="00A35B31"/>
    <w:rsid w:val="00A35D62"/>
    <w:rsid w:val="00A36335"/>
    <w:rsid w:val="00A364BF"/>
    <w:rsid w:val="00A36BCA"/>
    <w:rsid w:val="00A36DF7"/>
    <w:rsid w:val="00A37084"/>
    <w:rsid w:val="00A372AA"/>
    <w:rsid w:val="00A373CF"/>
    <w:rsid w:val="00A377BA"/>
    <w:rsid w:val="00A37E14"/>
    <w:rsid w:val="00A40420"/>
    <w:rsid w:val="00A40555"/>
    <w:rsid w:val="00A408B0"/>
    <w:rsid w:val="00A40933"/>
    <w:rsid w:val="00A40C88"/>
    <w:rsid w:val="00A40F04"/>
    <w:rsid w:val="00A41A1F"/>
    <w:rsid w:val="00A41D21"/>
    <w:rsid w:val="00A42267"/>
    <w:rsid w:val="00A4253D"/>
    <w:rsid w:val="00A426B9"/>
    <w:rsid w:val="00A42EC8"/>
    <w:rsid w:val="00A43690"/>
    <w:rsid w:val="00A4379A"/>
    <w:rsid w:val="00A4381A"/>
    <w:rsid w:val="00A44441"/>
    <w:rsid w:val="00A44449"/>
    <w:rsid w:val="00A4454E"/>
    <w:rsid w:val="00A449B8"/>
    <w:rsid w:val="00A45658"/>
    <w:rsid w:val="00A45BD5"/>
    <w:rsid w:val="00A460B5"/>
    <w:rsid w:val="00A46215"/>
    <w:rsid w:val="00A46245"/>
    <w:rsid w:val="00A46260"/>
    <w:rsid w:val="00A462B1"/>
    <w:rsid w:val="00A463A3"/>
    <w:rsid w:val="00A465F0"/>
    <w:rsid w:val="00A4663C"/>
    <w:rsid w:val="00A467D3"/>
    <w:rsid w:val="00A469E8"/>
    <w:rsid w:val="00A46F88"/>
    <w:rsid w:val="00A46FE3"/>
    <w:rsid w:val="00A46FFB"/>
    <w:rsid w:val="00A470D4"/>
    <w:rsid w:val="00A4719D"/>
    <w:rsid w:val="00A47AAB"/>
    <w:rsid w:val="00A47ACF"/>
    <w:rsid w:val="00A47B27"/>
    <w:rsid w:val="00A50009"/>
    <w:rsid w:val="00A5003E"/>
    <w:rsid w:val="00A50975"/>
    <w:rsid w:val="00A50AB3"/>
    <w:rsid w:val="00A519D1"/>
    <w:rsid w:val="00A51F77"/>
    <w:rsid w:val="00A521D4"/>
    <w:rsid w:val="00A5237D"/>
    <w:rsid w:val="00A52E2F"/>
    <w:rsid w:val="00A531C4"/>
    <w:rsid w:val="00A534B5"/>
    <w:rsid w:val="00A536DC"/>
    <w:rsid w:val="00A53B2A"/>
    <w:rsid w:val="00A53B5E"/>
    <w:rsid w:val="00A53DD5"/>
    <w:rsid w:val="00A53E9F"/>
    <w:rsid w:val="00A544C0"/>
    <w:rsid w:val="00A5497B"/>
    <w:rsid w:val="00A54A36"/>
    <w:rsid w:val="00A54B2F"/>
    <w:rsid w:val="00A54B82"/>
    <w:rsid w:val="00A54EEF"/>
    <w:rsid w:val="00A55401"/>
    <w:rsid w:val="00A554C4"/>
    <w:rsid w:val="00A5571D"/>
    <w:rsid w:val="00A55D11"/>
    <w:rsid w:val="00A5601E"/>
    <w:rsid w:val="00A562EF"/>
    <w:rsid w:val="00A56371"/>
    <w:rsid w:val="00A5680A"/>
    <w:rsid w:val="00A5694A"/>
    <w:rsid w:val="00A569DB"/>
    <w:rsid w:val="00A56C52"/>
    <w:rsid w:val="00A57107"/>
    <w:rsid w:val="00A571BB"/>
    <w:rsid w:val="00A57A8B"/>
    <w:rsid w:val="00A57C30"/>
    <w:rsid w:val="00A604EE"/>
    <w:rsid w:val="00A60539"/>
    <w:rsid w:val="00A609E3"/>
    <w:rsid w:val="00A60A16"/>
    <w:rsid w:val="00A60A2B"/>
    <w:rsid w:val="00A60DE3"/>
    <w:rsid w:val="00A60EC7"/>
    <w:rsid w:val="00A61064"/>
    <w:rsid w:val="00A61C89"/>
    <w:rsid w:val="00A61D1B"/>
    <w:rsid w:val="00A61E6F"/>
    <w:rsid w:val="00A62120"/>
    <w:rsid w:val="00A6251E"/>
    <w:rsid w:val="00A626C5"/>
    <w:rsid w:val="00A628B7"/>
    <w:rsid w:val="00A62E9F"/>
    <w:rsid w:val="00A6318E"/>
    <w:rsid w:val="00A632F3"/>
    <w:rsid w:val="00A63301"/>
    <w:rsid w:val="00A6399E"/>
    <w:rsid w:val="00A63AFC"/>
    <w:rsid w:val="00A643C0"/>
    <w:rsid w:val="00A6446A"/>
    <w:rsid w:val="00A6458F"/>
    <w:rsid w:val="00A6476D"/>
    <w:rsid w:val="00A647A5"/>
    <w:rsid w:val="00A647A7"/>
    <w:rsid w:val="00A64E62"/>
    <w:rsid w:val="00A65007"/>
    <w:rsid w:val="00A6526E"/>
    <w:rsid w:val="00A655C8"/>
    <w:rsid w:val="00A65B2C"/>
    <w:rsid w:val="00A65B68"/>
    <w:rsid w:val="00A65C89"/>
    <w:rsid w:val="00A66A29"/>
    <w:rsid w:val="00A66EB4"/>
    <w:rsid w:val="00A67059"/>
    <w:rsid w:val="00A672F0"/>
    <w:rsid w:val="00A67344"/>
    <w:rsid w:val="00A673DD"/>
    <w:rsid w:val="00A674BC"/>
    <w:rsid w:val="00A675A6"/>
    <w:rsid w:val="00A67766"/>
    <w:rsid w:val="00A6792B"/>
    <w:rsid w:val="00A67A2C"/>
    <w:rsid w:val="00A67A57"/>
    <w:rsid w:val="00A67C96"/>
    <w:rsid w:val="00A70197"/>
    <w:rsid w:val="00A703EF"/>
    <w:rsid w:val="00A7089B"/>
    <w:rsid w:val="00A70B90"/>
    <w:rsid w:val="00A70C5A"/>
    <w:rsid w:val="00A710B6"/>
    <w:rsid w:val="00A714B2"/>
    <w:rsid w:val="00A718CC"/>
    <w:rsid w:val="00A71CFF"/>
    <w:rsid w:val="00A71D47"/>
    <w:rsid w:val="00A71E23"/>
    <w:rsid w:val="00A720FF"/>
    <w:rsid w:val="00A723B9"/>
    <w:rsid w:val="00A723F4"/>
    <w:rsid w:val="00A727F7"/>
    <w:rsid w:val="00A7284A"/>
    <w:rsid w:val="00A72E86"/>
    <w:rsid w:val="00A72FE4"/>
    <w:rsid w:val="00A731A3"/>
    <w:rsid w:val="00A731BA"/>
    <w:rsid w:val="00A73E37"/>
    <w:rsid w:val="00A74765"/>
    <w:rsid w:val="00A74855"/>
    <w:rsid w:val="00A74870"/>
    <w:rsid w:val="00A748DC"/>
    <w:rsid w:val="00A74938"/>
    <w:rsid w:val="00A74C7C"/>
    <w:rsid w:val="00A74D69"/>
    <w:rsid w:val="00A74D75"/>
    <w:rsid w:val="00A74ED9"/>
    <w:rsid w:val="00A75224"/>
    <w:rsid w:val="00A75644"/>
    <w:rsid w:val="00A75797"/>
    <w:rsid w:val="00A7589A"/>
    <w:rsid w:val="00A758E7"/>
    <w:rsid w:val="00A75DB9"/>
    <w:rsid w:val="00A7694A"/>
    <w:rsid w:val="00A76C02"/>
    <w:rsid w:val="00A76F8B"/>
    <w:rsid w:val="00A7715B"/>
    <w:rsid w:val="00A772A3"/>
    <w:rsid w:val="00A773EC"/>
    <w:rsid w:val="00A77653"/>
    <w:rsid w:val="00A777E3"/>
    <w:rsid w:val="00A8033A"/>
    <w:rsid w:val="00A80491"/>
    <w:rsid w:val="00A805EC"/>
    <w:rsid w:val="00A808C7"/>
    <w:rsid w:val="00A8099F"/>
    <w:rsid w:val="00A80F84"/>
    <w:rsid w:val="00A8154E"/>
    <w:rsid w:val="00A81994"/>
    <w:rsid w:val="00A81C0C"/>
    <w:rsid w:val="00A81E7B"/>
    <w:rsid w:val="00A8208B"/>
    <w:rsid w:val="00A82221"/>
    <w:rsid w:val="00A82253"/>
    <w:rsid w:val="00A82488"/>
    <w:rsid w:val="00A828B1"/>
    <w:rsid w:val="00A829BF"/>
    <w:rsid w:val="00A82ABF"/>
    <w:rsid w:val="00A82CE3"/>
    <w:rsid w:val="00A82DD4"/>
    <w:rsid w:val="00A82DD7"/>
    <w:rsid w:val="00A832FE"/>
    <w:rsid w:val="00A842B2"/>
    <w:rsid w:val="00A842F7"/>
    <w:rsid w:val="00A843B7"/>
    <w:rsid w:val="00A8474C"/>
    <w:rsid w:val="00A8475E"/>
    <w:rsid w:val="00A84774"/>
    <w:rsid w:val="00A85231"/>
    <w:rsid w:val="00A85286"/>
    <w:rsid w:val="00A85583"/>
    <w:rsid w:val="00A85A4D"/>
    <w:rsid w:val="00A862EC"/>
    <w:rsid w:val="00A86383"/>
    <w:rsid w:val="00A864CB"/>
    <w:rsid w:val="00A871AD"/>
    <w:rsid w:val="00A87299"/>
    <w:rsid w:val="00A873F0"/>
    <w:rsid w:val="00A87621"/>
    <w:rsid w:val="00A87A8D"/>
    <w:rsid w:val="00A87FF2"/>
    <w:rsid w:val="00A87FF3"/>
    <w:rsid w:val="00A9062E"/>
    <w:rsid w:val="00A907BE"/>
    <w:rsid w:val="00A907F8"/>
    <w:rsid w:val="00A9081B"/>
    <w:rsid w:val="00A90906"/>
    <w:rsid w:val="00A90BBC"/>
    <w:rsid w:val="00A90CA8"/>
    <w:rsid w:val="00A917C7"/>
    <w:rsid w:val="00A9191A"/>
    <w:rsid w:val="00A91DAD"/>
    <w:rsid w:val="00A922FA"/>
    <w:rsid w:val="00A92522"/>
    <w:rsid w:val="00A928B7"/>
    <w:rsid w:val="00A92A4F"/>
    <w:rsid w:val="00A92AD0"/>
    <w:rsid w:val="00A92B4A"/>
    <w:rsid w:val="00A92E10"/>
    <w:rsid w:val="00A9349C"/>
    <w:rsid w:val="00A93892"/>
    <w:rsid w:val="00A93926"/>
    <w:rsid w:val="00A939C2"/>
    <w:rsid w:val="00A93B0B"/>
    <w:rsid w:val="00A93CBC"/>
    <w:rsid w:val="00A93E8F"/>
    <w:rsid w:val="00A93F57"/>
    <w:rsid w:val="00A9412D"/>
    <w:rsid w:val="00A942BF"/>
    <w:rsid w:val="00A94309"/>
    <w:rsid w:val="00A9434E"/>
    <w:rsid w:val="00A945A1"/>
    <w:rsid w:val="00A946C3"/>
    <w:rsid w:val="00A94B0F"/>
    <w:rsid w:val="00A94EE2"/>
    <w:rsid w:val="00A94FC0"/>
    <w:rsid w:val="00A95318"/>
    <w:rsid w:val="00A954B0"/>
    <w:rsid w:val="00A95D0C"/>
    <w:rsid w:val="00A95D65"/>
    <w:rsid w:val="00A9615B"/>
    <w:rsid w:val="00A96182"/>
    <w:rsid w:val="00A96410"/>
    <w:rsid w:val="00A9713C"/>
    <w:rsid w:val="00A9746F"/>
    <w:rsid w:val="00A97B6D"/>
    <w:rsid w:val="00A97DDA"/>
    <w:rsid w:val="00A97E3C"/>
    <w:rsid w:val="00AA0311"/>
    <w:rsid w:val="00AA0457"/>
    <w:rsid w:val="00AA04E3"/>
    <w:rsid w:val="00AA0835"/>
    <w:rsid w:val="00AA26DC"/>
    <w:rsid w:val="00AA2BC5"/>
    <w:rsid w:val="00AA30E4"/>
    <w:rsid w:val="00AA3396"/>
    <w:rsid w:val="00AA36F4"/>
    <w:rsid w:val="00AA38AF"/>
    <w:rsid w:val="00AA3A38"/>
    <w:rsid w:val="00AA3E0E"/>
    <w:rsid w:val="00AA42F4"/>
    <w:rsid w:val="00AA435F"/>
    <w:rsid w:val="00AA4969"/>
    <w:rsid w:val="00AA4A1B"/>
    <w:rsid w:val="00AA4A64"/>
    <w:rsid w:val="00AA4AA1"/>
    <w:rsid w:val="00AA4C87"/>
    <w:rsid w:val="00AA51E0"/>
    <w:rsid w:val="00AA51F4"/>
    <w:rsid w:val="00AA5615"/>
    <w:rsid w:val="00AA5B13"/>
    <w:rsid w:val="00AA5D8D"/>
    <w:rsid w:val="00AA5EC6"/>
    <w:rsid w:val="00AA62B2"/>
    <w:rsid w:val="00AA62C5"/>
    <w:rsid w:val="00AA6301"/>
    <w:rsid w:val="00AA64A4"/>
    <w:rsid w:val="00AA6738"/>
    <w:rsid w:val="00AA6AE5"/>
    <w:rsid w:val="00AA6B79"/>
    <w:rsid w:val="00AA6DE8"/>
    <w:rsid w:val="00AA6E23"/>
    <w:rsid w:val="00AA74B4"/>
    <w:rsid w:val="00AA74E0"/>
    <w:rsid w:val="00AA7C1A"/>
    <w:rsid w:val="00AA7E24"/>
    <w:rsid w:val="00AA7F9C"/>
    <w:rsid w:val="00AB0041"/>
    <w:rsid w:val="00AB0872"/>
    <w:rsid w:val="00AB0AFC"/>
    <w:rsid w:val="00AB0C0B"/>
    <w:rsid w:val="00AB0E91"/>
    <w:rsid w:val="00AB0FA1"/>
    <w:rsid w:val="00AB11DF"/>
    <w:rsid w:val="00AB1612"/>
    <w:rsid w:val="00AB20DF"/>
    <w:rsid w:val="00AB2397"/>
    <w:rsid w:val="00AB2923"/>
    <w:rsid w:val="00AB3160"/>
    <w:rsid w:val="00AB34C3"/>
    <w:rsid w:val="00AB3546"/>
    <w:rsid w:val="00AB3562"/>
    <w:rsid w:val="00AB3564"/>
    <w:rsid w:val="00AB386D"/>
    <w:rsid w:val="00AB3A70"/>
    <w:rsid w:val="00AB3A76"/>
    <w:rsid w:val="00AB424B"/>
    <w:rsid w:val="00AB42E3"/>
    <w:rsid w:val="00AB4651"/>
    <w:rsid w:val="00AB47A1"/>
    <w:rsid w:val="00AB4890"/>
    <w:rsid w:val="00AB48F4"/>
    <w:rsid w:val="00AB4C42"/>
    <w:rsid w:val="00AB5035"/>
    <w:rsid w:val="00AB526C"/>
    <w:rsid w:val="00AB53B5"/>
    <w:rsid w:val="00AB5AC3"/>
    <w:rsid w:val="00AB5C50"/>
    <w:rsid w:val="00AB6224"/>
    <w:rsid w:val="00AB6388"/>
    <w:rsid w:val="00AB6DB1"/>
    <w:rsid w:val="00AB6F7A"/>
    <w:rsid w:val="00AB74BA"/>
    <w:rsid w:val="00AB7B5F"/>
    <w:rsid w:val="00AB7CCD"/>
    <w:rsid w:val="00AB7FE7"/>
    <w:rsid w:val="00AC0210"/>
    <w:rsid w:val="00AC0C67"/>
    <w:rsid w:val="00AC0D67"/>
    <w:rsid w:val="00AC19FB"/>
    <w:rsid w:val="00AC202A"/>
    <w:rsid w:val="00AC206A"/>
    <w:rsid w:val="00AC2073"/>
    <w:rsid w:val="00AC26AD"/>
    <w:rsid w:val="00AC2DD8"/>
    <w:rsid w:val="00AC2E72"/>
    <w:rsid w:val="00AC3686"/>
    <w:rsid w:val="00AC3FAE"/>
    <w:rsid w:val="00AC4040"/>
    <w:rsid w:val="00AC4725"/>
    <w:rsid w:val="00AC48B5"/>
    <w:rsid w:val="00AC48B6"/>
    <w:rsid w:val="00AC4A27"/>
    <w:rsid w:val="00AC4EAC"/>
    <w:rsid w:val="00AC5001"/>
    <w:rsid w:val="00AC50EF"/>
    <w:rsid w:val="00AC52B5"/>
    <w:rsid w:val="00AC5705"/>
    <w:rsid w:val="00AC5B0A"/>
    <w:rsid w:val="00AC5B9E"/>
    <w:rsid w:val="00AC5C49"/>
    <w:rsid w:val="00AC6270"/>
    <w:rsid w:val="00AC65AA"/>
    <w:rsid w:val="00AC66B8"/>
    <w:rsid w:val="00AC6C08"/>
    <w:rsid w:val="00AC6D36"/>
    <w:rsid w:val="00AC7B7E"/>
    <w:rsid w:val="00AD01B7"/>
    <w:rsid w:val="00AD1AA4"/>
    <w:rsid w:val="00AD1D50"/>
    <w:rsid w:val="00AD1DDB"/>
    <w:rsid w:val="00AD1F4A"/>
    <w:rsid w:val="00AD25ED"/>
    <w:rsid w:val="00AD30D0"/>
    <w:rsid w:val="00AD31E0"/>
    <w:rsid w:val="00AD3486"/>
    <w:rsid w:val="00AD394E"/>
    <w:rsid w:val="00AD39DF"/>
    <w:rsid w:val="00AD3CB1"/>
    <w:rsid w:val="00AD3FD0"/>
    <w:rsid w:val="00AD443F"/>
    <w:rsid w:val="00AD44E2"/>
    <w:rsid w:val="00AD4597"/>
    <w:rsid w:val="00AD460A"/>
    <w:rsid w:val="00AD4811"/>
    <w:rsid w:val="00AD49EB"/>
    <w:rsid w:val="00AD4A49"/>
    <w:rsid w:val="00AD51D8"/>
    <w:rsid w:val="00AD53A3"/>
    <w:rsid w:val="00AD54E0"/>
    <w:rsid w:val="00AD5564"/>
    <w:rsid w:val="00AD5853"/>
    <w:rsid w:val="00AD5BA7"/>
    <w:rsid w:val="00AD5BFD"/>
    <w:rsid w:val="00AD5D3C"/>
    <w:rsid w:val="00AD60B0"/>
    <w:rsid w:val="00AD6282"/>
    <w:rsid w:val="00AD67E5"/>
    <w:rsid w:val="00AD6A17"/>
    <w:rsid w:val="00AD6A76"/>
    <w:rsid w:val="00AD6A79"/>
    <w:rsid w:val="00AD777D"/>
    <w:rsid w:val="00AD792F"/>
    <w:rsid w:val="00AD7994"/>
    <w:rsid w:val="00AD7E92"/>
    <w:rsid w:val="00AE005D"/>
    <w:rsid w:val="00AE068C"/>
    <w:rsid w:val="00AE07C6"/>
    <w:rsid w:val="00AE0B7E"/>
    <w:rsid w:val="00AE0C56"/>
    <w:rsid w:val="00AE10E0"/>
    <w:rsid w:val="00AE10FD"/>
    <w:rsid w:val="00AE11BE"/>
    <w:rsid w:val="00AE1373"/>
    <w:rsid w:val="00AE1C37"/>
    <w:rsid w:val="00AE1F54"/>
    <w:rsid w:val="00AE1FEA"/>
    <w:rsid w:val="00AE202A"/>
    <w:rsid w:val="00AE20B2"/>
    <w:rsid w:val="00AE20F7"/>
    <w:rsid w:val="00AE2804"/>
    <w:rsid w:val="00AE28D7"/>
    <w:rsid w:val="00AE2910"/>
    <w:rsid w:val="00AE2AFA"/>
    <w:rsid w:val="00AE3192"/>
    <w:rsid w:val="00AE3429"/>
    <w:rsid w:val="00AE36A4"/>
    <w:rsid w:val="00AE3903"/>
    <w:rsid w:val="00AE3A80"/>
    <w:rsid w:val="00AE41D7"/>
    <w:rsid w:val="00AE4A2A"/>
    <w:rsid w:val="00AE50BF"/>
    <w:rsid w:val="00AE52D6"/>
    <w:rsid w:val="00AE58A8"/>
    <w:rsid w:val="00AE5AC3"/>
    <w:rsid w:val="00AE5B9D"/>
    <w:rsid w:val="00AE5BEE"/>
    <w:rsid w:val="00AE5DF8"/>
    <w:rsid w:val="00AE6022"/>
    <w:rsid w:val="00AE62BD"/>
    <w:rsid w:val="00AE699D"/>
    <w:rsid w:val="00AE69BB"/>
    <w:rsid w:val="00AE6A2D"/>
    <w:rsid w:val="00AE6D20"/>
    <w:rsid w:val="00AE6FA3"/>
    <w:rsid w:val="00AE7001"/>
    <w:rsid w:val="00AE70E5"/>
    <w:rsid w:val="00AE747C"/>
    <w:rsid w:val="00AE76A0"/>
    <w:rsid w:val="00AE7879"/>
    <w:rsid w:val="00AE7993"/>
    <w:rsid w:val="00AE7C67"/>
    <w:rsid w:val="00AE7CF0"/>
    <w:rsid w:val="00AE7F5D"/>
    <w:rsid w:val="00AF0B89"/>
    <w:rsid w:val="00AF0BDB"/>
    <w:rsid w:val="00AF0D61"/>
    <w:rsid w:val="00AF0DF7"/>
    <w:rsid w:val="00AF18B6"/>
    <w:rsid w:val="00AF18D8"/>
    <w:rsid w:val="00AF24E3"/>
    <w:rsid w:val="00AF2539"/>
    <w:rsid w:val="00AF2B20"/>
    <w:rsid w:val="00AF2B2E"/>
    <w:rsid w:val="00AF2B43"/>
    <w:rsid w:val="00AF2BC6"/>
    <w:rsid w:val="00AF3087"/>
    <w:rsid w:val="00AF4139"/>
    <w:rsid w:val="00AF49F2"/>
    <w:rsid w:val="00AF508D"/>
    <w:rsid w:val="00AF5229"/>
    <w:rsid w:val="00AF52D5"/>
    <w:rsid w:val="00AF56E3"/>
    <w:rsid w:val="00AF5B53"/>
    <w:rsid w:val="00AF5BEE"/>
    <w:rsid w:val="00AF5C75"/>
    <w:rsid w:val="00AF6477"/>
    <w:rsid w:val="00AF6656"/>
    <w:rsid w:val="00AF668F"/>
    <w:rsid w:val="00AF67BC"/>
    <w:rsid w:val="00AF6FFE"/>
    <w:rsid w:val="00AF7074"/>
    <w:rsid w:val="00AF75BA"/>
    <w:rsid w:val="00AF766C"/>
    <w:rsid w:val="00B001F5"/>
    <w:rsid w:val="00B00DE3"/>
    <w:rsid w:val="00B0148B"/>
    <w:rsid w:val="00B019B7"/>
    <w:rsid w:val="00B01A58"/>
    <w:rsid w:val="00B0244B"/>
    <w:rsid w:val="00B02B4D"/>
    <w:rsid w:val="00B02EB5"/>
    <w:rsid w:val="00B03473"/>
    <w:rsid w:val="00B03700"/>
    <w:rsid w:val="00B03E96"/>
    <w:rsid w:val="00B040A3"/>
    <w:rsid w:val="00B0490B"/>
    <w:rsid w:val="00B04BAC"/>
    <w:rsid w:val="00B04ED8"/>
    <w:rsid w:val="00B0521F"/>
    <w:rsid w:val="00B0529C"/>
    <w:rsid w:val="00B053B4"/>
    <w:rsid w:val="00B05413"/>
    <w:rsid w:val="00B054CC"/>
    <w:rsid w:val="00B059ED"/>
    <w:rsid w:val="00B05AEF"/>
    <w:rsid w:val="00B05B72"/>
    <w:rsid w:val="00B05E0A"/>
    <w:rsid w:val="00B069BD"/>
    <w:rsid w:val="00B07142"/>
    <w:rsid w:val="00B07814"/>
    <w:rsid w:val="00B07F9C"/>
    <w:rsid w:val="00B0A413"/>
    <w:rsid w:val="00B10718"/>
    <w:rsid w:val="00B1074C"/>
    <w:rsid w:val="00B10932"/>
    <w:rsid w:val="00B10FF1"/>
    <w:rsid w:val="00B1107C"/>
    <w:rsid w:val="00B11762"/>
    <w:rsid w:val="00B117D3"/>
    <w:rsid w:val="00B11884"/>
    <w:rsid w:val="00B11AD2"/>
    <w:rsid w:val="00B11B69"/>
    <w:rsid w:val="00B11F44"/>
    <w:rsid w:val="00B1225B"/>
    <w:rsid w:val="00B12D00"/>
    <w:rsid w:val="00B12E20"/>
    <w:rsid w:val="00B12F1A"/>
    <w:rsid w:val="00B12F49"/>
    <w:rsid w:val="00B13048"/>
    <w:rsid w:val="00B13060"/>
    <w:rsid w:val="00B1373D"/>
    <w:rsid w:val="00B13EF2"/>
    <w:rsid w:val="00B13F09"/>
    <w:rsid w:val="00B14321"/>
    <w:rsid w:val="00B14A74"/>
    <w:rsid w:val="00B14CE0"/>
    <w:rsid w:val="00B151A4"/>
    <w:rsid w:val="00B15ECE"/>
    <w:rsid w:val="00B15EE7"/>
    <w:rsid w:val="00B166C9"/>
    <w:rsid w:val="00B1695E"/>
    <w:rsid w:val="00B16A34"/>
    <w:rsid w:val="00B16CCF"/>
    <w:rsid w:val="00B17774"/>
    <w:rsid w:val="00B1781C"/>
    <w:rsid w:val="00B179B5"/>
    <w:rsid w:val="00B17A42"/>
    <w:rsid w:val="00B17D7A"/>
    <w:rsid w:val="00B17F86"/>
    <w:rsid w:val="00B2001D"/>
    <w:rsid w:val="00B204EA"/>
    <w:rsid w:val="00B20740"/>
    <w:rsid w:val="00B207E6"/>
    <w:rsid w:val="00B20958"/>
    <w:rsid w:val="00B209BD"/>
    <w:rsid w:val="00B2130C"/>
    <w:rsid w:val="00B21BF0"/>
    <w:rsid w:val="00B21BFC"/>
    <w:rsid w:val="00B2311B"/>
    <w:rsid w:val="00B23148"/>
    <w:rsid w:val="00B23233"/>
    <w:rsid w:val="00B2335A"/>
    <w:rsid w:val="00B2374F"/>
    <w:rsid w:val="00B23B64"/>
    <w:rsid w:val="00B23BF3"/>
    <w:rsid w:val="00B244B9"/>
    <w:rsid w:val="00B248E1"/>
    <w:rsid w:val="00B24B22"/>
    <w:rsid w:val="00B24BAE"/>
    <w:rsid w:val="00B258EB"/>
    <w:rsid w:val="00B258F2"/>
    <w:rsid w:val="00B25E33"/>
    <w:rsid w:val="00B25FBB"/>
    <w:rsid w:val="00B25FE7"/>
    <w:rsid w:val="00B26116"/>
    <w:rsid w:val="00B26129"/>
    <w:rsid w:val="00B2644E"/>
    <w:rsid w:val="00B26A28"/>
    <w:rsid w:val="00B27090"/>
    <w:rsid w:val="00B270BC"/>
    <w:rsid w:val="00B27148"/>
    <w:rsid w:val="00B27461"/>
    <w:rsid w:val="00B27510"/>
    <w:rsid w:val="00B2759D"/>
    <w:rsid w:val="00B277C2"/>
    <w:rsid w:val="00B279E1"/>
    <w:rsid w:val="00B27AB0"/>
    <w:rsid w:val="00B27DCA"/>
    <w:rsid w:val="00B27E10"/>
    <w:rsid w:val="00B3039E"/>
    <w:rsid w:val="00B304A2"/>
    <w:rsid w:val="00B30760"/>
    <w:rsid w:val="00B30863"/>
    <w:rsid w:val="00B309EC"/>
    <w:rsid w:val="00B30A11"/>
    <w:rsid w:val="00B30F73"/>
    <w:rsid w:val="00B31154"/>
    <w:rsid w:val="00B31EE1"/>
    <w:rsid w:val="00B32601"/>
    <w:rsid w:val="00B3267B"/>
    <w:rsid w:val="00B327EB"/>
    <w:rsid w:val="00B32B51"/>
    <w:rsid w:val="00B33245"/>
    <w:rsid w:val="00B332C9"/>
    <w:rsid w:val="00B332D2"/>
    <w:rsid w:val="00B336A7"/>
    <w:rsid w:val="00B337FA"/>
    <w:rsid w:val="00B33CBA"/>
    <w:rsid w:val="00B34039"/>
    <w:rsid w:val="00B343CE"/>
    <w:rsid w:val="00B343F4"/>
    <w:rsid w:val="00B34597"/>
    <w:rsid w:val="00B35224"/>
    <w:rsid w:val="00B355F7"/>
    <w:rsid w:val="00B356F1"/>
    <w:rsid w:val="00B35A64"/>
    <w:rsid w:val="00B35F57"/>
    <w:rsid w:val="00B3612D"/>
    <w:rsid w:val="00B36B1E"/>
    <w:rsid w:val="00B36F42"/>
    <w:rsid w:val="00B36FDD"/>
    <w:rsid w:val="00B37484"/>
    <w:rsid w:val="00B37656"/>
    <w:rsid w:val="00B37950"/>
    <w:rsid w:val="00B37A11"/>
    <w:rsid w:val="00B4002F"/>
    <w:rsid w:val="00B40224"/>
    <w:rsid w:val="00B40425"/>
    <w:rsid w:val="00B404F0"/>
    <w:rsid w:val="00B40643"/>
    <w:rsid w:val="00B40807"/>
    <w:rsid w:val="00B40CC3"/>
    <w:rsid w:val="00B40D37"/>
    <w:rsid w:val="00B40DA7"/>
    <w:rsid w:val="00B41148"/>
    <w:rsid w:val="00B412CE"/>
    <w:rsid w:val="00B412FC"/>
    <w:rsid w:val="00B4149C"/>
    <w:rsid w:val="00B415CB"/>
    <w:rsid w:val="00B4161C"/>
    <w:rsid w:val="00B4179D"/>
    <w:rsid w:val="00B41A64"/>
    <w:rsid w:val="00B41BC2"/>
    <w:rsid w:val="00B420EC"/>
    <w:rsid w:val="00B4220F"/>
    <w:rsid w:val="00B42677"/>
    <w:rsid w:val="00B42B05"/>
    <w:rsid w:val="00B42D07"/>
    <w:rsid w:val="00B42F9A"/>
    <w:rsid w:val="00B439D9"/>
    <w:rsid w:val="00B43EB0"/>
    <w:rsid w:val="00B44263"/>
    <w:rsid w:val="00B44588"/>
    <w:rsid w:val="00B448A3"/>
    <w:rsid w:val="00B448EB"/>
    <w:rsid w:val="00B449D4"/>
    <w:rsid w:val="00B44D7B"/>
    <w:rsid w:val="00B44F65"/>
    <w:rsid w:val="00B45285"/>
    <w:rsid w:val="00B45289"/>
    <w:rsid w:val="00B455D1"/>
    <w:rsid w:val="00B45907"/>
    <w:rsid w:val="00B45A11"/>
    <w:rsid w:val="00B45E80"/>
    <w:rsid w:val="00B45EEA"/>
    <w:rsid w:val="00B462F4"/>
    <w:rsid w:val="00B4663F"/>
    <w:rsid w:val="00B467A6"/>
    <w:rsid w:val="00B4681B"/>
    <w:rsid w:val="00B468F3"/>
    <w:rsid w:val="00B46AD1"/>
    <w:rsid w:val="00B46E48"/>
    <w:rsid w:val="00B4769F"/>
    <w:rsid w:val="00B479A8"/>
    <w:rsid w:val="00B50067"/>
    <w:rsid w:val="00B505C0"/>
    <w:rsid w:val="00B50F7A"/>
    <w:rsid w:val="00B5100B"/>
    <w:rsid w:val="00B510C1"/>
    <w:rsid w:val="00B510E6"/>
    <w:rsid w:val="00B511A7"/>
    <w:rsid w:val="00B512EC"/>
    <w:rsid w:val="00B51793"/>
    <w:rsid w:val="00B5184A"/>
    <w:rsid w:val="00B51E5B"/>
    <w:rsid w:val="00B51FD6"/>
    <w:rsid w:val="00B52A7E"/>
    <w:rsid w:val="00B52BEA"/>
    <w:rsid w:val="00B530FE"/>
    <w:rsid w:val="00B538FD"/>
    <w:rsid w:val="00B53F6E"/>
    <w:rsid w:val="00B53FA2"/>
    <w:rsid w:val="00B53FA7"/>
    <w:rsid w:val="00B53FEF"/>
    <w:rsid w:val="00B541F8"/>
    <w:rsid w:val="00B5439B"/>
    <w:rsid w:val="00B54CF4"/>
    <w:rsid w:val="00B550C2"/>
    <w:rsid w:val="00B55106"/>
    <w:rsid w:val="00B551EC"/>
    <w:rsid w:val="00B55D3D"/>
    <w:rsid w:val="00B55DCC"/>
    <w:rsid w:val="00B55FA9"/>
    <w:rsid w:val="00B560F8"/>
    <w:rsid w:val="00B56345"/>
    <w:rsid w:val="00B5722A"/>
    <w:rsid w:val="00B57634"/>
    <w:rsid w:val="00B57E2A"/>
    <w:rsid w:val="00B57FAC"/>
    <w:rsid w:val="00B605B1"/>
    <w:rsid w:val="00B6082F"/>
    <w:rsid w:val="00B60B7C"/>
    <w:rsid w:val="00B60F02"/>
    <w:rsid w:val="00B614ED"/>
    <w:rsid w:val="00B61DBE"/>
    <w:rsid w:val="00B61E6B"/>
    <w:rsid w:val="00B62383"/>
    <w:rsid w:val="00B62674"/>
    <w:rsid w:val="00B6290C"/>
    <w:rsid w:val="00B62C59"/>
    <w:rsid w:val="00B6348A"/>
    <w:rsid w:val="00B63513"/>
    <w:rsid w:val="00B63663"/>
    <w:rsid w:val="00B63FB8"/>
    <w:rsid w:val="00B64493"/>
    <w:rsid w:val="00B6489A"/>
    <w:rsid w:val="00B64A56"/>
    <w:rsid w:val="00B64BBD"/>
    <w:rsid w:val="00B653D8"/>
    <w:rsid w:val="00B653DD"/>
    <w:rsid w:val="00B6557E"/>
    <w:rsid w:val="00B65865"/>
    <w:rsid w:val="00B65B04"/>
    <w:rsid w:val="00B65B0A"/>
    <w:rsid w:val="00B65C43"/>
    <w:rsid w:val="00B65F90"/>
    <w:rsid w:val="00B66743"/>
    <w:rsid w:val="00B67784"/>
    <w:rsid w:val="00B67CF8"/>
    <w:rsid w:val="00B70A1E"/>
    <w:rsid w:val="00B71169"/>
    <w:rsid w:val="00B71192"/>
    <w:rsid w:val="00B71645"/>
    <w:rsid w:val="00B717AA"/>
    <w:rsid w:val="00B71911"/>
    <w:rsid w:val="00B72330"/>
    <w:rsid w:val="00B72582"/>
    <w:rsid w:val="00B7306E"/>
    <w:rsid w:val="00B730E5"/>
    <w:rsid w:val="00B7347B"/>
    <w:rsid w:val="00B735D4"/>
    <w:rsid w:val="00B73A35"/>
    <w:rsid w:val="00B73A90"/>
    <w:rsid w:val="00B73C66"/>
    <w:rsid w:val="00B7433D"/>
    <w:rsid w:val="00B745AD"/>
    <w:rsid w:val="00B74A7C"/>
    <w:rsid w:val="00B74C82"/>
    <w:rsid w:val="00B74F10"/>
    <w:rsid w:val="00B75468"/>
    <w:rsid w:val="00B7597B"/>
    <w:rsid w:val="00B76053"/>
    <w:rsid w:val="00B761A7"/>
    <w:rsid w:val="00B7628B"/>
    <w:rsid w:val="00B7628D"/>
    <w:rsid w:val="00B762CF"/>
    <w:rsid w:val="00B76CF5"/>
    <w:rsid w:val="00B76E77"/>
    <w:rsid w:val="00B7759E"/>
    <w:rsid w:val="00B77614"/>
    <w:rsid w:val="00B77676"/>
    <w:rsid w:val="00B778CF"/>
    <w:rsid w:val="00B77C51"/>
    <w:rsid w:val="00B80474"/>
    <w:rsid w:val="00B80505"/>
    <w:rsid w:val="00B80BAE"/>
    <w:rsid w:val="00B80F66"/>
    <w:rsid w:val="00B811AD"/>
    <w:rsid w:val="00B81313"/>
    <w:rsid w:val="00B81511"/>
    <w:rsid w:val="00B81792"/>
    <w:rsid w:val="00B81D86"/>
    <w:rsid w:val="00B81F92"/>
    <w:rsid w:val="00B81FB2"/>
    <w:rsid w:val="00B82271"/>
    <w:rsid w:val="00B82967"/>
    <w:rsid w:val="00B82B83"/>
    <w:rsid w:val="00B82F06"/>
    <w:rsid w:val="00B8333F"/>
    <w:rsid w:val="00B83459"/>
    <w:rsid w:val="00B83F81"/>
    <w:rsid w:val="00B83FB7"/>
    <w:rsid w:val="00B8420A"/>
    <w:rsid w:val="00B84273"/>
    <w:rsid w:val="00B84490"/>
    <w:rsid w:val="00B84716"/>
    <w:rsid w:val="00B84B40"/>
    <w:rsid w:val="00B84BD0"/>
    <w:rsid w:val="00B84CD0"/>
    <w:rsid w:val="00B84E15"/>
    <w:rsid w:val="00B84E36"/>
    <w:rsid w:val="00B84F08"/>
    <w:rsid w:val="00B85715"/>
    <w:rsid w:val="00B85CCD"/>
    <w:rsid w:val="00B86303"/>
    <w:rsid w:val="00B8684E"/>
    <w:rsid w:val="00B86B2B"/>
    <w:rsid w:val="00B86BEC"/>
    <w:rsid w:val="00B872B9"/>
    <w:rsid w:val="00B87305"/>
    <w:rsid w:val="00B8741A"/>
    <w:rsid w:val="00B8795A"/>
    <w:rsid w:val="00B901E5"/>
    <w:rsid w:val="00B904DF"/>
    <w:rsid w:val="00B90580"/>
    <w:rsid w:val="00B905AF"/>
    <w:rsid w:val="00B9077D"/>
    <w:rsid w:val="00B90946"/>
    <w:rsid w:val="00B90960"/>
    <w:rsid w:val="00B91023"/>
    <w:rsid w:val="00B916FB"/>
    <w:rsid w:val="00B91831"/>
    <w:rsid w:val="00B91BEC"/>
    <w:rsid w:val="00B91DD9"/>
    <w:rsid w:val="00B91E6C"/>
    <w:rsid w:val="00B91F34"/>
    <w:rsid w:val="00B92522"/>
    <w:rsid w:val="00B92838"/>
    <w:rsid w:val="00B9338B"/>
    <w:rsid w:val="00B93628"/>
    <w:rsid w:val="00B93C37"/>
    <w:rsid w:val="00B94194"/>
    <w:rsid w:val="00B94378"/>
    <w:rsid w:val="00B946F3"/>
    <w:rsid w:val="00B9484B"/>
    <w:rsid w:val="00B94E39"/>
    <w:rsid w:val="00B9512E"/>
    <w:rsid w:val="00B9543B"/>
    <w:rsid w:val="00B95CBB"/>
    <w:rsid w:val="00B95DF2"/>
    <w:rsid w:val="00B96279"/>
    <w:rsid w:val="00B96961"/>
    <w:rsid w:val="00B96B57"/>
    <w:rsid w:val="00B96CF5"/>
    <w:rsid w:val="00B96DD9"/>
    <w:rsid w:val="00B9701E"/>
    <w:rsid w:val="00B97712"/>
    <w:rsid w:val="00B978DE"/>
    <w:rsid w:val="00B97972"/>
    <w:rsid w:val="00BA0055"/>
    <w:rsid w:val="00BA0663"/>
    <w:rsid w:val="00BA0BC8"/>
    <w:rsid w:val="00BA0EE8"/>
    <w:rsid w:val="00BA149A"/>
    <w:rsid w:val="00BA280D"/>
    <w:rsid w:val="00BA2F8E"/>
    <w:rsid w:val="00BA3822"/>
    <w:rsid w:val="00BA3928"/>
    <w:rsid w:val="00BA39CE"/>
    <w:rsid w:val="00BA3C46"/>
    <w:rsid w:val="00BA43A7"/>
    <w:rsid w:val="00BA4570"/>
    <w:rsid w:val="00BA48DE"/>
    <w:rsid w:val="00BA4BF5"/>
    <w:rsid w:val="00BA4C74"/>
    <w:rsid w:val="00BA5285"/>
    <w:rsid w:val="00BA570A"/>
    <w:rsid w:val="00BA5E35"/>
    <w:rsid w:val="00BA62CA"/>
    <w:rsid w:val="00BA67C1"/>
    <w:rsid w:val="00BA69AE"/>
    <w:rsid w:val="00BA6A09"/>
    <w:rsid w:val="00BA6A0A"/>
    <w:rsid w:val="00BA6E42"/>
    <w:rsid w:val="00BA758F"/>
    <w:rsid w:val="00BA76E5"/>
    <w:rsid w:val="00BA7A55"/>
    <w:rsid w:val="00BA7D22"/>
    <w:rsid w:val="00BB00B1"/>
    <w:rsid w:val="00BB0782"/>
    <w:rsid w:val="00BB0790"/>
    <w:rsid w:val="00BB0BF9"/>
    <w:rsid w:val="00BB0D11"/>
    <w:rsid w:val="00BB0E59"/>
    <w:rsid w:val="00BB120B"/>
    <w:rsid w:val="00BB12D3"/>
    <w:rsid w:val="00BB13A1"/>
    <w:rsid w:val="00BB1760"/>
    <w:rsid w:val="00BB1787"/>
    <w:rsid w:val="00BB1CFE"/>
    <w:rsid w:val="00BB1E34"/>
    <w:rsid w:val="00BB1F9E"/>
    <w:rsid w:val="00BB2097"/>
    <w:rsid w:val="00BB26DB"/>
    <w:rsid w:val="00BB2945"/>
    <w:rsid w:val="00BB2DFF"/>
    <w:rsid w:val="00BB2E07"/>
    <w:rsid w:val="00BB2EAE"/>
    <w:rsid w:val="00BB2F9C"/>
    <w:rsid w:val="00BB3169"/>
    <w:rsid w:val="00BB34B5"/>
    <w:rsid w:val="00BB3C0E"/>
    <w:rsid w:val="00BB3DE2"/>
    <w:rsid w:val="00BB4055"/>
    <w:rsid w:val="00BB4214"/>
    <w:rsid w:val="00BB4884"/>
    <w:rsid w:val="00BB4B2F"/>
    <w:rsid w:val="00BB4B66"/>
    <w:rsid w:val="00BB4BFD"/>
    <w:rsid w:val="00BB4CE7"/>
    <w:rsid w:val="00BB4F89"/>
    <w:rsid w:val="00BB5896"/>
    <w:rsid w:val="00BB5A81"/>
    <w:rsid w:val="00BB5CE3"/>
    <w:rsid w:val="00BB5E27"/>
    <w:rsid w:val="00BB60B3"/>
    <w:rsid w:val="00BB60B7"/>
    <w:rsid w:val="00BB6A3B"/>
    <w:rsid w:val="00BB73C7"/>
    <w:rsid w:val="00BB786C"/>
    <w:rsid w:val="00BC00D5"/>
    <w:rsid w:val="00BC0152"/>
    <w:rsid w:val="00BC039E"/>
    <w:rsid w:val="00BC0432"/>
    <w:rsid w:val="00BC0454"/>
    <w:rsid w:val="00BC0687"/>
    <w:rsid w:val="00BC0854"/>
    <w:rsid w:val="00BC0C81"/>
    <w:rsid w:val="00BC0CF6"/>
    <w:rsid w:val="00BC0D76"/>
    <w:rsid w:val="00BC0F29"/>
    <w:rsid w:val="00BC1552"/>
    <w:rsid w:val="00BC1DB6"/>
    <w:rsid w:val="00BC1F57"/>
    <w:rsid w:val="00BC2268"/>
    <w:rsid w:val="00BC2ABF"/>
    <w:rsid w:val="00BC2F92"/>
    <w:rsid w:val="00BC3397"/>
    <w:rsid w:val="00BC3498"/>
    <w:rsid w:val="00BC3CDB"/>
    <w:rsid w:val="00BC486F"/>
    <w:rsid w:val="00BC4A26"/>
    <w:rsid w:val="00BC4B2B"/>
    <w:rsid w:val="00BC4B69"/>
    <w:rsid w:val="00BC4DF4"/>
    <w:rsid w:val="00BC5203"/>
    <w:rsid w:val="00BC5462"/>
    <w:rsid w:val="00BC54E3"/>
    <w:rsid w:val="00BC5810"/>
    <w:rsid w:val="00BC5C3B"/>
    <w:rsid w:val="00BC5E1E"/>
    <w:rsid w:val="00BC6810"/>
    <w:rsid w:val="00BC6B34"/>
    <w:rsid w:val="00BC7030"/>
    <w:rsid w:val="00BC732F"/>
    <w:rsid w:val="00BD00F8"/>
    <w:rsid w:val="00BD0736"/>
    <w:rsid w:val="00BD07D3"/>
    <w:rsid w:val="00BD0842"/>
    <w:rsid w:val="00BD08A1"/>
    <w:rsid w:val="00BD0C62"/>
    <w:rsid w:val="00BD1001"/>
    <w:rsid w:val="00BD11D0"/>
    <w:rsid w:val="00BD17B6"/>
    <w:rsid w:val="00BD22CC"/>
    <w:rsid w:val="00BD275C"/>
    <w:rsid w:val="00BD29A0"/>
    <w:rsid w:val="00BD2E18"/>
    <w:rsid w:val="00BD3418"/>
    <w:rsid w:val="00BD3456"/>
    <w:rsid w:val="00BD3D1E"/>
    <w:rsid w:val="00BD3FE5"/>
    <w:rsid w:val="00BD400F"/>
    <w:rsid w:val="00BD44F9"/>
    <w:rsid w:val="00BD459D"/>
    <w:rsid w:val="00BD4653"/>
    <w:rsid w:val="00BD475A"/>
    <w:rsid w:val="00BD49EB"/>
    <w:rsid w:val="00BD4E25"/>
    <w:rsid w:val="00BD52C9"/>
    <w:rsid w:val="00BD627A"/>
    <w:rsid w:val="00BD6CD8"/>
    <w:rsid w:val="00BD6D45"/>
    <w:rsid w:val="00BD7181"/>
    <w:rsid w:val="00BD7365"/>
    <w:rsid w:val="00BD7432"/>
    <w:rsid w:val="00BD7679"/>
    <w:rsid w:val="00BE00F4"/>
    <w:rsid w:val="00BE0875"/>
    <w:rsid w:val="00BE09BA"/>
    <w:rsid w:val="00BE0F86"/>
    <w:rsid w:val="00BE112C"/>
    <w:rsid w:val="00BE11E5"/>
    <w:rsid w:val="00BE1B35"/>
    <w:rsid w:val="00BE1E01"/>
    <w:rsid w:val="00BE24AE"/>
    <w:rsid w:val="00BE2519"/>
    <w:rsid w:val="00BE2BE0"/>
    <w:rsid w:val="00BE2FA9"/>
    <w:rsid w:val="00BE2FB3"/>
    <w:rsid w:val="00BE35A5"/>
    <w:rsid w:val="00BE3956"/>
    <w:rsid w:val="00BE3A45"/>
    <w:rsid w:val="00BE3AC4"/>
    <w:rsid w:val="00BE3BC2"/>
    <w:rsid w:val="00BE3D00"/>
    <w:rsid w:val="00BE3E83"/>
    <w:rsid w:val="00BE41BF"/>
    <w:rsid w:val="00BE41EB"/>
    <w:rsid w:val="00BE561F"/>
    <w:rsid w:val="00BE56CE"/>
    <w:rsid w:val="00BE5BBC"/>
    <w:rsid w:val="00BE5CCF"/>
    <w:rsid w:val="00BE5DCE"/>
    <w:rsid w:val="00BE5E5E"/>
    <w:rsid w:val="00BE6015"/>
    <w:rsid w:val="00BE6603"/>
    <w:rsid w:val="00BE6734"/>
    <w:rsid w:val="00BE6820"/>
    <w:rsid w:val="00BE6932"/>
    <w:rsid w:val="00BE6A47"/>
    <w:rsid w:val="00BE6E2C"/>
    <w:rsid w:val="00BE707C"/>
    <w:rsid w:val="00BE7142"/>
    <w:rsid w:val="00BE7961"/>
    <w:rsid w:val="00BE7D3B"/>
    <w:rsid w:val="00BF0AA5"/>
    <w:rsid w:val="00BF11C7"/>
    <w:rsid w:val="00BF1781"/>
    <w:rsid w:val="00BF1F6D"/>
    <w:rsid w:val="00BF23E6"/>
    <w:rsid w:val="00BF357A"/>
    <w:rsid w:val="00BF3A1F"/>
    <w:rsid w:val="00BF3C00"/>
    <w:rsid w:val="00BF3FD9"/>
    <w:rsid w:val="00BF471F"/>
    <w:rsid w:val="00BF482F"/>
    <w:rsid w:val="00BF4C01"/>
    <w:rsid w:val="00BF4E4F"/>
    <w:rsid w:val="00BF4EF5"/>
    <w:rsid w:val="00BF5537"/>
    <w:rsid w:val="00BF5BAD"/>
    <w:rsid w:val="00BF5C92"/>
    <w:rsid w:val="00BF5DC2"/>
    <w:rsid w:val="00BF6B9B"/>
    <w:rsid w:val="00BF6D85"/>
    <w:rsid w:val="00BF7342"/>
    <w:rsid w:val="00BF77BE"/>
    <w:rsid w:val="00BF7C5E"/>
    <w:rsid w:val="00C001EB"/>
    <w:rsid w:val="00C00340"/>
    <w:rsid w:val="00C008D3"/>
    <w:rsid w:val="00C0098A"/>
    <w:rsid w:val="00C009E2"/>
    <w:rsid w:val="00C011B6"/>
    <w:rsid w:val="00C011FE"/>
    <w:rsid w:val="00C01ACF"/>
    <w:rsid w:val="00C01B81"/>
    <w:rsid w:val="00C02049"/>
    <w:rsid w:val="00C02104"/>
    <w:rsid w:val="00C0244F"/>
    <w:rsid w:val="00C029F8"/>
    <w:rsid w:val="00C02B7A"/>
    <w:rsid w:val="00C038C2"/>
    <w:rsid w:val="00C03AF4"/>
    <w:rsid w:val="00C03B6E"/>
    <w:rsid w:val="00C03BD5"/>
    <w:rsid w:val="00C03DB2"/>
    <w:rsid w:val="00C04715"/>
    <w:rsid w:val="00C04D69"/>
    <w:rsid w:val="00C05000"/>
    <w:rsid w:val="00C0512F"/>
    <w:rsid w:val="00C0527A"/>
    <w:rsid w:val="00C05317"/>
    <w:rsid w:val="00C05347"/>
    <w:rsid w:val="00C05D5C"/>
    <w:rsid w:val="00C05FBE"/>
    <w:rsid w:val="00C06175"/>
    <w:rsid w:val="00C06438"/>
    <w:rsid w:val="00C06766"/>
    <w:rsid w:val="00C06A6C"/>
    <w:rsid w:val="00C06A7E"/>
    <w:rsid w:val="00C07033"/>
    <w:rsid w:val="00C07162"/>
    <w:rsid w:val="00C07665"/>
    <w:rsid w:val="00C076E9"/>
    <w:rsid w:val="00C07AC3"/>
    <w:rsid w:val="00C1003A"/>
    <w:rsid w:val="00C1021D"/>
    <w:rsid w:val="00C103F8"/>
    <w:rsid w:val="00C104AC"/>
    <w:rsid w:val="00C1055E"/>
    <w:rsid w:val="00C1065A"/>
    <w:rsid w:val="00C10E69"/>
    <w:rsid w:val="00C10F2E"/>
    <w:rsid w:val="00C11409"/>
    <w:rsid w:val="00C1163B"/>
    <w:rsid w:val="00C117B8"/>
    <w:rsid w:val="00C11E17"/>
    <w:rsid w:val="00C1226F"/>
    <w:rsid w:val="00C1296D"/>
    <w:rsid w:val="00C12E4A"/>
    <w:rsid w:val="00C13353"/>
    <w:rsid w:val="00C1372C"/>
    <w:rsid w:val="00C13756"/>
    <w:rsid w:val="00C137D5"/>
    <w:rsid w:val="00C139DA"/>
    <w:rsid w:val="00C13C20"/>
    <w:rsid w:val="00C13CAA"/>
    <w:rsid w:val="00C13E43"/>
    <w:rsid w:val="00C13E5D"/>
    <w:rsid w:val="00C13F42"/>
    <w:rsid w:val="00C14166"/>
    <w:rsid w:val="00C144F4"/>
    <w:rsid w:val="00C14558"/>
    <w:rsid w:val="00C1477B"/>
    <w:rsid w:val="00C147B1"/>
    <w:rsid w:val="00C148BA"/>
    <w:rsid w:val="00C14931"/>
    <w:rsid w:val="00C14A57"/>
    <w:rsid w:val="00C14EF9"/>
    <w:rsid w:val="00C14F51"/>
    <w:rsid w:val="00C153EA"/>
    <w:rsid w:val="00C154AC"/>
    <w:rsid w:val="00C15C33"/>
    <w:rsid w:val="00C15E68"/>
    <w:rsid w:val="00C1634A"/>
    <w:rsid w:val="00C167EB"/>
    <w:rsid w:val="00C16891"/>
    <w:rsid w:val="00C16C2F"/>
    <w:rsid w:val="00C16FFC"/>
    <w:rsid w:val="00C1757C"/>
    <w:rsid w:val="00C1781D"/>
    <w:rsid w:val="00C1792B"/>
    <w:rsid w:val="00C205D5"/>
    <w:rsid w:val="00C20602"/>
    <w:rsid w:val="00C20D8D"/>
    <w:rsid w:val="00C21E70"/>
    <w:rsid w:val="00C21FB6"/>
    <w:rsid w:val="00C222A8"/>
    <w:rsid w:val="00C227DC"/>
    <w:rsid w:val="00C22D9A"/>
    <w:rsid w:val="00C22ED7"/>
    <w:rsid w:val="00C2301E"/>
    <w:rsid w:val="00C23078"/>
    <w:rsid w:val="00C23545"/>
    <w:rsid w:val="00C235F0"/>
    <w:rsid w:val="00C23C5F"/>
    <w:rsid w:val="00C23D3F"/>
    <w:rsid w:val="00C240D4"/>
    <w:rsid w:val="00C2417B"/>
    <w:rsid w:val="00C241CB"/>
    <w:rsid w:val="00C2477D"/>
    <w:rsid w:val="00C24806"/>
    <w:rsid w:val="00C24B97"/>
    <w:rsid w:val="00C251FA"/>
    <w:rsid w:val="00C25273"/>
    <w:rsid w:val="00C256B5"/>
    <w:rsid w:val="00C25ED3"/>
    <w:rsid w:val="00C2624E"/>
    <w:rsid w:val="00C263A1"/>
    <w:rsid w:val="00C26610"/>
    <w:rsid w:val="00C266F8"/>
    <w:rsid w:val="00C26728"/>
    <w:rsid w:val="00C26733"/>
    <w:rsid w:val="00C267AA"/>
    <w:rsid w:val="00C26C97"/>
    <w:rsid w:val="00C26D46"/>
    <w:rsid w:val="00C26F6B"/>
    <w:rsid w:val="00C2752F"/>
    <w:rsid w:val="00C275B0"/>
    <w:rsid w:val="00C27791"/>
    <w:rsid w:val="00C277F9"/>
    <w:rsid w:val="00C27F0A"/>
    <w:rsid w:val="00C3065E"/>
    <w:rsid w:val="00C30C97"/>
    <w:rsid w:val="00C3140F"/>
    <w:rsid w:val="00C3167E"/>
    <w:rsid w:val="00C31B24"/>
    <w:rsid w:val="00C31BE2"/>
    <w:rsid w:val="00C31F62"/>
    <w:rsid w:val="00C3208C"/>
    <w:rsid w:val="00C32315"/>
    <w:rsid w:val="00C32396"/>
    <w:rsid w:val="00C3257A"/>
    <w:rsid w:val="00C32838"/>
    <w:rsid w:val="00C32884"/>
    <w:rsid w:val="00C32921"/>
    <w:rsid w:val="00C32FC1"/>
    <w:rsid w:val="00C33127"/>
    <w:rsid w:val="00C33296"/>
    <w:rsid w:val="00C3357A"/>
    <w:rsid w:val="00C3373C"/>
    <w:rsid w:val="00C33848"/>
    <w:rsid w:val="00C33DC8"/>
    <w:rsid w:val="00C341B0"/>
    <w:rsid w:val="00C34269"/>
    <w:rsid w:val="00C34433"/>
    <w:rsid w:val="00C351F2"/>
    <w:rsid w:val="00C3547B"/>
    <w:rsid w:val="00C3553C"/>
    <w:rsid w:val="00C35621"/>
    <w:rsid w:val="00C35683"/>
    <w:rsid w:val="00C357E1"/>
    <w:rsid w:val="00C35B61"/>
    <w:rsid w:val="00C35BB3"/>
    <w:rsid w:val="00C35C60"/>
    <w:rsid w:val="00C35F30"/>
    <w:rsid w:val="00C36289"/>
    <w:rsid w:val="00C362E7"/>
    <w:rsid w:val="00C365E5"/>
    <w:rsid w:val="00C368CA"/>
    <w:rsid w:val="00C36AEC"/>
    <w:rsid w:val="00C36CA3"/>
    <w:rsid w:val="00C36F8B"/>
    <w:rsid w:val="00C36FC5"/>
    <w:rsid w:val="00C3709E"/>
    <w:rsid w:val="00C371C3"/>
    <w:rsid w:val="00C374AA"/>
    <w:rsid w:val="00C3793B"/>
    <w:rsid w:val="00C37A8F"/>
    <w:rsid w:val="00C37EBC"/>
    <w:rsid w:val="00C37EF3"/>
    <w:rsid w:val="00C40149"/>
    <w:rsid w:val="00C406D2"/>
    <w:rsid w:val="00C4083A"/>
    <w:rsid w:val="00C40954"/>
    <w:rsid w:val="00C40982"/>
    <w:rsid w:val="00C40A53"/>
    <w:rsid w:val="00C40B94"/>
    <w:rsid w:val="00C40C59"/>
    <w:rsid w:val="00C40E91"/>
    <w:rsid w:val="00C4109C"/>
    <w:rsid w:val="00C412F1"/>
    <w:rsid w:val="00C413C2"/>
    <w:rsid w:val="00C415BD"/>
    <w:rsid w:val="00C415C3"/>
    <w:rsid w:val="00C415E0"/>
    <w:rsid w:val="00C4175F"/>
    <w:rsid w:val="00C41E8F"/>
    <w:rsid w:val="00C41EFB"/>
    <w:rsid w:val="00C42F99"/>
    <w:rsid w:val="00C434D4"/>
    <w:rsid w:val="00C43A11"/>
    <w:rsid w:val="00C43C32"/>
    <w:rsid w:val="00C43D75"/>
    <w:rsid w:val="00C43EB8"/>
    <w:rsid w:val="00C443D3"/>
    <w:rsid w:val="00C446B9"/>
    <w:rsid w:val="00C448AC"/>
    <w:rsid w:val="00C44C04"/>
    <w:rsid w:val="00C44CBE"/>
    <w:rsid w:val="00C44F4E"/>
    <w:rsid w:val="00C45022"/>
    <w:rsid w:val="00C457ED"/>
    <w:rsid w:val="00C45A5A"/>
    <w:rsid w:val="00C461EB"/>
    <w:rsid w:val="00C46567"/>
    <w:rsid w:val="00C46692"/>
    <w:rsid w:val="00C46734"/>
    <w:rsid w:val="00C46DD5"/>
    <w:rsid w:val="00C472B1"/>
    <w:rsid w:val="00C473D8"/>
    <w:rsid w:val="00C47441"/>
    <w:rsid w:val="00C476FB"/>
    <w:rsid w:val="00C47CB1"/>
    <w:rsid w:val="00C47EA8"/>
    <w:rsid w:val="00C47F63"/>
    <w:rsid w:val="00C502AD"/>
    <w:rsid w:val="00C50346"/>
    <w:rsid w:val="00C503C3"/>
    <w:rsid w:val="00C5051A"/>
    <w:rsid w:val="00C508E4"/>
    <w:rsid w:val="00C50F0C"/>
    <w:rsid w:val="00C51077"/>
    <w:rsid w:val="00C5139D"/>
    <w:rsid w:val="00C51461"/>
    <w:rsid w:val="00C51FC9"/>
    <w:rsid w:val="00C52029"/>
    <w:rsid w:val="00C52181"/>
    <w:rsid w:val="00C521E5"/>
    <w:rsid w:val="00C5269A"/>
    <w:rsid w:val="00C52E8E"/>
    <w:rsid w:val="00C53338"/>
    <w:rsid w:val="00C5341C"/>
    <w:rsid w:val="00C534DA"/>
    <w:rsid w:val="00C5370C"/>
    <w:rsid w:val="00C53B48"/>
    <w:rsid w:val="00C53D35"/>
    <w:rsid w:val="00C5413A"/>
    <w:rsid w:val="00C54168"/>
    <w:rsid w:val="00C54318"/>
    <w:rsid w:val="00C549FA"/>
    <w:rsid w:val="00C54B3D"/>
    <w:rsid w:val="00C54CB7"/>
    <w:rsid w:val="00C54F05"/>
    <w:rsid w:val="00C552E9"/>
    <w:rsid w:val="00C562E4"/>
    <w:rsid w:val="00C569B9"/>
    <w:rsid w:val="00C56E3D"/>
    <w:rsid w:val="00C56EA5"/>
    <w:rsid w:val="00C605EF"/>
    <w:rsid w:val="00C606D1"/>
    <w:rsid w:val="00C612C0"/>
    <w:rsid w:val="00C619C7"/>
    <w:rsid w:val="00C61EAE"/>
    <w:rsid w:val="00C627EF"/>
    <w:rsid w:val="00C6292D"/>
    <w:rsid w:val="00C637F6"/>
    <w:rsid w:val="00C63DE7"/>
    <w:rsid w:val="00C63E7E"/>
    <w:rsid w:val="00C6449B"/>
    <w:rsid w:val="00C6490E"/>
    <w:rsid w:val="00C649F9"/>
    <w:rsid w:val="00C64AD5"/>
    <w:rsid w:val="00C64D04"/>
    <w:rsid w:val="00C65366"/>
    <w:rsid w:val="00C65578"/>
    <w:rsid w:val="00C65A3B"/>
    <w:rsid w:val="00C65ADD"/>
    <w:rsid w:val="00C65B60"/>
    <w:rsid w:val="00C65BDF"/>
    <w:rsid w:val="00C65C18"/>
    <w:rsid w:val="00C65CDE"/>
    <w:rsid w:val="00C66488"/>
    <w:rsid w:val="00C6650B"/>
    <w:rsid w:val="00C66940"/>
    <w:rsid w:val="00C66E37"/>
    <w:rsid w:val="00C672D0"/>
    <w:rsid w:val="00C6748E"/>
    <w:rsid w:val="00C6768A"/>
    <w:rsid w:val="00C6783B"/>
    <w:rsid w:val="00C67DC4"/>
    <w:rsid w:val="00C67E3F"/>
    <w:rsid w:val="00C70002"/>
    <w:rsid w:val="00C7013E"/>
    <w:rsid w:val="00C70217"/>
    <w:rsid w:val="00C705C2"/>
    <w:rsid w:val="00C705DD"/>
    <w:rsid w:val="00C70F98"/>
    <w:rsid w:val="00C71160"/>
    <w:rsid w:val="00C715A4"/>
    <w:rsid w:val="00C7184A"/>
    <w:rsid w:val="00C71A6A"/>
    <w:rsid w:val="00C71DDA"/>
    <w:rsid w:val="00C7222F"/>
    <w:rsid w:val="00C7263A"/>
    <w:rsid w:val="00C7267E"/>
    <w:rsid w:val="00C727C8"/>
    <w:rsid w:val="00C730A1"/>
    <w:rsid w:val="00C732F0"/>
    <w:rsid w:val="00C738C5"/>
    <w:rsid w:val="00C73926"/>
    <w:rsid w:val="00C73A7A"/>
    <w:rsid w:val="00C73D9B"/>
    <w:rsid w:val="00C74049"/>
    <w:rsid w:val="00C740F1"/>
    <w:rsid w:val="00C743B0"/>
    <w:rsid w:val="00C74852"/>
    <w:rsid w:val="00C74E15"/>
    <w:rsid w:val="00C74F8E"/>
    <w:rsid w:val="00C75590"/>
    <w:rsid w:val="00C75CE2"/>
    <w:rsid w:val="00C75F47"/>
    <w:rsid w:val="00C76535"/>
    <w:rsid w:val="00C76539"/>
    <w:rsid w:val="00C7678A"/>
    <w:rsid w:val="00C76E26"/>
    <w:rsid w:val="00C76FB5"/>
    <w:rsid w:val="00C77552"/>
    <w:rsid w:val="00C77809"/>
    <w:rsid w:val="00C77AB7"/>
    <w:rsid w:val="00C77F3F"/>
    <w:rsid w:val="00C80268"/>
    <w:rsid w:val="00C807A8"/>
    <w:rsid w:val="00C808E5"/>
    <w:rsid w:val="00C80F95"/>
    <w:rsid w:val="00C811AF"/>
    <w:rsid w:val="00C8125E"/>
    <w:rsid w:val="00C818FF"/>
    <w:rsid w:val="00C81A9C"/>
    <w:rsid w:val="00C81BE3"/>
    <w:rsid w:val="00C81BFB"/>
    <w:rsid w:val="00C81E28"/>
    <w:rsid w:val="00C81F02"/>
    <w:rsid w:val="00C8214E"/>
    <w:rsid w:val="00C821AD"/>
    <w:rsid w:val="00C824D6"/>
    <w:rsid w:val="00C824EF"/>
    <w:rsid w:val="00C82570"/>
    <w:rsid w:val="00C826D6"/>
    <w:rsid w:val="00C82F14"/>
    <w:rsid w:val="00C83570"/>
    <w:rsid w:val="00C836DE"/>
    <w:rsid w:val="00C83942"/>
    <w:rsid w:val="00C83D43"/>
    <w:rsid w:val="00C84054"/>
    <w:rsid w:val="00C84179"/>
    <w:rsid w:val="00C844AC"/>
    <w:rsid w:val="00C84672"/>
    <w:rsid w:val="00C8471D"/>
    <w:rsid w:val="00C84D65"/>
    <w:rsid w:val="00C84E1A"/>
    <w:rsid w:val="00C84F3E"/>
    <w:rsid w:val="00C850F6"/>
    <w:rsid w:val="00C85353"/>
    <w:rsid w:val="00C8564A"/>
    <w:rsid w:val="00C85AC8"/>
    <w:rsid w:val="00C85C2C"/>
    <w:rsid w:val="00C85E8A"/>
    <w:rsid w:val="00C85EC9"/>
    <w:rsid w:val="00C8600B"/>
    <w:rsid w:val="00C865C3"/>
    <w:rsid w:val="00C87069"/>
    <w:rsid w:val="00C870A2"/>
    <w:rsid w:val="00C876C7"/>
    <w:rsid w:val="00C87A36"/>
    <w:rsid w:val="00C87AC9"/>
    <w:rsid w:val="00C87B5D"/>
    <w:rsid w:val="00C87BEB"/>
    <w:rsid w:val="00C901A5"/>
    <w:rsid w:val="00C9022B"/>
    <w:rsid w:val="00C9027B"/>
    <w:rsid w:val="00C90679"/>
    <w:rsid w:val="00C90D95"/>
    <w:rsid w:val="00C91741"/>
    <w:rsid w:val="00C91913"/>
    <w:rsid w:val="00C919F9"/>
    <w:rsid w:val="00C921B0"/>
    <w:rsid w:val="00C92376"/>
    <w:rsid w:val="00C926F0"/>
    <w:rsid w:val="00C92E69"/>
    <w:rsid w:val="00C93184"/>
    <w:rsid w:val="00C93354"/>
    <w:rsid w:val="00C935FC"/>
    <w:rsid w:val="00C93631"/>
    <w:rsid w:val="00C93AD3"/>
    <w:rsid w:val="00C93DDF"/>
    <w:rsid w:val="00C93FD1"/>
    <w:rsid w:val="00C93FF9"/>
    <w:rsid w:val="00C940A9"/>
    <w:rsid w:val="00C943FB"/>
    <w:rsid w:val="00C94B4D"/>
    <w:rsid w:val="00C94CC6"/>
    <w:rsid w:val="00C95079"/>
    <w:rsid w:val="00C9522B"/>
    <w:rsid w:val="00C95323"/>
    <w:rsid w:val="00C953BF"/>
    <w:rsid w:val="00C9566C"/>
    <w:rsid w:val="00C956F2"/>
    <w:rsid w:val="00C958F3"/>
    <w:rsid w:val="00C95C47"/>
    <w:rsid w:val="00C9602C"/>
    <w:rsid w:val="00C960EB"/>
    <w:rsid w:val="00C96163"/>
    <w:rsid w:val="00C96562"/>
    <w:rsid w:val="00C965EF"/>
    <w:rsid w:val="00C96B64"/>
    <w:rsid w:val="00C96F36"/>
    <w:rsid w:val="00C970A4"/>
    <w:rsid w:val="00C971A4"/>
    <w:rsid w:val="00C9722A"/>
    <w:rsid w:val="00C97379"/>
    <w:rsid w:val="00C974C6"/>
    <w:rsid w:val="00C9799C"/>
    <w:rsid w:val="00CA0319"/>
    <w:rsid w:val="00CA04AC"/>
    <w:rsid w:val="00CA06E2"/>
    <w:rsid w:val="00CA085D"/>
    <w:rsid w:val="00CA1240"/>
    <w:rsid w:val="00CA1271"/>
    <w:rsid w:val="00CA1411"/>
    <w:rsid w:val="00CA14D5"/>
    <w:rsid w:val="00CA1588"/>
    <w:rsid w:val="00CA22BF"/>
    <w:rsid w:val="00CA23B9"/>
    <w:rsid w:val="00CA23C7"/>
    <w:rsid w:val="00CA2685"/>
    <w:rsid w:val="00CA28FE"/>
    <w:rsid w:val="00CA2E08"/>
    <w:rsid w:val="00CA2E2D"/>
    <w:rsid w:val="00CA2F41"/>
    <w:rsid w:val="00CA3064"/>
    <w:rsid w:val="00CA31D3"/>
    <w:rsid w:val="00CA3213"/>
    <w:rsid w:val="00CA338E"/>
    <w:rsid w:val="00CA3461"/>
    <w:rsid w:val="00CA3884"/>
    <w:rsid w:val="00CA39BD"/>
    <w:rsid w:val="00CA3E6F"/>
    <w:rsid w:val="00CA3EE5"/>
    <w:rsid w:val="00CA48B9"/>
    <w:rsid w:val="00CA4E5E"/>
    <w:rsid w:val="00CA4ECD"/>
    <w:rsid w:val="00CA500E"/>
    <w:rsid w:val="00CA5481"/>
    <w:rsid w:val="00CA555D"/>
    <w:rsid w:val="00CA5C88"/>
    <w:rsid w:val="00CA5CA0"/>
    <w:rsid w:val="00CA63DC"/>
    <w:rsid w:val="00CA65E0"/>
    <w:rsid w:val="00CA6AB1"/>
    <w:rsid w:val="00CA6BA0"/>
    <w:rsid w:val="00CA6D1F"/>
    <w:rsid w:val="00CA6F9A"/>
    <w:rsid w:val="00CA73AD"/>
    <w:rsid w:val="00CA78F0"/>
    <w:rsid w:val="00CA7C98"/>
    <w:rsid w:val="00CA7DC8"/>
    <w:rsid w:val="00CB0049"/>
    <w:rsid w:val="00CB01A4"/>
    <w:rsid w:val="00CB053C"/>
    <w:rsid w:val="00CB0810"/>
    <w:rsid w:val="00CB0A95"/>
    <w:rsid w:val="00CB0B3A"/>
    <w:rsid w:val="00CB10FC"/>
    <w:rsid w:val="00CB14BD"/>
    <w:rsid w:val="00CB17D5"/>
    <w:rsid w:val="00CB1E46"/>
    <w:rsid w:val="00CB37A3"/>
    <w:rsid w:val="00CB3BC8"/>
    <w:rsid w:val="00CB3EF0"/>
    <w:rsid w:val="00CB3F36"/>
    <w:rsid w:val="00CB4008"/>
    <w:rsid w:val="00CB4028"/>
    <w:rsid w:val="00CB43DC"/>
    <w:rsid w:val="00CB4B36"/>
    <w:rsid w:val="00CB4D81"/>
    <w:rsid w:val="00CB52A1"/>
    <w:rsid w:val="00CB5300"/>
    <w:rsid w:val="00CB594E"/>
    <w:rsid w:val="00CB5979"/>
    <w:rsid w:val="00CB5D5E"/>
    <w:rsid w:val="00CB5F57"/>
    <w:rsid w:val="00CB645F"/>
    <w:rsid w:val="00CB6C15"/>
    <w:rsid w:val="00CB7507"/>
    <w:rsid w:val="00CB7661"/>
    <w:rsid w:val="00CB77AE"/>
    <w:rsid w:val="00CB781A"/>
    <w:rsid w:val="00CB7E88"/>
    <w:rsid w:val="00CC0027"/>
    <w:rsid w:val="00CC0459"/>
    <w:rsid w:val="00CC0643"/>
    <w:rsid w:val="00CC0776"/>
    <w:rsid w:val="00CC088D"/>
    <w:rsid w:val="00CC0C91"/>
    <w:rsid w:val="00CC1289"/>
    <w:rsid w:val="00CC14A5"/>
    <w:rsid w:val="00CC15B3"/>
    <w:rsid w:val="00CC2ABD"/>
    <w:rsid w:val="00CC2E4D"/>
    <w:rsid w:val="00CC3324"/>
    <w:rsid w:val="00CC3520"/>
    <w:rsid w:val="00CC39F4"/>
    <w:rsid w:val="00CC439C"/>
    <w:rsid w:val="00CC43A1"/>
    <w:rsid w:val="00CC457C"/>
    <w:rsid w:val="00CC45DD"/>
    <w:rsid w:val="00CC461C"/>
    <w:rsid w:val="00CC4E46"/>
    <w:rsid w:val="00CC5826"/>
    <w:rsid w:val="00CC5D4A"/>
    <w:rsid w:val="00CC5DCD"/>
    <w:rsid w:val="00CC5F6A"/>
    <w:rsid w:val="00CC6096"/>
    <w:rsid w:val="00CC6282"/>
    <w:rsid w:val="00CC62D0"/>
    <w:rsid w:val="00CC65CE"/>
    <w:rsid w:val="00CC66A4"/>
    <w:rsid w:val="00CC6709"/>
    <w:rsid w:val="00CC6E7E"/>
    <w:rsid w:val="00CC6EED"/>
    <w:rsid w:val="00CC72EE"/>
    <w:rsid w:val="00CC76C0"/>
    <w:rsid w:val="00CC7AE8"/>
    <w:rsid w:val="00CC7F7A"/>
    <w:rsid w:val="00CD0106"/>
    <w:rsid w:val="00CD0787"/>
    <w:rsid w:val="00CD0AD2"/>
    <w:rsid w:val="00CD0C69"/>
    <w:rsid w:val="00CD0D31"/>
    <w:rsid w:val="00CD0FFD"/>
    <w:rsid w:val="00CD1416"/>
    <w:rsid w:val="00CD14EB"/>
    <w:rsid w:val="00CD1583"/>
    <w:rsid w:val="00CD161F"/>
    <w:rsid w:val="00CD162E"/>
    <w:rsid w:val="00CD182E"/>
    <w:rsid w:val="00CD19CE"/>
    <w:rsid w:val="00CD1F73"/>
    <w:rsid w:val="00CD20F3"/>
    <w:rsid w:val="00CD2160"/>
    <w:rsid w:val="00CD2228"/>
    <w:rsid w:val="00CD2269"/>
    <w:rsid w:val="00CD2914"/>
    <w:rsid w:val="00CD2B60"/>
    <w:rsid w:val="00CD2B7B"/>
    <w:rsid w:val="00CD2DB7"/>
    <w:rsid w:val="00CD3524"/>
    <w:rsid w:val="00CD3655"/>
    <w:rsid w:val="00CD36FE"/>
    <w:rsid w:val="00CD3C89"/>
    <w:rsid w:val="00CD3EDA"/>
    <w:rsid w:val="00CD3F05"/>
    <w:rsid w:val="00CD431A"/>
    <w:rsid w:val="00CD4C1F"/>
    <w:rsid w:val="00CD4F17"/>
    <w:rsid w:val="00CD50EC"/>
    <w:rsid w:val="00CD51D0"/>
    <w:rsid w:val="00CD536A"/>
    <w:rsid w:val="00CD56DC"/>
    <w:rsid w:val="00CD57E5"/>
    <w:rsid w:val="00CD5C27"/>
    <w:rsid w:val="00CD5D38"/>
    <w:rsid w:val="00CD616D"/>
    <w:rsid w:val="00CD6172"/>
    <w:rsid w:val="00CD621C"/>
    <w:rsid w:val="00CD6303"/>
    <w:rsid w:val="00CD632B"/>
    <w:rsid w:val="00CD6449"/>
    <w:rsid w:val="00CD653D"/>
    <w:rsid w:val="00CD6935"/>
    <w:rsid w:val="00CD6A57"/>
    <w:rsid w:val="00CD6AC0"/>
    <w:rsid w:val="00CD7363"/>
    <w:rsid w:val="00CD7559"/>
    <w:rsid w:val="00CD7633"/>
    <w:rsid w:val="00CD7899"/>
    <w:rsid w:val="00CD7ABC"/>
    <w:rsid w:val="00CD7F48"/>
    <w:rsid w:val="00CE0900"/>
    <w:rsid w:val="00CE0F81"/>
    <w:rsid w:val="00CE109D"/>
    <w:rsid w:val="00CE10F8"/>
    <w:rsid w:val="00CE163A"/>
    <w:rsid w:val="00CE16A4"/>
    <w:rsid w:val="00CE1A50"/>
    <w:rsid w:val="00CE1A62"/>
    <w:rsid w:val="00CE1A8B"/>
    <w:rsid w:val="00CE1B49"/>
    <w:rsid w:val="00CE1B9A"/>
    <w:rsid w:val="00CE1D1C"/>
    <w:rsid w:val="00CE1F5B"/>
    <w:rsid w:val="00CE1F62"/>
    <w:rsid w:val="00CE2257"/>
    <w:rsid w:val="00CE254B"/>
    <w:rsid w:val="00CE2AE3"/>
    <w:rsid w:val="00CE33B2"/>
    <w:rsid w:val="00CE33D8"/>
    <w:rsid w:val="00CE3E1F"/>
    <w:rsid w:val="00CE3ED6"/>
    <w:rsid w:val="00CE4039"/>
    <w:rsid w:val="00CE484E"/>
    <w:rsid w:val="00CE49B7"/>
    <w:rsid w:val="00CE5BBB"/>
    <w:rsid w:val="00CE5CBF"/>
    <w:rsid w:val="00CE5D78"/>
    <w:rsid w:val="00CE6301"/>
    <w:rsid w:val="00CE6E08"/>
    <w:rsid w:val="00CE7678"/>
    <w:rsid w:val="00CE77B9"/>
    <w:rsid w:val="00CE7A98"/>
    <w:rsid w:val="00CE7C7B"/>
    <w:rsid w:val="00CE7E92"/>
    <w:rsid w:val="00CF0060"/>
    <w:rsid w:val="00CF0170"/>
    <w:rsid w:val="00CF1B89"/>
    <w:rsid w:val="00CF223B"/>
    <w:rsid w:val="00CF2613"/>
    <w:rsid w:val="00CF2822"/>
    <w:rsid w:val="00CF2E9E"/>
    <w:rsid w:val="00CF311C"/>
    <w:rsid w:val="00CF43E5"/>
    <w:rsid w:val="00CF4429"/>
    <w:rsid w:val="00CF4979"/>
    <w:rsid w:val="00CF49F9"/>
    <w:rsid w:val="00CF5BCF"/>
    <w:rsid w:val="00CF5C97"/>
    <w:rsid w:val="00CF5F53"/>
    <w:rsid w:val="00CF6833"/>
    <w:rsid w:val="00CF68AC"/>
    <w:rsid w:val="00CF6C7E"/>
    <w:rsid w:val="00CF6CCA"/>
    <w:rsid w:val="00CF6D84"/>
    <w:rsid w:val="00CF6E1B"/>
    <w:rsid w:val="00CF6F10"/>
    <w:rsid w:val="00CF6F25"/>
    <w:rsid w:val="00CF7049"/>
    <w:rsid w:val="00CF70A9"/>
    <w:rsid w:val="00CF70DA"/>
    <w:rsid w:val="00CF7DD4"/>
    <w:rsid w:val="00CF7EFB"/>
    <w:rsid w:val="00D0001C"/>
    <w:rsid w:val="00D00483"/>
    <w:rsid w:val="00D0099A"/>
    <w:rsid w:val="00D00E00"/>
    <w:rsid w:val="00D00E31"/>
    <w:rsid w:val="00D010B9"/>
    <w:rsid w:val="00D01229"/>
    <w:rsid w:val="00D012E2"/>
    <w:rsid w:val="00D01380"/>
    <w:rsid w:val="00D015D8"/>
    <w:rsid w:val="00D0186D"/>
    <w:rsid w:val="00D01C76"/>
    <w:rsid w:val="00D01F4A"/>
    <w:rsid w:val="00D02A82"/>
    <w:rsid w:val="00D035FB"/>
    <w:rsid w:val="00D0384E"/>
    <w:rsid w:val="00D038C9"/>
    <w:rsid w:val="00D03A61"/>
    <w:rsid w:val="00D03E58"/>
    <w:rsid w:val="00D03F56"/>
    <w:rsid w:val="00D049AB"/>
    <w:rsid w:val="00D04A61"/>
    <w:rsid w:val="00D04BB3"/>
    <w:rsid w:val="00D0501A"/>
    <w:rsid w:val="00D05736"/>
    <w:rsid w:val="00D05738"/>
    <w:rsid w:val="00D05AB4"/>
    <w:rsid w:val="00D05C0A"/>
    <w:rsid w:val="00D05CF2"/>
    <w:rsid w:val="00D06100"/>
    <w:rsid w:val="00D0628D"/>
    <w:rsid w:val="00D06351"/>
    <w:rsid w:val="00D06516"/>
    <w:rsid w:val="00D066A2"/>
    <w:rsid w:val="00D06828"/>
    <w:rsid w:val="00D068F4"/>
    <w:rsid w:val="00D06D24"/>
    <w:rsid w:val="00D07034"/>
    <w:rsid w:val="00D071D6"/>
    <w:rsid w:val="00D07333"/>
    <w:rsid w:val="00D073C7"/>
    <w:rsid w:val="00D07B41"/>
    <w:rsid w:val="00D07E55"/>
    <w:rsid w:val="00D100B4"/>
    <w:rsid w:val="00D10373"/>
    <w:rsid w:val="00D110F3"/>
    <w:rsid w:val="00D11167"/>
    <w:rsid w:val="00D11391"/>
    <w:rsid w:val="00D11415"/>
    <w:rsid w:val="00D1155D"/>
    <w:rsid w:val="00D11B89"/>
    <w:rsid w:val="00D11C5A"/>
    <w:rsid w:val="00D11E3E"/>
    <w:rsid w:val="00D11E9B"/>
    <w:rsid w:val="00D12046"/>
    <w:rsid w:val="00D12247"/>
    <w:rsid w:val="00D12340"/>
    <w:rsid w:val="00D12385"/>
    <w:rsid w:val="00D124D9"/>
    <w:rsid w:val="00D12C32"/>
    <w:rsid w:val="00D12D5A"/>
    <w:rsid w:val="00D13276"/>
    <w:rsid w:val="00D13945"/>
    <w:rsid w:val="00D13965"/>
    <w:rsid w:val="00D14165"/>
    <w:rsid w:val="00D143CC"/>
    <w:rsid w:val="00D14637"/>
    <w:rsid w:val="00D14639"/>
    <w:rsid w:val="00D14EBA"/>
    <w:rsid w:val="00D14F4A"/>
    <w:rsid w:val="00D1518F"/>
    <w:rsid w:val="00D151E2"/>
    <w:rsid w:val="00D15340"/>
    <w:rsid w:val="00D154DD"/>
    <w:rsid w:val="00D1552F"/>
    <w:rsid w:val="00D160ED"/>
    <w:rsid w:val="00D166E7"/>
    <w:rsid w:val="00D16849"/>
    <w:rsid w:val="00D16877"/>
    <w:rsid w:val="00D17266"/>
    <w:rsid w:val="00D17997"/>
    <w:rsid w:val="00D17B75"/>
    <w:rsid w:val="00D17CFE"/>
    <w:rsid w:val="00D20090"/>
    <w:rsid w:val="00D20695"/>
    <w:rsid w:val="00D20B96"/>
    <w:rsid w:val="00D20C4F"/>
    <w:rsid w:val="00D21206"/>
    <w:rsid w:val="00D2136B"/>
    <w:rsid w:val="00D2174B"/>
    <w:rsid w:val="00D217C1"/>
    <w:rsid w:val="00D217D7"/>
    <w:rsid w:val="00D2192F"/>
    <w:rsid w:val="00D21B60"/>
    <w:rsid w:val="00D21C25"/>
    <w:rsid w:val="00D21E3E"/>
    <w:rsid w:val="00D22493"/>
    <w:rsid w:val="00D22926"/>
    <w:rsid w:val="00D22B4D"/>
    <w:rsid w:val="00D22F7B"/>
    <w:rsid w:val="00D22FC4"/>
    <w:rsid w:val="00D230A8"/>
    <w:rsid w:val="00D233CA"/>
    <w:rsid w:val="00D233EC"/>
    <w:rsid w:val="00D23A4F"/>
    <w:rsid w:val="00D23BF6"/>
    <w:rsid w:val="00D23EC8"/>
    <w:rsid w:val="00D24683"/>
    <w:rsid w:val="00D24F74"/>
    <w:rsid w:val="00D25033"/>
    <w:rsid w:val="00D25496"/>
    <w:rsid w:val="00D25579"/>
    <w:rsid w:val="00D25903"/>
    <w:rsid w:val="00D259C0"/>
    <w:rsid w:val="00D25A2E"/>
    <w:rsid w:val="00D25E36"/>
    <w:rsid w:val="00D25FC3"/>
    <w:rsid w:val="00D26580"/>
    <w:rsid w:val="00D27246"/>
    <w:rsid w:val="00D277BA"/>
    <w:rsid w:val="00D279D6"/>
    <w:rsid w:val="00D27AE9"/>
    <w:rsid w:val="00D27C17"/>
    <w:rsid w:val="00D30669"/>
    <w:rsid w:val="00D307FB"/>
    <w:rsid w:val="00D30F85"/>
    <w:rsid w:val="00D31300"/>
    <w:rsid w:val="00D314B1"/>
    <w:rsid w:val="00D3170F"/>
    <w:rsid w:val="00D31765"/>
    <w:rsid w:val="00D31773"/>
    <w:rsid w:val="00D31B1E"/>
    <w:rsid w:val="00D31C3F"/>
    <w:rsid w:val="00D31DF5"/>
    <w:rsid w:val="00D322FC"/>
    <w:rsid w:val="00D32873"/>
    <w:rsid w:val="00D332A4"/>
    <w:rsid w:val="00D337FF"/>
    <w:rsid w:val="00D33849"/>
    <w:rsid w:val="00D33A45"/>
    <w:rsid w:val="00D33AC9"/>
    <w:rsid w:val="00D33B67"/>
    <w:rsid w:val="00D340C8"/>
    <w:rsid w:val="00D340FE"/>
    <w:rsid w:val="00D34854"/>
    <w:rsid w:val="00D34943"/>
    <w:rsid w:val="00D34A3F"/>
    <w:rsid w:val="00D35346"/>
    <w:rsid w:val="00D35356"/>
    <w:rsid w:val="00D35448"/>
    <w:rsid w:val="00D35D20"/>
    <w:rsid w:val="00D36714"/>
    <w:rsid w:val="00D36752"/>
    <w:rsid w:val="00D36783"/>
    <w:rsid w:val="00D3766E"/>
    <w:rsid w:val="00D3778D"/>
    <w:rsid w:val="00D377BB"/>
    <w:rsid w:val="00D37B84"/>
    <w:rsid w:val="00D4039A"/>
    <w:rsid w:val="00D405CA"/>
    <w:rsid w:val="00D40B6C"/>
    <w:rsid w:val="00D40BFD"/>
    <w:rsid w:val="00D40CA6"/>
    <w:rsid w:val="00D40FB0"/>
    <w:rsid w:val="00D410C1"/>
    <w:rsid w:val="00D410E9"/>
    <w:rsid w:val="00D411A4"/>
    <w:rsid w:val="00D41484"/>
    <w:rsid w:val="00D414E7"/>
    <w:rsid w:val="00D41666"/>
    <w:rsid w:val="00D417E0"/>
    <w:rsid w:val="00D417F2"/>
    <w:rsid w:val="00D41917"/>
    <w:rsid w:val="00D42456"/>
    <w:rsid w:val="00D42463"/>
    <w:rsid w:val="00D42CA2"/>
    <w:rsid w:val="00D42EE8"/>
    <w:rsid w:val="00D43490"/>
    <w:rsid w:val="00D437A9"/>
    <w:rsid w:val="00D4390D"/>
    <w:rsid w:val="00D43C9F"/>
    <w:rsid w:val="00D43E56"/>
    <w:rsid w:val="00D4411E"/>
    <w:rsid w:val="00D44239"/>
    <w:rsid w:val="00D44445"/>
    <w:rsid w:val="00D44715"/>
    <w:rsid w:val="00D44BE4"/>
    <w:rsid w:val="00D44C75"/>
    <w:rsid w:val="00D44DFE"/>
    <w:rsid w:val="00D4574C"/>
    <w:rsid w:val="00D459BA"/>
    <w:rsid w:val="00D45C13"/>
    <w:rsid w:val="00D45CF4"/>
    <w:rsid w:val="00D46CBD"/>
    <w:rsid w:val="00D478DF"/>
    <w:rsid w:val="00D47A25"/>
    <w:rsid w:val="00D47A5F"/>
    <w:rsid w:val="00D47FA0"/>
    <w:rsid w:val="00D50374"/>
    <w:rsid w:val="00D50C01"/>
    <w:rsid w:val="00D50CB3"/>
    <w:rsid w:val="00D50D2E"/>
    <w:rsid w:val="00D50EE4"/>
    <w:rsid w:val="00D510A9"/>
    <w:rsid w:val="00D514A4"/>
    <w:rsid w:val="00D51912"/>
    <w:rsid w:val="00D5295D"/>
    <w:rsid w:val="00D52E81"/>
    <w:rsid w:val="00D5306D"/>
    <w:rsid w:val="00D53314"/>
    <w:rsid w:val="00D5333A"/>
    <w:rsid w:val="00D53503"/>
    <w:rsid w:val="00D535E1"/>
    <w:rsid w:val="00D5386D"/>
    <w:rsid w:val="00D53E48"/>
    <w:rsid w:val="00D5434F"/>
    <w:rsid w:val="00D545CA"/>
    <w:rsid w:val="00D548C0"/>
    <w:rsid w:val="00D54E9E"/>
    <w:rsid w:val="00D55502"/>
    <w:rsid w:val="00D55520"/>
    <w:rsid w:val="00D555B6"/>
    <w:rsid w:val="00D56200"/>
    <w:rsid w:val="00D56490"/>
    <w:rsid w:val="00D56778"/>
    <w:rsid w:val="00D56F2C"/>
    <w:rsid w:val="00D57187"/>
    <w:rsid w:val="00D571A3"/>
    <w:rsid w:val="00D571E1"/>
    <w:rsid w:val="00D5746A"/>
    <w:rsid w:val="00D57714"/>
    <w:rsid w:val="00D57828"/>
    <w:rsid w:val="00D57B97"/>
    <w:rsid w:val="00D57DBF"/>
    <w:rsid w:val="00D57E60"/>
    <w:rsid w:val="00D60319"/>
    <w:rsid w:val="00D60536"/>
    <w:rsid w:val="00D6072D"/>
    <w:rsid w:val="00D60B93"/>
    <w:rsid w:val="00D60CBF"/>
    <w:rsid w:val="00D60E55"/>
    <w:rsid w:val="00D6128E"/>
    <w:rsid w:val="00D61964"/>
    <w:rsid w:val="00D61AC5"/>
    <w:rsid w:val="00D61B96"/>
    <w:rsid w:val="00D61CC8"/>
    <w:rsid w:val="00D62BAE"/>
    <w:rsid w:val="00D63C16"/>
    <w:rsid w:val="00D6464F"/>
    <w:rsid w:val="00D65045"/>
    <w:rsid w:val="00D653B2"/>
    <w:rsid w:val="00D654E2"/>
    <w:rsid w:val="00D6552C"/>
    <w:rsid w:val="00D6583E"/>
    <w:rsid w:val="00D65933"/>
    <w:rsid w:val="00D662FA"/>
    <w:rsid w:val="00D67D82"/>
    <w:rsid w:val="00D70059"/>
    <w:rsid w:val="00D70290"/>
    <w:rsid w:val="00D703ED"/>
    <w:rsid w:val="00D7070D"/>
    <w:rsid w:val="00D70CDD"/>
    <w:rsid w:val="00D71206"/>
    <w:rsid w:val="00D71439"/>
    <w:rsid w:val="00D7143B"/>
    <w:rsid w:val="00D71696"/>
    <w:rsid w:val="00D71E66"/>
    <w:rsid w:val="00D72171"/>
    <w:rsid w:val="00D72555"/>
    <w:rsid w:val="00D72EAC"/>
    <w:rsid w:val="00D72F95"/>
    <w:rsid w:val="00D7326D"/>
    <w:rsid w:val="00D73589"/>
    <w:rsid w:val="00D736E3"/>
    <w:rsid w:val="00D73A6D"/>
    <w:rsid w:val="00D73E07"/>
    <w:rsid w:val="00D74386"/>
    <w:rsid w:val="00D748AC"/>
    <w:rsid w:val="00D750E6"/>
    <w:rsid w:val="00D75AF0"/>
    <w:rsid w:val="00D75E8A"/>
    <w:rsid w:val="00D76258"/>
    <w:rsid w:val="00D76AB0"/>
    <w:rsid w:val="00D77672"/>
    <w:rsid w:val="00D77C8D"/>
    <w:rsid w:val="00D77D20"/>
    <w:rsid w:val="00D77D82"/>
    <w:rsid w:val="00D804BA"/>
    <w:rsid w:val="00D807D4"/>
    <w:rsid w:val="00D8103A"/>
    <w:rsid w:val="00D81433"/>
    <w:rsid w:val="00D816D1"/>
    <w:rsid w:val="00D818E6"/>
    <w:rsid w:val="00D819DE"/>
    <w:rsid w:val="00D81AD5"/>
    <w:rsid w:val="00D81BBE"/>
    <w:rsid w:val="00D81BC1"/>
    <w:rsid w:val="00D81ED1"/>
    <w:rsid w:val="00D824FB"/>
    <w:rsid w:val="00D82B6D"/>
    <w:rsid w:val="00D82C84"/>
    <w:rsid w:val="00D8310A"/>
    <w:rsid w:val="00D8316B"/>
    <w:rsid w:val="00D83179"/>
    <w:rsid w:val="00D837EF"/>
    <w:rsid w:val="00D83872"/>
    <w:rsid w:val="00D83AFA"/>
    <w:rsid w:val="00D83FF5"/>
    <w:rsid w:val="00D8406F"/>
    <w:rsid w:val="00D84070"/>
    <w:rsid w:val="00D841ED"/>
    <w:rsid w:val="00D842CB"/>
    <w:rsid w:val="00D84366"/>
    <w:rsid w:val="00D84B26"/>
    <w:rsid w:val="00D84F67"/>
    <w:rsid w:val="00D84FBD"/>
    <w:rsid w:val="00D85826"/>
    <w:rsid w:val="00D8596F"/>
    <w:rsid w:val="00D85CAB"/>
    <w:rsid w:val="00D85F08"/>
    <w:rsid w:val="00D85F6E"/>
    <w:rsid w:val="00D867E4"/>
    <w:rsid w:val="00D8724D"/>
    <w:rsid w:val="00D872EC"/>
    <w:rsid w:val="00D87647"/>
    <w:rsid w:val="00D87695"/>
    <w:rsid w:val="00D87721"/>
    <w:rsid w:val="00D877D3"/>
    <w:rsid w:val="00D878B7"/>
    <w:rsid w:val="00D87A5F"/>
    <w:rsid w:val="00D87AF9"/>
    <w:rsid w:val="00D87EB5"/>
    <w:rsid w:val="00D9003D"/>
    <w:rsid w:val="00D9024B"/>
    <w:rsid w:val="00D90556"/>
    <w:rsid w:val="00D90B92"/>
    <w:rsid w:val="00D90C78"/>
    <w:rsid w:val="00D90DC5"/>
    <w:rsid w:val="00D90EA7"/>
    <w:rsid w:val="00D90FDD"/>
    <w:rsid w:val="00D9153A"/>
    <w:rsid w:val="00D91EDF"/>
    <w:rsid w:val="00D91F7F"/>
    <w:rsid w:val="00D9237A"/>
    <w:rsid w:val="00D925D6"/>
    <w:rsid w:val="00D92B8A"/>
    <w:rsid w:val="00D92F93"/>
    <w:rsid w:val="00D930C4"/>
    <w:rsid w:val="00D9315B"/>
    <w:rsid w:val="00D931BA"/>
    <w:rsid w:val="00D932EC"/>
    <w:rsid w:val="00D93AA9"/>
    <w:rsid w:val="00D93C60"/>
    <w:rsid w:val="00D93C8C"/>
    <w:rsid w:val="00D93D18"/>
    <w:rsid w:val="00D94904"/>
    <w:rsid w:val="00D94DAC"/>
    <w:rsid w:val="00D94E2E"/>
    <w:rsid w:val="00D94E9B"/>
    <w:rsid w:val="00D951D7"/>
    <w:rsid w:val="00D9581F"/>
    <w:rsid w:val="00D95978"/>
    <w:rsid w:val="00D95BBC"/>
    <w:rsid w:val="00D95D32"/>
    <w:rsid w:val="00D95D60"/>
    <w:rsid w:val="00D9624C"/>
    <w:rsid w:val="00D962E7"/>
    <w:rsid w:val="00D9690B"/>
    <w:rsid w:val="00D96B67"/>
    <w:rsid w:val="00D96DF0"/>
    <w:rsid w:val="00DA0040"/>
    <w:rsid w:val="00DA056F"/>
    <w:rsid w:val="00DA071A"/>
    <w:rsid w:val="00DA08A2"/>
    <w:rsid w:val="00DA1046"/>
    <w:rsid w:val="00DA1065"/>
    <w:rsid w:val="00DA12FC"/>
    <w:rsid w:val="00DA1B11"/>
    <w:rsid w:val="00DA1DCC"/>
    <w:rsid w:val="00DA221F"/>
    <w:rsid w:val="00DA29E2"/>
    <w:rsid w:val="00DA2F7E"/>
    <w:rsid w:val="00DA35E3"/>
    <w:rsid w:val="00DA370D"/>
    <w:rsid w:val="00DA3A67"/>
    <w:rsid w:val="00DA3A7B"/>
    <w:rsid w:val="00DA4A8B"/>
    <w:rsid w:val="00DA4EF1"/>
    <w:rsid w:val="00DA50C6"/>
    <w:rsid w:val="00DA5144"/>
    <w:rsid w:val="00DA51AA"/>
    <w:rsid w:val="00DA5BA6"/>
    <w:rsid w:val="00DA5BEB"/>
    <w:rsid w:val="00DA6046"/>
    <w:rsid w:val="00DA60F6"/>
    <w:rsid w:val="00DA6406"/>
    <w:rsid w:val="00DA69FB"/>
    <w:rsid w:val="00DA6B7C"/>
    <w:rsid w:val="00DA6D72"/>
    <w:rsid w:val="00DA7741"/>
    <w:rsid w:val="00DA7905"/>
    <w:rsid w:val="00DA7A98"/>
    <w:rsid w:val="00DA7CD0"/>
    <w:rsid w:val="00DA7FB2"/>
    <w:rsid w:val="00DB038A"/>
    <w:rsid w:val="00DB0404"/>
    <w:rsid w:val="00DB0515"/>
    <w:rsid w:val="00DB0780"/>
    <w:rsid w:val="00DB084C"/>
    <w:rsid w:val="00DB0D3A"/>
    <w:rsid w:val="00DB0DC6"/>
    <w:rsid w:val="00DB11F8"/>
    <w:rsid w:val="00DB134C"/>
    <w:rsid w:val="00DB13FC"/>
    <w:rsid w:val="00DB167A"/>
    <w:rsid w:val="00DB16E8"/>
    <w:rsid w:val="00DB190B"/>
    <w:rsid w:val="00DB195F"/>
    <w:rsid w:val="00DB1A43"/>
    <w:rsid w:val="00DB1B15"/>
    <w:rsid w:val="00DB1BFE"/>
    <w:rsid w:val="00DB1D50"/>
    <w:rsid w:val="00DB25E6"/>
    <w:rsid w:val="00DB28C2"/>
    <w:rsid w:val="00DB2A36"/>
    <w:rsid w:val="00DB2A42"/>
    <w:rsid w:val="00DB2CFD"/>
    <w:rsid w:val="00DB2FEB"/>
    <w:rsid w:val="00DB38D3"/>
    <w:rsid w:val="00DB39FA"/>
    <w:rsid w:val="00DB3D09"/>
    <w:rsid w:val="00DB3F20"/>
    <w:rsid w:val="00DB41C8"/>
    <w:rsid w:val="00DB4647"/>
    <w:rsid w:val="00DB4B19"/>
    <w:rsid w:val="00DB4D7A"/>
    <w:rsid w:val="00DB4F09"/>
    <w:rsid w:val="00DB51E1"/>
    <w:rsid w:val="00DB5D98"/>
    <w:rsid w:val="00DB5EBE"/>
    <w:rsid w:val="00DB62F9"/>
    <w:rsid w:val="00DB6B81"/>
    <w:rsid w:val="00DB6BBB"/>
    <w:rsid w:val="00DB6C48"/>
    <w:rsid w:val="00DB6CC9"/>
    <w:rsid w:val="00DB6D2A"/>
    <w:rsid w:val="00DB6DFD"/>
    <w:rsid w:val="00DB6E3C"/>
    <w:rsid w:val="00DB6E56"/>
    <w:rsid w:val="00DB70E5"/>
    <w:rsid w:val="00DB7E92"/>
    <w:rsid w:val="00DC01D2"/>
    <w:rsid w:val="00DC069C"/>
    <w:rsid w:val="00DC074E"/>
    <w:rsid w:val="00DC0ACB"/>
    <w:rsid w:val="00DC0DDD"/>
    <w:rsid w:val="00DC0DFC"/>
    <w:rsid w:val="00DC12AE"/>
    <w:rsid w:val="00DC1494"/>
    <w:rsid w:val="00DC1898"/>
    <w:rsid w:val="00DC18B6"/>
    <w:rsid w:val="00DC1C71"/>
    <w:rsid w:val="00DC1CAF"/>
    <w:rsid w:val="00DC1D38"/>
    <w:rsid w:val="00DC1D8D"/>
    <w:rsid w:val="00DC2099"/>
    <w:rsid w:val="00DC218B"/>
    <w:rsid w:val="00DC2357"/>
    <w:rsid w:val="00DC2A11"/>
    <w:rsid w:val="00DC2A64"/>
    <w:rsid w:val="00DC2DA7"/>
    <w:rsid w:val="00DC2F05"/>
    <w:rsid w:val="00DC2FC3"/>
    <w:rsid w:val="00DC3214"/>
    <w:rsid w:val="00DC358E"/>
    <w:rsid w:val="00DC383A"/>
    <w:rsid w:val="00DC3A76"/>
    <w:rsid w:val="00DC3D50"/>
    <w:rsid w:val="00DC3FAC"/>
    <w:rsid w:val="00DC40C6"/>
    <w:rsid w:val="00DC410D"/>
    <w:rsid w:val="00DC4286"/>
    <w:rsid w:val="00DC42AD"/>
    <w:rsid w:val="00DC4D41"/>
    <w:rsid w:val="00DC5181"/>
    <w:rsid w:val="00DC5672"/>
    <w:rsid w:val="00DC66C9"/>
    <w:rsid w:val="00DC68E5"/>
    <w:rsid w:val="00DC6A83"/>
    <w:rsid w:val="00DC6BAE"/>
    <w:rsid w:val="00DC740A"/>
    <w:rsid w:val="00DC78D5"/>
    <w:rsid w:val="00DC7D69"/>
    <w:rsid w:val="00DC7D7B"/>
    <w:rsid w:val="00DC7E15"/>
    <w:rsid w:val="00DD0326"/>
    <w:rsid w:val="00DD0345"/>
    <w:rsid w:val="00DD0A12"/>
    <w:rsid w:val="00DD0C1A"/>
    <w:rsid w:val="00DD0FFA"/>
    <w:rsid w:val="00DD1B4F"/>
    <w:rsid w:val="00DD1D68"/>
    <w:rsid w:val="00DD1D84"/>
    <w:rsid w:val="00DD24E7"/>
    <w:rsid w:val="00DD2C64"/>
    <w:rsid w:val="00DD2C67"/>
    <w:rsid w:val="00DD32B3"/>
    <w:rsid w:val="00DD3622"/>
    <w:rsid w:val="00DD3662"/>
    <w:rsid w:val="00DD3E7F"/>
    <w:rsid w:val="00DD3FB5"/>
    <w:rsid w:val="00DD41BF"/>
    <w:rsid w:val="00DD4326"/>
    <w:rsid w:val="00DD4602"/>
    <w:rsid w:val="00DD4786"/>
    <w:rsid w:val="00DD4A59"/>
    <w:rsid w:val="00DD4C74"/>
    <w:rsid w:val="00DD4DC6"/>
    <w:rsid w:val="00DD512F"/>
    <w:rsid w:val="00DD6471"/>
    <w:rsid w:val="00DD647E"/>
    <w:rsid w:val="00DD649E"/>
    <w:rsid w:val="00DD651D"/>
    <w:rsid w:val="00DD6F03"/>
    <w:rsid w:val="00DD725D"/>
    <w:rsid w:val="00DD7568"/>
    <w:rsid w:val="00DD76F8"/>
    <w:rsid w:val="00DD7A04"/>
    <w:rsid w:val="00DE0071"/>
    <w:rsid w:val="00DE01AE"/>
    <w:rsid w:val="00DE03D5"/>
    <w:rsid w:val="00DE046A"/>
    <w:rsid w:val="00DE06C1"/>
    <w:rsid w:val="00DE07A8"/>
    <w:rsid w:val="00DE099E"/>
    <w:rsid w:val="00DE0A13"/>
    <w:rsid w:val="00DE0A60"/>
    <w:rsid w:val="00DE0B2F"/>
    <w:rsid w:val="00DE0B6E"/>
    <w:rsid w:val="00DE0BCB"/>
    <w:rsid w:val="00DE0E11"/>
    <w:rsid w:val="00DE12AD"/>
    <w:rsid w:val="00DE13FD"/>
    <w:rsid w:val="00DE164A"/>
    <w:rsid w:val="00DE1A71"/>
    <w:rsid w:val="00DE1AC1"/>
    <w:rsid w:val="00DE24FE"/>
    <w:rsid w:val="00DE25CA"/>
    <w:rsid w:val="00DE2686"/>
    <w:rsid w:val="00DE2B2E"/>
    <w:rsid w:val="00DE2DAB"/>
    <w:rsid w:val="00DE2DAD"/>
    <w:rsid w:val="00DE3223"/>
    <w:rsid w:val="00DE39EA"/>
    <w:rsid w:val="00DE3B6B"/>
    <w:rsid w:val="00DE3BD9"/>
    <w:rsid w:val="00DE3FE7"/>
    <w:rsid w:val="00DE4060"/>
    <w:rsid w:val="00DE41DD"/>
    <w:rsid w:val="00DE463A"/>
    <w:rsid w:val="00DE494A"/>
    <w:rsid w:val="00DE4C03"/>
    <w:rsid w:val="00DE4DD3"/>
    <w:rsid w:val="00DE56DD"/>
    <w:rsid w:val="00DE56F2"/>
    <w:rsid w:val="00DE56F9"/>
    <w:rsid w:val="00DE5C98"/>
    <w:rsid w:val="00DE5E9C"/>
    <w:rsid w:val="00DE5F34"/>
    <w:rsid w:val="00DE6335"/>
    <w:rsid w:val="00DE6BB9"/>
    <w:rsid w:val="00DE727A"/>
    <w:rsid w:val="00DE7DA5"/>
    <w:rsid w:val="00DE7F53"/>
    <w:rsid w:val="00DF000E"/>
    <w:rsid w:val="00DF0088"/>
    <w:rsid w:val="00DF0209"/>
    <w:rsid w:val="00DF07AB"/>
    <w:rsid w:val="00DF0EF1"/>
    <w:rsid w:val="00DF1609"/>
    <w:rsid w:val="00DF1BAF"/>
    <w:rsid w:val="00DF1EB3"/>
    <w:rsid w:val="00DF282C"/>
    <w:rsid w:val="00DF299C"/>
    <w:rsid w:val="00DF2BC5"/>
    <w:rsid w:val="00DF2DD6"/>
    <w:rsid w:val="00DF336D"/>
    <w:rsid w:val="00DF36C0"/>
    <w:rsid w:val="00DF38AD"/>
    <w:rsid w:val="00DF3910"/>
    <w:rsid w:val="00DF498E"/>
    <w:rsid w:val="00DF4A93"/>
    <w:rsid w:val="00DF4BC5"/>
    <w:rsid w:val="00DF4D82"/>
    <w:rsid w:val="00DF57D7"/>
    <w:rsid w:val="00DF60BD"/>
    <w:rsid w:val="00DF61AA"/>
    <w:rsid w:val="00DF65B4"/>
    <w:rsid w:val="00DF668B"/>
    <w:rsid w:val="00DF689B"/>
    <w:rsid w:val="00DF68FC"/>
    <w:rsid w:val="00DF6923"/>
    <w:rsid w:val="00DF6B01"/>
    <w:rsid w:val="00DF6D0E"/>
    <w:rsid w:val="00DF704E"/>
    <w:rsid w:val="00DF7516"/>
    <w:rsid w:val="00DF7B09"/>
    <w:rsid w:val="00DF7EC6"/>
    <w:rsid w:val="00DF7FF3"/>
    <w:rsid w:val="00E005EF"/>
    <w:rsid w:val="00E00BF6"/>
    <w:rsid w:val="00E00C3F"/>
    <w:rsid w:val="00E00D22"/>
    <w:rsid w:val="00E01430"/>
    <w:rsid w:val="00E01654"/>
    <w:rsid w:val="00E01A89"/>
    <w:rsid w:val="00E01B28"/>
    <w:rsid w:val="00E01BB8"/>
    <w:rsid w:val="00E02248"/>
    <w:rsid w:val="00E02EBA"/>
    <w:rsid w:val="00E03668"/>
    <w:rsid w:val="00E03AFB"/>
    <w:rsid w:val="00E03E1D"/>
    <w:rsid w:val="00E03E4C"/>
    <w:rsid w:val="00E03F44"/>
    <w:rsid w:val="00E045B4"/>
    <w:rsid w:val="00E045C9"/>
    <w:rsid w:val="00E046B6"/>
    <w:rsid w:val="00E04735"/>
    <w:rsid w:val="00E047B9"/>
    <w:rsid w:val="00E04CF3"/>
    <w:rsid w:val="00E05082"/>
    <w:rsid w:val="00E05277"/>
    <w:rsid w:val="00E05461"/>
    <w:rsid w:val="00E055CA"/>
    <w:rsid w:val="00E0571E"/>
    <w:rsid w:val="00E0580A"/>
    <w:rsid w:val="00E058E4"/>
    <w:rsid w:val="00E05DEC"/>
    <w:rsid w:val="00E05F39"/>
    <w:rsid w:val="00E0691D"/>
    <w:rsid w:val="00E06A36"/>
    <w:rsid w:val="00E075EC"/>
    <w:rsid w:val="00E0773C"/>
    <w:rsid w:val="00E07842"/>
    <w:rsid w:val="00E0790D"/>
    <w:rsid w:val="00E1010D"/>
    <w:rsid w:val="00E1011F"/>
    <w:rsid w:val="00E102C3"/>
    <w:rsid w:val="00E10346"/>
    <w:rsid w:val="00E10F17"/>
    <w:rsid w:val="00E1137D"/>
    <w:rsid w:val="00E11A56"/>
    <w:rsid w:val="00E11D61"/>
    <w:rsid w:val="00E11F3D"/>
    <w:rsid w:val="00E1210D"/>
    <w:rsid w:val="00E1213C"/>
    <w:rsid w:val="00E12316"/>
    <w:rsid w:val="00E1246A"/>
    <w:rsid w:val="00E1272E"/>
    <w:rsid w:val="00E12AF1"/>
    <w:rsid w:val="00E12BCC"/>
    <w:rsid w:val="00E12FD6"/>
    <w:rsid w:val="00E1301C"/>
    <w:rsid w:val="00E1305C"/>
    <w:rsid w:val="00E13994"/>
    <w:rsid w:val="00E13A3D"/>
    <w:rsid w:val="00E13B93"/>
    <w:rsid w:val="00E13BED"/>
    <w:rsid w:val="00E13C4E"/>
    <w:rsid w:val="00E13C9E"/>
    <w:rsid w:val="00E13F29"/>
    <w:rsid w:val="00E14C96"/>
    <w:rsid w:val="00E14D5E"/>
    <w:rsid w:val="00E1502C"/>
    <w:rsid w:val="00E155AA"/>
    <w:rsid w:val="00E15AE2"/>
    <w:rsid w:val="00E15C80"/>
    <w:rsid w:val="00E15EA5"/>
    <w:rsid w:val="00E16465"/>
    <w:rsid w:val="00E16469"/>
    <w:rsid w:val="00E166BE"/>
    <w:rsid w:val="00E16A90"/>
    <w:rsid w:val="00E16D0C"/>
    <w:rsid w:val="00E16D42"/>
    <w:rsid w:val="00E16EAC"/>
    <w:rsid w:val="00E16F7D"/>
    <w:rsid w:val="00E175D0"/>
    <w:rsid w:val="00E1768C"/>
    <w:rsid w:val="00E17890"/>
    <w:rsid w:val="00E178A9"/>
    <w:rsid w:val="00E1793B"/>
    <w:rsid w:val="00E17C45"/>
    <w:rsid w:val="00E17CDE"/>
    <w:rsid w:val="00E17D9B"/>
    <w:rsid w:val="00E20383"/>
    <w:rsid w:val="00E205B8"/>
    <w:rsid w:val="00E208C0"/>
    <w:rsid w:val="00E21140"/>
    <w:rsid w:val="00E21F95"/>
    <w:rsid w:val="00E2211E"/>
    <w:rsid w:val="00E22CBE"/>
    <w:rsid w:val="00E22FBD"/>
    <w:rsid w:val="00E22FCE"/>
    <w:rsid w:val="00E2314A"/>
    <w:rsid w:val="00E231C8"/>
    <w:rsid w:val="00E23718"/>
    <w:rsid w:val="00E2391E"/>
    <w:rsid w:val="00E23C45"/>
    <w:rsid w:val="00E24030"/>
    <w:rsid w:val="00E244C3"/>
    <w:rsid w:val="00E24877"/>
    <w:rsid w:val="00E24998"/>
    <w:rsid w:val="00E24A07"/>
    <w:rsid w:val="00E24BED"/>
    <w:rsid w:val="00E24D39"/>
    <w:rsid w:val="00E24D52"/>
    <w:rsid w:val="00E25177"/>
    <w:rsid w:val="00E25C82"/>
    <w:rsid w:val="00E25CA6"/>
    <w:rsid w:val="00E25FC6"/>
    <w:rsid w:val="00E262C7"/>
    <w:rsid w:val="00E26304"/>
    <w:rsid w:val="00E26633"/>
    <w:rsid w:val="00E26647"/>
    <w:rsid w:val="00E26813"/>
    <w:rsid w:val="00E26D8E"/>
    <w:rsid w:val="00E27823"/>
    <w:rsid w:val="00E27AEF"/>
    <w:rsid w:val="00E27BDF"/>
    <w:rsid w:val="00E27E58"/>
    <w:rsid w:val="00E306CC"/>
    <w:rsid w:val="00E307F6"/>
    <w:rsid w:val="00E30BDC"/>
    <w:rsid w:val="00E31986"/>
    <w:rsid w:val="00E319E6"/>
    <w:rsid w:val="00E31A6A"/>
    <w:rsid w:val="00E31A97"/>
    <w:rsid w:val="00E31BE4"/>
    <w:rsid w:val="00E31C6F"/>
    <w:rsid w:val="00E31CAC"/>
    <w:rsid w:val="00E324AD"/>
    <w:rsid w:val="00E32BC5"/>
    <w:rsid w:val="00E32C52"/>
    <w:rsid w:val="00E32C73"/>
    <w:rsid w:val="00E32EF4"/>
    <w:rsid w:val="00E32EFD"/>
    <w:rsid w:val="00E33273"/>
    <w:rsid w:val="00E3330A"/>
    <w:rsid w:val="00E335BF"/>
    <w:rsid w:val="00E3390F"/>
    <w:rsid w:val="00E33E91"/>
    <w:rsid w:val="00E3417E"/>
    <w:rsid w:val="00E34AA9"/>
    <w:rsid w:val="00E34F58"/>
    <w:rsid w:val="00E35930"/>
    <w:rsid w:val="00E35AF2"/>
    <w:rsid w:val="00E35CEC"/>
    <w:rsid w:val="00E36AC3"/>
    <w:rsid w:val="00E36DF2"/>
    <w:rsid w:val="00E36F9B"/>
    <w:rsid w:val="00E3707E"/>
    <w:rsid w:val="00E371CA"/>
    <w:rsid w:val="00E373CB"/>
    <w:rsid w:val="00E3770E"/>
    <w:rsid w:val="00E3790E"/>
    <w:rsid w:val="00E37D06"/>
    <w:rsid w:val="00E40D44"/>
    <w:rsid w:val="00E40F9C"/>
    <w:rsid w:val="00E4114F"/>
    <w:rsid w:val="00E41BF9"/>
    <w:rsid w:val="00E41DF6"/>
    <w:rsid w:val="00E41F0C"/>
    <w:rsid w:val="00E42149"/>
    <w:rsid w:val="00E421D3"/>
    <w:rsid w:val="00E421F6"/>
    <w:rsid w:val="00E42A5F"/>
    <w:rsid w:val="00E43020"/>
    <w:rsid w:val="00E4340C"/>
    <w:rsid w:val="00E43A30"/>
    <w:rsid w:val="00E43AF1"/>
    <w:rsid w:val="00E43D7B"/>
    <w:rsid w:val="00E43E74"/>
    <w:rsid w:val="00E4402C"/>
    <w:rsid w:val="00E44313"/>
    <w:rsid w:val="00E4438B"/>
    <w:rsid w:val="00E44799"/>
    <w:rsid w:val="00E44832"/>
    <w:rsid w:val="00E44B8C"/>
    <w:rsid w:val="00E45875"/>
    <w:rsid w:val="00E465F5"/>
    <w:rsid w:val="00E46C78"/>
    <w:rsid w:val="00E471B2"/>
    <w:rsid w:val="00E4724A"/>
    <w:rsid w:val="00E47342"/>
    <w:rsid w:val="00E47548"/>
    <w:rsid w:val="00E47AE0"/>
    <w:rsid w:val="00E47D0B"/>
    <w:rsid w:val="00E47E6F"/>
    <w:rsid w:val="00E47E7A"/>
    <w:rsid w:val="00E47F33"/>
    <w:rsid w:val="00E50A11"/>
    <w:rsid w:val="00E50D78"/>
    <w:rsid w:val="00E50DE4"/>
    <w:rsid w:val="00E50EA3"/>
    <w:rsid w:val="00E510BB"/>
    <w:rsid w:val="00E51101"/>
    <w:rsid w:val="00E51577"/>
    <w:rsid w:val="00E51CEF"/>
    <w:rsid w:val="00E5210E"/>
    <w:rsid w:val="00E526AA"/>
    <w:rsid w:val="00E52791"/>
    <w:rsid w:val="00E52817"/>
    <w:rsid w:val="00E529ED"/>
    <w:rsid w:val="00E52D06"/>
    <w:rsid w:val="00E53135"/>
    <w:rsid w:val="00E53217"/>
    <w:rsid w:val="00E53359"/>
    <w:rsid w:val="00E5368F"/>
    <w:rsid w:val="00E5386A"/>
    <w:rsid w:val="00E54579"/>
    <w:rsid w:val="00E5493D"/>
    <w:rsid w:val="00E551C6"/>
    <w:rsid w:val="00E559DE"/>
    <w:rsid w:val="00E55AA7"/>
    <w:rsid w:val="00E55B5B"/>
    <w:rsid w:val="00E5605B"/>
    <w:rsid w:val="00E5605E"/>
    <w:rsid w:val="00E5672A"/>
    <w:rsid w:val="00E568A7"/>
    <w:rsid w:val="00E574D6"/>
    <w:rsid w:val="00E57AEC"/>
    <w:rsid w:val="00E57D2C"/>
    <w:rsid w:val="00E57D7E"/>
    <w:rsid w:val="00E6019B"/>
    <w:rsid w:val="00E60426"/>
    <w:rsid w:val="00E604A4"/>
    <w:rsid w:val="00E607EC"/>
    <w:rsid w:val="00E60CDE"/>
    <w:rsid w:val="00E6112F"/>
    <w:rsid w:val="00E61EDD"/>
    <w:rsid w:val="00E6243D"/>
    <w:rsid w:val="00E62649"/>
    <w:rsid w:val="00E629D2"/>
    <w:rsid w:val="00E62D79"/>
    <w:rsid w:val="00E62F67"/>
    <w:rsid w:val="00E630E3"/>
    <w:rsid w:val="00E63BF1"/>
    <w:rsid w:val="00E64345"/>
    <w:rsid w:val="00E64838"/>
    <w:rsid w:val="00E64946"/>
    <w:rsid w:val="00E65012"/>
    <w:rsid w:val="00E6532C"/>
    <w:rsid w:val="00E65726"/>
    <w:rsid w:val="00E65756"/>
    <w:rsid w:val="00E659E5"/>
    <w:rsid w:val="00E65C8F"/>
    <w:rsid w:val="00E65F6E"/>
    <w:rsid w:val="00E66970"/>
    <w:rsid w:val="00E66AFD"/>
    <w:rsid w:val="00E66DCC"/>
    <w:rsid w:val="00E67611"/>
    <w:rsid w:val="00E67C75"/>
    <w:rsid w:val="00E67E1B"/>
    <w:rsid w:val="00E70031"/>
    <w:rsid w:val="00E703DB"/>
    <w:rsid w:val="00E70478"/>
    <w:rsid w:val="00E716EE"/>
    <w:rsid w:val="00E717F4"/>
    <w:rsid w:val="00E718FD"/>
    <w:rsid w:val="00E71941"/>
    <w:rsid w:val="00E71BE7"/>
    <w:rsid w:val="00E72487"/>
    <w:rsid w:val="00E72607"/>
    <w:rsid w:val="00E72D41"/>
    <w:rsid w:val="00E732E1"/>
    <w:rsid w:val="00E733AB"/>
    <w:rsid w:val="00E734F3"/>
    <w:rsid w:val="00E73953"/>
    <w:rsid w:val="00E73973"/>
    <w:rsid w:val="00E74344"/>
    <w:rsid w:val="00E74505"/>
    <w:rsid w:val="00E749CF"/>
    <w:rsid w:val="00E74A65"/>
    <w:rsid w:val="00E756C8"/>
    <w:rsid w:val="00E75C42"/>
    <w:rsid w:val="00E75D67"/>
    <w:rsid w:val="00E75F72"/>
    <w:rsid w:val="00E76582"/>
    <w:rsid w:val="00E76BE7"/>
    <w:rsid w:val="00E76CC3"/>
    <w:rsid w:val="00E76D69"/>
    <w:rsid w:val="00E76D72"/>
    <w:rsid w:val="00E77156"/>
    <w:rsid w:val="00E7722E"/>
    <w:rsid w:val="00E774C4"/>
    <w:rsid w:val="00E777AC"/>
    <w:rsid w:val="00E777E9"/>
    <w:rsid w:val="00E77A35"/>
    <w:rsid w:val="00E77A7E"/>
    <w:rsid w:val="00E77B16"/>
    <w:rsid w:val="00E77C34"/>
    <w:rsid w:val="00E77DC0"/>
    <w:rsid w:val="00E77E94"/>
    <w:rsid w:val="00E801E8"/>
    <w:rsid w:val="00E8030E"/>
    <w:rsid w:val="00E80326"/>
    <w:rsid w:val="00E80491"/>
    <w:rsid w:val="00E804D2"/>
    <w:rsid w:val="00E806FD"/>
    <w:rsid w:val="00E80B8D"/>
    <w:rsid w:val="00E80BF3"/>
    <w:rsid w:val="00E80FDB"/>
    <w:rsid w:val="00E8100C"/>
    <w:rsid w:val="00E81810"/>
    <w:rsid w:val="00E81C3D"/>
    <w:rsid w:val="00E81DAB"/>
    <w:rsid w:val="00E82097"/>
    <w:rsid w:val="00E82406"/>
    <w:rsid w:val="00E82437"/>
    <w:rsid w:val="00E827F9"/>
    <w:rsid w:val="00E833F7"/>
    <w:rsid w:val="00E83E07"/>
    <w:rsid w:val="00E83F17"/>
    <w:rsid w:val="00E840F7"/>
    <w:rsid w:val="00E8478F"/>
    <w:rsid w:val="00E8485B"/>
    <w:rsid w:val="00E84B2D"/>
    <w:rsid w:val="00E84C9D"/>
    <w:rsid w:val="00E84E6A"/>
    <w:rsid w:val="00E8513E"/>
    <w:rsid w:val="00E85381"/>
    <w:rsid w:val="00E85971"/>
    <w:rsid w:val="00E85F72"/>
    <w:rsid w:val="00E86318"/>
    <w:rsid w:val="00E86817"/>
    <w:rsid w:val="00E869B9"/>
    <w:rsid w:val="00E86C53"/>
    <w:rsid w:val="00E86DC8"/>
    <w:rsid w:val="00E87556"/>
    <w:rsid w:val="00E877F1"/>
    <w:rsid w:val="00E87923"/>
    <w:rsid w:val="00E8798B"/>
    <w:rsid w:val="00E87A39"/>
    <w:rsid w:val="00E87A7E"/>
    <w:rsid w:val="00E87AE3"/>
    <w:rsid w:val="00E87E89"/>
    <w:rsid w:val="00E9002D"/>
    <w:rsid w:val="00E90615"/>
    <w:rsid w:val="00E90828"/>
    <w:rsid w:val="00E90AA0"/>
    <w:rsid w:val="00E90B3B"/>
    <w:rsid w:val="00E91030"/>
    <w:rsid w:val="00E911FF"/>
    <w:rsid w:val="00E914BD"/>
    <w:rsid w:val="00E916C7"/>
    <w:rsid w:val="00E91730"/>
    <w:rsid w:val="00E91AEE"/>
    <w:rsid w:val="00E91CA3"/>
    <w:rsid w:val="00E92475"/>
    <w:rsid w:val="00E9269D"/>
    <w:rsid w:val="00E9277D"/>
    <w:rsid w:val="00E93137"/>
    <w:rsid w:val="00E93295"/>
    <w:rsid w:val="00E936C6"/>
    <w:rsid w:val="00E9383B"/>
    <w:rsid w:val="00E93948"/>
    <w:rsid w:val="00E939FC"/>
    <w:rsid w:val="00E93A9B"/>
    <w:rsid w:val="00E94113"/>
    <w:rsid w:val="00E94725"/>
    <w:rsid w:val="00E94DAD"/>
    <w:rsid w:val="00E95338"/>
    <w:rsid w:val="00E95688"/>
    <w:rsid w:val="00E95AEB"/>
    <w:rsid w:val="00E9636F"/>
    <w:rsid w:val="00E964C5"/>
    <w:rsid w:val="00E964DF"/>
    <w:rsid w:val="00E96541"/>
    <w:rsid w:val="00E96F58"/>
    <w:rsid w:val="00E9710E"/>
    <w:rsid w:val="00E9732B"/>
    <w:rsid w:val="00E97D00"/>
    <w:rsid w:val="00EA034E"/>
    <w:rsid w:val="00EA042C"/>
    <w:rsid w:val="00EA044D"/>
    <w:rsid w:val="00EA05C4"/>
    <w:rsid w:val="00EA06C7"/>
    <w:rsid w:val="00EA08B1"/>
    <w:rsid w:val="00EA0900"/>
    <w:rsid w:val="00EA116F"/>
    <w:rsid w:val="00EA1614"/>
    <w:rsid w:val="00EA1875"/>
    <w:rsid w:val="00EA1C56"/>
    <w:rsid w:val="00EA1E20"/>
    <w:rsid w:val="00EA1E47"/>
    <w:rsid w:val="00EA236D"/>
    <w:rsid w:val="00EA246F"/>
    <w:rsid w:val="00EA25C2"/>
    <w:rsid w:val="00EA28A7"/>
    <w:rsid w:val="00EA2D01"/>
    <w:rsid w:val="00EA2E35"/>
    <w:rsid w:val="00EA2EE2"/>
    <w:rsid w:val="00EA304E"/>
    <w:rsid w:val="00EA34B7"/>
    <w:rsid w:val="00EA46F2"/>
    <w:rsid w:val="00EA478F"/>
    <w:rsid w:val="00EA4872"/>
    <w:rsid w:val="00EA4B3F"/>
    <w:rsid w:val="00EA4E7A"/>
    <w:rsid w:val="00EA4F49"/>
    <w:rsid w:val="00EA50F3"/>
    <w:rsid w:val="00EA51A2"/>
    <w:rsid w:val="00EA55F8"/>
    <w:rsid w:val="00EA6118"/>
    <w:rsid w:val="00EA63DD"/>
    <w:rsid w:val="00EA658E"/>
    <w:rsid w:val="00EA66C1"/>
    <w:rsid w:val="00EA68B8"/>
    <w:rsid w:val="00EA69A7"/>
    <w:rsid w:val="00EA6E48"/>
    <w:rsid w:val="00EA7064"/>
    <w:rsid w:val="00EA7AFB"/>
    <w:rsid w:val="00EB01C9"/>
    <w:rsid w:val="00EB028E"/>
    <w:rsid w:val="00EB0DC2"/>
    <w:rsid w:val="00EB0F9B"/>
    <w:rsid w:val="00EB0FB9"/>
    <w:rsid w:val="00EB11AC"/>
    <w:rsid w:val="00EB19C0"/>
    <w:rsid w:val="00EB1BAE"/>
    <w:rsid w:val="00EB2A5C"/>
    <w:rsid w:val="00EB2B69"/>
    <w:rsid w:val="00EB2CA2"/>
    <w:rsid w:val="00EB3252"/>
    <w:rsid w:val="00EB3A2C"/>
    <w:rsid w:val="00EB400C"/>
    <w:rsid w:val="00EB4267"/>
    <w:rsid w:val="00EB4462"/>
    <w:rsid w:val="00EB4743"/>
    <w:rsid w:val="00EB48B1"/>
    <w:rsid w:val="00EB4972"/>
    <w:rsid w:val="00EB4AB3"/>
    <w:rsid w:val="00EB4D2C"/>
    <w:rsid w:val="00EB4D5A"/>
    <w:rsid w:val="00EB4EAA"/>
    <w:rsid w:val="00EB50F2"/>
    <w:rsid w:val="00EB5156"/>
    <w:rsid w:val="00EB570C"/>
    <w:rsid w:val="00EB6565"/>
    <w:rsid w:val="00EB6887"/>
    <w:rsid w:val="00EB6A83"/>
    <w:rsid w:val="00EB6AF4"/>
    <w:rsid w:val="00EB7215"/>
    <w:rsid w:val="00EB7383"/>
    <w:rsid w:val="00EB7756"/>
    <w:rsid w:val="00EC03F7"/>
    <w:rsid w:val="00EC06F1"/>
    <w:rsid w:val="00EC0B46"/>
    <w:rsid w:val="00EC0D3F"/>
    <w:rsid w:val="00EC11C1"/>
    <w:rsid w:val="00EC125C"/>
    <w:rsid w:val="00EC12EF"/>
    <w:rsid w:val="00EC193D"/>
    <w:rsid w:val="00EC1A5C"/>
    <w:rsid w:val="00EC2219"/>
    <w:rsid w:val="00EC243A"/>
    <w:rsid w:val="00EC255E"/>
    <w:rsid w:val="00EC282F"/>
    <w:rsid w:val="00EC2929"/>
    <w:rsid w:val="00EC2A20"/>
    <w:rsid w:val="00EC2A78"/>
    <w:rsid w:val="00EC2AD0"/>
    <w:rsid w:val="00EC2BD0"/>
    <w:rsid w:val="00EC2D8F"/>
    <w:rsid w:val="00EC322E"/>
    <w:rsid w:val="00EC32C7"/>
    <w:rsid w:val="00EC3A90"/>
    <w:rsid w:val="00EC4272"/>
    <w:rsid w:val="00EC4AEB"/>
    <w:rsid w:val="00EC4B2D"/>
    <w:rsid w:val="00EC50BB"/>
    <w:rsid w:val="00EC541F"/>
    <w:rsid w:val="00EC55E1"/>
    <w:rsid w:val="00EC5F5C"/>
    <w:rsid w:val="00EC6A73"/>
    <w:rsid w:val="00EC6DB1"/>
    <w:rsid w:val="00EC70AE"/>
    <w:rsid w:val="00EC73A7"/>
    <w:rsid w:val="00EC756F"/>
    <w:rsid w:val="00EC76E3"/>
    <w:rsid w:val="00EC7A53"/>
    <w:rsid w:val="00EC7B68"/>
    <w:rsid w:val="00EC7C29"/>
    <w:rsid w:val="00EC7CD5"/>
    <w:rsid w:val="00ED006B"/>
    <w:rsid w:val="00ED00E2"/>
    <w:rsid w:val="00ED0555"/>
    <w:rsid w:val="00ED083D"/>
    <w:rsid w:val="00ED0AFF"/>
    <w:rsid w:val="00ED12FC"/>
    <w:rsid w:val="00ED1592"/>
    <w:rsid w:val="00ED15B2"/>
    <w:rsid w:val="00ED15C4"/>
    <w:rsid w:val="00ED1888"/>
    <w:rsid w:val="00ED1F31"/>
    <w:rsid w:val="00ED22D2"/>
    <w:rsid w:val="00ED2748"/>
    <w:rsid w:val="00ED2915"/>
    <w:rsid w:val="00ED2C80"/>
    <w:rsid w:val="00ED3766"/>
    <w:rsid w:val="00ED3E2E"/>
    <w:rsid w:val="00ED41D4"/>
    <w:rsid w:val="00ED42DA"/>
    <w:rsid w:val="00ED4418"/>
    <w:rsid w:val="00ED4844"/>
    <w:rsid w:val="00ED4B2C"/>
    <w:rsid w:val="00ED4B4D"/>
    <w:rsid w:val="00ED501A"/>
    <w:rsid w:val="00ED53F6"/>
    <w:rsid w:val="00ED5459"/>
    <w:rsid w:val="00ED586E"/>
    <w:rsid w:val="00ED591F"/>
    <w:rsid w:val="00ED5DC2"/>
    <w:rsid w:val="00ED5FC5"/>
    <w:rsid w:val="00ED5FF8"/>
    <w:rsid w:val="00ED7306"/>
    <w:rsid w:val="00ED736B"/>
    <w:rsid w:val="00ED7432"/>
    <w:rsid w:val="00ED7542"/>
    <w:rsid w:val="00ED79F0"/>
    <w:rsid w:val="00ED7C14"/>
    <w:rsid w:val="00EE001B"/>
    <w:rsid w:val="00EE0170"/>
    <w:rsid w:val="00EE02DE"/>
    <w:rsid w:val="00EE0460"/>
    <w:rsid w:val="00EE0516"/>
    <w:rsid w:val="00EE0CE3"/>
    <w:rsid w:val="00EE1034"/>
    <w:rsid w:val="00EE126B"/>
    <w:rsid w:val="00EE13AE"/>
    <w:rsid w:val="00EE18A8"/>
    <w:rsid w:val="00EE1B74"/>
    <w:rsid w:val="00EE1F3C"/>
    <w:rsid w:val="00EE211C"/>
    <w:rsid w:val="00EE2805"/>
    <w:rsid w:val="00EE29E0"/>
    <w:rsid w:val="00EE2BFC"/>
    <w:rsid w:val="00EE2C2B"/>
    <w:rsid w:val="00EE2EA5"/>
    <w:rsid w:val="00EE3146"/>
    <w:rsid w:val="00EE31E1"/>
    <w:rsid w:val="00EE33D9"/>
    <w:rsid w:val="00EE344E"/>
    <w:rsid w:val="00EE34E8"/>
    <w:rsid w:val="00EE38A8"/>
    <w:rsid w:val="00EE3987"/>
    <w:rsid w:val="00EE3E3B"/>
    <w:rsid w:val="00EE40E2"/>
    <w:rsid w:val="00EE461D"/>
    <w:rsid w:val="00EE49BB"/>
    <w:rsid w:val="00EE4A42"/>
    <w:rsid w:val="00EE4B0A"/>
    <w:rsid w:val="00EE4E19"/>
    <w:rsid w:val="00EE5159"/>
    <w:rsid w:val="00EE5171"/>
    <w:rsid w:val="00EE5747"/>
    <w:rsid w:val="00EE5D12"/>
    <w:rsid w:val="00EE630F"/>
    <w:rsid w:val="00EE63E5"/>
    <w:rsid w:val="00EE6504"/>
    <w:rsid w:val="00EE731A"/>
    <w:rsid w:val="00EE7A37"/>
    <w:rsid w:val="00EE7C56"/>
    <w:rsid w:val="00EE7C75"/>
    <w:rsid w:val="00EE7D6D"/>
    <w:rsid w:val="00EE7F77"/>
    <w:rsid w:val="00EF0048"/>
    <w:rsid w:val="00EF03D1"/>
    <w:rsid w:val="00EF05BB"/>
    <w:rsid w:val="00EF0606"/>
    <w:rsid w:val="00EF0D40"/>
    <w:rsid w:val="00EF125C"/>
    <w:rsid w:val="00EF1313"/>
    <w:rsid w:val="00EF1351"/>
    <w:rsid w:val="00EF181A"/>
    <w:rsid w:val="00EF1D20"/>
    <w:rsid w:val="00EF1E79"/>
    <w:rsid w:val="00EF234C"/>
    <w:rsid w:val="00EF28E0"/>
    <w:rsid w:val="00EF2BE9"/>
    <w:rsid w:val="00EF2C92"/>
    <w:rsid w:val="00EF2DFF"/>
    <w:rsid w:val="00EF2E7B"/>
    <w:rsid w:val="00EF2FA9"/>
    <w:rsid w:val="00EF34EA"/>
    <w:rsid w:val="00EF410A"/>
    <w:rsid w:val="00EF44D0"/>
    <w:rsid w:val="00EF44DC"/>
    <w:rsid w:val="00EF46BF"/>
    <w:rsid w:val="00EF48D2"/>
    <w:rsid w:val="00EF491C"/>
    <w:rsid w:val="00EF4AF6"/>
    <w:rsid w:val="00EF4C33"/>
    <w:rsid w:val="00EF4FDE"/>
    <w:rsid w:val="00EF55F2"/>
    <w:rsid w:val="00EF5C9D"/>
    <w:rsid w:val="00EF5F2E"/>
    <w:rsid w:val="00EF5FA7"/>
    <w:rsid w:val="00EF63A8"/>
    <w:rsid w:val="00EF6420"/>
    <w:rsid w:val="00EF69D7"/>
    <w:rsid w:val="00EF6B19"/>
    <w:rsid w:val="00EF6B36"/>
    <w:rsid w:val="00EF6DC1"/>
    <w:rsid w:val="00EF6DD0"/>
    <w:rsid w:val="00EF6F1E"/>
    <w:rsid w:val="00EF745E"/>
    <w:rsid w:val="00EF756C"/>
    <w:rsid w:val="00EF7B1D"/>
    <w:rsid w:val="00EF7C29"/>
    <w:rsid w:val="00EF7CD4"/>
    <w:rsid w:val="00EF7EB9"/>
    <w:rsid w:val="00F00246"/>
    <w:rsid w:val="00F003D9"/>
    <w:rsid w:val="00F00473"/>
    <w:rsid w:val="00F00557"/>
    <w:rsid w:val="00F00FC8"/>
    <w:rsid w:val="00F016D3"/>
    <w:rsid w:val="00F01A3F"/>
    <w:rsid w:val="00F01B41"/>
    <w:rsid w:val="00F022D0"/>
    <w:rsid w:val="00F02323"/>
    <w:rsid w:val="00F0248A"/>
    <w:rsid w:val="00F02728"/>
    <w:rsid w:val="00F02854"/>
    <w:rsid w:val="00F02AC0"/>
    <w:rsid w:val="00F02B5A"/>
    <w:rsid w:val="00F02E0B"/>
    <w:rsid w:val="00F02EA7"/>
    <w:rsid w:val="00F030AC"/>
    <w:rsid w:val="00F0315C"/>
    <w:rsid w:val="00F032F7"/>
    <w:rsid w:val="00F034D4"/>
    <w:rsid w:val="00F0365E"/>
    <w:rsid w:val="00F0367D"/>
    <w:rsid w:val="00F0393C"/>
    <w:rsid w:val="00F03F11"/>
    <w:rsid w:val="00F03F35"/>
    <w:rsid w:val="00F0441A"/>
    <w:rsid w:val="00F0452D"/>
    <w:rsid w:val="00F04612"/>
    <w:rsid w:val="00F04C60"/>
    <w:rsid w:val="00F04D00"/>
    <w:rsid w:val="00F04FF8"/>
    <w:rsid w:val="00F05108"/>
    <w:rsid w:val="00F058A2"/>
    <w:rsid w:val="00F05BA8"/>
    <w:rsid w:val="00F05DC6"/>
    <w:rsid w:val="00F05E9C"/>
    <w:rsid w:val="00F060B5"/>
    <w:rsid w:val="00F066BC"/>
    <w:rsid w:val="00F067D0"/>
    <w:rsid w:val="00F067D5"/>
    <w:rsid w:val="00F0687C"/>
    <w:rsid w:val="00F0695C"/>
    <w:rsid w:val="00F06A9A"/>
    <w:rsid w:val="00F06AB6"/>
    <w:rsid w:val="00F07048"/>
    <w:rsid w:val="00F072ED"/>
    <w:rsid w:val="00F0752A"/>
    <w:rsid w:val="00F105A1"/>
    <w:rsid w:val="00F110CD"/>
    <w:rsid w:val="00F1194C"/>
    <w:rsid w:val="00F119AA"/>
    <w:rsid w:val="00F11A4F"/>
    <w:rsid w:val="00F11A52"/>
    <w:rsid w:val="00F11AA2"/>
    <w:rsid w:val="00F11F2D"/>
    <w:rsid w:val="00F12550"/>
    <w:rsid w:val="00F12C3A"/>
    <w:rsid w:val="00F12E7B"/>
    <w:rsid w:val="00F131E2"/>
    <w:rsid w:val="00F138DB"/>
    <w:rsid w:val="00F139EA"/>
    <w:rsid w:val="00F13AFF"/>
    <w:rsid w:val="00F13B32"/>
    <w:rsid w:val="00F13E73"/>
    <w:rsid w:val="00F14073"/>
    <w:rsid w:val="00F14313"/>
    <w:rsid w:val="00F14428"/>
    <w:rsid w:val="00F14656"/>
    <w:rsid w:val="00F146CE"/>
    <w:rsid w:val="00F1558F"/>
    <w:rsid w:val="00F156E9"/>
    <w:rsid w:val="00F159B3"/>
    <w:rsid w:val="00F15A8F"/>
    <w:rsid w:val="00F15ED8"/>
    <w:rsid w:val="00F15F0A"/>
    <w:rsid w:val="00F160EE"/>
    <w:rsid w:val="00F1644D"/>
    <w:rsid w:val="00F1653D"/>
    <w:rsid w:val="00F16612"/>
    <w:rsid w:val="00F16BCB"/>
    <w:rsid w:val="00F16EBA"/>
    <w:rsid w:val="00F17029"/>
    <w:rsid w:val="00F17837"/>
    <w:rsid w:val="00F17C02"/>
    <w:rsid w:val="00F17CC7"/>
    <w:rsid w:val="00F20C6F"/>
    <w:rsid w:val="00F2154C"/>
    <w:rsid w:val="00F215A7"/>
    <w:rsid w:val="00F21CBE"/>
    <w:rsid w:val="00F22627"/>
    <w:rsid w:val="00F22907"/>
    <w:rsid w:val="00F22954"/>
    <w:rsid w:val="00F229FD"/>
    <w:rsid w:val="00F22AE0"/>
    <w:rsid w:val="00F24C12"/>
    <w:rsid w:val="00F24C24"/>
    <w:rsid w:val="00F24D79"/>
    <w:rsid w:val="00F24FEE"/>
    <w:rsid w:val="00F254C2"/>
    <w:rsid w:val="00F25C07"/>
    <w:rsid w:val="00F25C8F"/>
    <w:rsid w:val="00F25D1D"/>
    <w:rsid w:val="00F25D4A"/>
    <w:rsid w:val="00F25F27"/>
    <w:rsid w:val="00F2609C"/>
    <w:rsid w:val="00F269AD"/>
    <w:rsid w:val="00F26D76"/>
    <w:rsid w:val="00F26E8C"/>
    <w:rsid w:val="00F27373"/>
    <w:rsid w:val="00F274EA"/>
    <w:rsid w:val="00F276D8"/>
    <w:rsid w:val="00F27923"/>
    <w:rsid w:val="00F3003D"/>
    <w:rsid w:val="00F300A1"/>
    <w:rsid w:val="00F301A4"/>
    <w:rsid w:val="00F3041B"/>
    <w:rsid w:val="00F30583"/>
    <w:rsid w:val="00F306C3"/>
    <w:rsid w:val="00F306C7"/>
    <w:rsid w:val="00F31823"/>
    <w:rsid w:val="00F318D4"/>
    <w:rsid w:val="00F3192D"/>
    <w:rsid w:val="00F31E27"/>
    <w:rsid w:val="00F325BC"/>
    <w:rsid w:val="00F32EA7"/>
    <w:rsid w:val="00F33AEB"/>
    <w:rsid w:val="00F341DE"/>
    <w:rsid w:val="00F348B3"/>
    <w:rsid w:val="00F348FD"/>
    <w:rsid w:val="00F349EA"/>
    <w:rsid w:val="00F34A63"/>
    <w:rsid w:val="00F350B1"/>
    <w:rsid w:val="00F355F5"/>
    <w:rsid w:val="00F3568B"/>
    <w:rsid w:val="00F359B8"/>
    <w:rsid w:val="00F35AD5"/>
    <w:rsid w:val="00F35CE1"/>
    <w:rsid w:val="00F35D44"/>
    <w:rsid w:val="00F35E5B"/>
    <w:rsid w:val="00F35F3B"/>
    <w:rsid w:val="00F3625C"/>
    <w:rsid w:val="00F367D6"/>
    <w:rsid w:val="00F36988"/>
    <w:rsid w:val="00F36BDE"/>
    <w:rsid w:val="00F370CF"/>
    <w:rsid w:val="00F37941"/>
    <w:rsid w:val="00F37978"/>
    <w:rsid w:val="00F37A26"/>
    <w:rsid w:val="00F37B41"/>
    <w:rsid w:val="00F37D9D"/>
    <w:rsid w:val="00F4026A"/>
    <w:rsid w:val="00F4031D"/>
    <w:rsid w:val="00F4088A"/>
    <w:rsid w:val="00F408A2"/>
    <w:rsid w:val="00F408EA"/>
    <w:rsid w:val="00F40AE1"/>
    <w:rsid w:val="00F40B87"/>
    <w:rsid w:val="00F40CCE"/>
    <w:rsid w:val="00F415E9"/>
    <w:rsid w:val="00F41A03"/>
    <w:rsid w:val="00F41B02"/>
    <w:rsid w:val="00F41D4D"/>
    <w:rsid w:val="00F42195"/>
    <w:rsid w:val="00F421C1"/>
    <w:rsid w:val="00F42474"/>
    <w:rsid w:val="00F42B3E"/>
    <w:rsid w:val="00F4387B"/>
    <w:rsid w:val="00F438E0"/>
    <w:rsid w:val="00F43A3B"/>
    <w:rsid w:val="00F43B13"/>
    <w:rsid w:val="00F44730"/>
    <w:rsid w:val="00F44807"/>
    <w:rsid w:val="00F44B0F"/>
    <w:rsid w:val="00F4501A"/>
    <w:rsid w:val="00F45A47"/>
    <w:rsid w:val="00F45C5D"/>
    <w:rsid w:val="00F45C83"/>
    <w:rsid w:val="00F462B2"/>
    <w:rsid w:val="00F465D2"/>
    <w:rsid w:val="00F46644"/>
    <w:rsid w:val="00F466E8"/>
    <w:rsid w:val="00F4681F"/>
    <w:rsid w:val="00F4684A"/>
    <w:rsid w:val="00F468E0"/>
    <w:rsid w:val="00F469BC"/>
    <w:rsid w:val="00F46A11"/>
    <w:rsid w:val="00F46B7C"/>
    <w:rsid w:val="00F46D3E"/>
    <w:rsid w:val="00F4752E"/>
    <w:rsid w:val="00F4792C"/>
    <w:rsid w:val="00F479C5"/>
    <w:rsid w:val="00F47A0D"/>
    <w:rsid w:val="00F47B16"/>
    <w:rsid w:val="00F47B74"/>
    <w:rsid w:val="00F5012F"/>
    <w:rsid w:val="00F504CE"/>
    <w:rsid w:val="00F505F3"/>
    <w:rsid w:val="00F505FF"/>
    <w:rsid w:val="00F50B0F"/>
    <w:rsid w:val="00F510BD"/>
    <w:rsid w:val="00F5139A"/>
    <w:rsid w:val="00F51537"/>
    <w:rsid w:val="00F517E5"/>
    <w:rsid w:val="00F51C80"/>
    <w:rsid w:val="00F51FEB"/>
    <w:rsid w:val="00F52026"/>
    <w:rsid w:val="00F5214B"/>
    <w:rsid w:val="00F523A2"/>
    <w:rsid w:val="00F52703"/>
    <w:rsid w:val="00F52986"/>
    <w:rsid w:val="00F52AD2"/>
    <w:rsid w:val="00F52D45"/>
    <w:rsid w:val="00F52FE8"/>
    <w:rsid w:val="00F532BB"/>
    <w:rsid w:val="00F53632"/>
    <w:rsid w:val="00F53652"/>
    <w:rsid w:val="00F53E53"/>
    <w:rsid w:val="00F53ED3"/>
    <w:rsid w:val="00F53FBB"/>
    <w:rsid w:val="00F54053"/>
    <w:rsid w:val="00F54555"/>
    <w:rsid w:val="00F548C5"/>
    <w:rsid w:val="00F54BA6"/>
    <w:rsid w:val="00F54DDE"/>
    <w:rsid w:val="00F55299"/>
    <w:rsid w:val="00F5544A"/>
    <w:rsid w:val="00F5580A"/>
    <w:rsid w:val="00F55874"/>
    <w:rsid w:val="00F559CB"/>
    <w:rsid w:val="00F55A82"/>
    <w:rsid w:val="00F55BCD"/>
    <w:rsid w:val="00F55D2E"/>
    <w:rsid w:val="00F55E5C"/>
    <w:rsid w:val="00F561D3"/>
    <w:rsid w:val="00F5654C"/>
    <w:rsid w:val="00F56AA3"/>
    <w:rsid w:val="00F56B0E"/>
    <w:rsid w:val="00F56B45"/>
    <w:rsid w:val="00F56BB2"/>
    <w:rsid w:val="00F56C67"/>
    <w:rsid w:val="00F56C99"/>
    <w:rsid w:val="00F56F0A"/>
    <w:rsid w:val="00F56FA5"/>
    <w:rsid w:val="00F570F0"/>
    <w:rsid w:val="00F5722B"/>
    <w:rsid w:val="00F57716"/>
    <w:rsid w:val="00F600A4"/>
    <w:rsid w:val="00F60BE1"/>
    <w:rsid w:val="00F61684"/>
    <w:rsid w:val="00F61A95"/>
    <w:rsid w:val="00F61D86"/>
    <w:rsid w:val="00F61E56"/>
    <w:rsid w:val="00F62097"/>
    <w:rsid w:val="00F62D9E"/>
    <w:rsid w:val="00F62E8C"/>
    <w:rsid w:val="00F632BD"/>
    <w:rsid w:val="00F639B9"/>
    <w:rsid w:val="00F63A19"/>
    <w:rsid w:val="00F63D81"/>
    <w:rsid w:val="00F64235"/>
    <w:rsid w:val="00F64450"/>
    <w:rsid w:val="00F644ED"/>
    <w:rsid w:val="00F64D6E"/>
    <w:rsid w:val="00F64E4E"/>
    <w:rsid w:val="00F6511B"/>
    <w:rsid w:val="00F65560"/>
    <w:rsid w:val="00F65617"/>
    <w:rsid w:val="00F65800"/>
    <w:rsid w:val="00F65A8C"/>
    <w:rsid w:val="00F65AAF"/>
    <w:rsid w:val="00F65AC4"/>
    <w:rsid w:val="00F65FED"/>
    <w:rsid w:val="00F66A14"/>
    <w:rsid w:val="00F66CAB"/>
    <w:rsid w:val="00F6744F"/>
    <w:rsid w:val="00F67506"/>
    <w:rsid w:val="00F67600"/>
    <w:rsid w:val="00F676AC"/>
    <w:rsid w:val="00F67E20"/>
    <w:rsid w:val="00F70F4B"/>
    <w:rsid w:val="00F71263"/>
    <w:rsid w:val="00F71564"/>
    <w:rsid w:val="00F716DD"/>
    <w:rsid w:val="00F718B6"/>
    <w:rsid w:val="00F71BF2"/>
    <w:rsid w:val="00F720E3"/>
    <w:rsid w:val="00F72274"/>
    <w:rsid w:val="00F72614"/>
    <w:rsid w:val="00F7278E"/>
    <w:rsid w:val="00F72B67"/>
    <w:rsid w:val="00F72DB9"/>
    <w:rsid w:val="00F72E32"/>
    <w:rsid w:val="00F738E8"/>
    <w:rsid w:val="00F73A4A"/>
    <w:rsid w:val="00F73ACF"/>
    <w:rsid w:val="00F74252"/>
    <w:rsid w:val="00F74807"/>
    <w:rsid w:val="00F74974"/>
    <w:rsid w:val="00F74E42"/>
    <w:rsid w:val="00F74FC7"/>
    <w:rsid w:val="00F7512E"/>
    <w:rsid w:val="00F75D06"/>
    <w:rsid w:val="00F7635A"/>
    <w:rsid w:val="00F767D4"/>
    <w:rsid w:val="00F76DBF"/>
    <w:rsid w:val="00F76E20"/>
    <w:rsid w:val="00F77308"/>
    <w:rsid w:val="00F77347"/>
    <w:rsid w:val="00F77433"/>
    <w:rsid w:val="00F7749F"/>
    <w:rsid w:val="00F7757E"/>
    <w:rsid w:val="00F77638"/>
    <w:rsid w:val="00F77699"/>
    <w:rsid w:val="00F77725"/>
    <w:rsid w:val="00F778F3"/>
    <w:rsid w:val="00F77BF8"/>
    <w:rsid w:val="00F77D3F"/>
    <w:rsid w:val="00F8078D"/>
    <w:rsid w:val="00F80B63"/>
    <w:rsid w:val="00F80C88"/>
    <w:rsid w:val="00F80D54"/>
    <w:rsid w:val="00F816D9"/>
    <w:rsid w:val="00F817B2"/>
    <w:rsid w:val="00F817E7"/>
    <w:rsid w:val="00F825E0"/>
    <w:rsid w:val="00F826C5"/>
    <w:rsid w:val="00F82991"/>
    <w:rsid w:val="00F82AF7"/>
    <w:rsid w:val="00F82BA9"/>
    <w:rsid w:val="00F82EA3"/>
    <w:rsid w:val="00F82EEE"/>
    <w:rsid w:val="00F83102"/>
    <w:rsid w:val="00F834C1"/>
    <w:rsid w:val="00F83A43"/>
    <w:rsid w:val="00F83BFE"/>
    <w:rsid w:val="00F83CB8"/>
    <w:rsid w:val="00F840AC"/>
    <w:rsid w:val="00F842D0"/>
    <w:rsid w:val="00F845BD"/>
    <w:rsid w:val="00F84821"/>
    <w:rsid w:val="00F84829"/>
    <w:rsid w:val="00F84D41"/>
    <w:rsid w:val="00F84E9B"/>
    <w:rsid w:val="00F8507A"/>
    <w:rsid w:val="00F8564E"/>
    <w:rsid w:val="00F858DA"/>
    <w:rsid w:val="00F85BAB"/>
    <w:rsid w:val="00F86769"/>
    <w:rsid w:val="00F86B7D"/>
    <w:rsid w:val="00F86BD2"/>
    <w:rsid w:val="00F86F34"/>
    <w:rsid w:val="00F87046"/>
    <w:rsid w:val="00F8735C"/>
    <w:rsid w:val="00F87526"/>
    <w:rsid w:val="00F87636"/>
    <w:rsid w:val="00F87984"/>
    <w:rsid w:val="00F87F09"/>
    <w:rsid w:val="00F9018D"/>
    <w:rsid w:val="00F9036F"/>
    <w:rsid w:val="00F904EF"/>
    <w:rsid w:val="00F905AC"/>
    <w:rsid w:val="00F90923"/>
    <w:rsid w:val="00F90D75"/>
    <w:rsid w:val="00F90DDE"/>
    <w:rsid w:val="00F90F16"/>
    <w:rsid w:val="00F91422"/>
    <w:rsid w:val="00F9170A"/>
    <w:rsid w:val="00F918EE"/>
    <w:rsid w:val="00F91B2A"/>
    <w:rsid w:val="00F91F1B"/>
    <w:rsid w:val="00F92061"/>
    <w:rsid w:val="00F920DD"/>
    <w:rsid w:val="00F929C0"/>
    <w:rsid w:val="00F93386"/>
    <w:rsid w:val="00F936C9"/>
    <w:rsid w:val="00F93990"/>
    <w:rsid w:val="00F93B7B"/>
    <w:rsid w:val="00F93F24"/>
    <w:rsid w:val="00F93FDD"/>
    <w:rsid w:val="00F94572"/>
    <w:rsid w:val="00F94639"/>
    <w:rsid w:val="00F9485C"/>
    <w:rsid w:val="00F9490C"/>
    <w:rsid w:val="00F94B9F"/>
    <w:rsid w:val="00F94EB6"/>
    <w:rsid w:val="00F94F68"/>
    <w:rsid w:val="00F9509D"/>
    <w:rsid w:val="00F9517E"/>
    <w:rsid w:val="00F95A74"/>
    <w:rsid w:val="00F95AA7"/>
    <w:rsid w:val="00F95D14"/>
    <w:rsid w:val="00F96663"/>
    <w:rsid w:val="00F9667A"/>
    <w:rsid w:val="00F96A4E"/>
    <w:rsid w:val="00F96DB1"/>
    <w:rsid w:val="00F97239"/>
    <w:rsid w:val="00F97484"/>
    <w:rsid w:val="00FA00E0"/>
    <w:rsid w:val="00FA0965"/>
    <w:rsid w:val="00FA0E2F"/>
    <w:rsid w:val="00FA0F09"/>
    <w:rsid w:val="00FA0F35"/>
    <w:rsid w:val="00FA0F82"/>
    <w:rsid w:val="00FA1407"/>
    <w:rsid w:val="00FA1470"/>
    <w:rsid w:val="00FA1494"/>
    <w:rsid w:val="00FA14AF"/>
    <w:rsid w:val="00FA1639"/>
    <w:rsid w:val="00FA1F41"/>
    <w:rsid w:val="00FA215C"/>
    <w:rsid w:val="00FA2D41"/>
    <w:rsid w:val="00FA2D4A"/>
    <w:rsid w:val="00FA2EC7"/>
    <w:rsid w:val="00FA3279"/>
    <w:rsid w:val="00FA3749"/>
    <w:rsid w:val="00FA38BE"/>
    <w:rsid w:val="00FA391C"/>
    <w:rsid w:val="00FA3EF7"/>
    <w:rsid w:val="00FA4046"/>
    <w:rsid w:val="00FA404A"/>
    <w:rsid w:val="00FA4106"/>
    <w:rsid w:val="00FA44C3"/>
    <w:rsid w:val="00FA4509"/>
    <w:rsid w:val="00FA4562"/>
    <w:rsid w:val="00FA4598"/>
    <w:rsid w:val="00FA4A25"/>
    <w:rsid w:val="00FA4B3E"/>
    <w:rsid w:val="00FA4B53"/>
    <w:rsid w:val="00FA4D89"/>
    <w:rsid w:val="00FA51B7"/>
    <w:rsid w:val="00FA5219"/>
    <w:rsid w:val="00FA58E5"/>
    <w:rsid w:val="00FA5904"/>
    <w:rsid w:val="00FA5C53"/>
    <w:rsid w:val="00FA5C66"/>
    <w:rsid w:val="00FA5D9E"/>
    <w:rsid w:val="00FA6637"/>
    <w:rsid w:val="00FA66E9"/>
    <w:rsid w:val="00FA6A65"/>
    <w:rsid w:val="00FA6A88"/>
    <w:rsid w:val="00FA6C28"/>
    <w:rsid w:val="00FA7B5C"/>
    <w:rsid w:val="00FA7D8C"/>
    <w:rsid w:val="00FA7EFF"/>
    <w:rsid w:val="00FB07CD"/>
    <w:rsid w:val="00FB098A"/>
    <w:rsid w:val="00FB0EF2"/>
    <w:rsid w:val="00FB10B5"/>
    <w:rsid w:val="00FB1323"/>
    <w:rsid w:val="00FB14FD"/>
    <w:rsid w:val="00FB1988"/>
    <w:rsid w:val="00FB1A92"/>
    <w:rsid w:val="00FB1AB0"/>
    <w:rsid w:val="00FB1EFA"/>
    <w:rsid w:val="00FB2063"/>
    <w:rsid w:val="00FB2621"/>
    <w:rsid w:val="00FB3473"/>
    <w:rsid w:val="00FB354A"/>
    <w:rsid w:val="00FB37C6"/>
    <w:rsid w:val="00FB380E"/>
    <w:rsid w:val="00FB38D5"/>
    <w:rsid w:val="00FB3C9D"/>
    <w:rsid w:val="00FB3EDA"/>
    <w:rsid w:val="00FB4106"/>
    <w:rsid w:val="00FB428D"/>
    <w:rsid w:val="00FB496F"/>
    <w:rsid w:val="00FB4ADC"/>
    <w:rsid w:val="00FB4E58"/>
    <w:rsid w:val="00FB4F44"/>
    <w:rsid w:val="00FB4F84"/>
    <w:rsid w:val="00FB51CB"/>
    <w:rsid w:val="00FB5281"/>
    <w:rsid w:val="00FB5858"/>
    <w:rsid w:val="00FB59AC"/>
    <w:rsid w:val="00FB5EE7"/>
    <w:rsid w:val="00FB628D"/>
    <w:rsid w:val="00FB6560"/>
    <w:rsid w:val="00FB65FA"/>
    <w:rsid w:val="00FB66C4"/>
    <w:rsid w:val="00FB6BA2"/>
    <w:rsid w:val="00FB7A64"/>
    <w:rsid w:val="00FB7C0B"/>
    <w:rsid w:val="00FB7F70"/>
    <w:rsid w:val="00FC018F"/>
    <w:rsid w:val="00FC01A9"/>
    <w:rsid w:val="00FC01CA"/>
    <w:rsid w:val="00FC1043"/>
    <w:rsid w:val="00FC1244"/>
    <w:rsid w:val="00FC14EF"/>
    <w:rsid w:val="00FC1BAF"/>
    <w:rsid w:val="00FC1D29"/>
    <w:rsid w:val="00FC2099"/>
    <w:rsid w:val="00FC2664"/>
    <w:rsid w:val="00FC28DB"/>
    <w:rsid w:val="00FC3017"/>
    <w:rsid w:val="00FC3514"/>
    <w:rsid w:val="00FC376C"/>
    <w:rsid w:val="00FC3F8F"/>
    <w:rsid w:val="00FC3FC4"/>
    <w:rsid w:val="00FC45F4"/>
    <w:rsid w:val="00FC490E"/>
    <w:rsid w:val="00FC4962"/>
    <w:rsid w:val="00FC4C15"/>
    <w:rsid w:val="00FC510D"/>
    <w:rsid w:val="00FC55F9"/>
    <w:rsid w:val="00FC56C1"/>
    <w:rsid w:val="00FC57DC"/>
    <w:rsid w:val="00FC58A9"/>
    <w:rsid w:val="00FC5B1C"/>
    <w:rsid w:val="00FC6110"/>
    <w:rsid w:val="00FC613C"/>
    <w:rsid w:val="00FC6177"/>
    <w:rsid w:val="00FC6435"/>
    <w:rsid w:val="00FC64EF"/>
    <w:rsid w:val="00FC6714"/>
    <w:rsid w:val="00FC6C53"/>
    <w:rsid w:val="00FC797E"/>
    <w:rsid w:val="00FC7A4D"/>
    <w:rsid w:val="00FC7F44"/>
    <w:rsid w:val="00FD04B7"/>
    <w:rsid w:val="00FD0660"/>
    <w:rsid w:val="00FD11A2"/>
    <w:rsid w:val="00FD11DD"/>
    <w:rsid w:val="00FD1376"/>
    <w:rsid w:val="00FD1477"/>
    <w:rsid w:val="00FD190B"/>
    <w:rsid w:val="00FD1CE6"/>
    <w:rsid w:val="00FD2BF6"/>
    <w:rsid w:val="00FD2D28"/>
    <w:rsid w:val="00FD3C37"/>
    <w:rsid w:val="00FD3CC5"/>
    <w:rsid w:val="00FD3D59"/>
    <w:rsid w:val="00FD4635"/>
    <w:rsid w:val="00FD4762"/>
    <w:rsid w:val="00FD4867"/>
    <w:rsid w:val="00FD4A1C"/>
    <w:rsid w:val="00FD4C3B"/>
    <w:rsid w:val="00FD5032"/>
    <w:rsid w:val="00FD50C0"/>
    <w:rsid w:val="00FD51C4"/>
    <w:rsid w:val="00FD5353"/>
    <w:rsid w:val="00FD5B91"/>
    <w:rsid w:val="00FD5CEE"/>
    <w:rsid w:val="00FD5ED9"/>
    <w:rsid w:val="00FD61BF"/>
    <w:rsid w:val="00FD62F0"/>
    <w:rsid w:val="00FD67AB"/>
    <w:rsid w:val="00FD6C9B"/>
    <w:rsid w:val="00FD6DAC"/>
    <w:rsid w:val="00FD708B"/>
    <w:rsid w:val="00FD7230"/>
    <w:rsid w:val="00FD740C"/>
    <w:rsid w:val="00FD756E"/>
    <w:rsid w:val="00FD77E8"/>
    <w:rsid w:val="00FD780D"/>
    <w:rsid w:val="00FD79D0"/>
    <w:rsid w:val="00FD7ACE"/>
    <w:rsid w:val="00FD7C95"/>
    <w:rsid w:val="00FD7E26"/>
    <w:rsid w:val="00FE0140"/>
    <w:rsid w:val="00FE028B"/>
    <w:rsid w:val="00FE02BB"/>
    <w:rsid w:val="00FE0906"/>
    <w:rsid w:val="00FE0AE8"/>
    <w:rsid w:val="00FE1167"/>
    <w:rsid w:val="00FE17C6"/>
    <w:rsid w:val="00FE19AE"/>
    <w:rsid w:val="00FE1C41"/>
    <w:rsid w:val="00FE1CB4"/>
    <w:rsid w:val="00FE1D0D"/>
    <w:rsid w:val="00FE1FDF"/>
    <w:rsid w:val="00FE2480"/>
    <w:rsid w:val="00FE2625"/>
    <w:rsid w:val="00FE285A"/>
    <w:rsid w:val="00FE2A00"/>
    <w:rsid w:val="00FE35E5"/>
    <w:rsid w:val="00FE38E4"/>
    <w:rsid w:val="00FE4507"/>
    <w:rsid w:val="00FE459D"/>
    <w:rsid w:val="00FE4A3D"/>
    <w:rsid w:val="00FE4B6E"/>
    <w:rsid w:val="00FE4C37"/>
    <w:rsid w:val="00FE51DD"/>
    <w:rsid w:val="00FE524A"/>
    <w:rsid w:val="00FE5526"/>
    <w:rsid w:val="00FE5808"/>
    <w:rsid w:val="00FE5ACF"/>
    <w:rsid w:val="00FE5B74"/>
    <w:rsid w:val="00FE64F1"/>
    <w:rsid w:val="00FE6559"/>
    <w:rsid w:val="00FE6891"/>
    <w:rsid w:val="00FE6E18"/>
    <w:rsid w:val="00FE72CB"/>
    <w:rsid w:val="00FE72D1"/>
    <w:rsid w:val="00FE760E"/>
    <w:rsid w:val="00FE7623"/>
    <w:rsid w:val="00FE7ACA"/>
    <w:rsid w:val="00FF00EC"/>
    <w:rsid w:val="00FF011F"/>
    <w:rsid w:val="00FF0359"/>
    <w:rsid w:val="00FF13C0"/>
    <w:rsid w:val="00FF152B"/>
    <w:rsid w:val="00FF15DE"/>
    <w:rsid w:val="00FF1662"/>
    <w:rsid w:val="00FF181B"/>
    <w:rsid w:val="00FF1916"/>
    <w:rsid w:val="00FF1A9C"/>
    <w:rsid w:val="00FF2899"/>
    <w:rsid w:val="00FF2A1E"/>
    <w:rsid w:val="00FF2CCB"/>
    <w:rsid w:val="00FF2D45"/>
    <w:rsid w:val="00FF30B8"/>
    <w:rsid w:val="00FF311E"/>
    <w:rsid w:val="00FF31BE"/>
    <w:rsid w:val="00FF34F1"/>
    <w:rsid w:val="00FF39A5"/>
    <w:rsid w:val="00FF39B3"/>
    <w:rsid w:val="00FF3B28"/>
    <w:rsid w:val="00FF3CB5"/>
    <w:rsid w:val="00FF3ED4"/>
    <w:rsid w:val="00FF3F23"/>
    <w:rsid w:val="00FF3FE6"/>
    <w:rsid w:val="00FF41C9"/>
    <w:rsid w:val="00FF43EF"/>
    <w:rsid w:val="00FF4687"/>
    <w:rsid w:val="00FF4ADE"/>
    <w:rsid w:val="00FF4BB4"/>
    <w:rsid w:val="00FF4D50"/>
    <w:rsid w:val="00FF535E"/>
    <w:rsid w:val="00FF5774"/>
    <w:rsid w:val="00FF5D5A"/>
    <w:rsid w:val="00FF644B"/>
    <w:rsid w:val="00FF6500"/>
    <w:rsid w:val="00FF6CE4"/>
    <w:rsid w:val="00FF6F0E"/>
    <w:rsid w:val="00FF6FDE"/>
    <w:rsid w:val="00FF75E8"/>
    <w:rsid w:val="00FF7735"/>
    <w:rsid w:val="00FF7A9A"/>
    <w:rsid w:val="00FF7C99"/>
    <w:rsid w:val="00FF7DCA"/>
    <w:rsid w:val="00FF7F92"/>
    <w:rsid w:val="00FF7FF5"/>
    <w:rsid w:val="012AAC0D"/>
    <w:rsid w:val="0173A3D4"/>
    <w:rsid w:val="01A44CD1"/>
    <w:rsid w:val="02C2EFDC"/>
    <w:rsid w:val="0321FAFF"/>
    <w:rsid w:val="04266EFE"/>
    <w:rsid w:val="04704D0C"/>
    <w:rsid w:val="04F2E77E"/>
    <w:rsid w:val="05D8FB11"/>
    <w:rsid w:val="06DBB3B5"/>
    <w:rsid w:val="06DD8E92"/>
    <w:rsid w:val="06F3D0DF"/>
    <w:rsid w:val="0719FC1C"/>
    <w:rsid w:val="07511B90"/>
    <w:rsid w:val="07966424"/>
    <w:rsid w:val="07B30FDD"/>
    <w:rsid w:val="07CA07FD"/>
    <w:rsid w:val="07E316E0"/>
    <w:rsid w:val="07FC42C6"/>
    <w:rsid w:val="080F74E6"/>
    <w:rsid w:val="08BA886E"/>
    <w:rsid w:val="08C9C4CD"/>
    <w:rsid w:val="08EAD537"/>
    <w:rsid w:val="08F6E874"/>
    <w:rsid w:val="0909E85A"/>
    <w:rsid w:val="091ED1CF"/>
    <w:rsid w:val="0989C4F2"/>
    <w:rsid w:val="098BCD31"/>
    <w:rsid w:val="098F062B"/>
    <w:rsid w:val="09A1E69E"/>
    <w:rsid w:val="09ACB46A"/>
    <w:rsid w:val="09F7443E"/>
    <w:rsid w:val="0AADD568"/>
    <w:rsid w:val="0B9949AD"/>
    <w:rsid w:val="0BA11846"/>
    <w:rsid w:val="0BAC5180"/>
    <w:rsid w:val="0BACB9F1"/>
    <w:rsid w:val="0C17559F"/>
    <w:rsid w:val="0C364EA5"/>
    <w:rsid w:val="0C77CDF0"/>
    <w:rsid w:val="0D0E3176"/>
    <w:rsid w:val="0D5947BB"/>
    <w:rsid w:val="0D737C98"/>
    <w:rsid w:val="0D7D33CA"/>
    <w:rsid w:val="0DA884C4"/>
    <w:rsid w:val="0E771BC3"/>
    <w:rsid w:val="0FB9A58E"/>
    <w:rsid w:val="101323A2"/>
    <w:rsid w:val="1069B97A"/>
    <w:rsid w:val="107B707E"/>
    <w:rsid w:val="11102EBB"/>
    <w:rsid w:val="1111C7EF"/>
    <w:rsid w:val="11250ECE"/>
    <w:rsid w:val="113177AC"/>
    <w:rsid w:val="1153727A"/>
    <w:rsid w:val="117611C0"/>
    <w:rsid w:val="118449F3"/>
    <w:rsid w:val="119D21AC"/>
    <w:rsid w:val="11E4D4F6"/>
    <w:rsid w:val="11F0F489"/>
    <w:rsid w:val="1210798B"/>
    <w:rsid w:val="12108BC8"/>
    <w:rsid w:val="127B1E33"/>
    <w:rsid w:val="12B2E775"/>
    <w:rsid w:val="13829A7A"/>
    <w:rsid w:val="139A81FE"/>
    <w:rsid w:val="139ADFD4"/>
    <w:rsid w:val="13D9D0B3"/>
    <w:rsid w:val="13DA0ED1"/>
    <w:rsid w:val="14E61F9F"/>
    <w:rsid w:val="15080A85"/>
    <w:rsid w:val="1514A732"/>
    <w:rsid w:val="151DD33C"/>
    <w:rsid w:val="16030299"/>
    <w:rsid w:val="1657A838"/>
    <w:rsid w:val="1684181A"/>
    <w:rsid w:val="16E84D52"/>
    <w:rsid w:val="17A0B92B"/>
    <w:rsid w:val="17CE517D"/>
    <w:rsid w:val="18740C84"/>
    <w:rsid w:val="1901DC8B"/>
    <w:rsid w:val="198FA922"/>
    <w:rsid w:val="19D199BA"/>
    <w:rsid w:val="1AB9D036"/>
    <w:rsid w:val="1AD193F9"/>
    <w:rsid w:val="1AEB72AB"/>
    <w:rsid w:val="1B40FE80"/>
    <w:rsid w:val="1BA6A673"/>
    <w:rsid w:val="1BE4B261"/>
    <w:rsid w:val="1C0D2E92"/>
    <w:rsid w:val="1CAC35CF"/>
    <w:rsid w:val="1D55283A"/>
    <w:rsid w:val="1DA00298"/>
    <w:rsid w:val="1E3344DB"/>
    <w:rsid w:val="1ECFC116"/>
    <w:rsid w:val="1F514BE1"/>
    <w:rsid w:val="1F541747"/>
    <w:rsid w:val="1F95A7F0"/>
    <w:rsid w:val="1FF3265E"/>
    <w:rsid w:val="21A0CC37"/>
    <w:rsid w:val="21BB3264"/>
    <w:rsid w:val="21C12021"/>
    <w:rsid w:val="21DD2CF7"/>
    <w:rsid w:val="21DECE2C"/>
    <w:rsid w:val="21EB60B8"/>
    <w:rsid w:val="228946E8"/>
    <w:rsid w:val="233137F8"/>
    <w:rsid w:val="23A7B4E7"/>
    <w:rsid w:val="23F6ED2D"/>
    <w:rsid w:val="248821E5"/>
    <w:rsid w:val="255F279C"/>
    <w:rsid w:val="25D81490"/>
    <w:rsid w:val="25F67146"/>
    <w:rsid w:val="2707CCE8"/>
    <w:rsid w:val="2782B115"/>
    <w:rsid w:val="27C4B13A"/>
    <w:rsid w:val="27D69992"/>
    <w:rsid w:val="282FAE5C"/>
    <w:rsid w:val="28B5EBB3"/>
    <w:rsid w:val="2906C350"/>
    <w:rsid w:val="29C29238"/>
    <w:rsid w:val="29CB57E2"/>
    <w:rsid w:val="2A4CF836"/>
    <w:rsid w:val="2AD8876E"/>
    <w:rsid w:val="2AE92C44"/>
    <w:rsid w:val="2AEC8981"/>
    <w:rsid w:val="2B145F25"/>
    <w:rsid w:val="2B2DC171"/>
    <w:rsid w:val="2B394C40"/>
    <w:rsid w:val="2CB14985"/>
    <w:rsid w:val="2CF689BF"/>
    <w:rsid w:val="2D9A9581"/>
    <w:rsid w:val="2E3260E9"/>
    <w:rsid w:val="2F5CF834"/>
    <w:rsid w:val="2F5EB5C5"/>
    <w:rsid w:val="2F686DEE"/>
    <w:rsid w:val="2FC0DD21"/>
    <w:rsid w:val="2FD1E8F5"/>
    <w:rsid w:val="300BE340"/>
    <w:rsid w:val="3050E3EF"/>
    <w:rsid w:val="30591997"/>
    <w:rsid w:val="30856B1C"/>
    <w:rsid w:val="30E5CFBA"/>
    <w:rsid w:val="3106F6A0"/>
    <w:rsid w:val="310EAF77"/>
    <w:rsid w:val="316D27B0"/>
    <w:rsid w:val="319CB4BE"/>
    <w:rsid w:val="32490A34"/>
    <w:rsid w:val="3328C0EC"/>
    <w:rsid w:val="335BDFBF"/>
    <w:rsid w:val="33CA5525"/>
    <w:rsid w:val="34229742"/>
    <w:rsid w:val="344580C4"/>
    <w:rsid w:val="3480252F"/>
    <w:rsid w:val="34E01061"/>
    <w:rsid w:val="352C8B9F"/>
    <w:rsid w:val="3669F8CA"/>
    <w:rsid w:val="36804128"/>
    <w:rsid w:val="36BE4856"/>
    <w:rsid w:val="37041D78"/>
    <w:rsid w:val="37426145"/>
    <w:rsid w:val="3807F7FF"/>
    <w:rsid w:val="3942667E"/>
    <w:rsid w:val="394CA8AE"/>
    <w:rsid w:val="3961F7D0"/>
    <w:rsid w:val="397FBEA0"/>
    <w:rsid w:val="39D01596"/>
    <w:rsid w:val="39D558A0"/>
    <w:rsid w:val="39FCA4C7"/>
    <w:rsid w:val="3A6BC2C9"/>
    <w:rsid w:val="3AA76F7D"/>
    <w:rsid w:val="3AEBA39E"/>
    <w:rsid w:val="3B42F010"/>
    <w:rsid w:val="3B6E8C95"/>
    <w:rsid w:val="3BD66E42"/>
    <w:rsid w:val="3BF55945"/>
    <w:rsid w:val="3BFF1883"/>
    <w:rsid w:val="3C66E889"/>
    <w:rsid w:val="3C9FD09C"/>
    <w:rsid w:val="3D1F9FA3"/>
    <w:rsid w:val="3E0ED5AC"/>
    <w:rsid w:val="3E4E3844"/>
    <w:rsid w:val="3EC124BD"/>
    <w:rsid w:val="3F0CC81B"/>
    <w:rsid w:val="3F96C68B"/>
    <w:rsid w:val="3FA268C0"/>
    <w:rsid w:val="403414B0"/>
    <w:rsid w:val="4034D5B0"/>
    <w:rsid w:val="404C7EBD"/>
    <w:rsid w:val="40846DC6"/>
    <w:rsid w:val="40864D7C"/>
    <w:rsid w:val="41314BAB"/>
    <w:rsid w:val="4226BE76"/>
    <w:rsid w:val="42A4A11B"/>
    <w:rsid w:val="42E4A974"/>
    <w:rsid w:val="42E9E649"/>
    <w:rsid w:val="42EA8227"/>
    <w:rsid w:val="430274AB"/>
    <w:rsid w:val="4338601C"/>
    <w:rsid w:val="43562CB6"/>
    <w:rsid w:val="439CD548"/>
    <w:rsid w:val="43B39807"/>
    <w:rsid w:val="443975BC"/>
    <w:rsid w:val="4532877D"/>
    <w:rsid w:val="454BA05E"/>
    <w:rsid w:val="4560BD17"/>
    <w:rsid w:val="45C5848C"/>
    <w:rsid w:val="4627133B"/>
    <w:rsid w:val="4637001E"/>
    <w:rsid w:val="4669FD0C"/>
    <w:rsid w:val="46703280"/>
    <w:rsid w:val="468CD2C6"/>
    <w:rsid w:val="46FC5CEA"/>
    <w:rsid w:val="471E6D07"/>
    <w:rsid w:val="4811B815"/>
    <w:rsid w:val="4872B540"/>
    <w:rsid w:val="48DC6E09"/>
    <w:rsid w:val="4983755A"/>
    <w:rsid w:val="4A665D71"/>
    <w:rsid w:val="4A976456"/>
    <w:rsid w:val="4BD2E10F"/>
    <w:rsid w:val="4CB009B5"/>
    <w:rsid w:val="4CC62E28"/>
    <w:rsid w:val="4CEFFA1D"/>
    <w:rsid w:val="4D0BDC8B"/>
    <w:rsid w:val="4DDAB855"/>
    <w:rsid w:val="4E6935AC"/>
    <w:rsid w:val="4E724C11"/>
    <w:rsid w:val="4E8D2EF9"/>
    <w:rsid w:val="4EBC79EC"/>
    <w:rsid w:val="4F1D22A3"/>
    <w:rsid w:val="4FC1550D"/>
    <w:rsid w:val="506E63C4"/>
    <w:rsid w:val="508319B3"/>
    <w:rsid w:val="50924F26"/>
    <w:rsid w:val="5163D4FD"/>
    <w:rsid w:val="51F41FAA"/>
    <w:rsid w:val="524E4E1C"/>
    <w:rsid w:val="525DCB54"/>
    <w:rsid w:val="5272F84C"/>
    <w:rsid w:val="52BC40C6"/>
    <w:rsid w:val="5308E019"/>
    <w:rsid w:val="53D0CA66"/>
    <w:rsid w:val="53E72BEE"/>
    <w:rsid w:val="544C53A3"/>
    <w:rsid w:val="54511B8D"/>
    <w:rsid w:val="5471B231"/>
    <w:rsid w:val="548D018F"/>
    <w:rsid w:val="54CDDD73"/>
    <w:rsid w:val="5514AD26"/>
    <w:rsid w:val="55AE7EFC"/>
    <w:rsid w:val="563AE944"/>
    <w:rsid w:val="56722541"/>
    <w:rsid w:val="577F5C6B"/>
    <w:rsid w:val="586B7136"/>
    <w:rsid w:val="586C34E0"/>
    <w:rsid w:val="5904B212"/>
    <w:rsid w:val="591E8C32"/>
    <w:rsid w:val="592C75AD"/>
    <w:rsid w:val="599ADC9B"/>
    <w:rsid w:val="5A223237"/>
    <w:rsid w:val="5A6090B8"/>
    <w:rsid w:val="5AF7D06F"/>
    <w:rsid w:val="5B02927D"/>
    <w:rsid w:val="5BB9ED72"/>
    <w:rsid w:val="5BF9EBCF"/>
    <w:rsid w:val="5CF7CBB4"/>
    <w:rsid w:val="5D858F30"/>
    <w:rsid w:val="5DD383E3"/>
    <w:rsid w:val="5E021213"/>
    <w:rsid w:val="5ECE139E"/>
    <w:rsid w:val="5F3058FE"/>
    <w:rsid w:val="5F90F12A"/>
    <w:rsid w:val="5FDFA2AD"/>
    <w:rsid w:val="60B1AB20"/>
    <w:rsid w:val="611BBEE9"/>
    <w:rsid w:val="6130DF0A"/>
    <w:rsid w:val="61587DBE"/>
    <w:rsid w:val="61770A13"/>
    <w:rsid w:val="617E7FC5"/>
    <w:rsid w:val="62532996"/>
    <w:rsid w:val="6270EB44"/>
    <w:rsid w:val="6276CF3B"/>
    <w:rsid w:val="62CF7660"/>
    <w:rsid w:val="62DEBE6F"/>
    <w:rsid w:val="62F2A69F"/>
    <w:rsid w:val="635935E0"/>
    <w:rsid w:val="63937247"/>
    <w:rsid w:val="6409659D"/>
    <w:rsid w:val="6448C40D"/>
    <w:rsid w:val="654388B7"/>
    <w:rsid w:val="6554750D"/>
    <w:rsid w:val="6563484F"/>
    <w:rsid w:val="6591B3CA"/>
    <w:rsid w:val="6593631C"/>
    <w:rsid w:val="65AC8F1D"/>
    <w:rsid w:val="661A3439"/>
    <w:rsid w:val="66F7EC7B"/>
    <w:rsid w:val="671B9D86"/>
    <w:rsid w:val="674FF9B9"/>
    <w:rsid w:val="675995CE"/>
    <w:rsid w:val="678AFE38"/>
    <w:rsid w:val="682C8331"/>
    <w:rsid w:val="689A4A09"/>
    <w:rsid w:val="68A9B764"/>
    <w:rsid w:val="68B374AD"/>
    <w:rsid w:val="68C98A08"/>
    <w:rsid w:val="6953C0A8"/>
    <w:rsid w:val="69C24AD7"/>
    <w:rsid w:val="69C29D54"/>
    <w:rsid w:val="6A8CB732"/>
    <w:rsid w:val="6AA3B284"/>
    <w:rsid w:val="6AC5FC14"/>
    <w:rsid w:val="6AD7C10A"/>
    <w:rsid w:val="6BB2D8F8"/>
    <w:rsid w:val="6BF94834"/>
    <w:rsid w:val="6C8089AD"/>
    <w:rsid w:val="6CA33E28"/>
    <w:rsid w:val="6CEFF64A"/>
    <w:rsid w:val="6D6853FD"/>
    <w:rsid w:val="6D70D1AD"/>
    <w:rsid w:val="6DE7032A"/>
    <w:rsid w:val="6DED823C"/>
    <w:rsid w:val="6E1ADE82"/>
    <w:rsid w:val="6E8FDAF3"/>
    <w:rsid w:val="6F4E6150"/>
    <w:rsid w:val="6F74EC91"/>
    <w:rsid w:val="704846ED"/>
    <w:rsid w:val="7065C90C"/>
    <w:rsid w:val="70C23CBD"/>
    <w:rsid w:val="70D8DE9A"/>
    <w:rsid w:val="7178781D"/>
    <w:rsid w:val="71C4292B"/>
    <w:rsid w:val="724E1A41"/>
    <w:rsid w:val="725E89E8"/>
    <w:rsid w:val="7272E54B"/>
    <w:rsid w:val="727CAABD"/>
    <w:rsid w:val="72E3E09E"/>
    <w:rsid w:val="72F83348"/>
    <w:rsid w:val="732DEAF6"/>
    <w:rsid w:val="7367B549"/>
    <w:rsid w:val="7483776A"/>
    <w:rsid w:val="74AF3531"/>
    <w:rsid w:val="752C1C90"/>
    <w:rsid w:val="7555F5BA"/>
    <w:rsid w:val="755A9858"/>
    <w:rsid w:val="759416B3"/>
    <w:rsid w:val="75C4B287"/>
    <w:rsid w:val="761B2A12"/>
    <w:rsid w:val="76336522"/>
    <w:rsid w:val="7651A430"/>
    <w:rsid w:val="765C646E"/>
    <w:rsid w:val="767A80BD"/>
    <w:rsid w:val="76AFF07B"/>
    <w:rsid w:val="76F7C3A6"/>
    <w:rsid w:val="771AA1FC"/>
    <w:rsid w:val="7782E556"/>
    <w:rsid w:val="779DE620"/>
    <w:rsid w:val="77A03A5A"/>
    <w:rsid w:val="780E3ED8"/>
    <w:rsid w:val="7827ED9D"/>
    <w:rsid w:val="7899BB36"/>
    <w:rsid w:val="789B0308"/>
    <w:rsid w:val="7912AD26"/>
    <w:rsid w:val="7932C131"/>
    <w:rsid w:val="794ACC87"/>
    <w:rsid w:val="79C1DE37"/>
    <w:rsid w:val="79F47562"/>
    <w:rsid w:val="7A0AC561"/>
    <w:rsid w:val="7A5F77EC"/>
    <w:rsid w:val="7AC7A38D"/>
    <w:rsid w:val="7B0E0080"/>
    <w:rsid w:val="7B7333C1"/>
    <w:rsid w:val="7B994337"/>
    <w:rsid w:val="7CA6E9B1"/>
    <w:rsid w:val="7CBA7346"/>
    <w:rsid w:val="7D52A5B7"/>
    <w:rsid w:val="7D666DD9"/>
    <w:rsid w:val="7DCD82A5"/>
    <w:rsid w:val="7EB03476"/>
    <w:rsid w:val="7F059BCD"/>
    <w:rsid w:val="7F2B9325"/>
    <w:rsid w:val="7FBF3E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EFAC"/>
  <w15:chartTrackingRefBased/>
  <w15:docId w15:val="{1EA47668-31F3-4A46-8EB9-F3968A33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AB6"/>
    <w:pPr>
      <w:spacing w:line="360" w:lineRule="auto"/>
    </w:pPr>
    <w:rPr>
      <w:rFonts w:eastAsiaTheme="minorEastAsia"/>
    </w:rPr>
  </w:style>
  <w:style w:type="paragraph" w:styleId="Heading1">
    <w:name w:val="heading 1"/>
    <w:basedOn w:val="Normal"/>
    <w:next w:val="Normal"/>
    <w:link w:val="Heading1Char"/>
    <w:qFormat/>
    <w:rsid w:val="005D1213"/>
    <w:pPr>
      <w:keepNext/>
      <w:keepLines/>
      <w:spacing w:before="24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nhideWhenUsed/>
    <w:qFormat/>
    <w:rsid w:val="005D1213"/>
    <w:pPr>
      <w:keepNext/>
      <w:keepLines/>
      <w:spacing w:before="40"/>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nhideWhenUsed/>
    <w:qFormat/>
    <w:rsid w:val="003F5384"/>
    <w:pPr>
      <w:keepNext/>
      <w:keepLines/>
      <w:spacing w:before="40"/>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nhideWhenUsed/>
    <w:qFormat/>
    <w:rsid w:val="005D1213"/>
    <w:pPr>
      <w:keepNext/>
      <w:keepLines/>
      <w:spacing w:before="40"/>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2E93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StylePr>
    <w:tblStylePr w:type="band2Horz">
      <w:rPr>
        <w:color w:val="3B3838" w:themeColor="background2" w:themeShade="40"/>
      </w:rPr>
    </w:tblStylePr>
  </w:style>
  <w:style w:type="character" w:customStyle="1" w:styleId="Heading1Char">
    <w:name w:val="Heading 1 Char"/>
    <w:basedOn w:val="DefaultParagraphFont"/>
    <w:link w:val="Heading1"/>
    <w:rsid w:val="005D1213"/>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rsid w:val="005D1213"/>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rsid w:val="003F538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rsid w:val="005D1213"/>
    <w:rPr>
      <w:rFonts w:asciiTheme="majorHAnsi" w:eastAsiaTheme="majorEastAsia" w:hAnsiTheme="majorHAnsi" w:cstheme="majorBidi"/>
      <w:b/>
      <w:iCs/>
      <w:color w:val="3C4741" w:themeColor="text1"/>
    </w:rPr>
  </w:style>
  <w:style w:type="paragraph" w:customStyle="1" w:styleId="BodyText1">
    <w:name w:val="Body Text1"/>
    <w:basedOn w:val="Normal"/>
    <w:qFormat/>
    <w:rsid w:val="00105F31"/>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2E935B"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98321C"/>
    <w:rPr>
      <w:color w:val="0563C1"/>
      <w:u w:val="single"/>
    </w:rPr>
  </w:style>
  <w:style w:type="character" w:styleId="UnresolvedMention">
    <w:name w:val="Unresolved Mention"/>
    <w:basedOn w:val="DefaultParagraphFont"/>
    <w:uiPriority w:val="99"/>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table" w:styleId="TableGrid">
    <w:name w:val="Table Grid"/>
    <w:basedOn w:val="TableNormal"/>
    <w:uiPriority w:val="39"/>
    <w:rsid w:val="00180554"/>
    <w:rPr>
      <w:lang w:val="en-US"/>
    </w:rPr>
    <w:tblPr/>
  </w:style>
  <w:style w:type="paragraph" w:styleId="ListParagraph">
    <w:name w:val="List Paragraph"/>
    <w:aliases w:val="Dot pt,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180554"/>
    <w:pPr>
      <w:spacing w:line="240" w:lineRule="auto"/>
      <w:ind w:left="720"/>
      <w:contextualSpacing/>
    </w:pPr>
    <w:rPr>
      <w:rFonts w:eastAsiaTheme="minorHAnsi"/>
      <w:sz w:val="22"/>
      <w:lang w:val="en-US"/>
    </w:rPr>
  </w:style>
  <w:style w:type="paragraph" w:customStyle="1" w:styleId="paragraph">
    <w:name w:val="paragraph"/>
    <w:basedOn w:val="Normal"/>
    <w:rsid w:val="00180554"/>
    <w:pPr>
      <w:spacing w:beforeAutospacing="1" w:after="160" w:afterAutospacing="1" w:line="259" w:lineRule="auto"/>
    </w:pPr>
    <w:rPr>
      <w:rFonts w:eastAsiaTheme="minorHAnsi"/>
      <w:lang w:eastAsia="en-GB"/>
    </w:rPr>
  </w:style>
  <w:style w:type="character" w:customStyle="1" w:styleId="normaltextrun">
    <w:name w:val="normaltextrun"/>
    <w:basedOn w:val="DefaultParagraphFont"/>
    <w:rsid w:val="00180554"/>
  </w:style>
  <w:style w:type="paragraph" w:styleId="FootnoteText">
    <w:name w:val="footnote text"/>
    <w:basedOn w:val="Normal"/>
    <w:link w:val="FootnoteTextChar"/>
    <w:uiPriority w:val="99"/>
    <w:semiHidden/>
    <w:rsid w:val="00180554"/>
    <w:pPr>
      <w:spacing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180554"/>
    <w:rPr>
      <w:rFonts w:ascii="Arial" w:eastAsia="Times New Roman" w:hAnsi="Arial" w:cs="Times New Roman"/>
      <w:sz w:val="20"/>
      <w:szCs w:val="20"/>
      <w:lang w:eastAsia="en-GB"/>
    </w:rPr>
  </w:style>
  <w:style w:type="paragraph" w:customStyle="1" w:styleId="Heading11">
    <w:name w:val="Heading 11"/>
    <w:basedOn w:val="Normal"/>
    <w:next w:val="Normal"/>
    <w:qFormat/>
    <w:rsid w:val="00180554"/>
    <w:pPr>
      <w:keepNext/>
      <w:keepLines/>
      <w:overflowPunct w:val="0"/>
      <w:autoSpaceDE w:val="0"/>
      <w:autoSpaceDN w:val="0"/>
      <w:adjustRightInd w:val="0"/>
      <w:spacing w:before="200" w:after="200"/>
      <w:textAlignment w:val="baseline"/>
      <w:outlineLvl w:val="0"/>
    </w:pPr>
    <w:rPr>
      <w:rFonts w:ascii="Arial" w:eastAsia="MS Gothic" w:hAnsi="Arial" w:cs="Times New Roman"/>
      <w:b/>
      <w:color w:val="00526F"/>
      <w:sz w:val="32"/>
      <w:szCs w:val="32"/>
    </w:rPr>
  </w:style>
  <w:style w:type="paragraph" w:customStyle="1" w:styleId="Heading21">
    <w:name w:val="Heading 21"/>
    <w:basedOn w:val="Normal"/>
    <w:next w:val="Normal"/>
    <w:unhideWhenUsed/>
    <w:qFormat/>
    <w:rsid w:val="00180554"/>
    <w:pPr>
      <w:keepNext/>
      <w:keepLines/>
      <w:overflowPunct w:val="0"/>
      <w:autoSpaceDE w:val="0"/>
      <w:autoSpaceDN w:val="0"/>
      <w:adjustRightInd w:val="0"/>
      <w:spacing w:before="40" w:after="200"/>
      <w:textAlignment w:val="baseline"/>
      <w:outlineLvl w:val="1"/>
    </w:pPr>
    <w:rPr>
      <w:rFonts w:ascii="Arial" w:eastAsia="MS Gothic" w:hAnsi="Arial" w:cs="Times New Roman"/>
      <w:b/>
      <w:sz w:val="28"/>
      <w:szCs w:val="26"/>
    </w:rPr>
  </w:style>
  <w:style w:type="paragraph" w:customStyle="1" w:styleId="Heading31">
    <w:name w:val="Heading 31"/>
    <w:basedOn w:val="Normal"/>
    <w:next w:val="Normal"/>
    <w:unhideWhenUsed/>
    <w:qFormat/>
    <w:rsid w:val="00180554"/>
    <w:pPr>
      <w:keepNext/>
      <w:keepLines/>
      <w:overflowPunct w:val="0"/>
      <w:autoSpaceDE w:val="0"/>
      <w:autoSpaceDN w:val="0"/>
      <w:adjustRightInd w:val="0"/>
      <w:spacing w:before="40" w:after="120"/>
      <w:textAlignment w:val="baseline"/>
      <w:outlineLvl w:val="2"/>
    </w:pPr>
    <w:rPr>
      <w:rFonts w:ascii="Arial" w:eastAsia="MS Gothic" w:hAnsi="Arial" w:cs="Times New Roman"/>
      <w:b/>
    </w:rPr>
  </w:style>
  <w:style w:type="paragraph" w:customStyle="1" w:styleId="Heading41">
    <w:name w:val="Heading 41"/>
    <w:basedOn w:val="Normal"/>
    <w:next w:val="Normal"/>
    <w:unhideWhenUsed/>
    <w:qFormat/>
    <w:rsid w:val="00180554"/>
    <w:pPr>
      <w:keepNext/>
      <w:keepLines/>
      <w:overflowPunct w:val="0"/>
      <w:autoSpaceDE w:val="0"/>
      <w:autoSpaceDN w:val="0"/>
      <w:adjustRightInd w:val="0"/>
      <w:spacing w:before="40"/>
      <w:textAlignment w:val="baseline"/>
      <w:outlineLvl w:val="3"/>
    </w:pPr>
    <w:rPr>
      <w:rFonts w:ascii="Cambria" w:eastAsia="MS Gothic" w:hAnsi="Cambria" w:cs="Times New Roman"/>
      <w:i/>
      <w:iCs/>
      <w:color w:val="365F91"/>
      <w:szCs w:val="20"/>
    </w:rPr>
  </w:style>
  <w:style w:type="paragraph" w:styleId="BalloonText">
    <w:name w:val="Balloon Text"/>
    <w:basedOn w:val="Normal"/>
    <w:link w:val="BalloonTextChar"/>
    <w:uiPriority w:val="99"/>
    <w:semiHidden/>
    <w:unhideWhenUsed/>
    <w:rsid w:val="00180554"/>
    <w:pPr>
      <w:overflowPunct w:val="0"/>
      <w:autoSpaceDE w:val="0"/>
      <w:autoSpaceDN w:val="0"/>
      <w:adjustRightInd w:val="0"/>
      <w:spacing w:after="200"/>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80554"/>
    <w:rPr>
      <w:rFonts w:ascii="Tahoma" w:eastAsia="Times New Roman" w:hAnsi="Tahoma" w:cs="Tahoma"/>
      <w:sz w:val="16"/>
      <w:szCs w:val="16"/>
    </w:rPr>
  </w:style>
  <w:style w:type="character" w:styleId="CommentReference">
    <w:name w:val="annotation reference"/>
    <w:basedOn w:val="DefaultParagraphFont"/>
    <w:uiPriority w:val="99"/>
    <w:unhideWhenUsed/>
    <w:rsid w:val="00180554"/>
    <w:rPr>
      <w:sz w:val="16"/>
      <w:szCs w:val="16"/>
    </w:rPr>
  </w:style>
  <w:style w:type="paragraph" w:styleId="CommentText">
    <w:name w:val="annotation text"/>
    <w:basedOn w:val="Normal"/>
    <w:link w:val="CommentTextChar"/>
    <w:uiPriority w:val="99"/>
    <w:unhideWhenUsed/>
    <w:rsid w:val="00180554"/>
    <w:pPr>
      <w:overflowPunct w:val="0"/>
      <w:autoSpaceDE w:val="0"/>
      <w:autoSpaceDN w:val="0"/>
      <w:adjustRightInd w:val="0"/>
      <w:spacing w:after="200"/>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18055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80554"/>
    <w:rPr>
      <w:b/>
      <w:bCs/>
    </w:rPr>
  </w:style>
  <w:style w:type="character" w:customStyle="1" w:styleId="CommentSubjectChar">
    <w:name w:val="Comment Subject Char"/>
    <w:basedOn w:val="CommentTextChar"/>
    <w:link w:val="CommentSubject"/>
    <w:uiPriority w:val="99"/>
    <w:semiHidden/>
    <w:rsid w:val="00180554"/>
    <w:rPr>
      <w:rFonts w:ascii="Arial" w:eastAsia="Times New Roman" w:hAnsi="Arial" w:cs="Times New Roman"/>
      <w:b/>
      <w:bCs/>
      <w:sz w:val="20"/>
      <w:szCs w:val="20"/>
    </w:rPr>
  </w:style>
  <w:style w:type="paragraph" w:customStyle="1" w:styleId="NoSpacing1">
    <w:name w:val="No Spacing1"/>
    <w:next w:val="NoSpacing"/>
    <w:uiPriority w:val="1"/>
    <w:qFormat/>
    <w:rsid w:val="00180554"/>
    <w:rPr>
      <w:rFonts w:eastAsia="MS Mincho"/>
      <w:sz w:val="22"/>
      <w:szCs w:val="22"/>
      <w:lang w:val="en-US"/>
    </w:rPr>
  </w:style>
  <w:style w:type="character" w:customStyle="1" w:styleId="Hyperlink1">
    <w:name w:val="Hyperlink1"/>
    <w:basedOn w:val="DefaultParagraphFont"/>
    <w:uiPriority w:val="99"/>
    <w:unhideWhenUsed/>
    <w:rsid w:val="00180554"/>
    <w:rPr>
      <w:color w:val="0000FF"/>
      <w:u w:val="single"/>
    </w:rPr>
  </w:style>
  <w:style w:type="table" w:customStyle="1" w:styleId="TableGrid1">
    <w:name w:val="Table Grid1"/>
    <w:basedOn w:val="TableNormal"/>
    <w:next w:val="TableGrid"/>
    <w:rsid w:val="00180554"/>
    <w:rPr>
      <w:rFonts w:ascii="Times New Roman" w:eastAsia="Times New Roman" w:hAnsi="Times New Roman" w:cs="Times New Roman"/>
      <w:sz w:val="20"/>
      <w:szCs w:val="20"/>
    </w:rPr>
    <w:tblPr/>
  </w:style>
  <w:style w:type="paragraph" w:customStyle="1" w:styleId="SEPABodyText">
    <w:name w:val="SEPA Body Text"/>
    <w:autoRedefine/>
    <w:qFormat/>
    <w:rsid w:val="00AB6388"/>
    <w:pPr>
      <w:spacing w:after="240" w:line="360" w:lineRule="auto"/>
    </w:pPr>
    <w:rPr>
      <w:rFonts w:ascii="Arial" w:eastAsia="Times New Roman" w:hAnsi="Arial" w:cs="Arial"/>
      <w:bCs/>
      <w:lang w:val="en-US"/>
    </w:rPr>
  </w:style>
  <w:style w:type="paragraph" w:customStyle="1" w:styleId="SEPASectionHeading">
    <w:name w:val="SEPA Section Heading"/>
    <w:autoRedefine/>
    <w:qFormat/>
    <w:rsid w:val="00180554"/>
    <w:rPr>
      <w:rFonts w:ascii="Arial" w:eastAsia="Times New Roman" w:hAnsi="Arial" w:cs="Arial"/>
      <w:b/>
      <w:bCs/>
      <w:noProof/>
      <w:color w:val="00526F"/>
      <w:sz w:val="32"/>
      <w:szCs w:val="32"/>
      <w:lang w:val="en-US"/>
    </w:rPr>
  </w:style>
  <w:style w:type="character" w:styleId="FootnoteReference">
    <w:name w:val="footnote reference"/>
    <w:uiPriority w:val="99"/>
    <w:semiHidden/>
    <w:rsid w:val="00180554"/>
    <w:rPr>
      <w:vertAlign w:val="superscript"/>
    </w:rPr>
  </w:style>
  <w:style w:type="character" w:customStyle="1" w:styleId="eop">
    <w:name w:val="eop"/>
    <w:basedOn w:val="DefaultParagraphFont"/>
    <w:rsid w:val="00180554"/>
  </w:style>
  <w:style w:type="paragraph" w:customStyle="1" w:styleId="xmsonormal">
    <w:name w:val="x_msonormal"/>
    <w:basedOn w:val="Normal"/>
    <w:rsid w:val="00180554"/>
    <w:pPr>
      <w:spacing w:before="100" w:beforeAutospacing="1" w:after="100" w:afterAutospacing="1" w:line="240" w:lineRule="auto"/>
    </w:pPr>
    <w:rPr>
      <w:rFonts w:ascii="Calibri" w:eastAsiaTheme="minorHAnsi" w:hAnsi="Calibri" w:cs="Calibri"/>
      <w:sz w:val="22"/>
      <w:szCs w:val="22"/>
      <w:lang w:eastAsia="en-GB"/>
    </w:rPr>
  </w:style>
  <w:style w:type="paragraph" w:styleId="EndnoteText">
    <w:name w:val="endnote text"/>
    <w:basedOn w:val="Normal"/>
    <w:link w:val="EndnoteTextChar"/>
    <w:uiPriority w:val="99"/>
    <w:semiHidden/>
    <w:unhideWhenUsed/>
    <w:rsid w:val="00180554"/>
    <w:pPr>
      <w:overflowPunct w:val="0"/>
      <w:autoSpaceDE w:val="0"/>
      <w:autoSpaceDN w:val="0"/>
      <w:adjustRightInd w:val="0"/>
      <w:spacing w:line="240" w:lineRule="auto"/>
      <w:textAlignment w:val="baseline"/>
    </w:pPr>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semiHidden/>
    <w:rsid w:val="00180554"/>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180554"/>
    <w:rPr>
      <w:vertAlign w:val="superscript"/>
    </w:rPr>
  </w:style>
  <w:style w:type="paragraph" w:customStyle="1" w:styleId="NormalWeb1">
    <w:name w:val="Normal (Web)1"/>
    <w:basedOn w:val="Normal"/>
    <w:next w:val="NormalWeb"/>
    <w:uiPriority w:val="99"/>
    <w:semiHidden/>
    <w:unhideWhenUsed/>
    <w:rsid w:val="00180554"/>
    <w:pPr>
      <w:spacing w:before="100" w:beforeAutospacing="1" w:after="100" w:afterAutospacing="1" w:line="240" w:lineRule="auto"/>
    </w:pPr>
    <w:rPr>
      <w:rFonts w:ascii="Times New Roman" w:eastAsiaTheme="minorHAnsi" w:hAnsi="Times New Roman" w:cs="Times New Roman"/>
      <w:lang w:eastAsia="en-GB"/>
    </w:rPr>
  </w:style>
  <w:style w:type="character" w:customStyle="1" w:styleId="Heading1Char1">
    <w:name w:val="Heading 1 Char1"/>
    <w:basedOn w:val="DefaultParagraphFont"/>
    <w:uiPriority w:val="9"/>
    <w:rsid w:val="00180554"/>
    <w:rPr>
      <w:rFonts w:asciiTheme="majorHAnsi" w:eastAsiaTheme="majorEastAsia" w:hAnsiTheme="majorHAnsi" w:cstheme="majorBidi"/>
      <w:color w:val="2E935B" w:themeColor="accent1" w:themeShade="BF"/>
      <w:sz w:val="32"/>
      <w:szCs w:val="32"/>
      <w:lang w:val="en-US"/>
    </w:rPr>
  </w:style>
  <w:style w:type="character" w:customStyle="1" w:styleId="Heading2Char1">
    <w:name w:val="Heading 2 Char1"/>
    <w:basedOn w:val="DefaultParagraphFont"/>
    <w:uiPriority w:val="9"/>
    <w:semiHidden/>
    <w:rsid w:val="00180554"/>
    <w:rPr>
      <w:rFonts w:asciiTheme="majorHAnsi" w:eastAsiaTheme="majorEastAsia" w:hAnsiTheme="majorHAnsi" w:cstheme="majorBidi"/>
      <w:color w:val="2E935B" w:themeColor="accent1" w:themeShade="BF"/>
      <w:sz w:val="26"/>
      <w:szCs w:val="26"/>
      <w:lang w:val="en-US"/>
    </w:rPr>
  </w:style>
  <w:style w:type="character" w:customStyle="1" w:styleId="Heading3Char1">
    <w:name w:val="Heading 3 Char1"/>
    <w:basedOn w:val="DefaultParagraphFont"/>
    <w:uiPriority w:val="9"/>
    <w:semiHidden/>
    <w:rsid w:val="00180554"/>
    <w:rPr>
      <w:rFonts w:asciiTheme="majorHAnsi" w:eastAsiaTheme="majorEastAsia" w:hAnsiTheme="majorHAnsi" w:cstheme="majorBidi"/>
      <w:color w:val="1E613C" w:themeColor="accent1" w:themeShade="7F"/>
      <w:sz w:val="24"/>
      <w:szCs w:val="24"/>
      <w:lang w:val="en-US"/>
    </w:rPr>
  </w:style>
  <w:style w:type="character" w:customStyle="1" w:styleId="Heading4Char1">
    <w:name w:val="Heading 4 Char1"/>
    <w:basedOn w:val="DefaultParagraphFont"/>
    <w:uiPriority w:val="9"/>
    <w:semiHidden/>
    <w:rsid w:val="00180554"/>
    <w:rPr>
      <w:rFonts w:asciiTheme="majorHAnsi" w:eastAsiaTheme="majorEastAsia" w:hAnsiTheme="majorHAnsi" w:cstheme="majorBidi"/>
      <w:i/>
      <w:iCs/>
      <w:color w:val="2E935B" w:themeColor="accent1" w:themeShade="BF"/>
      <w:szCs w:val="24"/>
      <w:lang w:val="en-US"/>
    </w:rPr>
  </w:style>
  <w:style w:type="paragraph" w:styleId="NormalWeb">
    <w:name w:val="Normal (Web)"/>
    <w:basedOn w:val="Normal"/>
    <w:uiPriority w:val="99"/>
    <w:unhideWhenUsed/>
    <w:rsid w:val="00180554"/>
    <w:pPr>
      <w:spacing w:line="240" w:lineRule="auto"/>
    </w:pPr>
    <w:rPr>
      <w:rFonts w:ascii="Times New Roman" w:eastAsiaTheme="minorHAnsi" w:hAnsi="Times New Roman" w:cs="Times New Roman"/>
      <w:lang w:val="en-US"/>
    </w:rPr>
  </w:style>
  <w:style w:type="character" w:customStyle="1" w:styleId="hardreadability">
    <w:name w:val="hardreadability"/>
    <w:basedOn w:val="DefaultParagraphFont"/>
    <w:rsid w:val="00180554"/>
  </w:style>
  <w:style w:type="character" w:customStyle="1" w:styleId="passivevoice">
    <w:name w:val="passivevoice"/>
    <w:basedOn w:val="DefaultParagraphFont"/>
    <w:rsid w:val="00180554"/>
  </w:style>
  <w:style w:type="character" w:styleId="Emphasis">
    <w:name w:val="Emphasis"/>
    <w:basedOn w:val="DefaultParagraphFont"/>
    <w:uiPriority w:val="20"/>
    <w:qFormat/>
    <w:rsid w:val="00180554"/>
    <w:rPr>
      <w:i/>
      <w:iCs/>
    </w:rPr>
  </w:style>
  <w:style w:type="character" w:styleId="FollowedHyperlink">
    <w:name w:val="FollowedHyperlink"/>
    <w:basedOn w:val="DefaultParagraphFont"/>
    <w:uiPriority w:val="99"/>
    <w:semiHidden/>
    <w:unhideWhenUsed/>
    <w:rsid w:val="00180554"/>
    <w:rPr>
      <w:color w:val="954F72" w:themeColor="followedHyperlink"/>
      <w:u w:val="single"/>
    </w:rPr>
  </w:style>
  <w:style w:type="character" w:styleId="Mention">
    <w:name w:val="Mention"/>
    <w:basedOn w:val="DefaultParagraphFont"/>
    <w:uiPriority w:val="99"/>
    <w:unhideWhenUsed/>
    <w:rsid w:val="00180554"/>
    <w:rPr>
      <w:color w:val="2B579A"/>
      <w:shd w:val="clear" w:color="auto" w:fill="E1DFDD"/>
    </w:rPr>
  </w:style>
  <w:style w:type="character" w:customStyle="1" w:styleId="ui-provider">
    <w:name w:val="ui-provider"/>
    <w:basedOn w:val="DefaultParagraphFont"/>
    <w:rsid w:val="00180554"/>
  </w:style>
  <w:style w:type="table" w:styleId="PlainTable4">
    <w:name w:val="Plain Table 4"/>
    <w:basedOn w:val="TableNormal"/>
    <w:uiPriority w:val="44"/>
    <w:rsid w:val="00180554"/>
    <w:rPr>
      <w:sz w:val="22"/>
      <w:szCs w:val="22"/>
    </w:r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cf01">
    <w:name w:val="cf01"/>
    <w:basedOn w:val="DefaultParagraphFont"/>
    <w:rsid w:val="00180554"/>
    <w:rPr>
      <w:rFonts w:ascii="Segoe UI" w:hAnsi="Segoe UI" w:cs="Segoe UI" w:hint="default"/>
      <w:color w:val="595959"/>
      <w:shd w:val="clear" w:color="auto" w:fill="FFFFFF"/>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12 Char,F5 List Paragraph Char,List Paragraph11 Char"/>
    <w:basedOn w:val="DefaultParagraphFont"/>
    <w:link w:val="ListParagraph"/>
    <w:uiPriority w:val="34"/>
    <w:locked/>
    <w:rsid w:val="009A412D"/>
    <w:rPr>
      <w:sz w:val="22"/>
      <w:lang w:val="en-US"/>
    </w:rPr>
  </w:style>
  <w:style w:type="character" w:customStyle="1" w:styleId="wacimagecontainer">
    <w:name w:val="wacimagecontainer"/>
    <w:basedOn w:val="DefaultParagraphFont"/>
    <w:rsid w:val="005C1928"/>
  </w:style>
  <w:style w:type="paragraph" w:styleId="TOCHeading">
    <w:name w:val="TOC Heading"/>
    <w:basedOn w:val="Heading1"/>
    <w:next w:val="Normal"/>
    <w:uiPriority w:val="39"/>
    <w:unhideWhenUsed/>
    <w:qFormat/>
    <w:rsid w:val="00FA6A88"/>
    <w:pPr>
      <w:spacing w:line="259" w:lineRule="auto"/>
      <w:outlineLvl w:val="9"/>
    </w:pPr>
    <w:rPr>
      <w:b w:val="0"/>
      <w:color w:val="2E935B" w:themeColor="accent1" w:themeShade="BF"/>
      <w:sz w:val="32"/>
      <w:lang w:val="en-US"/>
    </w:rPr>
  </w:style>
  <w:style w:type="paragraph" w:styleId="TOC1">
    <w:name w:val="toc 1"/>
    <w:basedOn w:val="Normal"/>
    <w:next w:val="Normal"/>
    <w:autoRedefine/>
    <w:uiPriority w:val="39"/>
    <w:unhideWhenUsed/>
    <w:rsid w:val="00FA6A88"/>
    <w:pPr>
      <w:spacing w:after="100"/>
    </w:pPr>
  </w:style>
  <w:style w:type="paragraph" w:styleId="TOC2">
    <w:name w:val="toc 2"/>
    <w:basedOn w:val="Normal"/>
    <w:next w:val="Normal"/>
    <w:autoRedefine/>
    <w:uiPriority w:val="39"/>
    <w:unhideWhenUsed/>
    <w:rsid w:val="00FA6A88"/>
    <w:pPr>
      <w:spacing w:after="100"/>
      <w:ind w:left="240"/>
    </w:pPr>
  </w:style>
  <w:style w:type="table" w:customStyle="1" w:styleId="TableGrid2">
    <w:name w:val="Table Grid2"/>
    <w:basedOn w:val="TableNormal"/>
    <w:next w:val="TableGrid"/>
    <w:uiPriority w:val="39"/>
    <w:rsid w:val="004329A1"/>
    <w:tblPr/>
  </w:style>
  <w:style w:type="paragraph" w:styleId="TOC3">
    <w:name w:val="toc 3"/>
    <w:basedOn w:val="Normal"/>
    <w:next w:val="Normal"/>
    <w:autoRedefine/>
    <w:uiPriority w:val="39"/>
    <w:unhideWhenUsed/>
    <w:rsid w:val="00F559C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6195">
      <w:bodyDiv w:val="1"/>
      <w:marLeft w:val="0"/>
      <w:marRight w:val="0"/>
      <w:marTop w:val="0"/>
      <w:marBottom w:val="0"/>
      <w:divBdr>
        <w:top w:val="none" w:sz="0" w:space="0" w:color="auto"/>
        <w:left w:val="none" w:sz="0" w:space="0" w:color="auto"/>
        <w:bottom w:val="none" w:sz="0" w:space="0" w:color="auto"/>
        <w:right w:val="none" w:sz="0" w:space="0" w:color="auto"/>
      </w:divBdr>
    </w:div>
    <w:div w:id="71782290">
      <w:bodyDiv w:val="1"/>
      <w:marLeft w:val="0"/>
      <w:marRight w:val="0"/>
      <w:marTop w:val="0"/>
      <w:marBottom w:val="0"/>
      <w:divBdr>
        <w:top w:val="none" w:sz="0" w:space="0" w:color="auto"/>
        <w:left w:val="none" w:sz="0" w:space="0" w:color="auto"/>
        <w:bottom w:val="none" w:sz="0" w:space="0" w:color="auto"/>
        <w:right w:val="none" w:sz="0" w:space="0" w:color="auto"/>
      </w:divBdr>
    </w:div>
    <w:div w:id="89010516">
      <w:bodyDiv w:val="1"/>
      <w:marLeft w:val="0"/>
      <w:marRight w:val="0"/>
      <w:marTop w:val="0"/>
      <w:marBottom w:val="0"/>
      <w:divBdr>
        <w:top w:val="none" w:sz="0" w:space="0" w:color="auto"/>
        <w:left w:val="none" w:sz="0" w:space="0" w:color="auto"/>
        <w:bottom w:val="none" w:sz="0" w:space="0" w:color="auto"/>
        <w:right w:val="none" w:sz="0" w:space="0" w:color="auto"/>
      </w:divBdr>
    </w:div>
    <w:div w:id="108546114">
      <w:bodyDiv w:val="1"/>
      <w:marLeft w:val="0"/>
      <w:marRight w:val="0"/>
      <w:marTop w:val="0"/>
      <w:marBottom w:val="0"/>
      <w:divBdr>
        <w:top w:val="none" w:sz="0" w:space="0" w:color="auto"/>
        <w:left w:val="none" w:sz="0" w:space="0" w:color="auto"/>
        <w:bottom w:val="none" w:sz="0" w:space="0" w:color="auto"/>
        <w:right w:val="none" w:sz="0" w:space="0" w:color="auto"/>
      </w:divBdr>
    </w:div>
    <w:div w:id="118112428">
      <w:bodyDiv w:val="1"/>
      <w:marLeft w:val="0"/>
      <w:marRight w:val="0"/>
      <w:marTop w:val="0"/>
      <w:marBottom w:val="0"/>
      <w:divBdr>
        <w:top w:val="none" w:sz="0" w:space="0" w:color="auto"/>
        <w:left w:val="none" w:sz="0" w:space="0" w:color="auto"/>
        <w:bottom w:val="none" w:sz="0" w:space="0" w:color="auto"/>
        <w:right w:val="none" w:sz="0" w:space="0" w:color="auto"/>
      </w:divBdr>
    </w:div>
    <w:div w:id="125390821">
      <w:bodyDiv w:val="1"/>
      <w:marLeft w:val="0"/>
      <w:marRight w:val="0"/>
      <w:marTop w:val="0"/>
      <w:marBottom w:val="0"/>
      <w:divBdr>
        <w:top w:val="none" w:sz="0" w:space="0" w:color="auto"/>
        <w:left w:val="none" w:sz="0" w:space="0" w:color="auto"/>
        <w:bottom w:val="none" w:sz="0" w:space="0" w:color="auto"/>
        <w:right w:val="none" w:sz="0" w:space="0" w:color="auto"/>
      </w:divBdr>
    </w:div>
    <w:div w:id="129828312">
      <w:bodyDiv w:val="1"/>
      <w:marLeft w:val="0"/>
      <w:marRight w:val="0"/>
      <w:marTop w:val="0"/>
      <w:marBottom w:val="0"/>
      <w:divBdr>
        <w:top w:val="none" w:sz="0" w:space="0" w:color="auto"/>
        <w:left w:val="none" w:sz="0" w:space="0" w:color="auto"/>
        <w:bottom w:val="none" w:sz="0" w:space="0" w:color="auto"/>
        <w:right w:val="none" w:sz="0" w:space="0" w:color="auto"/>
      </w:divBdr>
    </w:div>
    <w:div w:id="161623310">
      <w:bodyDiv w:val="1"/>
      <w:marLeft w:val="0"/>
      <w:marRight w:val="0"/>
      <w:marTop w:val="0"/>
      <w:marBottom w:val="0"/>
      <w:divBdr>
        <w:top w:val="none" w:sz="0" w:space="0" w:color="auto"/>
        <w:left w:val="none" w:sz="0" w:space="0" w:color="auto"/>
        <w:bottom w:val="none" w:sz="0" w:space="0" w:color="auto"/>
        <w:right w:val="none" w:sz="0" w:space="0" w:color="auto"/>
      </w:divBdr>
    </w:div>
    <w:div w:id="179509324">
      <w:bodyDiv w:val="1"/>
      <w:marLeft w:val="0"/>
      <w:marRight w:val="0"/>
      <w:marTop w:val="0"/>
      <w:marBottom w:val="0"/>
      <w:divBdr>
        <w:top w:val="none" w:sz="0" w:space="0" w:color="auto"/>
        <w:left w:val="none" w:sz="0" w:space="0" w:color="auto"/>
        <w:bottom w:val="none" w:sz="0" w:space="0" w:color="auto"/>
        <w:right w:val="none" w:sz="0" w:space="0" w:color="auto"/>
      </w:divBdr>
    </w:div>
    <w:div w:id="183790449">
      <w:bodyDiv w:val="1"/>
      <w:marLeft w:val="0"/>
      <w:marRight w:val="0"/>
      <w:marTop w:val="0"/>
      <w:marBottom w:val="0"/>
      <w:divBdr>
        <w:top w:val="none" w:sz="0" w:space="0" w:color="auto"/>
        <w:left w:val="none" w:sz="0" w:space="0" w:color="auto"/>
        <w:bottom w:val="none" w:sz="0" w:space="0" w:color="auto"/>
        <w:right w:val="none" w:sz="0" w:space="0" w:color="auto"/>
      </w:divBdr>
    </w:div>
    <w:div w:id="190848545">
      <w:bodyDiv w:val="1"/>
      <w:marLeft w:val="0"/>
      <w:marRight w:val="0"/>
      <w:marTop w:val="0"/>
      <w:marBottom w:val="0"/>
      <w:divBdr>
        <w:top w:val="none" w:sz="0" w:space="0" w:color="auto"/>
        <w:left w:val="none" w:sz="0" w:space="0" w:color="auto"/>
        <w:bottom w:val="none" w:sz="0" w:space="0" w:color="auto"/>
        <w:right w:val="none" w:sz="0" w:space="0" w:color="auto"/>
      </w:divBdr>
    </w:div>
    <w:div w:id="197356999">
      <w:bodyDiv w:val="1"/>
      <w:marLeft w:val="0"/>
      <w:marRight w:val="0"/>
      <w:marTop w:val="0"/>
      <w:marBottom w:val="0"/>
      <w:divBdr>
        <w:top w:val="none" w:sz="0" w:space="0" w:color="auto"/>
        <w:left w:val="none" w:sz="0" w:space="0" w:color="auto"/>
        <w:bottom w:val="none" w:sz="0" w:space="0" w:color="auto"/>
        <w:right w:val="none" w:sz="0" w:space="0" w:color="auto"/>
      </w:divBdr>
      <w:divsChild>
        <w:div w:id="801843282">
          <w:marLeft w:val="0"/>
          <w:marRight w:val="0"/>
          <w:marTop w:val="0"/>
          <w:marBottom w:val="0"/>
          <w:divBdr>
            <w:top w:val="none" w:sz="0" w:space="0" w:color="auto"/>
            <w:left w:val="none" w:sz="0" w:space="0" w:color="auto"/>
            <w:bottom w:val="none" w:sz="0" w:space="0" w:color="auto"/>
            <w:right w:val="none" w:sz="0" w:space="0" w:color="auto"/>
          </w:divBdr>
        </w:div>
        <w:div w:id="853422345">
          <w:marLeft w:val="0"/>
          <w:marRight w:val="0"/>
          <w:marTop w:val="0"/>
          <w:marBottom w:val="0"/>
          <w:divBdr>
            <w:top w:val="none" w:sz="0" w:space="0" w:color="auto"/>
            <w:left w:val="none" w:sz="0" w:space="0" w:color="auto"/>
            <w:bottom w:val="none" w:sz="0" w:space="0" w:color="auto"/>
            <w:right w:val="none" w:sz="0" w:space="0" w:color="auto"/>
          </w:divBdr>
        </w:div>
        <w:div w:id="1470054546">
          <w:marLeft w:val="0"/>
          <w:marRight w:val="0"/>
          <w:marTop w:val="0"/>
          <w:marBottom w:val="0"/>
          <w:divBdr>
            <w:top w:val="none" w:sz="0" w:space="0" w:color="auto"/>
            <w:left w:val="none" w:sz="0" w:space="0" w:color="auto"/>
            <w:bottom w:val="none" w:sz="0" w:space="0" w:color="auto"/>
            <w:right w:val="none" w:sz="0" w:space="0" w:color="auto"/>
          </w:divBdr>
        </w:div>
        <w:div w:id="1745832915">
          <w:marLeft w:val="0"/>
          <w:marRight w:val="0"/>
          <w:marTop w:val="0"/>
          <w:marBottom w:val="0"/>
          <w:divBdr>
            <w:top w:val="none" w:sz="0" w:space="0" w:color="auto"/>
            <w:left w:val="none" w:sz="0" w:space="0" w:color="auto"/>
            <w:bottom w:val="none" w:sz="0" w:space="0" w:color="auto"/>
            <w:right w:val="none" w:sz="0" w:space="0" w:color="auto"/>
          </w:divBdr>
        </w:div>
      </w:divsChild>
    </w:div>
    <w:div w:id="213662481">
      <w:bodyDiv w:val="1"/>
      <w:marLeft w:val="0"/>
      <w:marRight w:val="0"/>
      <w:marTop w:val="0"/>
      <w:marBottom w:val="0"/>
      <w:divBdr>
        <w:top w:val="none" w:sz="0" w:space="0" w:color="auto"/>
        <w:left w:val="none" w:sz="0" w:space="0" w:color="auto"/>
        <w:bottom w:val="none" w:sz="0" w:space="0" w:color="auto"/>
        <w:right w:val="none" w:sz="0" w:space="0" w:color="auto"/>
      </w:divBdr>
    </w:div>
    <w:div w:id="218445543">
      <w:bodyDiv w:val="1"/>
      <w:marLeft w:val="0"/>
      <w:marRight w:val="0"/>
      <w:marTop w:val="0"/>
      <w:marBottom w:val="0"/>
      <w:divBdr>
        <w:top w:val="none" w:sz="0" w:space="0" w:color="auto"/>
        <w:left w:val="none" w:sz="0" w:space="0" w:color="auto"/>
        <w:bottom w:val="none" w:sz="0" w:space="0" w:color="auto"/>
        <w:right w:val="none" w:sz="0" w:space="0" w:color="auto"/>
      </w:divBdr>
    </w:div>
    <w:div w:id="234557266">
      <w:bodyDiv w:val="1"/>
      <w:marLeft w:val="0"/>
      <w:marRight w:val="0"/>
      <w:marTop w:val="0"/>
      <w:marBottom w:val="0"/>
      <w:divBdr>
        <w:top w:val="none" w:sz="0" w:space="0" w:color="auto"/>
        <w:left w:val="none" w:sz="0" w:space="0" w:color="auto"/>
        <w:bottom w:val="none" w:sz="0" w:space="0" w:color="auto"/>
        <w:right w:val="none" w:sz="0" w:space="0" w:color="auto"/>
      </w:divBdr>
      <w:divsChild>
        <w:div w:id="45571645">
          <w:marLeft w:val="0"/>
          <w:marRight w:val="0"/>
          <w:marTop w:val="0"/>
          <w:marBottom w:val="240"/>
          <w:divBdr>
            <w:top w:val="none" w:sz="0" w:space="0" w:color="auto"/>
            <w:left w:val="none" w:sz="0" w:space="0" w:color="auto"/>
            <w:bottom w:val="none" w:sz="0" w:space="0" w:color="auto"/>
            <w:right w:val="none" w:sz="0" w:space="0" w:color="auto"/>
          </w:divBdr>
        </w:div>
      </w:divsChild>
    </w:div>
    <w:div w:id="271403045">
      <w:bodyDiv w:val="1"/>
      <w:marLeft w:val="0"/>
      <w:marRight w:val="0"/>
      <w:marTop w:val="0"/>
      <w:marBottom w:val="0"/>
      <w:divBdr>
        <w:top w:val="none" w:sz="0" w:space="0" w:color="auto"/>
        <w:left w:val="none" w:sz="0" w:space="0" w:color="auto"/>
        <w:bottom w:val="none" w:sz="0" w:space="0" w:color="auto"/>
        <w:right w:val="none" w:sz="0" w:space="0" w:color="auto"/>
      </w:divBdr>
    </w:div>
    <w:div w:id="294990481">
      <w:bodyDiv w:val="1"/>
      <w:marLeft w:val="0"/>
      <w:marRight w:val="0"/>
      <w:marTop w:val="0"/>
      <w:marBottom w:val="0"/>
      <w:divBdr>
        <w:top w:val="none" w:sz="0" w:space="0" w:color="auto"/>
        <w:left w:val="none" w:sz="0" w:space="0" w:color="auto"/>
        <w:bottom w:val="none" w:sz="0" w:space="0" w:color="auto"/>
        <w:right w:val="none" w:sz="0" w:space="0" w:color="auto"/>
      </w:divBdr>
    </w:div>
    <w:div w:id="359360076">
      <w:bodyDiv w:val="1"/>
      <w:marLeft w:val="0"/>
      <w:marRight w:val="0"/>
      <w:marTop w:val="0"/>
      <w:marBottom w:val="0"/>
      <w:divBdr>
        <w:top w:val="none" w:sz="0" w:space="0" w:color="auto"/>
        <w:left w:val="none" w:sz="0" w:space="0" w:color="auto"/>
        <w:bottom w:val="none" w:sz="0" w:space="0" w:color="auto"/>
        <w:right w:val="none" w:sz="0" w:space="0" w:color="auto"/>
      </w:divBdr>
    </w:div>
    <w:div w:id="361444796">
      <w:bodyDiv w:val="1"/>
      <w:marLeft w:val="0"/>
      <w:marRight w:val="0"/>
      <w:marTop w:val="0"/>
      <w:marBottom w:val="0"/>
      <w:divBdr>
        <w:top w:val="none" w:sz="0" w:space="0" w:color="auto"/>
        <w:left w:val="none" w:sz="0" w:space="0" w:color="auto"/>
        <w:bottom w:val="none" w:sz="0" w:space="0" w:color="auto"/>
        <w:right w:val="none" w:sz="0" w:space="0" w:color="auto"/>
      </w:divBdr>
    </w:div>
    <w:div w:id="368334201">
      <w:bodyDiv w:val="1"/>
      <w:marLeft w:val="0"/>
      <w:marRight w:val="0"/>
      <w:marTop w:val="0"/>
      <w:marBottom w:val="0"/>
      <w:divBdr>
        <w:top w:val="none" w:sz="0" w:space="0" w:color="auto"/>
        <w:left w:val="none" w:sz="0" w:space="0" w:color="auto"/>
        <w:bottom w:val="none" w:sz="0" w:space="0" w:color="auto"/>
        <w:right w:val="none" w:sz="0" w:space="0" w:color="auto"/>
      </w:divBdr>
      <w:divsChild>
        <w:div w:id="501168590">
          <w:marLeft w:val="0"/>
          <w:marRight w:val="0"/>
          <w:marTop w:val="0"/>
          <w:marBottom w:val="0"/>
          <w:divBdr>
            <w:top w:val="none" w:sz="0" w:space="0" w:color="auto"/>
            <w:left w:val="none" w:sz="0" w:space="0" w:color="auto"/>
            <w:bottom w:val="none" w:sz="0" w:space="0" w:color="auto"/>
            <w:right w:val="none" w:sz="0" w:space="0" w:color="auto"/>
          </w:divBdr>
        </w:div>
        <w:div w:id="691733417">
          <w:marLeft w:val="0"/>
          <w:marRight w:val="0"/>
          <w:marTop w:val="0"/>
          <w:marBottom w:val="0"/>
          <w:divBdr>
            <w:top w:val="none" w:sz="0" w:space="0" w:color="auto"/>
            <w:left w:val="none" w:sz="0" w:space="0" w:color="auto"/>
            <w:bottom w:val="none" w:sz="0" w:space="0" w:color="auto"/>
            <w:right w:val="none" w:sz="0" w:space="0" w:color="auto"/>
          </w:divBdr>
        </w:div>
        <w:div w:id="923881263">
          <w:marLeft w:val="0"/>
          <w:marRight w:val="0"/>
          <w:marTop w:val="0"/>
          <w:marBottom w:val="0"/>
          <w:divBdr>
            <w:top w:val="none" w:sz="0" w:space="0" w:color="auto"/>
            <w:left w:val="none" w:sz="0" w:space="0" w:color="auto"/>
            <w:bottom w:val="none" w:sz="0" w:space="0" w:color="auto"/>
            <w:right w:val="none" w:sz="0" w:space="0" w:color="auto"/>
          </w:divBdr>
        </w:div>
        <w:div w:id="1167094552">
          <w:marLeft w:val="0"/>
          <w:marRight w:val="0"/>
          <w:marTop w:val="0"/>
          <w:marBottom w:val="0"/>
          <w:divBdr>
            <w:top w:val="none" w:sz="0" w:space="0" w:color="auto"/>
            <w:left w:val="none" w:sz="0" w:space="0" w:color="auto"/>
            <w:bottom w:val="none" w:sz="0" w:space="0" w:color="auto"/>
            <w:right w:val="none" w:sz="0" w:space="0" w:color="auto"/>
          </w:divBdr>
        </w:div>
        <w:div w:id="1501307276">
          <w:marLeft w:val="0"/>
          <w:marRight w:val="0"/>
          <w:marTop w:val="0"/>
          <w:marBottom w:val="0"/>
          <w:divBdr>
            <w:top w:val="none" w:sz="0" w:space="0" w:color="auto"/>
            <w:left w:val="none" w:sz="0" w:space="0" w:color="auto"/>
            <w:bottom w:val="none" w:sz="0" w:space="0" w:color="auto"/>
            <w:right w:val="none" w:sz="0" w:space="0" w:color="auto"/>
          </w:divBdr>
        </w:div>
        <w:div w:id="1670257679">
          <w:marLeft w:val="0"/>
          <w:marRight w:val="0"/>
          <w:marTop w:val="0"/>
          <w:marBottom w:val="0"/>
          <w:divBdr>
            <w:top w:val="none" w:sz="0" w:space="0" w:color="auto"/>
            <w:left w:val="none" w:sz="0" w:space="0" w:color="auto"/>
            <w:bottom w:val="none" w:sz="0" w:space="0" w:color="auto"/>
            <w:right w:val="none" w:sz="0" w:space="0" w:color="auto"/>
          </w:divBdr>
        </w:div>
        <w:div w:id="1844513752">
          <w:marLeft w:val="0"/>
          <w:marRight w:val="0"/>
          <w:marTop w:val="0"/>
          <w:marBottom w:val="0"/>
          <w:divBdr>
            <w:top w:val="none" w:sz="0" w:space="0" w:color="auto"/>
            <w:left w:val="none" w:sz="0" w:space="0" w:color="auto"/>
            <w:bottom w:val="none" w:sz="0" w:space="0" w:color="auto"/>
            <w:right w:val="none" w:sz="0" w:space="0" w:color="auto"/>
          </w:divBdr>
        </w:div>
        <w:div w:id="2008634319">
          <w:marLeft w:val="0"/>
          <w:marRight w:val="0"/>
          <w:marTop w:val="0"/>
          <w:marBottom w:val="0"/>
          <w:divBdr>
            <w:top w:val="none" w:sz="0" w:space="0" w:color="auto"/>
            <w:left w:val="none" w:sz="0" w:space="0" w:color="auto"/>
            <w:bottom w:val="none" w:sz="0" w:space="0" w:color="auto"/>
            <w:right w:val="none" w:sz="0" w:space="0" w:color="auto"/>
          </w:divBdr>
        </w:div>
        <w:div w:id="2034189870">
          <w:marLeft w:val="0"/>
          <w:marRight w:val="0"/>
          <w:marTop w:val="0"/>
          <w:marBottom w:val="0"/>
          <w:divBdr>
            <w:top w:val="none" w:sz="0" w:space="0" w:color="auto"/>
            <w:left w:val="none" w:sz="0" w:space="0" w:color="auto"/>
            <w:bottom w:val="none" w:sz="0" w:space="0" w:color="auto"/>
            <w:right w:val="none" w:sz="0" w:space="0" w:color="auto"/>
          </w:divBdr>
        </w:div>
        <w:div w:id="2070224229">
          <w:marLeft w:val="0"/>
          <w:marRight w:val="0"/>
          <w:marTop w:val="0"/>
          <w:marBottom w:val="0"/>
          <w:divBdr>
            <w:top w:val="none" w:sz="0" w:space="0" w:color="auto"/>
            <w:left w:val="none" w:sz="0" w:space="0" w:color="auto"/>
            <w:bottom w:val="none" w:sz="0" w:space="0" w:color="auto"/>
            <w:right w:val="none" w:sz="0" w:space="0" w:color="auto"/>
          </w:divBdr>
        </w:div>
        <w:div w:id="2089881578">
          <w:marLeft w:val="0"/>
          <w:marRight w:val="0"/>
          <w:marTop w:val="0"/>
          <w:marBottom w:val="0"/>
          <w:divBdr>
            <w:top w:val="none" w:sz="0" w:space="0" w:color="auto"/>
            <w:left w:val="none" w:sz="0" w:space="0" w:color="auto"/>
            <w:bottom w:val="none" w:sz="0" w:space="0" w:color="auto"/>
            <w:right w:val="none" w:sz="0" w:space="0" w:color="auto"/>
          </w:divBdr>
        </w:div>
      </w:divsChild>
    </w:div>
    <w:div w:id="437873145">
      <w:bodyDiv w:val="1"/>
      <w:marLeft w:val="0"/>
      <w:marRight w:val="0"/>
      <w:marTop w:val="0"/>
      <w:marBottom w:val="0"/>
      <w:divBdr>
        <w:top w:val="none" w:sz="0" w:space="0" w:color="auto"/>
        <w:left w:val="none" w:sz="0" w:space="0" w:color="auto"/>
        <w:bottom w:val="none" w:sz="0" w:space="0" w:color="auto"/>
        <w:right w:val="none" w:sz="0" w:space="0" w:color="auto"/>
      </w:divBdr>
    </w:div>
    <w:div w:id="439884029">
      <w:bodyDiv w:val="1"/>
      <w:marLeft w:val="0"/>
      <w:marRight w:val="0"/>
      <w:marTop w:val="0"/>
      <w:marBottom w:val="0"/>
      <w:divBdr>
        <w:top w:val="none" w:sz="0" w:space="0" w:color="auto"/>
        <w:left w:val="none" w:sz="0" w:space="0" w:color="auto"/>
        <w:bottom w:val="none" w:sz="0" w:space="0" w:color="auto"/>
        <w:right w:val="none" w:sz="0" w:space="0" w:color="auto"/>
      </w:divBdr>
    </w:div>
    <w:div w:id="496655076">
      <w:bodyDiv w:val="1"/>
      <w:marLeft w:val="0"/>
      <w:marRight w:val="0"/>
      <w:marTop w:val="0"/>
      <w:marBottom w:val="0"/>
      <w:divBdr>
        <w:top w:val="none" w:sz="0" w:space="0" w:color="auto"/>
        <w:left w:val="none" w:sz="0" w:space="0" w:color="auto"/>
        <w:bottom w:val="none" w:sz="0" w:space="0" w:color="auto"/>
        <w:right w:val="none" w:sz="0" w:space="0" w:color="auto"/>
      </w:divBdr>
    </w:div>
    <w:div w:id="662045528">
      <w:bodyDiv w:val="1"/>
      <w:marLeft w:val="0"/>
      <w:marRight w:val="0"/>
      <w:marTop w:val="0"/>
      <w:marBottom w:val="0"/>
      <w:divBdr>
        <w:top w:val="none" w:sz="0" w:space="0" w:color="auto"/>
        <w:left w:val="none" w:sz="0" w:space="0" w:color="auto"/>
        <w:bottom w:val="none" w:sz="0" w:space="0" w:color="auto"/>
        <w:right w:val="none" w:sz="0" w:space="0" w:color="auto"/>
      </w:divBdr>
    </w:div>
    <w:div w:id="702092792">
      <w:bodyDiv w:val="1"/>
      <w:marLeft w:val="0"/>
      <w:marRight w:val="0"/>
      <w:marTop w:val="0"/>
      <w:marBottom w:val="0"/>
      <w:divBdr>
        <w:top w:val="none" w:sz="0" w:space="0" w:color="auto"/>
        <w:left w:val="none" w:sz="0" w:space="0" w:color="auto"/>
        <w:bottom w:val="none" w:sz="0" w:space="0" w:color="auto"/>
        <w:right w:val="none" w:sz="0" w:space="0" w:color="auto"/>
      </w:divBdr>
    </w:div>
    <w:div w:id="707680971">
      <w:bodyDiv w:val="1"/>
      <w:marLeft w:val="0"/>
      <w:marRight w:val="0"/>
      <w:marTop w:val="0"/>
      <w:marBottom w:val="0"/>
      <w:divBdr>
        <w:top w:val="none" w:sz="0" w:space="0" w:color="auto"/>
        <w:left w:val="none" w:sz="0" w:space="0" w:color="auto"/>
        <w:bottom w:val="none" w:sz="0" w:space="0" w:color="auto"/>
        <w:right w:val="none" w:sz="0" w:space="0" w:color="auto"/>
      </w:divBdr>
    </w:div>
    <w:div w:id="723723771">
      <w:bodyDiv w:val="1"/>
      <w:marLeft w:val="0"/>
      <w:marRight w:val="0"/>
      <w:marTop w:val="0"/>
      <w:marBottom w:val="0"/>
      <w:divBdr>
        <w:top w:val="none" w:sz="0" w:space="0" w:color="auto"/>
        <w:left w:val="none" w:sz="0" w:space="0" w:color="auto"/>
        <w:bottom w:val="none" w:sz="0" w:space="0" w:color="auto"/>
        <w:right w:val="none" w:sz="0" w:space="0" w:color="auto"/>
      </w:divBdr>
    </w:div>
    <w:div w:id="788162490">
      <w:bodyDiv w:val="1"/>
      <w:marLeft w:val="0"/>
      <w:marRight w:val="0"/>
      <w:marTop w:val="0"/>
      <w:marBottom w:val="0"/>
      <w:divBdr>
        <w:top w:val="none" w:sz="0" w:space="0" w:color="auto"/>
        <w:left w:val="none" w:sz="0" w:space="0" w:color="auto"/>
        <w:bottom w:val="none" w:sz="0" w:space="0" w:color="auto"/>
        <w:right w:val="none" w:sz="0" w:space="0" w:color="auto"/>
      </w:divBdr>
    </w:div>
    <w:div w:id="797071059">
      <w:bodyDiv w:val="1"/>
      <w:marLeft w:val="0"/>
      <w:marRight w:val="0"/>
      <w:marTop w:val="0"/>
      <w:marBottom w:val="0"/>
      <w:divBdr>
        <w:top w:val="none" w:sz="0" w:space="0" w:color="auto"/>
        <w:left w:val="none" w:sz="0" w:space="0" w:color="auto"/>
        <w:bottom w:val="none" w:sz="0" w:space="0" w:color="auto"/>
        <w:right w:val="none" w:sz="0" w:space="0" w:color="auto"/>
      </w:divBdr>
    </w:div>
    <w:div w:id="885292700">
      <w:bodyDiv w:val="1"/>
      <w:marLeft w:val="0"/>
      <w:marRight w:val="0"/>
      <w:marTop w:val="0"/>
      <w:marBottom w:val="0"/>
      <w:divBdr>
        <w:top w:val="none" w:sz="0" w:space="0" w:color="auto"/>
        <w:left w:val="none" w:sz="0" w:space="0" w:color="auto"/>
        <w:bottom w:val="none" w:sz="0" w:space="0" w:color="auto"/>
        <w:right w:val="none" w:sz="0" w:space="0" w:color="auto"/>
      </w:divBdr>
    </w:div>
    <w:div w:id="895705193">
      <w:bodyDiv w:val="1"/>
      <w:marLeft w:val="0"/>
      <w:marRight w:val="0"/>
      <w:marTop w:val="0"/>
      <w:marBottom w:val="0"/>
      <w:divBdr>
        <w:top w:val="none" w:sz="0" w:space="0" w:color="auto"/>
        <w:left w:val="none" w:sz="0" w:space="0" w:color="auto"/>
        <w:bottom w:val="none" w:sz="0" w:space="0" w:color="auto"/>
        <w:right w:val="none" w:sz="0" w:space="0" w:color="auto"/>
      </w:divBdr>
      <w:divsChild>
        <w:div w:id="662005032">
          <w:marLeft w:val="0"/>
          <w:marRight w:val="0"/>
          <w:marTop w:val="0"/>
          <w:marBottom w:val="0"/>
          <w:divBdr>
            <w:top w:val="none" w:sz="0" w:space="0" w:color="auto"/>
            <w:left w:val="none" w:sz="0" w:space="0" w:color="auto"/>
            <w:bottom w:val="none" w:sz="0" w:space="0" w:color="auto"/>
            <w:right w:val="none" w:sz="0" w:space="0" w:color="auto"/>
          </w:divBdr>
        </w:div>
        <w:div w:id="813958766">
          <w:marLeft w:val="0"/>
          <w:marRight w:val="0"/>
          <w:marTop w:val="0"/>
          <w:marBottom w:val="0"/>
          <w:divBdr>
            <w:top w:val="none" w:sz="0" w:space="0" w:color="auto"/>
            <w:left w:val="none" w:sz="0" w:space="0" w:color="auto"/>
            <w:bottom w:val="none" w:sz="0" w:space="0" w:color="auto"/>
            <w:right w:val="none" w:sz="0" w:space="0" w:color="auto"/>
          </w:divBdr>
        </w:div>
        <w:div w:id="839269338">
          <w:marLeft w:val="0"/>
          <w:marRight w:val="0"/>
          <w:marTop w:val="0"/>
          <w:marBottom w:val="240"/>
          <w:divBdr>
            <w:top w:val="none" w:sz="0" w:space="0" w:color="auto"/>
            <w:left w:val="none" w:sz="0" w:space="0" w:color="auto"/>
            <w:bottom w:val="none" w:sz="0" w:space="0" w:color="auto"/>
            <w:right w:val="none" w:sz="0" w:space="0" w:color="auto"/>
          </w:divBdr>
        </w:div>
        <w:div w:id="1236164639">
          <w:marLeft w:val="0"/>
          <w:marRight w:val="0"/>
          <w:marTop w:val="0"/>
          <w:marBottom w:val="0"/>
          <w:divBdr>
            <w:top w:val="none" w:sz="0" w:space="0" w:color="auto"/>
            <w:left w:val="none" w:sz="0" w:space="0" w:color="auto"/>
            <w:bottom w:val="none" w:sz="0" w:space="0" w:color="auto"/>
            <w:right w:val="none" w:sz="0" w:space="0" w:color="auto"/>
          </w:divBdr>
        </w:div>
      </w:divsChild>
    </w:div>
    <w:div w:id="918251505">
      <w:bodyDiv w:val="1"/>
      <w:marLeft w:val="0"/>
      <w:marRight w:val="0"/>
      <w:marTop w:val="0"/>
      <w:marBottom w:val="0"/>
      <w:divBdr>
        <w:top w:val="none" w:sz="0" w:space="0" w:color="auto"/>
        <w:left w:val="none" w:sz="0" w:space="0" w:color="auto"/>
        <w:bottom w:val="none" w:sz="0" w:space="0" w:color="auto"/>
        <w:right w:val="none" w:sz="0" w:space="0" w:color="auto"/>
      </w:divBdr>
    </w:div>
    <w:div w:id="935400763">
      <w:bodyDiv w:val="1"/>
      <w:marLeft w:val="0"/>
      <w:marRight w:val="0"/>
      <w:marTop w:val="0"/>
      <w:marBottom w:val="0"/>
      <w:divBdr>
        <w:top w:val="none" w:sz="0" w:space="0" w:color="auto"/>
        <w:left w:val="none" w:sz="0" w:space="0" w:color="auto"/>
        <w:bottom w:val="none" w:sz="0" w:space="0" w:color="auto"/>
        <w:right w:val="none" w:sz="0" w:space="0" w:color="auto"/>
      </w:divBdr>
    </w:div>
    <w:div w:id="950863831">
      <w:bodyDiv w:val="1"/>
      <w:marLeft w:val="0"/>
      <w:marRight w:val="0"/>
      <w:marTop w:val="0"/>
      <w:marBottom w:val="0"/>
      <w:divBdr>
        <w:top w:val="none" w:sz="0" w:space="0" w:color="auto"/>
        <w:left w:val="none" w:sz="0" w:space="0" w:color="auto"/>
        <w:bottom w:val="none" w:sz="0" w:space="0" w:color="auto"/>
        <w:right w:val="none" w:sz="0" w:space="0" w:color="auto"/>
      </w:divBdr>
    </w:div>
    <w:div w:id="961302582">
      <w:bodyDiv w:val="1"/>
      <w:marLeft w:val="0"/>
      <w:marRight w:val="0"/>
      <w:marTop w:val="0"/>
      <w:marBottom w:val="0"/>
      <w:divBdr>
        <w:top w:val="none" w:sz="0" w:space="0" w:color="auto"/>
        <w:left w:val="none" w:sz="0" w:space="0" w:color="auto"/>
        <w:bottom w:val="none" w:sz="0" w:space="0" w:color="auto"/>
        <w:right w:val="none" w:sz="0" w:space="0" w:color="auto"/>
      </w:divBdr>
    </w:div>
    <w:div w:id="976951660">
      <w:bodyDiv w:val="1"/>
      <w:marLeft w:val="0"/>
      <w:marRight w:val="0"/>
      <w:marTop w:val="0"/>
      <w:marBottom w:val="0"/>
      <w:divBdr>
        <w:top w:val="none" w:sz="0" w:space="0" w:color="auto"/>
        <w:left w:val="none" w:sz="0" w:space="0" w:color="auto"/>
        <w:bottom w:val="none" w:sz="0" w:space="0" w:color="auto"/>
        <w:right w:val="none" w:sz="0" w:space="0" w:color="auto"/>
      </w:divBdr>
    </w:div>
    <w:div w:id="1027178427">
      <w:bodyDiv w:val="1"/>
      <w:marLeft w:val="0"/>
      <w:marRight w:val="0"/>
      <w:marTop w:val="0"/>
      <w:marBottom w:val="0"/>
      <w:divBdr>
        <w:top w:val="none" w:sz="0" w:space="0" w:color="auto"/>
        <w:left w:val="none" w:sz="0" w:space="0" w:color="auto"/>
        <w:bottom w:val="none" w:sz="0" w:space="0" w:color="auto"/>
        <w:right w:val="none" w:sz="0" w:space="0" w:color="auto"/>
      </w:divBdr>
      <w:divsChild>
        <w:div w:id="246423926">
          <w:marLeft w:val="0"/>
          <w:marRight w:val="0"/>
          <w:marTop w:val="0"/>
          <w:marBottom w:val="0"/>
          <w:divBdr>
            <w:top w:val="none" w:sz="0" w:space="0" w:color="auto"/>
            <w:left w:val="none" w:sz="0" w:space="0" w:color="auto"/>
            <w:bottom w:val="none" w:sz="0" w:space="0" w:color="auto"/>
            <w:right w:val="none" w:sz="0" w:space="0" w:color="auto"/>
          </w:divBdr>
        </w:div>
        <w:div w:id="493959429">
          <w:marLeft w:val="0"/>
          <w:marRight w:val="0"/>
          <w:marTop w:val="0"/>
          <w:marBottom w:val="0"/>
          <w:divBdr>
            <w:top w:val="none" w:sz="0" w:space="0" w:color="auto"/>
            <w:left w:val="none" w:sz="0" w:space="0" w:color="auto"/>
            <w:bottom w:val="none" w:sz="0" w:space="0" w:color="auto"/>
            <w:right w:val="none" w:sz="0" w:space="0" w:color="auto"/>
          </w:divBdr>
        </w:div>
        <w:div w:id="801313722">
          <w:marLeft w:val="0"/>
          <w:marRight w:val="0"/>
          <w:marTop w:val="0"/>
          <w:marBottom w:val="0"/>
          <w:divBdr>
            <w:top w:val="none" w:sz="0" w:space="0" w:color="auto"/>
            <w:left w:val="none" w:sz="0" w:space="0" w:color="auto"/>
            <w:bottom w:val="none" w:sz="0" w:space="0" w:color="auto"/>
            <w:right w:val="none" w:sz="0" w:space="0" w:color="auto"/>
          </w:divBdr>
        </w:div>
        <w:div w:id="1234585943">
          <w:marLeft w:val="0"/>
          <w:marRight w:val="0"/>
          <w:marTop w:val="0"/>
          <w:marBottom w:val="0"/>
          <w:divBdr>
            <w:top w:val="none" w:sz="0" w:space="0" w:color="auto"/>
            <w:left w:val="none" w:sz="0" w:space="0" w:color="auto"/>
            <w:bottom w:val="none" w:sz="0" w:space="0" w:color="auto"/>
            <w:right w:val="none" w:sz="0" w:space="0" w:color="auto"/>
          </w:divBdr>
        </w:div>
      </w:divsChild>
    </w:div>
    <w:div w:id="1064985186">
      <w:bodyDiv w:val="1"/>
      <w:marLeft w:val="0"/>
      <w:marRight w:val="0"/>
      <w:marTop w:val="0"/>
      <w:marBottom w:val="0"/>
      <w:divBdr>
        <w:top w:val="none" w:sz="0" w:space="0" w:color="auto"/>
        <w:left w:val="none" w:sz="0" w:space="0" w:color="auto"/>
        <w:bottom w:val="none" w:sz="0" w:space="0" w:color="auto"/>
        <w:right w:val="none" w:sz="0" w:space="0" w:color="auto"/>
      </w:divBdr>
      <w:divsChild>
        <w:div w:id="264188744">
          <w:marLeft w:val="0"/>
          <w:marRight w:val="0"/>
          <w:marTop w:val="0"/>
          <w:marBottom w:val="0"/>
          <w:divBdr>
            <w:top w:val="none" w:sz="0" w:space="0" w:color="auto"/>
            <w:left w:val="none" w:sz="0" w:space="0" w:color="auto"/>
            <w:bottom w:val="none" w:sz="0" w:space="0" w:color="auto"/>
            <w:right w:val="none" w:sz="0" w:space="0" w:color="auto"/>
          </w:divBdr>
        </w:div>
        <w:div w:id="760369118">
          <w:marLeft w:val="0"/>
          <w:marRight w:val="0"/>
          <w:marTop w:val="0"/>
          <w:marBottom w:val="0"/>
          <w:divBdr>
            <w:top w:val="none" w:sz="0" w:space="0" w:color="auto"/>
            <w:left w:val="none" w:sz="0" w:space="0" w:color="auto"/>
            <w:bottom w:val="none" w:sz="0" w:space="0" w:color="auto"/>
            <w:right w:val="none" w:sz="0" w:space="0" w:color="auto"/>
          </w:divBdr>
        </w:div>
        <w:div w:id="1945578194">
          <w:marLeft w:val="0"/>
          <w:marRight w:val="0"/>
          <w:marTop w:val="0"/>
          <w:marBottom w:val="0"/>
          <w:divBdr>
            <w:top w:val="none" w:sz="0" w:space="0" w:color="auto"/>
            <w:left w:val="none" w:sz="0" w:space="0" w:color="auto"/>
            <w:bottom w:val="none" w:sz="0" w:space="0" w:color="auto"/>
            <w:right w:val="none" w:sz="0" w:space="0" w:color="auto"/>
          </w:divBdr>
        </w:div>
        <w:div w:id="2084251668">
          <w:marLeft w:val="0"/>
          <w:marRight w:val="0"/>
          <w:marTop w:val="0"/>
          <w:marBottom w:val="240"/>
          <w:divBdr>
            <w:top w:val="none" w:sz="0" w:space="0" w:color="auto"/>
            <w:left w:val="none" w:sz="0" w:space="0" w:color="auto"/>
            <w:bottom w:val="none" w:sz="0" w:space="0" w:color="auto"/>
            <w:right w:val="none" w:sz="0" w:space="0" w:color="auto"/>
          </w:divBdr>
        </w:div>
      </w:divsChild>
    </w:div>
    <w:div w:id="1070345768">
      <w:bodyDiv w:val="1"/>
      <w:marLeft w:val="0"/>
      <w:marRight w:val="0"/>
      <w:marTop w:val="0"/>
      <w:marBottom w:val="0"/>
      <w:divBdr>
        <w:top w:val="none" w:sz="0" w:space="0" w:color="auto"/>
        <w:left w:val="none" w:sz="0" w:space="0" w:color="auto"/>
        <w:bottom w:val="none" w:sz="0" w:space="0" w:color="auto"/>
        <w:right w:val="none" w:sz="0" w:space="0" w:color="auto"/>
      </w:divBdr>
    </w:div>
    <w:div w:id="1110392989">
      <w:bodyDiv w:val="1"/>
      <w:marLeft w:val="0"/>
      <w:marRight w:val="0"/>
      <w:marTop w:val="0"/>
      <w:marBottom w:val="0"/>
      <w:divBdr>
        <w:top w:val="none" w:sz="0" w:space="0" w:color="auto"/>
        <w:left w:val="none" w:sz="0" w:space="0" w:color="auto"/>
        <w:bottom w:val="none" w:sz="0" w:space="0" w:color="auto"/>
        <w:right w:val="none" w:sz="0" w:space="0" w:color="auto"/>
      </w:divBdr>
    </w:div>
    <w:div w:id="1115950399">
      <w:bodyDiv w:val="1"/>
      <w:marLeft w:val="0"/>
      <w:marRight w:val="0"/>
      <w:marTop w:val="0"/>
      <w:marBottom w:val="0"/>
      <w:divBdr>
        <w:top w:val="none" w:sz="0" w:space="0" w:color="auto"/>
        <w:left w:val="none" w:sz="0" w:space="0" w:color="auto"/>
        <w:bottom w:val="none" w:sz="0" w:space="0" w:color="auto"/>
        <w:right w:val="none" w:sz="0" w:space="0" w:color="auto"/>
      </w:divBdr>
    </w:div>
    <w:div w:id="1169100770">
      <w:bodyDiv w:val="1"/>
      <w:marLeft w:val="0"/>
      <w:marRight w:val="0"/>
      <w:marTop w:val="0"/>
      <w:marBottom w:val="0"/>
      <w:divBdr>
        <w:top w:val="none" w:sz="0" w:space="0" w:color="auto"/>
        <w:left w:val="none" w:sz="0" w:space="0" w:color="auto"/>
        <w:bottom w:val="none" w:sz="0" w:space="0" w:color="auto"/>
        <w:right w:val="none" w:sz="0" w:space="0" w:color="auto"/>
      </w:divBdr>
    </w:div>
    <w:div w:id="1172795662">
      <w:bodyDiv w:val="1"/>
      <w:marLeft w:val="0"/>
      <w:marRight w:val="0"/>
      <w:marTop w:val="0"/>
      <w:marBottom w:val="0"/>
      <w:divBdr>
        <w:top w:val="none" w:sz="0" w:space="0" w:color="auto"/>
        <w:left w:val="none" w:sz="0" w:space="0" w:color="auto"/>
        <w:bottom w:val="none" w:sz="0" w:space="0" w:color="auto"/>
        <w:right w:val="none" w:sz="0" w:space="0" w:color="auto"/>
      </w:divBdr>
    </w:div>
    <w:div w:id="1185053129">
      <w:bodyDiv w:val="1"/>
      <w:marLeft w:val="0"/>
      <w:marRight w:val="0"/>
      <w:marTop w:val="0"/>
      <w:marBottom w:val="0"/>
      <w:divBdr>
        <w:top w:val="none" w:sz="0" w:space="0" w:color="auto"/>
        <w:left w:val="none" w:sz="0" w:space="0" w:color="auto"/>
        <w:bottom w:val="none" w:sz="0" w:space="0" w:color="auto"/>
        <w:right w:val="none" w:sz="0" w:space="0" w:color="auto"/>
      </w:divBdr>
    </w:div>
    <w:div w:id="1187865461">
      <w:bodyDiv w:val="1"/>
      <w:marLeft w:val="0"/>
      <w:marRight w:val="0"/>
      <w:marTop w:val="0"/>
      <w:marBottom w:val="0"/>
      <w:divBdr>
        <w:top w:val="none" w:sz="0" w:space="0" w:color="auto"/>
        <w:left w:val="none" w:sz="0" w:space="0" w:color="auto"/>
        <w:bottom w:val="none" w:sz="0" w:space="0" w:color="auto"/>
        <w:right w:val="none" w:sz="0" w:space="0" w:color="auto"/>
      </w:divBdr>
    </w:div>
    <w:div w:id="1195387836">
      <w:bodyDiv w:val="1"/>
      <w:marLeft w:val="0"/>
      <w:marRight w:val="0"/>
      <w:marTop w:val="0"/>
      <w:marBottom w:val="0"/>
      <w:divBdr>
        <w:top w:val="none" w:sz="0" w:space="0" w:color="auto"/>
        <w:left w:val="none" w:sz="0" w:space="0" w:color="auto"/>
        <w:bottom w:val="none" w:sz="0" w:space="0" w:color="auto"/>
        <w:right w:val="none" w:sz="0" w:space="0" w:color="auto"/>
      </w:divBdr>
    </w:div>
    <w:div w:id="1246954502">
      <w:bodyDiv w:val="1"/>
      <w:marLeft w:val="0"/>
      <w:marRight w:val="0"/>
      <w:marTop w:val="0"/>
      <w:marBottom w:val="0"/>
      <w:divBdr>
        <w:top w:val="none" w:sz="0" w:space="0" w:color="auto"/>
        <w:left w:val="none" w:sz="0" w:space="0" w:color="auto"/>
        <w:bottom w:val="none" w:sz="0" w:space="0" w:color="auto"/>
        <w:right w:val="none" w:sz="0" w:space="0" w:color="auto"/>
      </w:divBdr>
    </w:div>
    <w:div w:id="1313873446">
      <w:bodyDiv w:val="1"/>
      <w:marLeft w:val="0"/>
      <w:marRight w:val="0"/>
      <w:marTop w:val="0"/>
      <w:marBottom w:val="0"/>
      <w:divBdr>
        <w:top w:val="none" w:sz="0" w:space="0" w:color="auto"/>
        <w:left w:val="none" w:sz="0" w:space="0" w:color="auto"/>
        <w:bottom w:val="none" w:sz="0" w:space="0" w:color="auto"/>
        <w:right w:val="none" w:sz="0" w:space="0" w:color="auto"/>
      </w:divBdr>
    </w:div>
    <w:div w:id="1421292942">
      <w:bodyDiv w:val="1"/>
      <w:marLeft w:val="0"/>
      <w:marRight w:val="0"/>
      <w:marTop w:val="0"/>
      <w:marBottom w:val="0"/>
      <w:divBdr>
        <w:top w:val="none" w:sz="0" w:space="0" w:color="auto"/>
        <w:left w:val="none" w:sz="0" w:space="0" w:color="auto"/>
        <w:bottom w:val="none" w:sz="0" w:space="0" w:color="auto"/>
        <w:right w:val="none" w:sz="0" w:space="0" w:color="auto"/>
      </w:divBdr>
    </w:div>
    <w:div w:id="1445999305">
      <w:bodyDiv w:val="1"/>
      <w:marLeft w:val="0"/>
      <w:marRight w:val="0"/>
      <w:marTop w:val="0"/>
      <w:marBottom w:val="0"/>
      <w:divBdr>
        <w:top w:val="none" w:sz="0" w:space="0" w:color="auto"/>
        <w:left w:val="none" w:sz="0" w:space="0" w:color="auto"/>
        <w:bottom w:val="none" w:sz="0" w:space="0" w:color="auto"/>
        <w:right w:val="none" w:sz="0" w:space="0" w:color="auto"/>
      </w:divBdr>
    </w:div>
    <w:div w:id="1464932493">
      <w:bodyDiv w:val="1"/>
      <w:marLeft w:val="0"/>
      <w:marRight w:val="0"/>
      <w:marTop w:val="0"/>
      <w:marBottom w:val="0"/>
      <w:divBdr>
        <w:top w:val="none" w:sz="0" w:space="0" w:color="auto"/>
        <w:left w:val="none" w:sz="0" w:space="0" w:color="auto"/>
        <w:bottom w:val="none" w:sz="0" w:space="0" w:color="auto"/>
        <w:right w:val="none" w:sz="0" w:space="0" w:color="auto"/>
      </w:divBdr>
      <w:divsChild>
        <w:div w:id="19206185">
          <w:marLeft w:val="0"/>
          <w:marRight w:val="0"/>
          <w:marTop w:val="0"/>
          <w:marBottom w:val="0"/>
          <w:divBdr>
            <w:top w:val="none" w:sz="0" w:space="0" w:color="auto"/>
            <w:left w:val="none" w:sz="0" w:space="0" w:color="auto"/>
            <w:bottom w:val="none" w:sz="0" w:space="0" w:color="auto"/>
            <w:right w:val="none" w:sz="0" w:space="0" w:color="auto"/>
          </w:divBdr>
        </w:div>
        <w:div w:id="437288814">
          <w:marLeft w:val="0"/>
          <w:marRight w:val="0"/>
          <w:marTop w:val="0"/>
          <w:marBottom w:val="0"/>
          <w:divBdr>
            <w:top w:val="none" w:sz="0" w:space="0" w:color="auto"/>
            <w:left w:val="none" w:sz="0" w:space="0" w:color="auto"/>
            <w:bottom w:val="none" w:sz="0" w:space="0" w:color="auto"/>
            <w:right w:val="none" w:sz="0" w:space="0" w:color="auto"/>
          </w:divBdr>
        </w:div>
        <w:div w:id="628315070">
          <w:marLeft w:val="0"/>
          <w:marRight w:val="0"/>
          <w:marTop w:val="0"/>
          <w:marBottom w:val="0"/>
          <w:divBdr>
            <w:top w:val="none" w:sz="0" w:space="0" w:color="auto"/>
            <w:left w:val="none" w:sz="0" w:space="0" w:color="auto"/>
            <w:bottom w:val="none" w:sz="0" w:space="0" w:color="auto"/>
            <w:right w:val="none" w:sz="0" w:space="0" w:color="auto"/>
          </w:divBdr>
        </w:div>
        <w:div w:id="633174767">
          <w:marLeft w:val="0"/>
          <w:marRight w:val="0"/>
          <w:marTop w:val="0"/>
          <w:marBottom w:val="0"/>
          <w:divBdr>
            <w:top w:val="none" w:sz="0" w:space="0" w:color="auto"/>
            <w:left w:val="none" w:sz="0" w:space="0" w:color="auto"/>
            <w:bottom w:val="none" w:sz="0" w:space="0" w:color="auto"/>
            <w:right w:val="none" w:sz="0" w:space="0" w:color="auto"/>
          </w:divBdr>
        </w:div>
        <w:div w:id="645937165">
          <w:marLeft w:val="0"/>
          <w:marRight w:val="0"/>
          <w:marTop w:val="0"/>
          <w:marBottom w:val="0"/>
          <w:divBdr>
            <w:top w:val="none" w:sz="0" w:space="0" w:color="auto"/>
            <w:left w:val="none" w:sz="0" w:space="0" w:color="auto"/>
            <w:bottom w:val="none" w:sz="0" w:space="0" w:color="auto"/>
            <w:right w:val="none" w:sz="0" w:space="0" w:color="auto"/>
          </w:divBdr>
        </w:div>
        <w:div w:id="803960976">
          <w:marLeft w:val="0"/>
          <w:marRight w:val="0"/>
          <w:marTop w:val="0"/>
          <w:marBottom w:val="0"/>
          <w:divBdr>
            <w:top w:val="none" w:sz="0" w:space="0" w:color="auto"/>
            <w:left w:val="none" w:sz="0" w:space="0" w:color="auto"/>
            <w:bottom w:val="none" w:sz="0" w:space="0" w:color="auto"/>
            <w:right w:val="none" w:sz="0" w:space="0" w:color="auto"/>
          </w:divBdr>
        </w:div>
        <w:div w:id="1082723023">
          <w:marLeft w:val="0"/>
          <w:marRight w:val="0"/>
          <w:marTop w:val="0"/>
          <w:marBottom w:val="0"/>
          <w:divBdr>
            <w:top w:val="none" w:sz="0" w:space="0" w:color="auto"/>
            <w:left w:val="none" w:sz="0" w:space="0" w:color="auto"/>
            <w:bottom w:val="none" w:sz="0" w:space="0" w:color="auto"/>
            <w:right w:val="none" w:sz="0" w:space="0" w:color="auto"/>
          </w:divBdr>
        </w:div>
        <w:div w:id="1183478257">
          <w:marLeft w:val="0"/>
          <w:marRight w:val="0"/>
          <w:marTop w:val="0"/>
          <w:marBottom w:val="0"/>
          <w:divBdr>
            <w:top w:val="none" w:sz="0" w:space="0" w:color="auto"/>
            <w:left w:val="none" w:sz="0" w:space="0" w:color="auto"/>
            <w:bottom w:val="none" w:sz="0" w:space="0" w:color="auto"/>
            <w:right w:val="none" w:sz="0" w:space="0" w:color="auto"/>
          </w:divBdr>
        </w:div>
        <w:div w:id="1362626047">
          <w:marLeft w:val="0"/>
          <w:marRight w:val="0"/>
          <w:marTop w:val="0"/>
          <w:marBottom w:val="0"/>
          <w:divBdr>
            <w:top w:val="none" w:sz="0" w:space="0" w:color="auto"/>
            <w:left w:val="none" w:sz="0" w:space="0" w:color="auto"/>
            <w:bottom w:val="none" w:sz="0" w:space="0" w:color="auto"/>
            <w:right w:val="none" w:sz="0" w:space="0" w:color="auto"/>
          </w:divBdr>
        </w:div>
        <w:div w:id="1865945587">
          <w:marLeft w:val="0"/>
          <w:marRight w:val="0"/>
          <w:marTop w:val="0"/>
          <w:marBottom w:val="0"/>
          <w:divBdr>
            <w:top w:val="none" w:sz="0" w:space="0" w:color="auto"/>
            <w:left w:val="none" w:sz="0" w:space="0" w:color="auto"/>
            <w:bottom w:val="none" w:sz="0" w:space="0" w:color="auto"/>
            <w:right w:val="none" w:sz="0" w:space="0" w:color="auto"/>
          </w:divBdr>
        </w:div>
        <w:div w:id="2121531753">
          <w:marLeft w:val="0"/>
          <w:marRight w:val="0"/>
          <w:marTop w:val="0"/>
          <w:marBottom w:val="0"/>
          <w:divBdr>
            <w:top w:val="none" w:sz="0" w:space="0" w:color="auto"/>
            <w:left w:val="none" w:sz="0" w:space="0" w:color="auto"/>
            <w:bottom w:val="none" w:sz="0" w:space="0" w:color="auto"/>
            <w:right w:val="none" w:sz="0" w:space="0" w:color="auto"/>
          </w:divBdr>
        </w:div>
      </w:divsChild>
    </w:div>
    <w:div w:id="1465927557">
      <w:bodyDiv w:val="1"/>
      <w:marLeft w:val="0"/>
      <w:marRight w:val="0"/>
      <w:marTop w:val="0"/>
      <w:marBottom w:val="0"/>
      <w:divBdr>
        <w:top w:val="none" w:sz="0" w:space="0" w:color="auto"/>
        <w:left w:val="none" w:sz="0" w:space="0" w:color="auto"/>
        <w:bottom w:val="none" w:sz="0" w:space="0" w:color="auto"/>
        <w:right w:val="none" w:sz="0" w:space="0" w:color="auto"/>
      </w:divBdr>
      <w:divsChild>
        <w:div w:id="12999205">
          <w:marLeft w:val="0"/>
          <w:marRight w:val="0"/>
          <w:marTop w:val="0"/>
          <w:marBottom w:val="240"/>
          <w:divBdr>
            <w:top w:val="none" w:sz="0" w:space="0" w:color="auto"/>
            <w:left w:val="none" w:sz="0" w:space="0" w:color="auto"/>
            <w:bottom w:val="none" w:sz="0" w:space="0" w:color="auto"/>
            <w:right w:val="none" w:sz="0" w:space="0" w:color="auto"/>
          </w:divBdr>
        </w:div>
        <w:div w:id="1462069852">
          <w:marLeft w:val="0"/>
          <w:marRight w:val="0"/>
          <w:marTop w:val="0"/>
          <w:marBottom w:val="0"/>
          <w:divBdr>
            <w:top w:val="none" w:sz="0" w:space="0" w:color="auto"/>
            <w:left w:val="none" w:sz="0" w:space="0" w:color="auto"/>
            <w:bottom w:val="none" w:sz="0" w:space="0" w:color="auto"/>
            <w:right w:val="none" w:sz="0" w:space="0" w:color="auto"/>
          </w:divBdr>
        </w:div>
        <w:div w:id="1769502734">
          <w:marLeft w:val="0"/>
          <w:marRight w:val="0"/>
          <w:marTop w:val="0"/>
          <w:marBottom w:val="0"/>
          <w:divBdr>
            <w:top w:val="none" w:sz="0" w:space="0" w:color="auto"/>
            <w:left w:val="none" w:sz="0" w:space="0" w:color="auto"/>
            <w:bottom w:val="none" w:sz="0" w:space="0" w:color="auto"/>
            <w:right w:val="none" w:sz="0" w:space="0" w:color="auto"/>
          </w:divBdr>
        </w:div>
        <w:div w:id="2064980179">
          <w:marLeft w:val="0"/>
          <w:marRight w:val="0"/>
          <w:marTop w:val="0"/>
          <w:marBottom w:val="0"/>
          <w:divBdr>
            <w:top w:val="none" w:sz="0" w:space="0" w:color="auto"/>
            <w:left w:val="none" w:sz="0" w:space="0" w:color="auto"/>
            <w:bottom w:val="none" w:sz="0" w:space="0" w:color="auto"/>
            <w:right w:val="none" w:sz="0" w:space="0" w:color="auto"/>
          </w:divBdr>
        </w:div>
      </w:divsChild>
    </w:div>
    <w:div w:id="1484735599">
      <w:bodyDiv w:val="1"/>
      <w:marLeft w:val="0"/>
      <w:marRight w:val="0"/>
      <w:marTop w:val="0"/>
      <w:marBottom w:val="0"/>
      <w:divBdr>
        <w:top w:val="none" w:sz="0" w:space="0" w:color="auto"/>
        <w:left w:val="none" w:sz="0" w:space="0" w:color="auto"/>
        <w:bottom w:val="none" w:sz="0" w:space="0" w:color="auto"/>
        <w:right w:val="none" w:sz="0" w:space="0" w:color="auto"/>
      </w:divBdr>
    </w:div>
    <w:div w:id="1512455064">
      <w:bodyDiv w:val="1"/>
      <w:marLeft w:val="0"/>
      <w:marRight w:val="0"/>
      <w:marTop w:val="0"/>
      <w:marBottom w:val="0"/>
      <w:divBdr>
        <w:top w:val="none" w:sz="0" w:space="0" w:color="auto"/>
        <w:left w:val="none" w:sz="0" w:space="0" w:color="auto"/>
        <w:bottom w:val="none" w:sz="0" w:space="0" w:color="auto"/>
        <w:right w:val="none" w:sz="0" w:space="0" w:color="auto"/>
      </w:divBdr>
    </w:div>
    <w:div w:id="1543594664">
      <w:bodyDiv w:val="1"/>
      <w:marLeft w:val="0"/>
      <w:marRight w:val="0"/>
      <w:marTop w:val="0"/>
      <w:marBottom w:val="0"/>
      <w:divBdr>
        <w:top w:val="none" w:sz="0" w:space="0" w:color="auto"/>
        <w:left w:val="none" w:sz="0" w:space="0" w:color="auto"/>
        <w:bottom w:val="none" w:sz="0" w:space="0" w:color="auto"/>
        <w:right w:val="none" w:sz="0" w:space="0" w:color="auto"/>
      </w:divBdr>
    </w:div>
    <w:div w:id="1588879892">
      <w:bodyDiv w:val="1"/>
      <w:marLeft w:val="0"/>
      <w:marRight w:val="0"/>
      <w:marTop w:val="0"/>
      <w:marBottom w:val="0"/>
      <w:divBdr>
        <w:top w:val="none" w:sz="0" w:space="0" w:color="auto"/>
        <w:left w:val="none" w:sz="0" w:space="0" w:color="auto"/>
        <w:bottom w:val="none" w:sz="0" w:space="0" w:color="auto"/>
        <w:right w:val="none" w:sz="0" w:space="0" w:color="auto"/>
      </w:divBdr>
    </w:div>
    <w:div w:id="1600482186">
      <w:bodyDiv w:val="1"/>
      <w:marLeft w:val="0"/>
      <w:marRight w:val="0"/>
      <w:marTop w:val="0"/>
      <w:marBottom w:val="0"/>
      <w:divBdr>
        <w:top w:val="none" w:sz="0" w:space="0" w:color="auto"/>
        <w:left w:val="none" w:sz="0" w:space="0" w:color="auto"/>
        <w:bottom w:val="none" w:sz="0" w:space="0" w:color="auto"/>
        <w:right w:val="none" w:sz="0" w:space="0" w:color="auto"/>
      </w:divBdr>
    </w:div>
    <w:div w:id="1662931238">
      <w:bodyDiv w:val="1"/>
      <w:marLeft w:val="0"/>
      <w:marRight w:val="0"/>
      <w:marTop w:val="0"/>
      <w:marBottom w:val="0"/>
      <w:divBdr>
        <w:top w:val="none" w:sz="0" w:space="0" w:color="auto"/>
        <w:left w:val="none" w:sz="0" w:space="0" w:color="auto"/>
        <w:bottom w:val="none" w:sz="0" w:space="0" w:color="auto"/>
        <w:right w:val="none" w:sz="0" w:space="0" w:color="auto"/>
      </w:divBdr>
    </w:div>
    <w:div w:id="1672833406">
      <w:bodyDiv w:val="1"/>
      <w:marLeft w:val="0"/>
      <w:marRight w:val="0"/>
      <w:marTop w:val="0"/>
      <w:marBottom w:val="0"/>
      <w:divBdr>
        <w:top w:val="none" w:sz="0" w:space="0" w:color="auto"/>
        <w:left w:val="none" w:sz="0" w:space="0" w:color="auto"/>
        <w:bottom w:val="none" w:sz="0" w:space="0" w:color="auto"/>
        <w:right w:val="none" w:sz="0" w:space="0" w:color="auto"/>
      </w:divBdr>
    </w:div>
    <w:div w:id="1687902985">
      <w:bodyDiv w:val="1"/>
      <w:marLeft w:val="0"/>
      <w:marRight w:val="0"/>
      <w:marTop w:val="0"/>
      <w:marBottom w:val="0"/>
      <w:divBdr>
        <w:top w:val="none" w:sz="0" w:space="0" w:color="auto"/>
        <w:left w:val="none" w:sz="0" w:space="0" w:color="auto"/>
        <w:bottom w:val="none" w:sz="0" w:space="0" w:color="auto"/>
        <w:right w:val="none" w:sz="0" w:space="0" w:color="auto"/>
      </w:divBdr>
    </w:div>
    <w:div w:id="1694265964">
      <w:bodyDiv w:val="1"/>
      <w:marLeft w:val="0"/>
      <w:marRight w:val="0"/>
      <w:marTop w:val="0"/>
      <w:marBottom w:val="0"/>
      <w:divBdr>
        <w:top w:val="none" w:sz="0" w:space="0" w:color="auto"/>
        <w:left w:val="none" w:sz="0" w:space="0" w:color="auto"/>
        <w:bottom w:val="none" w:sz="0" w:space="0" w:color="auto"/>
        <w:right w:val="none" w:sz="0" w:space="0" w:color="auto"/>
      </w:divBdr>
    </w:div>
    <w:div w:id="1744328170">
      <w:bodyDiv w:val="1"/>
      <w:marLeft w:val="0"/>
      <w:marRight w:val="0"/>
      <w:marTop w:val="0"/>
      <w:marBottom w:val="0"/>
      <w:divBdr>
        <w:top w:val="none" w:sz="0" w:space="0" w:color="auto"/>
        <w:left w:val="none" w:sz="0" w:space="0" w:color="auto"/>
        <w:bottom w:val="none" w:sz="0" w:space="0" w:color="auto"/>
        <w:right w:val="none" w:sz="0" w:space="0" w:color="auto"/>
      </w:divBdr>
    </w:div>
    <w:div w:id="1750544461">
      <w:bodyDiv w:val="1"/>
      <w:marLeft w:val="0"/>
      <w:marRight w:val="0"/>
      <w:marTop w:val="0"/>
      <w:marBottom w:val="0"/>
      <w:divBdr>
        <w:top w:val="none" w:sz="0" w:space="0" w:color="auto"/>
        <w:left w:val="none" w:sz="0" w:space="0" w:color="auto"/>
        <w:bottom w:val="none" w:sz="0" w:space="0" w:color="auto"/>
        <w:right w:val="none" w:sz="0" w:space="0" w:color="auto"/>
      </w:divBdr>
    </w:div>
    <w:div w:id="1768692544">
      <w:bodyDiv w:val="1"/>
      <w:marLeft w:val="0"/>
      <w:marRight w:val="0"/>
      <w:marTop w:val="0"/>
      <w:marBottom w:val="0"/>
      <w:divBdr>
        <w:top w:val="none" w:sz="0" w:space="0" w:color="auto"/>
        <w:left w:val="none" w:sz="0" w:space="0" w:color="auto"/>
        <w:bottom w:val="none" w:sz="0" w:space="0" w:color="auto"/>
        <w:right w:val="none" w:sz="0" w:space="0" w:color="auto"/>
      </w:divBdr>
    </w:div>
    <w:div w:id="1789544262">
      <w:bodyDiv w:val="1"/>
      <w:marLeft w:val="0"/>
      <w:marRight w:val="0"/>
      <w:marTop w:val="0"/>
      <w:marBottom w:val="0"/>
      <w:divBdr>
        <w:top w:val="none" w:sz="0" w:space="0" w:color="auto"/>
        <w:left w:val="none" w:sz="0" w:space="0" w:color="auto"/>
        <w:bottom w:val="none" w:sz="0" w:space="0" w:color="auto"/>
        <w:right w:val="none" w:sz="0" w:space="0" w:color="auto"/>
      </w:divBdr>
    </w:div>
    <w:div w:id="1884055973">
      <w:bodyDiv w:val="1"/>
      <w:marLeft w:val="0"/>
      <w:marRight w:val="0"/>
      <w:marTop w:val="0"/>
      <w:marBottom w:val="0"/>
      <w:divBdr>
        <w:top w:val="none" w:sz="0" w:space="0" w:color="auto"/>
        <w:left w:val="none" w:sz="0" w:space="0" w:color="auto"/>
        <w:bottom w:val="none" w:sz="0" w:space="0" w:color="auto"/>
        <w:right w:val="none" w:sz="0" w:space="0" w:color="auto"/>
      </w:divBdr>
      <w:divsChild>
        <w:div w:id="337121000">
          <w:marLeft w:val="0"/>
          <w:marRight w:val="0"/>
          <w:marTop w:val="0"/>
          <w:marBottom w:val="240"/>
          <w:divBdr>
            <w:top w:val="none" w:sz="0" w:space="0" w:color="auto"/>
            <w:left w:val="none" w:sz="0" w:space="0" w:color="auto"/>
            <w:bottom w:val="none" w:sz="0" w:space="0" w:color="auto"/>
            <w:right w:val="none" w:sz="0" w:space="0" w:color="auto"/>
          </w:divBdr>
        </w:div>
        <w:div w:id="1071006457">
          <w:marLeft w:val="0"/>
          <w:marRight w:val="0"/>
          <w:marTop w:val="0"/>
          <w:marBottom w:val="0"/>
          <w:divBdr>
            <w:top w:val="none" w:sz="0" w:space="0" w:color="auto"/>
            <w:left w:val="none" w:sz="0" w:space="0" w:color="auto"/>
            <w:bottom w:val="none" w:sz="0" w:space="0" w:color="auto"/>
            <w:right w:val="none" w:sz="0" w:space="0" w:color="auto"/>
          </w:divBdr>
        </w:div>
        <w:div w:id="1678074182">
          <w:marLeft w:val="0"/>
          <w:marRight w:val="0"/>
          <w:marTop w:val="0"/>
          <w:marBottom w:val="0"/>
          <w:divBdr>
            <w:top w:val="none" w:sz="0" w:space="0" w:color="auto"/>
            <w:left w:val="none" w:sz="0" w:space="0" w:color="auto"/>
            <w:bottom w:val="none" w:sz="0" w:space="0" w:color="auto"/>
            <w:right w:val="none" w:sz="0" w:space="0" w:color="auto"/>
          </w:divBdr>
        </w:div>
        <w:div w:id="1806772889">
          <w:marLeft w:val="0"/>
          <w:marRight w:val="0"/>
          <w:marTop w:val="0"/>
          <w:marBottom w:val="0"/>
          <w:divBdr>
            <w:top w:val="none" w:sz="0" w:space="0" w:color="auto"/>
            <w:left w:val="none" w:sz="0" w:space="0" w:color="auto"/>
            <w:bottom w:val="none" w:sz="0" w:space="0" w:color="auto"/>
            <w:right w:val="none" w:sz="0" w:space="0" w:color="auto"/>
          </w:divBdr>
        </w:div>
      </w:divsChild>
    </w:div>
    <w:div w:id="1890415061">
      <w:bodyDiv w:val="1"/>
      <w:marLeft w:val="0"/>
      <w:marRight w:val="0"/>
      <w:marTop w:val="0"/>
      <w:marBottom w:val="0"/>
      <w:divBdr>
        <w:top w:val="none" w:sz="0" w:space="0" w:color="auto"/>
        <w:left w:val="none" w:sz="0" w:space="0" w:color="auto"/>
        <w:bottom w:val="none" w:sz="0" w:space="0" w:color="auto"/>
        <w:right w:val="none" w:sz="0" w:space="0" w:color="auto"/>
      </w:divBdr>
    </w:div>
    <w:div w:id="1926454132">
      <w:bodyDiv w:val="1"/>
      <w:marLeft w:val="0"/>
      <w:marRight w:val="0"/>
      <w:marTop w:val="0"/>
      <w:marBottom w:val="0"/>
      <w:divBdr>
        <w:top w:val="none" w:sz="0" w:space="0" w:color="auto"/>
        <w:left w:val="none" w:sz="0" w:space="0" w:color="auto"/>
        <w:bottom w:val="none" w:sz="0" w:space="0" w:color="auto"/>
        <w:right w:val="none" w:sz="0" w:space="0" w:color="auto"/>
      </w:divBdr>
    </w:div>
    <w:div w:id="1949459022">
      <w:bodyDiv w:val="1"/>
      <w:marLeft w:val="0"/>
      <w:marRight w:val="0"/>
      <w:marTop w:val="0"/>
      <w:marBottom w:val="0"/>
      <w:divBdr>
        <w:top w:val="none" w:sz="0" w:space="0" w:color="auto"/>
        <w:left w:val="none" w:sz="0" w:space="0" w:color="auto"/>
        <w:bottom w:val="none" w:sz="0" w:space="0" w:color="auto"/>
        <w:right w:val="none" w:sz="0" w:space="0" w:color="auto"/>
      </w:divBdr>
    </w:div>
    <w:div w:id="1951814120">
      <w:bodyDiv w:val="1"/>
      <w:marLeft w:val="0"/>
      <w:marRight w:val="0"/>
      <w:marTop w:val="0"/>
      <w:marBottom w:val="0"/>
      <w:divBdr>
        <w:top w:val="none" w:sz="0" w:space="0" w:color="auto"/>
        <w:left w:val="none" w:sz="0" w:space="0" w:color="auto"/>
        <w:bottom w:val="none" w:sz="0" w:space="0" w:color="auto"/>
        <w:right w:val="none" w:sz="0" w:space="0" w:color="auto"/>
      </w:divBdr>
    </w:div>
    <w:div w:id="1953897551">
      <w:bodyDiv w:val="1"/>
      <w:marLeft w:val="0"/>
      <w:marRight w:val="0"/>
      <w:marTop w:val="0"/>
      <w:marBottom w:val="0"/>
      <w:divBdr>
        <w:top w:val="none" w:sz="0" w:space="0" w:color="auto"/>
        <w:left w:val="none" w:sz="0" w:space="0" w:color="auto"/>
        <w:bottom w:val="none" w:sz="0" w:space="0" w:color="auto"/>
        <w:right w:val="none" w:sz="0" w:space="0" w:color="auto"/>
      </w:divBdr>
    </w:div>
    <w:div w:id="1964384367">
      <w:bodyDiv w:val="1"/>
      <w:marLeft w:val="0"/>
      <w:marRight w:val="0"/>
      <w:marTop w:val="0"/>
      <w:marBottom w:val="0"/>
      <w:divBdr>
        <w:top w:val="none" w:sz="0" w:space="0" w:color="auto"/>
        <w:left w:val="none" w:sz="0" w:space="0" w:color="auto"/>
        <w:bottom w:val="none" w:sz="0" w:space="0" w:color="auto"/>
        <w:right w:val="none" w:sz="0" w:space="0" w:color="auto"/>
      </w:divBdr>
    </w:div>
    <w:div w:id="1979022955">
      <w:bodyDiv w:val="1"/>
      <w:marLeft w:val="0"/>
      <w:marRight w:val="0"/>
      <w:marTop w:val="0"/>
      <w:marBottom w:val="0"/>
      <w:divBdr>
        <w:top w:val="none" w:sz="0" w:space="0" w:color="auto"/>
        <w:left w:val="none" w:sz="0" w:space="0" w:color="auto"/>
        <w:bottom w:val="none" w:sz="0" w:space="0" w:color="auto"/>
        <w:right w:val="none" w:sz="0" w:space="0" w:color="auto"/>
      </w:divBdr>
    </w:div>
    <w:div w:id="1981109204">
      <w:bodyDiv w:val="1"/>
      <w:marLeft w:val="0"/>
      <w:marRight w:val="0"/>
      <w:marTop w:val="0"/>
      <w:marBottom w:val="0"/>
      <w:divBdr>
        <w:top w:val="none" w:sz="0" w:space="0" w:color="auto"/>
        <w:left w:val="none" w:sz="0" w:space="0" w:color="auto"/>
        <w:bottom w:val="none" w:sz="0" w:space="0" w:color="auto"/>
        <w:right w:val="none" w:sz="0" w:space="0" w:color="auto"/>
      </w:divBdr>
    </w:div>
    <w:div w:id="1992519439">
      <w:bodyDiv w:val="1"/>
      <w:marLeft w:val="0"/>
      <w:marRight w:val="0"/>
      <w:marTop w:val="0"/>
      <w:marBottom w:val="0"/>
      <w:divBdr>
        <w:top w:val="none" w:sz="0" w:space="0" w:color="auto"/>
        <w:left w:val="none" w:sz="0" w:space="0" w:color="auto"/>
        <w:bottom w:val="none" w:sz="0" w:space="0" w:color="auto"/>
        <w:right w:val="none" w:sz="0" w:space="0" w:color="auto"/>
      </w:divBdr>
    </w:div>
    <w:div w:id="2002268253">
      <w:bodyDiv w:val="1"/>
      <w:marLeft w:val="0"/>
      <w:marRight w:val="0"/>
      <w:marTop w:val="0"/>
      <w:marBottom w:val="0"/>
      <w:divBdr>
        <w:top w:val="none" w:sz="0" w:space="0" w:color="auto"/>
        <w:left w:val="none" w:sz="0" w:space="0" w:color="auto"/>
        <w:bottom w:val="none" w:sz="0" w:space="0" w:color="auto"/>
        <w:right w:val="none" w:sz="0" w:space="0" w:color="auto"/>
      </w:divBdr>
    </w:div>
    <w:div w:id="2062166723">
      <w:bodyDiv w:val="1"/>
      <w:marLeft w:val="0"/>
      <w:marRight w:val="0"/>
      <w:marTop w:val="0"/>
      <w:marBottom w:val="0"/>
      <w:divBdr>
        <w:top w:val="none" w:sz="0" w:space="0" w:color="auto"/>
        <w:left w:val="none" w:sz="0" w:space="0" w:color="auto"/>
        <w:bottom w:val="none" w:sz="0" w:space="0" w:color="auto"/>
        <w:right w:val="none" w:sz="0" w:space="0" w:color="auto"/>
      </w:divBdr>
    </w:div>
    <w:div w:id="208105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footer" Target="footer2.xml"/><Relationship Id="rId26" Type="http://schemas.openxmlformats.org/officeDocument/2006/relationships/image" Target="media/image4.svg"/><Relationship Id="rId39" Type="http://schemas.openxmlformats.org/officeDocument/2006/relationships/hyperlink" Target="https://www.sepa.org.uk/environment/waste/waste-data/waste-data-reporting/household-waste-data/" TargetMode="External"/><Relationship Id="rId21" Type="http://schemas.openxmlformats.org/officeDocument/2006/relationships/chart" Target="charts/chart1.xml"/><Relationship Id="rId34" Type="http://schemas.openxmlformats.org/officeDocument/2006/relationships/image" Target="media/image12.svg"/><Relationship Id="rId42" Type="http://schemas.openxmlformats.org/officeDocument/2006/relationships/chart" Target="charts/chart7.xml"/><Relationship Id="rId47" Type="http://schemas.openxmlformats.org/officeDocument/2006/relationships/chart" Target="charts/chart12.xml"/><Relationship Id="rId50" Type="http://schemas.openxmlformats.org/officeDocument/2006/relationships/chart" Target="charts/chart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7.png"/><Relationship Id="rId11" Type="http://schemas.openxmlformats.org/officeDocument/2006/relationships/image" Target="media/image1.png"/><Relationship Id="rId24" Type="http://schemas.openxmlformats.org/officeDocument/2006/relationships/chart" Target="charts/chart4.xml"/><Relationship Id="rId32" Type="http://schemas.openxmlformats.org/officeDocument/2006/relationships/image" Target="media/image10.svg"/><Relationship Id="rId37" Type="http://schemas.openxmlformats.org/officeDocument/2006/relationships/hyperlink" Target="https://sustainablescotlandnetwork.org/reports/the-scottish-environment-protection-agency" TargetMode="External"/><Relationship Id="rId40" Type="http://schemas.openxmlformats.org/officeDocument/2006/relationships/chart" Target="charts/chart5.xml"/><Relationship Id="rId45" Type="http://schemas.openxmlformats.org/officeDocument/2006/relationships/chart" Target="charts/chart10.xml"/><Relationship Id="rId53"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9.png"/><Relationship Id="rId44" Type="http://schemas.openxmlformats.org/officeDocument/2006/relationships/chart" Target="charts/chart9.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sepa.scot/about-sepa/who-we-are/our-performance/annual-operating-plan-2025-2026" TargetMode="External"/><Relationship Id="rId22" Type="http://schemas.openxmlformats.org/officeDocument/2006/relationships/chart" Target="charts/chart2.xml"/><Relationship Id="rId27" Type="http://schemas.openxmlformats.org/officeDocument/2006/relationships/image" Target="media/image5.png"/><Relationship Id="rId30" Type="http://schemas.openxmlformats.org/officeDocument/2006/relationships/image" Target="media/image8.svg"/><Relationship Id="rId35" Type="http://schemas.openxmlformats.org/officeDocument/2006/relationships/hyperlink" Target="https://www.sepa.org.uk/environment/environmental-data/spri/" TargetMode="External"/><Relationship Id="rId43" Type="http://schemas.openxmlformats.org/officeDocument/2006/relationships/chart" Target="charts/chart8.xml"/><Relationship Id="rId48" Type="http://schemas.openxmlformats.org/officeDocument/2006/relationships/chart" Target="charts/chart13.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hyperlink" Target="https://www.sepa.org.uk/media/2mqpt5lk/2023-classification-summary-report.pdf" TargetMode="External"/><Relationship Id="rId46" Type="http://schemas.openxmlformats.org/officeDocument/2006/relationships/chart" Target="charts/chart11.xml"/><Relationship Id="rId20" Type="http://schemas.openxmlformats.org/officeDocument/2006/relationships/footer" Target="footer3.xml"/><Relationship Id="rId41"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chart" Target="charts/chart3.xml"/><Relationship Id="rId28" Type="http://schemas.openxmlformats.org/officeDocument/2006/relationships/image" Target="media/image6.svg"/><Relationship Id="rId36" Type="http://schemas.openxmlformats.org/officeDocument/2006/relationships/hyperlink" Target="https://beta.sepa.scot/news/2025/emissions-from-scotland-s-largest-industrial-facilities-down-nearly-a-quarter-since-2019/" TargetMode="External"/><Relationship Id="rId49" Type="http://schemas.openxmlformats.org/officeDocument/2006/relationships/chart" Target="charts/chart14.xml"/></Relationships>
</file>

<file path=word/charts/_rels/chart1.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2047244094488"/>
          <c:y val="8.0819376465249657E-2"/>
          <c:w val="0.54707623899953683"/>
          <c:h val="0.85310292013710465"/>
        </c:manualLayout>
      </c:layout>
      <c:pieChart>
        <c:varyColors val="1"/>
        <c:ser>
          <c:idx val="0"/>
          <c:order val="0"/>
          <c:tx>
            <c:strRef>
              <c:f>Visuals!$C$17</c:f>
              <c:strCache>
                <c:ptCount val="1"/>
                <c:pt idx="0">
                  <c:v>Q2</c:v>
                </c:pt>
              </c:strCache>
            </c:strRef>
          </c:tx>
          <c:dPt>
            <c:idx val="0"/>
            <c:bubble3D val="0"/>
            <c:spPr>
              <a:solidFill>
                <a:srgbClr val="156082"/>
              </a:solidFill>
              <a:ln w="19050">
                <a:solidFill>
                  <a:schemeClr val="lt1"/>
                </a:solidFill>
              </a:ln>
              <a:effectLst/>
            </c:spPr>
            <c:extLst>
              <c:ext xmlns:c16="http://schemas.microsoft.com/office/drawing/2014/chart" uri="{C3380CC4-5D6E-409C-BE32-E72D297353CC}">
                <c16:uniqueId val="{00000001-10BB-4801-9537-652C22ECF774}"/>
              </c:ext>
            </c:extLst>
          </c:dPt>
          <c:dPt>
            <c:idx val="1"/>
            <c:bubble3D val="0"/>
            <c:spPr>
              <a:solidFill>
                <a:srgbClr val="2A8451"/>
              </a:solidFill>
              <a:ln w="19050">
                <a:solidFill>
                  <a:schemeClr val="lt1"/>
                </a:solidFill>
              </a:ln>
              <a:effectLst/>
            </c:spPr>
            <c:extLst>
              <c:ext xmlns:c16="http://schemas.microsoft.com/office/drawing/2014/chart" uri="{C3380CC4-5D6E-409C-BE32-E72D297353CC}">
                <c16:uniqueId val="{00000003-10BB-4801-9537-652C22ECF774}"/>
              </c:ext>
            </c:extLst>
          </c:dPt>
          <c:dPt>
            <c:idx val="2"/>
            <c:bubble3D val="0"/>
            <c:spPr>
              <a:solidFill>
                <a:srgbClr val="E97132"/>
              </a:solidFill>
              <a:ln w="19050">
                <a:solidFill>
                  <a:schemeClr val="lt1"/>
                </a:solidFill>
              </a:ln>
              <a:effectLst/>
            </c:spPr>
            <c:extLst>
              <c:ext xmlns:c16="http://schemas.microsoft.com/office/drawing/2014/chart" uri="{C3380CC4-5D6E-409C-BE32-E72D297353CC}">
                <c16:uniqueId val="{00000005-10BB-4801-9537-652C22ECF774}"/>
              </c:ext>
            </c:extLst>
          </c:dPt>
          <c:dPt>
            <c:idx val="3"/>
            <c:bubble3D val="0"/>
            <c:spPr>
              <a:solidFill>
                <a:srgbClr val="A22895"/>
              </a:solidFill>
              <a:ln w="19050">
                <a:solidFill>
                  <a:schemeClr val="lt1"/>
                </a:solidFill>
              </a:ln>
              <a:effectLst/>
            </c:spPr>
            <c:extLst>
              <c:ext xmlns:c16="http://schemas.microsoft.com/office/drawing/2014/chart" uri="{C3380CC4-5D6E-409C-BE32-E72D297353CC}">
                <c16:uniqueId val="{00000007-10BB-4801-9537-652C22ECF774}"/>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Visuals!$A$18:$A$21</c:f>
              <c:strCache>
                <c:ptCount val="4"/>
                <c:pt idx="0">
                  <c:v>Delivering</c:v>
                </c:pt>
                <c:pt idx="1">
                  <c:v>Progressing</c:v>
                </c:pt>
                <c:pt idx="2">
                  <c:v>No progression</c:v>
                </c:pt>
                <c:pt idx="3">
                  <c:v>Not started </c:v>
                </c:pt>
              </c:strCache>
            </c:strRef>
          </c:cat>
          <c:val>
            <c:numRef>
              <c:f>Visuals!$C$18:$C$21</c:f>
              <c:numCache>
                <c:formatCode>0%</c:formatCode>
                <c:ptCount val="4"/>
                <c:pt idx="0">
                  <c:v>0.18181818181818182</c:v>
                </c:pt>
                <c:pt idx="1">
                  <c:v>0.54545454545454541</c:v>
                </c:pt>
                <c:pt idx="2">
                  <c:v>9.0909090909090912E-2</c:v>
                </c:pt>
                <c:pt idx="3">
                  <c:v>0.18181818181818182</c:v>
                </c:pt>
              </c:numCache>
            </c:numRef>
          </c:val>
          <c:extLst>
            <c:ext xmlns:c16="http://schemas.microsoft.com/office/drawing/2014/chart" uri="{C3380CC4-5D6E-409C-BE32-E72D297353CC}">
              <c16:uniqueId val="{00000008-10BB-4801-9537-652C22ECF774}"/>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565428563853767"/>
          <c:y val="0.21356078843860418"/>
          <c:w val="0.30916026405790187"/>
          <c:h val="0.63396300768142455"/>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83469851503461"/>
          <c:y val="6.2095699576014539E-2"/>
          <c:w val="0.87340020081382441"/>
          <c:h val="0.65976482382672985"/>
        </c:manualLayout>
      </c:layout>
      <c:barChart>
        <c:barDir val="col"/>
        <c:grouping val="clustered"/>
        <c:varyColors val="0"/>
        <c:ser>
          <c:idx val="0"/>
          <c:order val="0"/>
          <c:tx>
            <c:strRef>
              <c:f>Visuals!$H$93</c:f>
              <c:strCache>
                <c:ptCount val="1"/>
                <c:pt idx="0">
                  <c:v>Q1</c:v>
                </c:pt>
              </c:strCache>
            </c:strRef>
          </c:tx>
          <c:spPr>
            <a:solidFill>
              <a:srgbClr val="156082"/>
            </a:solidFill>
            <a:ln>
              <a:noFill/>
            </a:ln>
            <a:effectLst/>
          </c:spPr>
          <c:invertIfNegative val="0"/>
          <c:cat>
            <c:strRef>
              <c:f>Visuals!$I$92:$K$92</c:f>
              <c:strCache>
                <c:ptCount val="3"/>
                <c:pt idx="0">
                  <c:v>KR6.1</c:v>
                </c:pt>
                <c:pt idx="1">
                  <c:v>KR6.2</c:v>
                </c:pt>
                <c:pt idx="2">
                  <c:v>KR6.3</c:v>
                </c:pt>
              </c:strCache>
              <c:extLst/>
            </c:strRef>
          </c:cat>
          <c:val>
            <c:numRef>
              <c:f>Visuals!$I$93:$K$93</c:f>
              <c:numCache>
                <c:formatCode>General</c:formatCode>
                <c:ptCount val="3"/>
                <c:pt idx="0">
                  <c:v>0</c:v>
                </c:pt>
                <c:pt idx="1">
                  <c:v>0</c:v>
                </c:pt>
                <c:pt idx="2">
                  <c:v>0</c:v>
                </c:pt>
              </c:numCache>
              <c:extLst/>
            </c:numRef>
          </c:val>
          <c:extLst>
            <c:ext xmlns:c16="http://schemas.microsoft.com/office/drawing/2014/chart" uri="{C3380CC4-5D6E-409C-BE32-E72D297353CC}">
              <c16:uniqueId val="{00000000-F79E-4CC2-98DB-67AA8192EC82}"/>
            </c:ext>
          </c:extLst>
        </c:ser>
        <c:ser>
          <c:idx val="1"/>
          <c:order val="1"/>
          <c:tx>
            <c:strRef>
              <c:f>Visuals!$H$94</c:f>
              <c:strCache>
                <c:ptCount val="1"/>
                <c:pt idx="0">
                  <c:v>Q2</c:v>
                </c:pt>
              </c:strCache>
            </c:strRef>
          </c:tx>
          <c:spPr>
            <a:solidFill>
              <a:srgbClr val="E97132"/>
            </a:solidFill>
            <a:ln>
              <a:noFill/>
            </a:ln>
            <a:effectLst/>
          </c:spPr>
          <c:invertIfNegative val="0"/>
          <c:cat>
            <c:strRef>
              <c:f>Visuals!$I$92:$K$92</c:f>
              <c:strCache>
                <c:ptCount val="3"/>
                <c:pt idx="0">
                  <c:v>KR6.1</c:v>
                </c:pt>
                <c:pt idx="1">
                  <c:v>KR6.2</c:v>
                </c:pt>
                <c:pt idx="2">
                  <c:v>KR6.3</c:v>
                </c:pt>
              </c:strCache>
              <c:extLst/>
            </c:strRef>
          </c:cat>
          <c:val>
            <c:numRef>
              <c:f>Visuals!$I$94:$K$94</c:f>
              <c:numCache>
                <c:formatCode>General</c:formatCode>
                <c:ptCount val="3"/>
                <c:pt idx="0">
                  <c:v>0</c:v>
                </c:pt>
                <c:pt idx="1">
                  <c:v>0</c:v>
                </c:pt>
                <c:pt idx="2">
                  <c:v>0</c:v>
                </c:pt>
              </c:numCache>
              <c:extLst/>
            </c:numRef>
          </c:val>
          <c:extLst>
            <c:ext xmlns:c16="http://schemas.microsoft.com/office/drawing/2014/chart" uri="{C3380CC4-5D6E-409C-BE32-E72D297353CC}">
              <c16:uniqueId val="{00000001-F79E-4CC2-98DB-67AA8192EC82}"/>
            </c:ext>
          </c:extLst>
        </c:ser>
        <c:ser>
          <c:idx val="2"/>
          <c:order val="2"/>
          <c:tx>
            <c:strRef>
              <c:f>Visuals!$H$95</c:f>
              <c:strCache>
                <c:ptCount val="1"/>
                <c:pt idx="0">
                  <c:v>Q3</c:v>
                </c:pt>
              </c:strCache>
            </c:strRef>
          </c:tx>
          <c:spPr>
            <a:solidFill>
              <a:srgbClr val="2A8451"/>
            </a:solidFill>
            <a:ln>
              <a:noFill/>
            </a:ln>
            <a:effectLst/>
          </c:spPr>
          <c:invertIfNegative val="0"/>
          <c:cat>
            <c:strRef>
              <c:f>Visuals!$I$92:$K$92</c:f>
              <c:strCache>
                <c:ptCount val="3"/>
                <c:pt idx="0">
                  <c:v>KR6.1</c:v>
                </c:pt>
                <c:pt idx="1">
                  <c:v>KR6.2</c:v>
                </c:pt>
                <c:pt idx="2">
                  <c:v>KR6.3</c:v>
                </c:pt>
              </c:strCache>
              <c:extLst/>
            </c:strRef>
          </c:cat>
          <c:val>
            <c:numRef>
              <c:f>Visuals!$I$95:$K$95</c:f>
              <c:numCache>
                <c:formatCode>General</c:formatCode>
                <c:ptCount val="3"/>
              </c:numCache>
              <c:extLst/>
            </c:numRef>
          </c:val>
          <c:extLst>
            <c:ext xmlns:c16="http://schemas.microsoft.com/office/drawing/2014/chart" uri="{C3380CC4-5D6E-409C-BE32-E72D297353CC}">
              <c16:uniqueId val="{00000002-F79E-4CC2-98DB-67AA8192EC82}"/>
            </c:ext>
          </c:extLst>
        </c:ser>
        <c:ser>
          <c:idx val="3"/>
          <c:order val="3"/>
          <c:tx>
            <c:strRef>
              <c:f>Visuals!$H$96</c:f>
              <c:strCache>
                <c:ptCount val="1"/>
                <c:pt idx="0">
                  <c:v>Q4</c:v>
                </c:pt>
              </c:strCache>
            </c:strRef>
          </c:tx>
          <c:spPr>
            <a:solidFill>
              <a:srgbClr val="A22895"/>
            </a:solidFill>
            <a:ln>
              <a:noFill/>
            </a:ln>
            <a:effectLst/>
          </c:spPr>
          <c:invertIfNegative val="0"/>
          <c:cat>
            <c:strRef>
              <c:f>Visuals!$I$92:$K$92</c:f>
              <c:strCache>
                <c:ptCount val="3"/>
                <c:pt idx="0">
                  <c:v>KR6.1</c:v>
                </c:pt>
                <c:pt idx="1">
                  <c:v>KR6.2</c:v>
                </c:pt>
                <c:pt idx="2">
                  <c:v>KR6.3</c:v>
                </c:pt>
              </c:strCache>
              <c:extLst/>
            </c:strRef>
          </c:cat>
          <c:val>
            <c:numRef>
              <c:f>Visuals!$I$96:$K$96</c:f>
              <c:numCache>
                <c:formatCode>General</c:formatCode>
                <c:ptCount val="3"/>
              </c:numCache>
              <c:extLst/>
            </c:numRef>
          </c:val>
          <c:extLst>
            <c:ext xmlns:c16="http://schemas.microsoft.com/office/drawing/2014/chart" uri="{C3380CC4-5D6E-409C-BE32-E72D297353CC}">
              <c16:uniqueId val="{00000003-F79E-4CC2-98DB-67AA8192EC82}"/>
            </c:ext>
          </c:extLst>
        </c:ser>
        <c:dLbls>
          <c:showLegendKey val="0"/>
          <c:showVal val="0"/>
          <c:showCatName val="0"/>
          <c:showSerName val="0"/>
          <c:showPercent val="0"/>
          <c:showBubbleSize val="0"/>
        </c:dLbls>
        <c:gapWidth val="219"/>
        <c:axId val="517808816"/>
        <c:axId val="517798256"/>
      </c:barChart>
      <c:lineChart>
        <c:grouping val="standard"/>
        <c:varyColors val="0"/>
        <c:ser>
          <c:idx val="4"/>
          <c:order val="4"/>
          <c:tx>
            <c:strRef>
              <c:f>Visuals!$H$97</c:f>
              <c:strCache>
                <c:ptCount val="1"/>
                <c:pt idx="0">
                  <c:v>Delivering </c:v>
                </c:pt>
              </c:strCache>
            </c:strRef>
          </c:tx>
          <c:spPr>
            <a:ln w="19050" cap="rnd">
              <a:solidFill>
                <a:schemeClr val="tx1"/>
              </a:solidFill>
              <a:round/>
            </a:ln>
            <a:effectLst/>
          </c:spPr>
          <c:marker>
            <c:symbol val="none"/>
          </c:marker>
          <c:dLbls>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79E-4CC2-98DB-67AA8192EC8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Visuals!$I$92:$K$92</c:f>
              <c:strCache>
                <c:ptCount val="3"/>
                <c:pt idx="0">
                  <c:v>KR6.1</c:v>
                </c:pt>
                <c:pt idx="1">
                  <c:v>KR6.2</c:v>
                </c:pt>
                <c:pt idx="2">
                  <c:v>KR6.3</c:v>
                </c:pt>
              </c:strCache>
              <c:extLst/>
            </c:strRef>
          </c:cat>
          <c:val>
            <c:numRef>
              <c:f>Visuals!$I$97:$K$97</c:f>
              <c:numCache>
                <c:formatCode>General</c:formatCode>
                <c:ptCount val="3"/>
                <c:pt idx="0">
                  <c:v>0.7</c:v>
                </c:pt>
                <c:pt idx="1">
                  <c:v>0.7</c:v>
                </c:pt>
                <c:pt idx="2">
                  <c:v>0.7</c:v>
                </c:pt>
              </c:numCache>
              <c:extLst/>
            </c:numRef>
          </c:val>
          <c:smooth val="0"/>
          <c:extLst>
            <c:ext xmlns:c16="http://schemas.microsoft.com/office/drawing/2014/chart" uri="{C3380CC4-5D6E-409C-BE32-E72D297353CC}">
              <c16:uniqueId val="{00000005-F79E-4CC2-98DB-67AA8192EC82}"/>
            </c:ext>
          </c:extLst>
        </c:ser>
        <c:ser>
          <c:idx val="5"/>
          <c:order val="5"/>
          <c:tx>
            <c:strRef>
              <c:f>Visuals!$H$98</c:f>
              <c:strCache>
                <c:ptCount val="1"/>
                <c:pt idx="0">
                  <c:v>Measurable progress</c:v>
                </c:pt>
              </c:strCache>
            </c:strRef>
          </c:tx>
          <c:spPr>
            <a:ln w="25400" cap="rnd">
              <a:solidFill>
                <a:schemeClr val="tx1"/>
              </a:solidFill>
              <a:prstDash val="sysDot"/>
              <a:round/>
            </a:ln>
            <a:effectLst/>
          </c:spPr>
          <c:marker>
            <c:symbol val="none"/>
          </c:marker>
          <c:dLbls>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79E-4CC2-98DB-67AA8192EC8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Visuals!$I$92:$K$92</c:f>
              <c:strCache>
                <c:ptCount val="3"/>
                <c:pt idx="0">
                  <c:v>KR6.1</c:v>
                </c:pt>
                <c:pt idx="1">
                  <c:v>KR6.2</c:v>
                </c:pt>
                <c:pt idx="2">
                  <c:v>KR6.3</c:v>
                </c:pt>
              </c:strCache>
              <c:extLst/>
            </c:strRef>
          </c:cat>
          <c:val>
            <c:numRef>
              <c:f>Visuals!$I$98:$K$98</c:f>
              <c:numCache>
                <c:formatCode>General</c:formatCode>
                <c:ptCount val="3"/>
                <c:pt idx="0">
                  <c:v>0.3</c:v>
                </c:pt>
                <c:pt idx="1">
                  <c:v>0.3</c:v>
                </c:pt>
                <c:pt idx="2">
                  <c:v>0.3</c:v>
                </c:pt>
              </c:numCache>
              <c:extLst/>
            </c:numRef>
          </c:val>
          <c:smooth val="0"/>
          <c:extLst>
            <c:ext xmlns:c16="http://schemas.microsoft.com/office/drawing/2014/chart" uri="{C3380CC4-5D6E-409C-BE32-E72D297353CC}">
              <c16:uniqueId val="{00000007-F79E-4CC2-98DB-67AA8192EC82}"/>
            </c:ext>
          </c:extLst>
        </c:ser>
        <c:dLbls>
          <c:showLegendKey val="0"/>
          <c:showVal val="0"/>
          <c:showCatName val="0"/>
          <c:showSerName val="0"/>
          <c:showPercent val="0"/>
          <c:showBubbleSize val="0"/>
        </c:dLbls>
        <c:marker val="1"/>
        <c:smooth val="0"/>
        <c:axId val="466154768"/>
        <c:axId val="466155728"/>
      </c:lineChart>
      <c:catAx>
        <c:axId val="51780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7798256"/>
        <c:crosses val="autoZero"/>
        <c:auto val="1"/>
        <c:lblAlgn val="ctr"/>
        <c:lblOffset val="100"/>
        <c:noMultiLvlLbl val="0"/>
      </c:catAx>
      <c:valAx>
        <c:axId val="51779825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Key Result score</a:t>
                </a:r>
              </a:p>
            </c:rich>
          </c:tx>
          <c:layout>
            <c:manualLayout>
              <c:xMode val="edge"/>
              <c:yMode val="edge"/>
              <c:x val="3.7583892617449662E-2"/>
              <c:y val="0.2150283005075293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7808816"/>
        <c:crosses val="autoZero"/>
        <c:crossBetween val="between"/>
        <c:majorUnit val="0.2"/>
      </c:valAx>
      <c:valAx>
        <c:axId val="466155728"/>
        <c:scaling>
          <c:orientation val="minMax"/>
        </c:scaling>
        <c:delete val="1"/>
        <c:axPos val="r"/>
        <c:numFmt formatCode="General" sourceLinked="1"/>
        <c:majorTickMark val="out"/>
        <c:minorTickMark val="none"/>
        <c:tickLblPos val="nextTo"/>
        <c:crossAx val="466154768"/>
        <c:crosses val="max"/>
        <c:crossBetween val="between"/>
      </c:valAx>
      <c:catAx>
        <c:axId val="466154768"/>
        <c:scaling>
          <c:orientation val="minMax"/>
        </c:scaling>
        <c:delete val="1"/>
        <c:axPos val="b"/>
        <c:numFmt formatCode="General" sourceLinked="1"/>
        <c:majorTickMark val="out"/>
        <c:minorTickMark val="none"/>
        <c:tickLblPos val="nextTo"/>
        <c:crossAx val="4661557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63186059595696"/>
          <c:y val="4.9222200883426159E-2"/>
          <c:w val="0.87684863066795615"/>
          <c:h val="0.7303013847407005"/>
        </c:manualLayout>
      </c:layout>
      <c:barChart>
        <c:barDir val="col"/>
        <c:grouping val="clustered"/>
        <c:varyColors val="0"/>
        <c:ser>
          <c:idx val="0"/>
          <c:order val="0"/>
          <c:tx>
            <c:strRef>
              <c:f>Visuals!$A$117</c:f>
              <c:strCache>
                <c:ptCount val="1"/>
                <c:pt idx="0">
                  <c:v>Q1</c:v>
                </c:pt>
              </c:strCache>
            </c:strRef>
          </c:tx>
          <c:spPr>
            <a:solidFill>
              <a:srgbClr val="156082"/>
            </a:solidFill>
            <a:ln>
              <a:noFill/>
            </a:ln>
            <a:effectLst/>
          </c:spPr>
          <c:invertIfNegative val="0"/>
          <c:cat>
            <c:strRef>
              <c:f>Visuals!$B$116:$D$116</c:f>
              <c:strCache>
                <c:ptCount val="3"/>
                <c:pt idx="0">
                  <c:v>KR7.1</c:v>
                </c:pt>
                <c:pt idx="1">
                  <c:v>KR7.2</c:v>
                </c:pt>
                <c:pt idx="2">
                  <c:v>KR7.3</c:v>
                </c:pt>
              </c:strCache>
            </c:strRef>
          </c:cat>
          <c:val>
            <c:numRef>
              <c:f>Visuals!$B$117:$D$117</c:f>
              <c:numCache>
                <c:formatCode>General</c:formatCode>
                <c:ptCount val="3"/>
                <c:pt idx="0">
                  <c:v>0</c:v>
                </c:pt>
                <c:pt idx="1">
                  <c:v>0</c:v>
                </c:pt>
                <c:pt idx="2">
                  <c:v>0</c:v>
                </c:pt>
              </c:numCache>
            </c:numRef>
          </c:val>
          <c:extLst>
            <c:ext xmlns:c16="http://schemas.microsoft.com/office/drawing/2014/chart" uri="{C3380CC4-5D6E-409C-BE32-E72D297353CC}">
              <c16:uniqueId val="{00000000-D854-4722-A8AA-2ADCEAA78F0C}"/>
            </c:ext>
          </c:extLst>
        </c:ser>
        <c:ser>
          <c:idx val="1"/>
          <c:order val="1"/>
          <c:tx>
            <c:strRef>
              <c:f>Visuals!$A$118</c:f>
              <c:strCache>
                <c:ptCount val="1"/>
                <c:pt idx="0">
                  <c:v>Q2</c:v>
                </c:pt>
              </c:strCache>
            </c:strRef>
          </c:tx>
          <c:spPr>
            <a:solidFill>
              <a:srgbClr val="E97132"/>
            </a:solidFill>
            <a:ln>
              <a:noFill/>
            </a:ln>
            <a:effectLst/>
          </c:spPr>
          <c:invertIfNegative val="0"/>
          <c:cat>
            <c:strRef>
              <c:f>Visuals!$B$116:$D$116</c:f>
              <c:strCache>
                <c:ptCount val="3"/>
                <c:pt idx="0">
                  <c:v>KR7.1</c:v>
                </c:pt>
                <c:pt idx="1">
                  <c:v>KR7.2</c:v>
                </c:pt>
                <c:pt idx="2">
                  <c:v>KR7.3</c:v>
                </c:pt>
              </c:strCache>
            </c:strRef>
          </c:cat>
          <c:val>
            <c:numRef>
              <c:f>Visuals!$B$118:$D$118</c:f>
              <c:numCache>
                <c:formatCode>General</c:formatCode>
                <c:ptCount val="3"/>
                <c:pt idx="0">
                  <c:v>1</c:v>
                </c:pt>
                <c:pt idx="1">
                  <c:v>0</c:v>
                </c:pt>
                <c:pt idx="2">
                  <c:v>0</c:v>
                </c:pt>
              </c:numCache>
            </c:numRef>
          </c:val>
          <c:extLst>
            <c:ext xmlns:c16="http://schemas.microsoft.com/office/drawing/2014/chart" uri="{C3380CC4-5D6E-409C-BE32-E72D297353CC}">
              <c16:uniqueId val="{00000001-D854-4722-A8AA-2ADCEAA78F0C}"/>
            </c:ext>
          </c:extLst>
        </c:ser>
        <c:ser>
          <c:idx val="2"/>
          <c:order val="2"/>
          <c:tx>
            <c:strRef>
              <c:f>Visuals!$A$119</c:f>
              <c:strCache>
                <c:ptCount val="1"/>
                <c:pt idx="0">
                  <c:v>Q3</c:v>
                </c:pt>
              </c:strCache>
            </c:strRef>
          </c:tx>
          <c:spPr>
            <a:solidFill>
              <a:srgbClr val="2A8451"/>
            </a:solidFill>
            <a:ln>
              <a:noFill/>
            </a:ln>
            <a:effectLst/>
          </c:spPr>
          <c:invertIfNegative val="0"/>
          <c:cat>
            <c:strRef>
              <c:f>Visuals!$B$116:$D$116</c:f>
              <c:strCache>
                <c:ptCount val="3"/>
                <c:pt idx="0">
                  <c:v>KR7.1</c:v>
                </c:pt>
                <c:pt idx="1">
                  <c:v>KR7.2</c:v>
                </c:pt>
                <c:pt idx="2">
                  <c:v>KR7.3</c:v>
                </c:pt>
              </c:strCache>
            </c:strRef>
          </c:cat>
          <c:val>
            <c:numRef>
              <c:f>Visuals!$B$119:$D$119</c:f>
              <c:numCache>
                <c:formatCode>General</c:formatCode>
                <c:ptCount val="3"/>
              </c:numCache>
            </c:numRef>
          </c:val>
          <c:extLst>
            <c:ext xmlns:c16="http://schemas.microsoft.com/office/drawing/2014/chart" uri="{C3380CC4-5D6E-409C-BE32-E72D297353CC}">
              <c16:uniqueId val="{00000002-D854-4722-A8AA-2ADCEAA78F0C}"/>
            </c:ext>
          </c:extLst>
        </c:ser>
        <c:ser>
          <c:idx val="3"/>
          <c:order val="3"/>
          <c:tx>
            <c:strRef>
              <c:f>Visuals!$A$120</c:f>
              <c:strCache>
                <c:ptCount val="1"/>
                <c:pt idx="0">
                  <c:v>Q4</c:v>
                </c:pt>
              </c:strCache>
            </c:strRef>
          </c:tx>
          <c:spPr>
            <a:solidFill>
              <a:srgbClr val="A22895"/>
            </a:solidFill>
            <a:ln>
              <a:noFill/>
            </a:ln>
            <a:effectLst/>
          </c:spPr>
          <c:invertIfNegative val="0"/>
          <c:cat>
            <c:strRef>
              <c:f>Visuals!$B$116:$D$116</c:f>
              <c:strCache>
                <c:ptCount val="3"/>
                <c:pt idx="0">
                  <c:v>KR7.1</c:v>
                </c:pt>
                <c:pt idx="1">
                  <c:v>KR7.2</c:v>
                </c:pt>
                <c:pt idx="2">
                  <c:v>KR7.3</c:v>
                </c:pt>
              </c:strCache>
            </c:strRef>
          </c:cat>
          <c:val>
            <c:numRef>
              <c:f>Visuals!$B$120:$D$120</c:f>
              <c:numCache>
                <c:formatCode>General</c:formatCode>
                <c:ptCount val="3"/>
              </c:numCache>
            </c:numRef>
          </c:val>
          <c:extLst>
            <c:ext xmlns:c16="http://schemas.microsoft.com/office/drawing/2014/chart" uri="{C3380CC4-5D6E-409C-BE32-E72D297353CC}">
              <c16:uniqueId val="{00000003-D854-4722-A8AA-2ADCEAA78F0C}"/>
            </c:ext>
          </c:extLst>
        </c:ser>
        <c:dLbls>
          <c:showLegendKey val="0"/>
          <c:showVal val="0"/>
          <c:showCatName val="0"/>
          <c:showSerName val="0"/>
          <c:showPercent val="0"/>
          <c:showBubbleSize val="0"/>
        </c:dLbls>
        <c:gapWidth val="150"/>
        <c:axId val="418269552"/>
        <c:axId val="418247472"/>
      </c:barChart>
      <c:lineChart>
        <c:grouping val="standard"/>
        <c:varyColors val="0"/>
        <c:ser>
          <c:idx val="6"/>
          <c:order val="6"/>
          <c:tx>
            <c:strRef>
              <c:f>Visuals!$A$123</c:f>
              <c:strCache>
                <c:ptCount val="1"/>
                <c:pt idx="0">
                  <c:v>Measurable progress</c:v>
                </c:pt>
              </c:strCache>
            </c:strRef>
          </c:tx>
          <c:spPr>
            <a:ln w="25400" cap="rnd">
              <a:solidFill>
                <a:schemeClr val="tx1"/>
              </a:solidFill>
              <a:prstDash val="sysDot"/>
              <a:round/>
            </a:ln>
            <a:effectLst/>
          </c:spPr>
          <c:marker>
            <c:symbol val="none"/>
          </c:marker>
          <c:dLbls>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854-4722-A8AA-2ADCEAA78F0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Visuals!$B$116:$D$116</c:f>
              <c:strCache>
                <c:ptCount val="3"/>
                <c:pt idx="0">
                  <c:v>KR7.1</c:v>
                </c:pt>
                <c:pt idx="1">
                  <c:v>KR7.2</c:v>
                </c:pt>
                <c:pt idx="2">
                  <c:v>KR7.3</c:v>
                </c:pt>
              </c:strCache>
            </c:strRef>
          </c:cat>
          <c:val>
            <c:numRef>
              <c:f>Visuals!$B$123:$D$123</c:f>
              <c:numCache>
                <c:formatCode>General</c:formatCode>
                <c:ptCount val="3"/>
                <c:pt idx="0">
                  <c:v>0.3</c:v>
                </c:pt>
                <c:pt idx="1">
                  <c:v>0.3</c:v>
                </c:pt>
                <c:pt idx="2">
                  <c:v>0.3</c:v>
                </c:pt>
              </c:numCache>
            </c:numRef>
          </c:val>
          <c:smooth val="0"/>
          <c:extLst>
            <c:ext xmlns:c16="http://schemas.microsoft.com/office/drawing/2014/chart" uri="{C3380CC4-5D6E-409C-BE32-E72D297353CC}">
              <c16:uniqueId val="{00000005-D854-4722-A8AA-2ADCEAA78F0C}"/>
            </c:ext>
          </c:extLst>
        </c:ser>
        <c:ser>
          <c:idx val="5"/>
          <c:order val="5"/>
          <c:tx>
            <c:strRef>
              <c:f>Visuals!$A$122</c:f>
              <c:strCache>
                <c:ptCount val="1"/>
                <c:pt idx="0">
                  <c:v>Delivering </c:v>
                </c:pt>
              </c:strCache>
            </c:strRef>
          </c:tx>
          <c:spPr>
            <a:ln w="19050" cap="rnd">
              <a:solidFill>
                <a:schemeClr val="tx1"/>
              </a:solidFill>
              <a:round/>
            </a:ln>
            <a:effectLst/>
          </c:spPr>
          <c:marker>
            <c:symbol val="none"/>
          </c:marker>
          <c:dLbls>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854-4722-A8AA-2ADCEAA78F0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Visuals!$B$116:$D$116</c:f>
              <c:strCache>
                <c:ptCount val="3"/>
                <c:pt idx="0">
                  <c:v>KR7.1</c:v>
                </c:pt>
                <c:pt idx="1">
                  <c:v>KR7.2</c:v>
                </c:pt>
                <c:pt idx="2">
                  <c:v>KR7.3</c:v>
                </c:pt>
              </c:strCache>
            </c:strRef>
          </c:cat>
          <c:val>
            <c:numRef>
              <c:f>Visuals!$B$122:$D$122</c:f>
              <c:numCache>
                <c:formatCode>General</c:formatCode>
                <c:ptCount val="3"/>
                <c:pt idx="0">
                  <c:v>0.7</c:v>
                </c:pt>
                <c:pt idx="1">
                  <c:v>0.7</c:v>
                </c:pt>
                <c:pt idx="2">
                  <c:v>0.7</c:v>
                </c:pt>
              </c:numCache>
            </c:numRef>
          </c:val>
          <c:smooth val="0"/>
          <c:extLst>
            <c:ext xmlns:c16="http://schemas.microsoft.com/office/drawing/2014/chart" uri="{C3380CC4-5D6E-409C-BE32-E72D297353CC}">
              <c16:uniqueId val="{00000007-D854-4722-A8AA-2ADCEAA78F0C}"/>
            </c:ext>
          </c:extLst>
        </c:ser>
        <c:dLbls>
          <c:showLegendKey val="0"/>
          <c:showVal val="0"/>
          <c:showCatName val="0"/>
          <c:showSerName val="0"/>
          <c:showPercent val="0"/>
          <c:showBubbleSize val="0"/>
        </c:dLbls>
        <c:marker val="1"/>
        <c:smooth val="0"/>
        <c:axId val="586708416"/>
        <c:axId val="586694496"/>
        <c:extLst>
          <c:ext xmlns:c15="http://schemas.microsoft.com/office/drawing/2012/chart" uri="{02D57815-91ED-43cb-92C2-25804820EDAC}">
            <c15:filteredLineSeries>
              <c15:ser>
                <c:idx val="4"/>
                <c:order val="4"/>
                <c:tx>
                  <c:strRef>
                    <c:extLst>
                      <c:ext uri="{02D57815-91ED-43cb-92C2-25804820EDAC}">
                        <c15:formulaRef>
                          <c15:sqref>Visuals!$A$121</c15:sqref>
                        </c15:formulaRef>
                      </c:ext>
                    </c:extLst>
                    <c:strCache>
                      <c:ptCount val="1"/>
                    </c:strCache>
                  </c:strRef>
                </c:tx>
                <c:spPr>
                  <a:ln w="28575" cap="rnd">
                    <a:solidFill>
                      <a:schemeClr val="accent5"/>
                    </a:solidFill>
                    <a:round/>
                  </a:ln>
                  <a:effectLst/>
                </c:spPr>
                <c:marker>
                  <c:symbol val="none"/>
                </c:marker>
                <c:cat>
                  <c:strRef>
                    <c:extLst>
                      <c:ext uri="{02D57815-91ED-43cb-92C2-25804820EDAC}">
                        <c15:formulaRef>
                          <c15:sqref>Visuals!$B$116:$D$116</c15:sqref>
                        </c15:formulaRef>
                      </c:ext>
                    </c:extLst>
                    <c:strCache>
                      <c:ptCount val="3"/>
                      <c:pt idx="0">
                        <c:v>KR7.1</c:v>
                      </c:pt>
                      <c:pt idx="1">
                        <c:v>KR7.2</c:v>
                      </c:pt>
                      <c:pt idx="2">
                        <c:v>KR7.3</c:v>
                      </c:pt>
                    </c:strCache>
                  </c:strRef>
                </c:cat>
                <c:val>
                  <c:numRef>
                    <c:extLst>
                      <c:ext uri="{02D57815-91ED-43cb-92C2-25804820EDAC}">
                        <c15:formulaRef>
                          <c15:sqref>Visuals!$B$121:$D$121</c15:sqref>
                        </c15:formulaRef>
                      </c:ext>
                    </c:extLst>
                    <c:numCache>
                      <c:formatCode>General</c:formatCode>
                      <c:ptCount val="3"/>
                    </c:numCache>
                  </c:numRef>
                </c:val>
                <c:smooth val="0"/>
                <c:extLst>
                  <c:ext xmlns:c16="http://schemas.microsoft.com/office/drawing/2014/chart" uri="{C3380CC4-5D6E-409C-BE32-E72D297353CC}">
                    <c16:uniqueId val="{00000008-D854-4722-A8AA-2ADCEAA78F0C}"/>
                  </c:ext>
                </c:extLst>
              </c15:ser>
            </c15:filteredLineSeries>
          </c:ext>
        </c:extLst>
      </c:lineChart>
      <c:catAx>
        <c:axId val="41826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8247472"/>
        <c:crosses val="autoZero"/>
        <c:auto val="1"/>
        <c:lblAlgn val="ctr"/>
        <c:lblOffset val="100"/>
        <c:noMultiLvlLbl val="0"/>
      </c:catAx>
      <c:valAx>
        <c:axId val="41824747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Key result score</a:t>
                </a:r>
              </a:p>
            </c:rich>
          </c:tx>
          <c:layout>
            <c:manualLayout>
              <c:xMode val="edge"/>
              <c:yMode val="edge"/>
              <c:x val="3.1746309946357132E-2"/>
              <c:y val="0.27870811206738694"/>
            </c:manualLayout>
          </c:layout>
          <c:overlay val="0"/>
          <c:spPr>
            <a:noFill/>
            <a:ln>
              <a:noFill/>
            </a:ln>
            <a:effectLst/>
          </c:spPr>
          <c:txPr>
            <a:bodyPr rot="-5400000" spcFirstLastPara="1" vertOverflow="ellipsis" vert="horz" wrap="square" anchor="ctr" anchorCtr="1"/>
            <a:lstStyle/>
            <a:p>
              <a:pPr algn="ctr" rtl="0">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8269552"/>
        <c:crosses val="autoZero"/>
        <c:crossBetween val="between"/>
        <c:majorUnit val="0.2"/>
      </c:valAx>
      <c:valAx>
        <c:axId val="586694496"/>
        <c:scaling>
          <c:orientation val="minMax"/>
        </c:scaling>
        <c:delete val="1"/>
        <c:axPos val="r"/>
        <c:numFmt formatCode="General" sourceLinked="1"/>
        <c:majorTickMark val="out"/>
        <c:minorTickMark val="none"/>
        <c:tickLblPos val="nextTo"/>
        <c:crossAx val="586708416"/>
        <c:crosses val="max"/>
        <c:crossBetween val="between"/>
      </c:valAx>
      <c:catAx>
        <c:axId val="586708416"/>
        <c:scaling>
          <c:orientation val="minMax"/>
        </c:scaling>
        <c:delete val="1"/>
        <c:axPos val="b"/>
        <c:numFmt formatCode="General" sourceLinked="1"/>
        <c:majorTickMark val="out"/>
        <c:minorTickMark val="none"/>
        <c:tickLblPos val="nextTo"/>
        <c:crossAx val="5866944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46945959137789"/>
          <c:y val="5.8630986265357031E-2"/>
          <c:w val="0.86680918571737264"/>
          <c:h val="0.6487393522878997"/>
        </c:manualLayout>
      </c:layout>
      <c:barChart>
        <c:barDir val="col"/>
        <c:grouping val="clustered"/>
        <c:varyColors val="0"/>
        <c:ser>
          <c:idx val="0"/>
          <c:order val="0"/>
          <c:tx>
            <c:strRef>
              <c:f>Visuals!$A$141</c:f>
              <c:strCache>
                <c:ptCount val="1"/>
                <c:pt idx="0">
                  <c:v>Q1</c:v>
                </c:pt>
              </c:strCache>
            </c:strRef>
          </c:tx>
          <c:spPr>
            <a:solidFill>
              <a:srgbClr val="156082"/>
            </a:solidFill>
            <a:ln>
              <a:noFill/>
            </a:ln>
            <a:effectLst/>
          </c:spPr>
          <c:invertIfNegative val="0"/>
          <c:cat>
            <c:strRef>
              <c:f>Visuals!$B$140:$F$140</c:f>
              <c:strCache>
                <c:ptCount val="5"/>
                <c:pt idx="0">
                  <c:v>KR8.1</c:v>
                </c:pt>
                <c:pt idx="1">
                  <c:v>KR8.2</c:v>
                </c:pt>
                <c:pt idx="2">
                  <c:v>KR8.3</c:v>
                </c:pt>
                <c:pt idx="3">
                  <c:v>KR8.4</c:v>
                </c:pt>
                <c:pt idx="4">
                  <c:v>KR8.5</c:v>
                </c:pt>
              </c:strCache>
            </c:strRef>
          </c:cat>
          <c:val>
            <c:numRef>
              <c:f>Visuals!$B$141:$F$141</c:f>
              <c:numCache>
                <c:formatCode>General</c:formatCode>
                <c:ptCount val="5"/>
                <c:pt idx="0">
                  <c:v>1</c:v>
                </c:pt>
                <c:pt idx="1">
                  <c:v>0</c:v>
                </c:pt>
                <c:pt idx="2">
                  <c:v>0</c:v>
                </c:pt>
                <c:pt idx="3">
                  <c:v>0</c:v>
                </c:pt>
                <c:pt idx="4">
                  <c:v>0</c:v>
                </c:pt>
              </c:numCache>
            </c:numRef>
          </c:val>
          <c:extLst>
            <c:ext xmlns:c16="http://schemas.microsoft.com/office/drawing/2014/chart" uri="{C3380CC4-5D6E-409C-BE32-E72D297353CC}">
              <c16:uniqueId val="{00000000-455A-422B-B6CB-80FB69BFEE51}"/>
            </c:ext>
          </c:extLst>
        </c:ser>
        <c:ser>
          <c:idx val="1"/>
          <c:order val="1"/>
          <c:tx>
            <c:strRef>
              <c:f>Visuals!$A$142</c:f>
              <c:strCache>
                <c:ptCount val="1"/>
                <c:pt idx="0">
                  <c:v>Q2</c:v>
                </c:pt>
              </c:strCache>
            </c:strRef>
          </c:tx>
          <c:spPr>
            <a:solidFill>
              <a:srgbClr val="E97132"/>
            </a:solidFill>
            <a:ln>
              <a:noFill/>
            </a:ln>
            <a:effectLst/>
          </c:spPr>
          <c:invertIfNegative val="0"/>
          <c:cat>
            <c:strRef>
              <c:f>Visuals!$B$140:$F$140</c:f>
              <c:strCache>
                <c:ptCount val="5"/>
                <c:pt idx="0">
                  <c:v>KR8.1</c:v>
                </c:pt>
                <c:pt idx="1">
                  <c:v>KR8.2</c:v>
                </c:pt>
                <c:pt idx="2">
                  <c:v>KR8.3</c:v>
                </c:pt>
                <c:pt idx="3">
                  <c:v>KR8.4</c:v>
                </c:pt>
                <c:pt idx="4">
                  <c:v>KR8.5</c:v>
                </c:pt>
              </c:strCache>
            </c:strRef>
          </c:cat>
          <c:val>
            <c:numRef>
              <c:f>Visuals!$B$142:$F$142</c:f>
              <c:numCache>
                <c:formatCode>General</c:formatCode>
                <c:ptCount val="5"/>
                <c:pt idx="0">
                  <c:v>1</c:v>
                </c:pt>
                <c:pt idx="1">
                  <c:v>0</c:v>
                </c:pt>
                <c:pt idx="2">
                  <c:v>0</c:v>
                </c:pt>
                <c:pt idx="3">
                  <c:v>0</c:v>
                </c:pt>
                <c:pt idx="4">
                  <c:v>0</c:v>
                </c:pt>
              </c:numCache>
            </c:numRef>
          </c:val>
          <c:extLst>
            <c:ext xmlns:c16="http://schemas.microsoft.com/office/drawing/2014/chart" uri="{C3380CC4-5D6E-409C-BE32-E72D297353CC}">
              <c16:uniqueId val="{00000001-455A-422B-B6CB-80FB69BFEE51}"/>
            </c:ext>
          </c:extLst>
        </c:ser>
        <c:ser>
          <c:idx val="2"/>
          <c:order val="2"/>
          <c:tx>
            <c:strRef>
              <c:f>Visuals!$A$143</c:f>
              <c:strCache>
                <c:ptCount val="1"/>
                <c:pt idx="0">
                  <c:v>Q3</c:v>
                </c:pt>
              </c:strCache>
            </c:strRef>
          </c:tx>
          <c:spPr>
            <a:solidFill>
              <a:srgbClr val="2A8451"/>
            </a:solidFill>
            <a:ln>
              <a:noFill/>
            </a:ln>
            <a:effectLst/>
          </c:spPr>
          <c:invertIfNegative val="0"/>
          <c:cat>
            <c:strRef>
              <c:f>Visuals!$B$140:$F$140</c:f>
              <c:strCache>
                <c:ptCount val="5"/>
                <c:pt idx="0">
                  <c:v>KR8.1</c:v>
                </c:pt>
                <c:pt idx="1">
                  <c:v>KR8.2</c:v>
                </c:pt>
                <c:pt idx="2">
                  <c:v>KR8.3</c:v>
                </c:pt>
                <c:pt idx="3">
                  <c:v>KR8.4</c:v>
                </c:pt>
                <c:pt idx="4">
                  <c:v>KR8.5</c:v>
                </c:pt>
              </c:strCache>
            </c:strRef>
          </c:cat>
          <c:val>
            <c:numRef>
              <c:f>Visuals!$B$143:$F$143</c:f>
              <c:numCache>
                <c:formatCode>General</c:formatCode>
                <c:ptCount val="5"/>
              </c:numCache>
            </c:numRef>
          </c:val>
          <c:extLst>
            <c:ext xmlns:c16="http://schemas.microsoft.com/office/drawing/2014/chart" uri="{C3380CC4-5D6E-409C-BE32-E72D297353CC}">
              <c16:uniqueId val="{00000002-455A-422B-B6CB-80FB69BFEE51}"/>
            </c:ext>
          </c:extLst>
        </c:ser>
        <c:ser>
          <c:idx val="3"/>
          <c:order val="3"/>
          <c:tx>
            <c:strRef>
              <c:f>Visuals!$A$144</c:f>
              <c:strCache>
                <c:ptCount val="1"/>
                <c:pt idx="0">
                  <c:v>Q4</c:v>
                </c:pt>
              </c:strCache>
            </c:strRef>
          </c:tx>
          <c:spPr>
            <a:solidFill>
              <a:srgbClr val="A22895"/>
            </a:solidFill>
            <a:ln>
              <a:noFill/>
            </a:ln>
            <a:effectLst/>
          </c:spPr>
          <c:invertIfNegative val="0"/>
          <c:cat>
            <c:strRef>
              <c:f>Visuals!$B$140:$F$140</c:f>
              <c:strCache>
                <c:ptCount val="5"/>
                <c:pt idx="0">
                  <c:v>KR8.1</c:v>
                </c:pt>
                <c:pt idx="1">
                  <c:v>KR8.2</c:v>
                </c:pt>
                <c:pt idx="2">
                  <c:v>KR8.3</c:v>
                </c:pt>
                <c:pt idx="3">
                  <c:v>KR8.4</c:v>
                </c:pt>
                <c:pt idx="4">
                  <c:v>KR8.5</c:v>
                </c:pt>
              </c:strCache>
            </c:strRef>
          </c:cat>
          <c:val>
            <c:numRef>
              <c:f>Visuals!$B$144:$F$144</c:f>
              <c:numCache>
                <c:formatCode>General</c:formatCode>
                <c:ptCount val="5"/>
              </c:numCache>
            </c:numRef>
          </c:val>
          <c:extLst>
            <c:ext xmlns:c16="http://schemas.microsoft.com/office/drawing/2014/chart" uri="{C3380CC4-5D6E-409C-BE32-E72D297353CC}">
              <c16:uniqueId val="{00000003-455A-422B-B6CB-80FB69BFEE51}"/>
            </c:ext>
          </c:extLst>
        </c:ser>
        <c:dLbls>
          <c:showLegendKey val="0"/>
          <c:showVal val="0"/>
          <c:showCatName val="0"/>
          <c:showSerName val="0"/>
          <c:showPercent val="0"/>
          <c:showBubbleSize val="0"/>
        </c:dLbls>
        <c:gapWidth val="150"/>
        <c:axId val="418270032"/>
        <c:axId val="418271952"/>
      </c:barChart>
      <c:lineChart>
        <c:grouping val="standard"/>
        <c:varyColors val="0"/>
        <c:ser>
          <c:idx val="4"/>
          <c:order val="4"/>
          <c:tx>
            <c:strRef>
              <c:f>Visuals!$A$145</c:f>
              <c:strCache>
                <c:ptCount val="1"/>
                <c:pt idx="0">
                  <c:v>Delivering </c:v>
                </c:pt>
              </c:strCache>
            </c:strRef>
          </c:tx>
          <c:spPr>
            <a:ln w="19050" cap="rnd">
              <a:solidFill>
                <a:schemeClr val="tx1"/>
              </a:solidFill>
              <a:round/>
            </a:ln>
            <a:effectLst/>
          </c:spPr>
          <c:marker>
            <c:symbol val="none"/>
          </c:marker>
          <c:dLbls>
            <c:dLbl>
              <c:idx val="4"/>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5A-422B-B6CB-80FB69BFEE5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Visuals!$B$140:$F$140</c:f>
              <c:strCache>
                <c:ptCount val="5"/>
                <c:pt idx="0">
                  <c:v>KR8.1</c:v>
                </c:pt>
                <c:pt idx="1">
                  <c:v>KR8.2</c:v>
                </c:pt>
                <c:pt idx="2">
                  <c:v>KR8.3</c:v>
                </c:pt>
                <c:pt idx="3">
                  <c:v>KR8.4</c:v>
                </c:pt>
                <c:pt idx="4">
                  <c:v>KR8.5</c:v>
                </c:pt>
              </c:strCache>
            </c:strRef>
          </c:cat>
          <c:val>
            <c:numRef>
              <c:f>Visuals!$B$145:$F$145</c:f>
              <c:numCache>
                <c:formatCode>General</c:formatCode>
                <c:ptCount val="5"/>
                <c:pt idx="0">
                  <c:v>0.7</c:v>
                </c:pt>
                <c:pt idx="1">
                  <c:v>0.7</c:v>
                </c:pt>
                <c:pt idx="2">
                  <c:v>0.7</c:v>
                </c:pt>
                <c:pt idx="3">
                  <c:v>0.7</c:v>
                </c:pt>
                <c:pt idx="4">
                  <c:v>0.7</c:v>
                </c:pt>
              </c:numCache>
            </c:numRef>
          </c:val>
          <c:smooth val="0"/>
          <c:extLst>
            <c:ext xmlns:c16="http://schemas.microsoft.com/office/drawing/2014/chart" uri="{C3380CC4-5D6E-409C-BE32-E72D297353CC}">
              <c16:uniqueId val="{00000005-455A-422B-B6CB-80FB69BFEE51}"/>
            </c:ext>
          </c:extLst>
        </c:ser>
        <c:ser>
          <c:idx val="5"/>
          <c:order val="5"/>
          <c:tx>
            <c:strRef>
              <c:f>Visuals!$A$146</c:f>
              <c:strCache>
                <c:ptCount val="1"/>
                <c:pt idx="0">
                  <c:v>Measurable progress</c:v>
                </c:pt>
              </c:strCache>
            </c:strRef>
          </c:tx>
          <c:spPr>
            <a:ln w="25400" cap="rnd">
              <a:solidFill>
                <a:schemeClr val="tx1"/>
              </a:solidFill>
              <a:prstDash val="sysDot"/>
              <a:round/>
            </a:ln>
            <a:effectLst/>
          </c:spPr>
          <c:marker>
            <c:symbol val="none"/>
          </c:marker>
          <c:dLbls>
            <c:dLbl>
              <c:idx val="4"/>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55A-422B-B6CB-80FB69BFEE5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Visuals!$B$140:$F$140</c:f>
              <c:strCache>
                <c:ptCount val="5"/>
                <c:pt idx="0">
                  <c:v>KR8.1</c:v>
                </c:pt>
                <c:pt idx="1">
                  <c:v>KR8.2</c:v>
                </c:pt>
                <c:pt idx="2">
                  <c:v>KR8.3</c:v>
                </c:pt>
                <c:pt idx="3">
                  <c:v>KR8.4</c:v>
                </c:pt>
                <c:pt idx="4">
                  <c:v>KR8.5</c:v>
                </c:pt>
              </c:strCache>
            </c:strRef>
          </c:cat>
          <c:val>
            <c:numRef>
              <c:f>Visuals!$B$146:$F$146</c:f>
              <c:numCache>
                <c:formatCode>General</c:formatCode>
                <c:ptCount val="5"/>
                <c:pt idx="0">
                  <c:v>0.3</c:v>
                </c:pt>
                <c:pt idx="1">
                  <c:v>0.3</c:v>
                </c:pt>
                <c:pt idx="2">
                  <c:v>0.3</c:v>
                </c:pt>
                <c:pt idx="3">
                  <c:v>0.3</c:v>
                </c:pt>
                <c:pt idx="4">
                  <c:v>0.3</c:v>
                </c:pt>
              </c:numCache>
            </c:numRef>
          </c:val>
          <c:smooth val="0"/>
          <c:extLst>
            <c:ext xmlns:c16="http://schemas.microsoft.com/office/drawing/2014/chart" uri="{C3380CC4-5D6E-409C-BE32-E72D297353CC}">
              <c16:uniqueId val="{00000007-455A-422B-B6CB-80FB69BFEE51}"/>
            </c:ext>
          </c:extLst>
        </c:ser>
        <c:dLbls>
          <c:showLegendKey val="0"/>
          <c:showVal val="0"/>
          <c:showCatName val="0"/>
          <c:showSerName val="0"/>
          <c:showPercent val="0"/>
          <c:showBubbleSize val="0"/>
        </c:dLbls>
        <c:marker val="1"/>
        <c:smooth val="0"/>
        <c:axId val="576750976"/>
        <c:axId val="576756736"/>
      </c:lineChart>
      <c:catAx>
        <c:axId val="41827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8271952"/>
        <c:crosses val="autoZero"/>
        <c:auto val="1"/>
        <c:lblAlgn val="ctr"/>
        <c:lblOffset val="100"/>
        <c:noMultiLvlLbl val="0"/>
      </c:catAx>
      <c:valAx>
        <c:axId val="41827195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sz="1200" b="0" i="0" u="none" strike="noStrike" kern="1200" baseline="0">
                    <a:solidFill>
                      <a:schemeClr val="bg1">
                        <a:lumMod val="50000"/>
                      </a:schemeClr>
                    </a:solidFill>
                    <a:latin typeface="Arial" panose="020B0604020202020204" pitchFamily="34" charset="0"/>
                    <a:cs typeface="Arial" panose="020B0604020202020204" pitchFamily="34" charset="0"/>
                  </a:rPr>
                  <a:t>Key result score</a:t>
                </a:r>
              </a:p>
            </c:rich>
          </c:tx>
          <c:layout>
            <c:manualLayout>
              <c:xMode val="edge"/>
              <c:yMode val="edge"/>
              <c:x val="3.2091611449844792E-2"/>
              <c:y val="0.1957662583843686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8270032"/>
        <c:crosses val="autoZero"/>
        <c:crossBetween val="between"/>
        <c:majorUnit val="0.2"/>
      </c:valAx>
      <c:valAx>
        <c:axId val="576756736"/>
        <c:scaling>
          <c:orientation val="minMax"/>
        </c:scaling>
        <c:delete val="1"/>
        <c:axPos val="r"/>
        <c:numFmt formatCode="General" sourceLinked="1"/>
        <c:majorTickMark val="out"/>
        <c:minorTickMark val="none"/>
        <c:tickLblPos val="nextTo"/>
        <c:crossAx val="576750976"/>
        <c:crosses val="max"/>
        <c:crossBetween val="between"/>
      </c:valAx>
      <c:catAx>
        <c:axId val="576750976"/>
        <c:scaling>
          <c:orientation val="minMax"/>
        </c:scaling>
        <c:delete val="1"/>
        <c:axPos val="b"/>
        <c:numFmt formatCode="General" sourceLinked="1"/>
        <c:majorTickMark val="out"/>
        <c:minorTickMark val="none"/>
        <c:tickLblPos val="nextTo"/>
        <c:crossAx val="5767567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527052890988066E-2"/>
          <c:y val="5.6628153701396906E-2"/>
          <c:w val="0.88574146190745839"/>
          <c:h val="0.68972263808098011"/>
        </c:manualLayout>
      </c:layout>
      <c:barChart>
        <c:barDir val="col"/>
        <c:grouping val="clustered"/>
        <c:varyColors val="0"/>
        <c:ser>
          <c:idx val="0"/>
          <c:order val="0"/>
          <c:tx>
            <c:strRef>
              <c:f>Visuals!$H$141</c:f>
              <c:strCache>
                <c:ptCount val="1"/>
                <c:pt idx="0">
                  <c:v>Q1</c:v>
                </c:pt>
              </c:strCache>
            </c:strRef>
          </c:tx>
          <c:spPr>
            <a:solidFill>
              <a:srgbClr val="156082"/>
            </a:solidFill>
            <a:ln>
              <a:noFill/>
            </a:ln>
            <a:effectLst/>
          </c:spPr>
          <c:invertIfNegative val="0"/>
          <c:cat>
            <c:strRef>
              <c:f>Visuals!$I$140:$L$140</c:f>
              <c:strCache>
                <c:ptCount val="4"/>
                <c:pt idx="0">
                  <c:v>KR9.1</c:v>
                </c:pt>
                <c:pt idx="1">
                  <c:v>KR9.2</c:v>
                </c:pt>
                <c:pt idx="2">
                  <c:v>KR9.3</c:v>
                </c:pt>
                <c:pt idx="3">
                  <c:v>KR9.4</c:v>
                </c:pt>
              </c:strCache>
            </c:strRef>
          </c:cat>
          <c:val>
            <c:numRef>
              <c:f>Visuals!$I$141:$L$141</c:f>
              <c:numCache>
                <c:formatCode>General</c:formatCode>
                <c:ptCount val="4"/>
                <c:pt idx="0">
                  <c:v>0</c:v>
                </c:pt>
                <c:pt idx="1">
                  <c:v>0.06</c:v>
                </c:pt>
                <c:pt idx="2">
                  <c:v>0.2</c:v>
                </c:pt>
                <c:pt idx="3">
                  <c:v>0</c:v>
                </c:pt>
              </c:numCache>
            </c:numRef>
          </c:val>
          <c:extLst>
            <c:ext xmlns:c16="http://schemas.microsoft.com/office/drawing/2014/chart" uri="{C3380CC4-5D6E-409C-BE32-E72D297353CC}">
              <c16:uniqueId val="{00000000-58C6-4AD1-A05F-1BC80C1881F5}"/>
            </c:ext>
          </c:extLst>
        </c:ser>
        <c:ser>
          <c:idx val="1"/>
          <c:order val="1"/>
          <c:tx>
            <c:strRef>
              <c:f>Visuals!$H$142</c:f>
              <c:strCache>
                <c:ptCount val="1"/>
                <c:pt idx="0">
                  <c:v>Q2</c:v>
                </c:pt>
              </c:strCache>
            </c:strRef>
          </c:tx>
          <c:spPr>
            <a:solidFill>
              <a:srgbClr val="E97132"/>
            </a:solidFill>
            <a:ln>
              <a:noFill/>
            </a:ln>
            <a:effectLst/>
          </c:spPr>
          <c:invertIfNegative val="0"/>
          <c:cat>
            <c:strRef>
              <c:f>Visuals!$I$140:$L$140</c:f>
              <c:strCache>
                <c:ptCount val="4"/>
                <c:pt idx="0">
                  <c:v>KR9.1</c:v>
                </c:pt>
                <c:pt idx="1">
                  <c:v>KR9.2</c:v>
                </c:pt>
                <c:pt idx="2">
                  <c:v>KR9.3</c:v>
                </c:pt>
                <c:pt idx="3">
                  <c:v>KR9.4</c:v>
                </c:pt>
              </c:strCache>
            </c:strRef>
          </c:cat>
          <c:val>
            <c:numRef>
              <c:f>Visuals!$I$142:$L$142</c:f>
              <c:numCache>
                <c:formatCode>General</c:formatCode>
                <c:ptCount val="4"/>
                <c:pt idx="0">
                  <c:v>1</c:v>
                </c:pt>
                <c:pt idx="1">
                  <c:v>1</c:v>
                </c:pt>
                <c:pt idx="2">
                  <c:v>1</c:v>
                </c:pt>
                <c:pt idx="3">
                  <c:v>0</c:v>
                </c:pt>
              </c:numCache>
            </c:numRef>
          </c:val>
          <c:extLst>
            <c:ext xmlns:c16="http://schemas.microsoft.com/office/drawing/2014/chart" uri="{C3380CC4-5D6E-409C-BE32-E72D297353CC}">
              <c16:uniqueId val="{00000001-58C6-4AD1-A05F-1BC80C1881F5}"/>
            </c:ext>
          </c:extLst>
        </c:ser>
        <c:ser>
          <c:idx val="2"/>
          <c:order val="2"/>
          <c:tx>
            <c:strRef>
              <c:f>Visuals!$H$143</c:f>
              <c:strCache>
                <c:ptCount val="1"/>
                <c:pt idx="0">
                  <c:v>Q3</c:v>
                </c:pt>
              </c:strCache>
            </c:strRef>
          </c:tx>
          <c:spPr>
            <a:solidFill>
              <a:srgbClr val="2A8451"/>
            </a:solidFill>
            <a:ln>
              <a:noFill/>
            </a:ln>
            <a:effectLst/>
          </c:spPr>
          <c:invertIfNegative val="0"/>
          <c:cat>
            <c:strRef>
              <c:f>Visuals!$I$140:$L$140</c:f>
              <c:strCache>
                <c:ptCount val="4"/>
                <c:pt idx="0">
                  <c:v>KR9.1</c:v>
                </c:pt>
                <c:pt idx="1">
                  <c:v>KR9.2</c:v>
                </c:pt>
                <c:pt idx="2">
                  <c:v>KR9.3</c:v>
                </c:pt>
                <c:pt idx="3">
                  <c:v>KR9.4</c:v>
                </c:pt>
              </c:strCache>
            </c:strRef>
          </c:cat>
          <c:val>
            <c:numRef>
              <c:f>Visuals!$I$143:$L$143</c:f>
              <c:numCache>
                <c:formatCode>General</c:formatCode>
                <c:ptCount val="4"/>
              </c:numCache>
            </c:numRef>
          </c:val>
          <c:extLst>
            <c:ext xmlns:c16="http://schemas.microsoft.com/office/drawing/2014/chart" uri="{C3380CC4-5D6E-409C-BE32-E72D297353CC}">
              <c16:uniqueId val="{00000002-58C6-4AD1-A05F-1BC80C1881F5}"/>
            </c:ext>
          </c:extLst>
        </c:ser>
        <c:ser>
          <c:idx val="3"/>
          <c:order val="3"/>
          <c:tx>
            <c:strRef>
              <c:f>Visuals!$H$144</c:f>
              <c:strCache>
                <c:ptCount val="1"/>
                <c:pt idx="0">
                  <c:v>Q4</c:v>
                </c:pt>
              </c:strCache>
            </c:strRef>
          </c:tx>
          <c:spPr>
            <a:solidFill>
              <a:srgbClr val="A22895"/>
            </a:solidFill>
            <a:ln>
              <a:noFill/>
            </a:ln>
            <a:effectLst/>
          </c:spPr>
          <c:invertIfNegative val="0"/>
          <c:cat>
            <c:strRef>
              <c:f>Visuals!$I$140:$L$140</c:f>
              <c:strCache>
                <c:ptCount val="4"/>
                <c:pt idx="0">
                  <c:v>KR9.1</c:v>
                </c:pt>
                <c:pt idx="1">
                  <c:v>KR9.2</c:v>
                </c:pt>
                <c:pt idx="2">
                  <c:v>KR9.3</c:v>
                </c:pt>
                <c:pt idx="3">
                  <c:v>KR9.4</c:v>
                </c:pt>
              </c:strCache>
            </c:strRef>
          </c:cat>
          <c:val>
            <c:numRef>
              <c:f>Visuals!$I$144:$L$144</c:f>
              <c:numCache>
                <c:formatCode>General</c:formatCode>
                <c:ptCount val="4"/>
              </c:numCache>
            </c:numRef>
          </c:val>
          <c:extLst>
            <c:ext xmlns:c16="http://schemas.microsoft.com/office/drawing/2014/chart" uri="{C3380CC4-5D6E-409C-BE32-E72D297353CC}">
              <c16:uniqueId val="{00000003-58C6-4AD1-A05F-1BC80C1881F5}"/>
            </c:ext>
          </c:extLst>
        </c:ser>
        <c:dLbls>
          <c:showLegendKey val="0"/>
          <c:showVal val="0"/>
          <c:showCatName val="0"/>
          <c:showSerName val="0"/>
          <c:showPercent val="0"/>
          <c:showBubbleSize val="0"/>
        </c:dLbls>
        <c:gapWidth val="150"/>
        <c:axId val="304305440"/>
        <c:axId val="304303520"/>
      </c:barChart>
      <c:lineChart>
        <c:grouping val="standard"/>
        <c:varyColors val="0"/>
        <c:ser>
          <c:idx val="4"/>
          <c:order val="4"/>
          <c:tx>
            <c:strRef>
              <c:f>Visuals!$H$145</c:f>
              <c:strCache>
                <c:ptCount val="1"/>
                <c:pt idx="0">
                  <c:v>Delivering </c:v>
                </c:pt>
              </c:strCache>
            </c:strRef>
          </c:tx>
          <c:spPr>
            <a:ln w="19050" cap="rnd">
              <a:solidFill>
                <a:schemeClr val="tx1"/>
              </a:solidFill>
              <a:round/>
            </a:ln>
            <a:effectLst/>
          </c:spPr>
          <c:marker>
            <c:symbol val="none"/>
          </c:marker>
          <c:dLbls>
            <c:dLbl>
              <c:idx val="3"/>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C6-4AD1-A05F-1BC80C1881F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Visuals!$I$140:$L$140</c:f>
              <c:strCache>
                <c:ptCount val="4"/>
                <c:pt idx="0">
                  <c:v>KR9.1</c:v>
                </c:pt>
                <c:pt idx="1">
                  <c:v>KR9.2</c:v>
                </c:pt>
                <c:pt idx="2">
                  <c:v>KR9.3</c:v>
                </c:pt>
                <c:pt idx="3">
                  <c:v>KR9.4</c:v>
                </c:pt>
              </c:strCache>
            </c:strRef>
          </c:cat>
          <c:val>
            <c:numRef>
              <c:f>Visuals!$I$145:$L$145</c:f>
              <c:numCache>
                <c:formatCode>General</c:formatCode>
                <c:ptCount val="4"/>
                <c:pt idx="0">
                  <c:v>0.7</c:v>
                </c:pt>
                <c:pt idx="1">
                  <c:v>0.7</c:v>
                </c:pt>
                <c:pt idx="2">
                  <c:v>0.7</c:v>
                </c:pt>
                <c:pt idx="3">
                  <c:v>0.7</c:v>
                </c:pt>
              </c:numCache>
            </c:numRef>
          </c:val>
          <c:smooth val="0"/>
          <c:extLst>
            <c:ext xmlns:c16="http://schemas.microsoft.com/office/drawing/2014/chart" uri="{C3380CC4-5D6E-409C-BE32-E72D297353CC}">
              <c16:uniqueId val="{00000005-58C6-4AD1-A05F-1BC80C1881F5}"/>
            </c:ext>
          </c:extLst>
        </c:ser>
        <c:ser>
          <c:idx val="5"/>
          <c:order val="5"/>
          <c:tx>
            <c:strRef>
              <c:f>Visuals!$H$146</c:f>
              <c:strCache>
                <c:ptCount val="1"/>
                <c:pt idx="0">
                  <c:v>Measurable progress</c:v>
                </c:pt>
              </c:strCache>
            </c:strRef>
          </c:tx>
          <c:spPr>
            <a:ln w="25400" cap="rnd">
              <a:solidFill>
                <a:schemeClr val="tx1"/>
              </a:solidFill>
              <a:prstDash val="sysDot"/>
              <a:round/>
            </a:ln>
            <a:effectLst/>
          </c:spPr>
          <c:marker>
            <c:symbol val="none"/>
          </c:marker>
          <c:dLbls>
            <c:dLbl>
              <c:idx val="3"/>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C6-4AD1-A05F-1BC80C1881F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Visuals!$I$140:$L$140</c:f>
              <c:strCache>
                <c:ptCount val="4"/>
                <c:pt idx="0">
                  <c:v>KR9.1</c:v>
                </c:pt>
                <c:pt idx="1">
                  <c:v>KR9.2</c:v>
                </c:pt>
                <c:pt idx="2">
                  <c:v>KR9.3</c:v>
                </c:pt>
                <c:pt idx="3">
                  <c:v>KR9.4</c:v>
                </c:pt>
              </c:strCache>
            </c:strRef>
          </c:cat>
          <c:val>
            <c:numRef>
              <c:f>Visuals!$I$146:$L$146</c:f>
              <c:numCache>
                <c:formatCode>General</c:formatCode>
                <c:ptCount val="4"/>
                <c:pt idx="0">
                  <c:v>0.3</c:v>
                </c:pt>
                <c:pt idx="1">
                  <c:v>0.3</c:v>
                </c:pt>
                <c:pt idx="2">
                  <c:v>0.3</c:v>
                </c:pt>
                <c:pt idx="3">
                  <c:v>0.3</c:v>
                </c:pt>
              </c:numCache>
            </c:numRef>
          </c:val>
          <c:smooth val="0"/>
          <c:extLst>
            <c:ext xmlns:c16="http://schemas.microsoft.com/office/drawing/2014/chart" uri="{C3380CC4-5D6E-409C-BE32-E72D297353CC}">
              <c16:uniqueId val="{00000007-58C6-4AD1-A05F-1BC80C1881F5}"/>
            </c:ext>
          </c:extLst>
        </c:ser>
        <c:dLbls>
          <c:showLegendKey val="0"/>
          <c:showVal val="0"/>
          <c:showCatName val="0"/>
          <c:showSerName val="0"/>
          <c:showPercent val="0"/>
          <c:showBubbleSize val="0"/>
        </c:dLbls>
        <c:marker val="1"/>
        <c:smooth val="0"/>
        <c:axId val="425930000"/>
        <c:axId val="425922800"/>
      </c:lineChart>
      <c:catAx>
        <c:axId val="30430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4303520"/>
        <c:crosses val="autoZero"/>
        <c:auto val="1"/>
        <c:lblAlgn val="ctr"/>
        <c:lblOffset val="100"/>
        <c:noMultiLvlLbl val="0"/>
      </c:catAx>
      <c:valAx>
        <c:axId val="30430352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sz="1200" b="0" i="0" u="none" strike="noStrike" kern="1200" baseline="0">
                    <a:solidFill>
                      <a:schemeClr val="bg1">
                        <a:lumMod val="50000"/>
                      </a:schemeClr>
                    </a:solidFill>
                    <a:latin typeface="Arial" panose="020B0604020202020204" pitchFamily="34" charset="0"/>
                    <a:cs typeface="Arial" panose="020B0604020202020204" pitchFamily="34" charset="0"/>
                  </a:rPr>
                  <a:t>Key result score</a:t>
                </a:r>
                <a:endParaRPr lang="en-GB" sz="1200" b="0" i="0" u="none" strike="noStrike" kern="1200" baseline="0">
                  <a:solidFill>
                    <a:schemeClr val="bg1">
                      <a:lumMod val="50000"/>
                    </a:schemeClr>
                  </a:solidFill>
                  <a:latin typeface="Arial" panose="020B0604020202020204" pitchFamily="34" charset="0"/>
                  <a:cs typeface="Arial" panose="020B0604020202020204" pitchFamily="34" charset="0"/>
                </a:endParaRPr>
              </a:p>
            </c:rich>
          </c:tx>
          <c:layout>
            <c:manualLayout>
              <c:xMode val="edge"/>
              <c:yMode val="edge"/>
              <c:x val="2.5406064900786559E-2"/>
              <c:y val="0.21548708806174263"/>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4305440"/>
        <c:crosses val="autoZero"/>
        <c:crossBetween val="between"/>
        <c:majorUnit val="0.2"/>
      </c:valAx>
      <c:valAx>
        <c:axId val="425922800"/>
        <c:scaling>
          <c:orientation val="minMax"/>
        </c:scaling>
        <c:delete val="1"/>
        <c:axPos val="r"/>
        <c:numFmt formatCode="General" sourceLinked="1"/>
        <c:majorTickMark val="out"/>
        <c:minorTickMark val="none"/>
        <c:tickLblPos val="nextTo"/>
        <c:crossAx val="425930000"/>
        <c:crosses val="max"/>
        <c:crossBetween val="between"/>
      </c:valAx>
      <c:catAx>
        <c:axId val="425930000"/>
        <c:scaling>
          <c:orientation val="minMax"/>
        </c:scaling>
        <c:delete val="1"/>
        <c:axPos val="b"/>
        <c:numFmt formatCode="General" sourceLinked="1"/>
        <c:majorTickMark val="out"/>
        <c:minorTickMark val="none"/>
        <c:tickLblPos val="nextTo"/>
        <c:crossAx val="42592280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2640544714926"/>
          <c:y val="5.295199895986763E-2"/>
          <c:w val="0.86604773615475927"/>
          <c:h val="0.70986504994950728"/>
        </c:manualLayout>
      </c:layout>
      <c:barChart>
        <c:barDir val="col"/>
        <c:grouping val="clustered"/>
        <c:varyColors val="0"/>
        <c:ser>
          <c:idx val="0"/>
          <c:order val="0"/>
          <c:tx>
            <c:strRef>
              <c:f>Visuals!$A$164</c:f>
              <c:strCache>
                <c:ptCount val="1"/>
                <c:pt idx="0">
                  <c:v>Q1</c:v>
                </c:pt>
              </c:strCache>
            </c:strRef>
          </c:tx>
          <c:spPr>
            <a:solidFill>
              <a:srgbClr val="156082"/>
            </a:solidFill>
            <a:ln>
              <a:noFill/>
            </a:ln>
            <a:effectLst/>
          </c:spPr>
          <c:invertIfNegative val="0"/>
          <c:cat>
            <c:strRef>
              <c:f>Visuals!$B$163:$D$163</c:f>
              <c:strCache>
                <c:ptCount val="3"/>
                <c:pt idx="0">
                  <c:v>KR10.1</c:v>
                </c:pt>
                <c:pt idx="1">
                  <c:v>KR10.2</c:v>
                </c:pt>
                <c:pt idx="2">
                  <c:v>KR10.3</c:v>
                </c:pt>
              </c:strCache>
            </c:strRef>
          </c:cat>
          <c:val>
            <c:numRef>
              <c:f>Visuals!$B$164:$D$164</c:f>
              <c:numCache>
                <c:formatCode>General</c:formatCode>
                <c:ptCount val="3"/>
                <c:pt idx="0">
                  <c:v>0</c:v>
                </c:pt>
                <c:pt idx="1">
                  <c:v>0</c:v>
                </c:pt>
                <c:pt idx="2">
                  <c:v>0</c:v>
                </c:pt>
              </c:numCache>
            </c:numRef>
          </c:val>
          <c:extLst>
            <c:ext xmlns:c16="http://schemas.microsoft.com/office/drawing/2014/chart" uri="{C3380CC4-5D6E-409C-BE32-E72D297353CC}">
              <c16:uniqueId val="{00000000-126C-437C-985A-1ADD7F544956}"/>
            </c:ext>
          </c:extLst>
        </c:ser>
        <c:ser>
          <c:idx val="1"/>
          <c:order val="1"/>
          <c:tx>
            <c:strRef>
              <c:f>Visuals!$A$165</c:f>
              <c:strCache>
                <c:ptCount val="1"/>
                <c:pt idx="0">
                  <c:v>Q2</c:v>
                </c:pt>
              </c:strCache>
            </c:strRef>
          </c:tx>
          <c:spPr>
            <a:solidFill>
              <a:srgbClr val="E97132"/>
            </a:solidFill>
            <a:ln>
              <a:noFill/>
            </a:ln>
            <a:effectLst/>
          </c:spPr>
          <c:invertIfNegative val="0"/>
          <c:cat>
            <c:strRef>
              <c:f>Visuals!$B$163:$D$163</c:f>
              <c:strCache>
                <c:ptCount val="3"/>
                <c:pt idx="0">
                  <c:v>KR10.1</c:v>
                </c:pt>
                <c:pt idx="1">
                  <c:v>KR10.2</c:v>
                </c:pt>
                <c:pt idx="2">
                  <c:v>KR10.3</c:v>
                </c:pt>
              </c:strCache>
            </c:strRef>
          </c:cat>
          <c:val>
            <c:numRef>
              <c:f>Visuals!$B$165:$D$165</c:f>
              <c:numCache>
                <c:formatCode>General</c:formatCode>
                <c:ptCount val="3"/>
                <c:pt idx="0">
                  <c:v>0</c:v>
                </c:pt>
                <c:pt idx="1">
                  <c:v>0</c:v>
                </c:pt>
                <c:pt idx="2">
                  <c:v>0</c:v>
                </c:pt>
              </c:numCache>
            </c:numRef>
          </c:val>
          <c:extLst>
            <c:ext xmlns:c16="http://schemas.microsoft.com/office/drawing/2014/chart" uri="{C3380CC4-5D6E-409C-BE32-E72D297353CC}">
              <c16:uniqueId val="{00000001-126C-437C-985A-1ADD7F544956}"/>
            </c:ext>
          </c:extLst>
        </c:ser>
        <c:ser>
          <c:idx val="2"/>
          <c:order val="2"/>
          <c:tx>
            <c:strRef>
              <c:f>Visuals!$A$166</c:f>
              <c:strCache>
                <c:ptCount val="1"/>
                <c:pt idx="0">
                  <c:v>Q3</c:v>
                </c:pt>
              </c:strCache>
            </c:strRef>
          </c:tx>
          <c:spPr>
            <a:solidFill>
              <a:srgbClr val="2A8451"/>
            </a:solidFill>
            <a:ln>
              <a:noFill/>
            </a:ln>
            <a:effectLst/>
          </c:spPr>
          <c:invertIfNegative val="0"/>
          <c:cat>
            <c:strRef>
              <c:f>Visuals!$B$163:$D$163</c:f>
              <c:strCache>
                <c:ptCount val="3"/>
                <c:pt idx="0">
                  <c:v>KR10.1</c:v>
                </c:pt>
                <c:pt idx="1">
                  <c:v>KR10.2</c:v>
                </c:pt>
                <c:pt idx="2">
                  <c:v>KR10.3</c:v>
                </c:pt>
              </c:strCache>
            </c:strRef>
          </c:cat>
          <c:val>
            <c:numRef>
              <c:f>Visuals!$B$166:$D$166</c:f>
              <c:numCache>
                <c:formatCode>General</c:formatCode>
                <c:ptCount val="3"/>
              </c:numCache>
            </c:numRef>
          </c:val>
          <c:extLst>
            <c:ext xmlns:c16="http://schemas.microsoft.com/office/drawing/2014/chart" uri="{C3380CC4-5D6E-409C-BE32-E72D297353CC}">
              <c16:uniqueId val="{00000002-126C-437C-985A-1ADD7F544956}"/>
            </c:ext>
          </c:extLst>
        </c:ser>
        <c:ser>
          <c:idx val="3"/>
          <c:order val="3"/>
          <c:tx>
            <c:strRef>
              <c:f>Visuals!$A$167</c:f>
              <c:strCache>
                <c:ptCount val="1"/>
                <c:pt idx="0">
                  <c:v>Q4</c:v>
                </c:pt>
              </c:strCache>
            </c:strRef>
          </c:tx>
          <c:spPr>
            <a:solidFill>
              <a:srgbClr val="A22895"/>
            </a:solidFill>
            <a:ln>
              <a:noFill/>
            </a:ln>
            <a:effectLst/>
          </c:spPr>
          <c:invertIfNegative val="0"/>
          <c:cat>
            <c:strRef>
              <c:f>Visuals!$B$163:$D$163</c:f>
              <c:strCache>
                <c:ptCount val="3"/>
                <c:pt idx="0">
                  <c:v>KR10.1</c:v>
                </c:pt>
                <c:pt idx="1">
                  <c:v>KR10.2</c:v>
                </c:pt>
                <c:pt idx="2">
                  <c:v>KR10.3</c:v>
                </c:pt>
              </c:strCache>
            </c:strRef>
          </c:cat>
          <c:val>
            <c:numRef>
              <c:f>Visuals!$B$167:$D$167</c:f>
              <c:numCache>
                <c:formatCode>General</c:formatCode>
                <c:ptCount val="3"/>
              </c:numCache>
            </c:numRef>
          </c:val>
          <c:extLst>
            <c:ext xmlns:c16="http://schemas.microsoft.com/office/drawing/2014/chart" uri="{C3380CC4-5D6E-409C-BE32-E72D297353CC}">
              <c16:uniqueId val="{00000003-126C-437C-985A-1ADD7F544956}"/>
            </c:ext>
          </c:extLst>
        </c:ser>
        <c:dLbls>
          <c:showLegendKey val="0"/>
          <c:showVal val="0"/>
          <c:showCatName val="0"/>
          <c:showSerName val="0"/>
          <c:showPercent val="0"/>
          <c:showBubbleSize val="0"/>
        </c:dLbls>
        <c:gapWidth val="150"/>
        <c:axId val="424170816"/>
        <c:axId val="424177536"/>
      </c:barChart>
      <c:lineChart>
        <c:grouping val="standard"/>
        <c:varyColors val="0"/>
        <c:ser>
          <c:idx val="4"/>
          <c:order val="4"/>
          <c:tx>
            <c:strRef>
              <c:f>Visuals!$A$168</c:f>
              <c:strCache>
                <c:ptCount val="1"/>
                <c:pt idx="0">
                  <c:v>Delivering </c:v>
                </c:pt>
              </c:strCache>
            </c:strRef>
          </c:tx>
          <c:spPr>
            <a:ln w="19050" cap="rnd">
              <a:solidFill>
                <a:schemeClr val="tx1"/>
              </a:solidFill>
              <a:round/>
            </a:ln>
            <a:effectLst/>
          </c:spPr>
          <c:marker>
            <c:symbol val="none"/>
          </c:marker>
          <c:cat>
            <c:strRef>
              <c:f>Visuals!$B$163:$D$163</c:f>
              <c:strCache>
                <c:ptCount val="3"/>
                <c:pt idx="0">
                  <c:v>KR10.1</c:v>
                </c:pt>
                <c:pt idx="1">
                  <c:v>KR10.2</c:v>
                </c:pt>
                <c:pt idx="2">
                  <c:v>KR10.3</c:v>
                </c:pt>
              </c:strCache>
            </c:strRef>
          </c:cat>
          <c:val>
            <c:numRef>
              <c:f>Visuals!$B$168:$D$168</c:f>
              <c:numCache>
                <c:formatCode>General</c:formatCode>
                <c:ptCount val="3"/>
                <c:pt idx="0">
                  <c:v>0.7</c:v>
                </c:pt>
                <c:pt idx="1">
                  <c:v>0.7</c:v>
                </c:pt>
                <c:pt idx="2">
                  <c:v>0.7</c:v>
                </c:pt>
              </c:numCache>
            </c:numRef>
          </c:val>
          <c:smooth val="0"/>
          <c:extLst>
            <c:ext xmlns:c16="http://schemas.microsoft.com/office/drawing/2014/chart" uri="{C3380CC4-5D6E-409C-BE32-E72D297353CC}">
              <c16:uniqueId val="{00000004-126C-437C-985A-1ADD7F544956}"/>
            </c:ext>
          </c:extLst>
        </c:ser>
        <c:ser>
          <c:idx val="5"/>
          <c:order val="5"/>
          <c:tx>
            <c:strRef>
              <c:f>Visuals!$A$169</c:f>
              <c:strCache>
                <c:ptCount val="1"/>
                <c:pt idx="0">
                  <c:v>Measurable progress</c:v>
                </c:pt>
              </c:strCache>
            </c:strRef>
          </c:tx>
          <c:spPr>
            <a:ln w="25400" cap="rnd">
              <a:solidFill>
                <a:schemeClr val="tx1"/>
              </a:solidFill>
              <a:prstDash val="sysDot"/>
              <a:round/>
            </a:ln>
            <a:effectLst/>
          </c:spPr>
          <c:marker>
            <c:symbol val="none"/>
          </c:marker>
          <c:cat>
            <c:strRef>
              <c:f>Visuals!$B$163:$D$163</c:f>
              <c:strCache>
                <c:ptCount val="3"/>
                <c:pt idx="0">
                  <c:v>KR10.1</c:v>
                </c:pt>
                <c:pt idx="1">
                  <c:v>KR10.2</c:v>
                </c:pt>
                <c:pt idx="2">
                  <c:v>KR10.3</c:v>
                </c:pt>
              </c:strCache>
            </c:strRef>
          </c:cat>
          <c:val>
            <c:numRef>
              <c:f>Visuals!$B$169:$D$169</c:f>
              <c:numCache>
                <c:formatCode>General</c:formatCode>
                <c:ptCount val="3"/>
                <c:pt idx="0">
                  <c:v>0.3</c:v>
                </c:pt>
                <c:pt idx="1">
                  <c:v>0.3</c:v>
                </c:pt>
                <c:pt idx="2">
                  <c:v>0.3</c:v>
                </c:pt>
              </c:numCache>
            </c:numRef>
          </c:val>
          <c:smooth val="0"/>
          <c:extLst>
            <c:ext xmlns:c16="http://schemas.microsoft.com/office/drawing/2014/chart" uri="{C3380CC4-5D6E-409C-BE32-E72D297353CC}">
              <c16:uniqueId val="{00000005-126C-437C-985A-1ADD7F544956}"/>
            </c:ext>
          </c:extLst>
        </c:ser>
        <c:dLbls>
          <c:showLegendKey val="0"/>
          <c:showVal val="0"/>
          <c:showCatName val="0"/>
          <c:showSerName val="0"/>
          <c:showPercent val="0"/>
          <c:showBubbleSize val="0"/>
        </c:dLbls>
        <c:marker val="1"/>
        <c:smooth val="0"/>
        <c:axId val="413867344"/>
        <c:axId val="413863504"/>
      </c:lineChart>
      <c:catAx>
        <c:axId val="42417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4177536"/>
        <c:crosses val="autoZero"/>
        <c:auto val="1"/>
        <c:lblAlgn val="ctr"/>
        <c:lblOffset val="100"/>
        <c:noMultiLvlLbl val="0"/>
      </c:catAx>
      <c:valAx>
        <c:axId val="42417753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sz="1200" b="0" i="0" u="none" strike="noStrike" kern="1200" baseline="0">
                    <a:solidFill>
                      <a:schemeClr val="bg1">
                        <a:lumMod val="50000"/>
                      </a:schemeClr>
                    </a:solidFill>
                    <a:latin typeface="Arial" panose="020B0604020202020204" pitchFamily="34" charset="0"/>
                    <a:cs typeface="Arial" panose="020B0604020202020204" pitchFamily="34" charset="0"/>
                  </a:rPr>
                  <a:t>Key result score</a:t>
                </a:r>
              </a:p>
            </c:rich>
          </c:tx>
          <c:layout>
            <c:manualLayout>
              <c:xMode val="edge"/>
              <c:yMode val="edge"/>
              <c:x val="4.5399919882494325E-2"/>
              <c:y val="0.2268393333891395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4170816"/>
        <c:crosses val="autoZero"/>
        <c:crossBetween val="between"/>
        <c:majorUnit val="0.2"/>
      </c:valAx>
      <c:valAx>
        <c:axId val="413863504"/>
        <c:scaling>
          <c:orientation val="minMax"/>
        </c:scaling>
        <c:delete val="1"/>
        <c:axPos val="r"/>
        <c:numFmt formatCode="General" sourceLinked="1"/>
        <c:majorTickMark val="out"/>
        <c:minorTickMark val="none"/>
        <c:tickLblPos val="nextTo"/>
        <c:crossAx val="413867344"/>
        <c:crosses val="max"/>
        <c:crossBetween val="between"/>
      </c:valAx>
      <c:catAx>
        <c:axId val="413867344"/>
        <c:scaling>
          <c:orientation val="minMax"/>
        </c:scaling>
        <c:delete val="1"/>
        <c:axPos val="b"/>
        <c:numFmt formatCode="General" sourceLinked="1"/>
        <c:majorTickMark val="out"/>
        <c:minorTickMark val="none"/>
        <c:tickLblPos val="nextTo"/>
        <c:crossAx val="4138635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4562590920831"/>
          <c:y val="5.0257790339539463E-2"/>
          <c:w val="0.87833656577934816"/>
          <c:h val="0.72462717600402993"/>
        </c:manualLayout>
      </c:layout>
      <c:barChart>
        <c:barDir val="col"/>
        <c:grouping val="clustered"/>
        <c:varyColors val="0"/>
        <c:ser>
          <c:idx val="0"/>
          <c:order val="0"/>
          <c:tx>
            <c:strRef>
              <c:f>Visuals!$H$164</c:f>
              <c:strCache>
                <c:ptCount val="1"/>
                <c:pt idx="0">
                  <c:v>Q1</c:v>
                </c:pt>
              </c:strCache>
            </c:strRef>
          </c:tx>
          <c:spPr>
            <a:solidFill>
              <a:srgbClr val="156082"/>
            </a:solidFill>
            <a:ln>
              <a:noFill/>
            </a:ln>
            <a:effectLst/>
          </c:spPr>
          <c:invertIfNegative val="0"/>
          <c:cat>
            <c:strRef>
              <c:f>Visuals!$I$163:$L$163</c:f>
              <c:strCache>
                <c:ptCount val="4"/>
                <c:pt idx="0">
                  <c:v>KR11.1</c:v>
                </c:pt>
                <c:pt idx="1">
                  <c:v>KR11.2</c:v>
                </c:pt>
                <c:pt idx="2">
                  <c:v>KR11.3</c:v>
                </c:pt>
                <c:pt idx="3">
                  <c:v>KR11.4</c:v>
                </c:pt>
              </c:strCache>
            </c:strRef>
          </c:cat>
          <c:val>
            <c:numRef>
              <c:f>Visuals!$I$164:$L$164</c:f>
              <c:numCache>
                <c:formatCode>General</c:formatCode>
                <c:ptCount val="4"/>
                <c:pt idx="0">
                  <c:v>1</c:v>
                </c:pt>
                <c:pt idx="1">
                  <c:v>0</c:v>
                </c:pt>
                <c:pt idx="2">
                  <c:v>0</c:v>
                </c:pt>
                <c:pt idx="3">
                  <c:v>0.74</c:v>
                </c:pt>
              </c:numCache>
            </c:numRef>
          </c:val>
          <c:extLst>
            <c:ext xmlns:c16="http://schemas.microsoft.com/office/drawing/2014/chart" uri="{C3380CC4-5D6E-409C-BE32-E72D297353CC}">
              <c16:uniqueId val="{00000000-611D-4B71-9250-87A13D3C8797}"/>
            </c:ext>
          </c:extLst>
        </c:ser>
        <c:ser>
          <c:idx val="1"/>
          <c:order val="1"/>
          <c:tx>
            <c:strRef>
              <c:f>Visuals!$H$165</c:f>
              <c:strCache>
                <c:ptCount val="1"/>
                <c:pt idx="0">
                  <c:v>Q2</c:v>
                </c:pt>
              </c:strCache>
            </c:strRef>
          </c:tx>
          <c:spPr>
            <a:solidFill>
              <a:srgbClr val="E97132"/>
            </a:solidFill>
            <a:ln>
              <a:noFill/>
            </a:ln>
            <a:effectLst/>
          </c:spPr>
          <c:invertIfNegative val="0"/>
          <c:cat>
            <c:strRef>
              <c:f>Visuals!$I$163:$L$163</c:f>
              <c:strCache>
                <c:ptCount val="4"/>
                <c:pt idx="0">
                  <c:v>KR11.1</c:v>
                </c:pt>
                <c:pt idx="1">
                  <c:v>KR11.2</c:v>
                </c:pt>
                <c:pt idx="2">
                  <c:v>KR11.3</c:v>
                </c:pt>
                <c:pt idx="3">
                  <c:v>KR11.4</c:v>
                </c:pt>
              </c:strCache>
            </c:strRef>
          </c:cat>
          <c:val>
            <c:numRef>
              <c:f>Visuals!$I$165:$L$165</c:f>
              <c:numCache>
                <c:formatCode>General</c:formatCode>
                <c:ptCount val="4"/>
                <c:pt idx="0">
                  <c:v>1</c:v>
                </c:pt>
                <c:pt idx="1">
                  <c:v>0</c:v>
                </c:pt>
                <c:pt idx="2">
                  <c:v>0</c:v>
                </c:pt>
                <c:pt idx="3">
                  <c:v>1</c:v>
                </c:pt>
              </c:numCache>
            </c:numRef>
          </c:val>
          <c:extLst>
            <c:ext xmlns:c16="http://schemas.microsoft.com/office/drawing/2014/chart" uri="{C3380CC4-5D6E-409C-BE32-E72D297353CC}">
              <c16:uniqueId val="{00000001-611D-4B71-9250-87A13D3C8797}"/>
            </c:ext>
          </c:extLst>
        </c:ser>
        <c:ser>
          <c:idx val="2"/>
          <c:order val="2"/>
          <c:tx>
            <c:strRef>
              <c:f>Visuals!$H$166</c:f>
              <c:strCache>
                <c:ptCount val="1"/>
                <c:pt idx="0">
                  <c:v>Q3</c:v>
                </c:pt>
              </c:strCache>
            </c:strRef>
          </c:tx>
          <c:spPr>
            <a:solidFill>
              <a:srgbClr val="2A8451"/>
            </a:solidFill>
            <a:ln>
              <a:noFill/>
            </a:ln>
            <a:effectLst/>
          </c:spPr>
          <c:invertIfNegative val="0"/>
          <c:cat>
            <c:strRef>
              <c:f>Visuals!$I$163:$L$163</c:f>
              <c:strCache>
                <c:ptCount val="4"/>
                <c:pt idx="0">
                  <c:v>KR11.1</c:v>
                </c:pt>
                <c:pt idx="1">
                  <c:v>KR11.2</c:v>
                </c:pt>
                <c:pt idx="2">
                  <c:v>KR11.3</c:v>
                </c:pt>
                <c:pt idx="3">
                  <c:v>KR11.4</c:v>
                </c:pt>
              </c:strCache>
            </c:strRef>
          </c:cat>
          <c:val>
            <c:numRef>
              <c:f>Visuals!$I$166:$L$166</c:f>
              <c:numCache>
                <c:formatCode>General</c:formatCode>
                <c:ptCount val="4"/>
              </c:numCache>
            </c:numRef>
          </c:val>
          <c:extLst>
            <c:ext xmlns:c16="http://schemas.microsoft.com/office/drawing/2014/chart" uri="{C3380CC4-5D6E-409C-BE32-E72D297353CC}">
              <c16:uniqueId val="{00000002-611D-4B71-9250-87A13D3C8797}"/>
            </c:ext>
          </c:extLst>
        </c:ser>
        <c:ser>
          <c:idx val="3"/>
          <c:order val="3"/>
          <c:tx>
            <c:strRef>
              <c:f>Visuals!$H$167</c:f>
              <c:strCache>
                <c:ptCount val="1"/>
                <c:pt idx="0">
                  <c:v>Q4</c:v>
                </c:pt>
              </c:strCache>
            </c:strRef>
          </c:tx>
          <c:spPr>
            <a:solidFill>
              <a:srgbClr val="A22895"/>
            </a:solidFill>
            <a:ln>
              <a:noFill/>
            </a:ln>
            <a:effectLst/>
          </c:spPr>
          <c:invertIfNegative val="0"/>
          <c:cat>
            <c:strRef>
              <c:f>Visuals!$I$163:$L$163</c:f>
              <c:strCache>
                <c:ptCount val="4"/>
                <c:pt idx="0">
                  <c:v>KR11.1</c:v>
                </c:pt>
                <c:pt idx="1">
                  <c:v>KR11.2</c:v>
                </c:pt>
                <c:pt idx="2">
                  <c:v>KR11.3</c:v>
                </c:pt>
                <c:pt idx="3">
                  <c:v>KR11.4</c:v>
                </c:pt>
              </c:strCache>
            </c:strRef>
          </c:cat>
          <c:val>
            <c:numRef>
              <c:f>Visuals!$I$167:$L$167</c:f>
              <c:numCache>
                <c:formatCode>General</c:formatCode>
                <c:ptCount val="4"/>
              </c:numCache>
            </c:numRef>
          </c:val>
          <c:extLst>
            <c:ext xmlns:c16="http://schemas.microsoft.com/office/drawing/2014/chart" uri="{C3380CC4-5D6E-409C-BE32-E72D297353CC}">
              <c16:uniqueId val="{00000003-611D-4B71-9250-87A13D3C8797}"/>
            </c:ext>
          </c:extLst>
        </c:ser>
        <c:dLbls>
          <c:showLegendKey val="0"/>
          <c:showVal val="0"/>
          <c:showCatName val="0"/>
          <c:showSerName val="0"/>
          <c:showPercent val="0"/>
          <c:showBubbleSize val="0"/>
        </c:dLbls>
        <c:gapWidth val="150"/>
        <c:axId val="68564576"/>
        <c:axId val="68558336"/>
      </c:barChart>
      <c:lineChart>
        <c:grouping val="standard"/>
        <c:varyColors val="0"/>
        <c:ser>
          <c:idx val="4"/>
          <c:order val="4"/>
          <c:tx>
            <c:strRef>
              <c:f>Visuals!$H$168</c:f>
              <c:strCache>
                <c:ptCount val="1"/>
                <c:pt idx="0">
                  <c:v>Delivering </c:v>
                </c:pt>
              </c:strCache>
            </c:strRef>
          </c:tx>
          <c:spPr>
            <a:ln w="19050" cap="rnd">
              <a:solidFill>
                <a:schemeClr val="tx1"/>
              </a:solidFill>
              <a:round/>
            </a:ln>
            <a:effectLst/>
          </c:spPr>
          <c:marker>
            <c:symbol val="none"/>
          </c:marker>
          <c:dLbls>
            <c:dLbl>
              <c:idx val="3"/>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1D-4B71-9250-87A13D3C879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Visuals!$I$163:$L$163</c:f>
              <c:strCache>
                <c:ptCount val="4"/>
                <c:pt idx="0">
                  <c:v>KR11.1</c:v>
                </c:pt>
                <c:pt idx="1">
                  <c:v>KR11.2</c:v>
                </c:pt>
                <c:pt idx="2">
                  <c:v>KR11.3</c:v>
                </c:pt>
                <c:pt idx="3">
                  <c:v>KR11.4</c:v>
                </c:pt>
              </c:strCache>
            </c:strRef>
          </c:cat>
          <c:val>
            <c:numRef>
              <c:f>Visuals!$I$168:$L$168</c:f>
              <c:numCache>
                <c:formatCode>General</c:formatCode>
                <c:ptCount val="4"/>
                <c:pt idx="0">
                  <c:v>0.7</c:v>
                </c:pt>
                <c:pt idx="1">
                  <c:v>0.7</c:v>
                </c:pt>
                <c:pt idx="2">
                  <c:v>0.7</c:v>
                </c:pt>
                <c:pt idx="3">
                  <c:v>0.7</c:v>
                </c:pt>
              </c:numCache>
            </c:numRef>
          </c:val>
          <c:smooth val="0"/>
          <c:extLst>
            <c:ext xmlns:c16="http://schemas.microsoft.com/office/drawing/2014/chart" uri="{C3380CC4-5D6E-409C-BE32-E72D297353CC}">
              <c16:uniqueId val="{00000005-611D-4B71-9250-87A13D3C8797}"/>
            </c:ext>
          </c:extLst>
        </c:ser>
        <c:ser>
          <c:idx val="5"/>
          <c:order val="5"/>
          <c:tx>
            <c:strRef>
              <c:f>Visuals!$H$169</c:f>
              <c:strCache>
                <c:ptCount val="1"/>
                <c:pt idx="0">
                  <c:v>Measurable progress</c:v>
                </c:pt>
              </c:strCache>
            </c:strRef>
          </c:tx>
          <c:spPr>
            <a:ln w="25400" cap="rnd">
              <a:solidFill>
                <a:schemeClr val="tx1"/>
              </a:solidFill>
              <a:prstDash val="sysDot"/>
              <a:round/>
            </a:ln>
            <a:effectLst/>
          </c:spPr>
          <c:marker>
            <c:symbol val="none"/>
          </c:marker>
          <c:dLbls>
            <c:dLbl>
              <c:idx val="3"/>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11D-4B71-9250-87A13D3C879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Visuals!$I$163:$L$163</c:f>
              <c:strCache>
                <c:ptCount val="4"/>
                <c:pt idx="0">
                  <c:v>KR11.1</c:v>
                </c:pt>
                <c:pt idx="1">
                  <c:v>KR11.2</c:v>
                </c:pt>
                <c:pt idx="2">
                  <c:v>KR11.3</c:v>
                </c:pt>
                <c:pt idx="3">
                  <c:v>KR11.4</c:v>
                </c:pt>
              </c:strCache>
            </c:strRef>
          </c:cat>
          <c:val>
            <c:numRef>
              <c:f>Visuals!$I$169:$L$169</c:f>
              <c:numCache>
                <c:formatCode>General</c:formatCode>
                <c:ptCount val="4"/>
                <c:pt idx="0">
                  <c:v>0.3</c:v>
                </c:pt>
                <c:pt idx="1">
                  <c:v>0.3</c:v>
                </c:pt>
                <c:pt idx="2">
                  <c:v>0.3</c:v>
                </c:pt>
                <c:pt idx="3">
                  <c:v>0.3</c:v>
                </c:pt>
              </c:numCache>
            </c:numRef>
          </c:val>
          <c:smooth val="0"/>
          <c:extLst>
            <c:ext xmlns:c16="http://schemas.microsoft.com/office/drawing/2014/chart" uri="{C3380CC4-5D6E-409C-BE32-E72D297353CC}">
              <c16:uniqueId val="{00000007-611D-4B71-9250-87A13D3C8797}"/>
            </c:ext>
          </c:extLst>
        </c:ser>
        <c:dLbls>
          <c:showLegendKey val="0"/>
          <c:showVal val="0"/>
          <c:showCatName val="0"/>
          <c:showSerName val="0"/>
          <c:showPercent val="0"/>
          <c:showBubbleSize val="0"/>
        </c:dLbls>
        <c:marker val="1"/>
        <c:smooth val="0"/>
        <c:axId val="466139888"/>
        <c:axId val="466147088"/>
      </c:lineChart>
      <c:catAx>
        <c:axId val="6856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8558336"/>
        <c:crosses val="autoZero"/>
        <c:auto val="1"/>
        <c:lblAlgn val="ctr"/>
        <c:lblOffset val="100"/>
        <c:noMultiLvlLbl val="0"/>
      </c:catAx>
      <c:valAx>
        <c:axId val="6855833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sz="1200" b="0" i="0" u="none" strike="noStrike" kern="1200" baseline="0">
                    <a:solidFill>
                      <a:schemeClr val="bg1">
                        <a:lumMod val="50000"/>
                      </a:schemeClr>
                    </a:solidFill>
                    <a:latin typeface="Arial" panose="020B0604020202020204" pitchFamily="34" charset="0"/>
                    <a:cs typeface="Arial" panose="020B0604020202020204" pitchFamily="34" charset="0"/>
                  </a:rPr>
                  <a:t>Key result score</a:t>
                </a:r>
              </a:p>
            </c:rich>
          </c:tx>
          <c:layout>
            <c:manualLayout>
              <c:xMode val="edge"/>
              <c:yMode val="edge"/>
              <c:x val="3.6614517951875536E-2"/>
              <c:y val="0.27922159150458276"/>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8564576"/>
        <c:crosses val="autoZero"/>
        <c:crossBetween val="between"/>
        <c:majorUnit val="0.2"/>
      </c:valAx>
      <c:valAx>
        <c:axId val="466147088"/>
        <c:scaling>
          <c:orientation val="minMax"/>
        </c:scaling>
        <c:delete val="1"/>
        <c:axPos val="r"/>
        <c:numFmt formatCode="General" sourceLinked="1"/>
        <c:majorTickMark val="out"/>
        <c:minorTickMark val="none"/>
        <c:tickLblPos val="nextTo"/>
        <c:crossAx val="466139888"/>
        <c:crosses val="max"/>
        <c:crossBetween val="between"/>
      </c:valAx>
      <c:catAx>
        <c:axId val="466139888"/>
        <c:scaling>
          <c:orientation val="minMax"/>
        </c:scaling>
        <c:delete val="1"/>
        <c:axPos val="b"/>
        <c:numFmt formatCode="General" sourceLinked="1"/>
        <c:majorTickMark val="out"/>
        <c:minorTickMark val="none"/>
        <c:tickLblPos val="nextTo"/>
        <c:crossAx val="4661470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496207421783837E-2"/>
          <c:y val="0.12219873150105706"/>
          <c:w val="0.90069087877261733"/>
          <c:h val="0.57051422483394654"/>
        </c:manualLayout>
      </c:layout>
      <c:barChart>
        <c:barDir val="col"/>
        <c:grouping val="stacked"/>
        <c:varyColors val="0"/>
        <c:ser>
          <c:idx val="0"/>
          <c:order val="0"/>
          <c:tx>
            <c:strRef>
              <c:f>Visuals!$A$3</c:f>
              <c:strCache>
                <c:ptCount val="1"/>
                <c:pt idx="0">
                  <c:v>Delivering</c:v>
                </c:pt>
              </c:strCache>
            </c:strRef>
          </c:tx>
          <c:spPr>
            <a:solidFill>
              <a:srgbClr val="156082"/>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Visuals!$B$2:$E$2</c:f>
              <c:strCache>
                <c:ptCount val="4"/>
                <c:pt idx="0">
                  <c:v>Q1</c:v>
                </c:pt>
                <c:pt idx="1">
                  <c:v>Q2</c:v>
                </c:pt>
                <c:pt idx="2">
                  <c:v>Q3</c:v>
                </c:pt>
                <c:pt idx="3">
                  <c:v>Q4</c:v>
                </c:pt>
              </c:strCache>
            </c:strRef>
          </c:cat>
          <c:val>
            <c:numRef>
              <c:f>Visuals!$B$3:$E$3</c:f>
              <c:numCache>
                <c:formatCode>General</c:formatCode>
                <c:ptCount val="4"/>
                <c:pt idx="0">
                  <c:v>2</c:v>
                </c:pt>
                <c:pt idx="1">
                  <c:v>2</c:v>
                </c:pt>
                <c:pt idx="2">
                  <c:v>0</c:v>
                </c:pt>
                <c:pt idx="3">
                  <c:v>0</c:v>
                </c:pt>
              </c:numCache>
            </c:numRef>
          </c:val>
          <c:extLst>
            <c:ext xmlns:c16="http://schemas.microsoft.com/office/drawing/2014/chart" uri="{C3380CC4-5D6E-409C-BE32-E72D297353CC}">
              <c16:uniqueId val="{00000000-3075-480B-B8A3-7BCFA216C033}"/>
            </c:ext>
          </c:extLst>
        </c:ser>
        <c:ser>
          <c:idx val="1"/>
          <c:order val="1"/>
          <c:tx>
            <c:strRef>
              <c:f>Visuals!$A$4</c:f>
              <c:strCache>
                <c:ptCount val="1"/>
                <c:pt idx="0">
                  <c:v>Progressing</c:v>
                </c:pt>
              </c:strCache>
            </c:strRef>
          </c:tx>
          <c:spPr>
            <a:solidFill>
              <a:srgbClr val="2A8451"/>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Visuals!$B$2:$E$2</c:f>
              <c:strCache>
                <c:ptCount val="4"/>
                <c:pt idx="0">
                  <c:v>Q1</c:v>
                </c:pt>
                <c:pt idx="1">
                  <c:v>Q2</c:v>
                </c:pt>
                <c:pt idx="2">
                  <c:v>Q3</c:v>
                </c:pt>
                <c:pt idx="3">
                  <c:v>Q4</c:v>
                </c:pt>
              </c:strCache>
            </c:strRef>
          </c:cat>
          <c:val>
            <c:numRef>
              <c:f>Visuals!$B$4:$E$4</c:f>
              <c:numCache>
                <c:formatCode>General</c:formatCode>
                <c:ptCount val="4"/>
                <c:pt idx="0">
                  <c:v>4</c:v>
                </c:pt>
                <c:pt idx="1">
                  <c:v>6</c:v>
                </c:pt>
                <c:pt idx="2">
                  <c:v>0</c:v>
                </c:pt>
                <c:pt idx="3">
                  <c:v>0</c:v>
                </c:pt>
              </c:numCache>
            </c:numRef>
          </c:val>
          <c:extLst>
            <c:ext xmlns:c16="http://schemas.microsoft.com/office/drawing/2014/chart" uri="{C3380CC4-5D6E-409C-BE32-E72D297353CC}">
              <c16:uniqueId val="{00000001-3075-480B-B8A3-7BCFA216C033}"/>
            </c:ext>
          </c:extLst>
        </c:ser>
        <c:ser>
          <c:idx val="2"/>
          <c:order val="2"/>
          <c:tx>
            <c:strRef>
              <c:f>Visuals!$A$5</c:f>
              <c:strCache>
                <c:ptCount val="1"/>
                <c:pt idx="0">
                  <c:v>No progression</c:v>
                </c:pt>
              </c:strCache>
            </c:strRef>
          </c:tx>
          <c:spPr>
            <a:solidFill>
              <a:srgbClr val="E97132"/>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Visuals!$B$2:$E$2</c:f>
              <c:strCache>
                <c:ptCount val="4"/>
                <c:pt idx="0">
                  <c:v>Q1</c:v>
                </c:pt>
                <c:pt idx="1">
                  <c:v>Q2</c:v>
                </c:pt>
                <c:pt idx="2">
                  <c:v>Q3</c:v>
                </c:pt>
                <c:pt idx="3">
                  <c:v>Q4</c:v>
                </c:pt>
              </c:strCache>
            </c:strRef>
          </c:cat>
          <c:val>
            <c:numRef>
              <c:f>Visuals!$B$5:$E$5</c:f>
              <c:numCache>
                <c:formatCode>General</c:formatCode>
                <c:ptCount val="4"/>
                <c:pt idx="0">
                  <c:v>3</c:v>
                </c:pt>
                <c:pt idx="1">
                  <c:v>1</c:v>
                </c:pt>
                <c:pt idx="2">
                  <c:v>0</c:v>
                </c:pt>
                <c:pt idx="3">
                  <c:v>0</c:v>
                </c:pt>
              </c:numCache>
            </c:numRef>
          </c:val>
          <c:extLst>
            <c:ext xmlns:c16="http://schemas.microsoft.com/office/drawing/2014/chart" uri="{C3380CC4-5D6E-409C-BE32-E72D297353CC}">
              <c16:uniqueId val="{00000002-3075-480B-B8A3-7BCFA216C033}"/>
            </c:ext>
          </c:extLst>
        </c:ser>
        <c:ser>
          <c:idx val="3"/>
          <c:order val="3"/>
          <c:tx>
            <c:strRef>
              <c:f>Visuals!$A$6</c:f>
              <c:strCache>
                <c:ptCount val="1"/>
                <c:pt idx="0">
                  <c:v>Not started </c:v>
                </c:pt>
              </c:strCache>
            </c:strRef>
          </c:tx>
          <c:spPr>
            <a:solidFill>
              <a:srgbClr val="A22895"/>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Visuals!$B$2:$E$2</c:f>
              <c:strCache>
                <c:ptCount val="4"/>
                <c:pt idx="0">
                  <c:v>Q1</c:v>
                </c:pt>
                <c:pt idx="1">
                  <c:v>Q2</c:v>
                </c:pt>
                <c:pt idx="2">
                  <c:v>Q3</c:v>
                </c:pt>
                <c:pt idx="3">
                  <c:v>Q4</c:v>
                </c:pt>
              </c:strCache>
            </c:strRef>
          </c:cat>
          <c:val>
            <c:numRef>
              <c:f>Visuals!$B$6:$E$6</c:f>
              <c:numCache>
                <c:formatCode>General</c:formatCode>
                <c:ptCount val="4"/>
                <c:pt idx="0">
                  <c:v>2</c:v>
                </c:pt>
                <c:pt idx="1">
                  <c:v>2</c:v>
                </c:pt>
                <c:pt idx="2">
                  <c:v>0</c:v>
                </c:pt>
                <c:pt idx="3">
                  <c:v>0</c:v>
                </c:pt>
              </c:numCache>
            </c:numRef>
          </c:val>
          <c:extLst>
            <c:ext xmlns:c16="http://schemas.microsoft.com/office/drawing/2014/chart" uri="{C3380CC4-5D6E-409C-BE32-E72D297353CC}">
              <c16:uniqueId val="{00000003-3075-480B-B8A3-7BCFA216C033}"/>
            </c:ext>
          </c:extLst>
        </c:ser>
        <c:dLbls>
          <c:dLblPos val="ctr"/>
          <c:showLegendKey val="0"/>
          <c:showVal val="1"/>
          <c:showCatName val="0"/>
          <c:showSerName val="0"/>
          <c:showPercent val="0"/>
          <c:showBubbleSize val="0"/>
        </c:dLbls>
        <c:gapWidth val="150"/>
        <c:overlap val="100"/>
        <c:axId val="1222934592"/>
        <c:axId val="1222935072"/>
      </c:barChart>
      <c:catAx>
        <c:axId val="122293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22935072"/>
        <c:crosses val="autoZero"/>
        <c:auto val="1"/>
        <c:lblAlgn val="ctr"/>
        <c:lblOffset val="100"/>
        <c:noMultiLvlLbl val="0"/>
      </c:catAx>
      <c:valAx>
        <c:axId val="1222935072"/>
        <c:scaling>
          <c:orientation val="minMax"/>
          <c:max val="1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22934592"/>
        <c:crosses val="autoZero"/>
        <c:crossBetween val="between"/>
      </c:valAx>
      <c:spPr>
        <a:noFill/>
        <a:ln>
          <a:noFill/>
        </a:ln>
        <a:effectLst/>
      </c:spPr>
    </c:plotArea>
    <c:legend>
      <c:legendPos val="b"/>
      <c:layout>
        <c:manualLayout>
          <c:xMode val="edge"/>
          <c:yMode val="edge"/>
          <c:x val="7.3706244099944904E-2"/>
          <c:y val="0.79699721995638484"/>
          <c:w val="0.92629375590005514"/>
          <c:h val="0.1776328011852641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70822838074692E-2"/>
          <c:y val="0.10119037007166556"/>
          <c:w val="0.56569916616041982"/>
          <c:h val="0.86523873167678689"/>
        </c:manualLayout>
      </c:layout>
      <c:pieChart>
        <c:varyColors val="1"/>
        <c:ser>
          <c:idx val="0"/>
          <c:order val="0"/>
          <c:tx>
            <c:strRef>
              <c:f>Visuals!$P$17</c:f>
              <c:strCache>
                <c:ptCount val="1"/>
                <c:pt idx="0">
                  <c:v>Q2</c:v>
                </c:pt>
              </c:strCache>
            </c:strRef>
          </c:tx>
          <c:dPt>
            <c:idx val="0"/>
            <c:bubble3D val="0"/>
            <c:spPr>
              <a:solidFill>
                <a:srgbClr val="156082"/>
              </a:solidFill>
              <a:ln w="19050">
                <a:solidFill>
                  <a:schemeClr val="lt1"/>
                </a:solidFill>
              </a:ln>
              <a:effectLst/>
            </c:spPr>
            <c:extLst>
              <c:ext xmlns:c16="http://schemas.microsoft.com/office/drawing/2014/chart" uri="{C3380CC4-5D6E-409C-BE32-E72D297353CC}">
                <c16:uniqueId val="{00000001-9E89-40B2-923B-042DDF4DBB7B}"/>
              </c:ext>
            </c:extLst>
          </c:dPt>
          <c:dPt>
            <c:idx val="1"/>
            <c:bubble3D val="0"/>
            <c:spPr>
              <a:solidFill>
                <a:srgbClr val="2A8451"/>
              </a:solidFill>
              <a:ln w="19050">
                <a:solidFill>
                  <a:schemeClr val="lt1"/>
                </a:solidFill>
              </a:ln>
              <a:effectLst/>
            </c:spPr>
            <c:extLst>
              <c:ext xmlns:c16="http://schemas.microsoft.com/office/drawing/2014/chart" uri="{C3380CC4-5D6E-409C-BE32-E72D297353CC}">
                <c16:uniqueId val="{00000003-9E89-40B2-923B-042DDF4DBB7B}"/>
              </c:ext>
            </c:extLst>
          </c:dPt>
          <c:dPt>
            <c:idx val="2"/>
            <c:bubble3D val="0"/>
            <c:spPr>
              <a:solidFill>
                <a:srgbClr val="E97132"/>
              </a:solidFill>
              <a:ln w="19050">
                <a:solidFill>
                  <a:schemeClr val="lt1"/>
                </a:solidFill>
              </a:ln>
              <a:effectLst/>
            </c:spPr>
            <c:extLst>
              <c:ext xmlns:c16="http://schemas.microsoft.com/office/drawing/2014/chart" uri="{C3380CC4-5D6E-409C-BE32-E72D297353CC}">
                <c16:uniqueId val="{00000005-9E89-40B2-923B-042DDF4DBB7B}"/>
              </c:ext>
            </c:extLst>
          </c:dPt>
          <c:dPt>
            <c:idx val="3"/>
            <c:bubble3D val="0"/>
            <c:spPr>
              <a:solidFill>
                <a:srgbClr val="A22895"/>
              </a:solidFill>
              <a:ln w="19050">
                <a:solidFill>
                  <a:schemeClr val="lt1"/>
                </a:solidFill>
              </a:ln>
              <a:effectLst/>
            </c:spPr>
            <c:extLst>
              <c:ext xmlns:c16="http://schemas.microsoft.com/office/drawing/2014/chart" uri="{C3380CC4-5D6E-409C-BE32-E72D297353CC}">
                <c16:uniqueId val="{00000007-9E89-40B2-923B-042DDF4DBB7B}"/>
              </c:ext>
            </c:extLst>
          </c:dPt>
          <c:dLbls>
            <c:dLbl>
              <c:idx val="2"/>
              <c:delete val="1"/>
              <c:extLst>
                <c:ext xmlns:c15="http://schemas.microsoft.com/office/drawing/2012/chart" uri="{CE6537A1-D6FC-4f65-9D91-7224C49458BB}"/>
                <c:ext xmlns:c16="http://schemas.microsoft.com/office/drawing/2014/chart" uri="{C3380CC4-5D6E-409C-BE32-E72D297353CC}">
                  <c16:uniqueId val="{00000005-9E89-40B2-923B-042DDF4DBB7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Visuals!$N$18:$N$21</c:f>
              <c:strCache>
                <c:ptCount val="4"/>
                <c:pt idx="0">
                  <c:v>Achieving</c:v>
                </c:pt>
                <c:pt idx="1">
                  <c:v>Partially Achieving </c:v>
                </c:pt>
                <c:pt idx="2">
                  <c:v>Not Achieving </c:v>
                </c:pt>
                <c:pt idx="3">
                  <c:v>Not yet reported</c:v>
                </c:pt>
              </c:strCache>
            </c:strRef>
          </c:cat>
          <c:val>
            <c:numRef>
              <c:f>Visuals!$P$18:$P$21</c:f>
              <c:numCache>
                <c:formatCode>0%</c:formatCode>
                <c:ptCount val="4"/>
                <c:pt idx="0">
                  <c:v>0.47826086956521741</c:v>
                </c:pt>
                <c:pt idx="1">
                  <c:v>0.21739130434782608</c:v>
                </c:pt>
                <c:pt idx="2">
                  <c:v>0</c:v>
                </c:pt>
                <c:pt idx="3">
                  <c:v>0.30434782608695654</c:v>
                </c:pt>
              </c:numCache>
            </c:numRef>
          </c:val>
          <c:extLst>
            <c:ext xmlns:c16="http://schemas.microsoft.com/office/drawing/2014/chart" uri="{C3380CC4-5D6E-409C-BE32-E72D297353CC}">
              <c16:uniqueId val="{00000008-9E89-40B2-923B-042DDF4DBB7B}"/>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6776708902428628"/>
          <c:y val="0.17455751993264992"/>
          <c:w val="0.33223291097571372"/>
          <c:h val="0.6365090295465192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756602108813363E-2"/>
          <c:y val="4.1666599780721118E-2"/>
          <c:w val="0.90297462817147855"/>
          <c:h val="0.73093394575678039"/>
        </c:manualLayout>
      </c:layout>
      <c:barChart>
        <c:barDir val="col"/>
        <c:grouping val="stacked"/>
        <c:varyColors val="0"/>
        <c:ser>
          <c:idx val="0"/>
          <c:order val="0"/>
          <c:tx>
            <c:strRef>
              <c:f>Visuals!$N$3</c:f>
              <c:strCache>
                <c:ptCount val="1"/>
                <c:pt idx="0">
                  <c:v>Achieving</c:v>
                </c:pt>
              </c:strCache>
            </c:strRef>
          </c:tx>
          <c:spPr>
            <a:solidFill>
              <a:srgbClr val="15608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Visuals!$O$2:$R$2</c:f>
              <c:strCache>
                <c:ptCount val="4"/>
                <c:pt idx="0">
                  <c:v>Q1</c:v>
                </c:pt>
                <c:pt idx="1">
                  <c:v>Q2</c:v>
                </c:pt>
                <c:pt idx="2">
                  <c:v>Q3</c:v>
                </c:pt>
                <c:pt idx="3">
                  <c:v>Q4</c:v>
                </c:pt>
              </c:strCache>
            </c:strRef>
          </c:cat>
          <c:val>
            <c:numRef>
              <c:f>Visuals!$O$3:$R$3</c:f>
              <c:numCache>
                <c:formatCode>General</c:formatCode>
                <c:ptCount val="4"/>
                <c:pt idx="0">
                  <c:v>10</c:v>
                </c:pt>
                <c:pt idx="1">
                  <c:v>11</c:v>
                </c:pt>
                <c:pt idx="2">
                  <c:v>0</c:v>
                </c:pt>
                <c:pt idx="3">
                  <c:v>0</c:v>
                </c:pt>
              </c:numCache>
            </c:numRef>
          </c:val>
          <c:extLst>
            <c:ext xmlns:c16="http://schemas.microsoft.com/office/drawing/2014/chart" uri="{C3380CC4-5D6E-409C-BE32-E72D297353CC}">
              <c16:uniqueId val="{00000000-C033-4185-BA58-0E50E1E62290}"/>
            </c:ext>
          </c:extLst>
        </c:ser>
        <c:ser>
          <c:idx val="1"/>
          <c:order val="1"/>
          <c:tx>
            <c:strRef>
              <c:f>Visuals!$N$4</c:f>
              <c:strCache>
                <c:ptCount val="1"/>
                <c:pt idx="0">
                  <c:v>Partially Achieving </c:v>
                </c:pt>
              </c:strCache>
            </c:strRef>
          </c:tx>
          <c:spPr>
            <a:solidFill>
              <a:srgbClr val="2A845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Visuals!$O$2:$R$2</c:f>
              <c:strCache>
                <c:ptCount val="4"/>
                <c:pt idx="0">
                  <c:v>Q1</c:v>
                </c:pt>
                <c:pt idx="1">
                  <c:v>Q2</c:v>
                </c:pt>
                <c:pt idx="2">
                  <c:v>Q3</c:v>
                </c:pt>
                <c:pt idx="3">
                  <c:v>Q4</c:v>
                </c:pt>
              </c:strCache>
            </c:strRef>
          </c:cat>
          <c:val>
            <c:numRef>
              <c:f>Visuals!$O$4:$R$4</c:f>
              <c:numCache>
                <c:formatCode>General</c:formatCode>
                <c:ptCount val="4"/>
                <c:pt idx="0">
                  <c:v>4</c:v>
                </c:pt>
                <c:pt idx="1">
                  <c:v>5</c:v>
                </c:pt>
                <c:pt idx="2">
                  <c:v>0</c:v>
                </c:pt>
                <c:pt idx="3">
                  <c:v>0</c:v>
                </c:pt>
              </c:numCache>
            </c:numRef>
          </c:val>
          <c:extLst>
            <c:ext xmlns:c16="http://schemas.microsoft.com/office/drawing/2014/chart" uri="{C3380CC4-5D6E-409C-BE32-E72D297353CC}">
              <c16:uniqueId val="{00000001-C033-4185-BA58-0E50E1E62290}"/>
            </c:ext>
          </c:extLst>
        </c:ser>
        <c:ser>
          <c:idx val="2"/>
          <c:order val="2"/>
          <c:tx>
            <c:strRef>
              <c:f>Visuals!$N$5</c:f>
              <c:strCache>
                <c:ptCount val="1"/>
                <c:pt idx="0">
                  <c:v>Not Achieving </c:v>
                </c:pt>
              </c:strCache>
            </c:strRef>
          </c:tx>
          <c:spPr>
            <a:solidFill>
              <a:srgbClr val="E9713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2-C033-4185-BA58-0E50E1E6229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Visuals!$O$2:$R$2</c:f>
              <c:strCache>
                <c:ptCount val="4"/>
                <c:pt idx="0">
                  <c:v>Q1</c:v>
                </c:pt>
                <c:pt idx="1">
                  <c:v>Q2</c:v>
                </c:pt>
                <c:pt idx="2">
                  <c:v>Q3</c:v>
                </c:pt>
                <c:pt idx="3">
                  <c:v>Q4</c:v>
                </c:pt>
              </c:strCache>
            </c:strRef>
          </c:cat>
          <c:val>
            <c:numRef>
              <c:f>Visuals!$O$5:$R$5</c:f>
              <c:numCache>
                <c:formatCode>General</c:formatCode>
                <c:ptCount val="4"/>
                <c:pt idx="0">
                  <c:v>1</c:v>
                </c:pt>
                <c:pt idx="1">
                  <c:v>0</c:v>
                </c:pt>
                <c:pt idx="2">
                  <c:v>0</c:v>
                </c:pt>
                <c:pt idx="3">
                  <c:v>0</c:v>
                </c:pt>
              </c:numCache>
            </c:numRef>
          </c:val>
          <c:extLst>
            <c:ext xmlns:c16="http://schemas.microsoft.com/office/drawing/2014/chart" uri="{C3380CC4-5D6E-409C-BE32-E72D297353CC}">
              <c16:uniqueId val="{00000003-C033-4185-BA58-0E50E1E62290}"/>
            </c:ext>
          </c:extLst>
        </c:ser>
        <c:ser>
          <c:idx val="3"/>
          <c:order val="3"/>
          <c:tx>
            <c:strRef>
              <c:f>Visuals!$N$6</c:f>
              <c:strCache>
                <c:ptCount val="1"/>
                <c:pt idx="0">
                  <c:v>Not yet reported</c:v>
                </c:pt>
              </c:strCache>
            </c:strRef>
          </c:tx>
          <c:spPr>
            <a:solidFill>
              <a:srgbClr val="A2289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Visuals!$O$2:$R$2</c:f>
              <c:strCache>
                <c:ptCount val="4"/>
                <c:pt idx="0">
                  <c:v>Q1</c:v>
                </c:pt>
                <c:pt idx="1">
                  <c:v>Q2</c:v>
                </c:pt>
                <c:pt idx="2">
                  <c:v>Q3</c:v>
                </c:pt>
                <c:pt idx="3">
                  <c:v>Q4</c:v>
                </c:pt>
              </c:strCache>
            </c:strRef>
          </c:cat>
          <c:val>
            <c:numRef>
              <c:f>Visuals!$O$6:$R$6</c:f>
              <c:numCache>
                <c:formatCode>General</c:formatCode>
                <c:ptCount val="4"/>
                <c:pt idx="0">
                  <c:v>8</c:v>
                </c:pt>
                <c:pt idx="1">
                  <c:v>7</c:v>
                </c:pt>
                <c:pt idx="2">
                  <c:v>0</c:v>
                </c:pt>
                <c:pt idx="3">
                  <c:v>0</c:v>
                </c:pt>
              </c:numCache>
            </c:numRef>
          </c:val>
          <c:extLst>
            <c:ext xmlns:c16="http://schemas.microsoft.com/office/drawing/2014/chart" uri="{C3380CC4-5D6E-409C-BE32-E72D297353CC}">
              <c16:uniqueId val="{00000004-C033-4185-BA58-0E50E1E62290}"/>
            </c:ext>
          </c:extLst>
        </c:ser>
        <c:dLbls>
          <c:dLblPos val="ctr"/>
          <c:showLegendKey val="0"/>
          <c:showVal val="1"/>
          <c:showCatName val="0"/>
          <c:showSerName val="0"/>
          <c:showPercent val="0"/>
          <c:showBubbleSize val="0"/>
        </c:dLbls>
        <c:gapWidth val="150"/>
        <c:overlap val="100"/>
        <c:axId val="1134832496"/>
        <c:axId val="1134832016"/>
      </c:barChart>
      <c:catAx>
        <c:axId val="113483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34832016"/>
        <c:crosses val="autoZero"/>
        <c:auto val="1"/>
        <c:lblAlgn val="ctr"/>
        <c:lblOffset val="100"/>
        <c:noMultiLvlLbl val="0"/>
      </c:catAx>
      <c:valAx>
        <c:axId val="1134832016"/>
        <c:scaling>
          <c:orientation val="minMax"/>
          <c:max val="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34832496"/>
        <c:crosses val="autoZero"/>
        <c:crossBetween val="between"/>
      </c:valAx>
      <c:spPr>
        <a:noFill/>
        <a:ln>
          <a:noFill/>
        </a:ln>
        <a:effectLst/>
      </c:spPr>
    </c:plotArea>
    <c:legend>
      <c:legendPos val="b"/>
      <c:layout>
        <c:manualLayout>
          <c:xMode val="edge"/>
          <c:yMode val="edge"/>
          <c:x val="8.8189902256191666E-2"/>
          <c:y val="0.90043155390595964"/>
          <c:w val="0.91013229064012324"/>
          <c:h val="9.9568387284922691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5889384220505"/>
          <c:y val="0.11946600424946882"/>
          <c:w val="0.84328797840921943"/>
          <c:h val="0.68535808023997002"/>
        </c:manualLayout>
      </c:layout>
      <c:barChart>
        <c:barDir val="col"/>
        <c:grouping val="clustered"/>
        <c:varyColors val="0"/>
        <c:ser>
          <c:idx val="0"/>
          <c:order val="0"/>
          <c:tx>
            <c:strRef>
              <c:f>Visuals!$A$36</c:f>
              <c:strCache>
                <c:ptCount val="1"/>
                <c:pt idx="0">
                  <c:v>Q1</c:v>
                </c:pt>
              </c:strCache>
            </c:strRef>
          </c:tx>
          <c:spPr>
            <a:solidFill>
              <a:srgbClr val="156082"/>
            </a:solidFill>
            <a:ln>
              <a:noFill/>
            </a:ln>
            <a:effectLst/>
          </c:spPr>
          <c:invertIfNegative val="0"/>
          <c:cat>
            <c:strRef>
              <c:f>Visuals!$B$35:$D$35</c:f>
              <c:strCache>
                <c:ptCount val="3"/>
                <c:pt idx="0">
                  <c:v>KR1.1</c:v>
                </c:pt>
                <c:pt idx="1">
                  <c:v>KR1.2</c:v>
                </c:pt>
                <c:pt idx="2">
                  <c:v>KR1.3</c:v>
                </c:pt>
              </c:strCache>
            </c:strRef>
          </c:cat>
          <c:val>
            <c:numRef>
              <c:f>Visuals!$B$36:$D$36</c:f>
              <c:numCache>
                <c:formatCode>General</c:formatCode>
                <c:ptCount val="3"/>
                <c:pt idx="0">
                  <c:v>0</c:v>
                </c:pt>
                <c:pt idx="1">
                  <c:v>0</c:v>
                </c:pt>
                <c:pt idx="2">
                  <c:v>0</c:v>
                </c:pt>
              </c:numCache>
            </c:numRef>
          </c:val>
          <c:extLst>
            <c:ext xmlns:c16="http://schemas.microsoft.com/office/drawing/2014/chart" uri="{C3380CC4-5D6E-409C-BE32-E72D297353CC}">
              <c16:uniqueId val="{00000000-EA75-443C-B613-14E65B3DA1FC}"/>
            </c:ext>
          </c:extLst>
        </c:ser>
        <c:ser>
          <c:idx val="1"/>
          <c:order val="1"/>
          <c:tx>
            <c:strRef>
              <c:f>Visuals!$A$37</c:f>
              <c:strCache>
                <c:ptCount val="1"/>
                <c:pt idx="0">
                  <c:v>Q2</c:v>
                </c:pt>
              </c:strCache>
            </c:strRef>
          </c:tx>
          <c:spPr>
            <a:solidFill>
              <a:srgbClr val="E97132"/>
            </a:solidFill>
            <a:ln>
              <a:noFill/>
            </a:ln>
            <a:effectLst/>
          </c:spPr>
          <c:invertIfNegative val="0"/>
          <c:cat>
            <c:strRef>
              <c:f>Visuals!$B$35:$D$35</c:f>
              <c:strCache>
                <c:ptCount val="3"/>
                <c:pt idx="0">
                  <c:v>KR1.1</c:v>
                </c:pt>
                <c:pt idx="1">
                  <c:v>KR1.2</c:v>
                </c:pt>
                <c:pt idx="2">
                  <c:v>KR1.3</c:v>
                </c:pt>
              </c:strCache>
            </c:strRef>
          </c:cat>
          <c:val>
            <c:numRef>
              <c:f>Visuals!$B$37:$D$37</c:f>
              <c:numCache>
                <c:formatCode>General</c:formatCode>
                <c:ptCount val="3"/>
                <c:pt idx="0">
                  <c:v>1</c:v>
                </c:pt>
                <c:pt idx="1">
                  <c:v>0.33</c:v>
                </c:pt>
                <c:pt idx="2">
                  <c:v>0</c:v>
                </c:pt>
              </c:numCache>
            </c:numRef>
          </c:val>
          <c:extLst>
            <c:ext xmlns:c16="http://schemas.microsoft.com/office/drawing/2014/chart" uri="{C3380CC4-5D6E-409C-BE32-E72D297353CC}">
              <c16:uniqueId val="{00000001-EA75-443C-B613-14E65B3DA1FC}"/>
            </c:ext>
          </c:extLst>
        </c:ser>
        <c:ser>
          <c:idx val="2"/>
          <c:order val="2"/>
          <c:tx>
            <c:strRef>
              <c:f>Visuals!$A$38</c:f>
              <c:strCache>
                <c:ptCount val="1"/>
                <c:pt idx="0">
                  <c:v>Q3</c:v>
                </c:pt>
              </c:strCache>
            </c:strRef>
          </c:tx>
          <c:spPr>
            <a:solidFill>
              <a:srgbClr val="2A8451"/>
            </a:solidFill>
            <a:ln>
              <a:noFill/>
            </a:ln>
            <a:effectLst/>
          </c:spPr>
          <c:invertIfNegative val="0"/>
          <c:cat>
            <c:strRef>
              <c:f>Visuals!$B$35:$D$35</c:f>
              <c:strCache>
                <c:ptCount val="3"/>
                <c:pt idx="0">
                  <c:v>KR1.1</c:v>
                </c:pt>
                <c:pt idx="1">
                  <c:v>KR1.2</c:v>
                </c:pt>
                <c:pt idx="2">
                  <c:v>KR1.3</c:v>
                </c:pt>
              </c:strCache>
            </c:strRef>
          </c:cat>
          <c:val>
            <c:numRef>
              <c:f>Visuals!$B$38:$D$38</c:f>
              <c:numCache>
                <c:formatCode>General</c:formatCode>
                <c:ptCount val="3"/>
              </c:numCache>
            </c:numRef>
          </c:val>
          <c:extLst>
            <c:ext xmlns:c16="http://schemas.microsoft.com/office/drawing/2014/chart" uri="{C3380CC4-5D6E-409C-BE32-E72D297353CC}">
              <c16:uniqueId val="{00000002-EA75-443C-B613-14E65B3DA1FC}"/>
            </c:ext>
          </c:extLst>
        </c:ser>
        <c:ser>
          <c:idx val="3"/>
          <c:order val="3"/>
          <c:tx>
            <c:strRef>
              <c:f>Visuals!$A$39</c:f>
              <c:strCache>
                <c:ptCount val="1"/>
                <c:pt idx="0">
                  <c:v>Q4</c:v>
                </c:pt>
              </c:strCache>
            </c:strRef>
          </c:tx>
          <c:spPr>
            <a:solidFill>
              <a:srgbClr val="A22895"/>
            </a:solidFill>
            <a:ln>
              <a:noFill/>
            </a:ln>
            <a:effectLst/>
          </c:spPr>
          <c:invertIfNegative val="0"/>
          <c:cat>
            <c:strRef>
              <c:f>Visuals!$B$35:$D$35</c:f>
              <c:strCache>
                <c:ptCount val="3"/>
                <c:pt idx="0">
                  <c:v>KR1.1</c:v>
                </c:pt>
                <c:pt idx="1">
                  <c:v>KR1.2</c:v>
                </c:pt>
                <c:pt idx="2">
                  <c:v>KR1.3</c:v>
                </c:pt>
              </c:strCache>
            </c:strRef>
          </c:cat>
          <c:val>
            <c:numRef>
              <c:f>Visuals!$B$39:$D$39</c:f>
              <c:numCache>
                <c:formatCode>General</c:formatCode>
                <c:ptCount val="3"/>
              </c:numCache>
            </c:numRef>
          </c:val>
          <c:extLst>
            <c:ext xmlns:c16="http://schemas.microsoft.com/office/drawing/2014/chart" uri="{C3380CC4-5D6E-409C-BE32-E72D297353CC}">
              <c16:uniqueId val="{00000003-EA75-443C-B613-14E65B3DA1FC}"/>
            </c:ext>
          </c:extLst>
        </c:ser>
        <c:dLbls>
          <c:showLegendKey val="0"/>
          <c:showVal val="0"/>
          <c:showCatName val="0"/>
          <c:showSerName val="0"/>
          <c:showPercent val="0"/>
          <c:showBubbleSize val="0"/>
        </c:dLbls>
        <c:gapWidth val="200"/>
        <c:overlap val="-27"/>
        <c:axId val="864838511"/>
        <c:axId val="864840431"/>
      </c:barChart>
      <c:lineChart>
        <c:grouping val="standard"/>
        <c:varyColors val="0"/>
        <c:ser>
          <c:idx val="4"/>
          <c:order val="4"/>
          <c:tx>
            <c:strRef>
              <c:f>Visuals!$A$41</c:f>
              <c:strCache>
                <c:ptCount val="1"/>
                <c:pt idx="0">
                  <c:v>Delivering </c:v>
                </c:pt>
              </c:strCache>
            </c:strRef>
          </c:tx>
          <c:spPr>
            <a:ln w="19050" cap="rnd">
              <a:solidFill>
                <a:schemeClr val="tx1"/>
              </a:solidFill>
              <a:prstDash val="solid"/>
              <a:round/>
            </a:ln>
            <a:effectLst/>
          </c:spPr>
          <c:marker>
            <c:symbol val="none"/>
          </c:marker>
          <c:dLbls>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A75-443C-B613-14E65B3DA1F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Visuals!$B$35:$D$35</c:f>
              <c:strCache>
                <c:ptCount val="3"/>
                <c:pt idx="0">
                  <c:v>KR1.1</c:v>
                </c:pt>
                <c:pt idx="1">
                  <c:v>KR1.2</c:v>
                </c:pt>
                <c:pt idx="2">
                  <c:v>KR1.3</c:v>
                </c:pt>
              </c:strCache>
            </c:strRef>
          </c:cat>
          <c:val>
            <c:numRef>
              <c:f>Visuals!$B$41:$D$41</c:f>
              <c:numCache>
                <c:formatCode>General</c:formatCode>
                <c:ptCount val="3"/>
                <c:pt idx="0">
                  <c:v>0.7</c:v>
                </c:pt>
                <c:pt idx="1">
                  <c:v>0.7</c:v>
                </c:pt>
                <c:pt idx="2">
                  <c:v>0.7</c:v>
                </c:pt>
              </c:numCache>
            </c:numRef>
          </c:val>
          <c:smooth val="0"/>
          <c:extLst>
            <c:ext xmlns:c16="http://schemas.microsoft.com/office/drawing/2014/chart" uri="{C3380CC4-5D6E-409C-BE32-E72D297353CC}">
              <c16:uniqueId val="{00000005-EA75-443C-B613-14E65B3DA1FC}"/>
            </c:ext>
          </c:extLst>
        </c:ser>
        <c:ser>
          <c:idx val="5"/>
          <c:order val="5"/>
          <c:tx>
            <c:strRef>
              <c:f>Visuals!$A$42</c:f>
              <c:strCache>
                <c:ptCount val="1"/>
                <c:pt idx="0">
                  <c:v>Measurable progress</c:v>
                </c:pt>
              </c:strCache>
            </c:strRef>
          </c:tx>
          <c:spPr>
            <a:ln w="25400" cap="rnd">
              <a:solidFill>
                <a:schemeClr val="tx1"/>
              </a:solidFill>
              <a:prstDash val="sysDot"/>
              <a:bevel/>
            </a:ln>
            <a:effectLst/>
          </c:spPr>
          <c:marker>
            <c:symbol val="none"/>
          </c:marker>
          <c:dLbls>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A75-443C-B613-14E65B3DA1F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Visuals!$B$35:$D$35</c:f>
              <c:strCache>
                <c:ptCount val="3"/>
                <c:pt idx="0">
                  <c:v>KR1.1</c:v>
                </c:pt>
                <c:pt idx="1">
                  <c:v>KR1.2</c:v>
                </c:pt>
                <c:pt idx="2">
                  <c:v>KR1.3</c:v>
                </c:pt>
              </c:strCache>
            </c:strRef>
          </c:cat>
          <c:val>
            <c:numRef>
              <c:f>Visuals!$B$42:$D$42</c:f>
              <c:numCache>
                <c:formatCode>General</c:formatCode>
                <c:ptCount val="3"/>
                <c:pt idx="0">
                  <c:v>0.3</c:v>
                </c:pt>
                <c:pt idx="1">
                  <c:v>0.3</c:v>
                </c:pt>
                <c:pt idx="2">
                  <c:v>0.3</c:v>
                </c:pt>
              </c:numCache>
            </c:numRef>
          </c:val>
          <c:smooth val="0"/>
          <c:extLst>
            <c:ext xmlns:c16="http://schemas.microsoft.com/office/drawing/2014/chart" uri="{C3380CC4-5D6E-409C-BE32-E72D297353CC}">
              <c16:uniqueId val="{00000007-EA75-443C-B613-14E65B3DA1FC}"/>
            </c:ext>
          </c:extLst>
        </c:ser>
        <c:dLbls>
          <c:showLegendKey val="0"/>
          <c:showVal val="0"/>
          <c:showCatName val="0"/>
          <c:showSerName val="0"/>
          <c:showPercent val="0"/>
          <c:showBubbleSize val="0"/>
        </c:dLbls>
        <c:marker val="1"/>
        <c:smooth val="0"/>
        <c:axId val="481821071"/>
        <c:axId val="481818191"/>
      </c:lineChart>
      <c:catAx>
        <c:axId val="864838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64840431"/>
        <c:crosses val="autoZero"/>
        <c:auto val="1"/>
        <c:lblAlgn val="ctr"/>
        <c:lblOffset val="100"/>
        <c:noMultiLvlLbl val="0"/>
      </c:catAx>
      <c:valAx>
        <c:axId val="864840431"/>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a:latin typeface="Arial" panose="020B0604020202020204" pitchFamily="34" charset="0"/>
                    <a:cs typeface="Arial" panose="020B0604020202020204" pitchFamily="34" charset="0"/>
                  </a:rPr>
                  <a:t>Key Result score</a:t>
                </a:r>
                <a:endParaRPr lang="en-GB" sz="1200" baseline="0">
                  <a:latin typeface="Arial" panose="020B0604020202020204" pitchFamily="34" charset="0"/>
                  <a:cs typeface="Arial" panose="020B0604020202020204" pitchFamily="34" charset="0"/>
                </a:endParaRPr>
              </a:p>
            </c:rich>
          </c:tx>
          <c:layout>
            <c:manualLayout>
              <c:xMode val="edge"/>
              <c:yMode val="edge"/>
              <c:x val="5.1320730908899104E-2"/>
              <c:y val="0.278454026198670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64838511"/>
        <c:crosses val="autoZero"/>
        <c:crossBetween val="between"/>
        <c:majorUnit val="0.2"/>
      </c:valAx>
      <c:valAx>
        <c:axId val="481818191"/>
        <c:scaling>
          <c:orientation val="minMax"/>
        </c:scaling>
        <c:delete val="1"/>
        <c:axPos val="r"/>
        <c:numFmt formatCode="General" sourceLinked="1"/>
        <c:majorTickMark val="out"/>
        <c:minorTickMark val="none"/>
        <c:tickLblPos val="nextTo"/>
        <c:crossAx val="481821071"/>
        <c:crosses val="max"/>
        <c:crossBetween val="between"/>
      </c:valAx>
      <c:catAx>
        <c:axId val="481821071"/>
        <c:scaling>
          <c:orientation val="minMax"/>
        </c:scaling>
        <c:delete val="1"/>
        <c:axPos val="b"/>
        <c:numFmt formatCode="General" sourceLinked="1"/>
        <c:majorTickMark val="out"/>
        <c:minorTickMark val="none"/>
        <c:tickLblPos val="nextTo"/>
        <c:crossAx val="481818191"/>
        <c:crosses val="autoZero"/>
        <c:auto val="1"/>
        <c:lblAlgn val="ctr"/>
        <c:lblOffset val="100"/>
        <c:noMultiLvlLbl val="0"/>
      </c:catAx>
      <c:spPr>
        <a:noFill/>
        <a:ln>
          <a:solidFill>
            <a:schemeClr val="bg1">
              <a:lumMod val="95000"/>
            </a:schemeClr>
          </a:solid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67220534441068"/>
          <c:y val="0.117063272470723"/>
          <c:w val="0.85199247731828798"/>
          <c:h val="0.69117307687483864"/>
        </c:manualLayout>
      </c:layout>
      <c:barChart>
        <c:barDir val="col"/>
        <c:grouping val="clustered"/>
        <c:varyColors val="0"/>
        <c:ser>
          <c:idx val="0"/>
          <c:order val="0"/>
          <c:tx>
            <c:strRef>
              <c:f>Visuals!$H$36</c:f>
              <c:strCache>
                <c:ptCount val="1"/>
                <c:pt idx="0">
                  <c:v>Q1</c:v>
                </c:pt>
              </c:strCache>
            </c:strRef>
          </c:tx>
          <c:spPr>
            <a:solidFill>
              <a:srgbClr val="156082"/>
            </a:solidFill>
            <a:ln>
              <a:noFill/>
            </a:ln>
            <a:effectLst/>
          </c:spPr>
          <c:invertIfNegative val="0"/>
          <c:cat>
            <c:strRef>
              <c:f>Visuals!$I$35:$L$35</c:f>
              <c:strCache>
                <c:ptCount val="4"/>
                <c:pt idx="0">
                  <c:v>KR2.1</c:v>
                </c:pt>
                <c:pt idx="1">
                  <c:v>KR2.2</c:v>
                </c:pt>
                <c:pt idx="2">
                  <c:v>KR2.3</c:v>
                </c:pt>
                <c:pt idx="3">
                  <c:v>KR2.4</c:v>
                </c:pt>
              </c:strCache>
            </c:strRef>
          </c:cat>
          <c:val>
            <c:numRef>
              <c:f>Visuals!$I$36:$L$36</c:f>
              <c:numCache>
                <c:formatCode>General</c:formatCode>
                <c:ptCount val="4"/>
                <c:pt idx="0">
                  <c:v>1</c:v>
                </c:pt>
                <c:pt idx="1">
                  <c:v>0</c:v>
                </c:pt>
                <c:pt idx="2">
                  <c:v>0</c:v>
                </c:pt>
                <c:pt idx="3">
                  <c:v>0</c:v>
                </c:pt>
              </c:numCache>
            </c:numRef>
          </c:val>
          <c:extLst>
            <c:ext xmlns:c16="http://schemas.microsoft.com/office/drawing/2014/chart" uri="{C3380CC4-5D6E-409C-BE32-E72D297353CC}">
              <c16:uniqueId val="{00000000-9B1E-4926-9EA7-FBB7867B91EB}"/>
            </c:ext>
          </c:extLst>
        </c:ser>
        <c:ser>
          <c:idx val="1"/>
          <c:order val="1"/>
          <c:tx>
            <c:strRef>
              <c:f>Visuals!$H$37</c:f>
              <c:strCache>
                <c:ptCount val="1"/>
                <c:pt idx="0">
                  <c:v>Q2</c:v>
                </c:pt>
              </c:strCache>
            </c:strRef>
          </c:tx>
          <c:spPr>
            <a:solidFill>
              <a:srgbClr val="E97132"/>
            </a:solidFill>
            <a:ln>
              <a:noFill/>
            </a:ln>
            <a:effectLst/>
          </c:spPr>
          <c:invertIfNegative val="0"/>
          <c:cat>
            <c:strRef>
              <c:f>Visuals!$I$35:$L$35</c:f>
              <c:strCache>
                <c:ptCount val="4"/>
                <c:pt idx="0">
                  <c:v>KR2.1</c:v>
                </c:pt>
                <c:pt idx="1">
                  <c:v>KR2.2</c:v>
                </c:pt>
                <c:pt idx="2">
                  <c:v>KR2.3</c:v>
                </c:pt>
                <c:pt idx="3">
                  <c:v>KR2.4</c:v>
                </c:pt>
              </c:strCache>
            </c:strRef>
          </c:cat>
          <c:val>
            <c:numRef>
              <c:f>Visuals!$I$37:$L$37</c:f>
              <c:numCache>
                <c:formatCode>General</c:formatCode>
                <c:ptCount val="4"/>
                <c:pt idx="0">
                  <c:v>1</c:v>
                </c:pt>
                <c:pt idx="1">
                  <c:v>0</c:v>
                </c:pt>
                <c:pt idx="2">
                  <c:v>0</c:v>
                </c:pt>
                <c:pt idx="3">
                  <c:v>0</c:v>
                </c:pt>
              </c:numCache>
            </c:numRef>
          </c:val>
          <c:extLst>
            <c:ext xmlns:c16="http://schemas.microsoft.com/office/drawing/2014/chart" uri="{C3380CC4-5D6E-409C-BE32-E72D297353CC}">
              <c16:uniqueId val="{00000001-9B1E-4926-9EA7-FBB7867B91EB}"/>
            </c:ext>
          </c:extLst>
        </c:ser>
        <c:ser>
          <c:idx val="2"/>
          <c:order val="2"/>
          <c:tx>
            <c:strRef>
              <c:f>Visuals!$H$38</c:f>
              <c:strCache>
                <c:ptCount val="1"/>
                <c:pt idx="0">
                  <c:v>Q3</c:v>
                </c:pt>
              </c:strCache>
            </c:strRef>
          </c:tx>
          <c:spPr>
            <a:solidFill>
              <a:srgbClr val="2A8451"/>
            </a:solidFill>
            <a:ln>
              <a:noFill/>
            </a:ln>
            <a:effectLst/>
          </c:spPr>
          <c:invertIfNegative val="0"/>
          <c:cat>
            <c:strRef>
              <c:f>Visuals!$I$35:$L$35</c:f>
              <c:strCache>
                <c:ptCount val="4"/>
                <c:pt idx="0">
                  <c:v>KR2.1</c:v>
                </c:pt>
                <c:pt idx="1">
                  <c:v>KR2.2</c:v>
                </c:pt>
                <c:pt idx="2">
                  <c:v>KR2.3</c:v>
                </c:pt>
                <c:pt idx="3">
                  <c:v>KR2.4</c:v>
                </c:pt>
              </c:strCache>
            </c:strRef>
          </c:cat>
          <c:val>
            <c:numRef>
              <c:f>Visuals!$I$38:$L$38</c:f>
              <c:numCache>
                <c:formatCode>General</c:formatCode>
                <c:ptCount val="4"/>
              </c:numCache>
            </c:numRef>
          </c:val>
          <c:extLst>
            <c:ext xmlns:c16="http://schemas.microsoft.com/office/drawing/2014/chart" uri="{C3380CC4-5D6E-409C-BE32-E72D297353CC}">
              <c16:uniqueId val="{00000002-9B1E-4926-9EA7-FBB7867B91EB}"/>
            </c:ext>
          </c:extLst>
        </c:ser>
        <c:ser>
          <c:idx val="3"/>
          <c:order val="3"/>
          <c:tx>
            <c:strRef>
              <c:f>Visuals!$H$39</c:f>
              <c:strCache>
                <c:ptCount val="1"/>
                <c:pt idx="0">
                  <c:v>Q4</c:v>
                </c:pt>
              </c:strCache>
            </c:strRef>
          </c:tx>
          <c:spPr>
            <a:solidFill>
              <a:srgbClr val="A22895"/>
            </a:solidFill>
            <a:ln>
              <a:noFill/>
            </a:ln>
            <a:effectLst/>
          </c:spPr>
          <c:invertIfNegative val="0"/>
          <c:cat>
            <c:strRef>
              <c:f>Visuals!$I$35:$L$35</c:f>
              <c:strCache>
                <c:ptCount val="4"/>
                <c:pt idx="0">
                  <c:v>KR2.1</c:v>
                </c:pt>
                <c:pt idx="1">
                  <c:v>KR2.2</c:v>
                </c:pt>
                <c:pt idx="2">
                  <c:v>KR2.3</c:v>
                </c:pt>
                <c:pt idx="3">
                  <c:v>KR2.4</c:v>
                </c:pt>
              </c:strCache>
            </c:strRef>
          </c:cat>
          <c:val>
            <c:numRef>
              <c:f>Visuals!$I$39:$L$39</c:f>
              <c:numCache>
                <c:formatCode>General</c:formatCode>
                <c:ptCount val="4"/>
              </c:numCache>
            </c:numRef>
          </c:val>
          <c:extLst>
            <c:ext xmlns:c16="http://schemas.microsoft.com/office/drawing/2014/chart" uri="{C3380CC4-5D6E-409C-BE32-E72D297353CC}">
              <c16:uniqueId val="{00000003-9B1E-4926-9EA7-FBB7867B91EB}"/>
            </c:ext>
          </c:extLst>
        </c:ser>
        <c:dLbls>
          <c:showLegendKey val="0"/>
          <c:showVal val="0"/>
          <c:showCatName val="0"/>
          <c:showSerName val="0"/>
          <c:showPercent val="0"/>
          <c:showBubbleSize val="0"/>
        </c:dLbls>
        <c:gapWidth val="200"/>
        <c:overlap val="-25"/>
        <c:axId val="987421456"/>
        <c:axId val="987401296"/>
        <c:extLst>
          <c:ext xmlns:c15="http://schemas.microsoft.com/office/drawing/2012/chart" uri="{02D57815-91ED-43cb-92C2-25804820EDAC}">
            <c15:filteredBarSeries>
              <c15:ser>
                <c:idx val="4"/>
                <c:order val="4"/>
                <c:tx>
                  <c:strRef>
                    <c:extLst>
                      <c:ext uri="{02D57815-91ED-43cb-92C2-25804820EDAC}">
                        <c15:formulaRef>
                          <c15:sqref>Visuals!$H$41</c15:sqref>
                        </c15:formulaRef>
                      </c:ext>
                    </c:extLst>
                    <c:strCache>
                      <c:ptCount val="1"/>
                      <c:pt idx="0">
                        <c:v>Delivering </c:v>
                      </c:pt>
                    </c:strCache>
                  </c:strRef>
                </c:tx>
                <c:spPr>
                  <a:solidFill>
                    <a:schemeClr val="accent5"/>
                  </a:solidFill>
                  <a:ln>
                    <a:noFill/>
                  </a:ln>
                  <a:effectLst/>
                </c:spPr>
                <c:invertIfNegative val="0"/>
                <c:trendline>
                  <c:spPr>
                    <a:ln w="19050" cap="rnd">
                      <a:solidFill>
                        <a:schemeClr val="accent5"/>
                      </a:solidFill>
                      <a:prstDash val="sysDot"/>
                    </a:ln>
                    <a:effectLst/>
                  </c:spPr>
                  <c:trendlineType val="linear"/>
                  <c:dispRSqr val="0"/>
                  <c:dispEq val="0"/>
                </c:trendline>
                <c:cat>
                  <c:strRef>
                    <c:extLst>
                      <c:ext uri="{02D57815-91ED-43cb-92C2-25804820EDAC}">
                        <c15:formulaRef>
                          <c15:sqref>Visuals!$I$35:$L$35</c15:sqref>
                        </c15:formulaRef>
                      </c:ext>
                    </c:extLst>
                    <c:strCache>
                      <c:ptCount val="4"/>
                      <c:pt idx="0">
                        <c:v>KR2.1</c:v>
                      </c:pt>
                      <c:pt idx="1">
                        <c:v>KR2.2</c:v>
                      </c:pt>
                      <c:pt idx="2">
                        <c:v>KR2.3</c:v>
                      </c:pt>
                      <c:pt idx="3">
                        <c:v>KR2.4</c:v>
                      </c:pt>
                    </c:strCache>
                  </c:strRef>
                </c:cat>
                <c:val>
                  <c:numRef>
                    <c:extLst>
                      <c:ext uri="{02D57815-91ED-43cb-92C2-25804820EDAC}">
                        <c15:formulaRef>
                          <c15:sqref>Visuals!$I$41:$L$41</c15:sqref>
                        </c15:formulaRef>
                      </c:ext>
                    </c:extLst>
                    <c:numCache>
                      <c:formatCode>General</c:formatCode>
                      <c:ptCount val="4"/>
                      <c:pt idx="0">
                        <c:v>0.7</c:v>
                      </c:pt>
                      <c:pt idx="1">
                        <c:v>0.7</c:v>
                      </c:pt>
                      <c:pt idx="2">
                        <c:v>0.7</c:v>
                      </c:pt>
                      <c:pt idx="3">
                        <c:v>0.7</c:v>
                      </c:pt>
                    </c:numCache>
                  </c:numRef>
                </c:val>
                <c:extLst>
                  <c:ext xmlns:c16="http://schemas.microsoft.com/office/drawing/2014/chart" uri="{C3380CC4-5D6E-409C-BE32-E72D297353CC}">
                    <c16:uniqueId val="{0000000D-9B1E-4926-9EA7-FBB7867B91EB}"/>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Visuals!$H$42</c15:sqref>
                        </c15:formulaRef>
                      </c:ext>
                    </c:extLst>
                    <c:strCache>
                      <c:ptCount val="1"/>
                      <c:pt idx="0">
                        <c:v>Measurable progress</c:v>
                      </c:pt>
                    </c:strCache>
                  </c:strRef>
                </c:tx>
                <c:spPr>
                  <a:solidFill>
                    <a:schemeClr val="accent6"/>
                  </a:solidFill>
                  <a:ln>
                    <a:noFill/>
                  </a:ln>
                  <a:effectLst/>
                </c:spPr>
                <c:invertIfNegative val="0"/>
                <c:trendline>
                  <c:spPr>
                    <a:ln w="19050" cap="rnd">
                      <a:solidFill>
                        <a:schemeClr val="accent6"/>
                      </a:solidFill>
                      <a:prstDash val="sysDot"/>
                    </a:ln>
                    <a:effectLst/>
                  </c:spPr>
                  <c:trendlineType val="linear"/>
                  <c:dispRSqr val="0"/>
                  <c:dispEq val="0"/>
                </c:trendline>
                <c:cat>
                  <c:strRef>
                    <c:extLst xmlns:c15="http://schemas.microsoft.com/office/drawing/2012/chart">
                      <c:ext xmlns:c15="http://schemas.microsoft.com/office/drawing/2012/chart" uri="{02D57815-91ED-43cb-92C2-25804820EDAC}">
                        <c15:formulaRef>
                          <c15:sqref>Visuals!$I$35:$L$35</c15:sqref>
                        </c15:formulaRef>
                      </c:ext>
                    </c:extLst>
                    <c:strCache>
                      <c:ptCount val="4"/>
                      <c:pt idx="0">
                        <c:v>KR2.1</c:v>
                      </c:pt>
                      <c:pt idx="1">
                        <c:v>KR2.2</c:v>
                      </c:pt>
                      <c:pt idx="2">
                        <c:v>KR2.3</c:v>
                      </c:pt>
                      <c:pt idx="3">
                        <c:v>KR2.4</c:v>
                      </c:pt>
                    </c:strCache>
                  </c:strRef>
                </c:cat>
                <c:val>
                  <c:numRef>
                    <c:extLst xmlns:c15="http://schemas.microsoft.com/office/drawing/2012/chart">
                      <c:ext xmlns:c15="http://schemas.microsoft.com/office/drawing/2012/chart" uri="{02D57815-91ED-43cb-92C2-25804820EDAC}">
                        <c15:formulaRef>
                          <c15:sqref>Visuals!$I$42:$L$42</c15:sqref>
                        </c15:formulaRef>
                      </c:ext>
                    </c:extLst>
                    <c:numCache>
                      <c:formatCode>General</c:formatCode>
                      <c:ptCount val="4"/>
                      <c:pt idx="0">
                        <c:v>0.3</c:v>
                      </c:pt>
                      <c:pt idx="1">
                        <c:v>0.3</c:v>
                      </c:pt>
                      <c:pt idx="2">
                        <c:v>0.3</c:v>
                      </c:pt>
                      <c:pt idx="3">
                        <c:v>0.3</c:v>
                      </c:pt>
                    </c:numCache>
                  </c:numRef>
                </c:val>
                <c:extLst xmlns:c15="http://schemas.microsoft.com/office/drawing/2012/chart">
                  <c:ext xmlns:c16="http://schemas.microsoft.com/office/drawing/2014/chart" uri="{C3380CC4-5D6E-409C-BE32-E72D297353CC}">
                    <c16:uniqueId val="{0000000F-9B1E-4926-9EA7-FBB7867B91EB}"/>
                  </c:ext>
                </c:extLst>
              </c15:ser>
            </c15:filteredBarSeries>
          </c:ext>
        </c:extLst>
      </c:barChart>
      <c:lineChart>
        <c:grouping val="standard"/>
        <c:varyColors val="0"/>
        <c:ser>
          <c:idx val="6"/>
          <c:order val="6"/>
          <c:tx>
            <c:strRef>
              <c:f>Visuals!$H$41</c:f>
              <c:strCache>
                <c:ptCount val="1"/>
                <c:pt idx="0">
                  <c:v>Delivering </c:v>
                </c:pt>
              </c:strCache>
            </c:strRef>
          </c:tx>
          <c:spPr>
            <a:ln w="19050" cap="rnd">
              <a:solidFill>
                <a:schemeClr val="accent1">
                  <a:lumMod val="60000"/>
                </a:schemeClr>
              </a:solidFill>
              <a:prstDash val="solid"/>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9B1E-4926-9EA7-FBB7867B91EB}"/>
                </c:ext>
              </c:extLst>
            </c:dLbl>
            <c:dLbl>
              <c:idx val="1"/>
              <c:delete val="1"/>
              <c:extLst>
                <c:ext xmlns:c15="http://schemas.microsoft.com/office/drawing/2012/chart" uri="{CE6537A1-D6FC-4f65-9D91-7224C49458BB}"/>
                <c:ext xmlns:c16="http://schemas.microsoft.com/office/drawing/2014/chart" uri="{C3380CC4-5D6E-409C-BE32-E72D297353CC}">
                  <c16:uniqueId val="{00000005-9B1E-4926-9EA7-FBB7867B91EB}"/>
                </c:ext>
              </c:extLst>
            </c:dLbl>
            <c:dLbl>
              <c:idx val="2"/>
              <c:delete val="1"/>
              <c:extLst>
                <c:ext xmlns:c15="http://schemas.microsoft.com/office/drawing/2012/chart" uri="{CE6537A1-D6FC-4f65-9D91-7224C49458BB}"/>
                <c:ext xmlns:c16="http://schemas.microsoft.com/office/drawing/2014/chart" uri="{C3380CC4-5D6E-409C-BE32-E72D297353CC}">
                  <c16:uniqueId val="{00000006-9B1E-4926-9EA7-FBB7867B91E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Visuals!$I$35:$L$35</c:f>
              <c:strCache>
                <c:ptCount val="4"/>
                <c:pt idx="0">
                  <c:v>KR2.1</c:v>
                </c:pt>
                <c:pt idx="1">
                  <c:v>KR2.2</c:v>
                </c:pt>
                <c:pt idx="2">
                  <c:v>KR2.3</c:v>
                </c:pt>
                <c:pt idx="3">
                  <c:v>KR2.4</c:v>
                </c:pt>
              </c:strCache>
            </c:strRef>
          </c:cat>
          <c:val>
            <c:numRef>
              <c:f>Visuals!$I$41:$L$41</c:f>
              <c:numCache>
                <c:formatCode>General</c:formatCode>
                <c:ptCount val="4"/>
                <c:pt idx="0">
                  <c:v>0.7</c:v>
                </c:pt>
                <c:pt idx="1">
                  <c:v>0.7</c:v>
                </c:pt>
                <c:pt idx="2">
                  <c:v>0.7</c:v>
                </c:pt>
                <c:pt idx="3">
                  <c:v>0.7</c:v>
                </c:pt>
              </c:numCache>
            </c:numRef>
          </c:val>
          <c:smooth val="0"/>
          <c:extLst>
            <c:ext xmlns:c16="http://schemas.microsoft.com/office/drawing/2014/chart" uri="{C3380CC4-5D6E-409C-BE32-E72D297353CC}">
              <c16:uniqueId val="{00000007-9B1E-4926-9EA7-FBB7867B91EB}"/>
            </c:ext>
          </c:extLst>
        </c:ser>
        <c:ser>
          <c:idx val="7"/>
          <c:order val="7"/>
          <c:tx>
            <c:strRef>
              <c:f>Visuals!$H$42</c:f>
              <c:strCache>
                <c:ptCount val="1"/>
                <c:pt idx="0">
                  <c:v>Measurable progress</c:v>
                </c:pt>
              </c:strCache>
            </c:strRef>
          </c:tx>
          <c:spPr>
            <a:ln w="25400" cap="rnd">
              <a:solidFill>
                <a:schemeClr val="tx1"/>
              </a:solidFill>
              <a:prstDash val="sysDot"/>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8-9B1E-4926-9EA7-FBB7867B91EB}"/>
                </c:ext>
              </c:extLst>
            </c:dLbl>
            <c:dLbl>
              <c:idx val="1"/>
              <c:delete val="1"/>
              <c:extLst>
                <c:ext xmlns:c15="http://schemas.microsoft.com/office/drawing/2012/chart" uri="{CE6537A1-D6FC-4f65-9D91-7224C49458BB}"/>
                <c:ext xmlns:c16="http://schemas.microsoft.com/office/drawing/2014/chart" uri="{C3380CC4-5D6E-409C-BE32-E72D297353CC}">
                  <c16:uniqueId val="{00000009-9B1E-4926-9EA7-FBB7867B91EB}"/>
                </c:ext>
              </c:extLst>
            </c:dLbl>
            <c:dLbl>
              <c:idx val="2"/>
              <c:delete val="1"/>
              <c:extLst>
                <c:ext xmlns:c15="http://schemas.microsoft.com/office/drawing/2012/chart" uri="{CE6537A1-D6FC-4f65-9D91-7224C49458BB}"/>
                <c:ext xmlns:c16="http://schemas.microsoft.com/office/drawing/2014/chart" uri="{C3380CC4-5D6E-409C-BE32-E72D297353CC}">
                  <c16:uniqueId val="{0000000A-9B1E-4926-9EA7-FBB7867B91E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Visuals!$I$35:$L$35</c:f>
              <c:strCache>
                <c:ptCount val="4"/>
                <c:pt idx="0">
                  <c:v>KR2.1</c:v>
                </c:pt>
                <c:pt idx="1">
                  <c:v>KR2.2</c:v>
                </c:pt>
                <c:pt idx="2">
                  <c:v>KR2.3</c:v>
                </c:pt>
                <c:pt idx="3">
                  <c:v>KR2.4</c:v>
                </c:pt>
              </c:strCache>
            </c:strRef>
          </c:cat>
          <c:val>
            <c:numRef>
              <c:f>Visuals!$I$42:$L$42</c:f>
              <c:numCache>
                <c:formatCode>General</c:formatCode>
                <c:ptCount val="4"/>
                <c:pt idx="0">
                  <c:v>0.3</c:v>
                </c:pt>
                <c:pt idx="1">
                  <c:v>0.3</c:v>
                </c:pt>
                <c:pt idx="2">
                  <c:v>0.3</c:v>
                </c:pt>
                <c:pt idx="3">
                  <c:v>0.3</c:v>
                </c:pt>
              </c:numCache>
            </c:numRef>
          </c:val>
          <c:smooth val="0"/>
          <c:extLst>
            <c:ext xmlns:c16="http://schemas.microsoft.com/office/drawing/2014/chart" uri="{C3380CC4-5D6E-409C-BE32-E72D297353CC}">
              <c16:uniqueId val="{0000000B-9B1E-4926-9EA7-FBB7867B91EB}"/>
            </c:ext>
          </c:extLst>
        </c:ser>
        <c:dLbls>
          <c:showLegendKey val="0"/>
          <c:showVal val="0"/>
          <c:showCatName val="0"/>
          <c:showSerName val="0"/>
          <c:showPercent val="0"/>
          <c:showBubbleSize val="0"/>
        </c:dLbls>
        <c:marker val="1"/>
        <c:smooth val="0"/>
        <c:axId val="991673696"/>
        <c:axId val="1222938432"/>
      </c:lineChart>
      <c:catAx>
        <c:axId val="987421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87401296"/>
        <c:crosses val="autoZero"/>
        <c:auto val="1"/>
        <c:lblAlgn val="ctr"/>
        <c:lblOffset val="100"/>
        <c:noMultiLvlLbl val="0"/>
      </c:catAx>
      <c:valAx>
        <c:axId val="98740129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a:latin typeface="Arial" panose="020B0604020202020204" pitchFamily="34" charset="0"/>
                    <a:cs typeface="Arial" panose="020B0604020202020204" pitchFamily="34" charset="0"/>
                  </a:rPr>
                  <a:t>Key Result Score</a:t>
                </a:r>
              </a:p>
            </c:rich>
          </c:tx>
          <c:layout>
            <c:manualLayout>
              <c:xMode val="edge"/>
              <c:yMode val="edge"/>
              <c:x val="3.9828892193166515E-2"/>
              <c:y val="0.2548843531234877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87421456"/>
        <c:crosses val="autoZero"/>
        <c:crossBetween val="between"/>
        <c:majorUnit val="0.2"/>
      </c:valAx>
      <c:valAx>
        <c:axId val="1222938432"/>
        <c:scaling>
          <c:orientation val="minMax"/>
        </c:scaling>
        <c:delete val="1"/>
        <c:axPos val="r"/>
        <c:numFmt formatCode="General" sourceLinked="1"/>
        <c:majorTickMark val="out"/>
        <c:minorTickMark val="none"/>
        <c:tickLblPos val="nextTo"/>
        <c:crossAx val="991673696"/>
        <c:crosses val="max"/>
        <c:crossBetween val="between"/>
      </c:valAx>
      <c:catAx>
        <c:axId val="991673696"/>
        <c:scaling>
          <c:orientation val="minMax"/>
        </c:scaling>
        <c:delete val="1"/>
        <c:axPos val="b"/>
        <c:numFmt formatCode="General" sourceLinked="1"/>
        <c:majorTickMark val="out"/>
        <c:minorTickMark val="none"/>
        <c:tickLblPos val="nextTo"/>
        <c:crossAx val="1222938432"/>
        <c:crosses val="autoZero"/>
        <c:auto val="1"/>
        <c:lblAlgn val="ctr"/>
        <c:lblOffset val="100"/>
        <c:noMultiLvlLbl val="0"/>
      </c:catAx>
      <c:spPr>
        <a:noFill/>
        <a:ln w="12700">
          <a:solidFill>
            <a:schemeClr val="bg1">
              <a:lumMod val="95000"/>
            </a:schemeClr>
          </a:solidFill>
          <a:prstDash val="solid"/>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32967961424596"/>
          <c:y val="4.946139602822202E-2"/>
          <c:w val="0.86005335141359285"/>
          <c:h val="0.72899078508911297"/>
        </c:manualLayout>
      </c:layout>
      <c:barChart>
        <c:barDir val="col"/>
        <c:grouping val="clustered"/>
        <c:varyColors val="0"/>
        <c:ser>
          <c:idx val="0"/>
          <c:order val="0"/>
          <c:tx>
            <c:strRef>
              <c:f>Visuals!$A$67</c:f>
              <c:strCache>
                <c:ptCount val="1"/>
                <c:pt idx="0">
                  <c:v>Q1</c:v>
                </c:pt>
              </c:strCache>
            </c:strRef>
          </c:tx>
          <c:spPr>
            <a:solidFill>
              <a:srgbClr val="156082"/>
            </a:solidFill>
            <a:ln>
              <a:noFill/>
            </a:ln>
            <a:effectLst/>
          </c:spPr>
          <c:invertIfNegative val="0"/>
          <c:cat>
            <c:strRef>
              <c:f>Visuals!$B$66:$E$66</c:f>
              <c:strCache>
                <c:ptCount val="4"/>
                <c:pt idx="0">
                  <c:v>KR3.1</c:v>
                </c:pt>
                <c:pt idx="1">
                  <c:v>KR3.2</c:v>
                </c:pt>
                <c:pt idx="2">
                  <c:v>KR3.3</c:v>
                </c:pt>
                <c:pt idx="3">
                  <c:v>KR3.4</c:v>
                </c:pt>
              </c:strCache>
            </c:strRef>
          </c:cat>
          <c:val>
            <c:numRef>
              <c:f>Visuals!$B$67:$E$67</c:f>
              <c:numCache>
                <c:formatCode>General</c:formatCode>
                <c:ptCount val="4"/>
                <c:pt idx="0">
                  <c:v>0.8</c:v>
                </c:pt>
                <c:pt idx="1">
                  <c:v>0</c:v>
                </c:pt>
                <c:pt idx="2">
                  <c:v>0</c:v>
                </c:pt>
                <c:pt idx="3">
                  <c:v>0</c:v>
                </c:pt>
              </c:numCache>
            </c:numRef>
          </c:val>
          <c:extLst>
            <c:ext xmlns:c16="http://schemas.microsoft.com/office/drawing/2014/chart" uri="{C3380CC4-5D6E-409C-BE32-E72D297353CC}">
              <c16:uniqueId val="{00000000-5D1D-4326-987F-7DFFDE6108CD}"/>
            </c:ext>
          </c:extLst>
        </c:ser>
        <c:ser>
          <c:idx val="1"/>
          <c:order val="1"/>
          <c:tx>
            <c:strRef>
              <c:f>Visuals!$A$68</c:f>
              <c:strCache>
                <c:ptCount val="1"/>
                <c:pt idx="0">
                  <c:v>Q2</c:v>
                </c:pt>
              </c:strCache>
            </c:strRef>
          </c:tx>
          <c:spPr>
            <a:solidFill>
              <a:srgbClr val="E97132"/>
            </a:solidFill>
            <a:ln>
              <a:noFill/>
            </a:ln>
            <a:effectLst/>
          </c:spPr>
          <c:invertIfNegative val="0"/>
          <c:cat>
            <c:strRef>
              <c:f>Visuals!$B$66:$E$66</c:f>
              <c:strCache>
                <c:ptCount val="4"/>
                <c:pt idx="0">
                  <c:v>KR3.1</c:v>
                </c:pt>
                <c:pt idx="1">
                  <c:v>KR3.2</c:v>
                </c:pt>
                <c:pt idx="2">
                  <c:v>KR3.3</c:v>
                </c:pt>
                <c:pt idx="3">
                  <c:v>KR3.4</c:v>
                </c:pt>
              </c:strCache>
            </c:strRef>
          </c:cat>
          <c:val>
            <c:numRef>
              <c:f>Visuals!$B$68:$E$68</c:f>
              <c:numCache>
                <c:formatCode>General</c:formatCode>
                <c:ptCount val="4"/>
                <c:pt idx="0">
                  <c:v>0.9</c:v>
                </c:pt>
                <c:pt idx="1">
                  <c:v>0</c:v>
                </c:pt>
                <c:pt idx="2">
                  <c:v>0</c:v>
                </c:pt>
                <c:pt idx="3">
                  <c:v>0</c:v>
                </c:pt>
              </c:numCache>
            </c:numRef>
          </c:val>
          <c:extLst>
            <c:ext xmlns:c16="http://schemas.microsoft.com/office/drawing/2014/chart" uri="{C3380CC4-5D6E-409C-BE32-E72D297353CC}">
              <c16:uniqueId val="{00000001-5D1D-4326-987F-7DFFDE6108CD}"/>
            </c:ext>
          </c:extLst>
        </c:ser>
        <c:ser>
          <c:idx val="2"/>
          <c:order val="2"/>
          <c:tx>
            <c:strRef>
              <c:f>Visuals!$A$69</c:f>
              <c:strCache>
                <c:ptCount val="1"/>
                <c:pt idx="0">
                  <c:v>Q3</c:v>
                </c:pt>
              </c:strCache>
            </c:strRef>
          </c:tx>
          <c:spPr>
            <a:solidFill>
              <a:srgbClr val="2A8451"/>
            </a:solidFill>
            <a:ln>
              <a:noFill/>
            </a:ln>
            <a:effectLst/>
          </c:spPr>
          <c:invertIfNegative val="0"/>
          <c:cat>
            <c:strRef>
              <c:f>Visuals!$B$66:$E$66</c:f>
              <c:strCache>
                <c:ptCount val="4"/>
                <c:pt idx="0">
                  <c:v>KR3.1</c:v>
                </c:pt>
                <c:pt idx="1">
                  <c:v>KR3.2</c:v>
                </c:pt>
                <c:pt idx="2">
                  <c:v>KR3.3</c:v>
                </c:pt>
                <c:pt idx="3">
                  <c:v>KR3.4</c:v>
                </c:pt>
              </c:strCache>
            </c:strRef>
          </c:cat>
          <c:val>
            <c:numRef>
              <c:f>Visuals!$B$69:$E$69</c:f>
              <c:numCache>
                <c:formatCode>General</c:formatCode>
                <c:ptCount val="4"/>
              </c:numCache>
            </c:numRef>
          </c:val>
          <c:extLst>
            <c:ext xmlns:c16="http://schemas.microsoft.com/office/drawing/2014/chart" uri="{C3380CC4-5D6E-409C-BE32-E72D297353CC}">
              <c16:uniqueId val="{00000002-5D1D-4326-987F-7DFFDE6108CD}"/>
            </c:ext>
          </c:extLst>
        </c:ser>
        <c:ser>
          <c:idx val="3"/>
          <c:order val="3"/>
          <c:tx>
            <c:strRef>
              <c:f>Visuals!$A$70</c:f>
              <c:strCache>
                <c:ptCount val="1"/>
                <c:pt idx="0">
                  <c:v>Q4</c:v>
                </c:pt>
              </c:strCache>
            </c:strRef>
          </c:tx>
          <c:spPr>
            <a:solidFill>
              <a:srgbClr val="A22895"/>
            </a:solidFill>
            <a:ln>
              <a:noFill/>
            </a:ln>
            <a:effectLst/>
          </c:spPr>
          <c:invertIfNegative val="0"/>
          <c:cat>
            <c:strRef>
              <c:f>Visuals!$B$66:$E$66</c:f>
              <c:strCache>
                <c:ptCount val="4"/>
                <c:pt idx="0">
                  <c:v>KR3.1</c:v>
                </c:pt>
                <c:pt idx="1">
                  <c:v>KR3.2</c:v>
                </c:pt>
                <c:pt idx="2">
                  <c:v>KR3.3</c:v>
                </c:pt>
                <c:pt idx="3">
                  <c:v>KR3.4</c:v>
                </c:pt>
              </c:strCache>
            </c:strRef>
          </c:cat>
          <c:val>
            <c:numRef>
              <c:f>Visuals!$B$70:$E$70</c:f>
              <c:numCache>
                <c:formatCode>General</c:formatCode>
                <c:ptCount val="4"/>
              </c:numCache>
            </c:numRef>
          </c:val>
          <c:extLst>
            <c:ext xmlns:c16="http://schemas.microsoft.com/office/drawing/2014/chart" uri="{C3380CC4-5D6E-409C-BE32-E72D297353CC}">
              <c16:uniqueId val="{00000003-5D1D-4326-987F-7DFFDE6108CD}"/>
            </c:ext>
          </c:extLst>
        </c:ser>
        <c:dLbls>
          <c:showLegendKey val="0"/>
          <c:showVal val="0"/>
          <c:showCatName val="0"/>
          <c:showSerName val="0"/>
          <c:showPercent val="0"/>
          <c:showBubbleSize val="0"/>
        </c:dLbls>
        <c:gapWidth val="219"/>
        <c:axId val="52310704"/>
        <c:axId val="52320304"/>
      </c:barChart>
      <c:lineChart>
        <c:grouping val="standard"/>
        <c:varyColors val="0"/>
        <c:dLbls>
          <c:showLegendKey val="0"/>
          <c:showVal val="0"/>
          <c:showCatName val="0"/>
          <c:showSerName val="0"/>
          <c:showPercent val="0"/>
          <c:showBubbleSize val="0"/>
        </c:dLbls>
        <c:marker val="1"/>
        <c:smooth val="0"/>
        <c:axId val="52310704"/>
        <c:axId val="52320304"/>
        <c:extLst>
          <c:ext xmlns:c15="http://schemas.microsoft.com/office/drawing/2012/chart" uri="{02D57815-91ED-43cb-92C2-25804820EDAC}">
            <c15:filteredLineSeries>
              <c15:ser>
                <c:idx val="4"/>
                <c:order val="4"/>
                <c:tx>
                  <c:strRef>
                    <c:extLst>
                      <c:ext uri="{02D57815-91ED-43cb-92C2-25804820EDAC}">
                        <c15:formulaRef>
                          <c15:sqref>Visuals!$A$71</c15:sqref>
                        </c15:formulaRef>
                      </c:ext>
                    </c:extLst>
                    <c:strCache>
                      <c:ptCount val="1"/>
                    </c:strCache>
                  </c:strRef>
                </c:tx>
                <c:spPr>
                  <a:ln w="28575" cap="rnd">
                    <a:solidFill>
                      <a:schemeClr val="accent5"/>
                    </a:solidFill>
                    <a:round/>
                  </a:ln>
                  <a:effectLst/>
                </c:spPr>
                <c:marker>
                  <c:symbol val="none"/>
                </c:marker>
                <c:cat>
                  <c:strRef>
                    <c:extLst>
                      <c:ext uri="{02D57815-91ED-43cb-92C2-25804820EDAC}">
                        <c15:formulaRef>
                          <c15:sqref>Visuals!$B$66:$E$66</c15:sqref>
                        </c15:formulaRef>
                      </c:ext>
                    </c:extLst>
                    <c:strCache>
                      <c:ptCount val="4"/>
                      <c:pt idx="0">
                        <c:v>KR3.1</c:v>
                      </c:pt>
                      <c:pt idx="1">
                        <c:v>KR3.2</c:v>
                      </c:pt>
                      <c:pt idx="2">
                        <c:v>KR3.3</c:v>
                      </c:pt>
                      <c:pt idx="3">
                        <c:v>KR3.4</c:v>
                      </c:pt>
                    </c:strCache>
                  </c:strRef>
                </c:cat>
                <c:val>
                  <c:numRef>
                    <c:extLst>
                      <c:ext uri="{02D57815-91ED-43cb-92C2-25804820EDAC}">
                        <c15:formulaRef>
                          <c15:sqref>Visuals!$B$71:$E$71</c15:sqref>
                        </c15:formulaRef>
                      </c:ext>
                    </c:extLst>
                    <c:numCache>
                      <c:formatCode>General</c:formatCode>
                      <c:ptCount val="4"/>
                    </c:numCache>
                  </c:numRef>
                </c:val>
                <c:smooth val="0"/>
                <c:extLst>
                  <c:ext xmlns:c16="http://schemas.microsoft.com/office/drawing/2014/chart" uri="{C3380CC4-5D6E-409C-BE32-E72D297353CC}">
                    <c16:uniqueId val="{0000000A-5D1D-4326-987F-7DFFDE6108CD}"/>
                  </c:ext>
                </c:extLst>
              </c15:ser>
            </c15:filteredLineSeries>
          </c:ext>
        </c:extLst>
      </c:lineChart>
      <c:lineChart>
        <c:grouping val="standard"/>
        <c:varyColors val="0"/>
        <c:ser>
          <c:idx val="5"/>
          <c:order val="5"/>
          <c:tx>
            <c:strRef>
              <c:f>Visuals!$A$72</c:f>
              <c:strCache>
                <c:ptCount val="1"/>
                <c:pt idx="0">
                  <c:v>Delivering </c:v>
                </c:pt>
              </c:strCache>
            </c:strRef>
          </c:tx>
          <c:spPr>
            <a:ln w="19050" cap="rnd">
              <a:solidFill>
                <a:schemeClr val="tx1"/>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5D1D-4326-987F-7DFFDE6108CD}"/>
                </c:ext>
              </c:extLst>
            </c:dLbl>
            <c:dLbl>
              <c:idx val="1"/>
              <c:delete val="1"/>
              <c:extLst>
                <c:ext xmlns:c15="http://schemas.microsoft.com/office/drawing/2012/chart" uri="{CE6537A1-D6FC-4f65-9D91-7224C49458BB}"/>
                <c:ext xmlns:c16="http://schemas.microsoft.com/office/drawing/2014/chart" uri="{C3380CC4-5D6E-409C-BE32-E72D297353CC}">
                  <c16:uniqueId val="{00000005-5D1D-4326-987F-7DFFDE6108CD}"/>
                </c:ext>
              </c:extLst>
            </c:dLbl>
            <c:dLbl>
              <c:idx val="2"/>
              <c:delete val="1"/>
              <c:extLst>
                <c:ext xmlns:c15="http://schemas.microsoft.com/office/drawing/2012/chart" uri="{CE6537A1-D6FC-4f65-9D91-7224C49458BB}"/>
                <c:ext xmlns:c16="http://schemas.microsoft.com/office/drawing/2014/chart" uri="{C3380CC4-5D6E-409C-BE32-E72D297353CC}">
                  <c16:uniqueId val="{00000006-5D1D-4326-987F-7DFFDE6108C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Visuals!$B$66:$E$66</c:f>
              <c:strCache>
                <c:ptCount val="4"/>
                <c:pt idx="0">
                  <c:v>KR3.1</c:v>
                </c:pt>
                <c:pt idx="1">
                  <c:v>KR3.2</c:v>
                </c:pt>
                <c:pt idx="2">
                  <c:v>KR3.3</c:v>
                </c:pt>
                <c:pt idx="3">
                  <c:v>KR3.4</c:v>
                </c:pt>
              </c:strCache>
            </c:strRef>
          </c:cat>
          <c:val>
            <c:numRef>
              <c:f>Visuals!$B$72:$E$72</c:f>
              <c:numCache>
                <c:formatCode>General</c:formatCode>
                <c:ptCount val="4"/>
                <c:pt idx="0">
                  <c:v>0.7</c:v>
                </c:pt>
                <c:pt idx="1">
                  <c:v>0.7</c:v>
                </c:pt>
                <c:pt idx="2">
                  <c:v>0.7</c:v>
                </c:pt>
                <c:pt idx="3">
                  <c:v>0.7</c:v>
                </c:pt>
              </c:numCache>
            </c:numRef>
          </c:val>
          <c:smooth val="0"/>
          <c:extLst>
            <c:ext xmlns:c16="http://schemas.microsoft.com/office/drawing/2014/chart" uri="{C3380CC4-5D6E-409C-BE32-E72D297353CC}">
              <c16:uniqueId val="{00000007-5D1D-4326-987F-7DFFDE6108CD}"/>
            </c:ext>
          </c:extLst>
        </c:ser>
        <c:ser>
          <c:idx val="6"/>
          <c:order val="6"/>
          <c:tx>
            <c:strRef>
              <c:f>Visuals!$A$73</c:f>
              <c:strCache>
                <c:ptCount val="1"/>
                <c:pt idx="0">
                  <c:v>Measurable progress</c:v>
                </c:pt>
              </c:strCache>
            </c:strRef>
          </c:tx>
          <c:spPr>
            <a:ln w="25400" cap="rnd">
              <a:solidFill>
                <a:schemeClr val="accent1">
                  <a:lumMod val="60000"/>
                </a:schemeClr>
              </a:solidFill>
              <a:prstDash val="sysDot"/>
              <a:round/>
            </a:ln>
            <a:effectLst/>
          </c:spPr>
          <c:marker>
            <c:symbol val="none"/>
          </c:marker>
          <c:dLbls>
            <c:dLbl>
              <c:idx val="3"/>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D1D-4326-987F-7DFFDE6108C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Visuals!$B$66:$E$66</c:f>
              <c:strCache>
                <c:ptCount val="4"/>
                <c:pt idx="0">
                  <c:v>KR3.1</c:v>
                </c:pt>
                <c:pt idx="1">
                  <c:v>KR3.2</c:v>
                </c:pt>
                <c:pt idx="2">
                  <c:v>KR3.3</c:v>
                </c:pt>
                <c:pt idx="3">
                  <c:v>KR3.4</c:v>
                </c:pt>
              </c:strCache>
            </c:strRef>
          </c:cat>
          <c:val>
            <c:numRef>
              <c:f>Visuals!$B$73:$E$73</c:f>
              <c:numCache>
                <c:formatCode>General</c:formatCode>
                <c:ptCount val="4"/>
                <c:pt idx="0">
                  <c:v>0.3</c:v>
                </c:pt>
                <c:pt idx="1">
                  <c:v>0.3</c:v>
                </c:pt>
                <c:pt idx="2">
                  <c:v>0.3</c:v>
                </c:pt>
                <c:pt idx="3">
                  <c:v>0.3</c:v>
                </c:pt>
              </c:numCache>
            </c:numRef>
          </c:val>
          <c:smooth val="0"/>
          <c:extLst>
            <c:ext xmlns:c16="http://schemas.microsoft.com/office/drawing/2014/chart" uri="{C3380CC4-5D6E-409C-BE32-E72D297353CC}">
              <c16:uniqueId val="{00000009-5D1D-4326-987F-7DFFDE6108CD}"/>
            </c:ext>
          </c:extLst>
        </c:ser>
        <c:dLbls>
          <c:showLegendKey val="0"/>
          <c:showVal val="0"/>
          <c:showCatName val="0"/>
          <c:showSerName val="0"/>
          <c:showPercent val="0"/>
          <c:showBubbleSize val="0"/>
        </c:dLbls>
        <c:marker val="1"/>
        <c:smooth val="0"/>
        <c:axId val="52349584"/>
        <c:axId val="52359664"/>
      </c:lineChart>
      <c:catAx>
        <c:axId val="5231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320304"/>
        <c:crosses val="autoZero"/>
        <c:auto val="1"/>
        <c:lblAlgn val="ctr"/>
        <c:lblOffset val="100"/>
        <c:noMultiLvlLbl val="0"/>
      </c:catAx>
      <c:valAx>
        <c:axId val="52320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Key Result score</a:t>
                </a:r>
              </a:p>
            </c:rich>
          </c:tx>
          <c:layout>
            <c:manualLayout>
              <c:xMode val="edge"/>
              <c:yMode val="edge"/>
              <c:x val="4.7837352999800679E-2"/>
              <c:y val="0.2575230705500498"/>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310704"/>
        <c:crosses val="autoZero"/>
        <c:crossBetween val="between"/>
        <c:majorUnit val="0.2"/>
      </c:valAx>
      <c:valAx>
        <c:axId val="52359664"/>
        <c:scaling>
          <c:orientation val="minMax"/>
        </c:scaling>
        <c:delete val="1"/>
        <c:axPos val="r"/>
        <c:numFmt formatCode="General" sourceLinked="1"/>
        <c:majorTickMark val="out"/>
        <c:minorTickMark val="none"/>
        <c:tickLblPos val="nextTo"/>
        <c:crossAx val="52349584"/>
        <c:crosses val="max"/>
        <c:crossBetween val="between"/>
      </c:valAx>
      <c:catAx>
        <c:axId val="52349584"/>
        <c:scaling>
          <c:orientation val="minMax"/>
        </c:scaling>
        <c:delete val="1"/>
        <c:axPos val="b"/>
        <c:numFmt formatCode="General" sourceLinked="1"/>
        <c:majorTickMark val="out"/>
        <c:minorTickMark val="none"/>
        <c:tickLblPos val="nextTo"/>
        <c:crossAx val="5235966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53360609680117"/>
          <c:y val="5.3816272965879264E-2"/>
          <c:w val="0.8777388534024626"/>
          <c:h val="0.70512951398316592"/>
        </c:manualLayout>
      </c:layout>
      <c:barChart>
        <c:barDir val="col"/>
        <c:grouping val="clustered"/>
        <c:varyColors val="0"/>
        <c:ser>
          <c:idx val="0"/>
          <c:order val="0"/>
          <c:tx>
            <c:strRef>
              <c:f>Visuals!$H$67</c:f>
              <c:strCache>
                <c:ptCount val="1"/>
                <c:pt idx="0">
                  <c:v>Q1</c:v>
                </c:pt>
              </c:strCache>
            </c:strRef>
          </c:tx>
          <c:spPr>
            <a:solidFill>
              <a:srgbClr val="156082"/>
            </a:solidFill>
            <a:ln>
              <a:noFill/>
            </a:ln>
            <a:effectLst/>
          </c:spPr>
          <c:invertIfNegative val="0"/>
          <c:cat>
            <c:strRef>
              <c:f>Visuals!$I$66:$K$66</c:f>
              <c:strCache>
                <c:ptCount val="3"/>
                <c:pt idx="0">
                  <c:v>KR4.1</c:v>
                </c:pt>
                <c:pt idx="1">
                  <c:v>KR4.2</c:v>
                </c:pt>
                <c:pt idx="2">
                  <c:v>KR4.3</c:v>
                </c:pt>
              </c:strCache>
            </c:strRef>
          </c:cat>
          <c:val>
            <c:numRef>
              <c:f>Visuals!$I$67:$K$67</c:f>
              <c:numCache>
                <c:formatCode>General</c:formatCode>
                <c:ptCount val="3"/>
                <c:pt idx="0">
                  <c:v>0.7</c:v>
                </c:pt>
                <c:pt idx="1">
                  <c:v>0</c:v>
                </c:pt>
                <c:pt idx="2">
                  <c:v>0.28999999999999998</c:v>
                </c:pt>
              </c:numCache>
            </c:numRef>
          </c:val>
          <c:extLst>
            <c:ext xmlns:c16="http://schemas.microsoft.com/office/drawing/2014/chart" uri="{C3380CC4-5D6E-409C-BE32-E72D297353CC}">
              <c16:uniqueId val="{00000000-6318-4821-B075-D0CC4CBF4F62}"/>
            </c:ext>
          </c:extLst>
        </c:ser>
        <c:ser>
          <c:idx val="1"/>
          <c:order val="1"/>
          <c:tx>
            <c:strRef>
              <c:f>Visuals!$H$68</c:f>
              <c:strCache>
                <c:ptCount val="1"/>
                <c:pt idx="0">
                  <c:v>Q2</c:v>
                </c:pt>
              </c:strCache>
            </c:strRef>
          </c:tx>
          <c:spPr>
            <a:solidFill>
              <a:srgbClr val="E97132"/>
            </a:solidFill>
            <a:ln>
              <a:noFill/>
            </a:ln>
            <a:effectLst/>
          </c:spPr>
          <c:invertIfNegative val="0"/>
          <c:cat>
            <c:strRef>
              <c:f>Visuals!$I$66:$K$66</c:f>
              <c:strCache>
                <c:ptCount val="3"/>
                <c:pt idx="0">
                  <c:v>KR4.1</c:v>
                </c:pt>
                <c:pt idx="1">
                  <c:v>KR4.2</c:v>
                </c:pt>
                <c:pt idx="2">
                  <c:v>KR4.3</c:v>
                </c:pt>
              </c:strCache>
            </c:strRef>
          </c:cat>
          <c:val>
            <c:numRef>
              <c:f>Visuals!$I$68:$K$68</c:f>
              <c:numCache>
                <c:formatCode>General</c:formatCode>
                <c:ptCount val="3"/>
                <c:pt idx="0">
                  <c:v>0.7</c:v>
                </c:pt>
                <c:pt idx="1">
                  <c:v>0</c:v>
                </c:pt>
                <c:pt idx="2">
                  <c:v>0.28999999999999998</c:v>
                </c:pt>
              </c:numCache>
            </c:numRef>
          </c:val>
          <c:extLst>
            <c:ext xmlns:c16="http://schemas.microsoft.com/office/drawing/2014/chart" uri="{C3380CC4-5D6E-409C-BE32-E72D297353CC}">
              <c16:uniqueId val="{00000001-6318-4821-B075-D0CC4CBF4F62}"/>
            </c:ext>
          </c:extLst>
        </c:ser>
        <c:ser>
          <c:idx val="2"/>
          <c:order val="2"/>
          <c:tx>
            <c:strRef>
              <c:f>Visuals!$H$69</c:f>
              <c:strCache>
                <c:ptCount val="1"/>
                <c:pt idx="0">
                  <c:v>Q3</c:v>
                </c:pt>
              </c:strCache>
            </c:strRef>
          </c:tx>
          <c:spPr>
            <a:solidFill>
              <a:srgbClr val="2A8451"/>
            </a:solidFill>
            <a:ln>
              <a:noFill/>
            </a:ln>
            <a:effectLst/>
          </c:spPr>
          <c:invertIfNegative val="0"/>
          <c:cat>
            <c:strRef>
              <c:f>Visuals!$I$66:$K$66</c:f>
              <c:strCache>
                <c:ptCount val="3"/>
                <c:pt idx="0">
                  <c:v>KR4.1</c:v>
                </c:pt>
                <c:pt idx="1">
                  <c:v>KR4.2</c:v>
                </c:pt>
                <c:pt idx="2">
                  <c:v>KR4.3</c:v>
                </c:pt>
              </c:strCache>
            </c:strRef>
          </c:cat>
          <c:val>
            <c:numRef>
              <c:f>Visuals!$I$69:$K$69</c:f>
              <c:numCache>
                <c:formatCode>General</c:formatCode>
                <c:ptCount val="3"/>
              </c:numCache>
            </c:numRef>
          </c:val>
          <c:extLst>
            <c:ext xmlns:c16="http://schemas.microsoft.com/office/drawing/2014/chart" uri="{C3380CC4-5D6E-409C-BE32-E72D297353CC}">
              <c16:uniqueId val="{00000002-6318-4821-B075-D0CC4CBF4F62}"/>
            </c:ext>
          </c:extLst>
        </c:ser>
        <c:ser>
          <c:idx val="3"/>
          <c:order val="3"/>
          <c:tx>
            <c:strRef>
              <c:f>Visuals!$H$70</c:f>
              <c:strCache>
                <c:ptCount val="1"/>
                <c:pt idx="0">
                  <c:v>Q4</c:v>
                </c:pt>
              </c:strCache>
            </c:strRef>
          </c:tx>
          <c:spPr>
            <a:solidFill>
              <a:srgbClr val="A22895"/>
            </a:solidFill>
            <a:ln>
              <a:noFill/>
            </a:ln>
            <a:effectLst/>
          </c:spPr>
          <c:invertIfNegative val="0"/>
          <c:cat>
            <c:strRef>
              <c:f>Visuals!$I$66:$K$66</c:f>
              <c:strCache>
                <c:ptCount val="3"/>
                <c:pt idx="0">
                  <c:v>KR4.1</c:v>
                </c:pt>
                <c:pt idx="1">
                  <c:v>KR4.2</c:v>
                </c:pt>
                <c:pt idx="2">
                  <c:v>KR4.3</c:v>
                </c:pt>
              </c:strCache>
            </c:strRef>
          </c:cat>
          <c:val>
            <c:numRef>
              <c:f>Visuals!$I$70:$K$70</c:f>
              <c:numCache>
                <c:formatCode>General</c:formatCode>
                <c:ptCount val="3"/>
              </c:numCache>
            </c:numRef>
          </c:val>
          <c:extLst>
            <c:ext xmlns:c16="http://schemas.microsoft.com/office/drawing/2014/chart" uri="{C3380CC4-5D6E-409C-BE32-E72D297353CC}">
              <c16:uniqueId val="{00000003-6318-4821-B075-D0CC4CBF4F62}"/>
            </c:ext>
          </c:extLst>
        </c:ser>
        <c:dLbls>
          <c:showLegendKey val="0"/>
          <c:showVal val="0"/>
          <c:showCatName val="0"/>
          <c:showSerName val="0"/>
          <c:showPercent val="0"/>
          <c:showBubbleSize val="0"/>
        </c:dLbls>
        <c:gapWidth val="150"/>
        <c:axId val="514927840"/>
        <c:axId val="514917760"/>
      </c:barChart>
      <c:lineChart>
        <c:grouping val="standard"/>
        <c:varyColors val="0"/>
        <c:ser>
          <c:idx val="5"/>
          <c:order val="5"/>
          <c:tx>
            <c:strRef>
              <c:f>Visuals!$H$72</c:f>
              <c:strCache>
                <c:ptCount val="1"/>
                <c:pt idx="0">
                  <c:v>Delivering </c:v>
                </c:pt>
              </c:strCache>
            </c:strRef>
          </c:tx>
          <c:spPr>
            <a:ln w="19050" cap="rnd">
              <a:solidFill>
                <a:schemeClr val="tx1"/>
              </a:solidFill>
              <a:round/>
            </a:ln>
            <a:effectLst/>
          </c:spPr>
          <c:marker>
            <c:symbol val="none"/>
          </c:marker>
          <c:dLbls>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318-4821-B075-D0CC4CBF4F6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Visuals!$I$66:$K$66</c:f>
              <c:strCache>
                <c:ptCount val="3"/>
                <c:pt idx="0">
                  <c:v>KR4.1</c:v>
                </c:pt>
                <c:pt idx="1">
                  <c:v>KR4.2</c:v>
                </c:pt>
                <c:pt idx="2">
                  <c:v>KR4.3</c:v>
                </c:pt>
              </c:strCache>
            </c:strRef>
          </c:cat>
          <c:val>
            <c:numRef>
              <c:f>Visuals!$I$72:$K$72</c:f>
              <c:numCache>
                <c:formatCode>General</c:formatCode>
                <c:ptCount val="3"/>
                <c:pt idx="0">
                  <c:v>0.7</c:v>
                </c:pt>
                <c:pt idx="1">
                  <c:v>0.7</c:v>
                </c:pt>
                <c:pt idx="2">
                  <c:v>0.7</c:v>
                </c:pt>
              </c:numCache>
            </c:numRef>
          </c:val>
          <c:smooth val="0"/>
          <c:extLst>
            <c:ext xmlns:c16="http://schemas.microsoft.com/office/drawing/2014/chart" uri="{C3380CC4-5D6E-409C-BE32-E72D297353CC}">
              <c16:uniqueId val="{00000005-6318-4821-B075-D0CC4CBF4F62}"/>
            </c:ext>
          </c:extLst>
        </c:ser>
        <c:ser>
          <c:idx val="6"/>
          <c:order val="6"/>
          <c:tx>
            <c:strRef>
              <c:f>Visuals!$H$73</c:f>
              <c:strCache>
                <c:ptCount val="1"/>
                <c:pt idx="0">
                  <c:v>Measurable progress</c:v>
                </c:pt>
              </c:strCache>
            </c:strRef>
          </c:tx>
          <c:spPr>
            <a:ln w="25400" cap="rnd">
              <a:solidFill>
                <a:schemeClr val="accent1">
                  <a:lumMod val="60000"/>
                </a:schemeClr>
              </a:solidFill>
              <a:prstDash val="sysDot"/>
              <a:round/>
            </a:ln>
            <a:effectLst/>
          </c:spPr>
          <c:marker>
            <c:symbol val="none"/>
          </c:marker>
          <c:dLbls>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318-4821-B075-D0CC4CBF4F6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Visuals!$I$66:$K$66</c:f>
              <c:strCache>
                <c:ptCount val="3"/>
                <c:pt idx="0">
                  <c:v>KR4.1</c:v>
                </c:pt>
                <c:pt idx="1">
                  <c:v>KR4.2</c:v>
                </c:pt>
                <c:pt idx="2">
                  <c:v>KR4.3</c:v>
                </c:pt>
              </c:strCache>
            </c:strRef>
          </c:cat>
          <c:val>
            <c:numRef>
              <c:f>Visuals!$I$73:$K$73</c:f>
              <c:numCache>
                <c:formatCode>General</c:formatCode>
                <c:ptCount val="3"/>
                <c:pt idx="0">
                  <c:v>0.3</c:v>
                </c:pt>
                <c:pt idx="1">
                  <c:v>0.3</c:v>
                </c:pt>
                <c:pt idx="2">
                  <c:v>0.3</c:v>
                </c:pt>
              </c:numCache>
            </c:numRef>
          </c:val>
          <c:smooth val="0"/>
          <c:extLst>
            <c:ext xmlns:c16="http://schemas.microsoft.com/office/drawing/2014/chart" uri="{C3380CC4-5D6E-409C-BE32-E72D297353CC}">
              <c16:uniqueId val="{00000007-6318-4821-B075-D0CC4CBF4F62}"/>
            </c:ext>
          </c:extLst>
        </c:ser>
        <c:dLbls>
          <c:showLegendKey val="0"/>
          <c:showVal val="0"/>
          <c:showCatName val="0"/>
          <c:showSerName val="0"/>
          <c:showPercent val="0"/>
          <c:showBubbleSize val="0"/>
        </c:dLbls>
        <c:marker val="1"/>
        <c:smooth val="0"/>
        <c:axId val="514929280"/>
        <c:axId val="514929760"/>
        <c:extLst>
          <c:ext xmlns:c15="http://schemas.microsoft.com/office/drawing/2012/chart" uri="{02D57815-91ED-43cb-92C2-25804820EDAC}">
            <c15:filteredLineSeries>
              <c15:ser>
                <c:idx val="4"/>
                <c:order val="4"/>
                <c:tx>
                  <c:strRef>
                    <c:extLst>
                      <c:ext uri="{02D57815-91ED-43cb-92C2-25804820EDAC}">
                        <c15:formulaRef>
                          <c15:sqref>Visuals!$H$71</c15:sqref>
                        </c15:formulaRef>
                      </c:ext>
                    </c:extLst>
                    <c:strCache>
                      <c:ptCount val="1"/>
                    </c:strCache>
                  </c:strRef>
                </c:tx>
                <c:spPr>
                  <a:ln w="28575" cap="rnd">
                    <a:solidFill>
                      <a:schemeClr val="accent5"/>
                    </a:solidFill>
                    <a:round/>
                  </a:ln>
                  <a:effectLst/>
                </c:spPr>
                <c:marker>
                  <c:symbol val="none"/>
                </c:marker>
                <c:cat>
                  <c:strRef>
                    <c:extLst>
                      <c:ext uri="{02D57815-91ED-43cb-92C2-25804820EDAC}">
                        <c15:formulaRef>
                          <c15:sqref>Visuals!$I$66:$K$66</c15:sqref>
                        </c15:formulaRef>
                      </c:ext>
                    </c:extLst>
                    <c:strCache>
                      <c:ptCount val="3"/>
                      <c:pt idx="0">
                        <c:v>KR4.1</c:v>
                      </c:pt>
                      <c:pt idx="1">
                        <c:v>KR4.2</c:v>
                      </c:pt>
                      <c:pt idx="2">
                        <c:v>KR4.3</c:v>
                      </c:pt>
                    </c:strCache>
                  </c:strRef>
                </c:cat>
                <c:val>
                  <c:numRef>
                    <c:extLst>
                      <c:ext uri="{02D57815-91ED-43cb-92C2-25804820EDAC}">
                        <c15:formulaRef>
                          <c15:sqref>Visuals!$I$71:$K$71</c15:sqref>
                        </c15:formulaRef>
                      </c:ext>
                    </c:extLst>
                    <c:numCache>
                      <c:formatCode>General</c:formatCode>
                      <c:ptCount val="3"/>
                    </c:numCache>
                  </c:numRef>
                </c:val>
                <c:smooth val="0"/>
                <c:extLst>
                  <c:ext xmlns:c16="http://schemas.microsoft.com/office/drawing/2014/chart" uri="{C3380CC4-5D6E-409C-BE32-E72D297353CC}">
                    <c16:uniqueId val="{00000008-6318-4821-B075-D0CC4CBF4F62}"/>
                  </c:ext>
                </c:extLst>
              </c15:ser>
            </c15:filteredLineSeries>
          </c:ext>
        </c:extLst>
      </c:lineChart>
      <c:catAx>
        <c:axId val="51492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4917760"/>
        <c:crosses val="autoZero"/>
        <c:auto val="1"/>
        <c:lblAlgn val="ctr"/>
        <c:lblOffset val="100"/>
        <c:noMultiLvlLbl val="0"/>
      </c:catAx>
      <c:valAx>
        <c:axId val="51491776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Key Result score</a:t>
                </a:r>
              </a:p>
            </c:rich>
          </c:tx>
          <c:layout>
            <c:manualLayout>
              <c:xMode val="edge"/>
              <c:yMode val="edge"/>
              <c:x val="3.2132815637970276E-2"/>
              <c:y val="0.22084061906054847"/>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4927840"/>
        <c:crosses val="autoZero"/>
        <c:crossBetween val="between"/>
        <c:majorUnit val="0.2"/>
      </c:valAx>
      <c:valAx>
        <c:axId val="514929760"/>
        <c:scaling>
          <c:orientation val="minMax"/>
        </c:scaling>
        <c:delete val="1"/>
        <c:axPos val="r"/>
        <c:numFmt formatCode="General" sourceLinked="1"/>
        <c:majorTickMark val="none"/>
        <c:minorTickMark val="none"/>
        <c:tickLblPos val="nextTo"/>
        <c:crossAx val="514929280"/>
        <c:crosses val="max"/>
        <c:crossBetween val="between"/>
      </c:valAx>
      <c:catAx>
        <c:axId val="514929280"/>
        <c:scaling>
          <c:orientation val="minMax"/>
        </c:scaling>
        <c:delete val="1"/>
        <c:axPos val="b"/>
        <c:numFmt formatCode="General" sourceLinked="1"/>
        <c:majorTickMark val="none"/>
        <c:minorTickMark val="none"/>
        <c:tickLblPos val="nextTo"/>
        <c:crossAx val="5149297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44673478232919"/>
          <c:y val="4.9861722556245963E-2"/>
          <c:w val="0.88106814538622491"/>
          <c:h val="0.72679731327513775"/>
        </c:manualLayout>
      </c:layout>
      <c:barChart>
        <c:barDir val="col"/>
        <c:grouping val="clustered"/>
        <c:varyColors val="0"/>
        <c:ser>
          <c:idx val="0"/>
          <c:order val="0"/>
          <c:tx>
            <c:strRef>
              <c:f>Visuals!$A$93</c:f>
              <c:strCache>
                <c:ptCount val="1"/>
                <c:pt idx="0">
                  <c:v>Q1</c:v>
                </c:pt>
              </c:strCache>
            </c:strRef>
          </c:tx>
          <c:spPr>
            <a:solidFill>
              <a:srgbClr val="156082"/>
            </a:solidFill>
            <a:ln>
              <a:noFill/>
            </a:ln>
            <a:effectLst/>
          </c:spPr>
          <c:invertIfNegative val="0"/>
          <c:cat>
            <c:strRef>
              <c:f>Visuals!$B$92:$E$92</c:f>
              <c:strCache>
                <c:ptCount val="4"/>
                <c:pt idx="0">
                  <c:v>KR5.1</c:v>
                </c:pt>
                <c:pt idx="1">
                  <c:v>KR5.2</c:v>
                </c:pt>
                <c:pt idx="2">
                  <c:v>KR5.3</c:v>
                </c:pt>
                <c:pt idx="3">
                  <c:v>KR5.4</c:v>
                </c:pt>
              </c:strCache>
            </c:strRef>
          </c:cat>
          <c:val>
            <c:numRef>
              <c:f>Visuals!$B$93:$E$93</c:f>
              <c:numCache>
                <c:formatCode>General</c:formatCode>
                <c:ptCount val="4"/>
                <c:pt idx="0">
                  <c:v>0</c:v>
                </c:pt>
                <c:pt idx="1">
                  <c:v>0.15</c:v>
                </c:pt>
                <c:pt idx="2">
                  <c:v>0.4</c:v>
                </c:pt>
                <c:pt idx="3">
                  <c:v>0.33</c:v>
                </c:pt>
              </c:numCache>
            </c:numRef>
          </c:val>
          <c:extLst>
            <c:ext xmlns:c16="http://schemas.microsoft.com/office/drawing/2014/chart" uri="{C3380CC4-5D6E-409C-BE32-E72D297353CC}">
              <c16:uniqueId val="{00000000-B05B-40D2-AD43-3BDC8945F1E1}"/>
            </c:ext>
          </c:extLst>
        </c:ser>
        <c:ser>
          <c:idx val="1"/>
          <c:order val="1"/>
          <c:tx>
            <c:strRef>
              <c:f>Visuals!$A$94</c:f>
              <c:strCache>
                <c:ptCount val="1"/>
                <c:pt idx="0">
                  <c:v>Q2</c:v>
                </c:pt>
              </c:strCache>
            </c:strRef>
          </c:tx>
          <c:spPr>
            <a:solidFill>
              <a:srgbClr val="E97132"/>
            </a:solidFill>
            <a:ln>
              <a:noFill/>
            </a:ln>
            <a:effectLst/>
          </c:spPr>
          <c:invertIfNegative val="0"/>
          <c:cat>
            <c:strRef>
              <c:f>Visuals!$B$92:$E$92</c:f>
              <c:strCache>
                <c:ptCount val="4"/>
                <c:pt idx="0">
                  <c:v>KR5.1</c:v>
                </c:pt>
                <c:pt idx="1">
                  <c:v>KR5.2</c:v>
                </c:pt>
                <c:pt idx="2">
                  <c:v>KR5.3</c:v>
                </c:pt>
                <c:pt idx="3">
                  <c:v>KR5.4</c:v>
                </c:pt>
              </c:strCache>
            </c:strRef>
          </c:cat>
          <c:val>
            <c:numRef>
              <c:f>Visuals!$B$94:$E$94</c:f>
              <c:numCache>
                <c:formatCode>General</c:formatCode>
                <c:ptCount val="4"/>
                <c:pt idx="0">
                  <c:v>0</c:v>
                </c:pt>
                <c:pt idx="1">
                  <c:v>0.38</c:v>
                </c:pt>
                <c:pt idx="2">
                  <c:v>0.54</c:v>
                </c:pt>
                <c:pt idx="3">
                  <c:v>0.5</c:v>
                </c:pt>
              </c:numCache>
            </c:numRef>
          </c:val>
          <c:extLst>
            <c:ext xmlns:c16="http://schemas.microsoft.com/office/drawing/2014/chart" uri="{C3380CC4-5D6E-409C-BE32-E72D297353CC}">
              <c16:uniqueId val="{00000001-B05B-40D2-AD43-3BDC8945F1E1}"/>
            </c:ext>
          </c:extLst>
        </c:ser>
        <c:ser>
          <c:idx val="2"/>
          <c:order val="2"/>
          <c:tx>
            <c:strRef>
              <c:f>Visuals!$A$95</c:f>
              <c:strCache>
                <c:ptCount val="1"/>
                <c:pt idx="0">
                  <c:v>Q3</c:v>
                </c:pt>
              </c:strCache>
            </c:strRef>
          </c:tx>
          <c:spPr>
            <a:solidFill>
              <a:srgbClr val="2A8451"/>
            </a:solidFill>
            <a:ln>
              <a:noFill/>
            </a:ln>
            <a:effectLst/>
          </c:spPr>
          <c:invertIfNegative val="0"/>
          <c:cat>
            <c:strRef>
              <c:f>Visuals!$B$92:$E$92</c:f>
              <c:strCache>
                <c:ptCount val="4"/>
                <c:pt idx="0">
                  <c:v>KR5.1</c:v>
                </c:pt>
                <c:pt idx="1">
                  <c:v>KR5.2</c:v>
                </c:pt>
                <c:pt idx="2">
                  <c:v>KR5.3</c:v>
                </c:pt>
                <c:pt idx="3">
                  <c:v>KR5.4</c:v>
                </c:pt>
              </c:strCache>
            </c:strRef>
          </c:cat>
          <c:val>
            <c:numRef>
              <c:f>Visuals!$B$95:$E$95</c:f>
              <c:numCache>
                <c:formatCode>General</c:formatCode>
                <c:ptCount val="4"/>
              </c:numCache>
            </c:numRef>
          </c:val>
          <c:extLst>
            <c:ext xmlns:c16="http://schemas.microsoft.com/office/drawing/2014/chart" uri="{C3380CC4-5D6E-409C-BE32-E72D297353CC}">
              <c16:uniqueId val="{00000002-B05B-40D2-AD43-3BDC8945F1E1}"/>
            </c:ext>
          </c:extLst>
        </c:ser>
        <c:ser>
          <c:idx val="3"/>
          <c:order val="3"/>
          <c:tx>
            <c:strRef>
              <c:f>Visuals!$A$96</c:f>
              <c:strCache>
                <c:ptCount val="1"/>
                <c:pt idx="0">
                  <c:v>Q4</c:v>
                </c:pt>
              </c:strCache>
            </c:strRef>
          </c:tx>
          <c:spPr>
            <a:solidFill>
              <a:srgbClr val="A22895"/>
            </a:solidFill>
            <a:ln>
              <a:noFill/>
            </a:ln>
            <a:effectLst/>
          </c:spPr>
          <c:invertIfNegative val="0"/>
          <c:cat>
            <c:strRef>
              <c:f>Visuals!$B$92:$E$92</c:f>
              <c:strCache>
                <c:ptCount val="4"/>
                <c:pt idx="0">
                  <c:v>KR5.1</c:v>
                </c:pt>
                <c:pt idx="1">
                  <c:v>KR5.2</c:v>
                </c:pt>
                <c:pt idx="2">
                  <c:v>KR5.3</c:v>
                </c:pt>
                <c:pt idx="3">
                  <c:v>KR5.4</c:v>
                </c:pt>
              </c:strCache>
            </c:strRef>
          </c:cat>
          <c:val>
            <c:numRef>
              <c:f>Visuals!$B$96:$E$96</c:f>
              <c:numCache>
                <c:formatCode>General</c:formatCode>
                <c:ptCount val="4"/>
              </c:numCache>
            </c:numRef>
          </c:val>
          <c:extLst>
            <c:ext xmlns:c16="http://schemas.microsoft.com/office/drawing/2014/chart" uri="{C3380CC4-5D6E-409C-BE32-E72D297353CC}">
              <c16:uniqueId val="{00000003-B05B-40D2-AD43-3BDC8945F1E1}"/>
            </c:ext>
          </c:extLst>
        </c:ser>
        <c:dLbls>
          <c:showLegendKey val="0"/>
          <c:showVal val="0"/>
          <c:showCatName val="0"/>
          <c:showSerName val="0"/>
          <c:showPercent val="0"/>
          <c:showBubbleSize val="0"/>
        </c:dLbls>
        <c:gapWidth val="150"/>
        <c:axId val="410715312"/>
        <c:axId val="410703312"/>
      </c:barChart>
      <c:lineChart>
        <c:grouping val="standard"/>
        <c:varyColors val="0"/>
        <c:ser>
          <c:idx val="4"/>
          <c:order val="4"/>
          <c:tx>
            <c:strRef>
              <c:f>Visuals!$A$97</c:f>
              <c:strCache>
                <c:ptCount val="1"/>
                <c:pt idx="0">
                  <c:v>Delivering </c:v>
                </c:pt>
              </c:strCache>
            </c:strRef>
          </c:tx>
          <c:spPr>
            <a:ln w="19050" cap="rnd">
              <a:solidFill>
                <a:schemeClr val="tx1"/>
              </a:solidFill>
              <a:round/>
            </a:ln>
            <a:effectLst/>
          </c:spPr>
          <c:marker>
            <c:symbol val="none"/>
          </c:marker>
          <c:dLbls>
            <c:dLbl>
              <c:idx val="3"/>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05B-40D2-AD43-3BDC8945F1E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Visuals!$B$92:$E$92</c:f>
              <c:strCache>
                <c:ptCount val="4"/>
                <c:pt idx="0">
                  <c:v>KR5.1</c:v>
                </c:pt>
                <c:pt idx="1">
                  <c:v>KR5.2</c:v>
                </c:pt>
                <c:pt idx="2">
                  <c:v>KR5.3</c:v>
                </c:pt>
                <c:pt idx="3">
                  <c:v>KR5.4</c:v>
                </c:pt>
              </c:strCache>
            </c:strRef>
          </c:cat>
          <c:val>
            <c:numRef>
              <c:f>Visuals!$B$97:$E$97</c:f>
              <c:numCache>
                <c:formatCode>General</c:formatCode>
                <c:ptCount val="4"/>
                <c:pt idx="0">
                  <c:v>0.7</c:v>
                </c:pt>
                <c:pt idx="1">
                  <c:v>0.7</c:v>
                </c:pt>
                <c:pt idx="2">
                  <c:v>0.7</c:v>
                </c:pt>
                <c:pt idx="3">
                  <c:v>0.7</c:v>
                </c:pt>
              </c:numCache>
            </c:numRef>
          </c:val>
          <c:smooth val="0"/>
          <c:extLst>
            <c:ext xmlns:c16="http://schemas.microsoft.com/office/drawing/2014/chart" uri="{C3380CC4-5D6E-409C-BE32-E72D297353CC}">
              <c16:uniqueId val="{00000005-B05B-40D2-AD43-3BDC8945F1E1}"/>
            </c:ext>
          </c:extLst>
        </c:ser>
        <c:ser>
          <c:idx val="5"/>
          <c:order val="5"/>
          <c:tx>
            <c:strRef>
              <c:f>Visuals!$A$98</c:f>
              <c:strCache>
                <c:ptCount val="1"/>
                <c:pt idx="0">
                  <c:v>Measurable progress</c:v>
                </c:pt>
              </c:strCache>
            </c:strRef>
          </c:tx>
          <c:spPr>
            <a:ln w="25400" cap="rnd">
              <a:solidFill>
                <a:schemeClr val="tx1"/>
              </a:solidFill>
              <a:prstDash val="sysDot"/>
              <a:round/>
            </a:ln>
            <a:effectLst/>
          </c:spPr>
          <c:marker>
            <c:symbol val="none"/>
          </c:marker>
          <c:dLbls>
            <c:dLbl>
              <c:idx val="3"/>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05B-40D2-AD43-3BDC8945F1E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Visuals!$B$92:$E$92</c:f>
              <c:strCache>
                <c:ptCount val="4"/>
                <c:pt idx="0">
                  <c:v>KR5.1</c:v>
                </c:pt>
                <c:pt idx="1">
                  <c:v>KR5.2</c:v>
                </c:pt>
                <c:pt idx="2">
                  <c:v>KR5.3</c:v>
                </c:pt>
                <c:pt idx="3">
                  <c:v>KR5.4</c:v>
                </c:pt>
              </c:strCache>
            </c:strRef>
          </c:cat>
          <c:val>
            <c:numRef>
              <c:f>Visuals!$B$98:$E$98</c:f>
              <c:numCache>
                <c:formatCode>General</c:formatCode>
                <c:ptCount val="4"/>
                <c:pt idx="0">
                  <c:v>0.3</c:v>
                </c:pt>
                <c:pt idx="1">
                  <c:v>0.3</c:v>
                </c:pt>
                <c:pt idx="2">
                  <c:v>0.3</c:v>
                </c:pt>
                <c:pt idx="3">
                  <c:v>0.3</c:v>
                </c:pt>
              </c:numCache>
            </c:numRef>
          </c:val>
          <c:smooth val="0"/>
          <c:extLst>
            <c:ext xmlns:c16="http://schemas.microsoft.com/office/drawing/2014/chart" uri="{C3380CC4-5D6E-409C-BE32-E72D297353CC}">
              <c16:uniqueId val="{00000007-B05B-40D2-AD43-3BDC8945F1E1}"/>
            </c:ext>
          </c:extLst>
        </c:ser>
        <c:dLbls>
          <c:showLegendKey val="0"/>
          <c:showVal val="0"/>
          <c:showCatName val="0"/>
          <c:showSerName val="0"/>
          <c:showPercent val="0"/>
          <c:showBubbleSize val="0"/>
        </c:dLbls>
        <c:marker val="1"/>
        <c:smooth val="0"/>
        <c:axId val="583886096"/>
        <c:axId val="583863056"/>
      </c:lineChart>
      <c:catAx>
        <c:axId val="410715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0703312"/>
        <c:crosses val="autoZero"/>
        <c:auto val="1"/>
        <c:lblAlgn val="ctr"/>
        <c:lblOffset val="100"/>
        <c:noMultiLvlLbl val="0"/>
      </c:catAx>
      <c:valAx>
        <c:axId val="41070331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Key Result score</a:t>
                </a:r>
              </a:p>
            </c:rich>
          </c:tx>
          <c:layout>
            <c:manualLayout>
              <c:xMode val="edge"/>
              <c:yMode val="edge"/>
              <c:x val="3.1603897814063732E-2"/>
              <c:y val="0.20727528867198305"/>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0715312"/>
        <c:crosses val="autoZero"/>
        <c:crossBetween val="between"/>
        <c:majorUnit val="0.2"/>
      </c:valAx>
      <c:valAx>
        <c:axId val="583863056"/>
        <c:scaling>
          <c:orientation val="minMax"/>
        </c:scaling>
        <c:delete val="1"/>
        <c:axPos val="r"/>
        <c:numFmt formatCode="General" sourceLinked="1"/>
        <c:majorTickMark val="out"/>
        <c:minorTickMark val="none"/>
        <c:tickLblPos val="nextTo"/>
        <c:crossAx val="583886096"/>
        <c:crosses val="max"/>
        <c:crossBetween val="between"/>
      </c:valAx>
      <c:catAx>
        <c:axId val="583886096"/>
        <c:scaling>
          <c:orientation val="minMax"/>
        </c:scaling>
        <c:delete val="1"/>
        <c:axPos val="b"/>
        <c:numFmt formatCode="General" sourceLinked="1"/>
        <c:majorTickMark val="out"/>
        <c:minorTickMark val="none"/>
        <c:tickLblPos val="nextTo"/>
        <c:crossAx val="5838630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6">
      <a:dk1>
        <a:srgbClr val="3C4741"/>
      </a:dk1>
      <a:lt1>
        <a:srgbClr val="FFFFFF"/>
      </a:lt1>
      <a:dk2>
        <a:srgbClr val="6E7571"/>
      </a:dk2>
      <a:lt2>
        <a:srgbClr val="E7E6E6"/>
      </a:lt2>
      <a:accent1>
        <a:srgbClr val="40C37B"/>
      </a:accent1>
      <a:accent2>
        <a:srgbClr val="016574"/>
      </a:accent2>
      <a:accent3>
        <a:srgbClr val="C14090"/>
      </a:accent3>
      <a:accent4>
        <a:srgbClr val="0393D3"/>
      </a:accent4>
      <a:accent5>
        <a:srgbClr val="00976E"/>
      </a:accent5>
      <a:accent6>
        <a:srgbClr val="FDC343"/>
      </a:accent6>
      <a:hlink>
        <a:srgbClr val="FF732B"/>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9DF234D88AD54C9652A794F32E0A18" ma:contentTypeVersion="3" ma:contentTypeDescription="Create a new document." ma:contentTypeScope="" ma:versionID="2b4cdbf7711f46c6354f38eeca770488">
  <xsd:schema xmlns:xsd="http://www.w3.org/2001/XMLSchema" xmlns:xs="http://www.w3.org/2001/XMLSchema" xmlns:p="http://schemas.microsoft.com/office/2006/metadata/properties" xmlns:ns2="aacac12b-2e0e-47db-b1f8-93d6a79ab5d5" targetNamespace="http://schemas.microsoft.com/office/2006/metadata/properties" ma:root="true" ma:fieldsID="1370d63e17a9537c86da21d1782c05d0" ns2:_="">
    <xsd:import namespace="aacac12b-2e0e-47db-b1f8-93d6a79ab5d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ac12b-2e0e-47db-b1f8-93d6a79ab5d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xsd:enumeration value="Approved"/>
          <xsd:enumeration value="Chair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aacac12b-2e0e-47db-b1f8-93d6a79ab5d5">Approved</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0F149-FADE-4A6F-BA29-652DC2DEA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ac12b-2e0e-47db-b1f8-93d6a79ab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3D557-9CDD-42B5-843C-09BFE7BA376E}">
  <ds:schemaRefs>
    <ds:schemaRef ds:uri="http://schemas.microsoft.com/sharepoint/v3/contenttype/forms"/>
  </ds:schemaRefs>
</ds:datastoreItem>
</file>

<file path=customXml/itemProps3.xml><?xml version="1.0" encoding="utf-8"?>
<ds:datastoreItem xmlns:ds="http://schemas.openxmlformats.org/officeDocument/2006/customXml" ds:itemID="{9329312B-0A70-4CF3-851B-083D28A57758}">
  <ds:schemaRefs>
    <ds:schemaRef ds:uri="http://schemas.microsoft.com/office/2006/metadata/properties"/>
    <ds:schemaRef ds:uri="http://schemas.microsoft.com/office/infopath/2007/PartnerControls"/>
    <ds:schemaRef ds:uri="aacac12b-2e0e-47db-b1f8-93d6a79ab5d5"/>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7358</Words>
  <Characters>41945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49205</CharactersWithSpaces>
  <SharedDoc>false</SharedDoc>
  <HLinks>
    <vt:vector size="138" baseType="variant">
      <vt:variant>
        <vt:i4>3539007</vt:i4>
      </vt:variant>
      <vt:variant>
        <vt:i4>105</vt:i4>
      </vt:variant>
      <vt:variant>
        <vt:i4>0</vt:i4>
      </vt:variant>
      <vt:variant>
        <vt:i4>5</vt:i4>
      </vt:variant>
      <vt:variant>
        <vt:lpwstr>https://www.sepa.org.uk/environment/waste/waste-data/waste-data-reporting/household-waste-data/</vt:lpwstr>
      </vt:variant>
      <vt:variant>
        <vt:lpwstr/>
      </vt:variant>
      <vt:variant>
        <vt:i4>1441870</vt:i4>
      </vt:variant>
      <vt:variant>
        <vt:i4>102</vt:i4>
      </vt:variant>
      <vt:variant>
        <vt:i4>0</vt:i4>
      </vt:variant>
      <vt:variant>
        <vt:i4>5</vt:i4>
      </vt:variant>
      <vt:variant>
        <vt:lpwstr>https://www.sepa.org.uk/media/2mqpt5lk/2023-classification-summary-report.pdf</vt:lpwstr>
      </vt:variant>
      <vt:variant>
        <vt:lpwstr/>
      </vt:variant>
      <vt:variant>
        <vt:i4>1769488</vt:i4>
      </vt:variant>
      <vt:variant>
        <vt:i4>99</vt:i4>
      </vt:variant>
      <vt:variant>
        <vt:i4>0</vt:i4>
      </vt:variant>
      <vt:variant>
        <vt:i4>5</vt:i4>
      </vt:variant>
      <vt:variant>
        <vt:lpwstr>https://sustainablescotlandnetwork.org/reports/the-scottish-environment-protection-agency</vt:lpwstr>
      </vt:variant>
      <vt:variant>
        <vt:lpwstr/>
      </vt:variant>
      <vt:variant>
        <vt:i4>8192039</vt:i4>
      </vt:variant>
      <vt:variant>
        <vt:i4>96</vt:i4>
      </vt:variant>
      <vt:variant>
        <vt:i4>0</vt:i4>
      </vt:variant>
      <vt:variant>
        <vt:i4>5</vt:i4>
      </vt:variant>
      <vt:variant>
        <vt:lpwstr>https://beta.sepa.scot/news/2025/emissions-from-scotland-s-largest-industrial-facilities-down-nearly-a-quarter-since-2019/</vt:lpwstr>
      </vt:variant>
      <vt:variant>
        <vt:lpwstr/>
      </vt:variant>
      <vt:variant>
        <vt:i4>5439504</vt:i4>
      </vt:variant>
      <vt:variant>
        <vt:i4>93</vt:i4>
      </vt:variant>
      <vt:variant>
        <vt:i4>0</vt:i4>
      </vt:variant>
      <vt:variant>
        <vt:i4>5</vt:i4>
      </vt:variant>
      <vt:variant>
        <vt:lpwstr>https://www.sepa.org.uk/environment/environmental-data/spri/</vt:lpwstr>
      </vt:variant>
      <vt:variant>
        <vt:lpwstr/>
      </vt:variant>
      <vt:variant>
        <vt:i4>1310785</vt:i4>
      </vt:variant>
      <vt:variant>
        <vt:i4>90</vt:i4>
      </vt:variant>
      <vt:variant>
        <vt:i4>0</vt:i4>
      </vt:variant>
      <vt:variant>
        <vt:i4>5</vt:i4>
      </vt:variant>
      <vt:variant>
        <vt:lpwstr>https://beta.sepa.scot/about-sepa/who-we-are/our-performance/annual-operating-plan-2025-2026</vt:lpwstr>
      </vt:variant>
      <vt:variant>
        <vt:lpwstr/>
      </vt:variant>
      <vt:variant>
        <vt:i4>3539032</vt:i4>
      </vt:variant>
      <vt:variant>
        <vt:i4>87</vt:i4>
      </vt:variant>
      <vt:variant>
        <vt:i4>0</vt:i4>
      </vt:variant>
      <vt:variant>
        <vt:i4>5</vt:i4>
      </vt:variant>
      <vt:variant>
        <vt:lpwstr>mailto:equalities@sepa.org.uk</vt:lpwstr>
      </vt:variant>
      <vt:variant>
        <vt:lpwstr/>
      </vt:variant>
      <vt:variant>
        <vt:i4>1376309</vt:i4>
      </vt:variant>
      <vt:variant>
        <vt:i4>80</vt:i4>
      </vt:variant>
      <vt:variant>
        <vt:i4>0</vt:i4>
      </vt:variant>
      <vt:variant>
        <vt:i4>5</vt:i4>
      </vt:variant>
      <vt:variant>
        <vt:lpwstr/>
      </vt:variant>
      <vt:variant>
        <vt:lpwstr>_Toc245403216</vt:lpwstr>
      </vt:variant>
      <vt:variant>
        <vt:i4>2228232</vt:i4>
      </vt:variant>
      <vt:variant>
        <vt:i4>74</vt:i4>
      </vt:variant>
      <vt:variant>
        <vt:i4>0</vt:i4>
      </vt:variant>
      <vt:variant>
        <vt:i4>5</vt:i4>
      </vt:variant>
      <vt:variant>
        <vt:lpwstr/>
      </vt:variant>
      <vt:variant>
        <vt:lpwstr>_Toc2094063106</vt:lpwstr>
      </vt:variant>
      <vt:variant>
        <vt:i4>1572920</vt:i4>
      </vt:variant>
      <vt:variant>
        <vt:i4>68</vt:i4>
      </vt:variant>
      <vt:variant>
        <vt:i4>0</vt:i4>
      </vt:variant>
      <vt:variant>
        <vt:i4>5</vt:i4>
      </vt:variant>
      <vt:variant>
        <vt:lpwstr/>
      </vt:variant>
      <vt:variant>
        <vt:lpwstr>_Toc283097001</vt:lpwstr>
      </vt:variant>
      <vt:variant>
        <vt:i4>1441844</vt:i4>
      </vt:variant>
      <vt:variant>
        <vt:i4>62</vt:i4>
      </vt:variant>
      <vt:variant>
        <vt:i4>0</vt:i4>
      </vt:variant>
      <vt:variant>
        <vt:i4>5</vt:i4>
      </vt:variant>
      <vt:variant>
        <vt:lpwstr/>
      </vt:variant>
      <vt:variant>
        <vt:lpwstr>_Toc306910089</vt:lpwstr>
      </vt:variant>
      <vt:variant>
        <vt:i4>2097152</vt:i4>
      </vt:variant>
      <vt:variant>
        <vt:i4>56</vt:i4>
      </vt:variant>
      <vt:variant>
        <vt:i4>0</vt:i4>
      </vt:variant>
      <vt:variant>
        <vt:i4>5</vt:i4>
      </vt:variant>
      <vt:variant>
        <vt:lpwstr/>
      </vt:variant>
      <vt:variant>
        <vt:lpwstr>_Toc1036290901</vt:lpwstr>
      </vt:variant>
      <vt:variant>
        <vt:i4>2686979</vt:i4>
      </vt:variant>
      <vt:variant>
        <vt:i4>50</vt:i4>
      </vt:variant>
      <vt:variant>
        <vt:i4>0</vt:i4>
      </vt:variant>
      <vt:variant>
        <vt:i4>5</vt:i4>
      </vt:variant>
      <vt:variant>
        <vt:lpwstr/>
      </vt:variant>
      <vt:variant>
        <vt:lpwstr>_Toc1154151876</vt:lpwstr>
      </vt:variant>
      <vt:variant>
        <vt:i4>2818055</vt:i4>
      </vt:variant>
      <vt:variant>
        <vt:i4>44</vt:i4>
      </vt:variant>
      <vt:variant>
        <vt:i4>0</vt:i4>
      </vt:variant>
      <vt:variant>
        <vt:i4>5</vt:i4>
      </vt:variant>
      <vt:variant>
        <vt:lpwstr/>
      </vt:variant>
      <vt:variant>
        <vt:lpwstr>_Toc1341224549</vt:lpwstr>
      </vt:variant>
      <vt:variant>
        <vt:i4>2359310</vt:i4>
      </vt:variant>
      <vt:variant>
        <vt:i4>38</vt:i4>
      </vt:variant>
      <vt:variant>
        <vt:i4>0</vt:i4>
      </vt:variant>
      <vt:variant>
        <vt:i4>5</vt:i4>
      </vt:variant>
      <vt:variant>
        <vt:lpwstr/>
      </vt:variant>
      <vt:variant>
        <vt:lpwstr>_Toc1560554380</vt:lpwstr>
      </vt:variant>
      <vt:variant>
        <vt:i4>1835056</vt:i4>
      </vt:variant>
      <vt:variant>
        <vt:i4>32</vt:i4>
      </vt:variant>
      <vt:variant>
        <vt:i4>0</vt:i4>
      </vt:variant>
      <vt:variant>
        <vt:i4>5</vt:i4>
      </vt:variant>
      <vt:variant>
        <vt:lpwstr/>
      </vt:variant>
      <vt:variant>
        <vt:lpwstr>_Toc527849685</vt:lpwstr>
      </vt:variant>
      <vt:variant>
        <vt:i4>2097163</vt:i4>
      </vt:variant>
      <vt:variant>
        <vt:i4>26</vt:i4>
      </vt:variant>
      <vt:variant>
        <vt:i4>0</vt:i4>
      </vt:variant>
      <vt:variant>
        <vt:i4>5</vt:i4>
      </vt:variant>
      <vt:variant>
        <vt:lpwstr/>
      </vt:variant>
      <vt:variant>
        <vt:lpwstr>_Toc1401122898</vt:lpwstr>
      </vt:variant>
      <vt:variant>
        <vt:i4>1507386</vt:i4>
      </vt:variant>
      <vt:variant>
        <vt:i4>20</vt:i4>
      </vt:variant>
      <vt:variant>
        <vt:i4>0</vt:i4>
      </vt:variant>
      <vt:variant>
        <vt:i4>5</vt:i4>
      </vt:variant>
      <vt:variant>
        <vt:lpwstr/>
      </vt:variant>
      <vt:variant>
        <vt:lpwstr>_Toc210206859</vt:lpwstr>
      </vt:variant>
      <vt:variant>
        <vt:i4>1048630</vt:i4>
      </vt:variant>
      <vt:variant>
        <vt:i4>14</vt:i4>
      </vt:variant>
      <vt:variant>
        <vt:i4>0</vt:i4>
      </vt:variant>
      <vt:variant>
        <vt:i4>5</vt:i4>
      </vt:variant>
      <vt:variant>
        <vt:lpwstr/>
      </vt:variant>
      <vt:variant>
        <vt:lpwstr>_Toc908176002</vt:lpwstr>
      </vt:variant>
      <vt:variant>
        <vt:i4>2818050</vt:i4>
      </vt:variant>
      <vt:variant>
        <vt:i4>8</vt:i4>
      </vt:variant>
      <vt:variant>
        <vt:i4>0</vt:i4>
      </vt:variant>
      <vt:variant>
        <vt:i4>5</vt:i4>
      </vt:variant>
      <vt:variant>
        <vt:lpwstr/>
      </vt:variant>
      <vt:variant>
        <vt:lpwstr>_Toc1156487655</vt:lpwstr>
      </vt:variant>
      <vt:variant>
        <vt:i4>2031666</vt:i4>
      </vt:variant>
      <vt:variant>
        <vt:i4>2</vt:i4>
      </vt:variant>
      <vt:variant>
        <vt:i4>0</vt:i4>
      </vt:variant>
      <vt:variant>
        <vt:i4>5</vt:i4>
      </vt:variant>
      <vt:variant>
        <vt:lpwstr/>
      </vt:variant>
      <vt:variant>
        <vt:lpwstr>_Toc871228953</vt:lpwstr>
      </vt:variant>
      <vt:variant>
        <vt:i4>3604505</vt:i4>
      </vt:variant>
      <vt:variant>
        <vt:i4>3</vt:i4>
      </vt:variant>
      <vt:variant>
        <vt:i4>0</vt:i4>
      </vt:variant>
      <vt:variant>
        <vt:i4>5</vt:i4>
      </vt:variant>
      <vt:variant>
        <vt:lpwstr>mailto:helen.hine@sepa.org.uk</vt:lpwstr>
      </vt:variant>
      <vt:variant>
        <vt:lpwstr/>
      </vt:variant>
      <vt:variant>
        <vt:i4>3145741</vt:i4>
      </vt:variant>
      <vt:variant>
        <vt:i4>0</vt:i4>
      </vt:variant>
      <vt:variant>
        <vt:i4>0</vt:i4>
      </vt:variant>
      <vt:variant>
        <vt:i4>5</vt:i4>
      </vt:variant>
      <vt:variant>
        <vt:lpwstr>mailto:k.campbell@sepa.org.uk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Lee</dc:creator>
  <cp:keywords/>
  <dc:description/>
  <cp:lastModifiedBy>Foley, Jennifer</cp:lastModifiedBy>
  <cp:revision>6</cp:revision>
  <cp:lastPrinted>2023-03-26T13:44:00Z</cp:lastPrinted>
  <dcterms:created xsi:type="dcterms:W3CDTF">2026-01-16T09:41:00Z</dcterms:created>
  <dcterms:modified xsi:type="dcterms:W3CDTF">2026-02-25T12:04:00Z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0x010100969DF234D88AD54C9652A794F32E0A18</vt:lpwstr>
  </property>
  <property fmtid="{D5CDD505-2E9C-101B-9397-08002B2CF9AE}" pid="3" name="MediaServiceImageTags">
    <vt:lpwstr/>
  </property>
  <property fmtid="{D5CDD505-2E9C-101B-9397-08002B2CF9AE}" pid="4" name="ClassificationContentMarkingHeaderFontProps">
    <vt:lpwstr>#0000ff,10,Aptos</vt:lpwstr>
  </property>
  <property fmtid="{D5CDD505-2E9C-101B-9397-08002B2CF9AE}" pid="5" name="ClassificationContentMarkingFooterFontProps">
    <vt:lpwstr>#0000ff,10,Aptos</vt:lpwstr>
  </property>
  <property fmtid="{D5CDD505-2E9C-101B-9397-08002B2CF9AE}" pid="6" name="ClassificationContentMarkingHeaderShapeIds">
    <vt:lpwstr>6,9,b,50f98a3d,dee1ebb,311ae66f</vt:lpwstr>
  </property>
  <property fmtid="{D5CDD505-2E9C-101B-9397-08002B2CF9AE}" pid="7" name="ClassificationContentMarkingHeaderText">
    <vt:lpwstr>OFFICIAL</vt:lpwstr>
  </property>
  <property fmtid="{D5CDD505-2E9C-101B-9397-08002B2CF9AE}" pid="8" name="ClassificationContentMarkingFooterShapeIds">
    <vt:lpwstr>19,1d,1f,20,22,5d4a84a6,287423be,7c66d3e6</vt:lpwstr>
  </property>
  <property fmtid="{D5CDD505-2E9C-101B-9397-08002B2CF9AE}" pid="9" name="ClassificationContentMarkingFooterText">
    <vt:lpwstr>OFFICIAL</vt:lpwstr>
  </property>
  <property fmtid="{D5CDD505-2E9C-101B-9397-08002B2CF9AE}" pid="10" name="sepaDocOwner">
    <vt:lpwstr>13</vt:lpwstr>
  </property>
  <property fmtid="{D5CDD505-2E9C-101B-9397-08002B2CF9AE}" pid="11" name="k30a802c90584b64ac3ae896c6a1ef3a">
    <vt:lpwstr>Corporate Legal ＆ Leadership Support|1643fb16-7f9d-4b68-a240-4f2ee0ff6ac3</vt:lpwstr>
  </property>
  <property fmtid="{D5CDD505-2E9C-101B-9397-08002B2CF9AE}" pid="12" name="TaxCatchAll">
    <vt:lpwstr>1;#Corporate Legal ＆ Leadership Support|1643fb16-7f9d-4b68-a240-4f2ee0ff6ac3</vt:lpwstr>
  </property>
  <property fmtid="{D5CDD505-2E9C-101B-9397-08002B2CF9AE}" pid="13" name="sepaIAODept">
    <vt:lpwstr>1;#Corporate Legal ＆ Leadership Support|1643fb16-7f9d-4b68-a240-4f2ee0ff6ac3</vt:lpwstr>
  </property>
  <property fmtid="{D5CDD505-2E9C-101B-9397-08002B2CF9AE}" pid="14" name="docLang">
    <vt:lpwstr>en</vt:lpwstr>
  </property>
  <property fmtid="{D5CDD505-2E9C-101B-9397-08002B2CF9AE}" pid="15" name="Order">
    <vt:r8>26800</vt:r8>
  </property>
  <property fmtid="{D5CDD505-2E9C-101B-9397-08002B2CF9AE}" pid="16" name="sepaApprovalStatus">
    <vt:lpwstr/>
  </property>
  <property fmtid="{D5CDD505-2E9C-101B-9397-08002B2CF9AE}" pid="17" name="xd_Signature">
    <vt:bool>false</vt:bool>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sepaDocSensitivity">
    <vt:lpwstr>Official-Confidential</vt:lpwstr>
  </property>
  <property fmtid="{D5CDD505-2E9C-101B-9397-08002B2CF9AE}" pid="22" name="k30a802c90584b64ac3ae896c6a1ef3a0">
    <vt:lpwstr>Corporate Legal ＆ Leadership Support|1643fb16-7f9d-4b68-a240-4f2ee0ff6ac3</vt:lpwstr>
  </property>
  <property fmtid="{D5CDD505-2E9C-101B-9397-08002B2CF9AE}" pid="23" name="_ExtendedDescription">
    <vt:lpwstr/>
  </property>
  <property fmtid="{D5CDD505-2E9C-101B-9397-08002B2CF9AE}" pid="24" name="TriggerFlowInfo">
    <vt:lpwstr/>
  </property>
  <property fmtid="{D5CDD505-2E9C-101B-9397-08002B2CF9AE}" pid="25" name="Committee">
    <vt:lpwstr>Agency Board</vt:lpwstr>
  </property>
  <property fmtid="{D5CDD505-2E9C-101B-9397-08002B2CF9AE}" pid="26" name="Meeting Date">
    <vt:filetime>2026-02-24T00:00:00Z</vt:filetime>
  </property>
  <property fmtid="{D5CDD505-2E9C-101B-9397-08002B2CF9AE}" pid="27" name="Doc Type">
    <vt:lpwstr>Paper</vt:lpwstr>
  </property>
  <property fmtid="{D5CDD505-2E9C-101B-9397-08002B2CF9AE}" pid="28" name="Author(s)">
    <vt:lpwstr>Helen Hine, Darren McKay, Clare Noblett</vt:lpwstr>
  </property>
  <property fmtid="{D5CDD505-2E9C-101B-9397-08002B2CF9AE}" pid="29" name="Sponsor">
    <vt:lpwstr>COGPE</vt:lpwstr>
  </property>
  <property fmtid="{D5CDD505-2E9C-101B-9397-08002B2CF9AE}" pid="30" name="Paper No">
    <vt:lpwstr>SEPA25-26/031</vt:lpwstr>
  </property>
  <property fmtid="{D5CDD505-2E9C-101B-9397-08002B2CF9AE}" pid="31" name="MSIP_Label_ea4fd52f-9814-4cae-aa53-0ea7b16cd381_Enabled">
    <vt:lpwstr>true</vt:lpwstr>
  </property>
  <property fmtid="{D5CDD505-2E9C-101B-9397-08002B2CF9AE}" pid="32" name="MSIP_Label_ea4fd52f-9814-4cae-aa53-0ea7b16cd381_SetDate">
    <vt:lpwstr>2026-02-25T12:02:51Z</vt:lpwstr>
  </property>
  <property fmtid="{D5CDD505-2E9C-101B-9397-08002B2CF9AE}" pid="33" name="MSIP_Label_ea4fd52f-9814-4cae-aa53-0ea7b16cd381_Method">
    <vt:lpwstr>Privileged</vt:lpwstr>
  </property>
  <property fmtid="{D5CDD505-2E9C-101B-9397-08002B2CF9AE}" pid="34" name="MSIP_Label_ea4fd52f-9814-4cae-aa53-0ea7b16cd381_Name">
    <vt:lpwstr>Official General</vt:lpwstr>
  </property>
  <property fmtid="{D5CDD505-2E9C-101B-9397-08002B2CF9AE}" pid="35" name="MSIP_Label_ea4fd52f-9814-4cae-aa53-0ea7b16cd381_SiteId">
    <vt:lpwstr>5cf26d65-cf46-4c72-ba82-7577d9c2d7ab</vt:lpwstr>
  </property>
  <property fmtid="{D5CDD505-2E9C-101B-9397-08002B2CF9AE}" pid="36" name="MSIP_Label_ea4fd52f-9814-4cae-aa53-0ea7b16cd381_ActionId">
    <vt:lpwstr>b04bcce1-b82b-4caa-8177-597bb5ef8fea</vt:lpwstr>
  </property>
  <property fmtid="{D5CDD505-2E9C-101B-9397-08002B2CF9AE}" pid="37" name="MSIP_Label_ea4fd52f-9814-4cae-aa53-0ea7b16cd381_ContentBits">
    <vt:lpwstr>3</vt:lpwstr>
  </property>
  <property fmtid="{D5CDD505-2E9C-101B-9397-08002B2CF9AE}" pid="38" name="MSIP_Label_ea4fd52f-9814-4cae-aa53-0ea7b16cd381_Tag">
    <vt:lpwstr>10, 0, 1, 1</vt:lpwstr>
  </property>
</Properties>
</file>