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5519142" w:displacedByCustomXml="next"/>
    <w:bookmarkStart w:id="1" w:name="_Toc195519214" w:displacedByCustomXml="next"/>
    <w:sdt>
      <w:sdtPr>
        <w:rPr>
          <w:rFonts w:asciiTheme="minorHAnsi" w:eastAsiaTheme="minorEastAsia" w:hAnsiTheme="minorHAnsi" w:cstheme="minorBidi"/>
          <w:b w:val="0"/>
          <w:color w:val="auto"/>
          <w:sz w:val="24"/>
          <w:szCs w:val="24"/>
        </w:rPr>
        <w:id w:val="-191923907"/>
        <w:docPartObj>
          <w:docPartGallery w:val="Cover Pages"/>
          <w:docPartUnique/>
        </w:docPartObj>
      </w:sdtPr>
      <w:sdtEndPr>
        <w:rPr>
          <w:rFonts w:asciiTheme="majorHAnsi" w:eastAsiaTheme="majorEastAsia" w:hAnsiTheme="majorHAnsi" w:cstheme="majorBidi"/>
          <w:b/>
          <w:color w:val="016574" w:themeColor="accent2"/>
          <w:sz w:val="40"/>
          <w:szCs w:val="32"/>
        </w:rPr>
      </w:sdtEndPr>
      <w:sdtContent>
        <w:bookmarkEnd w:id="1" w:displacedByCustomXml="prev"/>
        <w:bookmarkEnd w:id="0" w:displacedByCustomXml="prev"/>
        <w:p w14:paraId="7D77314D" w14:textId="6EB1C399" w:rsidR="00DB495E" w:rsidRDefault="00DB495E" w:rsidP="00DB495E">
          <w:pPr>
            <w:pStyle w:val="Heading1"/>
            <w:rPr>
              <w:noProof/>
            </w:rPr>
          </w:pPr>
          <w:r>
            <w:rPr>
              <w:noProof/>
            </w:rPr>
            <w:drawing>
              <wp:inline distT="0" distB="0" distL="0" distR="0" wp14:anchorId="34A9AE28" wp14:editId="6C8B0BD2">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r>
            <w:rPr>
              <w:noProof/>
            </w:rPr>
            <w:drawing>
              <wp:anchor distT="0" distB="0" distL="114300" distR="114300" simplePos="0" relativeHeight="251660289" behindDoc="1" locked="0" layoutInCell="1" allowOverlap="1" wp14:anchorId="7C4A2C9E" wp14:editId="5C3A28D1">
                <wp:simplePos x="0" y="0"/>
                <wp:positionH relativeFrom="page">
                  <wp:align>right</wp:align>
                </wp:positionH>
                <wp:positionV relativeFrom="paragraph">
                  <wp:posOffset>-679450</wp:posOffset>
                </wp:positionV>
                <wp:extent cx="7559040" cy="11328799"/>
                <wp:effectExtent l="0" t="0" r="3810" b="6350"/>
                <wp:wrapNone/>
                <wp:docPr id="1196725000" name="Picture 11967250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040" cy="11328799"/>
                        </a:xfrm>
                        <a:prstGeom prst="rect">
                          <a:avLst/>
                        </a:prstGeom>
                      </pic:spPr>
                    </pic:pic>
                  </a:graphicData>
                </a:graphic>
                <wp14:sizeRelH relativeFrom="page">
                  <wp14:pctWidth>0</wp14:pctWidth>
                </wp14:sizeRelH>
                <wp14:sizeRelV relativeFrom="page">
                  <wp14:pctHeight>0</wp14:pctHeight>
                </wp14:sizeRelV>
              </wp:anchor>
            </w:drawing>
          </w:r>
        </w:p>
        <w:p w14:paraId="392ED408" w14:textId="18D5102C" w:rsidR="008C1A73" w:rsidRPr="00CF7EFB" w:rsidRDefault="007B3010" w:rsidP="00DB495E">
          <w:pPr>
            <w:pStyle w:val="Heading1"/>
            <w:rPr>
              <w:b w:val="0"/>
              <w:bCs/>
              <w:color w:val="FFFFFF" w:themeColor="background1"/>
              <w:sz w:val="84"/>
              <w:szCs w:val="84"/>
            </w:rPr>
          </w:pPr>
        </w:p>
      </w:sdtContent>
    </w:sdt>
    <w:p w14:paraId="47601A9C" w14:textId="3EA32436" w:rsidR="00DB495E" w:rsidRDefault="00DB495E" w:rsidP="00DB495E">
      <w:pPr>
        <w:pStyle w:val="Heading1"/>
        <w:spacing w:after="120" w:line="276" w:lineRule="auto"/>
        <w:rPr>
          <w:bCs/>
          <w:color w:val="FFFFFF" w:themeColor="background1"/>
          <w:sz w:val="84"/>
          <w:szCs w:val="84"/>
        </w:rPr>
      </w:pPr>
      <w:bookmarkStart w:id="2" w:name="_Toc195080864"/>
      <w:bookmarkStart w:id="3" w:name="_Toc195081808"/>
      <w:bookmarkStart w:id="4" w:name="_Toc195082816"/>
      <w:bookmarkStart w:id="5" w:name="_Toc195085497"/>
      <w:bookmarkStart w:id="6" w:name="_Toc195090827"/>
      <w:bookmarkStart w:id="7" w:name="_Toc195511456"/>
      <w:bookmarkStart w:id="8" w:name="_Toc195511756"/>
      <w:bookmarkStart w:id="9" w:name="_Toc195519143"/>
      <w:bookmarkStart w:id="10" w:name="_Toc195519215"/>
      <w:bookmarkStart w:id="11" w:name="_Hlk175061576"/>
      <w:r>
        <w:rPr>
          <w:noProof/>
        </w:rPr>
        <mc:AlternateContent>
          <mc:Choice Requires="wps">
            <w:drawing>
              <wp:anchor distT="0" distB="0" distL="114300" distR="114300" simplePos="0" relativeHeight="251662337" behindDoc="0" locked="1" layoutInCell="1" allowOverlap="1" wp14:anchorId="40F8BE2B" wp14:editId="6A0B25F5">
                <wp:simplePos x="0" y="0"/>
                <wp:positionH relativeFrom="margin">
                  <wp:align>left</wp:align>
                </wp:positionH>
                <wp:positionV relativeFrom="margin">
                  <wp:align>bottom</wp:align>
                </wp:positionV>
                <wp:extent cx="4309110" cy="617855"/>
                <wp:effectExtent l="0" t="0" r="15240" b="1079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9110" cy="617855"/>
                        </a:xfrm>
                        <a:prstGeom prst="rect">
                          <a:avLst/>
                        </a:prstGeom>
                        <a:noFill/>
                        <a:ln w="6350">
                          <a:noFill/>
                        </a:ln>
                      </wps:spPr>
                      <wps:txbx>
                        <w:txbxContent>
                          <w:p w14:paraId="420599A0" w14:textId="77777777" w:rsidR="00DB495E" w:rsidRDefault="00DB495E" w:rsidP="00DB495E">
                            <w:pPr>
                              <w:pStyle w:val="BodyText1"/>
                              <w:rPr>
                                <w:color w:val="FFFFFF" w:themeColor="background1"/>
                              </w:rPr>
                            </w:pPr>
                            <w:r w:rsidRPr="00FB358C">
                              <w:rPr>
                                <w:color w:val="FFFFFF" w:themeColor="background1"/>
                              </w:rPr>
                              <w:t xml:space="preserve">Version </w:t>
                            </w:r>
                            <w:r>
                              <w:rPr>
                                <w:color w:val="FFFFFF" w:themeColor="background1"/>
                              </w:rPr>
                              <w:t>2</w:t>
                            </w:r>
                            <w:r w:rsidRPr="00FB358C">
                              <w:rPr>
                                <w:color w:val="FFFFFF" w:themeColor="background1"/>
                              </w:rPr>
                              <w:t>.0 August 2025</w:t>
                            </w:r>
                          </w:p>
                          <w:p w14:paraId="6BE35435" w14:textId="77777777" w:rsidR="00DB495E" w:rsidRPr="009A240D" w:rsidRDefault="00DB495E" w:rsidP="00DB495E">
                            <w:pPr>
                              <w:pStyle w:val="BodyText1"/>
                              <w:rPr>
                                <w:color w:val="FFFFFF" w:themeColor="background1"/>
                              </w:rPr>
                            </w:pPr>
                            <w:r>
                              <w:rPr>
                                <w:color w:val="FFFFFF" w:themeColor="background1"/>
                              </w:rPr>
                              <w:t>IND-LF-G-013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8BE2B" id="_x0000_t202" coordsize="21600,21600" o:spt="202" path="m,l,21600r21600,l21600,xe">
                <v:stroke joinstyle="miter"/>
                <v:path gradientshapeok="t" o:connecttype="rect"/>
              </v:shapetype>
              <v:shape id="Text Box 3" o:spid="_x0000_s1026" type="#_x0000_t202" alt="&quot;&quot;" style="position:absolute;margin-left:0;margin-top:0;width:339.3pt;height:48.65pt;z-index:251662337;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" filled="f" stroked="f" strokeweight=".5pt">
                <v:textbox inset="0,0,0,0">
                  <w:txbxContent>
                    <w:p w14:paraId="420599A0" w14:textId="77777777" w:rsidR="00DB495E" w:rsidRDefault="00DB495E" w:rsidP="00DB495E">
                      <w:pPr>
                        <w:pStyle w:val="BodyText1"/>
                        <w:rPr>
                          <w:color w:val="FFFFFF" w:themeColor="background1"/>
                        </w:rPr>
                      </w:pPr>
                      <w:r w:rsidRPr="00FB358C">
                        <w:rPr>
                          <w:color w:val="FFFFFF" w:themeColor="background1"/>
                        </w:rPr>
                        <w:t xml:space="preserve">Version </w:t>
                      </w:r>
                      <w:r>
                        <w:rPr>
                          <w:color w:val="FFFFFF" w:themeColor="background1"/>
                        </w:rPr>
                        <w:t>2</w:t>
                      </w:r>
                      <w:r w:rsidRPr="00FB358C">
                        <w:rPr>
                          <w:color w:val="FFFFFF" w:themeColor="background1"/>
                        </w:rPr>
                        <w:t>.0 August 2025</w:t>
                      </w:r>
                    </w:p>
                    <w:p w14:paraId="6BE35435" w14:textId="77777777" w:rsidR="00DB495E" w:rsidRPr="009A240D" w:rsidRDefault="00DB495E" w:rsidP="00DB495E">
                      <w:pPr>
                        <w:pStyle w:val="BodyText1"/>
                        <w:rPr>
                          <w:color w:val="FFFFFF" w:themeColor="background1"/>
                        </w:rPr>
                      </w:pPr>
                      <w:r>
                        <w:rPr>
                          <w:color w:val="FFFFFF" w:themeColor="background1"/>
                        </w:rPr>
                        <w:t>IND-LF-G-013</w:t>
                      </w:r>
                    </w:p>
                  </w:txbxContent>
                </v:textbox>
                <w10:wrap anchorx="margin" anchory="margin"/>
                <w10:anchorlock/>
              </v:shape>
            </w:pict>
          </mc:Fallback>
        </mc:AlternateContent>
      </w:r>
      <w:r>
        <w:rPr>
          <w:bCs/>
          <w:color w:val="FFFFFF" w:themeColor="background1"/>
          <w:sz w:val="84"/>
          <w:szCs w:val="84"/>
        </w:rPr>
        <w:t>SEPA</w:t>
      </w:r>
      <w:r w:rsidRPr="00F6167A">
        <w:rPr>
          <w:bCs/>
          <w:color w:val="FFFFFF" w:themeColor="background1"/>
          <w:sz w:val="84"/>
          <w:szCs w:val="84"/>
        </w:rPr>
        <w:t xml:space="preserve"> Guidance</w:t>
      </w:r>
      <w:r>
        <w:rPr>
          <w:bCs/>
          <w:color w:val="FFFFFF" w:themeColor="background1"/>
          <w:sz w:val="84"/>
          <w:szCs w:val="84"/>
        </w:rPr>
        <w:t>:</w:t>
      </w:r>
      <w:r w:rsidRPr="00F6167A">
        <w:rPr>
          <w:bCs/>
          <w:color w:val="FFFFFF" w:themeColor="background1"/>
          <w:sz w:val="84"/>
          <w:szCs w:val="84"/>
        </w:rPr>
        <w:t xml:space="preserve"> Landfills regulated under the Environmental Authorisation</w:t>
      </w:r>
      <w:r>
        <w:rPr>
          <w:bCs/>
          <w:color w:val="FFFFFF" w:themeColor="background1"/>
          <w:sz w:val="84"/>
          <w:szCs w:val="84"/>
        </w:rPr>
        <w:t>s</w:t>
      </w:r>
      <w:r w:rsidRPr="00F6167A">
        <w:rPr>
          <w:bCs/>
          <w:color w:val="FFFFFF" w:themeColor="background1"/>
          <w:sz w:val="84"/>
          <w:szCs w:val="84"/>
        </w:rPr>
        <w:t xml:space="preserve"> (Scotland) Regulations - Closure and Aftercare </w:t>
      </w:r>
      <w:r>
        <w:rPr>
          <w:b w:val="0"/>
          <w:bCs/>
          <w:color w:val="FFFFFF" w:themeColor="background1"/>
          <w:sz w:val="84"/>
          <w:szCs w:val="84"/>
        </w:rPr>
        <w:t>M</w:t>
      </w:r>
      <w:r w:rsidRPr="00F6167A">
        <w:rPr>
          <w:bCs/>
          <w:color w:val="FFFFFF" w:themeColor="background1"/>
          <w:sz w:val="84"/>
          <w:szCs w:val="84"/>
        </w:rPr>
        <w:t>anagement Plan</w:t>
      </w:r>
    </w:p>
    <w:p w14:paraId="13C95AED" w14:textId="77777777" w:rsidR="00DB495E" w:rsidRDefault="00DB495E" w:rsidP="00DB495E"/>
    <w:p w14:paraId="79AB25F6" w14:textId="77777777" w:rsidR="00DB495E" w:rsidRDefault="00DB495E" w:rsidP="00DB495E"/>
    <w:p w14:paraId="5D1B871A" w14:textId="77777777" w:rsidR="00DB495E" w:rsidRDefault="00DB495E" w:rsidP="00DB495E"/>
    <w:p w14:paraId="142534CE" w14:textId="77777777" w:rsidR="00DB495E" w:rsidRDefault="00DB495E" w:rsidP="00DB495E"/>
    <w:p w14:paraId="07607F29" w14:textId="77777777" w:rsidR="00DB495E" w:rsidRDefault="00DB495E" w:rsidP="00DB495E"/>
    <w:p w14:paraId="04E0D054" w14:textId="77777777" w:rsidR="00DB495E" w:rsidRDefault="00DB495E" w:rsidP="00DB495E"/>
    <w:p w14:paraId="31A4FE73" w14:textId="77777777" w:rsidR="00DB495E" w:rsidRDefault="00DB495E" w:rsidP="00DB495E"/>
    <w:p w14:paraId="33C3C1CD" w14:textId="77777777" w:rsidR="00DB495E" w:rsidRDefault="00DB495E" w:rsidP="00DB495E"/>
    <w:p w14:paraId="1A892495" w14:textId="77777777" w:rsidR="00DB495E" w:rsidRDefault="00DB495E" w:rsidP="00DB495E"/>
    <w:p w14:paraId="1D2E43B4" w14:textId="77777777" w:rsidR="00DB495E" w:rsidRPr="00DB495E" w:rsidRDefault="00DB495E" w:rsidP="00DB495E"/>
    <w:p w14:paraId="291C2980" w14:textId="17F46260" w:rsidR="00682C24" w:rsidRDefault="00682C24" w:rsidP="00682C24">
      <w:pPr>
        <w:pStyle w:val="Heading1"/>
        <w:spacing w:after="120"/>
        <w:rPr>
          <w:noProof/>
        </w:rPr>
      </w:pPr>
      <w:r>
        <w:lastRenderedPageBreak/>
        <w:t>Contents</w:t>
      </w:r>
      <w:bookmarkEnd w:id="2"/>
      <w:bookmarkEnd w:id="3"/>
      <w:bookmarkEnd w:id="4"/>
      <w:bookmarkEnd w:id="5"/>
      <w:bookmarkEnd w:id="6"/>
      <w:bookmarkEnd w:id="7"/>
      <w:bookmarkEnd w:id="8"/>
      <w:bookmarkEnd w:id="9"/>
      <w:bookmarkEnd w:id="10"/>
      <w:r w:rsidRPr="00085D68">
        <w:rPr>
          <w:rFonts w:ascii="Arial" w:eastAsia="Arial" w:hAnsi="Arial" w:cs="Arial"/>
          <w:b w:val="0"/>
          <w:color w:val="000000"/>
          <w:kern w:val="2"/>
          <w:sz w:val="24"/>
          <w:szCs w:val="24"/>
          <w:lang w:eastAsia="en-GB"/>
          <w14:ligatures w14:val="standardContextual"/>
        </w:rPr>
        <w:fldChar w:fldCharType="begin"/>
      </w:r>
      <w:r w:rsidRPr="00085D68">
        <w:rPr>
          <w:sz w:val="24"/>
          <w:szCs w:val="24"/>
        </w:rPr>
        <w:instrText xml:space="preserve"> TOC \o "1-3" \h \z \u </w:instrText>
      </w:r>
      <w:r w:rsidRPr="00085D68">
        <w:rPr>
          <w:rFonts w:ascii="Arial" w:eastAsia="Arial" w:hAnsi="Arial" w:cs="Arial"/>
          <w:b w:val="0"/>
          <w:color w:val="000000"/>
          <w:kern w:val="2"/>
          <w:sz w:val="24"/>
          <w:szCs w:val="24"/>
          <w:lang w:eastAsia="en-GB"/>
          <w14:ligatures w14:val="standardContextual"/>
        </w:rPr>
        <w:fldChar w:fldCharType="separate"/>
      </w:r>
    </w:p>
    <w:p w14:paraId="7AFD18B1" w14:textId="5614D2FC" w:rsidR="00682C24" w:rsidRPr="00682C24" w:rsidRDefault="00682C24" w:rsidP="00682C24">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5519216" w:history="1">
        <w:r w:rsidRPr="00682C24">
          <w:rPr>
            <w:rStyle w:val="Hyperlink"/>
            <w:noProof/>
            <w:sz w:val="24"/>
          </w:rPr>
          <w:t>Background</w:t>
        </w:r>
        <w:r w:rsidRPr="00682C24">
          <w:rPr>
            <w:noProof/>
            <w:webHidden/>
            <w:sz w:val="24"/>
          </w:rPr>
          <w:tab/>
        </w:r>
        <w:r w:rsidRPr="00682C24">
          <w:rPr>
            <w:noProof/>
            <w:webHidden/>
            <w:sz w:val="24"/>
          </w:rPr>
          <w:fldChar w:fldCharType="begin"/>
        </w:r>
        <w:r w:rsidRPr="00682C24">
          <w:rPr>
            <w:noProof/>
            <w:webHidden/>
            <w:sz w:val="24"/>
          </w:rPr>
          <w:instrText xml:space="preserve"> PAGEREF _Toc195519216 \h </w:instrText>
        </w:r>
        <w:r w:rsidRPr="00682C24">
          <w:rPr>
            <w:noProof/>
            <w:webHidden/>
            <w:sz w:val="24"/>
          </w:rPr>
        </w:r>
        <w:r w:rsidRPr="00682C24">
          <w:rPr>
            <w:noProof/>
            <w:webHidden/>
            <w:sz w:val="24"/>
          </w:rPr>
          <w:fldChar w:fldCharType="separate"/>
        </w:r>
        <w:r w:rsidR="00886039">
          <w:rPr>
            <w:noProof/>
            <w:webHidden/>
            <w:sz w:val="24"/>
          </w:rPr>
          <w:t>3</w:t>
        </w:r>
        <w:r w:rsidRPr="00682C24">
          <w:rPr>
            <w:noProof/>
            <w:webHidden/>
            <w:sz w:val="24"/>
          </w:rPr>
          <w:fldChar w:fldCharType="end"/>
        </w:r>
      </w:hyperlink>
    </w:p>
    <w:p w14:paraId="5AA93FDA" w14:textId="270F4605" w:rsidR="00682C24" w:rsidRPr="00682C24" w:rsidRDefault="00682C24" w:rsidP="00682C24">
      <w:pPr>
        <w:pStyle w:val="TOC2"/>
        <w:tabs>
          <w:tab w:val="right" w:leader="dot" w:pos="10212"/>
        </w:tabs>
        <w:spacing w:after="240"/>
        <w:ind w:left="0"/>
        <w:rPr>
          <w:rFonts w:ascii="Arial" w:hAnsi="Arial" w:cs="Arial"/>
          <w:noProof/>
          <w:kern w:val="2"/>
          <w:lang w:eastAsia="en-GB"/>
          <w14:ligatures w14:val="standardContextual"/>
        </w:rPr>
      </w:pPr>
      <w:hyperlink w:anchor="_Toc195519217" w:history="1">
        <w:r w:rsidRPr="00682C24">
          <w:rPr>
            <w:rStyle w:val="Hyperlink"/>
            <w:rFonts w:ascii="Arial" w:hAnsi="Arial" w:cs="Arial"/>
            <w:noProof/>
          </w:rPr>
          <w:t>General</w:t>
        </w:r>
        <w:r w:rsidRPr="00682C24">
          <w:rPr>
            <w:rFonts w:ascii="Arial" w:hAnsi="Arial" w:cs="Arial"/>
            <w:noProof/>
            <w:webHidden/>
          </w:rPr>
          <w:tab/>
        </w:r>
        <w:r w:rsidRPr="00682C24">
          <w:rPr>
            <w:rFonts w:ascii="Arial" w:hAnsi="Arial" w:cs="Arial"/>
            <w:noProof/>
            <w:webHidden/>
          </w:rPr>
          <w:fldChar w:fldCharType="begin"/>
        </w:r>
        <w:r w:rsidRPr="00682C24">
          <w:rPr>
            <w:rFonts w:ascii="Arial" w:hAnsi="Arial" w:cs="Arial"/>
            <w:noProof/>
            <w:webHidden/>
          </w:rPr>
          <w:instrText xml:space="preserve"> PAGEREF _Toc195519217 \h </w:instrText>
        </w:r>
        <w:r w:rsidRPr="00682C24">
          <w:rPr>
            <w:rFonts w:ascii="Arial" w:hAnsi="Arial" w:cs="Arial"/>
            <w:noProof/>
            <w:webHidden/>
          </w:rPr>
        </w:r>
        <w:r w:rsidRPr="00682C24">
          <w:rPr>
            <w:rFonts w:ascii="Arial" w:hAnsi="Arial" w:cs="Arial"/>
            <w:noProof/>
            <w:webHidden/>
          </w:rPr>
          <w:fldChar w:fldCharType="separate"/>
        </w:r>
        <w:r w:rsidR="00886039">
          <w:rPr>
            <w:rFonts w:ascii="Arial" w:hAnsi="Arial" w:cs="Arial"/>
            <w:noProof/>
            <w:webHidden/>
          </w:rPr>
          <w:t>3</w:t>
        </w:r>
        <w:r w:rsidRPr="00682C24">
          <w:rPr>
            <w:rFonts w:ascii="Arial" w:hAnsi="Arial" w:cs="Arial"/>
            <w:noProof/>
            <w:webHidden/>
          </w:rPr>
          <w:fldChar w:fldCharType="end"/>
        </w:r>
      </w:hyperlink>
    </w:p>
    <w:p w14:paraId="2A036A49" w14:textId="1F110E5C" w:rsidR="00682C24" w:rsidRPr="00682C24" w:rsidRDefault="00682C24" w:rsidP="00682C24">
      <w:pPr>
        <w:pStyle w:val="TOC3"/>
        <w:tabs>
          <w:tab w:val="right" w:leader="dot" w:pos="10212"/>
        </w:tabs>
        <w:spacing w:after="240"/>
        <w:rPr>
          <w:rFonts w:ascii="Arial" w:hAnsi="Arial" w:cs="Arial"/>
          <w:noProof/>
          <w:kern w:val="2"/>
          <w:lang w:eastAsia="en-GB"/>
          <w14:ligatures w14:val="standardContextual"/>
        </w:rPr>
      </w:pPr>
      <w:hyperlink w:anchor="_Toc195519218" w:history="1">
        <w:r w:rsidRPr="00682C24">
          <w:rPr>
            <w:rStyle w:val="Hyperlink"/>
            <w:rFonts w:ascii="Arial" w:hAnsi="Arial" w:cs="Arial"/>
            <w:noProof/>
          </w:rPr>
          <w:t>Capping</w:t>
        </w:r>
        <w:r w:rsidRPr="00682C24">
          <w:rPr>
            <w:rFonts w:ascii="Arial" w:hAnsi="Arial" w:cs="Arial"/>
            <w:noProof/>
            <w:webHidden/>
          </w:rPr>
          <w:tab/>
        </w:r>
        <w:r w:rsidRPr="00682C24">
          <w:rPr>
            <w:rFonts w:ascii="Arial" w:hAnsi="Arial" w:cs="Arial"/>
            <w:noProof/>
            <w:webHidden/>
          </w:rPr>
          <w:fldChar w:fldCharType="begin"/>
        </w:r>
        <w:r w:rsidRPr="00682C24">
          <w:rPr>
            <w:rFonts w:ascii="Arial" w:hAnsi="Arial" w:cs="Arial"/>
            <w:noProof/>
            <w:webHidden/>
          </w:rPr>
          <w:instrText xml:space="preserve"> PAGEREF _Toc195519218 \h </w:instrText>
        </w:r>
        <w:r w:rsidRPr="00682C24">
          <w:rPr>
            <w:rFonts w:ascii="Arial" w:hAnsi="Arial" w:cs="Arial"/>
            <w:noProof/>
            <w:webHidden/>
          </w:rPr>
        </w:r>
        <w:r w:rsidRPr="00682C24">
          <w:rPr>
            <w:rFonts w:ascii="Arial" w:hAnsi="Arial" w:cs="Arial"/>
            <w:noProof/>
            <w:webHidden/>
          </w:rPr>
          <w:fldChar w:fldCharType="separate"/>
        </w:r>
        <w:r w:rsidR="00886039">
          <w:rPr>
            <w:rFonts w:ascii="Arial" w:hAnsi="Arial" w:cs="Arial"/>
            <w:noProof/>
            <w:webHidden/>
          </w:rPr>
          <w:t>3</w:t>
        </w:r>
        <w:r w:rsidRPr="00682C24">
          <w:rPr>
            <w:rFonts w:ascii="Arial" w:hAnsi="Arial" w:cs="Arial"/>
            <w:noProof/>
            <w:webHidden/>
          </w:rPr>
          <w:fldChar w:fldCharType="end"/>
        </w:r>
      </w:hyperlink>
    </w:p>
    <w:p w14:paraId="60112F0F" w14:textId="54DB5A95" w:rsidR="00682C24" w:rsidRPr="00682C24" w:rsidRDefault="00682C24" w:rsidP="00682C24">
      <w:pPr>
        <w:pStyle w:val="TOC3"/>
        <w:tabs>
          <w:tab w:val="right" w:leader="dot" w:pos="10212"/>
        </w:tabs>
        <w:spacing w:after="240"/>
        <w:rPr>
          <w:rFonts w:ascii="Arial" w:hAnsi="Arial" w:cs="Arial"/>
          <w:noProof/>
          <w:kern w:val="2"/>
          <w:lang w:eastAsia="en-GB"/>
          <w14:ligatures w14:val="standardContextual"/>
        </w:rPr>
      </w:pPr>
      <w:hyperlink w:anchor="_Toc195519219" w:history="1">
        <w:r w:rsidRPr="00682C24">
          <w:rPr>
            <w:rStyle w:val="Hyperlink"/>
            <w:rFonts w:ascii="Arial" w:hAnsi="Arial" w:cs="Arial"/>
            <w:noProof/>
          </w:rPr>
          <w:t>Restoration</w:t>
        </w:r>
        <w:r w:rsidRPr="00682C24">
          <w:rPr>
            <w:rFonts w:ascii="Arial" w:hAnsi="Arial" w:cs="Arial"/>
            <w:noProof/>
            <w:webHidden/>
          </w:rPr>
          <w:tab/>
        </w:r>
        <w:r w:rsidRPr="00682C24">
          <w:rPr>
            <w:rFonts w:ascii="Arial" w:hAnsi="Arial" w:cs="Arial"/>
            <w:noProof/>
            <w:webHidden/>
          </w:rPr>
          <w:fldChar w:fldCharType="begin"/>
        </w:r>
        <w:r w:rsidRPr="00682C24">
          <w:rPr>
            <w:rFonts w:ascii="Arial" w:hAnsi="Arial" w:cs="Arial"/>
            <w:noProof/>
            <w:webHidden/>
          </w:rPr>
          <w:instrText xml:space="preserve"> PAGEREF _Toc195519219 \h </w:instrText>
        </w:r>
        <w:r w:rsidRPr="00682C24">
          <w:rPr>
            <w:rFonts w:ascii="Arial" w:hAnsi="Arial" w:cs="Arial"/>
            <w:noProof/>
            <w:webHidden/>
          </w:rPr>
        </w:r>
        <w:r w:rsidRPr="00682C24">
          <w:rPr>
            <w:rFonts w:ascii="Arial" w:hAnsi="Arial" w:cs="Arial"/>
            <w:noProof/>
            <w:webHidden/>
          </w:rPr>
          <w:fldChar w:fldCharType="separate"/>
        </w:r>
        <w:r w:rsidR="00886039">
          <w:rPr>
            <w:rFonts w:ascii="Arial" w:hAnsi="Arial" w:cs="Arial"/>
            <w:noProof/>
            <w:webHidden/>
          </w:rPr>
          <w:t>3</w:t>
        </w:r>
        <w:r w:rsidRPr="00682C24">
          <w:rPr>
            <w:rFonts w:ascii="Arial" w:hAnsi="Arial" w:cs="Arial"/>
            <w:noProof/>
            <w:webHidden/>
          </w:rPr>
          <w:fldChar w:fldCharType="end"/>
        </w:r>
      </w:hyperlink>
    </w:p>
    <w:p w14:paraId="0E4749AA" w14:textId="66F702E7" w:rsidR="00682C24" w:rsidRPr="00682C24" w:rsidRDefault="00682C24" w:rsidP="00682C24">
      <w:pPr>
        <w:pStyle w:val="TOC3"/>
        <w:tabs>
          <w:tab w:val="right" w:leader="dot" w:pos="10212"/>
        </w:tabs>
        <w:spacing w:after="240"/>
        <w:rPr>
          <w:rFonts w:ascii="Arial" w:hAnsi="Arial" w:cs="Arial"/>
          <w:noProof/>
          <w:kern w:val="2"/>
          <w:lang w:eastAsia="en-GB"/>
          <w14:ligatures w14:val="standardContextual"/>
        </w:rPr>
      </w:pPr>
      <w:hyperlink w:anchor="_Toc195519220" w:history="1">
        <w:r w:rsidRPr="00682C24">
          <w:rPr>
            <w:rStyle w:val="Hyperlink"/>
            <w:rFonts w:ascii="Arial" w:hAnsi="Arial" w:cs="Arial"/>
            <w:noProof/>
          </w:rPr>
          <w:t>Stability</w:t>
        </w:r>
        <w:r w:rsidRPr="00682C24">
          <w:rPr>
            <w:rFonts w:ascii="Arial" w:hAnsi="Arial" w:cs="Arial"/>
            <w:noProof/>
            <w:webHidden/>
          </w:rPr>
          <w:tab/>
        </w:r>
        <w:r w:rsidRPr="00682C24">
          <w:rPr>
            <w:rFonts w:ascii="Arial" w:hAnsi="Arial" w:cs="Arial"/>
            <w:noProof/>
            <w:webHidden/>
          </w:rPr>
          <w:fldChar w:fldCharType="begin"/>
        </w:r>
        <w:r w:rsidRPr="00682C24">
          <w:rPr>
            <w:rFonts w:ascii="Arial" w:hAnsi="Arial" w:cs="Arial"/>
            <w:noProof/>
            <w:webHidden/>
          </w:rPr>
          <w:instrText xml:space="preserve"> PAGEREF _Toc195519220 \h </w:instrText>
        </w:r>
        <w:r w:rsidRPr="00682C24">
          <w:rPr>
            <w:rFonts w:ascii="Arial" w:hAnsi="Arial" w:cs="Arial"/>
            <w:noProof/>
            <w:webHidden/>
          </w:rPr>
        </w:r>
        <w:r w:rsidRPr="00682C24">
          <w:rPr>
            <w:rFonts w:ascii="Arial" w:hAnsi="Arial" w:cs="Arial"/>
            <w:noProof/>
            <w:webHidden/>
          </w:rPr>
          <w:fldChar w:fldCharType="separate"/>
        </w:r>
        <w:r w:rsidR="00886039">
          <w:rPr>
            <w:rFonts w:ascii="Arial" w:hAnsi="Arial" w:cs="Arial"/>
            <w:noProof/>
            <w:webHidden/>
          </w:rPr>
          <w:t>4</w:t>
        </w:r>
        <w:r w:rsidRPr="00682C24">
          <w:rPr>
            <w:rFonts w:ascii="Arial" w:hAnsi="Arial" w:cs="Arial"/>
            <w:noProof/>
            <w:webHidden/>
          </w:rPr>
          <w:fldChar w:fldCharType="end"/>
        </w:r>
      </w:hyperlink>
    </w:p>
    <w:p w14:paraId="5FE1B1DB" w14:textId="3BF514B3" w:rsidR="00682C24" w:rsidRPr="00682C24" w:rsidRDefault="00682C24" w:rsidP="00682C24">
      <w:pPr>
        <w:pStyle w:val="TOC3"/>
        <w:tabs>
          <w:tab w:val="right" w:leader="dot" w:pos="10212"/>
        </w:tabs>
        <w:spacing w:after="240"/>
        <w:rPr>
          <w:rFonts w:ascii="Arial" w:hAnsi="Arial" w:cs="Arial"/>
          <w:noProof/>
          <w:kern w:val="2"/>
          <w:lang w:eastAsia="en-GB"/>
          <w14:ligatures w14:val="standardContextual"/>
        </w:rPr>
      </w:pPr>
      <w:hyperlink w:anchor="_Toc195519221" w:history="1">
        <w:r w:rsidRPr="00682C24">
          <w:rPr>
            <w:rStyle w:val="Hyperlink"/>
            <w:rFonts w:ascii="Arial" w:hAnsi="Arial" w:cs="Arial"/>
            <w:noProof/>
          </w:rPr>
          <w:t>Habitats</w:t>
        </w:r>
        <w:r w:rsidRPr="00682C24">
          <w:rPr>
            <w:rFonts w:ascii="Arial" w:hAnsi="Arial" w:cs="Arial"/>
            <w:noProof/>
            <w:webHidden/>
          </w:rPr>
          <w:tab/>
        </w:r>
        <w:r w:rsidRPr="00682C24">
          <w:rPr>
            <w:rFonts w:ascii="Arial" w:hAnsi="Arial" w:cs="Arial"/>
            <w:noProof/>
            <w:webHidden/>
          </w:rPr>
          <w:fldChar w:fldCharType="begin"/>
        </w:r>
        <w:r w:rsidRPr="00682C24">
          <w:rPr>
            <w:rFonts w:ascii="Arial" w:hAnsi="Arial" w:cs="Arial"/>
            <w:noProof/>
            <w:webHidden/>
          </w:rPr>
          <w:instrText xml:space="preserve"> PAGEREF _Toc195519221 \h </w:instrText>
        </w:r>
        <w:r w:rsidRPr="00682C24">
          <w:rPr>
            <w:rFonts w:ascii="Arial" w:hAnsi="Arial" w:cs="Arial"/>
            <w:noProof/>
            <w:webHidden/>
          </w:rPr>
        </w:r>
        <w:r w:rsidRPr="00682C24">
          <w:rPr>
            <w:rFonts w:ascii="Arial" w:hAnsi="Arial" w:cs="Arial"/>
            <w:noProof/>
            <w:webHidden/>
          </w:rPr>
          <w:fldChar w:fldCharType="separate"/>
        </w:r>
        <w:r w:rsidR="00886039">
          <w:rPr>
            <w:rFonts w:ascii="Arial" w:hAnsi="Arial" w:cs="Arial"/>
            <w:noProof/>
            <w:webHidden/>
          </w:rPr>
          <w:t>4</w:t>
        </w:r>
        <w:r w:rsidRPr="00682C24">
          <w:rPr>
            <w:rFonts w:ascii="Arial" w:hAnsi="Arial" w:cs="Arial"/>
            <w:noProof/>
            <w:webHidden/>
          </w:rPr>
          <w:fldChar w:fldCharType="end"/>
        </w:r>
      </w:hyperlink>
    </w:p>
    <w:p w14:paraId="70711A1D" w14:textId="479BB0FF" w:rsidR="00682C24" w:rsidRPr="00682C24" w:rsidRDefault="00682C24" w:rsidP="00682C24">
      <w:pPr>
        <w:pStyle w:val="TOC3"/>
        <w:tabs>
          <w:tab w:val="right" w:leader="dot" w:pos="10212"/>
        </w:tabs>
        <w:spacing w:after="240"/>
        <w:rPr>
          <w:rFonts w:ascii="Arial" w:hAnsi="Arial" w:cs="Arial"/>
          <w:noProof/>
          <w:kern w:val="2"/>
          <w:lang w:eastAsia="en-GB"/>
          <w14:ligatures w14:val="standardContextual"/>
        </w:rPr>
      </w:pPr>
      <w:hyperlink w:anchor="_Toc195519222" w:history="1">
        <w:r w:rsidRPr="00682C24">
          <w:rPr>
            <w:rStyle w:val="Hyperlink"/>
            <w:rFonts w:ascii="Arial" w:hAnsi="Arial" w:cs="Arial"/>
            <w:noProof/>
          </w:rPr>
          <w:t>Drawings/plans</w:t>
        </w:r>
        <w:r w:rsidRPr="00682C24">
          <w:rPr>
            <w:rFonts w:ascii="Arial" w:hAnsi="Arial" w:cs="Arial"/>
            <w:noProof/>
            <w:webHidden/>
          </w:rPr>
          <w:tab/>
        </w:r>
        <w:r w:rsidRPr="00682C24">
          <w:rPr>
            <w:rFonts w:ascii="Arial" w:hAnsi="Arial" w:cs="Arial"/>
            <w:noProof/>
            <w:webHidden/>
          </w:rPr>
          <w:fldChar w:fldCharType="begin"/>
        </w:r>
        <w:r w:rsidRPr="00682C24">
          <w:rPr>
            <w:rFonts w:ascii="Arial" w:hAnsi="Arial" w:cs="Arial"/>
            <w:noProof/>
            <w:webHidden/>
          </w:rPr>
          <w:instrText xml:space="preserve"> PAGEREF _Toc195519222 \h </w:instrText>
        </w:r>
        <w:r w:rsidRPr="00682C24">
          <w:rPr>
            <w:rFonts w:ascii="Arial" w:hAnsi="Arial" w:cs="Arial"/>
            <w:noProof/>
            <w:webHidden/>
          </w:rPr>
        </w:r>
        <w:r w:rsidRPr="00682C24">
          <w:rPr>
            <w:rFonts w:ascii="Arial" w:hAnsi="Arial" w:cs="Arial"/>
            <w:noProof/>
            <w:webHidden/>
          </w:rPr>
          <w:fldChar w:fldCharType="separate"/>
        </w:r>
        <w:r w:rsidR="00886039">
          <w:rPr>
            <w:rFonts w:ascii="Arial" w:hAnsi="Arial" w:cs="Arial"/>
            <w:noProof/>
            <w:webHidden/>
          </w:rPr>
          <w:t>4</w:t>
        </w:r>
        <w:r w:rsidRPr="00682C24">
          <w:rPr>
            <w:rFonts w:ascii="Arial" w:hAnsi="Arial" w:cs="Arial"/>
            <w:noProof/>
            <w:webHidden/>
          </w:rPr>
          <w:fldChar w:fldCharType="end"/>
        </w:r>
      </w:hyperlink>
    </w:p>
    <w:p w14:paraId="3E03B888" w14:textId="0DBCFD07" w:rsidR="00682C24" w:rsidRPr="00682C24" w:rsidRDefault="00682C24" w:rsidP="00682C24">
      <w:pPr>
        <w:pStyle w:val="TOC3"/>
        <w:tabs>
          <w:tab w:val="right" w:leader="dot" w:pos="10212"/>
        </w:tabs>
        <w:spacing w:after="240"/>
        <w:rPr>
          <w:rFonts w:ascii="Arial" w:hAnsi="Arial" w:cs="Arial"/>
          <w:noProof/>
          <w:kern w:val="2"/>
          <w:lang w:eastAsia="en-GB"/>
          <w14:ligatures w14:val="standardContextual"/>
        </w:rPr>
      </w:pPr>
      <w:hyperlink w:anchor="_Toc195519223" w:history="1">
        <w:r w:rsidRPr="00682C24">
          <w:rPr>
            <w:rStyle w:val="Hyperlink"/>
            <w:rFonts w:ascii="Arial" w:hAnsi="Arial" w:cs="Arial"/>
            <w:noProof/>
          </w:rPr>
          <w:t>Financial provision</w:t>
        </w:r>
        <w:r w:rsidRPr="00682C24">
          <w:rPr>
            <w:rFonts w:ascii="Arial" w:hAnsi="Arial" w:cs="Arial"/>
            <w:noProof/>
            <w:webHidden/>
          </w:rPr>
          <w:tab/>
        </w:r>
        <w:r w:rsidRPr="00682C24">
          <w:rPr>
            <w:rFonts w:ascii="Arial" w:hAnsi="Arial" w:cs="Arial"/>
            <w:noProof/>
            <w:webHidden/>
          </w:rPr>
          <w:fldChar w:fldCharType="begin"/>
        </w:r>
        <w:r w:rsidRPr="00682C24">
          <w:rPr>
            <w:rFonts w:ascii="Arial" w:hAnsi="Arial" w:cs="Arial"/>
            <w:noProof/>
            <w:webHidden/>
          </w:rPr>
          <w:instrText xml:space="preserve"> PAGEREF _Toc195519223 \h </w:instrText>
        </w:r>
        <w:r w:rsidRPr="00682C24">
          <w:rPr>
            <w:rFonts w:ascii="Arial" w:hAnsi="Arial" w:cs="Arial"/>
            <w:noProof/>
            <w:webHidden/>
          </w:rPr>
        </w:r>
        <w:r w:rsidRPr="00682C24">
          <w:rPr>
            <w:rFonts w:ascii="Arial" w:hAnsi="Arial" w:cs="Arial"/>
            <w:noProof/>
            <w:webHidden/>
          </w:rPr>
          <w:fldChar w:fldCharType="separate"/>
        </w:r>
        <w:r w:rsidR="00886039">
          <w:rPr>
            <w:rFonts w:ascii="Arial" w:hAnsi="Arial" w:cs="Arial"/>
            <w:noProof/>
            <w:webHidden/>
          </w:rPr>
          <w:t>4</w:t>
        </w:r>
        <w:r w:rsidRPr="00682C24">
          <w:rPr>
            <w:rFonts w:ascii="Arial" w:hAnsi="Arial" w:cs="Arial"/>
            <w:noProof/>
            <w:webHidden/>
          </w:rPr>
          <w:fldChar w:fldCharType="end"/>
        </w:r>
      </w:hyperlink>
    </w:p>
    <w:p w14:paraId="2FCB05C2" w14:textId="0C4ABB68" w:rsidR="00682C24" w:rsidRPr="00682C24" w:rsidRDefault="00682C24" w:rsidP="00682C24">
      <w:pPr>
        <w:pStyle w:val="TOC2"/>
        <w:tabs>
          <w:tab w:val="right" w:leader="dot" w:pos="10212"/>
        </w:tabs>
        <w:spacing w:after="240"/>
        <w:ind w:left="0"/>
        <w:rPr>
          <w:rFonts w:ascii="Arial" w:hAnsi="Arial" w:cs="Arial"/>
          <w:noProof/>
          <w:kern w:val="2"/>
          <w:lang w:eastAsia="en-GB"/>
          <w14:ligatures w14:val="standardContextual"/>
        </w:rPr>
      </w:pPr>
      <w:hyperlink w:anchor="_Toc195519224" w:history="1">
        <w:r w:rsidRPr="00682C24">
          <w:rPr>
            <w:rStyle w:val="Hyperlink"/>
            <w:rFonts w:ascii="Arial" w:hAnsi="Arial" w:cs="Arial"/>
            <w:noProof/>
          </w:rPr>
          <w:t>Provision of environmental protection infrastructure</w:t>
        </w:r>
        <w:r w:rsidRPr="00682C24">
          <w:rPr>
            <w:rFonts w:ascii="Arial" w:hAnsi="Arial" w:cs="Arial"/>
            <w:noProof/>
            <w:webHidden/>
          </w:rPr>
          <w:tab/>
        </w:r>
        <w:r w:rsidRPr="00682C24">
          <w:rPr>
            <w:rFonts w:ascii="Arial" w:hAnsi="Arial" w:cs="Arial"/>
            <w:noProof/>
            <w:webHidden/>
          </w:rPr>
          <w:fldChar w:fldCharType="begin"/>
        </w:r>
        <w:r w:rsidRPr="00682C24">
          <w:rPr>
            <w:rFonts w:ascii="Arial" w:hAnsi="Arial" w:cs="Arial"/>
            <w:noProof/>
            <w:webHidden/>
          </w:rPr>
          <w:instrText xml:space="preserve"> PAGEREF _Toc195519224 \h </w:instrText>
        </w:r>
        <w:r w:rsidRPr="00682C24">
          <w:rPr>
            <w:rFonts w:ascii="Arial" w:hAnsi="Arial" w:cs="Arial"/>
            <w:noProof/>
            <w:webHidden/>
          </w:rPr>
        </w:r>
        <w:r w:rsidRPr="00682C24">
          <w:rPr>
            <w:rFonts w:ascii="Arial" w:hAnsi="Arial" w:cs="Arial"/>
            <w:noProof/>
            <w:webHidden/>
          </w:rPr>
          <w:fldChar w:fldCharType="separate"/>
        </w:r>
        <w:r w:rsidR="00886039">
          <w:rPr>
            <w:rFonts w:ascii="Arial" w:hAnsi="Arial" w:cs="Arial"/>
            <w:noProof/>
            <w:webHidden/>
          </w:rPr>
          <w:t>5</w:t>
        </w:r>
        <w:r w:rsidRPr="00682C24">
          <w:rPr>
            <w:rFonts w:ascii="Arial" w:hAnsi="Arial" w:cs="Arial"/>
            <w:noProof/>
            <w:webHidden/>
          </w:rPr>
          <w:fldChar w:fldCharType="end"/>
        </w:r>
      </w:hyperlink>
    </w:p>
    <w:p w14:paraId="1AA8C0D7" w14:textId="7F5688FD" w:rsidR="00682C24" w:rsidRPr="00682C24" w:rsidRDefault="00682C24" w:rsidP="00682C24">
      <w:pPr>
        <w:pStyle w:val="TOC3"/>
        <w:tabs>
          <w:tab w:val="right" w:leader="dot" w:pos="10212"/>
        </w:tabs>
        <w:spacing w:after="240"/>
        <w:rPr>
          <w:rFonts w:ascii="Arial" w:hAnsi="Arial" w:cs="Arial"/>
          <w:noProof/>
          <w:kern w:val="2"/>
          <w:lang w:eastAsia="en-GB"/>
          <w14:ligatures w14:val="standardContextual"/>
        </w:rPr>
      </w:pPr>
      <w:hyperlink w:anchor="_Toc195519225" w:history="1">
        <w:r w:rsidRPr="00682C24">
          <w:rPr>
            <w:rStyle w:val="Hyperlink"/>
            <w:rFonts w:ascii="Arial" w:hAnsi="Arial" w:cs="Arial"/>
            <w:noProof/>
          </w:rPr>
          <w:t>Landfill gas management</w:t>
        </w:r>
        <w:r w:rsidRPr="00682C24">
          <w:rPr>
            <w:rFonts w:ascii="Arial" w:hAnsi="Arial" w:cs="Arial"/>
            <w:noProof/>
            <w:webHidden/>
          </w:rPr>
          <w:tab/>
        </w:r>
        <w:r w:rsidRPr="00682C24">
          <w:rPr>
            <w:rFonts w:ascii="Arial" w:hAnsi="Arial" w:cs="Arial"/>
            <w:noProof/>
            <w:webHidden/>
          </w:rPr>
          <w:fldChar w:fldCharType="begin"/>
        </w:r>
        <w:r w:rsidRPr="00682C24">
          <w:rPr>
            <w:rFonts w:ascii="Arial" w:hAnsi="Arial" w:cs="Arial"/>
            <w:noProof/>
            <w:webHidden/>
          </w:rPr>
          <w:instrText xml:space="preserve"> PAGEREF _Toc195519225 \h </w:instrText>
        </w:r>
        <w:r w:rsidRPr="00682C24">
          <w:rPr>
            <w:rFonts w:ascii="Arial" w:hAnsi="Arial" w:cs="Arial"/>
            <w:noProof/>
            <w:webHidden/>
          </w:rPr>
        </w:r>
        <w:r w:rsidRPr="00682C24">
          <w:rPr>
            <w:rFonts w:ascii="Arial" w:hAnsi="Arial" w:cs="Arial"/>
            <w:noProof/>
            <w:webHidden/>
          </w:rPr>
          <w:fldChar w:fldCharType="separate"/>
        </w:r>
        <w:r w:rsidR="00886039">
          <w:rPr>
            <w:rFonts w:ascii="Arial" w:hAnsi="Arial" w:cs="Arial"/>
            <w:noProof/>
            <w:webHidden/>
          </w:rPr>
          <w:t>5</w:t>
        </w:r>
        <w:r w:rsidRPr="00682C24">
          <w:rPr>
            <w:rFonts w:ascii="Arial" w:hAnsi="Arial" w:cs="Arial"/>
            <w:noProof/>
            <w:webHidden/>
          </w:rPr>
          <w:fldChar w:fldCharType="end"/>
        </w:r>
      </w:hyperlink>
    </w:p>
    <w:p w14:paraId="56FAB805" w14:textId="61572C43" w:rsidR="00682C24" w:rsidRPr="00682C24" w:rsidRDefault="00682C24" w:rsidP="00682C24">
      <w:pPr>
        <w:pStyle w:val="TOC3"/>
        <w:tabs>
          <w:tab w:val="right" w:leader="dot" w:pos="10212"/>
        </w:tabs>
        <w:spacing w:after="240"/>
        <w:rPr>
          <w:rFonts w:ascii="Arial" w:hAnsi="Arial" w:cs="Arial"/>
          <w:noProof/>
          <w:kern w:val="2"/>
          <w:lang w:eastAsia="en-GB"/>
          <w14:ligatures w14:val="standardContextual"/>
        </w:rPr>
      </w:pPr>
      <w:hyperlink w:anchor="_Toc195519226" w:history="1">
        <w:r w:rsidRPr="00682C24">
          <w:rPr>
            <w:rStyle w:val="Hyperlink"/>
            <w:rFonts w:ascii="Arial" w:hAnsi="Arial" w:cs="Arial"/>
            <w:noProof/>
          </w:rPr>
          <w:t>Leachate management</w:t>
        </w:r>
        <w:r w:rsidRPr="00682C24">
          <w:rPr>
            <w:rFonts w:ascii="Arial" w:hAnsi="Arial" w:cs="Arial"/>
            <w:noProof/>
            <w:webHidden/>
          </w:rPr>
          <w:tab/>
        </w:r>
        <w:r w:rsidRPr="00682C24">
          <w:rPr>
            <w:rFonts w:ascii="Arial" w:hAnsi="Arial" w:cs="Arial"/>
            <w:noProof/>
            <w:webHidden/>
          </w:rPr>
          <w:fldChar w:fldCharType="begin"/>
        </w:r>
        <w:r w:rsidRPr="00682C24">
          <w:rPr>
            <w:rFonts w:ascii="Arial" w:hAnsi="Arial" w:cs="Arial"/>
            <w:noProof/>
            <w:webHidden/>
          </w:rPr>
          <w:instrText xml:space="preserve"> PAGEREF _Toc195519226 \h </w:instrText>
        </w:r>
        <w:r w:rsidRPr="00682C24">
          <w:rPr>
            <w:rFonts w:ascii="Arial" w:hAnsi="Arial" w:cs="Arial"/>
            <w:noProof/>
            <w:webHidden/>
          </w:rPr>
        </w:r>
        <w:r w:rsidRPr="00682C24">
          <w:rPr>
            <w:rFonts w:ascii="Arial" w:hAnsi="Arial" w:cs="Arial"/>
            <w:noProof/>
            <w:webHidden/>
          </w:rPr>
          <w:fldChar w:fldCharType="separate"/>
        </w:r>
        <w:r w:rsidR="00886039">
          <w:rPr>
            <w:rFonts w:ascii="Arial" w:hAnsi="Arial" w:cs="Arial"/>
            <w:noProof/>
            <w:webHidden/>
          </w:rPr>
          <w:t>5</w:t>
        </w:r>
        <w:r w:rsidRPr="00682C24">
          <w:rPr>
            <w:rFonts w:ascii="Arial" w:hAnsi="Arial" w:cs="Arial"/>
            <w:noProof/>
            <w:webHidden/>
          </w:rPr>
          <w:fldChar w:fldCharType="end"/>
        </w:r>
      </w:hyperlink>
    </w:p>
    <w:p w14:paraId="6B726F55" w14:textId="781854A0" w:rsidR="00682C24" w:rsidRPr="00682C24" w:rsidRDefault="00682C24" w:rsidP="00682C24">
      <w:pPr>
        <w:pStyle w:val="TOC3"/>
        <w:tabs>
          <w:tab w:val="right" w:leader="dot" w:pos="10212"/>
        </w:tabs>
        <w:spacing w:after="240"/>
        <w:rPr>
          <w:rFonts w:ascii="Arial" w:hAnsi="Arial" w:cs="Arial"/>
          <w:noProof/>
          <w:kern w:val="2"/>
          <w:lang w:eastAsia="en-GB"/>
          <w14:ligatures w14:val="standardContextual"/>
        </w:rPr>
      </w:pPr>
      <w:hyperlink w:anchor="_Toc195519227" w:history="1">
        <w:r w:rsidRPr="00682C24">
          <w:rPr>
            <w:rStyle w:val="Hyperlink"/>
            <w:rFonts w:ascii="Arial" w:hAnsi="Arial" w:cs="Arial"/>
            <w:noProof/>
          </w:rPr>
          <w:t>Surface water / Trade effluent management</w:t>
        </w:r>
        <w:r w:rsidRPr="00682C24">
          <w:rPr>
            <w:rFonts w:ascii="Arial" w:hAnsi="Arial" w:cs="Arial"/>
            <w:noProof/>
            <w:webHidden/>
          </w:rPr>
          <w:tab/>
        </w:r>
        <w:r w:rsidRPr="00682C24">
          <w:rPr>
            <w:rFonts w:ascii="Arial" w:hAnsi="Arial" w:cs="Arial"/>
            <w:noProof/>
            <w:webHidden/>
          </w:rPr>
          <w:fldChar w:fldCharType="begin"/>
        </w:r>
        <w:r w:rsidRPr="00682C24">
          <w:rPr>
            <w:rFonts w:ascii="Arial" w:hAnsi="Arial" w:cs="Arial"/>
            <w:noProof/>
            <w:webHidden/>
          </w:rPr>
          <w:instrText xml:space="preserve"> PAGEREF _Toc195519227 \h </w:instrText>
        </w:r>
        <w:r w:rsidRPr="00682C24">
          <w:rPr>
            <w:rFonts w:ascii="Arial" w:hAnsi="Arial" w:cs="Arial"/>
            <w:noProof/>
            <w:webHidden/>
          </w:rPr>
        </w:r>
        <w:r w:rsidRPr="00682C24">
          <w:rPr>
            <w:rFonts w:ascii="Arial" w:hAnsi="Arial" w:cs="Arial"/>
            <w:noProof/>
            <w:webHidden/>
          </w:rPr>
          <w:fldChar w:fldCharType="separate"/>
        </w:r>
        <w:r w:rsidR="00886039">
          <w:rPr>
            <w:rFonts w:ascii="Arial" w:hAnsi="Arial" w:cs="Arial"/>
            <w:noProof/>
            <w:webHidden/>
          </w:rPr>
          <w:t>5</w:t>
        </w:r>
        <w:r w:rsidRPr="00682C24">
          <w:rPr>
            <w:rFonts w:ascii="Arial" w:hAnsi="Arial" w:cs="Arial"/>
            <w:noProof/>
            <w:webHidden/>
          </w:rPr>
          <w:fldChar w:fldCharType="end"/>
        </w:r>
      </w:hyperlink>
    </w:p>
    <w:p w14:paraId="2025EFB7" w14:textId="617A5192" w:rsidR="00682C24" w:rsidRPr="00682C24" w:rsidRDefault="00682C24" w:rsidP="00682C24">
      <w:pPr>
        <w:pStyle w:val="TOC2"/>
        <w:tabs>
          <w:tab w:val="right" w:leader="dot" w:pos="10212"/>
        </w:tabs>
        <w:spacing w:after="240"/>
        <w:ind w:left="0"/>
        <w:rPr>
          <w:rFonts w:ascii="Arial" w:hAnsi="Arial" w:cs="Arial"/>
          <w:noProof/>
          <w:kern w:val="2"/>
          <w:lang w:eastAsia="en-GB"/>
          <w14:ligatures w14:val="standardContextual"/>
        </w:rPr>
      </w:pPr>
      <w:hyperlink w:anchor="_Toc195519228" w:history="1">
        <w:r w:rsidRPr="00682C24">
          <w:rPr>
            <w:rStyle w:val="Hyperlink"/>
            <w:rFonts w:ascii="Arial" w:hAnsi="Arial" w:cs="Arial"/>
            <w:noProof/>
          </w:rPr>
          <w:t>Maintenance of environmental protection infrastructure</w:t>
        </w:r>
        <w:r w:rsidRPr="00682C24">
          <w:rPr>
            <w:rFonts w:ascii="Arial" w:hAnsi="Arial" w:cs="Arial"/>
            <w:noProof/>
            <w:webHidden/>
          </w:rPr>
          <w:tab/>
        </w:r>
        <w:r w:rsidRPr="00682C24">
          <w:rPr>
            <w:rFonts w:ascii="Arial" w:hAnsi="Arial" w:cs="Arial"/>
            <w:noProof/>
            <w:webHidden/>
          </w:rPr>
          <w:fldChar w:fldCharType="begin"/>
        </w:r>
        <w:r w:rsidRPr="00682C24">
          <w:rPr>
            <w:rFonts w:ascii="Arial" w:hAnsi="Arial" w:cs="Arial"/>
            <w:noProof/>
            <w:webHidden/>
          </w:rPr>
          <w:instrText xml:space="preserve"> PAGEREF _Toc195519228 \h </w:instrText>
        </w:r>
        <w:r w:rsidRPr="00682C24">
          <w:rPr>
            <w:rFonts w:ascii="Arial" w:hAnsi="Arial" w:cs="Arial"/>
            <w:noProof/>
            <w:webHidden/>
          </w:rPr>
        </w:r>
        <w:r w:rsidRPr="00682C24">
          <w:rPr>
            <w:rFonts w:ascii="Arial" w:hAnsi="Arial" w:cs="Arial"/>
            <w:noProof/>
            <w:webHidden/>
          </w:rPr>
          <w:fldChar w:fldCharType="separate"/>
        </w:r>
        <w:r w:rsidR="00886039">
          <w:rPr>
            <w:rFonts w:ascii="Arial" w:hAnsi="Arial" w:cs="Arial"/>
            <w:noProof/>
            <w:webHidden/>
          </w:rPr>
          <w:t>6</w:t>
        </w:r>
        <w:r w:rsidRPr="00682C24">
          <w:rPr>
            <w:rFonts w:ascii="Arial" w:hAnsi="Arial" w:cs="Arial"/>
            <w:noProof/>
            <w:webHidden/>
          </w:rPr>
          <w:fldChar w:fldCharType="end"/>
        </w:r>
      </w:hyperlink>
    </w:p>
    <w:p w14:paraId="6A69FF3E" w14:textId="647551F3" w:rsidR="00682C24" w:rsidRPr="00682C24" w:rsidRDefault="00682C24" w:rsidP="00682C24">
      <w:pPr>
        <w:pStyle w:val="TOC2"/>
        <w:tabs>
          <w:tab w:val="right" w:leader="dot" w:pos="10212"/>
        </w:tabs>
        <w:spacing w:after="240"/>
        <w:ind w:left="0"/>
        <w:rPr>
          <w:rFonts w:ascii="Arial" w:hAnsi="Arial" w:cs="Arial"/>
          <w:noProof/>
          <w:kern w:val="2"/>
          <w:lang w:eastAsia="en-GB"/>
          <w14:ligatures w14:val="standardContextual"/>
        </w:rPr>
      </w:pPr>
      <w:hyperlink w:anchor="_Toc195519229" w:history="1">
        <w:r w:rsidRPr="00682C24">
          <w:rPr>
            <w:rStyle w:val="Hyperlink"/>
            <w:rFonts w:ascii="Arial" w:hAnsi="Arial" w:cs="Arial"/>
            <w:noProof/>
          </w:rPr>
          <w:t>Provision of monitoring network</w:t>
        </w:r>
        <w:r w:rsidRPr="00682C24">
          <w:rPr>
            <w:rFonts w:ascii="Arial" w:hAnsi="Arial" w:cs="Arial"/>
            <w:noProof/>
            <w:webHidden/>
          </w:rPr>
          <w:tab/>
        </w:r>
        <w:r w:rsidRPr="00682C24">
          <w:rPr>
            <w:rFonts w:ascii="Arial" w:hAnsi="Arial" w:cs="Arial"/>
            <w:noProof/>
            <w:webHidden/>
          </w:rPr>
          <w:fldChar w:fldCharType="begin"/>
        </w:r>
        <w:r w:rsidRPr="00682C24">
          <w:rPr>
            <w:rFonts w:ascii="Arial" w:hAnsi="Arial" w:cs="Arial"/>
            <w:noProof/>
            <w:webHidden/>
          </w:rPr>
          <w:instrText xml:space="preserve"> PAGEREF _Toc195519229 \h </w:instrText>
        </w:r>
        <w:r w:rsidRPr="00682C24">
          <w:rPr>
            <w:rFonts w:ascii="Arial" w:hAnsi="Arial" w:cs="Arial"/>
            <w:noProof/>
            <w:webHidden/>
          </w:rPr>
        </w:r>
        <w:r w:rsidRPr="00682C24">
          <w:rPr>
            <w:rFonts w:ascii="Arial" w:hAnsi="Arial" w:cs="Arial"/>
            <w:noProof/>
            <w:webHidden/>
          </w:rPr>
          <w:fldChar w:fldCharType="separate"/>
        </w:r>
        <w:r w:rsidR="00886039">
          <w:rPr>
            <w:rFonts w:ascii="Arial" w:hAnsi="Arial" w:cs="Arial"/>
            <w:noProof/>
            <w:webHidden/>
          </w:rPr>
          <w:t>7</w:t>
        </w:r>
        <w:r w:rsidRPr="00682C24">
          <w:rPr>
            <w:rFonts w:ascii="Arial" w:hAnsi="Arial" w:cs="Arial"/>
            <w:noProof/>
            <w:webHidden/>
          </w:rPr>
          <w:fldChar w:fldCharType="end"/>
        </w:r>
      </w:hyperlink>
    </w:p>
    <w:p w14:paraId="7F71DD76" w14:textId="3D6ABED9" w:rsidR="00682C24" w:rsidRPr="00682C24" w:rsidRDefault="00682C24" w:rsidP="00682C24">
      <w:pPr>
        <w:pStyle w:val="TOC2"/>
        <w:tabs>
          <w:tab w:val="right" w:leader="dot" w:pos="10212"/>
        </w:tabs>
        <w:spacing w:after="240"/>
        <w:ind w:left="0"/>
        <w:rPr>
          <w:rFonts w:ascii="Arial" w:hAnsi="Arial" w:cs="Arial"/>
          <w:noProof/>
          <w:kern w:val="2"/>
          <w:lang w:eastAsia="en-GB"/>
          <w14:ligatures w14:val="standardContextual"/>
        </w:rPr>
      </w:pPr>
      <w:hyperlink w:anchor="_Toc195519230" w:history="1">
        <w:r w:rsidRPr="00682C24">
          <w:rPr>
            <w:rStyle w:val="Hyperlink"/>
            <w:rFonts w:ascii="Arial" w:hAnsi="Arial" w:cs="Arial"/>
            <w:noProof/>
          </w:rPr>
          <w:t>Maintenance of monitoring network</w:t>
        </w:r>
        <w:r w:rsidRPr="00682C24">
          <w:rPr>
            <w:rFonts w:ascii="Arial" w:hAnsi="Arial" w:cs="Arial"/>
            <w:noProof/>
            <w:webHidden/>
          </w:rPr>
          <w:tab/>
        </w:r>
        <w:r w:rsidRPr="00682C24">
          <w:rPr>
            <w:rFonts w:ascii="Arial" w:hAnsi="Arial" w:cs="Arial"/>
            <w:noProof/>
            <w:webHidden/>
          </w:rPr>
          <w:fldChar w:fldCharType="begin"/>
        </w:r>
        <w:r w:rsidRPr="00682C24">
          <w:rPr>
            <w:rFonts w:ascii="Arial" w:hAnsi="Arial" w:cs="Arial"/>
            <w:noProof/>
            <w:webHidden/>
          </w:rPr>
          <w:instrText xml:space="preserve"> PAGEREF _Toc195519230 \h </w:instrText>
        </w:r>
        <w:r w:rsidRPr="00682C24">
          <w:rPr>
            <w:rFonts w:ascii="Arial" w:hAnsi="Arial" w:cs="Arial"/>
            <w:noProof/>
            <w:webHidden/>
          </w:rPr>
        </w:r>
        <w:r w:rsidRPr="00682C24">
          <w:rPr>
            <w:rFonts w:ascii="Arial" w:hAnsi="Arial" w:cs="Arial"/>
            <w:noProof/>
            <w:webHidden/>
          </w:rPr>
          <w:fldChar w:fldCharType="separate"/>
        </w:r>
        <w:r w:rsidR="00886039">
          <w:rPr>
            <w:rFonts w:ascii="Arial" w:hAnsi="Arial" w:cs="Arial"/>
            <w:noProof/>
            <w:webHidden/>
          </w:rPr>
          <w:t>7</w:t>
        </w:r>
        <w:r w:rsidRPr="00682C24">
          <w:rPr>
            <w:rFonts w:ascii="Arial" w:hAnsi="Arial" w:cs="Arial"/>
            <w:noProof/>
            <w:webHidden/>
          </w:rPr>
          <w:fldChar w:fldCharType="end"/>
        </w:r>
      </w:hyperlink>
    </w:p>
    <w:p w14:paraId="4E4A064E" w14:textId="7F071386" w:rsidR="00682C24" w:rsidRPr="00682C24" w:rsidRDefault="00682C24" w:rsidP="00682C24">
      <w:pPr>
        <w:pStyle w:val="TOC2"/>
        <w:tabs>
          <w:tab w:val="right" w:leader="dot" w:pos="10212"/>
        </w:tabs>
        <w:spacing w:after="240"/>
        <w:ind w:left="0"/>
        <w:rPr>
          <w:rFonts w:ascii="Arial" w:hAnsi="Arial" w:cs="Arial"/>
          <w:noProof/>
          <w:kern w:val="2"/>
          <w:lang w:eastAsia="en-GB"/>
          <w14:ligatures w14:val="standardContextual"/>
        </w:rPr>
      </w:pPr>
      <w:hyperlink w:anchor="_Toc195519231" w:history="1">
        <w:r w:rsidRPr="00682C24">
          <w:rPr>
            <w:rStyle w:val="Hyperlink"/>
            <w:rFonts w:ascii="Arial" w:hAnsi="Arial" w:cs="Arial"/>
            <w:noProof/>
          </w:rPr>
          <w:t>Provision of compliant monitoring boreholes</w:t>
        </w:r>
        <w:r w:rsidRPr="00682C24">
          <w:rPr>
            <w:rFonts w:ascii="Arial" w:hAnsi="Arial" w:cs="Arial"/>
            <w:noProof/>
            <w:webHidden/>
          </w:rPr>
          <w:tab/>
        </w:r>
        <w:r w:rsidRPr="00682C24">
          <w:rPr>
            <w:rFonts w:ascii="Arial" w:hAnsi="Arial" w:cs="Arial"/>
            <w:noProof/>
            <w:webHidden/>
          </w:rPr>
          <w:fldChar w:fldCharType="begin"/>
        </w:r>
        <w:r w:rsidRPr="00682C24">
          <w:rPr>
            <w:rFonts w:ascii="Arial" w:hAnsi="Arial" w:cs="Arial"/>
            <w:noProof/>
            <w:webHidden/>
          </w:rPr>
          <w:instrText xml:space="preserve"> PAGEREF _Toc195519231 \h </w:instrText>
        </w:r>
        <w:r w:rsidRPr="00682C24">
          <w:rPr>
            <w:rFonts w:ascii="Arial" w:hAnsi="Arial" w:cs="Arial"/>
            <w:noProof/>
            <w:webHidden/>
          </w:rPr>
        </w:r>
        <w:r w:rsidRPr="00682C24">
          <w:rPr>
            <w:rFonts w:ascii="Arial" w:hAnsi="Arial" w:cs="Arial"/>
            <w:noProof/>
            <w:webHidden/>
          </w:rPr>
          <w:fldChar w:fldCharType="separate"/>
        </w:r>
        <w:r w:rsidR="00886039">
          <w:rPr>
            <w:rFonts w:ascii="Arial" w:hAnsi="Arial" w:cs="Arial"/>
            <w:noProof/>
            <w:webHidden/>
          </w:rPr>
          <w:t>7</w:t>
        </w:r>
        <w:r w:rsidRPr="00682C24">
          <w:rPr>
            <w:rFonts w:ascii="Arial" w:hAnsi="Arial" w:cs="Arial"/>
            <w:noProof/>
            <w:webHidden/>
          </w:rPr>
          <w:fldChar w:fldCharType="end"/>
        </w:r>
      </w:hyperlink>
    </w:p>
    <w:p w14:paraId="08E0C3B8" w14:textId="0263B768" w:rsidR="00682C24" w:rsidRPr="00682C24" w:rsidRDefault="00682C24" w:rsidP="00682C24">
      <w:pPr>
        <w:pStyle w:val="TOC2"/>
        <w:tabs>
          <w:tab w:val="right" w:leader="dot" w:pos="10212"/>
        </w:tabs>
        <w:spacing w:after="240"/>
        <w:ind w:left="0"/>
        <w:rPr>
          <w:rFonts w:ascii="Arial" w:hAnsi="Arial" w:cs="Arial"/>
          <w:noProof/>
          <w:kern w:val="2"/>
          <w:lang w:eastAsia="en-GB"/>
          <w14:ligatures w14:val="standardContextual"/>
        </w:rPr>
      </w:pPr>
      <w:hyperlink w:anchor="_Toc195519232" w:history="1">
        <w:r w:rsidRPr="00682C24">
          <w:rPr>
            <w:rStyle w:val="Hyperlink"/>
            <w:rFonts w:ascii="Arial" w:hAnsi="Arial" w:cs="Arial"/>
            <w:noProof/>
          </w:rPr>
          <w:t>Other activities</w:t>
        </w:r>
        <w:r w:rsidRPr="00682C24">
          <w:rPr>
            <w:rFonts w:ascii="Arial" w:hAnsi="Arial" w:cs="Arial"/>
            <w:noProof/>
            <w:webHidden/>
          </w:rPr>
          <w:tab/>
        </w:r>
        <w:r w:rsidRPr="00682C24">
          <w:rPr>
            <w:rFonts w:ascii="Arial" w:hAnsi="Arial" w:cs="Arial"/>
            <w:noProof/>
            <w:webHidden/>
          </w:rPr>
          <w:fldChar w:fldCharType="begin"/>
        </w:r>
        <w:r w:rsidRPr="00682C24">
          <w:rPr>
            <w:rFonts w:ascii="Arial" w:hAnsi="Arial" w:cs="Arial"/>
            <w:noProof/>
            <w:webHidden/>
          </w:rPr>
          <w:instrText xml:space="preserve"> PAGEREF _Toc195519232 \h </w:instrText>
        </w:r>
        <w:r w:rsidRPr="00682C24">
          <w:rPr>
            <w:rFonts w:ascii="Arial" w:hAnsi="Arial" w:cs="Arial"/>
            <w:noProof/>
            <w:webHidden/>
          </w:rPr>
        </w:r>
        <w:r w:rsidRPr="00682C24">
          <w:rPr>
            <w:rFonts w:ascii="Arial" w:hAnsi="Arial" w:cs="Arial"/>
            <w:noProof/>
            <w:webHidden/>
          </w:rPr>
          <w:fldChar w:fldCharType="separate"/>
        </w:r>
        <w:r w:rsidR="00886039">
          <w:rPr>
            <w:rFonts w:ascii="Arial" w:hAnsi="Arial" w:cs="Arial"/>
            <w:noProof/>
            <w:webHidden/>
          </w:rPr>
          <w:t>8</w:t>
        </w:r>
        <w:r w:rsidRPr="00682C24">
          <w:rPr>
            <w:rFonts w:ascii="Arial" w:hAnsi="Arial" w:cs="Arial"/>
            <w:noProof/>
            <w:webHidden/>
          </w:rPr>
          <w:fldChar w:fldCharType="end"/>
        </w:r>
      </w:hyperlink>
    </w:p>
    <w:p w14:paraId="31C1141B" w14:textId="2DD29293" w:rsidR="00682C24" w:rsidRPr="00682C24" w:rsidRDefault="00682C24" w:rsidP="00682C24">
      <w:pPr>
        <w:pStyle w:val="TOC3"/>
        <w:tabs>
          <w:tab w:val="right" w:leader="dot" w:pos="10212"/>
        </w:tabs>
        <w:spacing w:after="240"/>
        <w:rPr>
          <w:rFonts w:ascii="Arial" w:hAnsi="Arial" w:cs="Arial"/>
          <w:noProof/>
          <w:kern w:val="2"/>
          <w:lang w:eastAsia="en-GB"/>
          <w14:ligatures w14:val="standardContextual"/>
        </w:rPr>
      </w:pPr>
      <w:hyperlink w:anchor="_Toc195519233" w:history="1">
        <w:r w:rsidRPr="00682C24">
          <w:rPr>
            <w:rStyle w:val="Hyperlink"/>
            <w:rFonts w:ascii="Arial" w:hAnsi="Arial" w:cs="Arial"/>
            <w:noProof/>
          </w:rPr>
          <w:t>Directly Associated Activities (DAA’s)</w:t>
        </w:r>
        <w:r w:rsidRPr="00682C24">
          <w:rPr>
            <w:rFonts w:ascii="Arial" w:hAnsi="Arial" w:cs="Arial"/>
            <w:noProof/>
            <w:webHidden/>
          </w:rPr>
          <w:tab/>
        </w:r>
        <w:r w:rsidRPr="00682C24">
          <w:rPr>
            <w:rFonts w:ascii="Arial" w:hAnsi="Arial" w:cs="Arial"/>
            <w:noProof/>
            <w:webHidden/>
          </w:rPr>
          <w:fldChar w:fldCharType="begin"/>
        </w:r>
        <w:r w:rsidRPr="00682C24">
          <w:rPr>
            <w:rFonts w:ascii="Arial" w:hAnsi="Arial" w:cs="Arial"/>
            <w:noProof/>
            <w:webHidden/>
          </w:rPr>
          <w:instrText xml:space="preserve"> PAGEREF _Toc195519233 \h </w:instrText>
        </w:r>
        <w:r w:rsidRPr="00682C24">
          <w:rPr>
            <w:rFonts w:ascii="Arial" w:hAnsi="Arial" w:cs="Arial"/>
            <w:noProof/>
            <w:webHidden/>
          </w:rPr>
        </w:r>
        <w:r w:rsidRPr="00682C24">
          <w:rPr>
            <w:rFonts w:ascii="Arial" w:hAnsi="Arial" w:cs="Arial"/>
            <w:noProof/>
            <w:webHidden/>
          </w:rPr>
          <w:fldChar w:fldCharType="separate"/>
        </w:r>
        <w:r w:rsidR="00886039">
          <w:rPr>
            <w:rFonts w:ascii="Arial" w:hAnsi="Arial" w:cs="Arial"/>
            <w:noProof/>
            <w:webHidden/>
          </w:rPr>
          <w:t>8</w:t>
        </w:r>
        <w:r w:rsidRPr="00682C24">
          <w:rPr>
            <w:rFonts w:ascii="Arial" w:hAnsi="Arial" w:cs="Arial"/>
            <w:noProof/>
            <w:webHidden/>
          </w:rPr>
          <w:fldChar w:fldCharType="end"/>
        </w:r>
      </w:hyperlink>
    </w:p>
    <w:p w14:paraId="572D145E" w14:textId="02467B33" w:rsidR="00682C24" w:rsidRPr="00682C24" w:rsidRDefault="00682C24" w:rsidP="00682C24">
      <w:pPr>
        <w:pStyle w:val="TOC2"/>
        <w:tabs>
          <w:tab w:val="right" w:leader="dot" w:pos="10212"/>
        </w:tabs>
        <w:spacing w:after="240"/>
        <w:ind w:left="0"/>
        <w:rPr>
          <w:rFonts w:ascii="Arial" w:hAnsi="Arial" w:cs="Arial"/>
          <w:noProof/>
          <w:kern w:val="2"/>
          <w:lang w:eastAsia="en-GB"/>
          <w14:ligatures w14:val="standardContextual"/>
        </w:rPr>
      </w:pPr>
      <w:hyperlink w:anchor="_Toc195519234" w:history="1">
        <w:r w:rsidRPr="00682C24">
          <w:rPr>
            <w:rStyle w:val="Hyperlink"/>
            <w:rFonts w:ascii="Arial" w:hAnsi="Arial" w:cs="Arial"/>
            <w:noProof/>
          </w:rPr>
          <w:t>When reviewing the Closure and Aftercare Management Plan</w:t>
        </w:r>
        <w:r w:rsidRPr="00682C24">
          <w:rPr>
            <w:rFonts w:ascii="Arial" w:hAnsi="Arial" w:cs="Arial"/>
            <w:noProof/>
            <w:webHidden/>
          </w:rPr>
          <w:tab/>
        </w:r>
        <w:r w:rsidRPr="00682C24">
          <w:rPr>
            <w:rFonts w:ascii="Arial" w:hAnsi="Arial" w:cs="Arial"/>
            <w:noProof/>
            <w:webHidden/>
          </w:rPr>
          <w:fldChar w:fldCharType="begin"/>
        </w:r>
        <w:r w:rsidRPr="00682C24">
          <w:rPr>
            <w:rFonts w:ascii="Arial" w:hAnsi="Arial" w:cs="Arial"/>
            <w:noProof/>
            <w:webHidden/>
          </w:rPr>
          <w:instrText xml:space="preserve"> PAGEREF _Toc195519234 \h </w:instrText>
        </w:r>
        <w:r w:rsidRPr="00682C24">
          <w:rPr>
            <w:rFonts w:ascii="Arial" w:hAnsi="Arial" w:cs="Arial"/>
            <w:noProof/>
            <w:webHidden/>
          </w:rPr>
        </w:r>
        <w:r w:rsidRPr="00682C24">
          <w:rPr>
            <w:rFonts w:ascii="Arial" w:hAnsi="Arial" w:cs="Arial"/>
            <w:noProof/>
            <w:webHidden/>
          </w:rPr>
          <w:fldChar w:fldCharType="separate"/>
        </w:r>
        <w:r w:rsidR="00886039">
          <w:rPr>
            <w:rFonts w:ascii="Arial" w:hAnsi="Arial" w:cs="Arial"/>
            <w:noProof/>
            <w:webHidden/>
          </w:rPr>
          <w:t>8</w:t>
        </w:r>
        <w:r w:rsidRPr="00682C24">
          <w:rPr>
            <w:rFonts w:ascii="Arial" w:hAnsi="Arial" w:cs="Arial"/>
            <w:noProof/>
            <w:webHidden/>
          </w:rPr>
          <w:fldChar w:fldCharType="end"/>
        </w:r>
      </w:hyperlink>
    </w:p>
    <w:p w14:paraId="77733BB4" w14:textId="0D955AD0" w:rsidR="00682C24" w:rsidRPr="00682C24" w:rsidRDefault="00682C24" w:rsidP="00682C24">
      <w:pPr>
        <w:pStyle w:val="TOC1"/>
        <w:tabs>
          <w:tab w:val="right" w:leader="dot" w:pos="10212"/>
        </w:tabs>
        <w:spacing w:after="240" w:line="360" w:lineRule="auto"/>
        <w:rPr>
          <w:rFonts w:eastAsiaTheme="minorEastAsia"/>
          <w:noProof/>
          <w:color w:val="auto"/>
          <w:sz w:val="24"/>
        </w:rPr>
      </w:pPr>
      <w:hyperlink w:anchor="_Toc195519235" w:history="1">
        <w:r w:rsidRPr="00682C24">
          <w:rPr>
            <w:rStyle w:val="Hyperlink"/>
            <w:noProof/>
            <w:sz w:val="24"/>
          </w:rPr>
          <w:t>Summary of steps to complete definite closure</w:t>
        </w:r>
        <w:r w:rsidRPr="00682C24">
          <w:rPr>
            <w:noProof/>
            <w:webHidden/>
            <w:sz w:val="24"/>
          </w:rPr>
          <w:tab/>
        </w:r>
        <w:r w:rsidRPr="00682C24">
          <w:rPr>
            <w:noProof/>
            <w:webHidden/>
            <w:sz w:val="24"/>
          </w:rPr>
          <w:fldChar w:fldCharType="begin"/>
        </w:r>
        <w:r w:rsidRPr="00682C24">
          <w:rPr>
            <w:noProof/>
            <w:webHidden/>
            <w:sz w:val="24"/>
          </w:rPr>
          <w:instrText xml:space="preserve"> PAGEREF _Toc195519235 \h </w:instrText>
        </w:r>
        <w:r w:rsidRPr="00682C24">
          <w:rPr>
            <w:noProof/>
            <w:webHidden/>
            <w:sz w:val="24"/>
          </w:rPr>
        </w:r>
        <w:r w:rsidRPr="00682C24">
          <w:rPr>
            <w:noProof/>
            <w:webHidden/>
            <w:sz w:val="24"/>
          </w:rPr>
          <w:fldChar w:fldCharType="separate"/>
        </w:r>
        <w:r w:rsidR="00886039">
          <w:rPr>
            <w:noProof/>
            <w:webHidden/>
            <w:sz w:val="24"/>
          </w:rPr>
          <w:t>9</w:t>
        </w:r>
        <w:r w:rsidRPr="00682C24">
          <w:rPr>
            <w:noProof/>
            <w:webHidden/>
            <w:sz w:val="24"/>
          </w:rPr>
          <w:fldChar w:fldCharType="end"/>
        </w:r>
      </w:hyperlink>
    </w:p>
    <w:p w14:paraId="4FF55E5F" w14:textId="728BD1AC" w:rsidR="00682C24" w:rsidRPr="00EC1C11" w:rsidRDefault="00682C24" w:rsidP="00DB495E">
      <w:pPr>
        <w:pStyle w:val="Heading1"/>
        <w:spacing w:line="360" w:lineRule="auto"/>
        <w:rPr>
          <w:rFonts w:ascii="Arial" w:hAnsi="Arial" w:cs="Arial"/>
          <w:b w:val="0"/>
          <w:bCs/>
          <w:color w:val="auto"/>
          <w:sz w:val="24"/>
          <w:szCs w:val="24"/>
        </w:rPr>
      </w:pPr>
      <w:r w:rsidRPr="00085D68">
        <w:rPr>
          <w:b w:val="0"/>
          <w:bCs/>
          <w:noProof/>
        </w:rPr>
        <w:lastRenderedPageBreak/>
        <w:fldChar w:fldCharType="end"/>
      </w:r>
      <w:r w:rsidRPr="00EC1C11">
        <w:rPr>
          <w:rFonts w:ascii="Arial" w:hAnsi="Arial" w:cs="Arial"/>
          <w:bCs/>
          <w:color w:val="auto"/>
          <w:sz w:val="24"/>
          <w:szCs w:val="24"/>
        </w:rPr>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43A5A65A" w14:textId="77777777" w:rsidR="00682C24" w:rsidRPr="00682C24" w:rsidRDefault="00682C24" w:rsidP="00682C24"/>
    <w:p w14:paraId="74E753A6" w14:textId="77777777" w:rsidR="0097467D" w:rsidRDefault="0097467D" w:rsidP="005547A5">
      <w:pPr>
        <w:pStyle w:val="Heading1"/>
      </w:pPr>
    </w:p>
    <w:p w14:paraId="5F5AD504" w14:textId="77777777" w:rsidR="00D66F23" w:rsidRPr="00D66F23" w:rsidRDefault="00D66F23" w:rsidP="00D66F23">
      <w:pPr>
        <w:rPr>
          <w:rFonts w:ascii="Arial" w:hAnsi="Arial" w:cs="Arial"/>
          <w:sz w:val="32"/>
          <w:szCs w:val="32"/>
        </w:rPr>
      </w:pPr>
      <w:r w:rsidRPr="00D66F23">
        <w:rPr>
          <w:rFonts w:ascii="Arial" w:hAnsi="Arial" w:cs="Arial"/>
          <w:sz w:val="32"/>
          <w:szCs w:val="32"/>
        </w:rPr>
        <w:t>If you would like this document in an accessible format, such as large print, audio recording or braille, please contact SEPA by emailing </w:t>
      </w:r>
      <w:hyperlink r:id="rId13" w:tgtFrame="_blank" w:history="1">
        <w:r w:rsidRPr="00D66F23">
          <w:rPr>
            <w:rStyle w:val="Hyperlink"/>
            <w:rFonts w:ascii="Arial" w:hAnsi="Arial" w:cs="Arial"/>
            <w:sz w:val="32"/>
            <w:szCs w:val="32"/>
          </w:rPr>
          <w:t>equalities@sepa.org.uk</w:t>
        </w:r>
      </w:hyperlink>
      <w:r w:rsidRPr="00D66F23">
        <w:rPr>
          <w:rFonts w:ascii="Arial" w:hAnsi="Arial" w:cs="Arial"/>
          <w:sz w:val="32"/>
          <w:szCs w:val="32"/>
        </w:rPr>
        <w:t> </w:t>
      </w:r>
    </w:p>
    <w:p w14:paraId="122464C7" w14:textId="77777777" w:rsidR="0097467D" w:rsidRDefault="0097467D" w:rsidP="005547A5">
      <w:pPr>
        <w:pStyle w:val="Heading1"/>
      </w:pPr>
    </w:p>
    <w:p w14:paraId="6096ECAB" w14:textId="77777777" w:rsidR="00682C24" w:rsidRDefault="00682C24" w:rsidP="00682C24"/>
    <w:p w14:paraId="07AB8FB6" w14:textId="77777777" w:rsidR="00682C24" w:rsidRDefault="00682C24" w:rsidP="00682C24"/>
    <w:p w14:paraId="2BF3D3E3" w14:textId="77777777" w:rsidR="00682C24" w:rsidRDefault="00682C24" w:rsidP="00682C24"/>
    <w:p w14:paraId="637B4297" w14:textId="77777777" w:rsidR="00682C24" w:rsidRDefault="00682C24" w:rsidP="00682C24"/>
    <w:p w14:paraId="5D83C9D2" w14:textId="77777777" w:rsidR="00EC1C11" w:rsidRDefault="00EC1C11" w:rsidP="00682C24"/>
    <w:p w14:paraId="409F3758" w14:textId="77777777" w:rsidR="00EC1C11" w:rsidRDefault="00EC1C11" w:rsidP="00682C24"/>
    <w:p w14:paraId="247CF4E3" w14:textId="77777777" w:rsidR="00EC1C11" w:rsidRDefault="00EC1C11" w:rsidP="00682C24"/>
    <w:p w14:paraId="60C04E1D" w14:textId="77777777" w:rsidR="00EC1C11" w:rsidRDefault="00EC1C11" w:rsidP="00682C24"/>
    <w:p w14:paraId="2081DABD" w14:textId="77777777" w:rsidR="00EC1C11" w:rsidRDefault="00EC1C11" w:rsidP="00682C24"/>
    <w:p w14:paraId="5E0EB4E0" w14:textId="77777777" w:rsidR="00682C24" w:rsidRDefault="00682C24" w:rsidP="00682C24"/>
    <w:p w14:paraId="43BF3AE0" w14:textId="77777777" w:rsidR="00682C24" w:rsidRDefault="00682C24" w:rsidP="00682C24"/>
    <w:p w14:paraId="05B8E26A" w14:textId="77777777" w:rsidR="00682C24" w:rsidRDefault="00682C24" w:rsidP="00682C24"/>
    <w:p w14:paraId="4AE7888D" w14:textId="77777777" w:rsidR="00682C24" w:rsidRDefault="00682C24" w:rsidP="00682C24"/>
    <w:p w14:paraId="37F538D5" w14:textId="77777777" w:rsidR="00682C24" w:rsidRDefault="00682C24" w:rsidP="00682C24"/>
    <w:p w14:paraId="77CE87E6" w14:textId="77777777" w:rsidR="00682C24" w:rsidRDefault="00682C24" w:rsidP="00682C24"/>
    <w:p w14:paraId="519A5DA5" w14:textId="77777777" w:rsidR="00682C24" w:rsidRDefault="00682C24" w:rsidP="00682C24"/>
    <w:p w14:paraId="065D62AE" w14:textId="77777777" w:rsidR="00682C24" w:rsidRPr="00682C24" w:rsidRDefault="00682C24" w:rsidP="00682C24"/>
    <w:p w14:paraId="10C25A09" w14:textId="124460BD" w:rsidR="001D545A" w:rsidRPr="001D545A" w:rsidRDefault="005547A5" w:rsidP="00CF067B">
      <w:pPr>
        <w:pStyle w:val="Heading1"/>
        <w:spacing w:after="120"/>
      </w:pPr>
      <w:bookmarkStart w:id="12" w:name="_Toc195519216"/>
      <w:bookmarkEnd w:id="11"/>
      <w:r w:rsidRPr="005547A5">
        <w:lastRenderedPageBreak/>
        <w:t>Background</w:t>
      </w:r>
      <w:bookmarkEnd w:id="12"/>
    </w:p>
    <w:p w14:paraId="301C030B" w14:textId="35C9989B" w:rsidR="00EA358C" w:rsidRPr="00EA358C" w:rsidRDefault="00EA358C" w:rsidP="00CF067B">
      <w:pPr>
        <w:pStyle w:val="BodyText1"/>
      </w:pPr>
      <w:r w:rsidRPr="00EA358C">
        <w:t>An</w:t>
      </w:r>
      <w:r w:rsidR="00682C24">
        <w:t xml:space="preserve"> operator</w:t>
      </w:r>
      <w:r w:rsidRPr="00EA358C">
        <w:t>’s</w:t>
      </w:r>
      <w:r w:rsidR="00682C24">
        <w:t xml:space="preserve"> (Authorised Person’s)</w:t>
      </w:r>
      <w:r w:rsidRPr="00EA358C">
        <w:t xml:space="preserve"> Closure and Aftercare Management Plan (CAMP) must demonstrate how the</w:t>
      </w:r>
      <w:r w:rsidR="00682C24">
        <w:t xml:space="preserve"> operator</w:t>
      </w:r>
      <w:r w:rsidRPr="00EA358C">
        <w:t xml:space="preserve"> will manage the closure and aftercare of the landfill as it moves from operational status to definite closure and surrender of the permit authorising its operation. This guidance note sets out the different steps in the closure and aftercare process, including the actions required by the</w:t>
      </w:r>
      <w:r w:rsidR="00682C24">
        <w:t xml:space="preserve"> operator</w:t>
      </w:r>
      <w:r w:rsidRPr="00EA358C">
        <w:t xml:space="preserve"> to review the CAMP, submit relevant information to SEPA and apply to SEPA for variation of the site permit and definite closure. This guidance note should be read in conjunction with SEPA Guidance Note – Guidance on Closed Landfills Regulated under the Environmental Authorisation</w:t>
      </w:r>
      <w:r w:rsidR="00886039">
        <w:t>s</w:t>
      </w:r>
      <w:r w:rsidRPr="00EA358C">
        <w:t xml:space="preserve"> (Scotland) Regulations 2018</w:t>
      </w:r>
      <w:r w:rsidR="00682C24">
        <w:t xml:space="preserve"> Schedule 13</w:t>
      </w:r>
      <w:r w:rsidRPr="00EA358C">
        <w:t xml:space="preserve"> which can be found on the SEPA website.</w:t>
      </w:r>
    </w:p>
    <w:p w14:paraId="758CEF47" w14:textId="77777777" w:rsidR="003F4AF4" w:rsidRPr="003F4AF4" w:rsidRDefault="003F4AF4" w:rsidP="00CF067B">
      <w:pPr>
        <w:pStyle w:val="Heading2"/>
        <w:spacing w:after="120"/>
      </w:pPr>
      <w:bookmarkStart w:id="13" w:name="_Toc195519217"/>
      <w:r w:rsidRPr="003F4AF4">
        <w:t>General</w:t>
      </w:r>
      <w:bookmarkEnd w:id="13"/>
    </w:p>
    <w:p w14:paraId="41B77684" w14:textId="77777777" w:rsidR="00C70DB9" w:rsidRPr="00C70DB9" w:rsidRDefault="00C70DB9" w:rsidP="00CF067B">
      <w:pPr>
        <w:pStyle w:val="Heading3"/>
        <w:spacing w:after="120"/>
      </w:pPr>
      <w:bookmarkStart w:id="14" w:name="_Toc195519218"/>
      <w:r w:rsidRPr="00C70DB9">
        <w:t>Capping</w:t>
      </w:r>
      <w:bookmarkEnd w:id="14"/>
    </w:p>
    <w:p w14:paraId="7B3748FB" w14:textId="2DAF67C7" w:rsidR="00613F6D" w:rsidRPr="00613F6D" w:rsidRDefault="00613F6D" w:rsidP="00CF067B">
      <w:pPr>
        <w:pStyle w:val="BodyText1"/>
      </w:pPr>
      <w:r w:rsidRPr="00613F6D">
        <w:t>The</w:t>
      </w:r>
      <w:r w:rsidR="00682C24">
        <w:t xml:space="preserve"> operator</w:t>
      </w:r>
      <w:r w:rsidRPr="00613F6D">
        <w:t xml:space="preserve"> must demonstrate the site is capped and that the capping is compliant with the standard specified in the </w:t>
      </w:r>
      <w:r w:rsidR="00682C24">
        <w:t>p</w:t>
      </w:r>
      <w:r w:rsidRPr="00613F6D">
        <w:t>ermit or Management Plan. A drawing must be provided showing:</w:t>
      </w:r>
    </w:p>
    <w:p w14:paraId="358790B4" w14:textId="74C0D4EF" w:rsidR="001529A3" w:rsidRDefault="00682C24" w:rsidP="00CF067B">
      <w:pPr>
        <w:pStyle w:val="BulletPoint"/>
      </w:pPr>
      <w:r>
        <w:t>T</w:t>
      </w:r>
      <w:r w:rsidR="001529A3">
        <w:t>he capping status of all disposal phases/cells showing that all phases/cells have been permanently capped</w:t>
      </w:r>
      <w:r>
        <w:t>.</w:t>
      </w:r>
    </w:p>
    <w:p w14:paraId="2CC71D9D" w14:textId="2BD72BC3" w:rsidR="001529A3" w:rsidRDefault="00682C24" w:rsidP="00CF067B">
      <w:pPr>
        <w:pStyle w:val="BulletPoint"/>
      </w:pPr>
      <w:r>
        <w:t>T</w:t>
      </w:r>
      <w:r w:rsidR="001529A3">
        <w:t>he specification of each capped area and</w:t>
      </w:r>
    </w:p>
    <w:p w14:paraId="6DC7C9CD" w14:textId="138634FD" w:rsidR="001529A3" w:rsidRDefault="00682C24" w:rsidP="00CF067B">
      <w:pPr>
        <w:pStyle w:val="BulletPoint"/>
      </w:pPr>
      <w:r>
        <w:t>T</w:t>
      </w:r>
      <w:r w:rsidR="001529A3">
        <w:t>he areas and date(s) capped with reference to the relevant Construction Quality Assurance (CQA) Reports.</w:t>
      </w:r>
    </w:p>
    <w:p w14:paraId="74B2FEF8" w14:textId="03E35BCA" w:rsidR="00015D13" w:rsidRDefault="00015D13" w:rsidP="00CF067B">
      <w:pPr>
        <w:pStyle w:val="BodyText1"/>
      </w:pPr>
      <w:r>
        <w:t>The</w:t>
      </w:r>
      <w:r w:rsidR="00682C24">
        <w:t xml:space="preserve"> operator</w:t>
      </w:r>
      <w:r>
        <w:t xml:space="preserve"> must demonstrate measures are in place to ensure monitoring of cap integrity in the aftercare phase.</w:t>
      </w:r>
    </w:p>
    <w:p w14:paraId="2A727344" w14:textId="77777777" w:rsidR="0036496B" w:rsidRDefault="0036496B" w:rsidP="00CF067B">
      <w:pPr>
        <w:pStyle w:val="Heading3"/>
        <w:spacing w:after="120"/>
      </w:pPr>
      <w:bookmarkStart w:id="15" w:name="_Toc195519219"/>
      <w:r w:rsidRPr="00897D8E">
        <w:t>Restoration</w:t>
      </w:r>
      <w:bookmarkEnd w:id="15"/>
    </w:p>
    <w:p w14:paraId="03BCB500" w14:textId="26B01B94" w:rsidR="0036496B" w:rsidRDefault="0036496B" w:rsidP="00CF067B">
      <w:pPr>
        <w:pStyle w:val="BodyText1"/>
      </w:pPr>
      <w:r>
        <w:t>The</w:t>
      </w:r>
      <w:r w:rsidR="00682C24">
        <w:t xml:space="preserve"> operator</w:t>
      </w:r>
      <w:r>
        <w:t xml:space="preserve"> must demonstrate the site is restored, that the restoration (placement of full depth restoration layer and required planting for approved final after use) has been undertaken and is compliant with the Restoration Management Plan. A drawing must be provided to show the restoration status of all areas within the boundary.</w:t>
      </w:r>
    </w:p>
    <w:p w14:paraId="1AB219AC" w14:textId="77777777" w:rsidR="0036496B" w:rsidRDefault="0036496B" w:rsidP="00CF067B">
      <w:pPr>
        <w:pStyle w:val="Heading3"/>
        <w:spacing w:after="120"/>
      </w:pPr>
      <w:bookmarkStart w:id="16" w:name="_Toc195519220"/>
      <w:r w:rsidRPr="00631B7E">
        <w:lastRenderedPageBreak/>
        <w:t>Stability</w:t>
      </w:r>
      <w:bookmarkEnd w:id="16"/>
    </w:p>
    <w:p w14:paraId="3D8F8E10" w14:textId="31E557F3" w:rsidR="0036496B" w:rsidRDefault="0036496B" w:rsidP="00CF067B">
      <w:pPr>
        <w:pStyle w:val="BodyText1"/>
      </w:pPr>
      <w:r>
        <w:t>The</w:t>
      </w:r>
      <w:r w:rsidR="00682C24">
        <w:t xml:space="preserve"> operator</w:t>
      </w:r>
      <w:r>
        <w:t xml:space="preserve"> must demonstrate that measures have been put in place to monitor site stability, particularly where there is potential for differential settlement between cells where different wastes have been placed.</w:t>
      </w:r>
    </w:p>
    <w:p w14:paraId="4749C697" w14:textId="77777777" w:rsidR="0036496B" w:rsidRDefault="0036496B" w:rsidP="00CF067B">
      <w:pPr>
        <w:pStyle w:val="Heading3"/>
        <w:spacing w:after="120"/>
      </w:pPr>
      <w:bookmarkStart w:id="17" w:name="_Toc195519221"/>
      <w:r w:rsidRPr="00631B7E">
        <w:t>Ha</w:t>
      </w:r>
      <w:bookmarkStart w:id="18" w:name="_Hlk175038371"/>
      <w:r w:rsidRPr="00631B7E">
        <w:t>bitats</w:t>
      </w:r>
      <w:bookmarkEnd w:id="18"/>
      <w:bookmarkEnd w:id="17"/>
    </w:p>
    <w:p w14:paraId="74547355" w14:textId="30FFAEBB" w:rsidR="0036496B" w:rsidRDefault="0036496B" w:rsidP="00CF067B">
      <w:pPr>
        <w:pStyle w:val="BodyText1"/>
      </w:pPr>
      <w:r>
        <w:t xml:space="preserve">Where the site is within a specified distance of a designated European site for nature conservation or other designated </w:t>
      </w:r>
      <w:bookmarkStart w:id="19" w:name="_Hlk175039533"/>
      <w:r>
        <w:t>habitat site, the</w:t>
      </w:r>
      <w:r w:rsidR="00682C24">
        <w:t xml:space="preserve"> operator</w:t>
      </w:r>
      <w:r>
        <w:t xml:space="preserve"> must complete a habitats risk assessment to demonstrate that the site will not impact </w:t>
      </w:r>
      <w:bookmarkEnd w:id="19"/>
      <w:r>
        <w:t>the habitat site following definite closure.</w:t>
      </w:r>
    </w:p>
    <w:p w14:paraId="66D973F8" w14:textId="4F21E285" w:rsidR="0036496B" w:rsidRDefault="0036496B" w:rsidP="00CF067B">
      <w:pPr>
        <w:pStyle w:val="Heading3"/>
        <w:spacing w:after="120"/>
      </w:pPr>
      <w:bookmarkStart w:id="20" w:name="_Hlk175041845"/>
      <w:bookmarkStart w:id="21" w:name="_Toc195519222"/>
      <w:bookmarkStart w:id="22" w:name="_Hlk175637589"/>
      <w:r w:rsidRPr="40014E89">
        <w:t>Drawings</w:t>
      </w:r>
      <w:bookmarkEnd w:id="20"/>
      <w:r w:rsidR="00CF067B">
        <w:t xml:space="preserve"> </w:t>
      </w:r>
      <w:r w:rsidRPr="40014E89">
        <w:t>/</w:t>
      </w:r>
      <w:r w:rsidR="00CF067B">
        <w:t xml:space="preserve"> </w:t>
      </w:r>
      <w:r>
        <w:t>p</w:t>
      </w:r>
      <w:r w:rsidRPr="40014E89">
        <w:t>lans</w:t>
      </w:r>
      <w:bookmarkEnd w:id="21"/>
    </w:p>
    <w:p w14:paraId="3F42E71B" w14:textId="34C7E304" w:rsidR="0036496B" w:rsidRDefault="0036496B" w:rsidP="00CF067B">
      <w:pPr>
        <w:pStyle w:val="BodyText1"/>
        <w:rPr>
          <w:b/>
          <w:bCs/>
          <w:sz w:val="28"/>
          <w:szCs w:val="28"/>
        </w:rPr>
      </w:pPr>
      <w:r>
        <w:t>The</w:t>
      </w:r>
      <w:r w:rsidR="00682C24">
        <w:t xml:space="preserve"> operator</w:t>
      </w:r>
      <w:r>
        <w:t xml:space="preserve"> must provide a drawing showing the area of the site that is intended to be moved to definite closure. The</w:t>
      </w:r>
      <w:r w:rsidR="00682C24">
        <w:t xml:space="preserve"> operator</w:t>
      </w:r>
      <w:r>
        <w:t xml:space="preserve"> must also provide a series of drawings, as described below in the following sections. All drawings the</w:t>
      </w:r>
      <w:r w:rsidR="00682C24">
        <w:t xml:space="preserve"> operator</w:t>
      </w:r>
      <w:r>
        <w:t xml:space="preserve"> submits must be clearly titled, provided with a drawing identification number, revision number, dated and provided with scale.</w:t>
      </w:r>
    </w:p>
    <w:p w14:paraId="5BD4DC6A" w14:textId="29C728BF" w:rsidR="0036496B" w:rsidRDefault="0036496B" w:rsidP="00CF067B">
      <w:pPr>
        <w:pStyle w:val="Heading3"/>
        <w:spacing w:after="120"/>
      </w:pPr>
      <w:bookmarkStart w:id="23" w:name="_Toc195519223"/>
      <w:bookmarkStart w:id="24" w:name="_Hlk175637547"/>
      <w:bookmarkEnd w:id="22"/>
      <w:r w:rsidRPr="35DD5429">
        <w:t xml:space="preserve">Financial </w:t>
      </w:r>
      <w:r>
        <w:t>p</w:t>
      </w:r>
      <w:r w:rsidRPr="35DD5429">
        <w:t>rovision</w:t>
      </w:r>
      <w:bookmarkEnd w:id="23"/>
    </w:p>
    <w:p w14:paraId="1018B683" w14:textId="4DC05A7D" w:rsidR="0036496B" w:rsidRDefault="0036496B" w:rsidP="00CF067B">
      <w:pPr>
        <w:pStyle w:val="BodyText1"/>
      </w:pPr>
      <w:r>
        <w:t>There will remain the requirement on the</w:t>
      </w:r>
      <w:r w:rsidR="00682C24">
        <w:t xml:space="preserve"> operator</w:t>
      </w:r>
      <w:r>
        <w:t xml:space="preserve"> to demonstrate financial provision through the requirements of the conditions in the permit until surrender.</w:t>
      </w:r>
    </w:p>
    <w:p w14:paraId="03123B3B" w14:textId="77777777" w:rsidR="0097467D" w:rsidRDefault="0097467D" w:rsidP="0036496B">
      <w:pPr>
        <w:pStyle w:val="BodyText1"/>
      </w:pPr>
    </w:p>
    <w:p w14:paraId="7DD8BC8C" w14:textId="77777777" w:rsidR="0097467D" w:rsidRDefault="0097467D" w:rsidP="0036496B">
      <w:pPr>
        <w:pStyle w:val="BodyText1"/>
      </w:pPr>
    </w:p>
    <w:p w14:paraId="66744C7D" w14:textId="77777777" w:rsidR="0097467D" w:rsidRDefault="0097467D" w:rsidP="0036496B">
      <w:pPr>
        <w:pStyle w:val="BodyText1"/>
      </w:pPr>
    </w:p>
    <w:p w14:paraId="65D092B3" w14:textId="77777777" w:rsidR="0097467D" w:rsidRDefault="0097467D" w:rsidP="0036496B">
      <w:pPr>
        <w:pStyle w:val="BodyText1"/>
      </w:pPr>
    </w:p>
    <w:p w14:paraId="24E3E0DD" w14:textId="77777777" w:rsidR="0097467D" w:rsidRDefault="0097467D" w:rsidP="0036496B">
      <w:pPr>
        <w:pStyle w:val="BodyText1"/>
      </w:pPr>
    </w:p>
    <w:p w14:paraId="745071D6" w14:textId="77777777" w:rsidR="0097467D" w:rsidRDefault="0097467D" w:rsidP="0036496B">
      <w:pPr>
        <w:pStyle w:val="BodyText1"/>
      </w:pPr>
    </w:p>
    <w:p w14:paraId="155AA760" w14:textId="77777777" w:rsidR="00CF067B" w:rsidRDefault="00CF067B" w:rsidP="0036496B">
      <w:pPr>
        <w:pStyle w:val="BodyText1"/>
      </w:pPr>
    </w:p>
    <w:p w14:paraId="6EDD9D16" w14:textId="77777777" w:rsidR="0036496B" w:rsidRPr="00557189" w:rsidRDefault="0036496B" w:rsidP="00CF067B">
      <w:pPr>
        <w:pStyle w:val="Heading2"/>
        <w:spacing w:after="120"/>
      </w:pPr>
      <w:bookmarkStart w:id="25" w:name="_Toc195519224"/>
      <w:bookmarkStart w:id="26" w:name="_Hlk174984405"/>
      <w:bookmarkEnd w:id="24"/>
      <w:r w:rsidRPr="7C9C0AE7">
        <w:lastRenderedPageBreak/>
        <w:t xml:space="preserve">Provision of </w:t>
      </w:r>
      <w:bookmarkStart w:id="27" w:name="_Hlk174984339"/>
      <w:r>
        <w:t>e</w:t>
      </w:r>
      <w:r w:rsidRPr="7C9C0AE7">
        <w:t xml:space="preserve">nvironmental </w:t>
      </w:r>
      <w:bookmarkEnd w:id="27"/>
      <w:r>
        <w:t>p</w:t>
      </w:r>
      <w:r w:rsidRPr="7C9C0AE7">
        <w:t xml:space="preserve">rotection </w:t>
      </w:r>
      <w:r>
        <w:t>i</w:t>
      </w:r>
      <w:r w:rsidRPr="7C9C0AE7">
        <w:t>nfrastructure</w:t>
      </w:r>
      <w:bookmarkEnd w:id="25"/>
    </w:p>
    <w:bookmarkEnd w:id="26"/>
    <w:p w14:paraId="46E043A9" w14:textId="59CA380F" w:rsidR="0036496B" w:rsidRDefault="0036496B" w:rsidP="00CF067B">
      <w:pPr>
        <w:pStyle w:val="BodyText1"/>
      </w:pPr>
      <w:r>
        <w:t>The</w:t>
      </w:r>
      <w:r w:rsidR="00682C24">
        <w:t xml:space="preserve"> operator</w:t>
      </w:r>
      <w:r>
        <w:t xml:space="preserve"> must demonstrate that they have the required infrastructure to manage landfill gas, leachate and any discharges in place and that this will be maintained as the landfill moves into the aftercare phase.</w:t>
      </w:r>
    </w:p>
    <w:p w14:paraId="24908F2D" w14:textId="77777777" w:rsidR="0036496B" w:rsidRDefault="0036496B" w:rsidP="00CF067B">
      <w:pPr>
        <w:pStyle w:val="Heading3"/>
        <w:spacing w:after="120"/>
      </w:pPr>
      <w:bookmarkStart w:id="28" w:name="_Toc195519225"/>
      <w:bookmarkStart w:id="29" w:name="_Hlk174983827"/>
      <w:r>
        <w:t>Landfill gas management</w:t>
      </w:r>
      <w:bookmarkEnd w:id="28"/>
    </w:p>
    <w:p w14:paraId="58D17096" w14:textId="42DA995D" w:rsidR="0036496B" w:rsidRDefault="0036496B" w:rsidP="00CF067B">
      <w:pPr>
        <w:pStyle w:val="BodyText1"/>
      </w:pPr>
      <w:r>
        <w:t>The</w:t>
      </w:r>
      <w:r w:rsidR="00682C24">
        <w:t xml:space="preserve"> operator</w:t>
      </w:r>
      <w:r>
        <w:t xml:space="preserve"> must detail and fully describe the landfill gas collection and treatment system in place, the engine capacity and type and flare capacity and type. All landfill gas infrastructure (e.g. flare, engines, pipework, manifolds etc.) required for environmental protection should be identified on a drawing.</w:t>
      </w:r>
    </w:p>
    <w:p w14:paraId="23486E61" w14:textId="77777777" w:rsidR="0036496B" w:rsidRDefault="0036496B" w:rsidP="00CF067B">
      <w:pPr>
        <w:pStyle w:val="Heading3"/>
        <w:spacing w:after="120"/>
      </w:pPr>
      <w:bookmarkStart w:id="30" w:name="_Toc195519226"/>
      <w:bookmarkEnd w:id="29"/>
      <w:r>
        <w:t>Leachate management</w:t>
      </w:r>
      <w:bookmarkEnd w:id="30"/>
    </w:p>
    <w:p w14:paraId="2CBF3BB5" w14:textId="35A67B06" w:rsidR="0036496B" w:rsidRDefault="0036496B" w:rsidP="00CF067B">
      <w:pPr>
        <w:pStyle w:val="BodyText1"/>
      </w:pPr>
      <w:r>
        <w:t xml:space="preserve">The </w:t>
      </w:r>
      <w:r w:rsidR="00682C24">
        <w:t>operator</w:t>
      </w:r>
      <w:r>
        <w:t xml:space="preserve"> must fully describe the leachate management system in place and detail the treatment and/or discharge from the site. All leachate infrastructure relating to storage, treatment and/or discharge required for environmental protection must be identified on a drawing. Infrastructure must include, but shall not be limited to, lagoons, tanks, pipework, pumps, treatment plant, discharge points and extraction points, including any side wall risers.</w:t>
      </w:r>
    </w:p>
    <w:p w14:paraId="3AEF1C70" w14:textId="77777777" w:rsidR="0036496B" w:rsidRDefault="0036496B" w:rsidP="00CF067B">
      <w:pPr>
        <w:pStyle w:val="BodyText1"/>
      </w:pPr>
      <w:r>
        <w:t>Evidence must be provided to demonstrate that all leachate wells have been drilled to the base of the lining system. Where any leachate wells have been lost and replaced, evidence must be provided for the amended base of well. All leachate logs must be provided along with calculations to demonstrate the level of leachate on the base of the liner.</w:t>
      </w:r>
    </w:p>
    <w:p w14:paraId="0B994B62" w14:textId="19F4499E" w:rsidR="0036496B" w:rsidRDefault="0036496B" w:rsidP="00CF067B">
      <w:pPr>
        <w:pStyle w:val="Heading3"/>
        <w:spacing w:after="120"/>
      </w:pPr>
      <w:bookmarkStart w:id="31" w:name="_Toc195519227"/>
      <w:r>
        <w:t xml:space="preserve">Surface water / </w:t>
      </w:r>
      <w:r w:rsidR="00CF067B">
        <w:t>t</w:t>
      </w:r>
      <w:r>
        <w:t>rade effluent management</w:t>
      </w:r>
      <w:bookmarkEnd w:id="31"/>
    </w:p>
    <w:p w14:paraId="12EDA933" w14:textId="4ECA740A" w:rsidR="0036496B" w:rsidRDefault="0036496B" w:rsidP="00CF067B">
      <w:pPr>
        <w:pStyle w:val="BodyText1"/>
      </w:pPr>
      <w:r>
        <w:t xml:space="preserve">If the site has any requirement for capture and/or treatment of ‘dirty’ surface water run-off or trade effluent the </w:t>
      </w:r>
      <w:r w:rsidR="00682C24">
        <w:t>operator</w:t>
      </w:r>
      <w:r>
        <w:t xml:space="preserve"> must demonstrate their arrangements for its management. </w:t>
      </w:r>
      <w:bookmarkStart w:id="32" w:name="_Hlk175037996"/>
      <w:r>
        <w:t>Trigger levels for base indicator parameters (that will identify if surface water is contaminated) must be identified an</w:t>
      </w:r>
      <w:bookmarkEnd w:id="32"/>
      <w:r>
        <w:t>d monitored.</w:t>
      </w:r>
    </w:p>
    <w:p w14:paraId="0EDED97B" w14:textId="77777777" w:rsidR="00CF067B" w:rsidRDefault="00CF067B" w:rsidP="00CF067B">
      <w:pPr>
        <w:pStyle w:val="BodyText1"/>
      </w:pPr>
    </w:p>
    <w:p w14:paraId="2FAE7D2B" w14:textId="77777777" w:rsidR="005C0ACC" w:rsidRDefault="005C0ACC" w:rsidP="00CF067B">
      <w:pPr>
        <w:pStyle w:val="Heading2"/>
        <w:spacing w:after="120"/>
        <w:rPr>
          <w:rStyle w:val="normaltextrun"/>
          <w:rFonts w:asciiTheme="minorHAnsi" w:hAnsiTheme="minorHAnsi" w:cstheme="minorBidi"/>
          <w:b w:val="0"/>
          <w:color w:val="090909"/>
          <w:shd w:val="clear" w:color="auto" w:fill="FFFFFF"/>
        </w:rPr>
      </w:pPr>
      <w:bookmarkStart w:id="33" w:name="_Hlk174983095"/>
      <w:bookmarkStart w:id="34" w:name="_Toc195519228"/>
      <w:r>
        <w:lastRenderedPageBreak/>
        <w:t xml:space="preserve">Maintenance of environmental </w:t>
      </w:r>
      <w:r w:rsidRPr="0097467D">
        <w:t>protection</w:t>
      </w:r>
      <w:r>
        <w:t xml:space="preserve"> infrastructure</w:t>
      </w:r>
      <w:bookmarkEnd w:id="33"/>
      <w:bookmarkEnd w:id="34"/>
    </w:p>
    <w:p w14:paraId="5404A09A" w14:textId="70E51F79" w:rsidR="005C0ACC" w:rsidRDefault="005C0ACC" w:rsidP="00CF067B">
      <w:pPr>
        <w:pStyle w:val="BodyText1"/>
      </w:pPr>
      <w:r>
        <w:t>The</w:t>
      </w:r>
      <w:r w:rsidR="00682C24">
        <w:t xml:space="preserve"> operator</w:t>
      </w:r>
      <w:r>
        <w:t xml:space="preserve"> must demonstrate that they will maintain the necessary infrastructure, such as landfill gas and leachate infrastructure, to protect the environment, as the landfill moves into the aftercare phase.</w:t>
      </w:r>
    </w:p>
    <w:p w14:paraId="11E7BE80" w14:textId="7D7C5293" w:rsidR="005C0ACC" w:rsidRDefault="005C0ACC" w:rsidP="00CF067B">
      <w:pPr>
        <w:pStyle w:val="BodyText1"/>
      </w:pPr>
      <w:r>
        <w:t>The</w:t>
      </w:r>
      <w:r w:rsidR="00682C24">
        <w:t xml:space="preserve"> operator</w:t>
      </w:r>
      <w:r>
        <w:t xml:space="preserve"> must provide a drawing showing the location of all environmental protection infrastructure, including but not limited to, extraction wells, boreholes, storage tanks, pipework, permanent plant and equipment, drains, ditches, soakaways relating to the management (collection, treatment and disposal) of leachate, landfill gas and trade effluent and/or surface water.</w:t>
      </w:r>
    </w:p>
    <w:p w14:paraId="1A082C41" w14:textId="2619A420" w:rsidR="005C0ACC" w:rsidRDefault="005C0ACC" w:rsidP="00CF067B">
      <w:pPr>
        <w:pStyle w:val="BodyText1"/>
      </w:pPr>
      <w:r>
        <w:t>The maintenance schedule for all infrastructure must be provided and must address assessments undertaken, frequency, responsibilities, and procedures for repair/replacement. The steps proposed should any environmental protection infrastructure reveal significant environmental effects must be detailed. The</w:t>
      </w:r>
      <w:r w:rsidR="00682C24">
        <w:t xml:space="preserve"> operator</w:t>
      </w:r>
      <w:r>
        <w:t xml:space="preserve"> should confirm that the landfill gas compound, leachate treatment plant and other key monitoring infrastructure will be secured to prevent unauthorised access and confirm if the landfill gas compound and/or the leachate treatment system is accessible by key personnel.</w:t>
      </w:r>
    </w:p>
    <w:p w14:paraId="77D7C199" w14:textId="77777777" w:rsidR="0097467D" w:rsidRDefault="0097467D" w:rsidP="005B6DE7">
      <w:pPr>
        <w:pStyle w:val="BodyText1"/>
      </w:pPr>
    </w:p>
    <w:p w14:paraId="5F1EA17F" w14:textId="77777777" w:rsidR="0097467D" w:rsidRDefault="0097467D" w:rsidP="005B6DE7">
      <w:pPr>
        <w:pStyle w:val="BodyText1"/>
      </w:pPr>
    </w:p>
    <w:p w14:paraId="1C052F45" w14:textId="77777777" w:rsidR="0097467D" w:rsidRDefault="0097467D" w:rsidP="005B6DE7">
      <w:pPr>
        <w:pStyle w:val="BodyText1"/>
      </w:pPr>
    </w:p>
    <w:p w14:paraId="46648544" w14:textId="77777777" w:rsidR="0097467D" w:rsidRDefault="0097467D" w:rsidP="005B6DE7">
      <w:pPr>
        <w:pStyle w:val="BodyText1"/>
      </w:pPr>
    </w:p>
    <w:p w14:paraId="1527E904" w14:textId="77777777" w:rsidR="0097467D" w:rsidRDefault="0097467D" w:rsidP="005B6DE7">
      <w:pPr>
        <w:pStyle w:val="BodyText1"/>
      </w:pPr>
    </w:p>
    <w:p w14:paraId="52071060" w14:textId="77777777" w:rsidR="0097467D" w:rsidRDefault="0097467D" w:rsidP="005B6DE7">
      <w:pPr>
        <w:pStyle w:val="BodyText1"/>
      </w:pPr>
    </w:p>
    <w:p w14:paraId="0D5659E6" w14:textId="77777777" w:rsidR="0097467D" w:rsidRDefault="0097467D" w:rsidP="005B6DE7">
      <w:pPr>
        <w:pStyle w:val="BodyText1"/>
      </w:pPr>
    </w:p>
    <w:p w14:paraId="19C61395" w14:textId="77777777" w:rsidR="0097467D" w:rsidRPr="007971B4" w:rsidRDefault="0097467D" w:rsidP="005B6DE7">
      <w:pPr>
        <w:pStyle w:val="BodyText1"/>
      </w:pPr>
    </w:p>
    <w:p w14:paraId="13BBB5D8" w14:textId="77777777" w:rsidR="005C0ACC" w:rsidRPr="00557189" w:rsidRDefault="005C0ACC" w:rsidP="00CF067B">
      <w:pPr>
        <w:pStyle w:val="Heading2"/>
        <w:spacing w:after="120"/>
        <w:rPr>
          <w:szCs w:val="32"/>
        </w:rPr>
      </w:pPr>
      <w:bookmarkStart w:id="35" w:name="_Toc195519229"/>
      <w:r w:rsidRPr="7C9C0AE7">
        <w:rPr>
          <w:szCs w:val="32"/>
        </w:rPr>
        <w:lastRenderedPageBreak/>
        <w:t xml:space="preserve">Provision of </w:t>
      </w:r>
      <w:r>
        <w:rPr>
          <w:szCs w:val="32"/>
        </w:rPr>
        <w:t>m</w:t>
      </w:r>
      <w:r w:rsidRPr="7C9C0AE7">
        <w:rPr>
          <w:szCs w:val="32"/>
        </w:rPr>
        <w:t xml:space="preserve">onitoring </w:t>
      </w:r>
      <w:r>
        <w:rPr>
          <w:szCs w:val="32"/>
        </w:rPr>
        <w:t>n</w:t>
      </w:r>
      <w:r w:rsidRPr="7C9C0AE7">
        <w:rPr>
          <w:szCs w:val="32"/>
        </w:rPr>
        <w:t>etwork</w:t>
      </w:r>
      <w:bookmarkEnd w:id="35"/>
    </w:p>
    <w:p w14:paraId="233BDCC3" w14:textId="40419E2D" w:rsidR="005C0ACC" w:rsidRDefault="005C0ACC" w:rsidP="00CF067B">
      <w:pPr>
        <w:pStyle w:val="BodyText1"/>
      </w:pPr>
      <w:bookmarkStart w:id="36" w:name="_Hlk174984665"/>
      <w:r>
        <w:t>The</w:t>
      </w:r>
      <w:r w:rsidR="00682C24">
        <w:t xml:space="preserve"> operator</w:t>
      </w:r>
      <w:r>
        <w:t xml:space="preserve"> must demonstrate that the required monitoring infrastructure is in place for environmental protection as the landfill moves into the aftercare phase.</w:t>
      </w:r>
    </w:p>
    <w:p w14:paraId="3520068F" w14:textId="1DCB4D32" w:rsidR="005C0ACC" w:rsidRDefault="005C0ACC" w:rsidP="00CF067B">
      <w:pPr>
        <w:pStyle w:val="BodyText1"/>
      </w:pPr>
      <w:r>
        <w:t>The</w:t>
      </w:r>
      <w:r w:rsidR="00682C24">
        <w:t xml:space="preserve"> operator</w:t>
      </w:r>
      <w:r>
        <w:t xml:space="preserve"> must provide a drawing showing the location of each monitoring point that is specified within the permit and/or Management Plan. This should include all leachate extraction and monitoring wells, groundwater perimeter boreholes (identifying upgradient and down gradient), landfill gas perimeter wells, surface water discharge points and monitoring points and leachate discharge points.</w:t>
      </w:r>
    </w:p>
    <w:p w14:paraId="2367961D" w14:textId="38389C8C" w:rsidR="005C0ACC" w:rsidRDefault="005C0ACC" w:rsidP="00CF067B">
      <w:pPr>
        <w:pStyle w:val="BodyText1"/>
      </w:pPr>
      <w:r>
        <w:t>The</w:t>
      </w:r>
      <w:r w:rsidR="00682C24">
        <w:t xml:space="preserve"> operator</w:t>
      </w:r>
      <w:r>
        <w:t xml:space="preserve"> must provide evidence to demonstrate that each monitoring point in the monitoring network has been labelled and secured to prevent unauthorised access. The</w:t>
      </w:r>
      <w:r w:rsidR="00682C24">
        <w:t xml:space="preserve"> operator</w:t>
      </w:r>
      <w:r>
        <w:t xml:space="preserve"> must confirm that each monitoring point that is in the permit and/or Management Plan has been surveyed and is in the correct location, serviceable and capable of providing a sample.</w:t>
      </w:r>
    </w:p>
    <w:p w14:paraId="2C523623" w14:textId="77777777" w:rsidR="005C0ACC" w:rsidRDefault="005C0ACC" w:rsidP="00CF067B">
      <w:pPr>
        <w:pStyle w:val="BodyText1"/>
      </w:pPr>
      <w:r>
        <w:t>The construction details for each well/borehole/discharge point must be provided.</w:t>
      </w:r>
      <w:bookmarkEnd w:id="36"/>
    </w:p>
    <w:p w14:paraId="665F11E6" w14:textId="77777777" w:rsidR="005C0ACC" w:rsidRPr="00EF598D" w:rsidRDefault="005C0ACC" w:rsidP="00CF067B">
      <w:pPr>
        <w:pStyle w:val="Heading2"/>
        <w:spacing w:after="120"/>
        <w:rPr>
          <w:sz w:val="36"/>
          <w:szCs w:val="36"/>
        </w:rPr>
      </w:pPr>
      <w:bookmarkStart w:id="37" w:name="_Toc195519230"/>
      <w:r w:rsidRPr="7C9C0AE7">
        <w:rPr>
          <w:szCs w:val="32"/>
        </w:rPr>
        <w:t xml:space="preserve">Maintenance of </w:t>
      </w:r>
      <w:r>
        <w:rPr>
          <w:szCs w:val="32"/>
        </w:rPr>
        <w:t>m</w:t>
      </w:r>
      <w:r w:rsidRPr="7C9C0AE7">
        <w:rPr>
          <w:szCs w:val="32"/>
        </w:rPr>
        <w:t xml:space="preserve">onitoring </w:t>
      </w:r>
      <w:r>
        <w:rPr>
          <w:szCs w:val="32"/>
        </w:rPr>
        <w:t>n</w:t>
      </w:r>
      <w:r w:rsidRPr="7C9C0AE7">
        <w:rPr>
          <w:szCs w:val="32"/>
        </w:rPr>
        <w:t>etwork</w:t>
      </w:r>
      <w:bookmarkEnd w:id="37"/>
    </w:p>
    <w:p w14:paraId="683E82E3" w14:textId="621DFE57" w:rsidR="005C0ACC" w:rsidRPr="00CC56C0" w:rsidRDefault="005C0ACC" w:rsidP="00CF067B">
      <w:pPr>
        <w:pStyle w:val="BodyText1"/>
      </w:pPr>
      <w:r>
        <w:t>The</w:t>
      </w:r>
      <w:r w:rsidR="00682C24">
        <w:t xml:space="preserve"> operator</w:t>
      </w:r>
      <w:r>
        <w:t xml:space="preserve"> must demonstrate that the required infrastructure is adequately maintained as the landfill moves into the aftercare phase. A maintenance schedule for each monitoring point must be detailed including, but not limited to, inspection frequency, assessments undertaken, procedures for repair/replacement and responsibilities for assessment and remediation, if required. Should a significant environmental event be identified during any monitoring and/or maintenance inspection, the</w:t>
      </w:r>
      <w:r w:rsidR="00682C24">
        <w:t xml:space="preserve"> operator</w:t>
      </w:r>
      <w:r>
        <w:t xml:space="preserve"> must notify SEPA of the event.</w:t>
      </w:r>
    </w:p>
    <w:p w14:paraId="4130329B" w14:textId="1DA71098" w:rsidR="005C0ACC" w:rsidRPr="00011B62" w:rsidRDefault="005C0ACC" w:rsidP="00CF067B">
      <w:pPr>
        <w:pStyle w:val="Heading2"/>
        <w:spacing w:after="120"/>
        <w:rPr>
          <w:szCs w:val="32"/>
        </w:rPr>
      </w:pPr>
      <w:bookmarkStart w:id="38" w:name="_Toc195519231"/>
      <w:r w:rsidRPr="7C9C0AE7">
        <w:rPr>
          <w:szCs w:val="32"/>
        </w:rPr>
        <w:t xml:space="preserve">Provision of </w:t>
      </w:r>
      <w:r>
        <w:rPr>
          <w:szCs w:val="32"/>
        </w:rPr>
        <w:t>c</w:t>
      </w:r>
      <w:r w:rsidRPr="7C9C0AE7">
        <w:rPr>
          <w:szCs w:val="32"/>
        </w:rPr>
        <w:t xml:space="preserve">ompliant </w:t>
      </w:r>
      <w:r>
        <w:rPr>
          <w:szCs w:val="32"/>
        </w:rPr>
        <w:t>m</w:t>
      </w:r>
      <w:r w:rsidRPr="7C9C0AE7">
        <w:rPr>
          <w:szCs w:val="32"/>
        </w:rPr>
        <w:t xml:space="preserve">onitoring </w:t>
      </w:r>
      <w:r>
        <w:rPr>
          <w:szCs w:val="32"/>
        </w:rPr>
        <w:t>b</w:t>
      </w:r>
      <w:r w:rsidRPr="7C9C0AE7">
        <w:rPr>
          <w:szCs w:val="32"/>
        </w:rPr>
        <w:t>oreholes</w:t>
      </w:r>
      <w:bookmarkEnd w:id="38"/>
    </w:p>
    <w:p w14:paraId="71122C9D" w14:textId="7EB684A3" w:rsidR="005C0ACC" w:rsidRPr="00CC56C0" w:rsidRDefault="005C0ACC" w:rsidP="00CF067B">
      <w:pPr>
        <w:pStyle w:val="BodyText1"/>
      </w:pPr>
      <w:r>
        <w:t>The</w:t>
      </w:r>
      <w:r w:rsidR="00682C24">
        <w:t xml:space="preserve"> operator</w:t>
      </w:r>
      <w:r>
        <w:t xml:space="preserve"> must demonstrate that </w:t>
      </w:r>
      <w:r w:rsidRPr="5408E68A">
        <w:rPr>
          <w:rStyle w:val="normaltextrun"/>
          <w:color w:val="090909"/>
        </w:rPr>
        <w:t>leachate, gas</w:t>
      </w:r>
      <w:r w:rsidRPr="5408E68A">
        <w:rPr>
          <w:rStyle w:val="normaltextrun"/>
          <w:color w:val="090909"/>
          <w:shd w:val="clear" w:color="auto" w:fill="FFFFFF"/>
        </w:rPr>
        <w:t xml:space="preserve"> and groundwater boreholes are compliant with all relevant emission limits or trigger/control levels through provision of monitoring data.</w:t>
      </w:r>
    </w:p>
    <w:p w14:paraId="65069C4B" w14:textId="3FEFA8D2" w:rsidR="005C0ACC" w:rsidRDefault="005C0ACC" w:rsidP="00CF067B">
      <w:pPr>
        <w:pStyle w:val="BodyText1"/>
      </w:pPr>
      <w:r>
        <w:t>The</w:t>
      </w:r>
      <w:r w:rsidR="00682C24">
        <w:t xml:space="preserve"> operator</w:t>
      </w:r>
      <w:r>
        <w:t xml:space="preserve"> must provide an interpretive report of monitoring data, including identification of data gaps, limit exceedances and remedial actions identified for issues raised. The report should </w:t>
      </w:r>
      <w:proofErr w:type="gramStart"/>
      <w:r>
        <w:t>make reference</w:t>
      </w:r>
      <w:proofErr w:type="gramEnd"/>
      <w:r>
        <w:t xml:space="preserve"> to Annual Monitoring Report submissions.</w:t>
      </w:r>
    </w:p>
    <w:p w14:paraId="1FF57961" w14:textId="088795CB" w:rsidR="005C0ACC" w:rsidRDefault="005C0ACC" w:rsidP="00CF067B">
      <w:pPr>
        <w:pStyle w:val="BodyText1"/>
      </w:pPr>
      <w:r>
        <w:lastRenderedPageBreak/>
        <w:t>The</w:t>
      </w:r>
      <w:r w:rsidR="00682C24">
        <w:t xml:space="preserve"> operator</w:t>
      </w:r>
      <w:r>
        <w:t xml:space="preserve"> must include a copy of the site Hydrogeological Risk Assessment (HRA). If the HRA is more than 6 years old, and/or activities on site have changed since the assessment was completed, a new HRA should be undertaken and submitted.</w:t>
      </w:r>
    </w:p>
    <w:p w14:paraId="783126B1" w14:textId="77777777" w:rsidR="00CF067B" w:rsidRDefault="00CF067B" w:rsidP="00CF067B">
      <w:pPr>
        <w:pStyle w:val="BodyText1"/>
      </w:pPr>
    </w:p>
    <w:p w14:paraId="19E055D1" w14:textId="77777777" w:rsidR="005C0ACC" w:rsidRPr="00011B62" w:rsidRDefault="005C0ACC" w:rsidP="00CF067B">
      <w:pPr>
        <w:pStyle w:val="Heading2"/>
        <w:spacing w:after="120"/>
        <w:rPr>
          <w:szCs w:val="32"/>
        </w:rPr>
      </w:pPr>
      <w:bookmarkStart w:id="39" w:name="_Toc195519232"/>
      <w:bookmarkStart w:id="40" w:name="_Hlk175040440"/>
      <w:r w:rsidRPr="7C9C0AE7">
        <w:rPr>
          <w:szCs w:val="32"/>
        </w:rPr>
        <w:t>Other activities</w:t>
      </w:r>
      <w:bookmarkEnd w:id="39"/>
    </w:p>
    <w:p w14:paraId="4E48F084" w14:textId="72D48E3F" w:rsidR="005C0ACC" w:rsidRDefault="005C0ACC" w:rsidP="00CF067B">
      <w:pPr>
        <w:pStyle w:val="Heading3"/>
        <w:spacing w:after="120"/>
      </w:pPr>
      <w:bookmarkStart w:id="41" w:name="_Toc195519233"/>
      <w:bookmarkStart w:id="42" w:name="_Hlk175040453"/>
      <w:bookmarkEnd w:id="40"/>
      <w:r>
        <w:t>Directly Associated Activities (DAAs)</w:t>
      </w:r>
      <w:bookmarkEnd w:id="41"/>
    </w:p>
    <w:bookmarkEnd w:id="42"/>
    <w:p w14:paraId="5F3FDDA1" w14:textId="5F61F88D" w:rsidR="005C0ACC" w:rsidRDefault="005C0ACC" w:rsidP="00CF067B">
      <w:pPr>
        <w:pStyle w:val="BodyText1"/>
      </w:pPr>
      <w:r>
        <w:t>Any DAA(s) which is/are proposed to be continued after the site moves into definite closure must be identified by the</w:t>
      </w:r>
      <w:r w:rsidR="00682C24">
        <w:t xml:space="preserve"> operator</w:t>
      </w:r>
      <w:r>
        <w:t>. Any DAA(s) which will no longer remain technically connected to the landfill operation must be identified.</w:t>
      </w:r>
    </w:p>
    <w:p w14:paraId="5610811D" w14:textId="77777777" w:rsidR="00CF067B" w:rsidRPr="00811D8B" w:rsidRDefault="00CF067B" w:rsidP="00CF067B">
      <w:pPr>
        <w:pStyle w:val="BodyText1"/>
      </w:pPr>
    </w:p>
    <w:p w14:paraId="49BD7EFC" w14:textId="0A00D802" w:rsidR="005C0ACC" w:rsidRDefault="005C0ACC" w:rsidP="00CF067B">
      <w:pPr>
        <w:pStyle w:val="Heading2"/>
        <w:spacing w:after="120"/>
      </w:pPr>
      <w:bookmarkStart w:id="43" w:name="_Toc195519234"/>
      <w:r>
        <w:t>When reviewing the Closure and Aftercare Management Plan</w:t>
      </w:r>
      <w:bookmarkEnd w:id="43"/>
    </w:p>
    <w:p w14:paraId="05BD6C9B" w14:textId="3BA35EA6" w:rsidR="005C0ACC" w:rsidRPr="00DC57E7" w:rsidRDefault="005C0ACC" w:rsidP="00CF067B">
      <w:pPr>
        <w:spacing w:after="240"/>
      </w:pPr>
      <w:r>
        <w:t>The</w:t>
      </w:r>
      <w:r w:rsidR="00682C24">
        <w:t xml:space="preserve"> operator</w:t>
      </w:r>
      <w:r>
        <w:t xml:space="preserve"> must ensure the following:</w:t>
      </w:r>
    </w:p>
    <w:p w14:paraId="4EFC2EBB" w14:textId="56F3B621" w:rsidR="005C0ACC" w:rsidRPr="00DC57E7" w:rsidRDefault="005C0ACC" w:rsidP="00CF067B">
      <w:pPr>
        <w:pStyle w:val="BulletPoint"/>
      </w:pPr>
      <w:r>
        <w:t xml:space="preserve">All documents submitted with the reviewed CAMP and the follow up application for </w:t>
      </w:r>
      <w:r w:rsidR="00886039">
        <w:t>v</w:t>
      </w:r>
      <w:r>
        <w:t xml:space="preserve">ariation to the </w:t>
      </w:r>
      <w:r w:rsidR="00886039">
        <w:t>p</w:t>
      </w:r>
      <w:r>
        <w:t>ermit, are clearly labelled.</w:t>
      </w:r>
      <w:r w:rsidR="00682C24">
        <w:t xml:space="preserve"> </w:t>
      </w:r>
      <w:r>
        <w:t>An appropriate reference to each document or drawing must be entered in each relevant part of your application form, and/or CAMP</w:t>
      </w:r>
      <w:r w:rsidR="00682C24">
        <w:t>.</w:t>
      </w:r>
    </w:p>
    <w:p w14:paraId="3B998D28" w14:textId="27C80E6F" w:rsidR="005C0ACC" w:rsidRPr="00DC57E7" w:rsidRDefault="005C0ACC" w:rsidP="00CF067B">
      <w:pPr>
        <w:pStyle w:val="BulletPoint"/>
      </w:pPr>
      <w:r>
        <w:t>Any continuation sheets are clearly labelled and that an appropriate reference to these is entered in each relevant part of your application form, and/or CAMP</w:t>
      </w:r>
      <w:r w:rsidR="00682C24">
        <w:t>.</w:t>
      </w:r>
    </w:p>
    <w:p w14:paraId="0CC90D7A" w14:textId="77777777" w:rsidR="005C0ACC" w:rsidRDefault="005C0ACC" w:rsidP="00CF067B">
      <w:pPr>
        <w:pStyle w:val="BulletPoint"/>
      </w:pPr>
      <w:r>
        <w:t>All documents created by you or on your behalf and submitted include a date and version number.</w:t>
      </w:r>
    </w:p>
    <w:p w14:paraId="5208A43C" w14:textId="77777777" w:rsidR="0097467D" w:rsidRDefault="0097467D" w:rsidP="0097467D">
      <w:pPr>
        <w:pStyle w:val="BulletPoint"/>
        <w:numPr>
          <w:ilvl w:val="0"/>
          <w:numId w:val="0"/>
        </w:numPr>
        <w:ind w:left="714" w:hanging="357"/>
      </w:pPr>
    </w:p>
    <w:p w14:paraId="57790B43" w14:textId="77777777" w:rsidR="0097467D" w:rsidRDefault="0097467D" w:rsidP="0097467D">
      <w:pPr>
        <w:pStyle w:val="BulletPoint"/>
        <w:numPr>
          <w:ilvl w:val="0"/>
          <w:numId w:val="0"/>
        </w:numPr>
        <w:ind w:left="714" w:hanging="357"/>
      </w:pPr>
    </w:p>
    <w:p w14:paraId="1B61CAFC" w14:textId="77777777" w:rsidR="0097467D" w:rsidRDefault="0097467D" w:rsidP="0097467D">
      <w:pPr>
        <w:pStyle w:val="BulletPoint"/>
        <w:numPr>
          <w:ilvl w:val="0"/>
          <w:numId w:val="0"/>
        </w:numPr>
        <w:ind w:left="714" w:hanging="357"/>
      </w:pPr>
    </w:p>
    <w:p w14:paraId="6457F16F" w14:textId="77777777" w:rsidR="0097467D" w:rsidRDefault="0097467D" w:rsidP="0097467D">
      <w:pPr>
        <w:pStyle w:val="BulletPoint"/>
        <w:numPr>
          <w:ilvl w:val="0"/>
          <w:numId w:val="0"/>
        </w:numPr>
        <w:ind w:left="714" w:hanging="357"/>
      </w:pPr>
    </w:p>
    <w:p w14:paraId="5B6693B4" w14:textId="77777777" w:rsidR="0097467D" w:rsidRDefault="0097467D" w:rsidP="0097467D">
      <w:pPr>
        <w:pStyle w:val="BulletPoint"/>
        <w:numPr>
          <w:ilvl w:val="0"/>
          <w:numId w:val="0"/>
        </w:numPr>
        <w:ind w:left="714" w:hanging="357"/>
      </w:pPr>
    </w:p>
    <w:p w14:paraId="0DECAFBA" w14:textId="77777777" w:rsidR="0097467D" w:rsidRDefault="0097467D" w:rsidP="0097467D">
      <w:pPr>
        <w:pStyle w:val="BulletPoint"/>
        <w:numPr>
          <w:ilvl w:val="0"/>
          <w:numId w:val="0"/>
        </w:numPr>
        <w:ind w:left="714" w:hanging="357"/>
      </w:pPr>
    </w:p>
    <w:p w14:paraId="3EBA0899" w14:textId="77777777" w:rsidR="0097467D" w:rsidRDefault="0097467D" w:rsidP="0097467D">
      <w:pPr>
        <w:pStyle w:val="BulletPoint"/>
        <w:numPr>
          <w:ilvl w:val="0"/>
          <w:numId w:val="0"/>
        </w:numPr>
        <w:ind w:left="714" w:hanging="357"/>
      </w:pPr>
    </w:p>
    <w:p w14:paraId="540F3164" w14:textId="77777777" w:rsidR="0097467D" w:rsidRDefault="0097467D" w:rsidP="0097467D">
      <w:pPr>
        <w:pStyle w:val="BulletPoint"/>
        <w:numPr>
          <w:ilvl w:val="0"/>
          <w:numId w:val="0"/>
        </w:numPr>
        <w:ind w:left="714" w:hanging="357"/>
      </w:pPr>
    </w:p>
    <w:p w14:paraId="5ED1B17B" w14:textId="77777777" w:rsidR="0097467D" w:rsidRDefault="0097467D" w:rsidP="0097467D">
      <w:pPr>
        <w:pStyle w:val="BulletPoint"/>
        <w:numPr>
          <w:ilvl w:val="0"/>
          <w:numId w:val="0"/>
        </w:numPr>
        <w:ind w:left="714" w:hanging="357"/>
      </w:pPr>
    </w:p>
    <w:p w14:paraId="6D5F11C0" w14:textId="77777777" w:rsidR="0097467D" w:rsidRPr="00DC57E7" w:rsidRDefault="0097467D" w:rsidP="0097467D">
      <w:pPr>
        <w:pStyle w:val="BulletPoint"/>
        <w:numPr>
          <w:ilvl w:val="0"/>
          <w:numId w:val="0"/>
        </w:numPr>
        <w:ind w:left="714" w:hanging="357"/>
      </w:pPr>
    </w:p>
    <w:p w14:paraId="213D40D0" w14:textId="77777777" w:rsidR="00C57029" w:rsidRDefault="00C57029" w:rsidP="00CF067B">
      <w:pPr>
        <w:pStyle w:val="Heading1"/>
        <w:spacing w:after="120"/>
        <w:rPr>
          <w:color w:val="016574"/>
        </w:rPr>
      </w:pPr>
      <w:bookmarkStart w:id="44" w:name="_Toc195519235"/>
      <w:r w:rsidRPr="7C9C0AE7">
        <w:lastRenderedPageBreak/>
        <w:t xml:space="preserve">Summary of </w:t>
      </w:r>
      <w:r>
        <w:t>s</w:t>
      </w:r>
      <w:r w:rsidRPr="7C9C0AE7">
        <w:t xml:space="preserve">teps to complete </w:t>
      </w:r>
      <w:r>
        <w:t>d</w:t>
      </w:r>
      <w:r w:rsidRPr="7C9C0AE7">
        <w:t xml:space="preserve">efinite </w:t>
      </w:r>
      <w:r>
        <w:t>c</w:t>
      </w:r>
      <w:r w:rsidRPr="7C9C0AE7">
        <w:t>losure</w:t>
      </w:r>
      <w:bookmarkEnd w:id="44"/>
    </w:p>
    <w:p w14:paraId="10807C83" w14:textId="11E57285" w:rsidR="00C57029" w:rsidRPr="00EE3142" w:rsidRDefault="00C57029" w:rsidP="00CF067B">
      <w:pPr>
        <w:pStyle w:val="ListParagraph"/>
        <w:numPr>
          <w:ilvl w:val="0"/>
          <w:numId w:val="17"/>
        </w:numPr>
        <w:ind w:hanging="578"/>
      </w:pPr>
      <w:r w:rsidRPr="7C9C0AE7">
        <w:t>The</w:t>
      </w:r>
      <w:r w:rsidR="00682C24">
        <w:t xml:space="preserve"> operator</w:t>
      </w:r>
      <w:r w:rsidRPr="7C9C0AE7">
        <w:t xml:space="preserve"> requests initiation of the closure process</w:t>
      </w:r>
      <w:r>
        <w:t>.</w:t>
      </w:r>
    </w:p>
    <w:p w14:paraId="2C35699C" w14:textId="77777777" w:rsidR="00C57029" w:rsidRPr="00EE3142" w:rsidRDefault="00C57029" w:rsidP="00CF067B">
      <w:pPr>
        <w:pStyle w:val="ListParagraph"/>
        <w:numPr>
          <w:ilvl w:val="0"/>
          <w:numId w:val="17"/>
        </w:numPr>
        <w:ind w:hanging="578"/>
      </w:pPr>
      <w:r w:rsidRPr="7C9C0AE7">
        <w:t>SEPA provides approval for the closure process to commence</w:t>
      </w:r>
      <w:r>
        <w:t>.</w:t>
      </w:r>
    </w:p>
    <w:p w14:paraId="18214C1B" w14:textId="54BCA805" w:rsidR="00C57029" w:rsidRPr="00EE3142" w:rsidRDefault="00C57029" w:rsidP="00CF067B">
      <w:pPr>
        <w:pStyle w:val="ListParagraph"/>
        <w:numPr>
          <w:ilvl w:val="0"/>
          <w:numId w:val="17"/>
        </w:numPr>
        <w:ind w:hanging="578"/>
      </w:pPr>
      <w:r>
        <w:t>The</w:t>
      </w:r>
      <w:r w:rsidR="00682C24">
        <w:t xml:space="preserve"> operator</w:t>
      </w:r>
      <w:r>
        <w:t xml:space="preserve"> reviews the Closure and Aftercare Management Plan, reviews the monitoring data to identify existing compliance status, exceedances and gaps in monitoring and provides a copy of this review.</w:t>
      </w:r>
      <w:r w:rsidR="00682C24">
        <w:t xml:space="preserve"> </w:t>
      </w:r>
      <w:r>
        <w:t>The</w:t>
      </w:r>
      <w:r w:rsidR="00682C24">
        <w:t xml:space="preserve"> operator</w:t>
      </w:r>
      <w:r>
        <w:t xml:space="preserve"> reviews the existing HRA and confirms if it remains representative and provides a copy of this review.</w:t>
      </w:r>
    </w:p>
    <w:p w14:paraId="507177C2" w14:textId="1E0563E9" w:rsidR="00C57029" w:rsidRPr="00EE3142" w:rsidRDefault="00C57029" w:rsidP="00CF067B">
      <w:pPr>
        <w:pStyle w:val="ListParagraph"/>
        <w:numPr>
          <w:ilvl w:val="0"/>
          <w:numId w:val="17"/>
        </w:numPr>
        <w:ind w:hanging="578"/>
      </w:pPr>
      <w:bookmarkStart w:id="45" w:name="_Hlk175062583"/>
      <w:r w:rsidRPr="7C9C0AE7">
        <w:t>SEPA review the submitted information and invites the</w:t>
      </w:r>
      <w:r w:rsidR="00682C24">
        <w:t xml:space="preserve"> operator</w:t>
      </w:r>
      <w:r w:rsidRPr="7C9C0AE7">
        <w:t xml:space="preserve"> to a pre-application for variation meeting, if required.</w:t>
      </w:r>
    </w:p>
    <w:bookmarkEnd w:id="45"/>
    <w:p w14:paraId="2C0C200D" w14:textId="33864DF2" w:rsidR="00C57029" w:rsidRPr="00EE3142" w:rsidRDefault="00C57029" w:rsidP="00CF067B">
      <w:pPr>
        <w:pStyle w:val="ListParagraph"/>
        <w:numPr>
          <w:ilvl w:val="0"/>
          <w:numId w:val="17"/>
        </w:numPr>
        <w:ind w:hanging="578"/>
      </w:pPr>
      <w:r w:rsidRPr="7C9C0AE7">
        <w:t>Depending on the SEPA review of the submitted information, gaps in monitoring data and infrastructure, the</w:t>
      </w:r>
      <w:r w:rsidR="00682C24">
        <w:t xml:space="preserve"> operator</w:t>
      </w:r>
      <w:r w:rsidRPr="7C9C0AE7">
        <w:t xml:space="preserve"> may require several months/years to complete the action(s).</w:t>
      </w:r>
    </w:p>
    <w:p w14:paraId="68364CA4" w14:textId="5095AA15" w:rsidR="00C57029" w:rsidRPr="00EE3142" w:rsidRDefault="00C57029" w:rsidP="00CF067B">
      <w:pPr>
        <w:pStyle w:val="ListParagraph"/>
        <w:numPr>
          <w:ilvl w:val="0"/>
          <w:numId w:val="17"/>
        </w:numPr>
        <w:ind w:hanging="578"/>
      </w:pPr>
      <w:r w:rsidRPr="7C9C0AE7">
        <w:t>The</w:t>
      </w:r>
      <w:r w:rsidR="00682C24">
        <w:t xml:space="preserve"> operator</w:t>
      </w:r>
      <w:r w:rsidRPr="7C9C0AE7">
        <w:t xml:space="preserve"> submits further monitoring information, evidence of compliance and/or other outstanding information.</w:t>
      </w:r>
    </w:p>
    <w:p w14:paraId="06271915" w14:textId="6C5C4CC7" w:rsidR="00C57029" w:rsidRPr="00EE3142" w:rsidRDefault="00C57029" w:rsidP="00CF067B">
      <w:pPr>
        <w:pStyle w:val="ListParagraph"/>
        <w:numPr>
          <w:ilvl w:val="0"/>
          <w:numId w:val="17"/>
        </w:numPr>
        <w:ind w:hanging="578"/>
      </w:pPr>
      <w:r w:rsidRPr="7C9C0AE7">
        <w:t>SEPA review the submitted information and invites the</w:t>
      </w:r>
      <w:r w:rsidR="00682C24">
        <w:t xml:space="preserve"> operator</w:t>
      </w:r>
      <w:r w:rsidRPr="7C9C0AE7">
        <w:t xml:space="preserve"> to a second pre-application for v</w:t>
      </w:r>
      <w:r>
        <w:t>a</w:t>
      </w:r>
      <w:r w:rsidRPr="7C9C0AE7">
        <w:t>riation meeting, if required.</w:t>
      </w:r>
    </w:p>
    <w:p w14:paraId="24F9E484" w14:textId="3E883140" w:rsidR="00C57029" w:rsidRPr="00EE3142" w:rsidRDefault="00C57029" w:rsidP="00CF067B">
      <w:pPr>
        <w:pStyle w:val="ListParagraph"/>
        <w:numPr>
          <w:ilvl w:val="0"/>
          <w:numId w:val="17"/>
        </w:numPr>
        <w:ind w:hanging="578"/>
      </w:pPr>
      <w:r w:rsidRPr="7C9C0AE7">
        <w:t>The</w:t>
      </w:r>
      <w:r w:rsidR="00682C24">
        <w:t xml:space="preserve"> operator</w:t>
      </w:r>
      <w:r w:rsidRPr="7C9C0AE7">
        <w:t xml:space="preserve"> is invited to </w:t>
      </w:r>
      <w:proofErr w:type="gramStart"/>
      <w:r w:rsidRPr="7C9C0AE7">
        <w:t>submit an application</w:t>
      </w:r>
      <w:proofErr w:type="gramEnd"/>
      <w:r w:rsidRPr="7C9C0AE7">
        <w:t xml:space="preserve"> for Variation and Definite Closure.</w:t>
      </w:r>
    </w:p>
    <w:p w14:paraId="21C06409" w14:textId="77777777" w:rsidR="00C57029" w:rsidRPr="00EE3142" w:rsidRDefault="00C57029" w:rsidP="00CF067B">
      <w:pPr>
        <w:pStyle w:val="ListParagraph"/>
        <w:numPr>
          <w:ilvl w:val="0"/>
          <w:numId w:val="17"/>
        </w:numPr>
        <w:ind w:hanging="578"/>
      </w:pPr>
      <w:r w:rsidRPr="7C9C0AE7">
        <w:t>SEPA undertake a Final Inspection before Definite Closure</w:t>
      </w:r>
      <w:r>
        <w:t>.</w:t>
      </w:r>
    </w:p>
    <w:p w14:paraId="6CCA7D11" w14:textId="1350154C" w:rsidR="00C57029" w:rsidRPr="00EE3142" w:rsidRDefault="00C57029" w:rsidP="00CF067B">
      <w:pPr>
        <w:pStyle w:val="ListParagraph"/>
        <w:numPr>
          <w:ilvl w:val="0"/>
          <w:numId w:val="17"/>
        </w:numPr>
        <w:ind w:hanging="578"/>
      </w:pPr>
      <w:r w:rsidRPr="7C9C0AE7">
        <w:t xml:space="preserve">SEPA issue a </w:t>
      </w:r>
      <w:r w:rsidR="00886039">
        <w:t>v</w:t>
      </w:r>
      <w:r w:rsidRPr="7C9C0AE7">
        <w:t xml:space="preserve">ariation to the </w:t>
      </w:r>
      <w:r w:rsidR="00886039">
        <w:t>p</w:t>
      </w:r>
      <w:r w:rsidRPr="7C9C0AE7">
        <w:t>ermit and issue a Definite Closure Notice</w:t>
      </w:r>
      <w:r>
        <w:t>.</w:t>
      </w:r>
    </w:p>
    <w:p w14:paraId="2F2CE02D" w14:textId="77777777" w:rsidR="00C57029" w:rsidRDefault="00C57029" w:rsidP="00CF067B">
      <w:pPr>
        <w:pStyle w:val="ListParagraph"/>
        <w:numPr>
          <w:ilvl w:val="0"/>
          <w:numId w:val="17"/>
        </w:numPr>
        <w:ind w:hanging="578"/>
      </w:pPr>
      <w:r w:rsidRPr="7C9C0AE7">
        <w:t>The site moves into the Aftercare phase and the subsistence fee is reduced</w:t>
      </w:r>
      <w:r>
        <w:t>.</w:t>
      </w:r>
    </w:p>
    <w:p w14:paraId="048E7EC3" w14:textId="77777777" w:rsidR="00EE1D52" w:rsidRDefault="00EE1D52" w:rsidP="00F327BD">
      <w:pPr>
        <w:pStyle w:val="BodyText1"/>
      </w:pPr>
    </w:p>
    <w:p w14:paraId="4E408647" w14:textId="7A138534" w:rsidR="00C57029" w:rsidRDefault="00C57029" w:rsidP="00C57029">
      <w:r>
        <w:t xml:space="preserve">For any </w:t>
      </w:r>
      <w:proofErr w:type="gramStart"/>
      <w:r>
        <w:t>queries</w:t>
      </w:r>
      <w:proofErr w:type="gramEnd"/>
      <w:r>
        <w:t xml:space="preserve"> please contact SEPA’s Landfill Team (</w:t>
      </w:r>
      <w:hyperlink r:id="rId14" w:history="1">
        <w:r w:rsidR="00FD7109" w:rsidRPr="003035A1">
          <w:rPr>
            <w:rStyle w:val="Hyperlink"/>
          </w:rPr>
          <w:t>landfill@sepa.org.uk</w:t>
        </w:r>
      </w:hyperlink>
      <w:r>
        <w:t>).</w:t>
      </w:r>
    </w:p>
    <w:p w14:paraId="1096A6E2" w14:textId="77777777" w:rsidR="00682C24" w:rsidRDefault="00AD484E" w:rsidP="00EC1C11">
      <w:pPr>
        <w:rPr>
          <w:rFonts w:ascii="Arial" w:hAnsi="Arial" w:cs="Arial"/>
          <w:b/>
          <w:bCs/>
          <w:sz w:val="32"/>
          <w:szCs w:val="32"/>
        </w:rPr>
      </w:pPr>
      <w:r>
        <w:rPr>
          <w:rFonts w:eastAsia="Times New Roman"/>
          <w:b/>
          <w:bCs/>
        </w:rPr>
        <w:br w:type="page"/>
      </w:r>
      <w:r w:rsidR="00682C24" w:rsidRPr="00EC1C11">
        <w:rPr>
          <w:rFonts w:ascii="Arial" w:hAnsi="Arial" w:cs="Arial"/>
          <w:b/>
          <w:bCs/>
        </w:rPr>
        <w:lastRenderedPageBreak/>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2D9838E8" w14:textId="7E8CEF02" w:rsidR="00AD484E" w:rsidRDefault="00AD484E">
      <w:pPr>
        <w:spacing w:line="240" w:lineRule="auto"/>
        <w:rPr>
          <w:rFonts w:eastAsia="Times New Roman"/>
          <w:b/>
          <w:bCs/>
        </w:rPr>
      </w:pPr>
    </w:p>
    <w:p w14:paraId="15C147DC" w14:textId="77777777" w:rsidR="00682C24" w:rsidRDefault="00682C24">
      <w:pPr>
        <w:spacing w:line="240" w:lineRule="auto"/>
        <w:rPr>
          <w:rFonts w:eastAsia="Times New Roman"/>
          <w:b/>
          <w:bCs/>
        </w:rPr>
      </w:pPr>
    </w:p>
    <w:p w14:paraId="703A23A9" w14:textId="77777777" w:rsidR="00CF067B" w:rsidRPr="000961F3" w:rsidRDefault="00CF067B" w:rsidP="00CF067B">
      <w:pPr>
        <w:pStyle w:val="Heading2"/>
        <w:spacing w:after="120" w:line="360" w:lineRule="auto"/>
        <w:rPr>
          <w:rFonts w:ascii="Arial" w:hAnsi="Arial" w:cs="Arial"/>
          <w:sz w:val="24"/>
          <w:szCs w:val="24"/>
        </w:rPr>
      </w:pPr>
      <w:bookmarkStart w:id="46" w:name="_Toc184981253"/>
      <w:r w:rsidRPr="000961F3">
        <w:rPr>
          <w:rFonts w:ascii="Arial" w:hAnsi="Arial" w:cs="Arial"/>
          <w:sz w:val="24"/>
          <w:szCs w:val="24"/>
        </w:rPr>
        <w:t>Disclaimer</w:t>
      </w:r>
      <w:bookmarkEnd w:id="46"/>
    </w:p>
    <w:p w14:paraId="01770DBF" w14:textId="77777777" w:rsidR="00CF067B" w:rsidRPr="000961F3" w:rsidRDefault="00CF067B" w:rsidP="00CF067B">
      <w:pPr>
        <w:spacing w:after="240"/>
        <w:rPr>
          <w:rFonts w:ascii="Arial" w:hAnsi="Arial" w:cs="Arial"/>
        </w:rPr>
      </w:pPr>
      <w:r w:rsidRPr="000961F3">
        <w:rPr>
          <w:rFonts w:ascii="Arial" w:hAnsi="Arial" w:cs="Arial"/>
        </w:rPr>
        <w:t>This guidance is based on the law as it stood when the guidance was published.</w:t>
      </w:r>
    </w:p>
    <w:p w14:paraId="4F571BE6" w14:textId="77777777" w:rsidR="00CF067B" w:rsidRPr="000961F3" w:rsidRDefault="00CF067B" w:rsidP="00CF067B">
      <w:pPr>
        <w:spacing w:after="240"/>
        <w:rPr>
          <w:rFonts w:ascii="Arial" w:hAnsi="Arial" w:cs="Arial"/>
        </w:rPr>
      </w:pPr>
      <w:r w:rsidRPr="000961F3">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5BD61348" w14:textId="77777777" w:rsidR="00CF067B" w:rsidRPr="000961F3" w:rsidRDefault="00CF067B" w:rsidP="00CF067B">
      <w:pPr>
        <w:numPr>
          <w:ilvl w:val="0"/>
          <w:numId w:val="18"/>
        </w:numPr>
        <w:spacing w:after="240"/>
        <w:rPr>
          <w:rFonts w:ascii="Arial" w:hAnsi="Arial" w:cs="Arial"/>
        </w:rPr>
      </w:pPr>
      <w:r w:rsidRPr="000961F3">
        <w:rPr>
          <w:rFonts w:ascii="Arial" w:hAnsi="Arial" w:cs="Arial"/>
        </w:rPr>
        <w:t>any direct, indirect and consequential losses</w:t>
      </w:r>
    </w:p>
    <w:p w14:paraId="3EAE9676" w14:textId="77777777" w:rsidR="00CF067B" w:rsidRPr="000961F3" w:rsidRDefault="00CF067B" w:rsidP="00CF067B">
      <w:pPr>
        <w:numPr>
          <w:ilvl w:val="0"/>
          <w:numId w:val="18"/>
        </w:numPr>
        <w:spacing w:after="240"/>
        <w:rPr>
          <w:rFonts w:ascii="Arial" w:hAnsi="Arial" w:cs="Arial"/>
        </w:rPr>
      </w:pPr>
      <w:r w:rsidRPr="000961F3">
        <w:rPr>
          <w:rFonts w:ascii="Arial" w:hAnsi="Arial" w:cs="Arial"/>
        </w:rPr>
        <w:t>any loss or damage caused by civil wrongs, breach of contract or otherwise.</w:t>
      </w:r>
    </w:p>
    <w:p w14:paraId="4ACEF685" w14:textId="77777777" w:rsidR="00CF067B" w:rsidRPr="000961F3" w:rsidRDefault="00CF067B" w:rsidP="00CF067B">
      <w:pPr>
        <w:spacing w:after="240"/>
        <w:rPr>
          <w:rFonts w:ascii="Arial" w:hAnsi="Arial" w:cs="Arial"/>
        </w:rPr>
      </w:pPr>
      <w:r w:rsidRPr="000961F3">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w:t>
      </w:r>
    </w:p>
    <w:p w14:paraId="2642EAE5" w14:textId="77777777" w:rsidR="00CF067B" w:rsidRDefault="00CF067B">
      <w:pPr>
        <w:spacing w:line="240" w:lineRule="auto"/>
        <w:rPr>
          <w:rFonts w:eastAsia="Times New Roman"/>
          <w:b/>
          <w:bCs/>
        </w:rPr>
      </w:pPr>
    </w:p>
    <w:sectPr w:rsidR="00CF067B" w:rsidSect="005E5007">
      <w:headerReference w:type="even" r:id="rId15"/>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C1F60" w14:textId="77777777" w:rsidR="00F41A76" w:rsidRDefault="00F41A76" w:rsidP="00660C79">
      <w:pPr>
        <w:spacing w:line="240" w:lineRule="auto"/>
      </w:pPr>
      <w:r>
        <w:separator/>
      </w:r>
    </w:p>
  </w:endnote>
  <w:endnote w:type="continuationSeparator" w:id="0">
    <w:p w14:paraId="68BF91E4" w14:textId="77777777" w:rsidR="00F41A76" w:rsidRDefault="00F41A76" w:rsidP="00660C79">
      <w:pPr>
        <w:spacing w:line="240" w:lineRule="auto"/>
      </w:pPr>
      <w:r>
        <w:continuationSeparator/>
      </w:r>
    </w:p>
  </w:endnote>
  <w:endnote w:type="continuationNotice" w:id="1">
    <w:p w14:paraId="5314AA1A" w14:textId="77777777" w:rsidR="00F41A76" w:rsidRDefault="00F41A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9DD8C" w14:textId="77777777" w:rsidR="00EC6A73" w:rsidRDefault="00242D07" w:rsidP="003B26B7">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6EC98A2B" wp14:editId="44C68E6E">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7970F"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C98A2B"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187970F"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E7519A8" w14:textId="77777777" w:rsidR="00EC6A73" w:rsidRDefault="00EC6A73" w:rsidP="003B2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D65F4B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68AF5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24E9" w14:textId="77777777" w:rsidR="00EC6A73" w:rsidRDefault="00242D07" w:rsidP="00917BB1">
    <w:pPr>
      <w:pStyle w:val="Footer"/>
      <w:ind w:right="360"/>
    </w:pPr>
    <w:r>
      <w:rPr>
        <w:noProof/>
      </w:rPr>
      <mc:AlternateContent>
        <mc:Choice Requires="wps">
          <w:drawing>
            <wp:anchor distT="0" distB="0" distL="0" distR="0" simplePos="0" relativeHeight="251658247" behindDoc="0" locked="0" layoutInCell="1" allowOverlap="1" wp14:anchorId="1052E0B7" wp14:editId="56837C49">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B72C0F"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52E0B7"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EB72C0F"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p w14:paraId="6EAFCAC5"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D43D204" wp14:editId="7DDCA097">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D30DC"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6902D662"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E76051" w14:textId="77777777" w:rsidR="00917BB1" w:rsidRDefault="00917BB1" w:rsidP="00917BB1">
    <w:pPr>
      <w:pStyle w:val="Footer"/>
      <w:ind w:right="360"/>
    </w:pPr>
    <w:r>
      <w:rPr>
        <w:noProof/>
      </w:rPr>
      <w:drawing>
        <wp:inline distT="0" distB="0" distL="0" distR="0" wp14:anchorId="1409C974" wp14:editId="56821FB6">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B6776" w14:textId="77777777" w:rsidR="00242D07" w:rsidRDefault="00242D07">
    <w:pPr>
      <w:pStyle w:val="Footer"/>
    </w:pPr>
    <w:r>
      <w:rPr>
        <w:noProof/>
      </w:rPr>
      <mc:AlternateContent>
        <mc:Choice Requires="wps">
          <w:drawing>
            <wp:anchor distT="0" distB="0" distL="0" distR="0" simplePos="0" relativeHeight="251658245" behindDoc="0" locked="0" layoutInCell="1" allowOverlap="1" wp14:anchorId="64027E79" wp14:editId="4EBAD0C8">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A1D137"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027E79"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BA1D137"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5ABC0" w14:textId="77777777" w:rsidR="00F41A76" w:rsidRDefault="00F41A76" w:rsidP="00660C79">
      <w:pPr>
        <w:spacing w:line="240" w:lineRule="auto"/>
      </w:pPr>
      <w:r>
        <w:separator/>
      </w:r>
    </w:p>
  </w:footnote>
  <w:footnote w:type="continuationSeparator" w:id="0">
    <w:p w14:paraId="5F65A300" w14:textId="77777777" w:rsidR="00F41A76" w:rsidRDefault="00F41A76" w:rsidP="00660C79">
      <w:pPr>
        <w:spacing w:line="240" w:lineRule="auto"/>
      </w:pPr>
      <w:r>
        <w:continuationSeparator/>
      </w:r>
    </w:p>
  </w:footnote>
  <w:footnote w:type="continuationNotice" w:id="1">
    <w:p w14:paraId="68288C20" w14:textId="77777777" w:rsidR="00F41A76" w:rsidRDefault="00F41A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D8125" w14:textId="77777777" w:rsidR="00242D07" w:rsidRDefault="00242D07">
    <w:pPr>
      <w:pStyle w:val="Header"/>
    </w:pPr>
    <w:r>
      <w:rPr>
        <w:noProof/>
      </w:rPr>
      <mc:AlternateContent>
        <mc:Choice Requires="wps">
          <w:drawing>
            <wp:anchor distT="0" distB="0" distL="0" distR="0" simplePos="0" relativeHeight="251658243" behindDoc="0" locked="0" layoutInCell="1" allowOverlap="1" wp14:anchorId="11C92B39" wp14:editId="6D8BEF3D">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2EFA15"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C92B39"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82EFA15"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D7F30" w14:textId="7AF227AB" w:rsidR="00862FA9" w:rsidRDefault="00862FA9" w:rsidP="00862FA9">
    <w:pPr>
      <w:pStyle w:val="BodyText1"/>
      <w:spacing w:line="240" w:lineRule="auto"/>
      <w:contextualSpacing/>
      <w:jc w:val="right"/>
      <w:rPr>
        <w:color w:val="6E7571" w:themeColor="text2"/>
      </w:rPr>
    </w:pPr>
    <w:r w:rsidRPr="00862FA9">
      <w:rPr>
        <w:color w:val="6E7571" w:themeColor="text2"/>
      </w:rPr>
      <w:t>Landfills regulated under the Environmental Authorisation</w:t>
    </w:r>
    <w:r w:rsidR="00CF067B">
      <w:rPr>
        <w:color w:val="6E7571" w:themeColor="text2"/>
      </w:rPr>
      <w:t>s</w:t>
    </w:r>
    <w:r w:rsidRPr="00862FA9">
      <w:rPr>
        <w:color w:val="6E7571" w:themeColor="text2"/>
      </w:rPr>
      <w:t xml:space="preserve"> (Scotland) Regulations </w:t>
    </w:r>
    <w:r>
      <w:rPr>
        <w:color w:val="6E7571" w:themeColor="text2"/>
      </w:rPr>
      <w:t>–</w:t>
    </w:r>
  </w:p>
  <w:p w14:paraId="60DC229F" w14:textId="6B34D3C8" w:rsidR="00862FA9" w:rsidRPr="00862FA9" w:rsidRDefault="00862FA9" w:rsidP="00862FA9">
    <w:pPr>
      <w:pStyle w:val="BodyText1"/>
      <w:spacing w:line="240" w:lineRule="auto"/>
      <w:contextualSpacing/>
      <w:jc w:val="right"/>
      <w:rPr>
        <w:color w:val="6E7571" w:themeColor="text2"/>
      </w:rPr>
    </w:pPr>
    <w:r w:rsidRPr="00862FA9">
      <w:rPr>
        <w:color w:val="6E7571" w:themeColor="text2"/>
      </w:rPr>
      <w:t>The Closure and Aftercare Management Plan</w:t>
    </w:r>
  </w:p>
  <w:p w14:paraId="068080F3" w14:textId="6BF121A6" w:rsidR="008D113C" w:rsidRDefault="00242D07" w:rsidP="00A8727B">
    <w:pPr>
      <w:pStyle w:val="BodyText1"/>
      <w:spacing w:line="240" w:lineRule="auto"/>
      <w:jc w:val="right"/>
    </w:pPr>
    <w:r>
      <w:rPr>
        <w:noProof/>
        <w:color w:val="6E7571" w:themeColor="text2"/>
      </w:rPr>
      <mc:AlternateContent>
        <mc:Choice Requires="wps">
          <w:drawing>
            <wp:anchor distT="0" distB="0" distL="0" distR="0" simplePos="0" relativeHeight="251659776" behindDoc="0" locked="0" layoutInCell="1" allowOverlap="1" wp14:anchorId="2C65E694" wp14:editId="5C4B9980">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F7907"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65E694"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41F7907"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r w:rsidR="007D441B">
      <w:rPr>
        <w:noProof/>
      </w:rPr>
      <mc:AlternateContent>
        <mc:Choice Requires="wps">
          <w:drawing>
            <wp:anchor distT="0" distB="0" distL="114300" distR="114300" simplePos="0" relativeHeight="251657728" behindDoc="0" locked="0" layoutInCell="1" allowOverlap="1" wp14:anchorId="5B4CA641" wp14:editId="2692F4E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82BE93" id="Straight Connector 7" o:spid="_x0000_s1026" alt="&quot;&quot;" style="position:absolute;flip:x;z-index:251657728;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654C" w14:textId="77777777" w:rsidR="00242D07" w:rsidRDefault="00242D07">
    <w:pPr>
      <w:pStyle w:val="Header"/>
    </w:pPr>
    <w:r>
      <w:rPr>
        <w:noProof/>
      </w:rPr>
      <mc:AlternateContent>
        <mc:Choice Requires="wps">
          <w:drawing>
            <wp:anchor distT="0" distB="0" distL="0" distR="0" simplePos="0" relativeHeight="251658242" behindDoc="0" locked="0" layoutInCell="1" allowOverlap="1" wp14:anchorId="59076846" wp14:editId="0C38397F">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05C9B3"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076846"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505C9B3"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3ECE8"/>
    <w:multiLevelType w:val="hybridMultilevel"/>
    <w:tmpl w:val="24B24D46"/>
    <w:lvl w:ilvl="0" w:tplc="E584A2E0">
      <w:start w:val="1"/>
      <w:numFmt w:val="bullet"/>
      <w:pStyle w:val="BulletPoint"/>
      <w:lvlText w:val=""/>
      <w:lvlJc w:val="left"/>
      <w:pPr>
        <w:ind w:left="720" w:hanging="360"/>
      </w:pPr>
      <w:rPr>
        <w:rFonts w:ascii="Symbol" w:hAnsi="Symbol" w:hint="default"/>
      </w:rPr>
    </w:lvl>
    <w:lvl w:ilvl="1" w:tplc="1E9E0D9C">
      <w:start w:val="1"/>
      <w:numFmt w:val="bullet"/>
      <w:lvlText w:val="o"/>
      <w:lvlJc w:val="left"/>
      <w:pPr>
        <w:ind w:left="1440" w:hanging="360"/>
      </w:pPr>
      <w:rPr>
        <w:rFonts w:ascii="Courier New" w:hAnsi="Courier New" w:hint="default"/>
      </w:rPr>
    </w:lvl>
    <w:lvl w:ilvl="2" w:tplc="791A803C">
      <w:start w:val="1"/>
      <w:numFmt w:val="bullet"/>
      <w:lvlText w:val=""/>
      <w:lvlJc w:val="left"/>
      <w:pPr>
        <w:ind w:left="2160" w:hanging="360"/>
      </w:pPr>
      <w:rPr>
        <w:rFonts w:ascii="Wingdings" w:hAnsi="Wingdings" w:hint="default"/>
      </w:rPr>
    </w:lvl>
    <w:lvl w:ilvl="3" w:tplc="10BC5490">
      <w:start w:val="1"/>
      <w:numFmt w:val="bullet"/>
      <w:lvlText w:val=""/>
      <w:lvlJc w:val="left"/>
      <w:pPr>
        <w:ind w:left="2880" w:hanging="360"/>
      </w:pPr>
      <w:rPr>
        <w:rFonts w:ascii="Symbol" w:hAnsi="Symbol" w:hint="default"/>
      </w:rPr>
    </w:lvl>
    <w:lvl w:ilvl="4" w:tplc="ABC41312">
      <w:start w:val="1"/>
      <w:numFmt w:val="bullet"/>
      <w:lvlText w:val="o"/>
      <w:lvlJc w:val="left"/>
      <w:pPr>
        <w:ind w:left="3600" w:hanging="360"/>
      </w:pPr>
      <w:rPr>
        <w:rFonts w:ascii="Courier New" w:hAnsi="Courier New" w:hint="default"/>
      </w:rPr>
    </w:lvl>
    <w:lvl w:ilvl="5" w:tplc="046CF45C">
      <w:start w:val="1"/>
      <w:numFmt w:val="bullet"/>
      <w:lvlText w:val=""/>
      <w:lvlJc w:val="left"/>
      <w:pPr>
        <w:ind w:left="4320" w:hanging="360"/>
      </w:pPr>
      <w:rPr>
        <w:rFonts w:ascii="Wingdings" w:hAnsi="Wingdings" w:hint="default"/>
      </w:rPr>
    </w:lvl>
    <w:lvl w:ilvl="6" w:tplc="F47E3498">
      <w:start w:val="1"/>
      <w:numFmt w:val="bullet"/>
      <w:lvlText w:val=""/>
      <w:lvlJc w:val="left"/>
      <w:pPr>
        <w:ind w:left="5040" w:hanging="360"/>
      </w:pPr>
      <w:rPr>
        <w:rFonts w:ascii="Symbol" w:hAnsi="Symbol" w:hint="default"/>
      </w:rPr>
    </w:lvl>
    <w:lvl w:ilvl="7" w:tplc="FFC48C94">
      <w:start w:val="1"/>
      <w:numFmt w:val="bullet"/>
      <w:lvlText w:val="o"/>
      <w:lvlJc w:val="left"/>
      <w:pPr>
        <w:ind w:left="5760" w:hanging="360"/>
      </w:pPr>
      <w:rPr>
        <w:rFonts w:ascii="Courier New" w:hAnsi="Courier New" w:hint="default"/>
      </w:rPr>
    </w:lvl>
    <w:lvl w:ilvl="8" w:tplc="A0C674D2">
      <w:start w:val="1"/>
      <w:numFmt w:val="bullet"/>
      <w:lvlText w:val=""/>
      <w:lvlJc w:val="left"/>
      <w:pPr>
        <w:ind w:left="6480" w:hanging="360"/>
      </w:pPr>
      <w:rPr>
        <w:rFonts w:ascii="Wingdings" w:hAnsi="Wingdings" w:hint="default"/>
      </w:rPr>
    </w:lvl>
  </w:abstractNum>
  <w:abstractNum w:abstractNumId="11" w15:restartNumberingAfterBreak="0">
    <w:nsid w:val="32E70D4C"/>
    <w:multiLevelType w:val="hybridMultilevel"/>
    <w:tmpl w:val="7C2A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026B8"/>
    <w:multiLevelType w:val="hybridMultilevel"/>
    <w:tmpl w:val="31F4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6571F"/>
    <w:multiLevelType w:val="hybridMultilevel"/>
    <w:tmpl w:val="F4AC1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B4244A"/>
    <w:multiLevelType w:val="hybridMultilevel"/>
    <w:tmpl w:val="EDFC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766323"/>
    <w:multiLevelType w:val="hybridMultilevel"/>
    <w:tmpl w:val="2284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024938348">
    <w:abstractNumId w:val="15"/>
  </w:num>
  <w:num w:numId="12" w16cid:durableId="106119056">
    <w:abstractNumId w:val="11"/>
  </w:num>
  <w:num w:numId="13" w16cid:durableId="1818955842">
    <w:abstractNumId w:val="14"/>
  </w:num>
  <w:num w:numId="14" w16cid:durableId="1418601121">
    <w:abstractNumId w:val="12"/>
  </w:num>
  <w:num w:numId="15" w16cid:durableId="1438595896">
    <w:abstractNumId w:val="10"/>
  </w:num>
  <w:num w:numId="16" w16cid:durableId="1912961111">
    <w:abstractNumId w:val="17"/>
  </w:num>
  <w:num w:numId="17" w16cid:durableId="701782530">
    <w:abstractNumId w:val="13"/>
  </w:num>
  <w:num w:numId="18" w16cid:durableId="11154885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EF"/>
    <w:rsid w:val="0000060A"/>
    <w:rsid w:val="00015D13"/>
    <w:rsid w:val="00015FE6"/>
    <w:rsid w:val="00032829"/>
    <w:rsid w:val="00040431"/>
    <w:rsid w:val="00040561"/>
    <w:rsid w:val="00046B93"/>
    <w:rsid w:val="00070937"/>
    <w:rsid w:val="0007596A"/>
    <w:rsid w:val="000771FB"/>
    <w:rsid w:val="00084EF2"/>
    <w:rsid w:val="000A31FF"/>
    <w:rsid w:val="000B7559"/>
    <w:rsid w:val="000E05DE"/>
    <w:rsid w:val="000E0D15"/>
    <w:rsid w:val="000E28DA"/>
    <w:rsid w:val="00105F31"/>
    <w:rsid w:val="00106D91"/>
    <w:rsid w:val="001529A3"/>
    <w:rsid w:val="00183144"/>
    <w:rsid w:val="001943E3"/>
    <w:rsid w:val="001A0196"/>
    <w:rsid w:val="001D545A"/>
    <w:rsid w:val="001E6164"/>
    <w:rsid w:val="002212F0"/>
    <w:rsid w:val="00236552"/>
    <w:rsid w:val="00242D07"/>
    <w:rsid w:val="00273A1C"/>
    <w:rsid w:val="00281BB1"/>
    <w:rsid w:val="00290B1F"/>
    <w:rsid w:val="00291710"/>
    <w:rsid w:val="002970FD"/>
    <w:rsid w:val="002E4F48"/>
    <w:rsid w:val="0030096D"/>
    <w:rsid w:val="00317618"/>
    <w:rsid w:val="0036496B"/>
    <w:rsid w:val="00371A2C"/>
    <w:rsid w:val="00381E17"/>
    <w:rsid w:val="003855AE"/>
    <w:rsid w:val="003B26B7"/>
    <w:rsid w:val="003E1377"/>
    <w:rsid w:val="003E37CB"/>
    <w:rsid w:val="003F4AF4"/>
    <w:rsid w:val="003F5384"/>
    <w:rsid w:val="004073BC"/>
    <w:rsid w:val="00444AA1"/>
    <w:rsid w:val="004C763F"/>
    <w:rsid w:val="004E1FEA"/>
    <w:rsid w:val="00551989"/>
    <w:rsid w:val="005547A5"/>
    <w:rsid w:val="00571963"/>
    <w:rsid w:val="0058066A"/>
    <w:rsid w:val="005A355E"/>
    <w:rsid w:val="005B6DE7"/>
    <w:rsid w:val="005C0ACC"/>
    <w:rsid w:val="005D1213"/>
    <w:rsid w:val="005D425C"/>
    <w:rsid w:val="005E5007"/>
    <w:rsid w:val="005E61C0"/>
    <w:rsid w:val="005E7452"/>
    <w:rsid w:val="00613F6D"/>
    <w:rsid w:val="006243FF"/>
    <w:rsid w:val="00625167"/>
    <w:rsid w:val="00655FBC"/>
    <w:rsid w:val="00660C79"/>
    <w:rsid w:val="00682C24"/>
    <w:rsid w:val="006D16CE"/>
    <w:rsid w:val="006E7474"/>
    <w:rsid w:val="00726293"/>
    <w:rsid w:val="007868C1"/>
    <w:rsid w:val="00794FB4"/>
    <w:rsid w:val="007970BF"/>
    <w:rsid w:val="007A60E1"/>
    <w:rsid w:val="007B3010"/>
    <w:rsid w:val="007C3F12"/>
    <w:rsid w:val="007D441B"/>
    <w:rsid w:val="00801105"/>
    <w:rsid w:val="00857ABD"/>
    <w:rsid w:val="00861B46"/>
    <w:rsid w:val="00862FA9"/>
    <w:rsid w:val="00886039"/>
    <w:rsid w:val="008C1A73"/>
    <w:rsid w:val="008C3474"/>
    <w:rsid w:val="008D113C"/>
    <w:rsid w:val="008D376F"/>
    <w:rsid w:val="00916FB3"/>
    <w:rsid w:val="00917BB1"/>
    <w:rsid w:val="00946DC1"/>
    <w:rsid w:val="0097467D"/>
    <w:rsid w:val="00975D21"/>
    <w:rsid w:val="00980531"/>
    <w:rsid w:val="009A240D"/>
    <w:rsid w:val="009E00DC"/>
    <w:rsid w:val="00A73F0C"/>
    <w:rsid w:val="00A8727B"/>
    <w:rsid w:val="00A9349C"/>
    <w:rsid w:val="00AA6F13"/>
    <w:rsid w:val="00AC6F45"/>
    <w:rsid w:val="00AD484E"/>
    <w:rsid w:val="00AE068C"/>
    <w:rsid w:val="00AF74E2"/>
    <w:rsid w:val="00B03E57"/>
    <w:rsid w:val="00B2653C"/>
    <w:rsid w:val="00B34692"/>
    <w:rsid w:val="00B46E48"/>
    <w:rsid w:val="00B51FCE"/>
    <w:rsid w:val="00B54CF4"/>
    <w:rsid w:val="00B80745"/>
    <w:rsid w:val="00B930AA"/>
    <w:rsid w:val="00BE1FDC"/>
    <w:rsid w:val="00BE6CB0"/>
    <w:rsid w:val="00C569B9"/>
    <w:rsid w:val="00C57029"/>
    <w:rsid w:val="00C70DB9"/>
    <w:rsid w:val="00CD6AC0"/>
    <w:rsid w:val="00CF067B"/>
    <w:rsid w:val="00CF7EFB"/>
    <w:rsid w:val="00D1606E"/>
    <w:rsid w:val="00D35448"/>
    <w:rsid w:val="00D66F23"/>
    <w:rsid w:val="00DB495E"/>
    <w:rsid w:val="00DF17E3"/>
    <w:rsid w:val="00DF4036"/>
    <w:rsid w:val="00E11A56"/>
    <w:rsid w:val="00E67C75"/>
    <w:rsid w:val="00E92CF4"/>
    <w:rsid w:val="00E97BEC"/>
    <w:rsid w:val="00EA358C"/>
    <w:rsid w:val="00EB7B3E"/>
    <w:rsid w:val="00EC1C11"/>
    <w:rsid w:val="00EC6A73"/>
    <w:rsid w:val="00ED7348"/>
    <w:rsid w:val="00EE1D52"/>
    <w:rsid w:val="00F07048"/>
    <w:rsid w:val="00F259EF"/>
    <w:rsid w:val="00F327BD"/>
    <w:rsid w:val="00F41A76"/>
    <w:rsid w:val="00F6167A"/>
    <w:rsid w:val="00F72274"/>
    <w:rsid w:val="00F76E95"/>
    <w:rsid w:val="00FB358C"/>
    <w:rsid w:val="00FD0978"/>
    <w:rsid w:val="00FD7109"/>
    <w:rsid w:val="00FF5D5A"/>
    <w:rsid w:val="04F70129"/>
    <w:rsid w:val="36CA84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B3E82"/>
  <w15:chartTrackingRefBased/>
  <w15:docId w15:val="{7B726ADE-6F40-4F6C-9933-8EF02138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2516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2516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2516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2516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2516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2516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2516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25167"/>
    <w:rPr>
      <w:rFonts w:asciiTheme="majorHAnsi" w:eastAsiaTheme="majorEastAsia" w:hAnsiTheme="majorHAnsi" w:cstheme="majorBidi"/>
      <w:b/>
      <w:iCs/>
    </w:rPr>
  </w:style>
  <w:style w:type="paragraph" w:customStyle="1" w:styleId="BodyText1">
    <w:name w:val="Body Text1"/>
    <w:basedOn w:val="Normal"/>
    <w:link w:val="BodyText1Char"/>
    <w:qFormat/>
    <w:rsid w:val="0062516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BulletPoint">
    <w:name w:val="Bullet Point"/>
    <w:basedOn w:val="Normal"/>
    <w:link w:val="BulletPointChar"/>
    <w:qFormat/>
    <w:rsid w:val="001529A3"/>
    <w:pPr>
      <w:numPr>
        <w:numId w:val="15"/>
      </w:numPr>
      <w:spacing w:after="240"/>
      <w:ind w:left="714" w:hanging="357"/>
      <w:contextualSpacing/>
    </w:pPr>
  </w:style>
  <w:style w:type="character" w:customStyle="1" w:styleId="BulletPointChar">
    <w:name w:val="Bullet Point Char"/>
    <w:basedOn w:val="DefaultParagraphFont"/>
    <w:link w:val="BulletPoint"/>
    <w:rsid w:val="001529A3"/>
    <w:rPr>
      <w:rFonts w:eastAsiaTheme="minorEastAsia"/>
    </w:rPr>
  </w:style>
  <w:style w:type="character" w:customStyle="1" w:styleId="BodyText1Char">
    <w:name w:val="Body Text1 Char"/>
    <w:basedOn w:val="DefaultParagraphFont"/>
    <w:link w:val="BodyText1"/>
    <w:rsid w:val="00015D13"/>
    <w:rPr>
      <w:rFonts w:eastAsiaTheme="minorEastAsia"/>
    </w:rPr>
  </w:style>
  <w:style w:type="paragraph" w:styleId="ListParagraph">
    <w:name w:val="List Paragraph"/>
    <w:basedOn w:val="Normal"/>
    <w:uiPriority w:val="34"/>
    <w:qFormat/>
    <w:rsid w:val="005C0ACC"/>
    <w:pPr>
      <w:spacing w:after="240"/>
      <w:ind w:left="720"/>
      <w:contextualSpacing/>
    </w:pPr>
  </w:style>
  <w:style w:type="character" w:customStyle="1" w:styleId="normaltextrun">
    <w:name w:val="normaltextrun"/>
    <w:basedOn w:val="DefaultParagraphFont"/>
    <w:rsid w:val="005C0ACC"/>
  </w:style>
  <w:style w:type="paragraph" w:styleId="TOC1">
    <w:name w:val="toc 1"/>
    <w:hidden/>
    <w:uiPriority w:val="39"/>
    <w:rsid w:val="00682C24"/>
    <w:pPr>
      <w:spacing w:after="4" w:line="248" w:lineRule="auto"/>
      <w:ind w:left="25" w:right="23" w:hanging="10"/>
    </w:pPr>
    <w:rPr>
      <w:rFonts w:ascii="Arial" w:eastAsia="Arial" w:hAnsi="Arial" w:cs="Arial"/>
      <w:color w:val="000000"/>
      <w:kern w:val="2"/>
      <w:sz w:val="19"/>
      <w:lang w:eastAsia="en-GB"/>
      <w14:ligatures w14:val="standardContextual"/>
    </w:rPr>
  </w:style>
  <w:style w:type="paragraph" w:styleId="TOC2">
    <w:name w:val="toc 2"/>
    <w:basedOn w:val="Normal"/>
    <w:next w:val="Normal"/>
    <w:autoRedefine/>
    <w:uiPriority w:val="39"/>
    <w:unhideWhenUsed/>
    <w:rsid w:val="00682C24"/>
    <w:pPr>
      <w:spacing w:after="100"/>
      <w:ind w:left="240"/>
    </w:pPr>
  </w:style>
  <w:style w:type="paragraph" w:styleId="TOC3">
    <w:name w:val="toc 3"/>
    <w:basedOn w:val="Normal"/>
    <w:next w:val="Normal"/>
    <w:autoRedefine/>
    <w:uiPriority w:val="39"/>
    <w:unhideWhenUsed/>
    <w:rsid w:val="00682C2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ndfill@sepa.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ai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C4DD5ACA-D9E8-4B97-9D63-86FD465B8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B92B2-4ED0-4815-9D45-D925F1C50596}">
  <ds:schemaRefs>
    <ds:schemaRef ds:uri="http://purl.org/dc/terms/"/>
    <ds:schemaRef ds:uri="http://schemas.openxmlformats.org/package/2006/metadata/core-properties"/>
    <ds:schemaRef ds:uri="http://schemas.microsoft.com/office/2006/documentManagement/types"/>
    <ds:schemaRef ds:uri="http://www.w3.org/XML/1998/namespace"/>
    <ds:schemaRef ds:uri="ce5b52f7-9556-48ad-bf4f-1238de82834a"/>
    <ds:schemaRef ds:uri="http://purl.org/dc/dcmitype/"/>
    <ds:schemaRef ds:uri="http://schemas.microsoft.com/office/2006/metadata/properties"/>
    <ds:schemaRef ds:uri="http://schemas.microsoft.com/office/infopath/2007/PartnerControls"/>
    <ds:schemaRef ds:uri="7dd4d6b0-2bd1-40f7-94aa-8d4785e79023"/>
    <ds:schemaRef ds:uri="http://purl.org/dc/elements/1.1/"/>
  </ds:schemaRefs>
</ds:datastoreItem>
</file>

<file path=customXml/itemProps4.xml><?xml version="1.0" encoding="utf-8"?>
<ds:datastoreItem xmlns:ds="http://schemas.openxmlformats.org/officeDocument/2006/customXml" ds:itemID="{2EC65292-4992-4FF8-9FB2-F502FB68F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SEPA_word_template_air_cover</Template>
  <TotalTime>0</TotalTime>
  <Pages>11</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landfill@sepa.org.uk</dc:creator>
  <cp:keywords/>
  <dc:description/>
  <cp:lastModifiedBy>Smith-Welsh, Lola</cp:lastModifiedBy>
  <cp:revision>2</cp:revision>
  <cp:lastPrinted>2023-03-23T14:44:00Z</cp:lastPrinted>
  <dcterms:created xsi:type="dcterms:W3CDTF">2025-06-03T10:42:00Z</dcterms:created>
  <dcterms:modified xsi:type="dcterms:W3CDTF">2025-06-03T10:42:00Z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2023-07-28T09:30:33Z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956ec501-94bf-4840-9b35-7cf8cccccfd2</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