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inorEastAsia" w:hAnsiTheme="minorHAnsi" w:cstheme="minorBidi"/>
          <w:b w:val="0"/>
          <w:color w:val="auto"/>
          <w:sz w:val="24"/>
          <w:szCs w:val="24"/>
        </w:rPr>
        <w:id w:val="-191923907"/>
        <w:docPartObj>
          <w:docPartGallery w:val="Cover Pages"/>
          <w:docPartUnique/>
        </w:docPartObj>
      </w:sdtPr>
      <w:sdtEndPr/>
      <w:sdtContent>
        <w:p w14:paraId="54EC8FE1" w14:textId="77777777" w:rsidR="004073BC" w:rsidRDefault="00F72274" w:rsidP="00587EA6">
          <w:pPr>
            <w:pStyle w:val="Heading1"/>
          </w:pPr>
          <w:r>
            <w:rPr>
              <w:noProof/>
            </w:rPr>
            <w:drawing>
              <wp:anchor distT="0" distB="0" distL="114300" distR="114300" simplePos="0" relativeHeight="251658241" behindDoc="1" locked="0" layoutInCell="1" allowOverlap="1" wp14:anchorId="7D33EC4B" wp14:editId="36B019C1">
                <wp:simplePos x="0" y="0"/>
                <wp:positionH relativeFrom="column">
                  <wp:posOffset>-532765</wp:posOffset>
                </wp:positionH>
                <wp:positionV relativeFrom="paragraph">
                  <wp:posOffset>-679450</wp:posOffset>
                </wp:positionV>
                <wp:extent cx="7559645" cy="10837545"/>
                <wp:effectExtent l="0" t="0" r="3810" b="1905"/>
                <wp:wrapNone/>
                <wp:docPr id="4"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45" cy="10837545"/>
                        </a:xfrm>
                        <a:prstGeom prst="rect">
                          <a:avLst/>
                        </a:prstGeom>
                      </pic:spPr>
                    </pic:pic>
                  </a:graphicData>
                </a:graphic>
                <wp14:sizeRelH relativeFrom="page">
                  <wp14:pctWidth>0</wp14:pctWidth>
                </wp14:sizeRelH>
                <wp14:sizeRelV relativeFrom="page">
                  <wp14:pctHeight>0</wp14:pctHeight>
                </wp14:sizeRelV>
              </wp:anchor>
            </w:drawing>
          </w:r>
          <w:r w:rsidR="00CF7EFB">
            <w:rPr>
              <w:noProof/>
            </w:rPr>
            <w:drawing>
              <wp:inline distT="0" distB="0" distL="0" distR="0" wp14:anchorId="65E5337E" wp14:editId="704BDD8E">
                <wp:extent cx="3194973" cy="803275"/>
                <wp:effectExtent l="0" t="0" r="5715" b="0"/>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9" cstate="print">
                          <a:extLst>
                            <a:ext uri="{28A0092B-C50C-407E-A947-70E740481C1C}">
                              <a14:useLocalDpi xmlns:a14="http://schemas.microsoft.com/office/drawing/2010/main" val="0"/>
                            </a:ext>
                          </a:extLst>
                        </a:blip>
                        <a:stretch>
                          <a:fillRect/>
                        </a:stretch>
                      </pic:blipFill>
                      <pic:spPr>
                        <a:xfrm>
                          <a:off x="0" y="0"/>
                          <a:ext cx="3358380" cy="844358"/>
                        </a:xfrm>
                        <a:prstGeom prst="rect">
                          <a:avLst/>
                        </a:prstGeom>
                      </pic:spPr>
                    </pic:pic>
                  </a:graphicData>
                </a:graphic>
              </wp:inline>
            </w:drawing>
          </w:r>
        </w:p>
        <w:p w14:paraId="12589716" w14:textId="77777777" w:rsidR="004073BC" w:rsidRDefault="004073BC" w:rsidP="008C1A73"/>
        <w:p w14:paraId="6BA8F37E" w14:textId="77777777" w:rsidR="004073BC" w:rsidRDefault="004073BC" w:rsidP="008C1A73"/>
        <w:p w14:paraId="4B921412" w14:textId="77777777" w:rsidR="004073BC" w:rsidRDefault="004073BC" w:rsidP="008C1A73"/>
        <w:p w14:paraId="3E18D493" w14:textId="77777777" w:rsidR="004073BC" w:rsidRDefault="004073BC" w:rsidP="008C1A73"/>
        <w:p w14:paraId="599FE3AB" w14:textId="77777777" w:rsidR="004073BC" w:rsidRDefault="004073BC" w:rsidP="008C1A73"/>
        <w:p w14:paraId="65EDEFE9" w14:textId="77777777" w:rsidR="00281BB1" w:rsidRDefault="00281BB1" w:rsidP="00281BB1">
          <w:pPr>
            <w:rPr>
              <w:b/>
              <w:bCs/>
              <w:color w:val="FFFFFF" w:themeColor="background1"/>
              <w:sz w:val="84"/>
              <w:szCs w:val="84"/>
            </w:rPr>
          </w:pPr>
        </w:p>
        <w:p w14:paraId="7419A0D9" w14:textId="47D9A3F6" w:rsidR="00801105" w:rsidRDefault="00281BB1" w:rsidP="004133B7">
          <w:pPr>
            <w:spacing w:line="240" w:lineRule="auto"/>
            <w:rPr>
              <w:b/>
              <w:bCs/>
              <w:color w:val="FFFFFF" w:themeColor="background1"/>
              <w:sz w:val="84"/>
              <w:szCs w:val="84"/>
            </w:rPr>
          </w:pPr>
          <w:r>
            <w:rPr>
              <w:noProof/>
            </w:rPr>
            <mc:AlternateContent>
              <mc:Choice Requires="wps">
                <w:drawing>
                  <wp:anchor distT="0" distB="0" distL="114300" distR="114300" simplePos="0" relativeHeight="251658240" behindDoc="0" locked="1" layoutInCell="1" allowOverlap="1" wp14:anchorId="545BE8CB" wp14:editId="70EF3B61">
                    <wp:simplePos x="0" y="0"/>
                    <wp:positionH relativeFrom="column">
                      <wp:posOffset>57785</wp:posOffset>
                    </wp:positionH>
                    <wp:positionV relativeFrom="paragraph">
                      <wp:posOffset>6309995</wp:posOffset>
                    </wp:positionV>
                    <wp:extent cx="4308475" cy="178435"/>
                    <wp:effectExtent l="0" t="0" r="0" b="0"/>
                    <wp:wrapNone/>
                    <wp:docPr id="3" name="Text Box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4308475" cy="178435"/>
                            </a:xfrm>
                            <a:prstGeom prst="rect">
                              <a:avLst/>
                            </a:prstGeom>
                            <a:noFill/>
                            <a:ln w="6350">
                              <a:noFill/>
                            </a:ln>
                          </wps:spPr>
                          <wps:txbx>
                            <w:txbxContent>
                              <w:p w14:paraId="75FAE27F" w14:textId="3C41E7B2" w:rsidR="00281BB1" w:rsidRPr="00496827" w:rsidRDefault="00461558" w:rsidP="000B111C">
                                <w:pPr>
                                  <w:rPr>
                                    <w:color w:val="FFFFFF" w:themeColor="background1"/>
                                  </w:rPr>
                                </w:pPr>
                                <w:r w:rsidRPr="00496827">
                                  <w:rPr>
                                    <w:color w:val="FFFFFF" w:themeColor="background1"/>
                                  </w:rPr>
                                  <w:t xml:space="preserve">September </w:t>
                                </w:r>
                                <w:r w:rsidR="00C35EC0" w:rsidRPr="00496827">
                                  <w:rPr>
                                    <w:color w:val="FFFFFF" w:themeColor="background1"/>
                                  </w:rPr>
                                  <w:t>2026</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45BE8CB" id="_x0000_t202" coordsize="21600,21600" o:spt="202" path="m,l,21600r21600,l21600,xe">
                    <v:stroke joinstyle="miter"/>
                    <v:path gradientshapeok="t" o:connecttype="rect"/>
                  </v:shapetype>
                  <v:shape id="Text Box 3" o:spid="_x0000_s1026" type="#_x0000_t202" alt="&quot;&quot;" style="position:absolute;margin-left:4.55pt;margin-top:496.85pt;width:339.25pt;height:14.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" filled="f" stroked="f" strokeweight=".5pt">
                    <v:textbox inset="0,0,0,0">
                      <w:txbxContent>
                        <w:p w14:paraId="75FAE27F" w14:textId="3C41E7B2" w:rsidR="00281BB1" w:rsidRPr="00496827" w:rsidRDefault="00461558" w:rsidP="000B111C">
                          <w:pPr>
                            <w:rPr>
                              <w:color w:val="FFFFFF" w:themeColor="background1"/>
                            </w:rPr>
                          </w:pPr>
                          <w:r w:rsidRPr="00496827">
                            <w:rPr>
                              <w:color w:val="FFFFFF" w:themeColor="background1"/>
                            </w:rPr>
                            <w:t xml:space="preserve">September </w:t>
                          </w:r>
                          <w:r w:rsidR="00C35EC0" w:rsidRPr="00496827">
                            <w:rPr>
                              <w:color w:val="FFFFFF" w:themeColor="background1"/>
                            </w:rPr>
                            <w:t>2026</w:t>
                          </w:r>
                        </w:p>
                      </w:txbxContent>
                    </v:textbox>
                    <w10:anchorlock/>
                  </v:shape>
                </w:pict>
              </mc:Fallback>
            </mc:AlternateContent>
          </w:r>
          <w:r w:rsidR="00C82506">
            <w:rPr>
              <w:b/>
              <w:bCs/>
              <w:color w:val="FFFFFF" w:themeColor="background1"/>
              <w:sz w:val="84"/>
              <w:szCs w:val="84"/>
            </w:rPr>
            <w:t xml:space="preserve">Use </w:t>
          </w:r>
          <w:r w:rsidR="00C35EC0">
            <w:rPr>
              <w:b/>
              <w:bCs/>
              <w:color w:val="FFFFFF" w:themeColor="background1"/>
              <w:sz w:val="84"/>
              <w:szCs w:val="84"/>
            </w:rPr>
            <w:t>of DNA in monitoring compliance with seabed mixing zone area limits</w:t>
          </w:r>
        </w:p>
        <w:p w14:paraId="163C918E" w14:textId="77777777" w:rsidR="008C1A73" w:rsidRPr="00CF7EFB" w:rsidRDefault="008C1A73" w:rsidP="00CF7EFB">
          <w:pPr>
            <w:rPr>
              <w:b/>
              <w:bCs/>
              <w:color w:val="FFFFFF" w:themeColor="background1"/>
              <w:sz w:val="84"/>
              <w:szCs w:val="84"/>
            </w:rPr>
          </w:pPr>
          <w:r>
            <w:br w:type="page"/>
          </w:r>
        </w:p>
      </w:sdtContent>
    </w:sdt>
    <w:p w14:paraId="17B85BCF" w14:textId="77777777" w:rsidR="002E621E" w:rsidRDefault="002E621E" w:rsidP="002E621E">
      <w:pPr>
        <w:pStyle w:val="Heading1"/>
        <w:numPr>
          <w:ilvl w:val="0"/>
          <w:numId w:val="14"/>
        </w:numPr>
        <w:rPr>
          <w:rFonts w:eastAsia="Times New Roman"/>
        </w:rPr>
      </w:pPr>
      <w:r>
        <w:rPr>
          <w:rFonts w:eastAsia="Times New Roman"/>
        </w:rPr>
        <w:lastRenderedPageBreak/>
        <w:t>Introduction</w:t>
      </w:r>
    </w:p>
    <w:p w14:paraId="10F42D82" w14:textId="77777777" w:rsidR="008F78A0" w:rsidRDefault="008F78A0" w:rsidP="000B111C">
      <w:pPr>
        <w:pStyle w:val="BodyText1"/>
      </w:pPr>
      <w:r w:rsidRPr="00936EB0">
        <w:t xml:space="preserve">This document provides guidance to operators of marine finfish farms on using DNA </w:t>
      </w:r>
      <w:r>
        <w:t xml:space="preserve">analysis </w:t>
      </w:r>
      <w:r w:rsidRPr="00936EB0">
        <w:t>to monitor seabed mixing zone compliance</w:t>
      </w:r>
      <w:r>
        <w:t xml:space="preserve"> according to the</w:t>
      </w:r>
      <w:r w:rsidRPr="00936EB0">
        <w:t xml:space="preserve"> biological standard specified in their farms’ permits.</w:t>
      </w:r>
      <w:bookmarkStart w:id="0" w:name="_Toc231541515"/>
      <w:bookmarkEnd w:id="0"/>
      <w:r>
        <w:t xml:space="preserve"> Specifically, t</w:t>
      </w:r>
      <w:r w:rsidRPr="00936EB0">
        <w:t>his guidance describes</w:t>
      </w:r>
      <w:r>
        <w:t>:</w:t>
      </w:r>
    </w:p>
    <w:p w14:paraId="02829BB6" w14:textId="77777777" w:rsidR="008F78A0" w:rsidRDefault="008F78A0" w:rsidP="000B111C">
      <w:pPr>
        <w:pStyle w:val="BodyText1"/>
        <w:numPr>
          <w:ilvl w:val="0"/>
          <w:numId w:val="18"/>
        </w:numPr>
      </w:pPr>
      <w:r>
        <w:t>DNA method considerations and characteristics</w:t>
      </w:r>
    </w:p>
    <w:p w14:paraId="679C5388" w14:textId="77777777" w:rsidR="008F78A0" w:rsidRDefault="008F78A0" w:rsidP="000B111C">
      <w:pPr>
        <w:pStyle w:val="BodyText1"/>
        <w:numPr>
          <w:ilvl w:val="0"/>
          <w:numId w:val="18"/>
        </w:numPr>
      </w:pPr>
      <w:r>
        <w:t>How samples</w:t>
      </w:r>
      <w:r w:rsidRPr="00936EB0">
        <w:t xml:space="preserve"> </w:t>
      </w:r>
      <w:r>
        <w:t>should</w:t>
      </w:r>
      <w:r w:rsidRPr="00936EB0">
        <w:t xml:space="preserve"> be collected, preserved</w:t>
      </w:r>
      <w:r>
        <w:t>,</w:t>
      </w:r>
      <w:r w:rsidRPr="00936EB0">
        <w:t xml:space="preserve"> </w:t>
      </w:r>
      <w:r>
        <w:t xml:space="preserve">and </w:t>
      </w:r>
      <w:r w:rsidRPr="00936EB0">
        <w:t>analysed</w:t>
      </w:r>
    </w:p>
    <w:p w14:paraId="733D6E02" w14:textId="77777777" w:rsidR="008F78A0" w:rsidRDefault="008F78A0" w:rsidP="000B111C">
      <w:pPr>
        <w:pStyle w:val="BodyText1"/>
        <w:numPr>
          <w:ilvl w:val="0"/>
          <w:numId w:val="18"/>
        </w:numPr>
      </w:pPr>
      <w:r>
        <w:t>Provision of data to SEPA for assessment</w:t>
      </w:r>
    </w:p>
    <w:p w14:paraId="16B23F43" w14:textId="77777777" w:rsidR="008F78A0" w:rsidRPr="000B111C" w:rsidRDefault="008F78A0" w:rsidP="000B111C">
      <w:pPr>
        <w:pStyle w:val="BodyText1"/>
      </w:pPr>
      <w:r w:rsidRPr="000B111C">
        <w:t>The method for generating IQI scores from DNA analyses was developed by a collaborative research project managed by the Sustainable Aquaculture Innovation Centre, with the Scottish Association for Marine Science as the lead academic research partner. It is based on a machine learning algorithm trained using a dataset of matched bacterial DNA and invertebrate sample results.</w:t>
      </w:r>
    </w:p>
    <w:p w14:paraId="4F319C9E" w14:textId="77777777" w:rsidR="008F78A0" w:rsidRPr="000B111C" w:rsidRDefault="008F78A0" w:rsidP="000B111C">
      <w:pPr>
        <w:pStyle w:val="BodyText1"/>
      </w:pPr>
      <w:r w:rsidRPr="000B111C">
        <w:t xml:space="preserve">DNA data collected and analysed by, or on behalf of, finfish farm operators in accordance with this guidance will be accepted by SEPA for compliance assessment purposes in lieu of data on marine benthic invertebrates. </w:t>
      </w:r>
    </w:p>
    <w:p w14:paraId="3D524AD7" w14:textId="63926E29" w:rsidR="008F78A0" w:rsidRPr="000B111C" w:rsidRDefault="008F78A0" w:rsidP="000B111C">
      <w:pPr>
        <w:pStyle w:val="BodyText1"/>
      </w:pPr>
      <w:r w:rsidRPr="000B111C">
        <w:t xml:space="preserve">Information about how compliance is assessed using mixing zone area limits is described in the </w:t>
      </w:r>
      <w:hyperlink r:id="rId10" w:history="1">
        <w:r w:rsidRPr="000B111C">
          <w:t>SEPA Seabed mixing zone limit: compliance assessment methodology</w:t>
        </w:r>
      </w:hyperlink>
      <w:r w:rsidR="0066035B" w:rsidRPr="000B111C">
        <w:t>.</w:t>
      </w:r>
      <w:r w:rsidRPr="000B111C">
        <w:t xml:space="preserve"> </w:t>
      </w:r>
    </w:p>
    <w:p w14:paraId="475A1C54" w14:textId="5BA74770" w:rsidR="008F78A0" w:rsidRDefault="008F78A0" w:rsidP="008F78A0">
      <w:pPr>
        <w:spacing w:after="160" w:line="259" w:lineRule="auto"/>
        <w:rPr>
          <w:rFonts w:ascii="Arial" w:eastAsiaTheme="majorEastAsia" w:hAnsi="Arial" w:cstheme="majorBidi"/>
          <w:szCs w:val="26"/>
        </w:rPr>
      </w:pPr>
    </w:p>
    <w:p w14:paraId="66FD93A9" w14:textId="678EFC46" w:rsidR="008F78A0" w:rsidRDefault="008F78A0" w:rsidP="00743F9A">
      <w:pPr>
        <w:pStyle w:val="Heading1"/>
        <w:numPr>
          <w:ilvl w:val="0"/>
          <w:numId w:val="14"/>
        </w:numPr>
        <w:rPr>
          <w:lang w:val="en-US"/>
        </w:rPr>
      </w:pPr>
      <w:bookmarkStart w:id="1" w:name="_Toc231541535"/>
      <w:bookmarkStart w:id="2" w:name="_Toc231541537"/>
      <w:bookmarkStart w:id="3" w:name="_Toc231998552"/>
      <w:bookmarkEnd w:id="1"/>
      <w:bookmarkEnd w:id="2"/>
      <w:r>
        <w:rPr>
          <w:lang w:val="en-US"/>
        </w:rPr>
        <w:t xml:space="preserve">Method </w:t>
      </w:r>
      <w:bookmarkEnd w:id="3"/>
      <w:r w:rsidR="00432F51">
        <w:rPr>
          <w:lang w:val="en-US"/>
        </w:rPr>
        <w:t>considerations</w:t>
      </w:r>
    </w:p>
    <w:p w14:paraId="2916AFBC" w14:textId="77777777" w:rsidR="008F78A0" w:rsidRPr="000B111C" w:rsidRDefault="008F78A0" w:rsidP="000B111C">
      <w:pPr>
        <w:pStyle w:val="BodyText1"/>
      </w:pPr>
      <w:r>
        <w:t xml:space="preserve">Before </w:t>
      </w:r>
      <w:r w:rsidRPr="000B111C">
        <w:t xml:space="preserve">using this DNA-based monitoring method, consideration should be given to the performance characteristics of the method. </w:t>
      </w:r>
    </w:p>
    <w:p w14:paraId="66608401" w14:textId="77777777" w:rsidR="008F78A0" w:rsidRPr="00A0164C" w:rsidRDefault="008F78A0" w:rsidP="000B111C">
      <w:pPr>
        <w:pStyle w:val="BodyText1"/>
      </w:pPr>
      <w:r w:rsidRPr="000B111C">
        <w:t>The IQI scores generated from DNA results have a bias towards being lower than those calculated from invertebrate analyses. Consequently, the estimated distance from a farm along a monitoring transect to the IQI score indicating good seabed quality may be greater when using DNA-</w:t>
      </w:r>
      <w:r w:rsidRPr="00A0164C">
        <w:t>derived IQI scores than when using IQI scores calculated from invertebrate analyses.</w:t>
      </w:r>
    </w:p>
    <w:p w14:paraId="1FB509DC" w14:textId="437AE61F" w:rsidR="008F78A0" w:rsidRPr="000B111C" w:rsidRDefault="008F78A0" w:rsidP="000B111C">
      <w:pPr>
        <w:pStyle w:val="BodyText1"/>
      </w:pPr>
      <w:r w:rsidRPr="00936EB0">
        <w:lastRenderedPageBreak/>
        <w:t xml:space="preserve">For those farms with areas of deposition on the seabed close to the limit of the </w:t>
      </w:r>
      <w:proofErr w:type="gramStart"/>
      <w:r w:rsidRPr="00936EB0">
        <w:t>farms’</w:t>
      </w:r>
      <w:proofErr w:type="gramEnd"/>
      <w:r w:rsidRPr="00936EB0">
        <w:t xml:space="preserve"> permitted </w:t>
      </w:r>
      <w:r w:rsidRPr="000B111C">
        <w:t xml:space="preserve">mixing zone areas, </w:t>
      </w:r>
      <w:r w:rsidR="003E1A57">
        <w:t xml:space="preserve">or </w:t>
      </w:r>
      <w:proofErr w:type="gramStart"/>
      <w:r w:rsidR="003E1A57">
        <w:t>where</w:t>
      </w:r>
      <w:proofErr w:type="gramEnd"/>
      <w:r w:rsidR="005D1840">
        <w:t xml:space="preserve"> carrying out a multi-transect survey for the first time, </w:t>
      </w:r>
      <w:r w:rsidRPr="000B111C">
        <w:t>operators should plan to demonstrate compliance based on IQI scores calculated from invertebrate analyses.</w:t>
      </w:r>
    </w:p>
    <w:p w14:paraId="077C381B" w14:textId="1587BA74" w:rsidR="008F78A0" w:rsidRPr="00CE4D72" w:rsidRDefault="008F78A0" w:rsidP="000B111C">
      <w:pPr>
        <w:pStyle w:val="BodyText1"/>
      </w:pPr>
      <w:r w:rsidRPr="000B111C">
        <w:t xml:space="preserve"> For farms operating well within their mixing zone area limits, the use of DNA-derived IQI scores to demonstrate compliance is expected to significantly reduce the time needed for sample analysis, enable faster assessments of compliance and offer potentially substantial efficiency</w:t>
      </w:r>
      <w:r w:rsidRPr="00936EB0">
        <w:t xml:space="preserve"> savings.</w:t>
      </w:r>
    </w:p>
    <w:p w14:paraId="43812B5D" w14:textId="77777777" w:rsidR="008F78A0" w:rsidRPr="00936EB0" w:rsidRDefault="008F78A0" w:rsidP="00743F9A">
      <w:pPr>
        <w:pStyle w:val="Heading1"/>
        <w:numPr>
          <w:ilvl w:val="0"/>
          <w:numId w:val="14"/>
        </w:numPr>
        <w:rPr>
          <w:lang w:val="en-US"/>
        </w:rPr>
      </w:pPr>
      <w:bookmarkStart w:id="4" w:name="_Toc231541598"/>
      <w:bookmarkStart w:id="5" w:name="_Toc231998553"/>
      <w:r>
        <w:rPr>
          <w:lang w:val="en-US"/>
        </w:rPr>
        <w:t>C</w:t>
      </w:r>
      <w:r w:rsidRPr="00936EB0">
        <w:rPr>
          <w:lang w:val="en-US"/>
        </w:rPr>
        <w:t>ollection</w:t>
      </w:r>
      <w:bookmarkEnd w:id="4"/>
      <w:bookmarkEnd w:id="5"/>
    </w:p>
    <w:p w14:paraId="4D697A88" w14:textId="16C570AE" w:rsidR="008F78A0" w:rsidRPr="000B111C" w:rsidRDefault="008F78A0" w:rsidP="000B111C">
      <w:pPr>
        <w:pStyle w:val="BodyText1"/>
      </w:pPr>
      <w:r w:rsidRPr="00936EB0">
        <w:t>DNA samples should be taken directly from the same grab</w:t>
      </w:r>
      <w:r>
        <w:t>(</w:t>
      </w:r>
      <w:r w:rsidRPr="00936EB0">
        <w:t>s</w:t>
      </w:r>
      <w:r>
        <w:t>)</w:t>
      </w:r>
      <w:r w:rsidRPr="00936EB0">
        <w:t xml:space="preserve"> used to collect samples of benthic </w:t>
      </w:r>
      <w:r w:rsidRPr="000B111C">
        <w:t xml:space="preserve">invertebrates using the </w:t>
      </w:r>
      <w:hyperlink r:id="rId11" w:history="1">
        <w:r w:rsidRPr="000B111C">
          <w:t>Measurement Assurance and Certification Scotland (MACS) standard for sampling of soft substrate</w:t>
        </w:r>
      </w:hyperlink>
      <w:r w:rsidRPr="000B111C">
        <w:t>. The samples should be taken from the sediment surface of the grabs prior to the grabs being emptied and their contents sieved.</w:t>
      </w:r>
    </w:p>
    <w:p w14:paraId="628E94E3" w14:textId="07C75558" w:rsidR="008F78A0" w:rsidRPr="000B111C" w:rsidRDefault="008F78A0" w:rsidP="000B111C">
      <w:pPr>
        <w:pStyle w:val="BodyText1"/>
      </w:pPr>
      <w:r w:rsidRPr="000B111C">
        <w:t>Grabs with a surface area bite size of 0.1 m2, 0.045 m2 or 0.05</w:t>
      </w:r>
      <w:r w:rsidR="004A5A4D" w:rsidRPr="000B111C">
        <w:t xml:space="preserve"> </w:t>
      </w:r>
      <w:r w:rsidRPr="000B111C">
        <w:t xml:space="preserve">m2 must be utilised. </w:t>
      </w:r>
    </w:p>
    <w:p w14:paraId="12F2AE5F" w14:textId="77777777" w:rsidR="008F78A0" w:rsidRPr="000B111C" w:rsidRDefault="008F78A0" w:rsidP="000B111C">
      <w:pPr>
        <w:pStyle w:val="BodyText1"/>
      </w:pPr>
      <w:r w:rsidRPr="000B111C">
        <w:t>The mouth of the grab should be carefully opened slightly to let water drain out and expose the sediment. If the sediment surface looks like it has been disrupted, for example by pressing against the doors of the grab, the grab should not be used for DNA sampling and a new grab should be taken. In soft muds, over-biting of the grab can be reduced by removing weights.</w:t>
      </w:r>
    </w:p>
    <w:p w14:paraId="03182731" w14:textId="5C6D5170" w:rsidR="008F78A0" w:rsidRDefault="008F78A0" w:rsidP="000B111C">
      <w:pPr>
        <w:pStyle w:val="BodyText1"/>
      </w:pPr>
      <w:r w:rsidRPr="000B111C">
        <w:t>Samples should be taken across the</w:t>
      </w:r>
      <w:r w:rsidRPr="7436A482">
        <w:t xml:space="preserve"> surface of the grab as illustrated in Figure </w:t>
      </w:r>
      <w:r w:rsidR="000D209C">
        <w:t>1</w:t>
      </w:r>
      <w:r w:rsidRPr="7436A482">
        <w:t xml:space="preserve">. </w:t>
      </w:r>
      <w:r w:rsidRPr="007B58AD">
        <w:t>When using a single 0.1</w:t>
      </w:r>
      <w:r w:rsidR="004A5A4D">
        <w:t xml:space="preserve"> </w:t>
      </w:r>
      <w:r w:rsidRPr="007B58AD">
        <w:t>m</w:t>
      </w:r>
      <w:r w:rsidRPr="000466F1">
        <w:rPr>
          <w:vertAlign w:val="superscript"/>
        </w:rPr>
        <w:t>2</w:t>
      </w:r>
      <w:r w:rsidRPr="007B58AD">
        <w:t>, 0.045</w:t>
      </w:r>
      <w:r w:rsidR="004A5A4D">
        <w:t xml:space="preserve"> </w:t>
      </w:r>
      <w:r w:rsidRPr="007B58AD">
        <w:t>m</w:t>
      </w:r>
      <w:r w:rsidRPr="000466F1">
        <w:rPr>
          <w:vertAlign w:val="superscript"/>
        </w:rPr>
        <w:t>2</w:t>
      </w:r>
      <w:r w:rsidRPr="007B58AD">
        <w:t xml:space="preserve"> or 0.05</w:t>
      </w:r>
      <w:r w:rsidR="004A5A4D">
        <w:t xml:space="preserve"> </w:t>
      </w:r>
      <w:r w:rsidRPr="007B58AD">
        <w:t>m</w:t>
      </w:r>
      <w:r w:rsidRPr="000466F1">
        <w:rPr>
          <w:vertAlign w:val="superscript"/>
        </w:rPr>
        <w:t>2</w:t>
      </w:r>
      <w:r w:rsidRPr="007B58AD">
        <w:t xml:space="preserve"> grab, 6 scoops of approximately 2-3</w:t>
      </w:r>
      <w:r w:rsidR="004A5A4D">
        <w:t xml:space="preserve"> </w:t>
      </w:r>
      <w:r w:rsidRPr="007B58AD">
        <w:t>ml per scoop are taken from each point in the grab and these are combined into one sample. When using 2</w:t>
      </w:r>
      <w:r>
        <w:t xml:space="preserve"> </w:t>
      </w:r>
      <w:r w:rsidRPr="007B58AD">
        <w:t>x 0.045</w:t>
      </w:r>
      <w:r w:rsidR="004A5A4D">
        <w:t xml:space="preserve"> </w:t>
      </w:r>
      <w:r w:rsidRPr="007B58AD">
        <w:t>m</w:t>
      </w:r>
      <w:r w:rsidRPr="000466F1">
        <w:rPr>
          <w:vertAlign w:val="superscript"/>
        </w:rPr>
        <w:t>2</w:t>
      </w:r>
      <w:r w:rsidRPr="007B58AD">
        <w:t xml:space="preserve"> grabs, 3 scoops from each grab should be taken and combined into one sample. Care should be taken not to take scoops too deeply (no more than 1-2</w:t>
      </w:r>
      <w:r w:rsidR="004A5A4D">
        <w:t xml:space="preserve"> </w:t>
      </w:r>
      <w:r w:rsidRPr="007B58AD">
        <w:t>cm depth). As a minimum, a final volume of 10ml per sample should be collected. It is possible to take multiple replicates from each grab up to a maximum of 3.</w:t>
      </w:r>
    </w:p>
    <w:p w14:paraId="26B9EAF1" w14:textId="77777777" w:rsidR="00467B3E" w:rsidRPr="00CE4D72" w:rsidRDefault="00467B3E" w:rsidP="000B111C">
      <w:pPr>
        <w:pStyle w:val="BodyText1"/>
        <w:numPr>
          <w:ilvl w:val="2"/>
          <w:numId w:val="14"/>
        </w:numPr>
      </w:pPr>
      <w:r w:rsidRPr="00CE4D72">
        <w:br w:type="page"/>
      </w:r>
    </w:p>
    <w:p w14:paraId="44FFC7C5" w14:textId="496921F4" w:rsidR="008F78A0" w:rsidRDefault="000D209C" w:rsidP="000B111C">
      <w:pPr>
        <w:pStyle w:val="Heading4"/>
      </w:pPr>
      <w:r w:rsidRPr="000D209C">
        <w:lastRenderedPageBreak/>
        <w:t xml:space="preserve">Figure </w:t>
      </w:r>
      <w:r>
        <w:t>1</w:t>
      </w:r>
      <w:r w:rsidRPr="000D209C">
        <w:t>. Example of points in one grab used or 2x 0.045 m</w:t>
      </w:r>
      <w:r w:rsidRPr="000D209C">
        <w:rPr>
          <w:vertAlign w:val="superscript"/>
        </w:rPr>
        <w:t>2</w:t>
      </w:r>
      <w:r w:rsidRPr="000D209C">
        <w:t xml:space="preserve"> grabs from which to take sediment scoops, combined in a single sample tube</w:t>
      </w:r>
    </w:p>
    <w:p w14:paraId="239FBBCA" w14:textId="77777777" w:rsidR="008F78A0" w:rsidRDefault="008F78A0" w:rsidP="008F78A0">
      <w:pPr>
        <w:keepNext/>
        <w:keepLines/>
        <w:ind w:right="-692"/>
        <w:jc w:val="center"/>
        <w:rPr>
          <w:rFonts w:ascii="Arial" w:eastAsia="Arial" w:hAnsi="Arial" w:cs="Arial"/>
          <w:b/>
          <w:bCs/>
          <w:color w:val="3C4741" w:themeColor="text1"/>
          <w:sz w:val="20"/>
          <w:szCs w:val="20"/>
        </w:rPr>
      </w:pPr>
      <w:r>
        <w:rPr>
          <w:rFonts w:ascii="Arial" w:hAnsi="Arial" w:cs="Arial"/>
          <w:noProof/>
          <w:spacing w:val="-3"/>
        </w:rPr>
        <w:drawing>
          <wp:inline distT="0" distB="0" distL="0" distR="0" wp14:anchorId="67A7370A" wp14:editId="224E2548">
            <wp:extent cx="5215254" cy="2932981"/>
            <wp:effectExtent l="0" t="0" r="5080" b="1270"/>
            <wp:docPr id="145525200" name="Picture 7" descr="Diagram showing how sample points should be taken in different grab types. When using a single 0.1 m2, 0.045 m2 or 0.05 m2 grab, 6 scoops of approximately 2 to 3 ml per scoop are taken from each point in the grab and these are combined into one sample. When using 2 x 0.045 m2 grabs, 3 scoops from each grab should be taken and combined into one sampl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25200" name="Picture 7" descr="Diagram showing how sample points should be taken in different grab types. When using a single 0.1 m2, 0.045 m2 or 0.05 m2 grab, 6 scoops of approximately 2 to 3 ml per scoop are taken from each point in the grab and these are combined into one sample. When using 2 x 0.045 m2 grabs, 3 scoops from each grab should be taken and combined into one sample. "/>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0944" cy="2953053"/>
                    </a:xfrm>
                    <a:prstGeom prst="rect">
                      <a:avLst/>
                    </a:prstGeom>
                    <a:noFill/>
                    <a:ln>
                      <a:noFill/>
                    </a:ln>
                  </pic:spPr>
                </pic:pic>
              </a:graphicData>
            </a:graphic>
          </wp:inline>
        </w:drawing>
      </w:r>
    </w:p>
    <w:p w14:paraId="4A68172A" w14:textId="22555BD1" w:rsidR="008F78A0" w:rsidRPr="000B111C" w:rsidRDefault="008F78A0" w:rsidP="000B111C">
      <w:pPr>
        <w:pStyle w:val="BodyText1"/>
      </w:pPr>
      <w:r w:rsidRPr="00936EB0">
        <w:t xml:space="preserve">After the </w:t>
      </w:r>
      <w:r w:rsidRPr="000B111C">
        <w:t xml:space="preserve">DNA sample has been taken from the grab, the remainder of the sample in the grab must be processed and the organisms within it preserved in accordance with the </w:t>
      </w:r>
      <w:hyperlink r:id="rId13" w:history="1">
        <w:r w:rsidRPr="000B111C">
          <w:t>MACS performance standard</w:t>
        </w:r>
      </w:hyperlink>
      <w:r w:rsidRPr="000B111C">
        <w:t>. The preserved sample must be stored for later invertebrate analysis, should such analysis be required to demonstrate or corroborate compliance.</w:t>
      </w:r>
    </w:p>
    <w:p w14:paraId="164D7EAD" w14:textId="77777777" w:rsidR="008F78A0" w:rsidRPr="000B111C" w:rsidRDefault="008F78A0" w:rsidP="000B111C">
      <w:pPr>
        <w:pStyle w:val="BodyText1"/>
      </w:pPr>
      <w:r w:rsidRPr="000B111C">
        <w:t>The Particle Size Analysis (PSA) sample for the monitoring station should be used to provide PSA data for subsequent derivation of the IQI score from invertebrate sample analysis, if undertaken.</w:t>
      </w:r>
    </w:p>
    <w:p w14:paraId="53B5503C" w14:textId="346C9BB1" w:rsidR="008F78A0" w:rsidRPr="00CE4D72" w:rsidRDefault="00467B3E" w:rsidP="000B111C">
      <w:pPr>
        <w:pStyle w:val="BodyText1"/>
      </w:pPr>
      <w:r w:rsidRPr="000B111C">
        <w:t>T</w:t>
      </w:r>
      <w:r w:rsidR="008F78A0" w:rsidRPr="000B111C">
        <w:t>he meta-data required to accompany</w:t>
      </w:r>
      <w:r w:rsidR="008F78A0" w:rsidRPr="44C23B94">
        <w:t xml:space="preserve"> DNA samples is largely the same as for benthic invertebrate samples:</w:t>
      </w:r>
    </w:p>
    <w:p w14:paraId="6DD3F62B" w14:textId="77777777" w:rsidR="008F78A0" w:rsidRPr="00936EB0" w:rsidRDefault="008F78A0" w:rsidP="000B111C">
      <w:pPr>
        <w:pStyle w:val="BodyText1"/>
        <w:numPr>
          <w:ilvl w:val="0"/>
          <w:numId w:val="19"/>
        </w:numPr>
      </w:pPr>
      <w:r w:rsidRPr="00936EB0">
        <w:t>GPS coordinates</w:t>
      </w:r>
    </w:p>
    <w:p w14:paraId="7797D0CB" w14:textId="77777777" w:rsidR="008F78A0" w:rsidRPr="00936EB0" w:rsidRDefault="008F78A0" w:rsidP="000B111C">
      <w:pPr>
        <w:pStyle w:val="BodyText1"/>
        <w:numPr>
          <w:ilvl w:val="0"/>
          <w:numId w:val="19"/>
        </w:numPr>
      </w:pPr>
      <w:r w:rsidRPr="00936EB0">
        <w:t>Site name, transect number and sample station number</w:t>
      </w:r>
    </w:p>
    <w:p w14:paraId="163201A5" w14:textId="77777777" w:rsidR="008F78A0" w:rsidRPr="00936EB0" w:rsidRDefault="008F78A0" w:rsidP="000B111C">
      <w:pPr>
        <w:pStyle w:val="BodyText1"/>
        <w:numPr>
          <w:ilvl w:val="0"/>
          <w:numId w:val="19"/>
        </w:numPr>
      </w:pPr>
      <w:r w:rsidRPr="00936EB0">
        <w:t>Time and date</w:t>
      </w:r>
    </w:p>
    <w:p w14:paraId="1775E133" w14:textId="77777777" w:rsidR="008F78A0" w:rsidRPr="00936EB0" w:rsidRDefault="008F78A0" w:rsidP="000B111C">
      <w:pPr>
        <w:pStyle w:val="BodyText1"/>
        <w:numPr>
          <w:ilvl w:val="0"/>
          <w:numId w:val="19"/>
        </w:numPr>
      </w:pPr>
      <w:r w:rsidRPr="00936EB0">
        <w:t>Water depth</w:t>
      </w:r>
    </w:p>
    <w:p w14:paraId="204D153B" w14:textId="77777777" w:rsidR="008F78A0" w:rsidRPr="00936EB0" w:rsidRDefault="008F78A0" w:rsidP="000B111C">
      <w:pPr>
        <w:pStyle w:val="BodyText1"/>
        <w:numPr>
          <w:ilvl w:val="0"/>
          <w:numId w:val="19"/>
        </w:numPr>
      </w:pPr>
      <w:r w:rsidRPr="00936EB0">
        <w:t>Grab size used</w:t>
      </w:r>
    </w:p>
    <w:p w14:paraId="483438A6" w14:textId="77777777" w:rsidR="008F78A0" w:rsidRPr="00936EB0" w:rsidRDefault="008F78A0" w:rsidP="000B111C">
      <w:pPr>
        <w:pStyle w:val="BodyText1"/>
        <w:numPr>
          <w:ilvl w:val="0"/>
          <w:numId w:val="19"/>
        </w:numPr>
      </w:pPr>
      <w:r w:rsidRPr="00936EB0">
        <w:t>Sediment volume relative to grab volume (as a fraction i.e., ¼, ½, ¾ etc.)</w:t>
      </w:r>
    </w:p>
    <w:p w14:paraId="166E0555" w14:textId="77777777" w:rsidR="008F78A0" w:rsidRDefault="008F78A0" w:rsidP="000B111C">
      <w:pPr>
        <w:pStyle w:val="BodyText1"/>
        <w:numPr>
          <w:ilvl w:val="0"/>
          <w:numId w:val="19"/>
        </w:numPr>
      </w:pPr>
      <w:r w:rsidRPr="44C23B94">
        <w:lastRenderedPageBreak/>
        <w:t>Sediment descriptor</w:t>
      </w:r>
    </w:p>
    <w:p w14:paraId="15CF5D3B" w14:textId="1105620E" w:rsidR="008F78A0" w:rsidRPr="005557EE" w:rsidRDefault="008F78A0" w:rsidP="000B111C">
      <w:pPr>
        <w:pStyle w:val="BodyText1"/>
      </w:pPr>
      <w:r w:rsidRPr="44C23B94">
        <w:rPr>
          <w:color w:val="3C4741" w:themeColor="text1"/>
        </w:rPr>
        <w:t xml:space="preserve">  </w:t>
      </w:r>
      <w:r w:rsidRPr="005557EE">
        <w:t>With the addition of:</w:t>
      </w:r>
    </w:p>
    <w:p w14:paraId="4F38619F" w14:textId="77777777" w:rsidR="008F78A0" w:rsidRPr="005557EE" w:rsidRDefault="008F78A0" w:rsidP="000B111C">
      <w:pPr>
        <w:pStyle w:val="BodyText1"/>
        <w:numPr>
          <w:ilvl w:val="0"/>
          <w:numId w:val="20"/>
        </w:numPr>
      </w:pPr>
      <w:r w:rsidRPr="005557EE">
        <w:t>Time of preservation (i.e. the time a sample is first frozen)</w:t>
      </w:r>
    </w:p>
    <w:p w14:paraId="4105EBA6" w14:textId="77777777" w:rsidR="008F78A0" w:rsidRPr="005557EE" w:rsidRDefault="008F78A0" w:rsidP="000B111C">
      <w:pPr>
        <w:pStyle w:val="BodyText1"/>
        <w:numPr>
          <w:ilvl w:val="0"/>
          <w:numId w:val="20"/>
        </w:numPr>
      </w:pPr>
      <w:r w:rsidRPr="005557EE">
        <w:t>Approximate volume per DNA sample (ml)</w:t>
      </w:r>
    </w:p>
    <w:p w14:paraId="1B2E25CF" w14:textId="77777777" w:rsidR="008F78A0" w:rsidRPr="005557EE" w:rsidRDefault="008F78A0" w:rsidP="000B111C">
      <w:pPr>
        <w:pStyle w:val="BodyText1"/>
        <w:numPr>
          <w:ilvl w:val="0"/>
          <w:numId w:val="20"/>
        </w:numPr>
      </w:pPr>
      <w:r w:rsidRPr="005557EE">
        <w:t xml:space="preserve">Additional comments </w:t>
      </w:r>
    </w:p>
    <w:p w14:paraId="546D3C42" w14:textId="77777777" w:rsidR="008F78A0" w:rsidRPr="00936EB0" w:rsidRDefault="008F78A0" w:rsidP="002217D4">
      <w:pPr>
        <w:pStyle w:val="Heading1"/>
        <w:numPr>
          <w:ilvl w:val="0"/>
          <w:numId w:val="14"/>
        </w:numPr>
        <w:rPr>
          <w:lang w:val="en-US"/>
        </w:rPr>
      </w:pPr>
      <w:bookmarkStart w:id="6" w:name="_Toc231541599"/>
      <w:bookmarkStart w:id="7" w:name="_Toc231998554"/>
      <w:r>
        <w:rPr>
          <w:lang w:val="en-US"/>
        </w:rPr>
        <w:t>P</w:t>
      </w:r>
      <w:r w:rsidRPr="00936EB0">
        <w:rPr>
          <w:lang w:val="en-US"/>
        </w:rPr>
        <w:t>reservation</w:t>
      </w:r>
      <w:bookmarkEnd w:id="6"/>
      <w:bookmarkEnd w:id="7"/>
    </w:p>
    <w:p w14:paraId="7DAD8371" w14:textId="77777777" w:rsidR="008F78A0" w:rsidRPr="000B111C" w:rsidRDefault="008F78A0" w:rsidP="000B111C">
      <w:pPr>
        <w:pStyle w:val="BodyText1"/>
      </w:pPr>
      <w:r w:rsidRPr="000B111C">
        <w:t>Once a DNA sample has been taken, the sample must be labelled, sealed by screwing the lid on tightly and placed into a sealable bag and frozen as soon as possible.</w:t>
      </w:r>
    </w:p>
    <w:p w14:paraId="04989398" w14:textId="77777777" w:rsidR="008F78A0" w:rsidRPr="000B111C" w:rsidRDefault="008F78A0" w:rsidP="000B111C">
      <w:pPr>
        <w:pStyle w:val="BodyText1"/>
      </w:pPr>
      <w:r w:rsidRPr="000B111C">
        <w:t>If no freezer is available during surveying or transport from the vessel, the sample must be stored on ice in an insulated cooler box/bag.</w:t>
      </w:r>
    </w:p>
    <w:p w14:paraId="6C62E656" w14:textId="77777777" w:rsidR="008F78A0" w:rsidRPr="000B111C" w:rsidRDefault="008F78A0" w:rsidP="000B111C">
      <w:pPr>
        <w:pStyle w:val="BodyText1"/>
      </w:pPr>
      <w:r w:rsidRPr="000B111C">
        <w:t xml:space="preserve">A clean spatula should be used for each sample. Spatulas can be decontaminated and reused using the following procedure; soak spatulas in 10% bleach (prepared on day of use) for 10 minutes, then soak for a further 5 minutes in 5% </w:t>
      </w:r>
      <w:proofErr w:type="spellStart"/>
      <w:r w:rsidRPr="000B111C">
        <w:t>Lipsol</w:t>
      </w:r>
      <w:proofErr w:type="spellEnd"/>
      <w:r w:rsidRPr="000B111C">
        <w:t xml:space="preserve"> before triple rinsing in copious volumes of fresh deionised/distilled water.</w:t>
      </w:r>
    </w:p>
    <w:p w14:paraId="292B7352" w14:textId="77777777" w:rsidR="008F78A0" w:rsidRPr="000B111C" w:rsidRDefault="008F78A0" w:rsidP="000B111C">
      <w:pPr>
        <w:pStyle w:val="BodyText1"/>
      </w:pPr>
      <w:r w:rsidRPr="000B111C">
        <w:t>NOTE: Bleach can negatively impact molecular methods, which could affect results, so every care should be taken to ensure that decontaminated equipment is thoroughly rinsed before it is reused.</w:t>
      </w:r>
    </w:p>
    <w:p w14:paraId="02F3D0DB" w14:textId="77777777" w:rsidR="008F78A0" w:rsidRPr="000B111C" w:rsidRDefault="008F78A0" w:rsidP="000B111C">
      <w:pPr>
        <w:pStyle w:val="BodyText1"/>
      </w:pPr>
      <w:r w:rsidRPr="000B111C">
        <w:t xml:space="preserve">Samples must be chilled and transferred to a freezer (-20°C or below) for storage as soon as possible (ideally within 4 hrs of collection). The time of preservation is recorded as the time samples are first frozen and not when placed on ice as an interim cooling measure. </w:t>
      </w:r>
    </w:p>
    <w:p w14:paraId="5EA020A6" w14:textId="77777777" w:rsidR="008F78A0" w:rsidRPr="000B111C" w:rsidRDefault="008F78A0" w:rsidP="000B111C">
      <w:pPr>
        <w:pStyle w:val="BodyText1"/>
      </w:pPr>
      <w:r w:rsidRPr="000B111C">
        <w:t>To preserve sample integrity, the number of freeze-thaw cycles that a sample is subjected to prior to DNA extraction should be kept to an absolute minimum and avoided altogether where practicable.</w:t>
      </w:r>
    </w:p>
    <w:p w14:paraId="401157E6" w14:textId="77777777" w:rsidR="008F78A0" w:rsidRPr="00C07E14" w:rsidRDefault="008F78A0" w:rsidP="002217D4">
      <w:pPr>
        <w:pStyle w:val="Heading1"/>
        <w:numPr>
          <w:ilvl w:val="0"/>
          <w:numId w:val="14"/>
        </w:numPr>
      </w:pPr>
      <w:bookmarkStart w:id="8" w:name="_Toc231541600"/>
      <w:bookmarkStart w:id="9" w:name="_Toc231998555"/>
      <w:r w:rsidRPr="00C07E14">
        <w:lastRenderedPageBreak/>
        <w:t>Analysis</w:t>
      </w:r>
      <w:bookmarkEnd w:id="8"/>
      <w:bookmarkEnd w:id="9"/>
    </w:p>
    <w:p w14:paraId="7465E9FE" w14:textId="77777777" w:rsidR="008F78A0" w:rsidRPr="000B111C" w:rsidRDefault="008F78A0" w:rsidP="000B111C">
      <w:pPr>
        <w:pStyle w:val="BodyText1"/>
      </w:pPr>
      <w:r w:rsidRPr="00936EB0">
        <w:t xml:space="preserve">The procedures for DNA sample analysis described in this section should be followed to </w:t>
      </w:r>
      <w:r w:rsidRPr="000B111C">
        <w:t>ensure consistency in the application of laboratory processes. Any deviation(s) must be reported when data is submitted to SEPA. All DNA results must be robustly assessed for both quality and quantity.</w:t>
      </w:r>
    </w:p>
    <w:p w14:paraId="04CEB481" w14:textId="2322B70C" w:rsidR="008F78A0" w:rsidRPr="000B111C" w:rsidRDefault="008F78A0" w:rsidP="000B111C">
      <w:pPr>
        <w:pStyle w:val="BodyText1"/>
      </w:pPr>
      <w:r w:rsidRPr="000B111C">
        <w:t xml:space="preserve">Laboratories performing this analysis should be set up to ensure no cross-contamination can occur by separating pre and post PCR-amplification tasks. At a minimum, all pre-PCR work should take place in a dedicated space. </w:t>
      </w:r>
    </w:p>
    <w:p w14:paraId="08EF7CD4" w14:textId="519F6A50" w:rsidR="008F78A0" w:rsidRPr="000B111C" w:rsidRDefault="008F78A0" w:rsidP="000B111C">
      <w:pPr>
        <w:pStyle w:val="BodyText1"/>
      </w:pPr>
      <w:r w:rsidRPr="000B111C">
        <w:t xml:space="preserve">DNA extraction should be undertaken following the manufacturer’s instructions using a </w:t>
      </w:r>
      <w:hyperlink r:id="rId14" w:history="1">
        <w:proofErr w:type="spellStart"/>
        <w:r w:rsidRPr="000B111C">
          <w:t>DNeasy</w:t>
        </w:r>
        <w:proofErr w:type="spellEnd"/>
        <w:r w:rsidRPr="000B111C">
          <w:t xml:space="preserve"> </w:t>
        </w:r>
        <w:proofErr w:type="spellStart"/>
        <w:r w:rsidRPr="000B111C">
          <w:t>PowerSoil</w:t>
        </w:r>
        <w:proofErr w:type="spellEnd"/>
        <w:r w:rsidRPr="000B111C">
          <w:t xml:space="preserve"> Kit</w:t>
        </w:r>
      </w:hyperlink>
      <w:r w:rsidRPr="000B111C">
        <w:t xml:space="preserve"> or </w:t>
      </w:r>
      <w:hyperlink r:id="rId15" w:history="1">
        <w:proofErr w:type="spellStart"/>
        <w:r w:rsidRPr="000B111C">
          <w:t>DNeasy</w:t>
        </w:r>
        <w:proofErr w:type="spellEnd"/>
        <w:r w:rsidRPr="000B111C">
          <w:t xml:space="preserve"> </w:t>
        </w:r>
        <w:proofErr w:type="spellStart"/>
        <w:r w:rsidRPr="000B111C">
          <w:t>PowerMax</w:t>
        </w:r>
        <w:proofErr w:type="spellEnd"/>
        <w:r w:rsidRPr="000B111C">
          <w:t xml:space="preserve"> Soil Kits</w:t>
        </w:r>
      </w:hyperlink>
      <w:r w:rsidRPr="000B111C">
        <w:t xml:space="preserve"> (Qiagen). In brief, after a </w:t>
      </w:r>
      <w:proofErr w:type="spellStart"/>
      <w:r w:rsidRPr="000B111C">
        <w:t>physico</w:t>
      </w:r>
      <w:proofErr w:type="spellEnd"/>
      <w:r w:rsidRPr="000B111C">
        <w:t>-chemical lysis stage microbial DNA is purified and collected via spin column technology.</w:t>
      </w:r>
    </w:p>
    <w:p w14:paraId="50FBD7E7" w14:textId="18D8F79E" w:rsidR="008F78A0" w:rsidRPr="002A7F81" w:rsidRDefault="008F78A0" w:rsidP="00467B3E">
      <w:pPr>
        <w:pStyle w:val="BodyText1"/>
      </w:pPr>
      <w:r w:rsidRPr="000B111C">
        <w:t>NOTE Use of alternative DNA extraction kits may introduce bias and equivalence to recommended kits must be demonstrated</w:t>
      </w:r>
      <w:r w:rsidRPr="00364A3C">
        <w:t xml:space="preserve"> before use.</w:t>
      </w:r>
    </w:p>
    <w:p w14:paraId="6896A4F6" w14:textId="77777777" w:rsidR="008F78A0" w:rsidRPr="000B111C" w:rsidRDefault="008F78A0" w:rsidP="000B111C">
      <w:pPr>
        <w:pStyle w:val="BodyText1"/>
      </w:pPr>
      <w:r w:rsidRPr="00936EB0">
        <w:t xml:space="preserve">The washes and buffers supplied in commercial kits should be used to help eliminate PCR inhibitors, </w:t>
      </w:r>
      <w:r w:rsidRPr="000B111C">
        <w:t>such as humic substances, that may naturally occur in environmental samples.</w:t>
      </w:r>
    </w:p>
    <w:p w14:paraId="76436EB8" w14:textId="77777777" w:rsidR="008F78A0" w:rsidRPr="000B111C" w:rsidRDefault="008F78A0" w:rsidP="000B111C">
      <w:pPr>
        <w:pStyle w:val="BodyText1"/>
      </w:pPr>
      <w:r w:rsidRPr="000B111C">
        <w:t>An extraction blank must be run for every batch of extractions. Extraction blanks should use the same weight-by-volume of purified water in place of sediment.</w:t>
      </w:r>
    </w:p>
    <w:p w14:paraId="13FB84A1" w14:textId="77777777" w:rsidR="008F78A0" w:rsidRPr="000B111C" w:rsidRDefault="008F78A0" w:rsidP="000B111C">
      <w:pPr>
        <w:pStyle w:val="BodyText1"/>
      </w:pPr>
      <w:r w:rsidRPr="000B111C">
        <w:t>The extraction blanks should be processed downstream in an identical fashion to DNA samples.</w:t>
      </w:r>
    </w:p>
    <w:p w14:paraId="331BCAAA" w14:textId="77777777" w:rsidR="008F78A0" w:rsidRPr="000B111C" w:rsidRDefault="008F78A0" w:rsidP="000B111C">
      <w:pPr>
        <w:pStyle w:val="BodyText1"/>
      </w:pPr>
      <w:r w:rsidRPr="000B111C">
        <w:t xml:space="preserve">The bacterial gene marker-fragment-primer combination shown in Table 1 must be used to generate sequence output. For the primer sequences, degenerate nucleotide bases are underlined. </w:t>
      </w:r>
    </w:p>
    <w:p w14:paraId="67C233AF" w14:textId="63450FC9" w:rsidR="003323EB" w:rsidRPr="004133B7" w:rsidRDefault="004F65F6" w:rsidP="000B111C">
      <w:pPr>
        <w:pStyle w:val="Heading4"/>
      </w:pPr>
      <w:r w:rsidRPr="004F65F6">
        <w:lastRenderedPageBreak/>
        <w:t>Table 1</w:t>
      </w:r>
      <w:r>
        <w:t>.</w:t>
      </w:r>
      <w:r w:rsidRPr="004F65F6">
        <w:t xml:space="preserve"> Marker indicating the specific region, forward (F) and reverse (R) primers, approximate amplicon length (AL, in base pairs) </w:t>
      </w:r>
      <w:r w:rsidR="003537D4">
        <w:t xml:space="preserve">(reference: </w:t>
      </w:r>
      <w:hyperlink r:id="rId16" w:history="1">
        <w:r w:rsidR="00B82AA7" w:rsidRPr="003323EB">
          <w:rPr>
            <w:rStyle w:val="Hyperlink"/>
            <w:rFonts w:ascii="Arial" w:eastAsia="Times New Roman" w:hAnsi="Arial" w:cs="Arial"/>
            <w:lang w:eastAsia="en-GB"/>
          </w:rPr>
          <w:t>Klindworth, Preusse et al 2013</w:t>
        </w:r>
      </w:hyperlink>
      <w:r w:rsidR="00B82AA7">
        <w:t>)</w:t>
      </w:r>
    </w:p>
    <w:tbl>
      <w:tblPr>
        <w:tblW w:w="47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Caption w:val="Table x: xxxx"/>
        <w:tblDescription w:val="Add alt text"/>
      </w:tblPr>
      <w:tblGrid>
        <w:gridCol w:w="1790"/>
        <w:gridCol w:w="2456"/>
        <w:gridCol w:w="3786"/>
        <w:gridCol w:w="1606"/>
      </w:tblGrid>
      <w:tr w:rsidR="00B82AA7" w:rsidRPr="00684F5A" w14:paraId="16F1D5DD" w14:textId="2615CF6B" w:rsidTr="00517BB4">
        <w:trPr>
          <w:trHeight w:val="610"/>
          <w:tblHeader/>
        </w:trPr>
        <w:tc>
          <w:tcPr>
            <w:tcW w:w="929" w:type="pct"/>
            <w:shd w:val="clear" w:color="auto" w:fill="016574"/>
            <w:tcMar>
              <w:top w:w="0" w:type="dxa"/>
              <w:left w:w="108" w:type="dxa"/>
              <w:bottom w:w="0" w:type="dxa"/>
              <w:right w:w="108" w:type="dxa"/>
            </w:tcMar>
            <w:vAlign w:val="center"/>
            <w:hideMark/>
          </w:tcPr>
          <w:p w14:paraId="2045B4F1" w14:textId="1036F206" w:rsidR="00B82AA7" w:rsidRPr="00684F5A" w:rsidRDefault="00B82AA7" w:rsidP="00470A90">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Marker</w:t>
            </w:r>
          </w:p>
        </w:tc>
        <w:tc>
          <w:tcPr>
            <w:tcW w:w="1274" w:type="pct"/>
            <w:shd w:val="clear" w:color="auto" w:fill="016574"/>
            <w:noWrap/>
            <w:tcMar>
              <w:top w:w="0" w:type="dxa"/>
              <w:left w:w="108" w:type="dxa"/>
              <w:bottom w:w="0" w:type="dxa"/>
              <w:right w:w="108" w:type="dxa"/>
            </w:tcMar>
            <w:vAlign w:val="center"/>
            <w:hideMark/>
          </w:tcPr>
          <w:p w14:paraId="2D3B3866" w14:textId="549719FE" w:rsidR="00B82AA7" w:rsidRPr="00684F5A" w:rsidRDefault="00B82AA7" w:rsidP="00470A90">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Primer name</w:t>
            </w:r>
          </w:p>
        </w:tc>
        <w:tc>
          <w:tcPr>
            <w:tcW w:w="1964" w:type="pct"/>
            <w:shd w:val="clear" w:color="auto" w:fill="016574"/>
            <w:noWrap/>
            <w:tcMar>
              <w:top w:w="0" w:type="dxa"/>
              <w:left w:w="108" w:type="dxa"/>
              <w:bottom w:w="0" w:type="dxa"/>
              <w:right w:w="108" w:type="dxa"/>
            </w:tcMar>
            <w:vAlign w:val="center"/>
            <w:hideMark/>
          </w:tcPr>
          <w:p w14:paraId="53EF7965" w14:textId="36F67867" w:rsidR="00B82AA7" w:rsidRPr="00684F5A" w:rsidRDefault="00B82AA7" w:rsidP="00470A90">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Sequence</w:t>
            </w:r>
          </w:p>
        </w:tc>
        <w:tc>
          <w:tcPr>
            <w:tcW w:w="833" w:type="pct"/>
            <w:shd w:val="clear" w:color="auto" w:fill="016574"/>
            <w:noWrap/>
            <w:tcMar>
              <w:top w:w="0" w:type="dxa"/>
              <w:left w:w="108" w:type="dxa"/>
              <w:bottom w:w="0" w:type="dxa"/>
              <w:right w:w="108" w:type="dxa"/>
            </w:tcMar>
            <w:vAlign w:val="center"/>
            <w:hideMark/>
          </w:tcPr>
          <w:p w14:paraId="2510F774" w14:textId="2BA4740C" w:rsidR="00B82AA7" w:rsidRPr="00684F5A" w:rsidRDefault="00B82AA7" w:rsidP="00470A90">
            <w:pPr>
              <w:spacing w:before="120" w:after="120" w:line="276" w:lineRule="auto"/>
              <w:jc w:val="center"/>
              <w:rPr>
                <w:rFonts w:ascii="Arial" w:eastAsia="Times New Roman" w:hAnsi="Arial" w:cs="Arial"/>
                <w:b/>
                <w:bCs/>
                <w:color w:val="FFFFFF"/>
                <w:lang w:eastAsia="en-GB"/>
              </w:rPr>
            </w:pPr>
            <w:r>
              <w:rPr>
                <w:rFonts w:ascii="Arial" w:eastAsia="Times New Roman" w:hAnsi="Arial" w:cs="Arial"/>
                <w:b/>
                <w:bCs/>
                <w:color w:val="FFFFFF"/>
                <w:lang w:eastAsia="en-GB"/>
              </w:rPr>
              <w:t>AL</w:t>
            </w:r>
          </w:p>
        </w:tc>
      </w:tr>
      <w:tr w:rsidR="00B82AA7" w:rsidRPr="00684F5A" w14:paraId="65C86ACD" w14:textId="31A6339A" w:rsidTr="00517BB4">
        <w:trPr>
          <w:trHeight w:val="315"/>
        </w:trPr>
        <w:tc>
          <w:tcPr>
            <w:tcW w:w="929" w:type="pct"/>
            <w:noWrap/>
            <w:tcMar>
              <w:top w:w="0" w:type="dxa"/>
              <w:left w:w="108" w:type="dxa"/>
              <w:bottom w:w="0" w:type="dxa"/>
              <w:right w:w="108" w:type="dxa"/>
            </w:tcMar>
            <w:vAlign w:val="center"/>
          </w:tcPr>
          <w:p w14:paraId="56A64604" w14:textId="58C91BBB" w:rsidR="00B82AA7" w:rsidRPr="00684F5A" w:rsidRDefault="00B82AA7" w:rsidP="00470A90">
            <w:pPr>
              <w:spacing w:before="120" w:after="120" w:line="240" w:lineRule="auto"/>
              <w:jc w:val="center"/>
              <w:rPr>
                <w:rFonts w:ascii="Arial" w:eastAsia="Times New Roman" w:hAnsi="Arial" w:cs="Arial"/>
                <w:lang w:eastAsia="en-GB"/>
              </w:rPr>
            </w:pPr>
            <w:r>
              <w:rPr>
                <w:rFonts w:ascii="Arial" w:eastAsia="Times New Roman" w:hAnsi="Arial" w:cs="Arial"/>
                <w:lang w:eastAsia="en-GB"/>
              </w:rPr>
              <w:t>16s (V3/V4)</w:t>
            </w:r>
          </w:p>
        </w:tc>
        <w:tc>
          <w:tcPr>
            <w:tcW w:w="1274" w:type="pct"/>
            <w:noWrap/>
            <w:tcMar>
              <w:top w:w="0" w:type="dxa"/>
              <w:left w:w="108" w:type="dxa"/>
              <w:bottom w:w="0" w:type="dxa"/>
              <w:right w:w="108" w:type="dxa"/>
            </w:tcMar>
            <w:vAlign w:val="center"/>
          </w:tcPr>
          <w:p w14:paraId="43D8F346" w14:textId="0151F0C6" w:rsidR="00B82AA7" w:rsidRPr="00684F5A" w:rsidRDefault="00B82AA7" w:rsidP="00470A90">
            <w:pPr>
              <w:spacing w:before="120" w:after="120" w:line="240" w:lineRule="auto"/>
              <w:jc w:val="center"/>
              <w:rPr>
                <w:rFonts w:ascii="Arial" w:eastAsia="Times New Roman" w:hAnsi="Arial" w:cs="Arial"/>
                <w:lang w:eastAsia="en-GB"/>
              </w:rPr>
            </w:pPr>
            <w:r w:rsidRPr="00936EB0">
              <w:t>16s_V3-V4_F</w:t>
            </w:r>
          </w:p>
        </w:tc>
        <w:tc>
          <w:tcPr>
            <w:tcW w:w="1964" w:type="pct"/>
            <w:noWrap/>
            <w:tcMar>
              <w:top w:w="0" w:type="dxa"/>
              <w:left w:w="108" w:type="dxa"/>
              <w:bottom w:w="0" w:type="dxa"/>
              <w:right w:w="108" w:type="dxa"/>
            </w:tcMar>
            <w:vAlign w:val="center"/>
          </w:tcPr>
          <w:p w14:paraId="74F9ACE0" w14:textId="20A241E8" w:rsidR="00B82AA7" w:rsidRPr="00684F5A" w:rsidRDefault="00B82AA7" w:rsidP="00470A90">
            <w:pPr>
              <w:spacing w:before="120" w:after="120" w:line="240" w:lineRule="auto"/>
              <w:jc w:val="center"/>
              <w:rPr>
                <w:rFonts w:ascii="Arial" w:eastAsia="Times New Roman" w:hAnsi="Arial" w:cs="Arial"/>
                <w:lang w:eastAsia="en-GB"/>
              </w:rPr>
            </w:pPr>
            <w:r w:rsidRPr="00936EB0">
              <w:t>CCTACGGGNGGCWGCAG (17 bp)</w:t>
            </w:r>
          </w:p>
        </w:tc>
        <w:tc>
          <w:tcPr>
            <w:tcW w:w="833" w:type="pct"/>
            <w:noWrap/>
            <w:tcMar>
              <w:top w:w="0" w:type="dxa"/>
              <w:left w:w="108" w:type="dxa"/>
              <w:bottom w:w="0" w:type="dxa"/>
              <w:right w:w="108" w:type="dxa"/>
            </w:tcMar>
            <w:vAlign w:val="center"/>
          </w:tcPr>
          <w:p w14:paraId="296A1585" w14:textId="3D4B1101" w:rsidR="00B82AA7" w:rsidRPr="00684F5A" w:rsidRDefault="00B82AA7" w:rsidP="00470A90">
            <w:pPr>
              <w:spacing w:before="120" w:after="120" w:line="240" w:lineRule="auto"/>
              <w:jc w:val="center"/>
              <w:rPr>
                <w:rFonts w:ascii="Arial" w:eastAsia="Times New Roman" w:hAnsi="Arial" w:cs="Arial"/>
                <w:lang w:eastAsia="en-GB"/>
              </w:rPr>
            </w:pPr>
            <w:r w:rsidRPr="00936EB0">
              <w:t>~460</w:t>
            </w:r>
          </w:p>
        </w:tc>
      </w:tr>
      <w:tr w:rsidR="00B82AA7" w:rsidRPr="00684F5A" w14:paraId="1F1E2EB9" w14:textId="0E67C29C" w:rsidTr="00517BB4">
        <w:trPr>
          <w:trHeight w:val="300"/>
        </w:trPr>
        <w:tc>
          <w:tcPr>
            <w:tcW w:w="929" w:type="pct"/>
            <w:noWrap/>
            <w:tcMar>
              <w:top w:w="0" w:type="dxa"/>
              <w:left w:w="108" w:type="dxa"/>
              <w:bottom w:w="0" w:type="dxa"/>
              <w:right w:w="108" w:type="dxa"/>
            </w:tcMar>
            <w:vAlign w:val="center"/>
          </w:tcPr>
          <w:p w14:paraId="54B6325B" w14:textId="5FA7A157" w:rsidR="00B82AA7" w:rsidRPr="00684F5A" w:rsidRDefault="00B82AA7" w:rsidP="00595819">
            <w:pPr>
              <w:spacing w:before="120" w:after="120" w:line="240" w:lineRule="auto"/>
              <w:jc w:val="center"/>
              <w:rPr>
                <w:rFonts w:ascii="Arial" w:eastAsia="Times New Roman" w:hAnsi="Arial" w:cs="Arial"/>
                <w:lang w:eastAsia="en-GB"/>
              </w:rPr>
            </w:pPr>
            <w:r>
              <w:rPr>
                <w:rFonts w:ascii="Arial" w:eastAsia="Times New Roman" w:hAnsi="Arial" w:cs="Arial"/>
                <w:lang w:eastAsia="en-GB"/>
              </w:rPr>
              <w:t>16s (V3/V4)</w:t>
            </w:r>
          </w:p>
        </w:tc>
        <w:tc>
          <w:tcPr>
            <w:tcW w:w="1274" w:type="pct"/>
            <w:noWrap/>
            <w:tcMar>
              <w:top w:w="0" w:type="dxa"/>
              <w:left w:w="108" w:type="dxa"/>
              <w:bottom w:w="0" w:type="dxa"/>
              <w:right w:w="108" w:type="dxa"/>
            </w:tcMar>
            <w:vAlign w:val="center"/>
          </w:tcPr>
          <w:p w14:paraId="6CB6BEDF" w14:textId="5052720D" w:rsidR="00B82AA7" w:rsidRPr="00684F5A" w:rsidRDefault="00B82AA7" w:rsidP="00595819">
            <w:pPr>
              <w:spacing w:before="120" w:after="120" w:line="240" w:lineRule="auto"/>
              <w:jc w:val="center"/>
              <w:rPr>
                <w:rFonts w:ascii="Arial" w:eastAsia="Times New Roman" w:hAnsi="Arial" w:cs="Arial"/>
                <w:lang w:eastAsia="en-GB"/>
              </w:rPr>
            </w:pPr>
            <w:r w:rsidRPr="00936EB0">
              <w:t>16s_V3-V4_R</w:t>
            </w:r>
          </w:p>
        </w:tc>
        <w:tc>
          <w:tcPr>
            <w:tcW w:w="1964" w:type="pct"/>
            <w:noWrap/>
            <w:tcMar>
              <w:top w:w="0" w:type="dxa"/>
              <w:left w:w="108" w:type="dxa"/>
              <w:bottom w:w="0" w:type="dxa"/>
              <w:right w:w="108" w:type="dxa"/>
            </w:tcMar>
            <w:vAlign w:val="center"/>
          </w:tcPr>
          <w:p w14:paraId="39C56DD8" w14:textId="7042AE7E" w:rsidR="00B82AA7" w:rsidRPr="00684F5A" w:rsidRDefault="00B82AA7" w:rsidP="00595819">
            <w:pPr>
              <w:spacing w:before="120" w:after="120" w:line="240" w:lineRule="auto"/>
              <w:jc w:val="center"/>
              <w:rPr>
                <w:rFonts w:ascii="Arial" w:eastAsia="Times New Roman" w:hAnsi="Arial" w:cs="Arial"/>
                <w:lang w:eastAsia="en-GB"/>
              </w:rPr>
            </w:pPr>
            <w:r w:rsidRPr="00936EB0">
              <w:t>GACTACHVGGGTATCTAATCC (21 bp)</w:t>
            </w:r>
          </w:p>
        </w:tc>
        <w:tc>
          <w:tcPr>
            <w:tcW w:w="833" w:type="pct"/>
            <w:noWrap/>
            <w:tcMar>
              <w:top w:w="0" w:type="dxa"/>
              <w:left w:w="108" w:type="dxa"/>
              <w:bottom w:w="0" w:type="dxa"/>
              <w:right w:w="108" w:type="dxa"/>
            </w:tcMar>
            <w:vAlign w:val="center"/>
          </w:tcPr>
          <w:p w14:paraId="6613C29F" w14:textId="32C63280" w:rsidR="00B82AA7" w:rsidRPr="00684F5A" w:rsidRDefault="00B82AA7" w:rsidP="00595819">
            <w:pPr>
              <w:spacing w:before="120" w:after="120" w:line="240" w:lineRule="auto"/>
              <w:jc w:val="center"/>
              <w:rPr>
                <w:rFonts w:ascii="Arial" w:eastAsia="Times New Roman" w:hAnsi="Arial" w:cs="Arial"/>
                <w:lang w:eastAsia="en-GB"/>
              </w:rPr>
            </w:pPr>
            <w:r w:rsidRPr="00936EB0">
              <w:t>~460</w:t>
            </w:r>
          </w:p>
        </w:tc>
      </w:tr>
    </w:tbl>
    <w:p w14:paraId="0FD133F0" w14:textId="77777777" w:rsidR="003323EB" w:rsidRDefault="003323EB" w:rsidP="000B111C">
      <w:pPr>
        <w:pStyle w:val="BodyText1"/>
        <w:numPr>
          <w:ilvl w:val="0"/>
          <w:numId w:val="0"/>
        </w:numPr>
        <w:ind w:left="567"/>
      </w:pPr>
    </w:p>
    <w:p w14:paraId="05ACF364" w14:textId="2E36AF4E" w:rsidR="008F78A0" w:rsidRPr="000B111C" w:rsidRDefault="008F78A0" w:rsidP="000B111C">
      <w:pPr>
        <w:pStyle w:val="BodyText1"/>
      </w:pPr>
      <w:r>
        <w:t xml:space="preserve">The V3/V4 region of the 16S marker has been specifically incorporated into a standard </w:t>
      </w:r>
      <w:r w:rsidRPr="000B111C">
        <w:t>protocol by Illumina2 for use on their high-throughput sequencers, and this should be followed.</w:t>
      </w:r>
    </w:p>
    <w:p w14:paraId="570207BD" w14:textId="77777777" w:rsidR="008F78A0" w:rsidRPr="000B111C" w:rsidRDefault="008F78A0" w:rsidP="000B111C">
      <w:pPr>
        <w:pStyle w:val="BodyText1"/>
      </w:pPr>
      <w:r w:rsidRPr="000B111C">
        <w:t xml:space="preserve">The workflow follows a two-step polymerase chain reaction (PCR) that includes a primary PCR amplification (Amplicon PCR), in triplicate (pooled prior to bead clean-up), where the selected marker fragment is amplified using specific primers (Table 1), with Illumina overhang adapters attached to the 5’ end of the primers. </w:t>
      </w:r>
    </w:p>
    <w:p w14:paraId="03EFB149" w14:textId="77777777" w:rsidR="008F78A0" w:rsidRPr="000B111C" w:rsidRDefault="008F78A0" w:rsidP="000B111C">
      <w:pPr>
        <w:pStyle w:val="BodyText1"/>
      </w:pPr>
      <w:r w:rsidRPr="000B111C">
        <w:t>A second PCR (index PCR) attaches Illumina-specific sequencing adapters and indices to the first PCR product according to the dual indexing strategy. A combination of forward and reverse indices allows for samples to be uniquely identified by the combination of these tags. This allows for demultiplexing of samples after sequencing to link sequences and samples.  Indexed libraries should then be quantified and normalised before being combined into a single pool.</w:t>
      </w:r>
    </w:p>
    <w:p w14:paraId="1D70E5E9" w14:textId="77777777" w:rsidR="008F78A0" w:rsidRPr="000B111C" w:rsidRDefault="008F78A0" w:rsidP="000B111C">
      <w:pPr>
        <w:pStyle w:val="BodyText1"/>
      </w:pPr>
      <w:r w:rsidRPr="000B111C">
        <w:t>Prior to pooling it is recommended that libraries are qPCR or fluorometrically quantified and assessed for size (final target ~630bp).</w:t>
      </w:r>
    </w:p>
    <w:p w14:paraId="0F30CB74" w14:textId="77777777" w:rsidR="008F78A0" w:rsidRPr="00740729" w:rsidRDefault="008F78A0" w:rsidP="00740729">
      <w:pPr>
        <w:pStyle w:val="BodyText1"/>
      </w:pPr>
      <w:r w:rsidRPr="000B111C">
        <w:t>Before sequencing, the final pooled library should</w:t>
      </w:r>
      <w:r>
        <w:t xml:space="preserve"> be denatured, diluted to ensure adequate clustering and have a </w:t>
      </w:r>
      <w:proofErr w:type="spellStart"/>
      <w:r>
        <w:t>PhiX</w:t>
      </w:r>
      <w:proofErr w:type="spellEnd"/>
      <w:r>
        <w:t xml:space="preserve"> internal control added. The final amplicon library, which should contain at least 5% </w:t>
      </w:r>
      <w:proofErr w:type="spellStart"/>
      <w:r>
        <w:t>PhiX</w:t>
      </w:r>
      <w:proofErr w:type="spellEnd"/>
      <w:r>
        <w:t xml:space="preserve">, should then </w:t>
      </w:r>
      <w:r w:rsidRPr="00740729">
        <w:t xml:space="preserve">be loaded onto a Miseq reagent cartridge capable of 600 cycle runs. NB higher </w:t>
      </w:r>
      <w:proofErr w:type="spellStart"/>
      <w:r w:rsidRPr="00740729">
        <w:t>PhiX</w:t>
      </w:r>
      <w:proofErr w:type="spellEnd"/>
      <w:r w:rsidRPr="00740729">
        <w:t xml:space="preserve"> concentrations may be necessary to mimic diversity and ensure adequate sequencing.</w:t>
      </w:r>
    </w:p>
    <w:p w14:paraId="5DF9D045" w14:textId="77777777" w:rsidR="008F78A0" w:rsidRPr="00C07E14" w:rsidRDefault="008F78A0" w:rsidP="00740729">
      <w:pPr>
        <w:pStyle w:val="BodyText1"/>
      </w:pPr>
      <w:r w:rsidRPr="00740729">
        <w:lastRenderedPageBreak/>
        <w:t>To reduce bias, the following must be used for PCR</w:t>
      </w:r>
      <w:r>
        <w:t xml:space="preserve"> reactions:</w:t>
      </w:r>
    </w:p>
    <w:p w14:paraId="53B7CA92" w14:textId="77777777" w:rsidR="008F78A0" w:rsidRPr="00936EB0" w:rsidRDefault="008F78A0" w:rsidP="000B111C">
      <w:pPr>
        <w:pStyle w:val="BodyText1"/>
        <w:numPr>
          <w:ilvl w:val="0"/>
          <w:numId w:val="21"/>
        </w:numPr>
      </w:pPr>
      <w:r w:rsidRPr="00936EB0">
        <w:t xml:space="preserve">2x KAPA HiFi </w:t>
      </w:r>
      <w:proofErr w:type="spellStart"/>
      <w:r w:rsidRPr="00936EB0">
        <w:t>HotStart</w:t>
      </w:r>
      <w:proofErr w:type="spellEnd"/>
      <w:r w:rsidRPr="00936EB0">
        <w:t xml:space="preserve"> </w:t>
      </w:r>
      <w:proofErr w:type="spellStart"/>
      <w:r w:rsidRPr="00936EB0">
        <w:t>ReadyMix</w:t>
      </w:r>
      <w:proofErr w:type="spellEnd"/>
      <w:r w:rsidRPr="00936EB0">
        <w:t xml:space="preserve"> (default recommended option)</w:t>
      </w:r>
    </w:p>
    <w:p w14:paraId="4CE32545" w14:textId="77777777" w:rsidR="008F78A0" w:rsidRPr="00936EB0" w:rsidRDefault="008F78A0" w:rsidP="000B111C">
      <w:pPr>
        <w:pStyle w:val="BodyText1"/>
        <w:numPr>
          <w:ilvl w:val="0"/>
          <w:numId w:val="21"/>
        </w:numPr>
      </w:pPr>
      <w:r w:rsidRPr="00936EB0">
        <w:t>bead-based purification systems providing they selectively bind fragments of the appropriate size.</w:t>
      </w:r>
    </w:p>
    <w:p w14:paraId="4119A6ED" w14:textId="77777777" w:rsidR="008F78A0" w:rsidRPr="00740729" w:rsidRDefault="008F78A0" w:rsidP="00740729">
      <w:pPr>
        <w:pStyle w:val="BodyText1"/>
      </w:pPr>
      <w:r w:rsidRPr="00740729">
        <w:t>Full details of any deviations from the Illumina 16S library preparation protocol must be supplied with data submissions.</w:t>
      </w:r>
    </w:p>
    <w:p w14:paraId="1025AA4B" w14:textId="77777777" w:rsidR="008F78A0" w:rsidRPr="00740729" w:rsidRDefault="008F78A0" w:rsidP="00740729">
      <w:pPr>
        <w:pStyle w:val="BodyText1"/>
      </w:pPr>
      <w:r w:rsidRPr="00740729">
        <w:t xml:space="preserve">The sequencer runs must be </w:t>
      </w:r>
      <w:proofErr w:type="gramStart"/>
      <w:r w:rsidRPr="00740729">
        <w:t>backed-up</w:t>
      </w:r>
      <w:proofErr w:type="gramEnd"/>
      <w:r w:rsidRPr="00740729">
        <w:t xml:space="preserve"> onto local storage facilities, it is also recommended the runs are linked to Illumina’s Cloud Storage (</w:t>
      </w:r>
      <w:proofErr w:type="spellStart"/>
      <w:r w:rsidRPr="00740729">
        <w:t>Basespace</w:t>
      </w:r>
      <w:proofErr w:type="spellEnd"/>
      <w:r w:rsidRPr="00740729">
        <w:t>).</w:t>
      </w:r>
    </w:p>
    <w:p w14:paraId="1002AAB5" w14:textId="77777777" w:rsidR="008F78A0" w:rsidRPr="00740729" w:rsidRDefault="008F78A0" w:rsidP="00740729">
      <w:pPr>
        <w:pStyle w:val="BodyText1"/>
      </w:pPr>
      <w:r w:rsidRPr="00740729">
        <w:t>During and upon run completion, various run quality parameters should be monitored, including average Q30, which reflects average sequence quality and reliability as well as cluster density on the flow cell and the % of sequence reads passing quality filters.</w:t>
      </w:r>
    </w:p>
    <w:p w14:paraId="515BA2B7" w14:textId="77777777" w:rsidR="008F78A0" w:rsidRPr="00C07E14" w:rsidRDefault="008F78A0" w:rsidP="00740729">
      <w:pPr>
        <w:pStyle w:val="BodyText1"/>
      </w:pPr>
      <w:r w:rsidRPr="00740729">
        <w:t xml:space="preserve">Runs should be set up to automatically demultiplex the samples upon completion and </w:t>
      </w:r>
      <w:proofErr w:type="spellStart"/>
      <w:r w:rsidRPr="00740729">
        <w:t>fastq</w:t>
      </w:r>
      <w:proofErr w:type="spellEnd"/>
      <w:r w:rsidRPr="00740729">
        <w:t xml:space="preserve"> sequence files</w:t>
      </w:r>
      <w:r w:rsidRPr="00C07E14">
        <w:t xml:space="preserve"> will be generated and stored in sample-specific folders for downloading from the Cloud for subsequent bioinformatics analyses.</w:t>
      </w:r>
    </w:p>
    <w:p w14:paraId="437E32D4" w14:textId="77777777" w:rsidR="008F78A0" w:rsidRPr="002A6A93" w:rsidRDefault="008F78A0" w:rsidP="00E733FC">
      <w:pPr>
        <w:pStyle w:val="Heading1"/>
        <w:numPr>
          <w:ilvl w:val="0"/>
          <w:numId w:val="14"/>
        </w:numPr>
      </w:pPr>
      <w:bookmarkStart w:id="10" w:name="_Bioinformatics"/>
      <w:bookmarkStart w:id="11" w:name="_Toc231998556"/>
      <w:bookmarkEnd w:id="10"/>
      <w:r>
        <w:t>Bioinformatics</w:t>
      </w:r>
      <w:bookmarkEnd w:id="11"/>
    </w:p>
    <w:p w14:paraId="5B70BB84" w14:textId="48B2F35A" w:rsidR="008F78A0" w:rsidRPr="00740729" w:rsidRDefault="008F78A0" w:rsidP="00740729">
      <w:pPr>
        <w:pStyle w:val="BodyText1"/>
      </w:pPr>
      <w:r>
        <w:t xml:space="preserve">After </w:t>
      </w:r>
      <w:r w:rsidRPr="00740729">
        <w:t xml:space="preserve">DNA sequencing the </w:t>
      </w:r>
      <w:proofErr w:type="gramStart"/>
      <w:r w:rsidRPr="00740729">
        <w:t>resulting</w:t>
      </w:r>
      <w:r w:rsidR="00056DCF" w:rsidRPr="00740729">
        <w:t xml:space="preserve"> </w:t>
      </w:r>
      <w:r w:rsidRPr="00740729">
        <w:t>.</w:t>
      </w:r>
      <w:proofErr w:type="spellStart"/>
      <w:r w:rsidRPr="00740729">
        <w:t>fastq</w:t>
      </w:r>
      <w:proofErr w:type="spellEnd"/>
      <w:proofErr w:type="gramEnd"/>
      <w:r w:rsidRPr="00740729">
        <w:t xml:space="preserve"> files are processed through the eDNA2IQI R package.</w:t>
      </w:r>
    </w:p>
    <w:p w14:paraId="0ED6A241" w14:textId="77777777" w:rsidR="008F78A0" w:rsidRPr="00740729" w:rsidRDefault="008F78A0" w:rsidP="00740729">
      <w:pPr>
        <w:pStyle w:val="BodyText1"/>
      </w:pPr>
      <w:r w:rsidRPr="00740729">
        <w:t xml:space="preserve">See the documentation of the </w:t>
      </w:r>
      <w:hyperlink r:id="rId17" w:history="1">
        <w:r w:rsidRPr="00740729">
          <w:rPr>
            <w:rStyle w:val="Hyperlink"/>
            <w:color w:val="auto"/>
            <w:u w:val="none"/>
          </w:rPr>
          <w:t>eDNA2IQI R package</w:t>
        </w:r>
      </w:hyperlink>
      <w:r w:rsidRPr="00740729">
        <w:t xml:space="preserve"> to install and run the bioinformatics outputs.</w:t>
      </w:r>
    </w:p>
    <w:p w14:paraId="5B1B4F49" w14:textId="77777777" w:rsidR="008F78A0" w:rsidRPr="00740729" w:rsidRDefault="008F78A0" w:rsidP="00740729">
      <w:pPr>
        <w:pStyle w:val="BodyText1"/>
      </w:pPr>
      <w:r w:rsidRPr="00740729">
        <w:t>The final predicted IQI score is provided in the ‘</w:t>
      </w:r>
      <w:proofErr w:type="spellStart"/>
      <w:r w:rsidRPr="00740729">
        <w:t>meanIQI</w:t>
      </w:r>
      <w:proofErr w:type="spellEnd"/>
      <w:r w:rsidRPr="00740729">
        <w:t>’ column in the output file.</w:t>
      </w:r>
    </w:p>
    <w:p w14:paraId="41BD7BC9" w14:textId="77777777" w:rsidR="008F78A0" w:rsidRDefault="008F78A0" w:rsidP="00740729">
      <w:pPr>
        <w:pStyle w:val="BodyText1"/>
      </w:pPr>
      <w:r w:rsidRPr="00740729">
        <w:t>Samples with &lt;5000 denoise</w:t>
      </w:r>
      <w:r>
        <w:t xml:space="preserve">d, merged reads </w:t>
      </w:r>
      <w:r w:rsidRPr="00E07D3A">
        <w:t>will</w:t>
      </w:r>
      <w:r>
        <w:t xml:space="preserve"> not receive an IQI score. In these cases, re-sequencing or a switch to invertebrate analysis will be required.</w:t>
      </w:r>
    </w:p>
    <w:p w14:paraId="1D42A6D0" w14:textId="69A41C44" w:rsidR="008F78A0" w:rsidRPr="00740729" w:rsidRDefault="008F78A0" w:rsidP="00740729">
      <w:pPr>
        <w:pStyle w:val="BodyText1"/>
      </w:pPr>
      <w:r>
        <w:t xml:space="preserve">NOTE: </w:t>
      </w:r>
      <w:r w:rsidR="00156961">
        <w:t xml:space="preserve">It is important to optimise lab processes to </w:t>
      </w:r>
      <w:r w:rsidR="005C1D58">
        <w:t>ensure</w:t>
      </w:r>
      <w:r w:rsidR="00156961">
        <w:t xml:space="preserve"> a high enough percentage of</w:t>
      </w:r>
      <w:r>
        <w:t xml:space="preserve"> raw </w:t>
      </w:r>
      <w:r w:rsidRPr="00740729">
        <w:t xml:space="preserve">reads </w:t>
      </w:r>
      <w:r w:rsidR="0094102A" w:rsidRPr="00740729">
        <w:t>are available after</w:t>
      </w:r>
      <w:r w:rsidRPr="00740729">
        <w:t xml:space="preserve"> </w:t>
      </w:r>
      <w:r w:rsidR="0030268F" w:rsidRPr="00740729">
        <w:t>denoising and</w:t>
      </w:r>
      <w:r w:rsidRPr="00740729">
        <w:t xml:space="preserve"> merg</w:t>
      </w:r>
      <w:r w:rsidR="0094102A" w:rsidRPr="00740729">
        <w:t>ing</w:t>
      </w:r>
      <w:r w:rsidRPr="00740729">
        <w:t xml:space="preserve"> </w:t>
      </w:r>
      <w:r w:rsidR="0030268F" w:rsidRPr="00740729">
        <w:t xml:space="preserve">for </w:t>
      </w:r>
      <w:r w:rsidR="006F58FE" w:rsidRPr="00740729">
        <w:t>taxonomic assignment</w:t>
      </w:r>
      <w:r w:rsidRPr="00740729">
        <w:t xml:space="preserve">. </w:t>
      </w:r>
    </w:p>
    <w:p w14:paraId="21063668" w14:textId="77777777" w:rsidR="008F78A0" w:rsidRPr="00740729" w:rsidRDefault="008F78A0" w:rsidP="00740729">
      <w:pPr>
        <w:pStyle w:val="BodyText1"/>
      </w:pPr>
      <w:r w:rsidRPr="00740729">
        <w:lastRenderedPageBreak/>
        <w:t xml:space="preserve">The eDNA2IQI package will check the samples have similar bacteria assignments as the training data used to development the model. This applicability test will filter out samples with unusual bacterial communities that are not represented in the training data, these samples will be </w:t>
      </w:r>
      <w:proofErr w:type="gramStart"/>
      <w:r w:rsidRPr="00740729">
        <w:t>removed</w:t>
      </w:r>
      <w:proofErr w:type="gramEnd"/>
      <w:r w:rsidRPr="00740729">
        <w:t xml:space="preserve"> and no IQI score will be generated.</w:t>
      </w:r>
    </w:p>
    <w:p w14:paraId="0661FA25" w14:textId="77777777" w:rsidR="008F78A0" w:rsidRPr="00740729" w:rsidRDefault="008F78A0" w:rsidP="00740729">
      <w:pPr>
        <w:pStyle w:val="BodyText1"/>
      </w:pPr>
      <w:r w:rsidRPr="00740729">
        <w:t xml:space="preserve">If DNA results are excluded, then re-sequencing or a switch to invertebrate analysis may be required.  </w:t>
      </w:r>
    </w:p>
    <w:p w14:paraId="77C6000E" w14:textId="77777777" w:rsidR="008F78A0" w:rsidRPr="00A64001" w:rsidRDefault="008F78A0" w:rsidP="00E733FC">
      <w:pPr>
        <w:pStyle w:val="Heading1"/>
        <w:numPr>
          <w:ilvl w:val="0"/>
          <w:numId w:val="14"/>
        </w:numPr>
        <w:rPr>
          <w:lang w:val="en-US"/>
        </w:rPr>
      </w:pPr>
      <w:bookmarkStart w:id="12" w:name="_Toc231541602"/>
      <w:bookmarkStart w:id="13" w:name="_Toc231998557"/>
      <w:r>
        <w:rPr>
          <w:lang w:val="en-US"/>
        </w:rPr>
        <w:t>Data Submission</w:t>
      </w:r>
      <w:bookmarkEnd w:id="12"/>
      <w:bookmarkEnd w:id="13"/>
    </w:p>
    <w:p w14:paraId="01FD1625" w14:textId="77777777" w:rsidR="008F78A0" w:rsidRPr="00740729" w:rsidDel="000612DD" w:rsidRDefault="008F78A0" w:rsidP="00F35A62">
      <w:pPr>
        <w:pStyle w:val="Heading2"/>
      </w:pPr>
      <w:r w:rsidRPr="00CB5D96">
        <w:rPr>
          <w:lang w:val="en-US"/>
        </w:rPr>
        <w:t>Pre-submission</w:t>
      </w:r>
    </w:p>
    <w:p w14:paraId="6547430F" w14:textId="77777777" w:rsidR="008F78A0" w:rsidRPr="00740729" w:rsidRDefault="008F78A0" w:rsidP="00740729">
      <w:pPr>
        <w:pStyle w:val="BodyText1"/>
      </w:pPr>
      <w:r w:rsidRPr="00740729">
        <w:t>Complete a ‘Marine Pen Fish Farm Environmental Monitoring Survey Results’ Excel spreadsheet</w:t>
      </w:r>
    </w:p>
    <w:p w14:paraId="79E48A70" w14:textId="77777777" w:rsidR="008F78A0" w:rsidRPr="00740729" w:rsidRDefault="008F78A0" w:rsidP="00740729">
      <w:pPr>
        <w:pStyle w:val="BodyText1"/>
      </w:pPr>
      <w:r w:rsidRPr="00740729">
        <w:t>Ensure the ‘eDNA Sample ID’ fields within the attached Excel file matches the YOUR-EDNA-SAMPLE-ID applied to each pair of forward (R1) and reverse (R2</w:t>
      </w:r>
      <w:proofErr w:type="gramStart"/>
      <w:r w:rsidRPr="00740729">
        <w:t>) .</w:t>
      </w:r>
      <w:proofErr w:type="gramEnd"/>
      <w:r w:rsidRPr="00740729">
        <w:t>fastq.gz files. These paired files, represent a single sample processed by the laboratory. The filenames should match the Illumina file format. For instance, YOUR-EDNA-SAMPLE-ID_L001_R1_001 or YOUR-EDNA-SAMPLE-ID_L001_R2_001.</w:t>
      </w:r>
    </w:p>
    <w:p w14:paraId="4F9FE26C" w14:textId="77777777" w:rsidR="008F78A0" w:rsidRPr="00740729" w:rsidRDefault="008F78A0" w:rsidP="00740729">
      <w:pPr>
        <w:pStyle w:val="BodyText1"/>
      </w:pPr>
      <w:r w:rsidRPr="00740729">
        <w:t>Ensure the ‘DNA IQI’ fields within the Excel spreadsheet matches the ‘</w:t>
      </w:r>
      <w:proofErr w:type="spellStart"/>
      <w:r w:rsidRPr="00740729">
        <w:t>meanIQI</w:t>
      </w:r>
      <w:proofErr w:type="spellEnd"/>
      <w:r w:rsidRPr="00740729">
        <w:t>’ output from the eDNA2IQI R package.</w:t>
      </w:r>
    </w:p>
    <w:p w14:paraId="43BE2D44" w14:textId="77777777" w:rsidR="008F78A0" w:rsidRPr="00740729" w:rsidRDefault="008F78A0" w:rsidP="00740729">
      <w:pPr>
        <w:pStyle w:val="BodyText1"/>
      </w:pPr>
      <w:r w:rsidRPr="00740729">
        <w:t xml:space="preserve">SEPA recommends the IQI results are assessed using the </w:t>
      </w:r>
      <w:hyperlink r:id="rId18" w:history="1">
        <w:r w:rsidRPr="00740729">
          <w:t>kraken R package</w:t>
        </w:r>
      </w:hyperlink>
      <w:r w:rsidRPr="00740729">
        <w:t xml:space="preserve"> to assess the area of effect before submitting data. This ensures the data is correct before submission.</w:t>
      </w:r>
    </w:p>
    <w:p w14:paraId="71DB4FFC" w14:textId="77777777" w:rsidR="008F78A0" w:rsidRPr="00740729" w:rsidRDefault="008F78A0" w:rsidP="00740729">
      <w:pPr>
        <w:pStyle w:val="BodyText1"/>
      </w:pPr>
      <w:r w:rsidRPr="00740729">
        <w:t>If DNA based IQI results are not attaining the required standards, additional invert analysis may be completed before submission.</w:t>
      </w:r>
    </w:p>
    <w:p w14:paraId="05985EED" w14:textId="77777777" w:rsidR="008F78A0" w:rsidRPr="00740729" w:rsidRDefault="008F78A0" w:rsidP="00740729">
      <w:pPr>
        <w:pStyle w:val="BodyText1"/>
      </w:pPr>
      <w:r w:rsidRPr="00740729">
        <w:t xml:space="preserve">Prepare a single submission for each survey. Check and assess the data before submission, ensuring you are content that no further DNA re-sequencing and/or additional invert analysis is required. </w:t>
      </w:r>
    </w:p>
    <w:p w14:paraId="417E5E9F" w14:textId="77777777" w:rsidR="008F78A0" w:rsidRPr="00740729" w:rsidRDefault="008F78A0" w:rsidP="00F35A62">
      <w:pPr>
        <w:pStyle w:val="Heading2"/>
      </w:pPr>
      <w:r w:rsidRPr="00CB5D96">
        <w:rPr>
          <w:lang w:val="en-US"/>
        </w:rPr>
        <w:t>Submission</w:t>
      </w:r>
    </w:p>
    <w:p w14:paraId="2800E044" w14:textId="77777777" w:rsidR="008F78A0" w:rsidRPr="00740729" w:rsidRDefault="008F78A0" w:rsidP="00740729">
      <w:pPr>
        <w:pStyle w:val="BodyText1"/>
      </w:pPr>
      <w:r w:rsidRPr="59BD869A">
        <w:rPr>
          <w:lang w:val="en-IE"/>
        </w:rPr>
        <w:t xml:space="preserve">Email </w:t>
      </w:r>
      <w:r>
        <w:rPr>
          <w:lang w:val="en-IE"/>
        </w:rPr>
        <w:t>aquaculture.</w:t>
      </w:r>
      <w:r w:rsidRPr="00CE4D72">
        <w:t>monitoring</w:t>
      </w:r>
      <w:r w:rsidRPr="59BD869A">
        <w:rPr>
          <w:lang w:val="en-IE"/>
        </w:rPr>
        <w:t>@</w:t>
      </w:r>
      <w:r w:rsidRPr="00740729">
        <w:t>sepa.org.uk the following:</w:t>
      </w:r>
    </w:p>
    <w:p w14:paraId="44A856C3" w14:textId="77777777" w:rsidR="008F78A0" w:rsidRPr="00740729" w:rsidRDefault="008F78A0" w:rsidP="00740729">
      <w:pPr>
        <w:pStyle w:val="BodyText1"/>
      </w:pPr>
      <w:r w:rsidRPr="00740729">
        <w:lastRenderedPageBreak/>
        <w:t>Attach the corresponding ‘Marine Pen Fish Farm Environmental Monitoring Survey Results’ Excel spreadsheet.</w:t>
      </w:r>
    </w:p>
    <w:p w14:paraId="09154A50" w14:textId="77777777" w:rsidR="008F78A0" w:rsidRPr="00740729" w:rsidRDefault="008F78A0" w:rsidP="00740729">
      <w:pPr>
        <w:pStyle w:val="BodyText1"/>
      </w:pPr>
      <w:r w:rsidRPr="00740729">
        <w:t xml:space="preserve">A file sharing link to download the </w:t>
      </w:r>
      <w:proofErr w:type="gramStart"/>
      <w:r w:rsidRPr="00740729">
        <w:t>raw .</w:t>
      </w:r>
      <w:proofErr w:type="gramEnd"/>
      <w:r w:rsidRPr="00740729">
        <w:t>fastq.gz DNA sequencing files.</w:t>
      </w:r>
    </w:p>
    <w:p w14:paraId="10D09FE1" w14:textId="166DD09B" w:rsidR="008F78A0" w:rsidRPr="00740729" w:rsidRDefault="0016528B" w:rsidP="00740729">
      <w:pPr>
        <w:pStyle w:val="BodyText1"/>
      </w:pPr>
      <w:r w:rsidRPr="00740729">
        <w:t>Note, w</w:t>
      </w:r>
      <w:r w:rsidR="008F78A0" w:rsidRPr="00740729">
        <w:t xml:space="preserve">e recommend file sharing via Microsoft OneDrive or </w:t>
      </w:r>
      <w:r w:rsidR="00460E89" w:rsidRPr="00740729">
        <w:t>SharePoint</w:t>
      </w:r>
      <w:r w:rsidR="008F78A0" w:rsidRPr="00740729">
        <w:t>. Other online storage providers or servers can be used. However, if using a different system, please check with SEPA to verify cybersecurity standards before submission.</w:t>
      </w:r>
    </w:p>
    <w:p w14:paraId="2E9232C9" w14:textId="24FF8C8A" w:rsidR="008F78A0" w:rsidRPr="00740729" w:rsidRDefault="008F78A0" w:rsidP="00740729">
      <w:pPr>
        <w:pStyle w:val="BodyText1"/>
      </w:pPr>
      <w:r w:rsidRPr="00740729">
        <w:t xml:space="preserve">SEPA will re-run the </w:t>
      </w:r>
      <w:hyperlink w:anchor="_Bioinformatics" w:history="1">
        <w:r w:rsidRPr="00740729">
          <w:rPr>
            <w:rStyle w:val="Hyperlink"/>
            <w:color w:val="auto"/>
            <w:u w:val="none"/>
          </w:rPr>
          <w:t>bioinformatics</w:t>
        </w:r>
      </w:hyperlink>
      <w:r w:rsidR="00517BDE" w:rsidRPr="00740729">
        <w:t xml:space="preserve"> (section 6)</w:t>
      </w:r>
      <w:r w:rsidRPr="00740729">
        <w:t xml:space="preserve"> on a proportion of the surveys submitted. This will independently reproduce the results and check quality. </w:t>
      </w:r>
    </w:p>
    <w:p w14:paraId="39B31DC4" w14:textId="77777777" w:rsidR="008F78A0" w:rsidRPr="00936EB0" w:rsidRDefault="008F78A0" w:rsidP="00740729">
      <w:pPr>
        <w:pStyle w:val="BodyText1"/>
      </w:pPr>
      <w:r w:rsidRPr="00740729">
        <w:t>Subject to the required data being submitted in the correct format and</w:t>
      </w:r>
      <w:r w:rsidRPr="59BD869A">
        <w:t xml:space="preserve"> without errors, SEPA will aim to feedback assessment results within 4 weeks.</w:t>
      </w:r>
    </w:p>
    <w:p w14:paraId="2789AC64" w14:textId="77777777" w:rsidR="008F78A0" w:rsidRPr="00936EB0" w:rsidRDefault="008F78A0" w:rsidP="000B111C">
      <w:pPr>
        <w:pStyle w:val="BodyText1"/>
      </w:pPr>
      <w:bookmarkStart w:id="14" w:name="_Toc231541582"/>
      <w:bookmarkStart w:id="15" w:name="_Hlk102389714"/>
      <w:bookmarkEnd w:id="14"/>
      <w:r w:rsidRPr="00936EB0">
        <w:rPr>
          <w:lang w:val="en-US"/>
        </w:rPr>
        <w:br w:type="page"/>
      </w:r>
      <w:bookmarkEnd w:id="15"/>
    </w:p>
    <w:p w14:paraId="0A095DCA" w14:textId="77777777" w:rsidR="00E326A4" w:rsidRPr="00740729" w:rsidRDefault="00E326A4" w:rsidP="00740729">
      <w:pPr>
        <w:rPr>
          <w:sz w:val="32"/>
          <w:szCs w:val="32"/>
        </w:rPr>
      </w:pPr>
      <w:r w:rsidRPr="00740729">
        <w:rPr>
          <w:sz w:val="32"/>
          <w:szCs w:val="32"/>
        </w:rPr>
        <w:lastRenderedPageBreak/>
        <w:t>If you would like this document in an accessible format, such as large print, audio recording or braille, please contact SEPA by emailing </w:t>
      </w:r>
      <w:hyperlink r:id="rId19" w:tgtFrame="_blank" w:tooltip="mailto:equalities@sepa.org.uk" w:history="1">
        <w:r w:rsidRPr="00740729">
          <w:rPr>
            <w:color w:val="016574" w:themeColor="hyperlink"/>
            <w:sz w:val="32"/>
            <w:szCs w:val="32"/>
            <w:u w:val="single"/>
          </w:rPr>
          <w:t>equalities@sepa.org.uk</w:t>
        </w:r>
      </w:hyperlink>
      <w:r w:rsidRPr="00740729">
        <w:rPr>
          <w:sz w:val="32"/>
          <w:szCs w:val="32"/>
        </w:rPr>
        <w:t xml:space="preserve"> </w:t>
      </w:r>
    </w:p>
    <w:p w14:paraId="245FC049" w14:textId="77777777" w:rsidR="006243FF" w:rsidRPr="00E67C75" w:rsidRDefault="006243FF" w:rsidP="00740729">
      <w:pPr>
        <w:pStyle w:val="BodyText1"/>
        <w:numPr>
          <w:ilvl w:val="0"/>
          <w:numId w:val="0"/>
        </w:numPr>
        <w:ind w:left="567" w:hanging="432"/>
      </w:pPr>
    </w:p>
    <w:sectPr w:rsidR="006243FF" w:rsidRPr="00E67C75" w:rsidSect="006A6137">
      <w:headerReference w:type="even" r:id="rId20"/>
      <w:headerReference w:type="default" r:id="rId21"/>
      <w:footerReference w:type="even" r:id="rId22"/>
      <w:footerReference w:type="default" r:id="rId23"/>
      <w:headerReference w:type="first" r:id="rId24"/>
      <w:footerReference w:type="first" r:id="rId25"/>
      <w:pgSz w:w="11900" w:h="16840"/>
      <w:pgMar w:top="839" w:right="839" w:bottom="839" w:left="839" w:header="794" w:footer="567"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9AB6B0" w14:textId="77777777" w:rsidR="00A13326" w:rsidRDefault="00A13326" w:rsidP="00660C79">
      <w:pPr>
        <w:spacing w:line="240" w:lineRule="auto"/>
      </w:pPr>
      <w:r>
        <w:separator/>
      </w:r>
    </w:p>
  </w:endnote>
  <w:endnote w:type="continuationSeparator" w:id="0">
    <w:p w14:paraId="3DED02F5" w14:textId="77777777" w:rsidR="00A13326" w:rsidRDefault="00A13326" w:rsidP="00660C79">
      <w:pPr>
        <w:spacing w:line="240" w:lineRule="auto"/>
      </w:pPr>
      <w:r>
        <w:continuationSeparator/>
      </w:r>
    </w:p>
  </w:endnote>
  <w:endnote w:type="continuationNotice" w:id="1">
    <w:p w14:paraId="6FF3C891" w14:textId="77777777" w:rsidR="00A13326" w:rsidRDefault="00A1332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50664C" w14:textId="5330CB9D" w:rsidR="00EC6A73" w:rsidRDefault="00C84D09">
    <w:pPr>
      <w:pStyle w:val="Footer"/>
      <w:framePr w:wrap="none" w:vAnchor="text" w:hAnchor="margin" w:xAlign="right" w:y="1"/>
      <w:rPr>
        <w:rStyle w:val="PageNumber"/>
      </w:rPr>
    </w:pPr>
    <w:r>
      <w:rPr>
        <w:noProof/>
      </w:rPr>
      <mc:AlternateContent>
        <mc:Choice Requires="wps">
          <w:drawing>
            <wp:anchor distT="0" distB="0" distL="0" distR="0" simplePos="0" relativeHeight="251675655" behindDoc="0" locked="0" layoutInCell="1" allowOverlap="1" wp14:anchorId="120030F6" wp14:editId="281DD8D1">
              <wp:simplePos x="635" y="635"/>
              <wp:positionH relativeFrom="page">
                <wp:align>center</wp:align>
              </wp:positionH>
              <wp:positionV relativeFrom="page">
                <wp:align>bottom</wp:align>
              </wp:positionV>
              <wp:extent cx="518795" cy="422910"/>
              <wp:effectExtent l="0" t="0" r="14605" b="0"/>
              <wp:wrapNone/>
              <wp:docPr id="57901911"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E4C42D1" w14:textId="7EAC4934"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20030F6" id="_x0000_t202" coordsize="21600,21600" o:spt="202" path="m,l,21600r21600,l21600,xe">
              <v:stroke joinstyle="miter"/>
              <v:path gradientshapeok="t" o:connecttype="rect"/>
            </v:shapetype>
            <v:shape id="Text Box 14" o:spid="_x0000_s1029" type="#_x0000_t202" alt="OFFICIAL" style="position:absolute;margin-left:0;margin-top:0;width:40.85pt;height:33.3pt;z-index:25167565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6mt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XfHpOP0W6iMthXDi2zu5bqn1g/DhWSARTHuQ&#10;aMMTHdpAX3E4W5w1gD/+5o/5hDtFOetJMBW3pGjOzDdLfERtjQaOxjYZxTyf5RS3++4OSIYFvQgn&#10;k0leDGY0NUL3SnJexUYUElZSu4pvR/MunJRLz0Gq1SolkYycCA9242QsHeGKWL4MrwLdGfBATD3C&#10;qCZRvsH9lBtverfaB0I/kRKhPQF5RpwkmLg6P5eo8V//U9b1US9/Ag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nOpr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6E4C42D1" w14:textId="7EAC4934"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v:textbox>
              <w10:wrap anchorx="page" anchory="page"/>
            </v:shape>
          </w:pict>
        </mc:Fallback>
      </mc:AlternateContent>
    </w:r>
  </w:p>
  <w:sdt>
    <w:sdtPr>
      <w:rPr>
        <w:rStyle w:val="PageNumber"/>
      </w:rPr>
      <w:id w:val="236994185"/>
      <w:docPartObj>
        <w:docPartGallery w:val="Page Numbers (Bottom of Page)"/>
        <w:docPartUnique/>
      </w:docPartObj>
    </w:sdtPr>
    <w:sdtEndPr>
      <w:rPr>
        <w:rStyle w:val="PageNumber"/>
      </w:rPr>
    </w:sdtEndPr>
    <w:sdtContent>
      <w:p w14:paraId="5D713126" w14:textId="77777777" w:rsidR="00EC6A73" w:rsidRDefault="00EC6A7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1749717889"/>
      <w:docPartObj>
        <w:docPartGallery w:val="Page Numbers (Bottom of Page)"/>
        <w:docPartUnique/>
      </w:docPartObj>
    </w:sdtPr>
    <w:sdtEndPr>
      <w:rPr>
        <w:rStyle w:val="PageNumber"/>
      </w:rPr>
    </w:sdtEndPr>
    <w:sdtContent>
      <w:p w14:paraId="5A7759D7" w14:textId="77777777" w:rsidR="00917BB1" w:rsidRDefault="00917BB1" w:rsidP="00EC6A73">
        <w:pPr>
          <w:pStyle w:val="Footer"/>
          <w:framePr w:wrap="none" w:vAnchor="text" w:hAnchor="margin" w:xAlign="right" w:y="1"/>
          <w:ind w:right="360"/>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FBE818C" w14:textId="77777777" w:rsidR="00917BB1" w:rsidRDefault="00917BB1" w:rsidP="00917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86E211" w14:textId="34093B38" w:rsidR="00EC6A73" w:rsidRDefault="00C84D09" w:rsidP="00917BB1">
    <w:pPr>
      <w:pStyle w:val="Footer"/>
      <w:ind w:right="360"/>
    </w:pPr>
    <w:r>
      <w:rPr>
        <w:noProof/>
      </w:rPr>
      <mc:AlternateContent>
        <mc:Choice Requires="wps">
          <w:drawing>
            <wp:anchor distT="0" distB="0" distL="0" distR="0" simplePos="0" relativeHeight="251676679" behindDoc="0" locked="0" layoutInCell="1" allowOverlap="1" wp14:anchorId="61319F2B" wp14:editId="3BEA6FB9">
              <wp:simplePos x="533400" y="9716770"/>
              <wp:positionH relativeFrom="page">
                <wp:align>center</wp:align>
              </wp:positionH>
              <wp:positionV relativeFrom="page">
                <wp:align>bottom</wp:align>
              </wp:positionV>
              <wp:extent cx="518795" cy="422910"/>
              <wp:effectExtent l="0" t="0" r="14605" b="0"/>
              <wp:wrapNone/>
              <wp:docPr id="1257885174" name="Text Box 1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6652E038" w14:textId="1470BF9B"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1319F2B" id="_x0000_t202" coordsize="21600,21600" o:spt="202" path="m,l,21600r21600,l21600,xe">
              <v:stroke joinstyle="miter"/>
              <v:path gradientshapeok="t" o:connecttype="rect"/>
            </v:shapetype>
            <v:shape id="Text Box 15" o:spid="_x0000_s1030" type="#_x0000_t202" alt="OFFICIAL" style="position:absolute;margin-left:0;margin-top:0;width:40.85pt;height:33.3pt;z-index:251676679;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" filled="f" stroked="f">
              <v:fill o:detectmouseclick="t"/>
              <v:textbox style="mso-fit-shape-to-text:t" inset="0,0,0,15pt">
                <w:txbxContent>
                  <w:p w14:paraId="6652E038" w14:textId="1470BF9B"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v:textbox>
              <w10:wrap anchorx="page" anchory="page"/>
            </v:shape>
          </w:pict>
        </mc:Fallback>
      </mc:AlternateContent>
    </w:r>
  </w:p>
  <w:p w14:paraId="499B864F" w14:textId="77777777" w:rsidR="00917BB1" w:rsidRDefault="000E0D15" w:rsidP="00917BB1">
    <w:pPr>
      <w:pStyle w:val="Footer"/>
      <w:ind w:right="360"/>
    </w:pPr>
    <w:r>
      <w:rPr>
        <w:noProof/>
      </w:rPr>
      <mc:AlternateContent>
        <mc:Choice Requires="wps">
          <w:drawing>
            <wp:anchor distT="0" distB="0" distL="114300" distR="114300" simplePos="0" relativeHeight="251658241" behindDoc="0" locked="0" layoutInCell="1" allowOverlap="1" wp14:anchorId="02CF5611" wp14:editId="138004F2">
              <wp:simplePos x="0" y="0"/>
              <wp:positionH relativeFrom="column">
                <wp:posOffset>23826</wp:posOffset>
              </wp:positionH>
              <wp:positionV relativeFrom="paragraph">
                <wp:posOffset>74240</wp:posOffset>
              </wp:positionV>
              <wp:extent cx="6466840" cy="0"/>
              <wp:effectExtent l="0" t="0" r="10160" b="12700"/>
              <wp:wrapNone/>
              <wp:docPr id="10" name="Straight Connector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a:off x="0" y="0"/>
                        <a:ext cx="6466840"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81DC272" id="Straight Connector 10" o:spid="_x0000_s1026" alt="&quot;&quot;" style="position:absolute;z-index:251658241;visibility:visible;mso-wrap-style:square;mso-wrap-distance-left:9pt;mso-wrap-distance-top:0;mso-wrap-distance-right:9pt;mso-wrap-distance-bottom:0;mso-position-horizontal:absolute;mso-position-horizontal-relative:text;mso-position-vertical:absolute;mso-position-vertical-relative:text" from="1.9pt,5.85pt" to="511.1pt,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" strokecolor="#016574 [3205]" strokeweight=".5pt">
              <v:stroke joinstyle="miter"/>
            </v:line>
          </w:pict>
        </mc:Fallback>
      </mc:AlternateContent>
    </w:r>
  </w:p>
  <w:sdt>
    <w:sdtPr>
      <w:rPr>
        <w:rStyle w:val="PageNumber"/>
      </w:rPr>
      <w:id w:val="-1560629883"/>
      <w:docPartObj>
        <w:docPartGallery w:val="Page Numbers (Bottom of Page)"/>
        <w:docPartUnique/>
      </w:docPartObj>
    </w:sdtPr>
    <w:sdtEndPr>
      <w:rPr>
        <w:rStyle w:val="PageNumber"/>
      </w:rPr>
    </w:sdtEndPr>
    <w:sdtContent>
      <w:p w14:paraId="6E7C6042" w14:textId="77777777" w:rsidR="00EC6A73" w:rsidRDefault="00EC6A73" w:rsidP="00EC6A73">
        <w:pPr>
          <w:pStyle w:val="Footer"/>
          <w:framePr w:wrap="none" w:vAnchor="text" w:hAnchor="page" w:x="10958" w:y="9"/>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485C2D5" w14:textId="77777777" w:rsidR="00917BB1" w:rsidRDefault="00917BB1" w:rsidP="00917BB1">
    <w:pPr>
      <w:pStyle w:val="Footer"/>
      <w:ind w:right="360"/>
    </w:pPr>
    <w:r>
      <w:rPr>
        <w:noProof/>
      </w:rPr>
      <w:drawing>
        <wp:inline distT="0" distB="0" distL="0" distR="0" wp14:anchorId="4DF81F20" wp14:editId="52004B0C">
          <wp:extent cx="1007167" cy="265044"/>
          <wp:effectExtent l="0" t="0" r="0" b="1905"/>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07167" cy="265044"/>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525D0" w14:textId="4934265C" w:rsidR="00751749" w:rsidRDefault="00C84D09" w:rsidP="000B111C">
    <w:r>
      <w:rPr>
        <w:noProof/>
      </w:rPr>
      <mc:AlternateContent>
        <mc:Choice Requires="wps">
          <w:drawing>
            <wp:anchor distT="0" distB="0" distL="0" distR="0" simplePos="0" relativeHeight="251674631" behindDoc="0" locked="0" layoutInCell="1" allowOverlap="1" wp14:anchorId="70B07D52" wp14:editId="1192873A">
              <wp:simplePos x="533400" y="10071100"/>
              <wp:positionH relativeFrom="page">
                <wp:align>center</wp:align>
              </wp:positionH>
              <wp:positionV relativeFrom="page">
                <wp:align>bottom</wp:align>
              </wp:positionV>
              <wp:extent cx="518795" cy="422910"/>
              <wp:effectExtent l="0" t="0" r="14605" b="0"/>
              <wp:wrapNone/>
              <wp:docPr id="1069640486" name="Text Box 1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3E4189F4" w14:textId="73561A6C"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0B07D52" id="_x0000_t202" coordsize="21600,21600" o:spt="202" path="m,l,21600r21600,l21600,xe">
              <v:stroke joinstyle="miter"/>
              <v:path gradientshapeok="t" o:connecttype="rect"/>
            </v:shapetype>
            <v:shape id="Text Box 13" o:spid="_x0000_s1032" type="#_x0000_t202" alt="OFFICIAL" style="position:absolute;margin-left:0;margin-top:0;width:40.85pt;height:33.3pt;z-index:25167463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" filled="f" stroked="f">
              <v:fill o:detectmouseclick="t"/>
              <v:textbox style="mso-fit-shape-to-text:t" inset="0,0,0,15pt">
                <w:txbxContent>
                  <w:p w14:paraId="3E4189F4" w14:textId="73561A6C"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v:textbox>
              <w10:wrap anchorx="page" anchory="page"/>
            </v:shape>
          </w:pict>
        </mc:Fallback>
      </mc:AlternateContent>
    </w:r>
    <w:r w:rsidR="000B111C">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29A47" w14:textId="77777777" w:rsidR="00A13326" w:rsidRDefault="00A13326" w:rsidP="00660C79">
      <w:pPr>
        <w:spacing w:line="240" w:lineRule="auto"/>
      </w:pPr>
      <w:r>
        <w:separator/>
      </w:r>
    </w:p>
  </w:footnote>
  <w:footnote w:type="continuationSeparator" w:id="0">
    <w:p w14:paraId="50A0272F" w14:textId="77777777" w:rsidR="00A13326" w:rsidRDefault="00A13326" w:rsidP="00660C79">
      <w:pPr>
        <w:spacing w:line="240" w:lineRule="auto"/>
      </w:pPr>
      <w:r>
        <w:continuationSeparator/>
      </w:r>
    </w:p>
  </w:footnote>
  <w:footnote w:type="continuationNotice" w:id="1">
    <w:p w14:paraId="07A902BF" w14:textId="77777777" w:rsidR="00A13326" w:rsidRDefault="00A1332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76D0" w14:textId="408E6617" w:rsidR="00751749" w:rsidRDefault="00C84D09">
    <w:pPr>
      <w:pStyle w:val="Header"/>
    </w:pPr>
    <w:r>
      <w:rPr>
        <w:noProof/>
      </w:rPr>
      <mc:AlternateContent>
        <mc:Choice Requires="wps">
          <w:drawing>
            <wp:anchor distT="0" distB="0" distL="0" distR="0" simplePos="0" relativeHeight="251672583" behindDoc="0" locked="0" layoutInCell="1" allowOverlap="1" wp14:anchorId="31EF64FC" wp14:editId="077273B3">
              <wp:simplePos x="635" y="635"/>
              <wp:positionH relativeFrom="page">
                <wp:align>center</wp:align>
              </wp:positionH>
              <wp:positionV relativeFrom="page">
                <wp:align>top</wp:align>
              </wp:positionV>
              <wp:extent cx="518795" cy="422910"/>
              <wp:effectExtent l="0" t="0" r="14605" b="15240"/>
              <wp:wrapNone/>
              <wp:docPr id="1739388156" name="Text Box 1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D42D864" w14:textId="58742BC6"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1EF64FC" id="_x0000_t202" coordsize="21600,21600" o:spt="202" path="m,l,21600r21600,l21600,xe">
              <v:stroke joinstyle="miter"/>
              <v:path gradientshapeok="t" o:connecttype="rect"/>
            </v:shapetype>
            <v:shape id="Text Box 11" o:spid="_x0000_s1027" type="#_x0000_t202" alt="OFFICIAL" style="position:absolute;margin-left:0;margin-top:0;width:40.85pt;height:33.3pt;z-index:25167258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" filled="f" stroked="f">
              <v:fill o:detectmouseclick="t"/>
              <v:textbox style="mso-fit-shape-to-text:t" inset="0,15pt,0,0">
                <w:txbxContent>
                  <w:p w14:paraId="0D42D864" w14:textId="58742BC6"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C8863" w14:textId="7BEC567B" w:rsidR="008D113C" w:rsidRPr="00917BB1" w:rsidRDefault="00C84D09" w:rsidP="00E33150">
    <w:pPr>
      <w:jc w:val="right"/>
    </w:pPr>
    <w:r>
      <w:rPr>
        <w:noProof/>
      </w:rPr>
      <mc:AlternateContent>
        <mc:Choice Requires="wps">
          <w:drawing>
            <wp:anchor distT="0" distB="0" distL="0" distR="0" simplePos="0" relativeHeight="251673607" behindDoc="0" locked="0" layoutInCell="1" allowOverlap="1" wp14:anchorId="34BE9882" wp14:editId="2443DFA8">
              <wp:simplePos x="533400" y="504825"/>
              <wp:positionH relativeFrom="page">
                <wp:align>center</wp:align>
              </wp:positionH>
              <wp:positionV relativeFrom="page">
                <wp:align>top</wp:align>
              </wp:positionV>
              <wp:extent cx="518795" cy="422910"/>
              <wp:effectExtent l="0" t="0" r="14605" b="15240"/>
              <wp:wrapNone/>
              <wp:docPr id="860935011" name="Text Box 1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46BD3FB7" w14:textId="654226C5"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4BE9882" id="_x0000_t202" coordsize="21600,21600" o:spt="202" path="m,l,21600r21600,l21600,xe">
              <v:stroke joinstyle="miter"/>
              <v:path gradientshapeok="t" o:connecttype="rect"/>
            </v:shapetype>
            <v:shape id="Text Box 12" o:spid="_x0000_s1028" type="#_x0000_t202" alt="OFFICIAL" style="position:absolute;margin-left:0;margin-top:0;width:40.85pt;height:33.3pt;z-index:251673607;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" filled="f" stroked="f">
              <v:fill o:detectmouseclick="t"/>
              <v:textbox style="mso-fit-shape-to-text:t" inset="0,15pt,0,0">
                <w:txbxContent>
                  <w:p w14:paraId="46BD3FB7" w14:textId="654226C5"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v:textbox>
              <w10:wrap anchorx="page" anchory="page"/>
            </v:shape>
          </w:pict>
        </mc:Fallback>
      </mc:AlternateContent>
    </w:r>
    <w:r w:rsidR="00D4441D">
      <w:t>Use of DNA for monitoring compliance with seabed mixing zone</w:t>
    </w:r>
  </w:p>
  <w:p w14:paraId="5BB90585" w14:textId="77777777" w:rsidR="008D113C" w:rsidRDefault="007D441B" w:rsidP="000B111C">
    <w:r>
      <w:rPr>
        <w:noProof/>
      </w:rPr>
      <mc:AlternateContent>
        <mc:Choice Requires="wps">
          <w:drawing>
            <wp:anchor distT="0" distB="0" distL="114300" distR="114300" simplePos="0" relativeHeight="251658240" behindDoc="0" locked="0" layoutInCell="1" allowOverlap="1" wp14:anchorId="63EB90F9" wp14:editId="5686FC0B">
              <wp:simplePos x="0" y="0"/>
              <wp:positionH relativeFrom="column">
                <wp:posOffset>23826</wp:posOffset>
              </wp:positionH>
              <wp:positionV relativeFrom="paragraph">
                <wp:posOffset>89176</wp:posOffset>
              </wp:positionV>
              <wp:extent cx="6467061" cy="0"/>
              <wp:effectExtent l="0" t="0" r="10160" b="12700"/>
              <wp:wrapNone/>
              <wp:docPr id="7" name="Straight Connector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H="1">
                        <a:off x="0" y="0"/>
                        <a:ext cx="6467061" cy="0"/>
                      </a:xfrm>
                      <a:prstGeom prst="line">
                        <a:avLst/>
                      </a:prstGeom>
                      <a:ln>
                        <a:solidFill>
                          <a:schemeClr val="accent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B4C24E0" id="Straight Connector 7" o:spid="_x0000_s1026" alt="&quot;&quot;" style="position:absolute;flip:x;z-index:251658240;visibility:visible;mso-wrap-style:square;mso-wrap-distance-left:9pt;mso-wrap-distance-top:0;mso-wrap-distance-right:9pt;mso-wrap-distance-bottom:0;mso-position-horizontal:absolute;mso-position-horizontal-relative:text;mso-position-vertical:absolute;mso-position-vertical-relative:text" from="1.9pt,7pt" to="511.1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" strokecolor="#016574 [3205]" strokeweight=".5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2F8D4" w14:textId="04CC9A62" w:rsidR="00751749" w:rsidRDefault="00C84D09">
    <w:pPr>
      <w:pStyle w:val="Header"/>
    </w:pPr>
    <w:r>
      <w:rPr>
        <w:noProof/>
      </w:rPr>
      <mc:AlternateContent>
        <mc:Choice Requires="wps">
          <w:drawing>
            <wp:anchor distT="0" distB="0" distL="0" distR="0" simplePos="0" relativeHeight="251671559" behindDoc="0" locked="0" layoutInCell="1" allowOverlap="1" wp14:anchorId="384B53F4" wp14:editId="12F29818">
              <wp:simplePos x="533400" y="508000"/>
              <wp:positionH relativeFrom="page">
                <wp:align>center</wp:align>
              </wp:positionH>
              <wp:positionV relativeFrom="page">
                <wp:align>top</wp:align>
              </wp:positionV>
              <wp:extent cx="518795" cy="422910"/>
              <wp:effectExtent l="0" t="0" r="14605" b="15240"/>
              <wp:wrapNone/>
              <wp:docPr id="2070301295" name="Text Box 10"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422910"/>
                      </a:xfrm>
                      <a:prstGeom prst="rect">
                        <a:avLst/>
                      </a:prstGeom>
                      <a:noFill/>
                      <a:ln>
                        <a:noFill/>
                      </a:ln>
                    </wps:spPr>
                    <wps:txbx>
                      <w:txbxContent>
                        <w:p w14:paraId="0E95E938" w14:textId="2820D1F3"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4B53F4" id="_x0000_t202" coordsize="21600,21600" o:spt="202" path="m,l,21600r21600,l21600,xe">
              <v:stroke joinstyle="miter"/>
              <v:path gradientshapeok="t" o:connecttype="rect"/>
            </v:shapetype>
            <v:shape id="Text Box 10" o:spid="_x0000_s1031" type="#_x0000_t202" alt="OFFICIAL" style="position:absolute;margin-left:0;margin-top:0;width:40.85pt;height:33.3pt;z-index:251671559;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" filled="f" stroked="f">
              <v:fill o:detectmouseclick="t"/>
              <v:textbox style="mso-fit-shape-to-text:t" inset="0,15pt,0,0">
                <w:txbxContent>
                  <w:p w14:paraId="0E95E938" w14:textId="2820D1F3" w:rsidR="00C84D09" w:rsidRPr="00C84D09" w:rsidRDefault="00C84D09" w:rsidP="00C84D09">
                    <w:pPr>
                      <w:rPr>
                        <w:rFonts w:ascii="Aptos" w:eastAsia="Aptos" w:hAnsi="Aptos" w:cs="Aptos"/>
                        <w:noProof/>
                        <w:color w:val="0000FF"/>
                        <w:sz w:val="20"/>
                        <w:szCs w:val="20"/>
                      </w:rPr>
                    </w:pPr>
                    <w:r w:rsidRPr="00C84D09">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FB4D5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7F0C0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FDC6C2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1EC9FE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9FCAA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AA22D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E624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0C939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01E39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92E56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CC6199E"/>
    <w:multiLevelType w:val="hybridMultilevel"/>
    <w:tmpl w:val="048CB9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CA0667"/>
    <w:multiLevelType w:val="hybridMultilevel"/>
    <w:tmpl w:val="911ED7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1C7674"/>
    <w:multiLevelType w:val="hybridMultilevel"/>
    <w:tmpl w:val="447A893E"/>
    <w:lvl w:ilvl="0" w:tplc="AFAE3B86">
      <w:start w:val="1"/>
      <w:numFmt w:val="bullet"/>
      <w:lvlText w:val=""/>
      <w:lvlJc w:val="left"/>
      <w:pPr>
        <w:ind w:left="720" w:hanging="360"/>
      </w:pPr>
      <w:rPr>
        <w:rFonts w:ascii="Symbol" w:hAnsi="Symbol" w:hint="default"/>
      </w:rPr>
    </w:lvl>
    <w:lvl w:ilvl="1" w:tplc="F036EBAE">
      <w:start w:val="1"/>
      <w:numFmt w:val="bullet"/>
      <w:lvlText w:val="o"/>
      <w:lvlJc w:val="left"/>
      <w:pPr>
        <w:ind w:left="1440" w:hanging="360"/>
      </w:pPr>
      <w:rPr>
        <w:rFonts w:ascii="Courier New" w:hAnsi="Courier New" w:hint="default"/>
      </w:rPr>
    </w:lvl>
    <w:lvl w:ilvl="2" w:tplc="1BC221B6">
      <w:start w:val="1"/>
      <w:numFmt w:val="bullet"/>
      <w:lvlText w:val=""/>
      <w:lvlJc w:val="left"/>
      <w:pPr>
        <w:ind w:left="2160" w:hanging="360"/>
      </w:pPr>
      <w:rPr>
        <w:rFonts w:ascii="Wingdings" w:hAnsi="Wingdings" w:hint="default"/>
      </w:rPr>
    </w:lvl>
    <w:lvl w:ilvl="3" w:tplc="9440D588">
      <w:start w:val="1"/>
      <w:numFmt w:val="bullet"/>
      <w:lvlText w:val=""/>
      <w:lvlJc w:val="left"/>
      <w:pPr>
        <w:ind w:left="2880" w:hanging="360"/>
      </w:pPr>
      <w:rPr>
        <w:rFonts w:ascii="Symbol" w:hAnsi="Symbol" w:hint="default"/>
      </w:rPr>
    </w:lvl>
    <w:lvl w:ilvl="4" w:tplc="593003A4">
      <w:start w:val="1"/>
      <w:numFmt w:val="bullet"/>
      <w:lvlText w:val="o"/>
      <w:lvlJc w:val="left"/>
      <w:pPr>
        <w:ind w:left="3600" w:hanging="360"/>
      </w:pPr>
      <w:rPr>
        <w:rFonts w:ascii="Courier New" w:hAnsi="Courier New" w:hint="default"/>
      </w:rPr>
    </w:lvl>
    <w:lvl w:ilvl="5" w:tplc="161A2358">
      <w:start w:val="1"/>
      <w:numFmt w:val="bullet"/>
      <w:lvlText w:val=""/>
      <w:lvlJc w:val="left"/>
      <w:pPr>
        <w:ind w:left="4320" w:hanging="360"/>
      </w:pPr>
      <w:rPr>
        <w:rFonts w:ascii="Wingdings" w:hAnsi="Wingdings" w:hint="default"/>
      </w:rPr>
    </w:lvl>
    <w:lvl w:ilvl="6" w:tplc="4FD05AB4">
      <w:start w:val="1"/>
      <w:numFmt w:val="bullet"/>
      <w:lvlText w:val=""/>
      <w:lvlJc w:val="left"/>
      <w:pPr>
        <w:ind w:left="5040" w:hanging="360"/>
      </w:pPr>
      <w:rPr>
        <w:rFonts w:ascii="Symbol" w:hAnsi="Symbol" w:hint="default"/>
      </w:rPr>
    </w:lvl>
    <w:lvl w:ilvl="7" w:tplc="482AC1BA">
      <w:start w:val="1"/>
      <w:numFmt w:val="bullet"/>
      <w:lvlText w:val="o"/>
      <w:lvlJc w:val="left"/>
      <w:pPr>
        <w:ind w:left="5760" w:hanging="360"/>
      </w:pPr>
      <w:rPr>
        <w:rFonts w:ascii="Courier New" w:hAnsi="Courier New" w:hint="default"/>
      </w:rPr>
    </w:lvl>
    <w:lvl w:ilvl="8" w:tplc="7D361FC0">
      <w:start w:val="1"/>
      <w:numFmt w:val="bullet"/>
      <w:lvlText w:val=""/>
      <w:lvlJc w:val="left"/>
      <w:pPr>
        <w:ind w:left="6480" w:hanging="360"/>
      </w:pPr>
      <w:rPr>
        <w:rFonts w:ascii="Wingdings" w:hAnsi="Wingdings" w:hint="default"/>
      </w:rPr>
    </w:lvl>
  </w:abstractNum>
  <w:abstractNum w:abstractNumId="13" w15:restartNumberingAfterBreak="0">
    <w:nsid w:val="24F17B0F"/>
    <w:multiLevelType w:val="hybridMultilevel"/>
    <w:tmpl w:val="8BF6E9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59C24FF"/>
    <w:multiLevelType w:val="multilevel"/>
    <w:tmpl w:val="F98032B0"/>
    <w:lvl w:ilvl="0">
      <w:start w:val="1"/>
      <w:numFmt w:val="decimal"/>
      <w:lvlText w:val="%1."/>
      <w:lvlJc w:val="left"/>
      <w:pPr>
        <w:ind w:left="360" w:hanging="360"/>
      </w:pPr>
      <w:rPr>
        <w:rFonts w:hint="default"/>
        <w:sz w:val="22"/>
      </w:rPr>
    </w:lvl>
    <w:lvl w:ilvl="1">
      <w:start w:val="1"/>
      <w:numFmt w:val="lowerRoman"/>
      <w:lvlText w:val="%2."/>
      <w:lvlJc w:val="right"/>
      <w:pPr>
        <w:ind w:left="360" w:hanging="360"/>
      </w:pPr>
    </w:lvl>
    <w:lvl w:ilvl="2">
      <w:start w:val="1"/>
      <w:numFmt w:val="decimal"/>
      <w:lvlText w:val="%1.%2.%3."/>
      <w:lvlJc w:val="left"/>
      <w:pPr>
        <w:tabs>
          <w:tab w:val="num" w:pos="680"/>
        </w:tabs>
        <w:ind w:left="357" w:hanging="357"/>
      </w:pPr>
      <w:rPr>
        <w:rFonts w:hint="default"/>
      </w:rPr>
    </w:lvl>
    <w:lvl w:ilvl="3">
      <w:start w:val="1"/>
      <w:numFmt w:val="decimal"/>
      <w:lvlText w:val="%1.%2.%3.%4."/>
      <w:lvlJc w:val="left"/>
      <w:pPr>
        <w:ind w:left="357"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15" w15:restartNumberingAfterBreak="0">
    <w:nsid w:val="64AF57A3"/>
    <w:multiLevelType w:val="hybridMultilevel"/>
    <w:tmpl w:val="BF8E3038"/>
    <w:lvl w:ilvl="0" w:tplc="A7946232">
      <w:start w:val="1"/>
      <w:numFmt w:val="lowerRoman"/>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670B6C9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67707A7D"/>
    <w:multiLevelType w:val="multilevel"/>
    <w:tmpl w:val="ECBA484A"/>
    <w:lvl w:ilvl="0">
      <w:start w:val="1"/>
      <w:numFmt w:val="decimal"/>
      <w:lvlText w:val="%1."/>
      <w:lvlJc w:val="left"/>
      <w:pPr>
        <w:ind w:left="360" w:hanging="360"/>
      </w:pPr>
    </w:lvl>
    <w:lvl w:ilvl="1">
      <w:start w:val="1"/>
      <w:numFmt w:val="decimal"/>
      <w:pStyle w:val="BodyText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ABA2D0C"/>
    <w:multiLevelType w:val="hybridMultilevel"/>
    <w:tmpl w:val="B1801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5F03C94"/>
    <w:multiLevelType w:val="hybridMultilevel"/>
    <w:tmpl w:val="56C057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8790A5A"/>
    <w:multiLevelType w:val="multilevel"/>
    <w:tmpl w:val="9AA8A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793708FD"/>
    <w:multiLevelType w:val="hybridMultilevel"/>
    <w:tmpl w:val="ECB22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36991833">
    <w:abstractNumId w:val="0"/>
  </w:num>
  <w:num w:numId="2" w16cid:durableId="2105566417">
    <w:abstractNumId w:val="1"/>
  </w:num>
  <w:num w:numId="3" w16cid:durableId="1805927877">
    <w:abstractNumId w:val="2"/>
  </w:num>
  <w:num w:numId="4" w16cid:durableId="905798264">
    <w:abstractNumId w:val="3"/>
  </w:num>
  <w:num w:numId="5" w16cid:durableId="1414813136">
    <w:abstractNumId w:val="8"/>
  </w:num>
  <w:num w:numId="6" w16cid:durableId="79523064">
    <w:abstractNumId w:val="4"/>
  </w:num>
  <w:num w:numId="7" w16cid:durableId="1085418359">
    <w:abstractNumId w:val="5"/>
  </w:num>
  <w:num w:numId="8" w16cid:durableId="500970126">
    <w:abstractNumId w:val="6"/>
  </w:num>
  <w:num w:numId="9" w16cid:durableId="683829009">
    <w:abstractNumId w:val="7"/>
  </w:num>
  <w:num w:numId="10" w16cid:durableId="2124495314">
    <w:abstractNumId w:val="9"/>
  </w:num>
  <w:num w:numId="11" w16cid:durableId="182984619">
    <w:abstractNumId w:val="18"/>
  </w:num>
  <w:num w:numId="12" w16cid:durableId="791052000">
    <w:abstractNumId w:val="13"/>
  </w:num>
  <w:num w:numId="13" w16cid:durableId="593785568">
    <w:abstractNumId w:val="20"/>
  </w:num>
  <w:num w:numId="14" w16cid:durableId="92676997">
    <w:abstractNumId w:val="17"/>
  </w:num>
  <w:num w:numId="15" w16cid:durableId="2077778532">
    <w:abstractNumId w:val="12"/>
  </w:num>
  <w:num w:numId="16" w16cid:durableId="1843810446">
    <w:abstractNumId w:val="15"/>
  </w:num>
  <w:num w:numId="17" w16cid:durableId="191308941">
    <w:abstractNumId w:val="14"/>
  </w:num>
  <w:num w:numId="18" w16cid:durableId="1953778710">
    <w:abstractNumId w:val="11"/>
  </w:num>
  <w:num w:numId="19" w16cid:durableId="1519074">
    <w:abstractNumId w:val="19"/>
  </w:num>
  <w:num w:numId="20" w16cid:durableId="1932859463">
    <w:abstractNumId w:val="10"/>
  </w:num>
  <w:num w:numId="21" w16cid:durableId="1443652464">
    <w:abstractNumId w:val="21"/>
  </w:num>
  <w:num w:numId="22" w16cid:durableId="15064827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C0"/>
    <w:rsid w:val="00016114"/>
    <w:rsid w:val="00024669"/>
    <w:rsid w:val="0003257F"/>
    <w:rsid w:val="00032829"/>
    <w:rsid w:val="00040561"/>
    <w:rsid w:val="000466F1"/>
    <w:rsid w:val="00056DCF"/>
    <w:rsid w:val="000606CD"/>
    <w:rsid w:val="00070937"/>
    <w:rsid w:val="00093503"/>
    <w:rsid w:val="000960E1"/>
    <w:rsid w:val="000A00D2"/>
    <w:rsid w:val="000B111C"/>
    <w:rsid w:val="000B7559"/>
    <w:rsid w:val="000C1B83"/>
    <w:rsid w:val="000D209C"/>
    <w:rsid w:val="000E0D15"/>
    <w:rsid w:val="000E4A58"/>
    <w:rsid w:val="000F4452"/>
    <w:rsid w:val="00105F31"/>
    <w:rsid w:val="0013658E"/>
    <w:rsid w:val="00142E1B"/>
    <w:rsid w:val="00151CEE"/>
    <w:rsid w:val="00155CCE"/>
    <w:rsid w:val="00156961"/>
    <w:rsid w:val="00162440"/>
    <w:rsid w:val="0016528B"/>
    <w:rsid w:val="00195183"/>
    <w:rsid w:val="001A2E82"/>
    <w:rsid w:val="001C0A56"/>
    <w:rsid w:val="001C6D4D"/>
    <w:rsid w:val="001E1FD0"/>
    <w:rsid w:val="001E291D"/>
    <w:rsid w:val="001E4E9F"/>
    <w:rsid w:val="001F1151"/>
    <w:rsid w:val="001F5AE5"/>
    <w:rsid w:val="00200EEF"/>
    <w:rsid w:val="002043BF"/>
    <w:rsid w:val="00217274"/>
    <w:rsid w:val="002217D4"/>
    <w:rsid w:val="00236552"/>
    <w:rsid w:val="00266214"/>
    <w:rsid w:val="00281BB1"/>
    <w:rsid w:val="00284A20"/>
    <w:rsid w:val="00290B1F"/>
    <w:rsid w:val="00297A73"/>
    <w:rsid w:val="002A7F81"/>
    <w:rsid w:val="002B38CE"/>
    <w:rsid w:val="002B430B"/>
    <w:rsid w:val="002E2F38"/>
    <w:rsid w:val="002E621E"/>
    <w:rsid w:val="002E655A"/>
    <w:rsid w:val="002F3DBC"/>
    <w:rsid w:val="003008AD"/>
    <w:rsid w:val="0030096D"/>
    <w:rsid w:val="0030268F"/>
    <w:rsid w:val="003148F9"/>
    <w:rsid w:val="00317618"/>
    <w:rsid w:val="003323EB"/>
    <w:rsid w:val="00346E3E"/>
    <w:rsid w:val="003537D4"/>
    <w:rsid w:val="00382914"/>
    <w:rsid w:val="00394726"/>
    <w:rsid w:val="003948A6"/>
    <w:rsid w:val="003A69EB"/>
    <w:rsid w:val="003C001B"/>
    <w:rsid w:val="003E00A5"/>
    <w:rsid w:val="003E1A57"/>
    <w:rsid w:val="003E610B"/>
    <w:rsid w:val="003F196D"/>
    <w:rsid w:val="003F5384"/>
    <w:rsid w:val="004073BC"/>
    <w:rsid w:val="004133B7"/>
    <w:rsid w:val="00432F51"/>
    <w:rsid w:val="004333C7"/>
    <w:rsid w:val="00444AA1"/>
    <w:rsid w:val="00460E89"/>
    <w:rsid w:val="00461558"/>
    <w:rsid w:val="00467B3E"/>
    <w:rsid w:val="00470A90"/>
    <w:rsid w:val="00485AC3"/>
    <w:rsid w:val="00496827"/>
    <w:rsid w:val="004A5A4D"/>
    <w:rsid w:val="004B3696"/>
    <w:rsid w:val="004B79BB"/>
    <w:rsid w:val="004B7A89"/>
    <w:rsid w:val="004D368C"/>
    <w:rsid w:val="004E1575"/>
    <w:rsid w:val="004F54CF"/>
    <w:rsid w:val="004F65F6"/>
    <w:rsid w:val="00517BB4"/>
    <w:rsid w:val="00517BDE"/>
    <w:rsid w:val="00551989"/>
    <w:rsid w:val="005563A5"/>
    <w:rsid w:val="005640BA"/>
    <w:rsid w:val="00587EA6"/>
    <w:rsid w:val="00595819"/>
    <w:rsid w:val="005A355E"/>
    <w:rsid w:val="005C1D58"/>
    <w:rsid w:val="005D1213"/>
    <w:rsid w:val="005D1840"/>
    <w:rsid w:val="005E3CCA"/>
    <w:rsid w:val="00622775"/>
    <w:rsid w:val="006243FF"/>
    <w:rsid w:val="00654DCB"/>
    <w:rsid w:val="0066035B"/>
    <w:rsid w:val="00660C79"/>
    <w:rsid w:val="00684F5A"/>
    <w:rsid w:val="00685600"/>
    <w:rsid w:val="00690415"/>
    <w:rsid w:val="006A6137"/>
    <w:rsid w:val="006D16CE"/>
    <w:rsid w:val="006D6771"/>
    <w:rsid w:val="006E3A7E"/>
    <w:rsid w:val="006F58FE"/>
    <w:rsid w:val="00725053"/>
    <w:rsid w:val="007404EA"/>
    <w:rsid w:val="00740729"/>
    <w:rsid w:val="00743F9A"/>
    <w:rsid w:val="00751749"/>
    <w:rsid w:val="00766DB0"/>
    <w:rsid w:val="00776453"/>
    <w:rsid w:val="00776D6A"/>
    <w:rsid w:val="007777DA"/>
    <w:rsid w:val="00794D5F"/>
    <w:rsid w:val="007A1EE4"/>
    <w:rsid w:val="007B667C"/>
    <w:rsid w:val="007C3F12"/>
    <w:rsid w:val="007D441B"/>
    <w:rsid w:val="007E4949"/>
    <w:rsid w:val="00801105"/>
    <w:rsid w:val="0080684F"/>
    <w:rsid w:val="00861B46"/>
    <w:rsid w:val="008A6EB7"/>
    <w:rsid w:val="008C1A73"/>
    <w:rsid w:val="008D113C"/>
    <w:rsid w:val="008D376F"/>
    <w:rsid w:val="008E14CB"/>
    <w:rsid w:val="008F78A0"/>
    <w:rsid w:val="00900A41"/>
    <w:rsid w:val="009119E7"/>
    <w:rsid w:val="00911B06"/>
    <w:rsid w:val="00912077"/>
    <w:rsid w:val="00913EE6"/>
    <w:rsid w:val="00917BB1"/>
    <w:rsid w:val="0094102A"/>
    <w:rsid w:val="0094621C"/>
    <w:rsid w:val="00955272"/>
    <w:rsid w:val="00975D21"/>
    <w:rsid w:val="00980531"/>
    <w:rsid w:val="0099486A"/>
    <w:rsid w:val="009A240D"/>
    <w:rsid w:val="009C5F29"/>
    <w:rsid w:val="009D2E3C"/>
    <w:rsid w:val="009E4D30"/>
    <w:rsid w:val="00A05C77"/>
    <w:rsid w:val="00A13326"/>
    <w:rsid w:val="00A15D92"/>
    <w:rsid w:val="00A31420"/>
    <w:rsid w:val="00A3540F"/>
    <w:rsid w:val="00A3675F"/>
    <w:rsid w:val="00A56DE0"/>
    <w:rsid w:val="00A60B0B"/>
    <w:rsid w:val="00A72A77"/>
    <w:rsid w:val="00A8465C"/>
    <w:rsid w:val="00A9349C"/>
    <w:rsid w:val="00AA49D2"/>
    <w:rsid w:val="00AB3A01"/>
    <w:rsid w:val="00AC1425"/>
    <w:rsid w:val="00AE068C"/>
    <w:rsid w:val="00AE32E1"/>
    <w:rsid w:val="00AE43E6"/>
    <w:rsid w:val="00B025DB"/>
    <w:rsid w:val="00B23328"/>
    <w:rsid w:val="00B3368A"/>
    <w:rsid w:val="00B46E48"/>
    <w:rsid w:val="00B54CF4"/>
    <w:rsid w:val="00B628C1"/>
    <w:rsid w:val="00B66238"/>
    <w:rsid w:val="00B770A2"/>
    <w:rsid w:val="00B816B3"/>
    <w:rsid w:val="00B82AA7"/>
    <w:rsid w:val="00BB5066"/>
    <w:rsid w:val="00BC2ABE"/>
    <w:rsid w:val="00BE0239"/>
    <w:rsid w:val="00BE11A8"/>
    <w:rsid w:val="00BE2613"/>
    <w:rsid w:val="00BF36F3"/>
    <w:rsid w:val="00C11FAC"/>
    <w:rsid w:val="00C22879"/>
    <w:rsid w:val="00C34273"/>
    <w:rsid w:val="00C35EC0"/>
    <w:rsid w:val="00C401A3"/>
    <w:rsid w:val="00C51C0E"/>
    <w:rsid w:val="00C569B9"/>
    <w:rsid w:val="00C76F04"/>
    <w:rsid w:val="00C82506"/>
    <w:rsid w:val="00C84D09"/>
    <w:rsid w:val="00C92A97"/>
    <w:rsid w:val="00C953B5"/>
    <w:rsid w:val="00CA4CB4"/>
    <w:rsid w:val="00CD6AC0"/>
    <w:rsid w:val="00CE4D72"/>
    <w:rsid w:val="00CF2908"/>
    <w:rsid w:val="00CF59BB"/>
    <w:rsid w:val="00CF7EFB"/>
    <w:rsid w:val="00D03C6F"/>
    <w:rsid w:val="00D06905"/>
    <w:rsid w:val="00D30573"/>
    <w:rsid w:val="00D35448"/>
    <w:rsid w:val="00D4441D"/>
    <w:rsid w:val="00D73987"/>
    <w:rsid w:val="00D759F5"/>
    <w:rsid w:val="00D846DB"/>
    <w:rsid w:val="00D87F14"/>
    <w:rsid w:val="00DC0DEE"/>
    <w:rsid w:val="00DC313D"/>
    <w:rsid w:val="00DC3C41"/>
    <w:rsid w:val="00DD649A"/>
    <w:rsid w:val="00DE3717"/>
    <w:rsid w:val="00DF0877"/>
    <w:rsid w:val="00E11A56"/>
    <w:rsid w:val="00E326A4"/>
    <w:rsid w:val="00E33150"/>
    <w:rsid w:val="00E373CE"/>
    <w:rsid w:val="00E4249D"/>
    <w:rsid w:val="00E45CBE"/>
    <w:rsid w:val="00E54654"/>
    <w:rsid w:val="00E67C75"/>
    <w:rsid w:val="00E733FC"/>
    <w:rsid w:val="00EA34ED"/>
    <w:rsid w:val="00EB6C3D"/>
    <w:rsid w:val="00EC1F6F"/>
    <w:rsid w:val="00EC6A73"/>
    <w:rsid w:val="00EE5965"/>
    <w:rsid w:val="00EF50F1"/>
    <w:rsid w:val="00F00033"/>
    <w:rsid w:val="00F07048"/>
    <w:rsid w:val="00F35A62"/>
    <w:rsid w:val="00F64E9E"/>
    <w:rsid w:val="00F72274"/>
    <w:rsid w:val="00F7634B"/>
    <w:rsid w:val="00F91215"/>
    <w:rsid w:val="00F9345F"/>
    <w:rsid w:val="00FC4EC9"/>
    <w:rsid w:val="00FE1324"/>
    <w:rsid w:val="00FF25B3"/>
    <w:rsid w:val="00FF5D5A"/>
    <w:rsid w:val="1D66B4A6"/>
    <w:rsid w:val="208CC894"/>
    <w:rsid w:val="64367E6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69BB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552"/>
    <w:pPr>
      <w:spacing w:line="360" w:lineRule="auto"/>
    </w:pPr>
    <w:rPr>
      <w:rFonts w:eastAsiaTheme="minorEastAsia"/>
    </w:rPr>
  </w:style>
  <w:style w:type="paragraph" w:styleId="Heading1">
    <w:name w:val="heading 1"/>
    <w:basedOn w:val="Normal"/>
    <w:next w:val="Normal"/>
    <w:link w:val="Heading1Char"/>
    <w:uiPriority w:val="9"/>
    <w:qFormat/>
    <w:rsid w:val="004133B7"/>
    <w:pPr>
      <w:keepNext/>
      <w:keepLines/>
      <w:spacing w:after="240" w:line="240" w:lineRule="auto"/>
      <w:outlineLvl w:val="0"/>
    </w:pPr>
    <w:rPr>
      <w:rFonts w:asciiTheme="majorHAnsi" w:eastAsiaTheme="majorEastAsia" w:hAnsiTheme="majorHAnsi" w:cstheme="majorBidi"/>
      <w:b/>
      <w:color w:val="016574" w:themeColor="accent2"/>
      <w:sz w:val="40"/>
      <w:szCs w:val="32"/>
    </w:rPr>
  </w:style>
  <w:style w:type="paragraph" w:styleId="Heading2">
    <w:name w:val="heading 2"/>
    <w:basedOn w:val="Normal"/>
    <w:next w:val="Normal"/>
    <w:link w:val="Heading2Char"/>
    <w:uiPriority w:val="9"/>
    <w:unhideWhenUsed/>
    <w:qFormat/>
    <w:rsid w:val="004133B7"/>
    <w:pPr>
      <w:keepNext/>
      <w:keepLines/>
      <w:spacing w:after="240" w:line="240" w:lineRule="auto"/>
      <w:outlineLvl w:val="1"/>
    </w:pPr>
    <w:rPr>
      <w:rFonts w:asciiTheme="majorHAnsi" w:eastAsiaTheme="majorEastAsia" w:hAnsiTheme="majorHAnsi" w:cstheme="majorBidi"/>
      <w:b/>
      <w:color w:val="016574" w:themeColor="accent2"/>
      <w:sz w:val="32"/>
      <w:szCs w:val="26"/>
    </w:rPr>
  </w:style>
  <w:style w:type="paragraph" w:styleId="Heading3">
    <w:name w:val="heading 3"/>
    <w:basedOn w:val="Normal"/>
    <w:next w:val="Normal"/>
    <w:link w:val="Heading3Char"/>
    <w:uiPriority w:val="9"/>
    <w:unhideWhenUsed/>
    <w:qFormat/>
    <w:rsid w:val="004133B7"/>
    <w:pPr>
      <w:keepNext/>
      <w:keepLines/>
      <w:spacing w:after="240" w:line="240" w:lineRule="auto"/>
      <w:outlineLvl w:val="2"/>
    </w:pPr>
    <w:rPr>
      <w:rFonts w:asciiTheme="majorHAnsi" w:eastAsiaTheme="majorEastAsia" w:hAnsiTheme="majorHAnsi" w:cstheme="majorBidi"/>
      <w:b/>
      <w:sz w:val="28"/>
    </w:rPr>
  </w:style>
  <w:style w:type="paragraph" w:styleId="Heading4">
    <w:name w:val="heading 4"/>
    <w:basedOn w:val="Normal"/>
    <w:next w:val="Normal"/>
    <w:link w:val="Heading4Char"/>
    <w:uiPriority w:val="9"/>
    <w:unhideWhenUsed/>
    <w:qFormat/>
    <w:rsid w:val="004133B7"/>
    <w:pPr>
      <w:keepNext/>
      <w:keepLines/>
      <w:spacing w:after="240" w:line="240" w:lineRule="auto"/>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semiHidden/>
    <w:unhideWhenUsed/>
    <w:qFormat/>
    <w:rsid w:val="00105F31"/>
    <w:pPr>
      <w:keepNext/>
      <w:keepLines/>
      <w:spacing w:before="40"/>
      <w:outlineLvl w:val="4"/>
    </w:pPr>
    <w:rPr>
      <w:rFonts w:asciiTheme="majorHAnsi" w:eastAsiaTheme="majorEastAsia" w:hAnsiTheme="majorHAnsi" w:cstheme="majorBidi"/>
      <w:color w:val="004B5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Orangetable">
    <w:name w:val="Orange table"/>
    <w:basedOn w:val="TableNormal"/>
    <w:uiPriority w:val="99"/>
    <w:rsid w:val="00444AA1"/>
    <w:rPr>
      <w:rFonts w:ascii="Verdana" w:eastAsia="Times New Roman" w:hAnsi="Verdana" w:cs="Times New Roman"/>
      <w:sz w:val="20"/>
      <w:szCs w:val="20"/>
    </w:rPr>
    <w:tblPr>
      <w:tblStyleRowBandSize w:val="1"/>
    </w:tblPr>
    <w:tcPr>
      <w:shd w:val="clear" w:color="auto" w:fill="016574" w:themeFill="accent1"/>
    </w:tcPr>
    <w:tblStylePr w:type="firstRow">
      <w:rPr>
        <w:rFonts w:ascii="Verdana" w:hAnsi="Verdana"/>
        <w:b w:val="0"/>
        <w:i w:val="0"/>
        <w:color w:val="FFFFFF" w:themeColor="background1"/>
        <w:sz w:val="20"/>
        <w:u w:color="FFFFFF" w:themeColor="background1"/>
      </w:rPr>
    </w:tblStylePr>
    <w:tblStylePr w:type="band1Horz">
      <w:rPr>
        <w:color w:val="767171" w:themeColor="background2" w:themeShade="80"/>
        <w:sz w:val="20"/>
      </w:rPr>
      <w:tblPr/>
      <w:tcPr>
        <w:shd w:val="clear" w:color="auto" w:fill="D0CECE" w:themeFill="background2" w:themeFillShade="E6"/>
      </w:tcPr>
    </w:tblStylePr>
    <w:tblStylePr w:type="band2Horz">
      <w:rPr>
        <w:color w:val="3B3838" w:themeColor="background2" w:themeShade="40"/>
      </w:rPr>
      <w:tblPr/>
      <w:tcPr>
        <w:shd w:val="clear" w:color="auto" w:fill="FFFFFF" w:themeFill="background1"/>
      </w:tcPr>
    </w:tblStylePr>
  </w:style>
  <w:style w:type="character" w:customStyle="1" w:styleId="Heading1Char">
    <w:name w:val="Heading 1 Char"/>
    <w:basedOn w:val="DefaultParagraphFont"/>
    <w:link w:val="Heading1"/>
    <w:uiPriority w:val="9"/>
    <w:rsid w:val="004133B7"/>
    <w:rPr>
      <w:rFonts w:asciiTheme="majorHAnsi" w:eastAsiaTheme="majorEastAsia" w:hAnsiTheme="majorHAnsi" w:cstheme="majorBidi"/>
      <w:b/>
      <w:color w:val="016574" w:themeColor="accent2"/>
      <w:sz w:val="40"/>
      <w:szCs w:val="32"/>
    </w:rPr>
  </w:style>
  <w:style w:type="character" w:customStyle="1" w:styleId="Heading2Char">
    <w:name w:val="Heading 2 Char"/>
    <w:basedOn w:val="DefaultParagraphFont"/>
    <w:link w:val="Heading2"/>
    <w:uiPriority w:val="9"/>
    <w:rsid w:val="004133B7"/>
    <w:rPr>
      <w:rFonts w:asciiTheme="majorHAnsi" w:eastAsiaTheme="majorEastAsia" w:hAnsiTheme="majorHAnsi" w:cstheme="majorBidi"/>
      <w:b/>
      <w:color w:val="016574" w:themeColor="accent2"/>
      <w:sz w:val="32"/>
      <w:szCs w:val="26"/>
    </w:rPr>
  </w:style>
  <w:style w:type="character" w:customStyle="1" w:styleId="Heading3Char">
    <w:name w:val="Heading 3 Char"/>
    <w:basedOn w:val="DefaultParagraphFont"/>
    <w:link w:val="Heading3"/>
    <w:uiPriority w:val="9"/>
    <w:rsid w:val="004133B7"/>
    <w:rPr>
      <w:rFonts w:asciiTheme="majorHAnsi" w:eastAsiaTheme="majorEastAsia" w:hAnsiTheme="majorHAnsi" w:cstheme="majorBidi"/>
      <w:b/>
      <w:sz w:val="28"/>
    </w:rPr>
  </w:style>
  <w:style w:type="character" w:customStyle="1" w:styleId="Heading4Char">
    <w:name w:val="Heading 4 Char"/>
    <w:basedOn w:val="DefaultParagraphFont"/>
    <w:link w:val="Heading4"/>
    <w:uiPriority w:val="9"/>
    <w:rsid w:val="004133B7"/>
    <w:rPr>
      <w:rFonts w:asciiTheme="majorHAnsi" w:eastAsiaTheme="majorEastAsia" w:hAnsiTheme="majorHAnsi" w:cstheme="majorBidi"/>
      <w:b/>
      <w:iCs/>
    </w:rPr>
  </w:style>
  <w:style w:type="paragraph" w:customStyle="1" w:styleId="BodyText1">
    <w:name w:val="Body Text1"/>
    <w:basedOn w:val="Normal"/>
    <w:qFormat/>
    <w:rsid w:val="000B111C"/>
    <w:pPr>
      <w:numPr>
        <w:ilvl w:val="1"/>
        <w:numId w:val="14"/>
      </w:numPr>
      <w:spacing w:after="240"/>
      <w:ind w:left="567"/>
    </w:pPr>
  </w:style>
  <w:style w:type="character" w:customStyle="1" w:styleId="Heading5Char">
    <w:name w:val="Heading 5 Char"/>
    <w:basedOn w:val="DefaultParagraphFont"/>
    <w:link w:val="Heading5"/>
    <w:uiPriority w:val="9"/>
    <w:semiHidden/>
    <w:rsid w:val="00105F31"/>
    <w:rPr>
      <w:rFonts w:asciiTheme="majorHAnsi" w:eastAsiaTheme="majorEastAsia" w:hAnsiTheme="majorHAnsi" w:cstheme="majorBidi"/>
      <w:color w:val="004B56" w:themeColor="accent1" w:themeShade="BF"/>
    </w:rPr>
  </w:style>
  <w:style w:type="paragraph" w:styleId="NoSpacing">
    <w:name w:val="No Spacing"/>
    <w:link w:val="NoSpacingChar"/>
    <w:uiPriority w:val="1"/>
    <w:qFormat/>
    <w:rsid w:val="00980531"/>
    <w:rPr>
      <w:rFonts w:eastAsiaTheme="minorEastAsia"/>
      <w:sz w:val="22"/>
      <w:szCs w:val="22"/>
      <w:lang w:val="en-US" w:eastAsia="zh-CN"/>
    </w:rPr>
  </w:style>
  <w:style w:type="character" w:customStyle="1" w:styleId="NoSpacingChar">
    <w:name w:val="No Spacing Char"/>
    <w:basedOn w:val="DefaultParagraphFont"/>
    <w:link w:val="NoSpacing"/>
    <w:uiPriority w:val="1"/>
    <w:rsid w:val="00980531"/>
    <w:rPr>
      <w:rFonts w:eastAsiaTheme="minorEastAsia"/>
      <w:sz w:val="22"/>
      <w:szCs w:val="22"/>
      <w:lang w:val="en-US" w:eastAsia="zh-CN"/>
    </w:rPr>
  </w:style>
  <w:style w:type="paragraph" w:styleId="Header">
    <w:name w:val="header"/>
    <w:basedOn w:val="Normal"/>
    <w:link w:val="HeaderChar"/>
    <w:uiPriority w:val="99"/>
    <w:unhideWhenUsed/>
    <w:rsid w:val="00660C79"/>
    <w:pPr>
      <w:tabs>
        <w:tab w:val="center" w:pos="4513"/>
        <w:tab w:val="right" w:pos="9026"/>
      </w:tabs>
      <w:spacing w:line="240" w:lineRule="auto"/>
    </w:pPr>
  </w:style>
  <w:style w:type="character" w:customStyle="1" w:styleId="HeaderChar">
    <w:name w:val="Header Char"/>
    <w:basedOn w:val="DefaultParagraphFont"/>
    <w:link w:val="Header"/>
    <w:uiPriority w:val="99"/>
    <w:rsid w:val="00660C79"/>
    <w:rPr>
      <w:rFonts w:eastAsiaTheme="minorEastAsia"/>
    </w:rPr>
  </w:style>
  <w:style w:type="paragraph" w:styleId="Footer">
    <w:name w:val="footer"/>
    <w:basedOn w:val="Normal"/>
    <w:link w:val="FooterChar"/>
    <w:uiPriority w:val="99"/>
    <w:unhideWhenUsed/>
    <w:rsid w:val="00660C79"/>
    <w:pPr>
      <w:tabs>
        <w:tab w:val="center" w:pos="4513"/>
        <w:tab w:val="right" w:pos="9026"/>
      </w:tabs>
      <w:spacing w:line="240" w:lineRule="auto"/>
    </w:pPr>
  </w:style>
  <w:style w:type="character" w:customStyle="1" w:styleId="FooterChar">
    <w:name w:val="Footer Char"/>
    <w:basedOn w:val="DefaultParagraphFont"/>
    <w:link w:val="Footer"/>
    <w:uiPriority w:val="99"/>
    <w:rsid w:val="00660C79"/>
    <w:rPr>
      <w:rFonts w:eastAsiaTheme="minorEastAsia"/>
    </w:rPr>
  </w:style>
  <w:style w:type="character" w:styleId="PageNumber">
    <w:name w:val="page number"/>
    <w:basedOn w:val="DefaultParagraphFont"/>
    <w:uiPriority w:val="99"/>
    <w:semiHidden/>
    <w:unhideWhenUsed/>
    <w:rsid w:val="00917BB1"/>
  </w:style>
  <w:style w:type="character" w:styleId="Hyperlink">
    <w:name w:val="Hyperlink"/>
    <w:basedOn w:val="DefaultParagraphFont"/>
    <w:uiPriority w:val="99"/>
    <w:unhideWhenUsed/>
    <w:rsid w:val="00B54CF4"/>
    <w:rPr>
      <w:color w:val="016574" w:themeColor="hyperlink"/>
      <w:u w:val="single"/>
    </w:rPr>
  </w:style>
  <w:style w:type="character" w:styleId="UnresolvedMention">
    <w:name w:val="Unresolved Mention"/>
    <w:basedOn w:val="DefaultParagraphFont"/>
    <w:uiPriority w:val="99"/>
    <w:semiHidden/>
    <w:unhideWhenUsed/>
    <w:rsid w:val="00B54CF4"/>
    <w:rPr>
      <w:color w:val="605E5C"/>
      <w:shd w:val="clear" w:color="auto" w:fill="E1DFDD"/>
    </w:rPr>
  </w:style>
  <w:style w:type="paragraph" w:styleId="Revision">
    <w:name w:val="Revision"/>
    <w:hidden/>
    <w:uiPriority w:val="99"/>
    <w:semiHidden/>
    <w:rsid w:val="00317618"/>
    <w:rPr>
      <w:rFonts w:eastAsiaTheme="minorEastAsia"/>
    </w:rPr>
  </w:style>
  <w:style w:type="paragraph" w:styleId="NormalWeb">
    <w:name w:val="Normal (Web)"/>
    <w:basedOn w:val="Normal"/>
    <w:uiPriority w:val="99"/>
    <w:semiHidden/>
    <w:unhideWhenUsed/>
    <w:rsid w:val="004E1575"/>
    <w:pPr>
      <w:spacing w:before="100" w:beforeAutospacing="1" w:after="100" w:afterAutospacing="1" w:line="240" w:lineRule="auto"/>
    </w:pPr>
    <w:rPr>
      <w:rFonts w:ascii="Times New Roman" w:eastAsia="Times New Roman" w:hAnsi="Times New Roman" w:cs="Times New Roman"/>
      <w:lang w:eastAsia="en-GB"/>
    </w:rPr>
  </w:style>
  <w:style w:type="paragraph" w:styleId="ListParagraph">
    <w:name w:val="List Paragraph"/>
    <w:basedOn w:val="Normal"/>
    <w:uiPriority w:val="34"/>
    <w:qFormat/>
    <w:rsid w:val="008F78A0"/>
    <w:pPr>
      <w:overflowPunct w:val="0"/>
      <w:autoSpaceDE w:val="0"/>
      <w:autoSpaceDN w:val="0"/>
      <w:adjustRightInd w:val="0"/>
      <w:spacing w:after="200"/>
      <w:ind w:left="720"/>
      <w:contextualSpacing/>
      <w:textAlignment w:val="baseline"/>
    </w:pPr>
    <w:rPr>
      <w:rFonts w:ascii="Arial" w:eastAsia="Times New Roman" w:hAnsi="Arial" w:cs="Times New Roman"/>
      <w:szCs w:val="20"/>
    </w:rPr>
  </w:style>
  <w:style w:type="table" w:styleId="TableGrid">
    <w:name w:val="Table Grid"/>
    <w:aliases w:val="Table-Simple"/>
    <w:basedOn w:val="TableNormal"/>
    <w:uiPriority w:val="59"/>
    <w:rsid w:val="008F78A0"/>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F78A0"/>
    <w:pPr>
      <w:overflowPunct w:val="0"/>
      <w:autoSpaceDE w:val="0"/>
      <w:autoSpaceDN w:val="0"/>
      <w:adjustRightInd w:val="0"/>
      <w:spacing w:line="240" w:lineRule="auto"/>
      <w:textAlignment w:val="baseline"/>
    </w:pPr>
    <w:rPr>
      <w:rFonts w:ascii="Arial" w:eastAsia="Times New Roman" w:hAnsi="Arial" w:cs="Times New Roman"/>
      <w:sz w:val="20"/>
      <w:szCs w:val="20"/>
    </w:rPr>
  </w:style>
  <w:style w:type="character" w:customStyle="1" w:styleId="FootnoteTextChar">
    <w:name w:val="Footnote Text Char"/>
    <w:basedOn w:val="DefaultParagraphFont"/>
    <w:link w:val="FootnoteText"/>
    <w:uiPriority w:val="99"/>
    <w:semiHidden/>
    <w:rsid w:val="008F78A0"/>
    <w:rPr>
      <w:rFonts w:ascii="Arial" w:eastAsia="Times New Roman" w:hAnsi="Arial" w:cs="Times New Roman"/>
      <w:sz w:val="20"/>
      <w:szCs w:val="20"/>
    </w:rPr>
  </w:style>
  <w:style w:type="character" w:styleId="FootnoteReference">
    <w:name w:val="footnote reference"/>
    <w:basedOn w:val="DefaultParagraphFont"/>
    <w:uiPriority w:val="99"/>
    <w:semiHidden/>
    <w:unhideWhenUsed/>
    <w:rsid w:val="008F78A0"/>
    <w:rPr>
      <w:vertAlign w:val="superscript"/>
    </w:rPr>
  </w:style>
  <w:style w:type="character" w:styleId="CommentReference">
    <w:name w:val="annotation reference"/>
    <w:basedOn w:val="DefaultParagraphFont"/>
    <w:uiPriority w:val="99"/>
    <w:semiHidden/>
    <w:unhideWhenUsed/>
    <w:rsid w:val="008F78A0"/>
    <w:rPr>
      <w:sz w:val="16"/>
      <w:szCs w:val="16"/>
    </w:rPr>
  </w:style>
  <w:style w:type="paragraph" w:styleId="CommentText">
    <w:name w:val="annotation text"/>
    <w:basedOn w:val="Normal"/>
    <w:link w:val="CommentTextChar"/>
    <w:uiPriority w:val="99"/>
    <w:unhideWhenUsed/>
    <w:rsid w:val="008F78A0"/>
    <w:pPr>
      <w:spacing w:line="240" w:lineRule="auto"/>
    </w:pPr>
    <w:rPr>
      <w:rFonts w:eastAsiaTheme="minorHAnsi"/>
      <w:sz w:val="20"/>
      <w:szCs w:val="20"/>
    </w:rPr>
  </w:style>
  <w:style w:type="character" w:customStyle="1" w:styleId="CommentTextChar">
    <w:name w:val="Comment Text Char"/>
    <w:basedOn w:val="DefaultParagraphFont"/>
    <w:link w:val="CommentText"/>
    <w:uiPriority w:val="99"/>
    <w:rsid w:val="008F78A0"/>
    <w:rPr>
      <w:sz w:val="20"/>
      <w:szCs w:val="20"/>
    </w:rPr>
  </w:style>
  <w:style w:type="character" w:styleId="FollowedHyperlink">
    <w:name w:val="FollowedHyperlink"/>
    <w:basedOn w:val="DefaultParagraphFont"/>
    <w:uiPriority w:val="99"/>
    <w:semiHidden/>
    <w:unhideWhenUsed/>
    <w:rsid w:val="008F78A0"/>
    <w:rPr>
      <w:color w:val="016574" w:themeColor="followedHyperlink"/>
      <w:u w:val="single"/>
    </w:rPr>
  </w:style>
  <w:style w:type="paragraph" w:styleId="CommentSubject">
    <w:name w:val="annotation subject"/>
    <w:basedOn w:val="CommentText"/>
    <w:next w:val="CommentText"/>
    <w:link w:val="CommentSubjectChar"/>
    <w:uiPriority w:val="99"/>
    <w:semiHidden/>
    <w:unhideWhenUsed/>
    <w:rsid w:val="002F3DBC"/>
    <w:rPr>
      <w:rFonts w:eastAsiaTheme="minorEastAsia"/>
      <w:b/>
      <w:bCs/>
    </w:rPr>
  </w:style>
  <w:style w:type="character" w:customStyle="1" w:styleId="CommentSubjectChar">
    <w:name w:val="Comment Subject Char"/>
    <w:basedOn w:val="CommentTextChar"/>
    <w:link w:val="CommentSubject"/>
    <w:uiPriority w:val="99"/>
    <w:semiHidden/>
    <w:rsid w:val="002F3DBC"/>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312368">
      <w:bodyDiv w:val="1"/>
      <w:marLeft w:val="0"/>
      <w:marRight w:val="0"/>
      <w:marTop w:val="0"/>
      <w:marBottom w:val="0"/>
      <w:divBdr>
        <w:top w:val="none" w:sz="0" w:space="0" w:color="auto"/>
        <w:left w:val="none" w:sz="0" w:space="0" w:color="auto"/>
        <w:bottom w:val="none" w:sz="0" w:space="0" w:color="auto"/>
        <w:right w:val="none" w:sz="0" w:space="0" w:color="auto"/>
      </w:divBdr>
    </w:div>
    <w:div w:id="1054086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sepa.org.uk/media/vaxnwum2/macs-ffa-ps-01-v2.pdf" TargetMode="External"/><Relationship Id="rId18" Type="http://schemas.openxmlformats.org/officeDocument/2006/relationships/hyperlink" Target="https://github.com/aquaMetrics/kraken"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yperlink" Target="https://github.com/SAMS-UK/eDNA2IQI"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doi.org/10.1093/nar/gks80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epa.org.uk/media/vaxnwum2/macs-ffa-ps-01-v2.pdf"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www.qiagen.com/gb/resources/resourcedetail?id=8ba278a1-2b94-4d79-942b-19310489f09f&amp;lang=en" TargetMode="External"/><Relationship Id="rId23" Type="http://schemas.openxmlformats.org/officeDocument/2006/relationships/footer" Target="footer2.xml"/><Relationship Id="rId10" Type="http://schemas.openxmlformats.org/officeDocument/2006/relationships/hyperlink" Target="https://www.sepa.org.uk/media/594223/seabed-mixing-zone-limit_compliance-assessment-method.pdf" TargetMode="External"/><Relationship Id="rId19" Type="http://schemas.openxmlformats.org/officeDocument/2006/relationships/hyperlink" Target="mailto:equalities@sepa.org.uk"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qiagen.com/us/resources/resourcedetail?id=9bb59b74-e493-4aeb-b6c1-f660852e8d97&amp;lang=en" TargetMode="External"/><Relationship Id="rId22" Type="http://schemas.openxmlformats.org/officeDocument/2006/relationships/footer" Target="footer1.xm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Custom 1">
      <a:dk1>
        <a:srgbClr val="3C4741"/>
      </a:dk1>
      <a:lt1>
        <a:srgbClr val="FFFFFF"/>
      </a:lt1>
      <a:dk2>
        <a:srgbClr val="6E7571"/>
      </a:dk2>
      <a:lt2>
        <a:srgbClr val="E7E6E6"/>
      </a:lt2>
      <a:accent1>
        <a:srgbClr val="016574"/>
      </a:accent1>
      <a:accent2>
        <a:srgbClr val="016574"/>
      </a:accent2>
      <a:accent3>
        <a:srgbClr val="016574"/>
      </a:accent3>
      <a:accent4>
        <a:srgbClr val="016574"/>
      </a:accent4>
      <a:accent5>
        <a:srgbClr val="016574"/>
      </a:accent5>
      <a:accent6>
        <a:srgbClr val="016574"/>
      </a:accent6>
      <a:hlink>
        <a:srgbClr val="016574"/>
      </a:hlink>
      <a:folHlink>
        <a:srgbClr val="01657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7F31A-B833-E843-8908-CCA74EDF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2146</Words>
  <Characters>12236</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14354</CharactersWithSpaces>
  <SharedDoc>false</SharedDoc>
  <HLinks>
    <vt:vector size="60" baseType="variant">
      <vt:variant>
        <vt:i4>3539032</vt:i4>
      </vt:variant>
      <vt:variant>
        <vt:i4>27</vt:i4>
      </vt:variant>
      <vt:variant>
        <vt:i4>0</vt:i4>
      </vt:variant>
      <vt:variant>
        <vt:i4>5</vt:i4>
      </vt:variant>
      <vt:variant>
        <vt:lpwstr>mailto:equalities@sepa.org.uk</vt:lpwstr>
      </vt:variant>
      <vt:variant>
        <vt:lpwstr/>
      </vt:variant>
      <vt:variant>
        <vt:i4>7733315</vt:i4>
      </vt:variant>
      <vt:variant>
        <vt:i4>24</vt:i4>
      </vt:variant>
      <vt:variant>
        <vt:i4>0</vt:i4>
      </vt:variant>
      <vt:variant>
        <vt:i4>5</vt:i4>
      </vt:variant>
      <vt:variant>
        <vt:lpwstr/>
      </vt:variant>
      <vt:variant>
        <vt:lpwstr>_Bioinformatics</vt:lpwstr>
      </vt:variant>
      <vt:variant>
        <vt:i4>262170</vt:i4>
      </vt:variant>
      <vt:variant>
        <vt:i4>21</vt:i4>
      </vt:variant>
      <vt:variant>
        <vt:i4>0</vt:i4>
      </vt:variant>
      <vt:variant>
        <vt:i4>5</vt:i4>
      </vt:variant>
      <vt:variant>
        <vt:lpwstr>https://github.com/aquaMetrics/kraken</vt:lpwstr>
      </vt:variant>
      <vt:variant>
        <vt:lpwstr/>
      </vt:variant>
      <vt:variant>
        <vt:i4>7077996</vt:i4>
      </vt:variant>
      <vt:variant>
        <vt:i4>18</vt:i4>
      </vt:variant>
      <vt:variant>
        <vt:i4>0</vt:i4>
      </vt:variant>
      <vt:variant>
        <vt:i4>5</vt:i4>
      </vt:variant>
      <vt:variant>
        <vt:lpwstr>https://github.com/SAMS-UK/eDNA2IQI</vt:lpwstr>
      </vt:variant>
      <vt:variant>
        <vt:lpwstr/>
      </vt:variant>
      <vt:variant>
        <vt:i4>4128865</vt:i4>
      </vt:variant>
      <vt:variant>
        <vt:i4>15</vt:i4>
      </vt:variant>
      <vt:variant>
        <vt:i4>0</vt:i4>
      </vt:variant>
      <vt:variant>
        <vt:i4>5</vt:i4>
      </vt:variant>
      <vt:variant>
        <vt:lpwstr>https://doi.org/10.1093/nar/gks808</vt:lpwstr>
      </vt:variant>
      <vt:variant>
        <vt:lpwstr/>
      </vt:variant>
      <vt:variant>
        <vt:i4>8061044</vt:i4>
      </vt:variant>
      <vt:variant>
        <vt:i4>12</vt:i4>
      </vt:variant>
      <vt:variant>
        <vt:i4>0</vt:i4>
      </vt:variant>
      <vt:variant>
        <vt:i4>5</vt:i4>
      </vt:variant>
      <vt:variant>
        <vt:lpwstr>https://www.qiagen.com/gb/resources/resourcedetail?id=8ba278a1-2b94-4d79-942b-19310489f09f&amp;lang=en</vt:lpwstr>
      </vt:variant>
      <vt:variant>
        <vt:lpwstr/>
      </vt:variant>
      <vt:variant>
        <vt:i4>6553699</vt:i4>
      </vt:variant>
      <vt:variant>
        <vt:i4>9</vt:i4>
      </vt:variant>
      <vt:variant>
        <vt:i4>0</vt:i4>
      </vt:variant>
      <vt:variant>
        <vt:i4>5</vt:i4>
      </vt:variant>
      <vt:variant>
        <vt:lpwstr>https://www.qiagen.com/us/resources/resourcedetail?id=9bb59b74-e493-4aeb-b6c1-f660852e8d97&amp;lang=en</vt:lpwstr>
      </vt:variant>
      <vt:variant>
        <vt:lpwstr/>
      </vt:variant>
      <vt:variant>
        <vt:i4>5701708</vt:i4>
      </vt:variant>
      <vt:variant>
        <vt:i4>6</vt:i4>
      </vt:variant>
      <vt:variant>
        <vt:i4>0</vt:i4>
      </vt:variant>
      <vt:variant>
        <vt:i4>5</vt:i4>
      </vt:variant>
      <vt:variant>
        <vt:lpwstr>https://www.sepa.org.uk/media/vaxnwum2/macs-ffa-ps-01-v2.pdf</vt:lpwstr>
      </vt:variant>
      <vt:variant>
        <vt:lpwstr/>
      </vt:variant>
      <vt:variant>
        <vt:i4>5701708</vt:i4>
      </vt:variant>
      <vt:variant>
        <vt:i4>3</vt:i4>
      </vt:variant>
      <vt:variant>
        <vt:i4>0</vt:i4>
      </vt:variant>
      <vt:variant>
        <vt:i4>5</vt:i4>
      </vt:variant>
      <vt:variant>
        <vt:lpwstr>https://www.sepa.org.uk/media/vaxnwum2/macs-ffa-ps-01-v2.pdf</vt:lpwstr>
      </vt:variant>
      <vt:variant>
        <vt:lpwstr/>
      </vt:variant>
      <vt:variant>
        <vt:i4>1245281</vt:i4>
      </vt:variant>
      <vt:variant>
        <vt:i4>0</vt:i4>
      </vt:variant>
      <vt:variant>
        <vt:i4>0</vt:i4>
      </vt:variant>
      <vt:variant>
        <vt:i4>5</vt:i4>
      </vt:variant>
      <vt:variant>
        <vt:lpwstr>https://www.sepa.org.uk/media/594223/seabed-mixing-zone-limit_compliance-assessment-method.pdf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2026-09-18T10:44:00Z</dcterms:created>
  <dcterms:modified xsi:type="dcterms:W3CDTF">2026-09-23T14:41:00Z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7b664a6f,67acf4fc,3350d363</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3fc16b26,3738357,4af9cdf6</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2026-09-21T09:53:07Z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a761c76b-d535-4153-bf86-44a4647bbd1a</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