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05C9F7F1" w14:textId="77777777" w:rsidR="00ED3EE7" w:rsidRDefault="00CF7EFB" w:rsidP="00ED3EE7">
          <w:r>
            <w:rPr>
              <w:noProof/>
            </w:rPr>
            <w:drawing>
              <wp:inline distT="0" distB="0" distL="0" distR="0" wp14:anchorId="4BF77315" wp14:editId="6F06BB4D">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7CB5F301" w14:textId="185ABEE2" w:rsidR="000115AF" w:rsidRDefault="000115AF" w:rsidP="00760F9A">
          <w:pPr>
            <w:pStyle w:val="Reportheader"/>
            <w:rPr>
              <w:rFonts w:ascii="Arial" w:hAnsi="Arial" w:cs="Arial"/>
            </w:rPr>
          </w:pPr>
          <w:r>
            <w:rPr>
              <w:rFonts w:ascii="Arial" w:hAnsi="Arial" w:cs="Arial"/>
            </w:rPr>
            <w:t>WAT-PS-001</w:t>
          </w:r>
        </w:p>
        <w:p w14:paraId="2B86F12A" w14:textId="1BD60621" w:rsidR="00ED3EE7" w:rsidRPr="00E245AC" w:rsidRDefault="00723CDA" w:rsidP="00760F9A">
          <w:pPr>
            <w:pStyle w:val="Reportheader"/>
            <w:rPr>
              <w:rFonts w:ascii="Arial" w:hAnsi="Arial" w:cs="Arial"/>
            </w:rPr>
          </w:pPr>
          <w:r w:rsidRPr="00A529B3">
            <w:rPr>
              <w:rFonts w:ascii="Arial" w:hAnsi="Arial" w:cs="Arial"/>
            </w:rPr>
            <w:t xml:space="preserve">Temporary regulatory </w:t>
          </w:r>
          <w:r>
            <w:rPr>
              <w:rFonts w:ascii="Arial" w:hAnsi="Arial" w:cs="Arial"/>
            </w:rPr>
            <w:t>p</w:t>
          </w:r>
          <w:r w:rsidRPr="00A529B3">
            <w:rPr>
              <w:rFonts w:ascii="Arial" w:hAnsi="Arial" w:cs="Arial"/>
            </w:rPr>
            <w:t xml:space="preserve">osition </w:t>
          </w:r>
          <w:r>
            <w:rPr>
              <w:rFonts w:ascii="Arial" w:hAnsi="Arial" w:cs="Arial"/>
            </w:rPr>
            <w:t>s</w:t>
          </w:r>
          <w:r w:rsidRPr="00A529B3">
            <w:rPr>
              <w:rFonts w:ascii="Arial" w:hAnsi="Arial" w:cs="Arial"/>
            </w:rPr>
            <w:t>tatement in relation to the application of slurry using precision equipment</w:t>
          </w:r>
        </w:p>
        <w:p w14:paraId="72DE9DB7" w14:textId="7280EB43" w:rsidR="00ED3EE7" w:rsidRDefault="00433F7F" w:rsidP="00ED3EE7">
          <w:pPr>
            <w:pStyle w:val="Heading2"/>
          </w:pPr>
          <w:r>
            <w:t>December 2025</w:t>
          </w:r>
        </w:p>
        <w:p w14:paraId="61555DEE" w14:textId="77777777" w:rsidR="00ED3EE7" w:rsidRDefault="00ED3EE7" w:rsidP="00ED3EE7">
          <w:pPr>
            <w:pStyle w:val="Footer"/>
            <w:ind w:right="360"/>
          </w:pPr>
          <w:r>
            <w:rPr>
              <w:noProof/>
            </w:rPr>
            <mc:AlternateContent>
              <mc:Choice Requires="wps">
                <w:drawing>
                  <wp:anchor distT="0" distB="0" distL="114300" distR="114300" simplePos="0" relativeHeight="251668480" behindDoc="0" locked="0" layoutInCell="1" allowOverlap="1" wp14:anchorId="704C6E88" wp14:editId="3F395776">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1870D8" id="Straight Connector 12"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16E99F19" w14:textId="46D5190F" w:rsidR="0096745E" w:rsidRPr="00723CDA" w:rsidRDefault="00723CDA" w:rsidP="00723CDA">
          <w:pPr>
            <w:pStyle w:val="Heading2"/>
            <w:rPr>
              <w:rFonts w:eastAsia="Times New Roman"/>
            </w:rPr>
          </w:pPr>
          <w:r>
            <w:rPr>
              <w:rFonts w:eastAsia="Times New Roman"/>
            </w:rPr>
            <w:t>1.</w:t>
          </w:r>
          <w:r>
            <w:rPr>
              <w:rFonts w:eastAsia="Times New Roman"/>
            </w:rPr>
            <w:tab/>
          </w:r>
          <w:r w:rsidRPr="00723CDA">
            <w:rPr>
              <w:rFonts w:eastAsia="Times New Roman"/>
            </w:rPr>
            <w:t>Background</w:t>
          </w:r>
        </w:p>
        <w:p w14:paraId="4878C4B4" w14:textId="3DF18057" w:rsidR="00723CDA" w:rsidRPr="00536CF2" w:rsidRDefault="00723CDA" w:rsidP="00723CDA">
          <w:pPr>
            <w:pStyle w:val="BodyText1"/>
            <w:ind w:left="720" w:hanging="720"/>
            <w:rPr>
              <w:rStyle w:val="normaltextrun"/>
              <w:rFonts w:ascii="Segoe UI" w:hAnsi="Segoe UI" w:cs="Segoe UI"/>
              <w:sz w:val="18"/>
              <w:szCs w:val="18"/>
            </w:rPr>
          </w:pPr>
          <w:r>
            <w:t>1.1</w:t>
          </w:r>
          <w:r>
            <w:tab/>
          </w:r>
          <w:r w:rsidRPr="00723CDA">
            <w:t xml:space="preserve">Under regulation 7 of the Environmental Authorisations (Scotland) Regulations 2018 (EASR) a person must not carry out a regulated activity except in so far as it is authorised under EASR and carried out in accordance with, and to the extent authorised by that authorisation.  Regulation 10 of EASR provides that certain regulated activities are authorised under EASR </w:t>
          </w:r>
          <w:proofErr w:type="gramStart"/>
          <w:r w:rsidRPr="00723CDA">
            <w:t>provided that</w:t>
          </w:r>
          <w:proofErr w:type="gramEnd"/>
          <w:r w:rsidRPr="00723CDA">
            <w:t xml:space="preserve"> they are carried on in compliance with rules known as “general binding rules” or GBRs set out in Schedule 9 of EASR. A regulated activity specified in column 1 of the relevant Chapter of Part 1 of schedule 9 is authorised if it is carried on in compliance with the corresponding rules (known as GBRs) specified for that activity in column 2 of the corresponding Chapter in Part 1 of said schedule. Chapter 2 of Schedule 9 contains a Table applying</w:t>
          </w:r>
          <w:r>
            <w:rPr>
              <w:rStyle w:val="normaltextrun"/>
              <w:rFonts w:cs="Arial"/>
            </w:rPr>
            <w:t xml:space="preserve"> to “Water”</w:t>
          </w:r>
          <w:r w:rsidRPr="006536F3">
            <w:rPr>
              <w:rFonts w:cs="Arial"/>
            </w:rPr>
            <w:t>.</w:t>
          </w:r>
        </w:p>
        <w:p w14:paraId="421D73D8" w14:textId="24E2C46C" w:rsidR="00723CDA" w:rsidRPr="00D53732" w:rsidRDefault="00723CDA" w:rsidP="00723CDA">
          <w:pPr>
            <w:pStyle w:val="BodyText1"/>
            <w:ind w:left="720" w:hanging="720"/>
            <w:rPr>
              <w:rStyle w:val="normaltextrun"/>
              <w:rFonts w:ascii="Segoe UI" w:hAnsi="Segoe UI" w:cs="Segoe UI"/>
              <w:sz w:val="18"/>
              <w:szCs w:val="18"/>
            </w:rPr>
          </w:pPr>
          <w:r>
            <w:rPr>
              <w:rStyle w:val="normaltextrun"/>
              <w:rFonts w:cs="Arial"/>
            </w:rPr>
            <w:t>1.2</w:t>
          </w:r>
          <w:r>
            <w:rPr>
              <w:rStyle w:val="normaltextrun"/>
              <w:rFonts w:cs="Arial"/>
            </w:rPr>
            <w:tab/>
            <w:t>Activity number 18 in column 1 of said Table applying to Water (referred to hereafter as   “GBR 18”) covers (a) the storage of fertiliser (</w:t>
          </w:r>
          <w:r>
            <w:t>u</w:t>
          </w:r>
          <w:r w:rsidRPr="00B25BEC">
            <w:t>nless</w:t>
          </w:r>
          <w:r>
            <w:t xml:space="preserve"> </w:t>
          </w:r>
          <w:r w:rsidRPr="00B25BEC">
            <w:t>(</w:t>
          </w:r>
          <w:proofErr w:type="spellStart"/>
          <w:r w:rsidRPr="00B25BEC">
            <w:t>i</w:t>
          </w:r>
          <w:proofErr w:type="spellEnd"/>
          <w:r w:rsidRPr="00B25BEC">
            <w:t>) the storage is</w:t>
          </w:r>
          <w:r w:rsidRPr="00B931E4">
            <w:t xml:space="preserve"> otherwise authorised under </w:t>
          </w:r>
          <w:r>
            <w:t>EASR; or</w:t>
          </w:r>
          <w:r w:rsidRPr="00AD70F9">
            <w:t xml:space="preserve"> </w:t>
          </w:r>
          <w:r w:rsidRPr="00B25BEC">
            <w:t>ii) it is an activity specified at activities 31, 32 or 34 of column 1 of schedule</w:t>
          </w:r>
          <w:r>
            <w:t xml:space="preserve"> 9)</w:t>
          </w:r>
          <w:r>
            <w:rPr>
              <w:rStyle w:val="normaltextrun"/>
              <w:rFonts w:cs="Arial"/>
            </w:rPr>
            <w:t xml:space="preserve"> and (b) the application of fertiliser.  GBR 18 has </w:t>
          </w:r>
          <w:proofErr w:type="gramStart"/>
          <w:r>
            <w:rPr>
              <w:rStyle w:val="normaltextrun"/>
              <w:rFonts w:cs="Arial"/>
            </w:rPr>
            <w:t>a number of</w:t>
          </w:r>
          <w:proofErr w:type="gramEnd"/>
          <w:r>
            <w:rPr>
              <w:rStyle w:val="normaltextrun"/>
              <w:rFonts w:cs="Arial"/>
            </w:rPr>
            <w:t xml:space="preserve"> rules applying to it as listed in column 2 including rule (m).  Rule (m) states that </w:t>
          </w:r>
          <w:r w:rsidRPr="006C1A2C">
            <w:rPr>
              <w:rFonts w:cs="Arial"/>
            </w:rPr>
            <w:t>slurry and liquid digestate must be applied using precision equipment</w:t>
          </w:r>
          <w:r>
            <w:rPr>
              <w:rStyle w:val="normaltextrun"/>
              <w:rFonts w:cs="Arial"/>
            </w:rPr>
            <w:t>.</w:t>
          </w:r>
          <w:r w:rsidRPr="6B6090AA">
            <w:rPr>
              <w:rStyle w:val="normaltextrun"/>
              <w:rFonts w:cs="Arial"/>
            </w:rPr>
            <w:t xml:space="preserve"> </w:t>
          </w:r>
          <w:r>
            <w:rPr>
              <w:rStyle w:val="normaltextrun"/>
              <w:rFonts w:cs="Arial"/>
            </w:rPr>
            <w:t>This rule effectively bans the use of splash plates when applying slurry and liquid digestate to land.</w:t>
          </w:r>
        </w:p>
        <w:p w14:paraId="7EF1ECF2" w14:textId="3C66DAE8" w:rsidR="00723CDA" w:rsidRPr="00B14F71" w:rsidRDefault="00723CDA" w:rsidP="00723CDA">
          <w:pPr>
            <w:pStyle w:val="BodyText1"/>
            <w:ind w:left="720" w:hanging="720"/>
            <w:rPr>
              <w:rFonts w:cs="Arial"/>
            </w:rPr>
          </w:pPr>
          <w:r>
            <w:rPr>
              <w:rStyle w:val="normaltextrun"/>
              <w:rFonts w:cs="Arial"/>
            </w:rPr>
            <w:lastRenderedPageBreak/>
            <w:t>1.3</w:t>
          </w:r>
          <w:r>
            <w:rPr>
              <w:rStyle w:val="normaltextrun"/>
              <w:rFonts w:cs="Arial"/>
            </w:rPr>
            <w:tab/>
            <w:t xml:space="preserve">Prior to EASR coming into force, water activities were regulated by </w:t>
          </w:r>
          <w:r>
            <w:t>the</w:t>
          </w:r>
          <w:r w:rsidRPr="00634CF5">
            <w:t xml:space="preserve"> Water Environment (Controlled Activities) (Scotland)</w:t>
          </w:r>
          <w:r>
            <w:t xml:space="preserve"> </w:t>
          </w:r>
          <w:r w:rsidRPr="00634CF5">
            <w:t xml:space="preserve">Regulations </w:t>
          </w:r>
          <w:r>
            <w:t xml:space="preserve">2011 (CAR).  </w:t>
          </w:r>
          <w:r>
            <w:rPr>
              <w:rStyle w:val="normaltextrun"/>
              <w:rFonts w:cs="Arial"/>
            </w:rPr>
            <w:t>The ban on the use of splash plates when applying slurry</w:t>
          </w:r>
          <w:r w:rsidRPr="00A715A0">
            <w:rPr>
              <w:rStyle w:val="normaltextrun"/>
              <w:rFonts w:cs="Arial"/>
            </w:rPr>
            <w:t xml:space="preserve"> </w:t>
          </w:r>
          <w:r>
            <w:rPr>
              <w:rStyle w:val="normaltextrun"/>
              <w:rFonts w:cs="Arial"/>
            </w:rPr>
            <w:t>and liquid digestate to land was inserted</w:t>
          </w:r>
          <w:r w:rsidRPr="00634CF5">
            <w:t xml:space="preserve"> </w:t>
          </w:r>
          <w:r>
            <w:t>in the equivalent GBR under CAR as rule (o) of activity 18 in Schedule 3 of CAR by t</w:t>
          </w:r>
          <w:r w:rsidRPr="00634CF5">
            <w:t xml:space="preserve">he Water Environment (Controlled Activities) (Scotland) Amendment Regulations 2021 </w:t>
          </w:r>
          <w:r>
            <w:t xml:space="preserve">(“the 2021 Regulations”). </w:t>
          </w:r>
          <w:r w:rsidRPr="00B16AA1">
            <w:t xml:space="preserve">To provide additional time for smaller farms to comply with this </w:t>
          </w:r>
          <w:r>
            <w:t>rule,</w:t>
          </w:r>
          <w:r w:rsidRPr="00B16AA1">
            <w:t xml:space="preserve"> </w:t>
          </w:r>
          <w:r>
            <w:t>the 2021 Regulations contained</w:t>
          </w:r>
          <w:r w:rsidRPr="00B16AA1">
            <w:t xml:space="preserve"> transitional </w:t>
          </w:r>
          <w:r>
            <w:t>arrangements. Regulation 4(1)</w:t>
          </w:r>
          <w:r w:rsidRPr="00B16AA1">
            <w:t xml:space="preserve"> </w:t>
          </w:r>
          <w:r>
            <w:t xml:space="preserve">of the 2021 Regulations provided that in relation </w:t>
          </w:r>
          <w:r w:rsidRPr="00ED4259">
            <w:t>to activity 18 (the storage and application of fertiliser) of schedule 3</w:t>
          </w:r>
          <w:r>
            <w:t xml:space="preserve"> of CAR,</w:t>
          </w:r>
          <w:r w:rsidRPr="00ED4259">
            <w:t xml:space="preserve"> slurry does not need to be applied using precision equipment until 1 January 2027</w:t>
          </w:r>
          <w:r>
            <w:t xml:space="preserve"> (“the extended time limit”) unless it is (a)  applied by contractors; (b) </w:t>
          </w:r>
          <w:r w:rsidRPr="00ED4259">
            <w:t>applied on farms with more than 100 milking cows or 200 beef cattle livestock units, or</w:t>
          </w:r>
          <w:r>
            <w:t xml:space="preserve"> (c) </w:t>
          </w:r>
          <w:r w:rsidRPr="00ED4259">
            <w:t>applied on pig units with more than 800 fattening pigs or 800 sows</w:t>
          </w:r>
          <w:r>
            <w:t xml:space="preserve">.  Regulation 4(2) of the 2021 Regulations also required that where activities benefited from the extended time limit (such that </w:t>
          </w:r>
          <w:r w:rsidRPr="00ED4259">
            <w:t>slurry does not need to be applied using precision equipment</w:t>
          </w:r>
          <w:r>
            <w:t xml:space="preserve"> until 1 January 2027)</w:t>
          </w:r>
          <w:r w:rsidRPr="00ED4259">
            <w:t>, slurry</w:t>
          </w:r>
          <w:r>
            <w:t xml:space="preserve"> </w:t>
          </w:r>
          <w:r w:rsidRPr="00ED4259">
            <w:t xml:space="preserve">must </w:t>
          </w:r>
          <w:r w:rsidRPr="003D50B8">
            <w:rPr>
              <w:b/>
              <w:bCs/>
            </w:rPr>
            <w:t xml:space="preserve">not </w:t>
          </w:r>
          <w:r w:rsidRPr="00ED4259">
            <w:t>be applied by means of a raised splash plate or rain gun</w:t>
          </w:r>
          <w:r>
            <w:t>. Thus, on qualifying farms u</w:t>
          </w:r>
          <w:r w:rsidRPr="00B16AA1">
            <w:t>nless the slurry</w:t>
          </w:r>
          <w:r>
            <w:t xml:space="preserve"> </w:t>
          </w:r>
          <w:r w:rsidRPr="00B16AA1">
            <w:t>is applied by contactors</w:t>
          </w:r>
          <w:r>
            <w:t xml:space="preserve">, slurry applied by </w:t>
          </w:r>
          <w:r w:rsidRPr="00B16AA1">
            <w:t xml:space="preserve">downward trajectory splash plates </w:t>
          </w:r>
          <w:r>
            <w:t xml:space="preserve">could </w:t>
          </w:r>
          <w:r w:rsidRPr="00B16AA1">
            <w:t>continue to be used until 1 January 2027</w:t>
          </w:r>
          <w:r>
            <w:t>.  (The 2021 Regulations also provided in regulation 4</w:t>
          </w:r>
          <w:r w:rsidRPr="00ED4259">
            <w:t>(3)</w:t>
          </w:r>
          <w:r>
            <w:t xml:space="preserve"> that i</w:t>
          </w:r>
          <w:r w:rsidRPr="00ED4259">
            <w:t>n calculating the number of beef cattle livestock units on the farm an animal of 2 years and older is 1 unit, and</w:t>
          </w:r>
          <w:r>
            <w:t xml:space="preserve"> under </w:t>
          </w:r>
          <w:r w:rsidRPr="00ED4259">
            <w:t>2 years old is 0.5 of a</w:t>
          </w:r>
          <w:r>
            <w:t xml:space="preserve"> unit).</w:t>
          </w:r>
        </w:p>
        <w:p w14:paraId="221C0B0F" w14:textId="40F26D27" w:rsidR="00723CDA" w:rsidRDefault="00723CDA" w:rsidP="00723CDA">
          <w:pPr>
            <w:pStyle w:val="BodyText1"/>
            <w:ind w:left="720" w:hanging="720"/>
            <w:rPr>
              <w:rStyle w:val="normaltextrun"/>
              <w:rFonts w:cs="Arial"/>
            </w:rPr>
          </w:pPr>
          <w:r>
            <w:rPr>
              <w:rStyle w:val="normaltextrun"/>
              <w:rFonts w:cs="Arial"/>
            </w:rPr>
            <w:t>1.4</w:t>
          </w:r>
          <w:r>
            <w:rPr>
              <w:rStyle w:val="normaltextrun"/>
              <w:rFonts w:cs="Arial"/>
            </w:rPr>
            <w:tab/>
            <w:t>The transitional arrangements provided for in the 2021 Regulations in respect of the equivalent GBR under CAR (as described above) have been omitted from EASR.</w:t>
          </w:r>
        </w:p>
        <w:p w14:paraId="28E0FDC4" w14:textId="2955BD05" w:rsidR="00723CDA" w:rsidRPr="004D092F" w:rsidRDefault="00723CDA" w:rsidP="00723CDA">
          <w:pPr>
            <w:pStyle w:val="BodyText1"/>
            <w:ind w:left="720" w:hanging="720"/>
            <w:rPr>
              <w:rFonts w:cs="Arial"/>
            </w:rPr>
          </w:pPr>
          <w:r>
            <w:rPr>
              <w:rStyle w:val="normaltextrun"/>
              <w:rFonts w:cs="Arial"/>
            </w:rPr>
            <w:t>1.5</w:t>
          </w:r>
          <w:r>
            <w:rPr>
              <w:rStyle w:val="normaltextrun"/>
              <w:rFonts w:cs="Arial"/>
            </w:rPr>
            <w:tab/>
            <w:t xml:space="preserve">SEPA believes that the extended time limit </w:t>
          </w:r>
          <w:r w:rsidRPr="00B16AA1">
            <w:t xml:space="preserve">to comply with </w:t>
          </w:r>
          <w:r>
            <w:t>rule (m) of GBR 18,</w:t>
          </w:r>
          <w:r w:rsidRPr="00B16AA1">
            <w:t xml:space="preserve"> </w:t>
          </w:r>
          <w:r>
            <w:t xml:space="preserve">in the circumstances described in the 2021 Regulations should remain to allow additional time for operators to adapt their working practices.  </w:t>
          </w:r>
        </w:p>
        <w:p w14:paraId="1B6FD86B" w14:textId="3BA21F80" w:rsidR="00723CDA" w:rsidRDefault="00723CDA" w:rsidP="00723CDA">
          <w:pPr>
            <w:pStyle w:val="BodyText1"/>
            <w:ind w:left="720" w:hanging="720"/>
            <w:rPr>
              <w:rStyle w:val="normaltextrun"/>
              <w:rFonts w:cs="Arial"/>
            </w:rPr>
          </w:pPr>
          <w:r>
            <w:rPr>
              <w:rStyle w:val="normaltextrun"/>
              <w:rFonts w:cs="Arial"/>
            </w:rPr>
            <w:t>1.6</w:t>
          </w:r>
          <w:r>
            <w:rPr>
              <w:rStyle w:val="normaltextrun"/>
              <w:rFonts w:cs="Arial"/>
            </w:rPr>
            <w:tab/>
          </w:r>
          <w:r w:rsidRPr="00775C15">
            <w:rPr>
              <w:rStyle w:val="normaltextrun"/>
              <w:rFonts w:cs="Arial"/>
            </w:rPr>
            <w:t>It is an offence</w:t>
          </w:r>
          <w:r w:rsidRPr="6B6090AA">
            <w:rPr>
              <w:rStyle w:val="normaltextrun"/>
              <w:rFonts w:cs="Arial"/>
            </w:rPr>
            <w:t xml:space="preserve"> under Regulation 69(1)(</w:t>
          </w:r>
          <w:r>
            <w:rPr>
              <w:rStyle w:val="normaltextrun"/>
              <w:rFonts w:cs="Arial"/>
            </w:rPr>
            <w:t>c</w:t>
          </w:r>
          <w:r w:rsidRPr="6B6090AA">
            <w:rPr>
              <w:rStyle w:val="normaltextrun"/>
              <w:rFonts w:cs="Arial"/>
            </w:rPr>
            <w:t xml:space="preserve">) of EASR to fail to comply with or contravene a </w:t>
          </w:r>
          <w:r>
            <w:rPr>
              <w:rStyle w:val="normaltextrun"/>
              <w:rFonts w:cs="Arial"/>
            </w:rPr>
            <w:t>general binding rule</w:t>
          </w:r>
          <w:r w:rsidRPr="6B6090AA">
            <w:rPr>
              <w:rStyle w:val="normaltextrun"/>
              <w:rFonts w:cs="Arial"/>
            </w:rPr>
            <w:t xml:space="preserve">. </w:t>
          </w:r>
          <w:r w:rsidRPr="18C4D38E">
            <w:rPr>
              <w:rStyle w:val="normaltextrun"/>
              <w:rFonts w:cs="Arial"/>
            </w:rPr>
            <w:t xml:space="preserve">To ensure that </w:t>
          </w:r>
          <w:r>
            <w:rPr>
              <w:rStyle w:val="normaltextrun"/>
              <w:rFonts w:cs="Arial"/>
            </w:rPr>
            <w:t>operators are given the benefit of the extended time limit applicable to rule (m) of GBR18</w:t>
          </w:r>
          <w:r w:rsidRPr="18C4D38E">
            <w:rPr>
              <w:rStyle w:val="normaltextrun"/>
              <w:rFonts w:cs="Arial"/>
            </w:rPr>
            <w:t xml:space="preserve">, this </w:t>
          </w:r>
          <w:r w:rsidRPr="00BC76A1">
            <w:rPr>
              <w:rStyle w:val="normaltextrun"/>
              <w:rFonts w:cs="Arial"/>
            </w:rPr>
            <w:t>Temporary Regulatory Position Statement</w:t>
          </w:r>
          <w:r>
            <w:rPr>
              <w:rStyle w:val="normaltextrun"/>
              <w:rFonts w:cs="Arial"/>
            </w:rPr>
            <w:t xml:space="preserve"> </w:t>
          </w:r>
          <w:r>
            <w:rPr>
              <w:rStyle w:val="normaltextrun"/>
              <w:rFonts w:cs="Arial"/>
            </w:rPr>
            <w:lastRenderedPageBreak/>
            <w:t xml:space="preserve">(TRPS) </w:t>
          </w:r>
          <w:r w:rsidRPr="6B6090AA">
            <w:rPr>
              <w:rStyle w:val="normaltextrun"/>
              <w:rFonts w:cs="Arial"/>
            </w:rPr>
            <w:t xml:space="preserve">sets out the approach that SEPA will take regarding enforcement of </w:t>
          </w:r>
          <w:r>
            <w:rPr>
              <w:rStyle w:val="normaltextrun"/>
              <w:rFonts w:cs="Arial"/>
            </w:rPr>
            <w:t>rule (m) of GBR 18.</w:t>
          </w:r>
        </w:p>
        <w:p w14:paraId="58DE1403" w14:textId="715D44FF" w:rsidR="00723CDA" w:rsidRDefault="00723CDA" w:rsidP="00723CDA">
          <w:pPr>
            <w:pStyle w:val="Heading2"/>
            <w:rPr>
              <w:rStyle w:val="normaltextrun"/>
              <w:rFonts w:cs="Arial"/>
            </w:rPr>
          </w:pPr>
          <w:r>
            <w:t>2.</w:t>
          </w:r>
          <w:r>
            <w:tab/>
          </w:r>
          <w:r w:rsidRPr="001D621D">
            <w:t>SEPA Position: Rule (m) of GBR18 Using Precision Equipment</w:t>
          </w:r>
          <w:r>
            <w:rPr>
              <w:rStyle w:val="normaltextrun"/>
              <w:rFonts w:cs="Arial"/>
            </w:rPr>
            <w:t xml:space="preserve"> </w:t>
          </w:r>
        </w:p>
        <w:p w14:paraId="35B7F332" w14:textId="77777777" w:rsidR="00723CDA" w:rsidRPr="00A529B3" w:rsidRDefault="00723CDA" w:rsidP="00723CDA">
          <w:pPr>
            <w:pStyle w:val="BodyText1"/>
            <w:numPr>
              <w:ilvl w:val="1"/>
              <w:numId w:val="16"/>
            </w:numPr>
            <w:ind w:left="709" w:hanging="709"/>
            <w:rPr>
              <w:rStyle w:val="normaltextrun"/>
              <w:rFonts w:ascii="Segoe UI" w:hAnsi="Segoe UI" w:cs="Segoe UI"/>
              <w:sz w:val="18"/>
              <w:szCs w:val="18"/>
            </w:rPr>
          </w:pPr>
          <w:r>
            <w:rPr>
              <w:rStyle w:val="normaltextrun"/>
              <w:rFonts w:cs="Arial"/>
            </w:rPr>
            <w:t xml:space="preserve">Rule (m) of GBR 18 of EASR states that </w:t>
          </w:r>
          <w:r w:rsidRPr="006C1A2C">
            <w:rPr>
              <w:rFonts w:cs="Arial"/>
            </w:rPr>
            <w:t>slurry and liquid digestate must be applied using precision equipment</w:t>
          </w:r>
          <w:r>
            <w:rPr>
              <w:rFonts w:cs="Arial"/>
            </w:rPr>
            <w:t>.</w:t>
          </w:r>
        </w:p>
        <w:p w14:paraId="6CF98AEB" w14:textId="77777777" w:rsidR="00723CDA" w:rsidRPr="00EE0FE5" w:rsidRDefault="00723CDA" w:rsidP="00723CDA">
          <w:pPr>
            <w:pStyle w:val="BodyText1"/>
            <w:numPr>
              <w:ilvl w:val="1"/>
              <w:numId w:val="16"/>
            </w:numPr>
            <w:ind w:left="709" w:hanging="709"/>
            <w:rPr>
              <w:rStyle w:val="normaltextrun"/>
              <w:rFonts w:ascii="Segoe UI" w:hAnsi="Segoe UI" w:cs="Segoe UI"/>
              <w:sz w:val="18"/>
              <w:szCs w:val="18"/>
            </w:rPr>
          </w:pPr>
          <w:r w:rsidRPr="40A1B1DF">
            <w:rPr>
              <w:rStyle w:val="normaltextrun"/>
              <w:rFonts w:cs="Arial"/>
            </w:rPr>
            <w:t xml:space="preserve">This </w:t>
          </w:r>
          <w:r>
            <w:rPr>
              <w:rStyle w:val="normaltextrun"/>
              <w:rFonts w:cs="Arial"/>
            </w:rPr>
            <w:t>TRPS</w:t>
          </w:r>
          <w:r w:rsidRPr="40A1B1DF">
            <w:rPr>
              <w:rStyle w:val="normaltextrun"/>
              <w:rFonts w:cs="Arial"/>
            </w:rPr>
            <w:t xml:space="preserve"> applies</w:t>
          </w:r>
          <w:r>
            <w:rPr>
              <w:rStyle w:val="normaltextrun"/>
              <w:rFonts w:cs="Arial"/>
            </w:rPr>
            <w:t xml:space="preserve"> to rule (m) of GBR 18 of EASR in relation to the application of slurry to land.  </w:t>
          </w:r>
          <w:bookmarkStart w:id="0" w:name="_Hlk211007017"/>
        </w:p>
        <w:p w14:paraId="3C535DB2" w14:textId="5DDC3E96" w:rsidR="00723CDA" w:rsidRPr="00EE0FE5" w:rsidRDefault="00723CDA" w:rsidP="00723CDA">
          <w:pPr>
            <w:pStyle w:val="BodyText1"/>
            <w:numPr>
              <w:ilvl w:val="1"/>
              <w:numId w:val="16"/>
            </w:numPr>
            <w:ind w:left="709" w:hanging="709"/>
            <w:rPr>
              <w:rStyle w:val="normaltextrun"/>
              <w:rFonts w:ascii="Segoe UI" w:hAnsi="Segoe UI" w:cs="Segoe UI"/>
              <w:sz w:val="18"/>
              <w:szCs w:val="18"/>
            </w:rPr>
          </w:pPr>
          <w:r w:rsidRPr="599BFD2E">
            <w:rPr>
              <w:rFonts w:cs="Arial"/>
            </w:rPr>
            <w:t>It is an offence under Regulation 69(1)(</w:t>
          </w:r>
          <w:r>
            <w:rPr>
              <w:rFonts w:cs="Arial"/>
            </w:rPr>
            <w:t>c</w:t>
          </w:r>
          <w:r w:rsidRPr="599BFD2E">
            <w:rPr>
              <w:rFonts w:cs="Arial"/>
            </w:rPr>
            <w:t>) of EASR to</w:t>
          </w:r>
          <w:r w:rsidRPr="00B44F35">
            <w:rPr>
              <w:rStyle w:val="normaltextrun"/>
              <w:rFonts w:cs="Arial"/>
            </w:rPr>
            <w:t xml:space="preserve"> </w:t>
          </w:r>
          <w:r w:rsidRPr="599BFD2E">
            <w:rPr>
              <w:rFonts w:cs="Arial"/>
            </w:rPr>
            <w:t xml:space="preserve">fail to comply with or contravene </w:t>
          </w:r>
          <w:r w:rsidR="00E8589D" w:rsidRPr="599BFD2E">
            <w:rPr>
              <w:rFonts w:cs="Arial"/>
            </w:rPr>
            <w:t xml:space="preserve">a </w:t>
          </w:r>
          <w:r w:rsidR="00E8589D" w:rsidRPr="6B6090AA">
            <w:rPr>
              <w:rStyle w:val="normaltextrun"/>
              <w:rFonts w:cs="Arial"/>
            </w:rPr>
            <w:t>general</w:t>
          </w:r>
          <w:r>
            <w:rPr>
              <w:rStyle w:val="normaltextrun"/>
              <w:rFonts w:cs="Arial"/>
            </w:rPr>
            <w:t xml:space="preserve"> binding rule</w:t>
          </w:r>
          <w:r w:rsidRPr="599BFD2E">
            <w:rPr>
              <w:rFonts w:cs="Arial"/>
            </w:rPr>
            <w:t>.</w:t>
          </w:r>
          <w:bookmarkEnd w:id="0"/>
        </w:p>
        <w:p w14:paraId="653E471C" w14:textId="2513D6C4" w:rsidR="00723CDA" w:rsidRDefault="00723CDA" w:rsidP="00723CDA">
          <w:pPr>
            <w:pStyle w:val="BodyText1"/>
            <w:numPr>
              <w:ilvl w:val="1"/>
              <w:numId w:val="16"/>
            </w:numPr>
            <w:ind w:left="709" w:hanging="709"/>
            <w:rPr>
              <w:rStyle w:val="normaltextrun"/>
              <w:rFonts w:cs="Arial"/>
            </w:rPr>
          </w:pPr>
          <w:r>
            <w:rPr>
              <w:rStyle w:val="normaltextrun"/>
              <w:rFonts w:cs="Arial"/>
            </w:rPr>
            <w:t>P</w:t>
          </w:r>
          <w:r w:rsidRPr="599BFD2E">
            <w:rPr>
              <w:rStyle w:val="normaltextrun"/>
              <w:rFonts w:cs="Arial"/>
            </w:rPr>
            <w:t xml:space="preserve">reviously </w:t>
          </w:r>
          <w:r>
            <w:rPr>
              <w:rStyle w:val="normaltextrun"/>
              <w:rFonts w:cs="Arial"/>
            </w:rPr>
            <w:t xml:space="preserve">the transitional provisions of the 2021 Regulations delayed the applicability of certain rules contained in </w:t>
          </w:r>
          <w:r w:rsidRPr="599BFD2E">
            <w:rPr>
              <w:rStyle w:val="normaltextrun"/>
              <w:rFonts w:cs="Arial"/>
            </w:rPr>
            <w:t>the</w:t>
          </w:r>
          <w:r>
            <w:rPr>
              <w:rStyle w:val="normaltextrun"/>
              <w:rFonts w:cs="Arial"/>
            </w:rPr>
            <w:t xml:space="preserve"> equivalent activity 18 of Schedule 3 of CAR as described above in relation to slurry. </w:t>
          </w:r>
          <w:r w:rsidRPr="599BFD2E">
            <w:rPr>
              <w:rStyle w:val="normaltextrun"/>
              <w:rFonts w:cs="Arial"/>
            </w:rPr>
            <w:t xml:space="preserve">SEPA will not treat the failure to </w:t>
          </w:r>
          <w:r>
            <w:rPr>
              <w:rStyle w:val="normaltextrun"/>
              <w:rFonts w:cs="Arial"/>
            </w:rPr>
            <w:t xml:space="preserve">comply with rule (m) of GBR 18 </w:t>
          </w:r>
          <w:r w:rsidRPr="599BFD2E">
            <w:rPr>
              <w:rStyle w:val="normaltextrun"/>
              <w:rFonts w:cs="Arial"/>
            </w:rPr>
            <w:t xml:space="preserve">under EASR </w:t>
          </w:r>
          <w:r>
            <w:rPr>
              <w:rStyle w:val="normaltextrun"/>
              <w:rFonts w:cs="Arial"/>
            </w:rPr>
            <w:t>in relation to slurry</w:t>
          </w:r>
          <w:r w:rsidRPr="599BFD2E">
            <w:rPr>
              <w:rStyle w:val="normaltextrun"/>
              <w:rFonts w:cs="Arial"/>
            </w:rPr>
            <w:t xml:space="preserve"> as a</w:t>
          </w:r>
          <w:r>
            <w:rPr>
              <w:rStyle w:val="normaltextrun"/>
              <w:rFonts w:cs="Arial"/>
            </w:rPr>
            <w:t xml:space="preserve"> failure to comply with or contravention of a general binding rule </w:t>
          </w:r>
          <w:r w:rsidRPr="6B6090AA">
            <w:rPr>
              <w:rStyle w:val="normaltextrun"/>
              <w:rFonts w:cs="Arial"/>
            </w:rPr>
            <w:t>under Regulation 69(1)(</w:t>
          </w:r>
          <w:r>
            <w:rPr>
              <w:rStyle w:val="normaltextrun"/>
              <w:rFonts w:cs="Arial"/>
            </w:rPr>
            <w:t>c</w:t>
          </w:r>
          <w:r w:rsidRPr="6B6090AA">
            <w:rPr>
              <w:rStyle w:val="normaltextrun"/>
              <w:rFonts w:cs="Arial"/>
            </w:rPr>
            <w:t xml:space="preserve">) of EASR </w:t>
          </w:r>
          <w:r w:rsidRPr="599BFD2E">
            <w:rPr>
              <w:rStyle w:val="normaltextrun"/>
              <w:rFonts w:cs="Arial"/>
            </w:rPr>
            <w:t xml:space="preserve">until </w:t>
          </w:r>
          <w:r w:rsidRPr="20AF60CA">
            <w:rPr>
              <w:rStyle w:val="normaltextrun"/>
              <w:rFonts w:cs="Arial"/>
            </w:rPr>
            <w:t>1</w:t>
          </w:r>
          <w:r w:rsidR="00B95BFD">
            <w:rPr>
              <w:rStyle w:val="normaltextrun"/>
              <w:rFonts w:cs="Arial"/>
            </w:rPr>
            <w:t xml:space="preserve"> </w:t>
          </w:r>
          <w:r w:rsidRPr="264156ED">
            <w:rPr>
              <w:rStyle w:val="normaltextrun"/>
              <w:rFonts w:cs="Arial"/>
            </w:rPr>
            <w:t>January</w:t>
          </w:r>
          <w:r w:rsidRPr="4D743E22">
            <w:rPr>
              <w:rStyle w:val="normaltextrun"/>
              <w:rFonts w:cs="Arial"/>
            </w:rPr>
            <w:t xml:space="preserve"> </w:t>
          </w:r>
          <w:r w:rsidRPr="11285EA4">
            <w:rPr>
              <w:rStyle w:val="normaltextrun"/>
              <w:rFonts w:cs="Arial"/>
            </w:rPr>
            <w:t>2027</w:t>
          </w:r>
          <w:r w:rsidR="00B95BFD">
            <w:rPr>
              <w:rStyle w:val="normaltextrun"/>
              <w:rFonts w:cs="Arial"/>
            </w:rPr>
            <w:t xml:space="preserve"> </w:t>
          </w:r>
          <w:r>
            <w:rPr>
              <w:rStyle w:val="normaltextrun"/>
              <w:rFonts w:cs="Arial"/>
            </w:rPr>
            <w:t>provided the following conditions are met:</w:t>
          </w:r>
        </w:p>
        <w:p w14:paraId="213AE806" w14:textId="77777777" w:rsidR="00723CDA" w:rsidRPr="00A529B3" w:rsidRDefault="00723CDA" w:rsidP="00723CDA">
          <w:pPr>
            <w:pStyle w:val="pf0"/>
            <w:numPr>
              <w:ilvl w:val="0"/>
              <w:numId w:val="18"/>
            </w:numPr>
            <w:rPr>
              <w:rStyle w:val="normaltextrun"/>
              <w:rFonts w:asciiTheme="minorHAnsi" w:eastAsiaTheme="minorEastAsia" w:hAnsiTheme="minorHAnsi" w:cs="Arial"/>
            </w:rPr>
          </w:pPr>
          <w:r w:rsidRPr="00A529B3">
            <w:rPr>
              <w:rStyle w:val="normaltextrun"/>
              <w:rFonts w:asciiTheme="minorHAnsi" w:eastAsiaTheme="minorEastAsia" w:hAnsiTheme="minorHAnsi" w:cs="Arial"/>
              <w:lang w:eastAsia="en-US"/>
            </w:rPr>
            <w:t>Slurry must not be applied:</w:t>
          </w:r>
        </w:p>
        <w:p w14:paraId="6BE3E267" w14:textId="77777777" w:rsidR="00723CDA" w:rsidRPr="00A529B3" w:rsidRDefault="00723CDA" w:rsidP="00723CDA">
          <w:pPr>
            <w:pStyle w:val="BodyText1"/>
            <w:numPr>
              <w:ilvl w:val="0"/>
              <w:numId w:val="17"/>
            </w:numPr>
            <w:rPr>
              <w:rStyle w:val="normaltextrun"/>
            </w:rPr>
          </w:pPr>
          <w:r w:rsidRPr="00A529B3">
            <w:rPr>
              <w:rStyle w:val="normaltextrun"/>
              <w:rFonts w:cs="Arial"/>
            </w:rPr>
            <w:t>by contractors</w:t>
          </w:r>
          <w:r>
            <w:rPr>
              <w:rStyle w:val="normaltextrun"/>
              <w:rFonts w:cs="Arial"/>
            </w:rPr>
            <w:t>,</w:t>
          </w:r>
          <w:r w:rsidRPr="00A529B3">
            <w:rPr>
              <w:rStyle w:val="normaltextrun"/>
              <w:rFonts w:cs="Arial"/>
            </w:rPr>
            <w:t xml:space="preserve"> </w:t>
          </w:r>
        </w:p>
        <w:p w14:paraId="20717A69" w14:textId="77777777" w:rsidR="00723CDA" w:rsidRPr="00A529B3" w:rsidRDefault="00723CDA" w:rsidP="00723CDA">
          <w:pPr>
            <w:pStyle w:val="BodyText1"/>
            <w:numPr>
              <w:ilvl w:val="0"/>
              <w:numId w:val="17"/>
            </w:numPr>
            <w:rPr>
              <w:rStyle w:val="normaltextrun"/>
              <w:rFonts w:cs="Arial"/>
            </w:rPr>
          </w:pPr>
          <w:r w:rsidRPr="00A529B3">
            <w:rPr>
              <w:rStyle w:val="normaltextrun"/>
              <w:rFonts w:cs="Arial"/>
            </w:rPr>
            <w:t>by means of a raised splash plate or rain gun</w:t>
          </w:r>
          <w:r>
            <w:rPr>
              <w:rStyle w:val="normaltextrun"/>
              <w:rFonts w:cs="Arial"/>
            </w:rPr>
            <w:t>,</w:t>
          </w:r>
        </w:p>
        <w:p w14:paraId="3C71E4B0" w14:textId="77777777" w:rsidR="00723CDA" w:rsidRPr="00A529B3" w:rsidRDefault="00723CDA" w:rsidP="00723CDA">
          <w:pPr>
            <w:pStyle w:val="BodyText1"/>
            <w:numPr>
              <w:ilvl w:val="0"/>
              <w:numId w:val="17"/>
            </w:numPr>
            <w:rPr>
              <w:rStyle w:val="normaltextrun"/>
              <w:rFonts w:cs="Arial"/>
            </w:rPr>
          </w:pPr>
          <w:r w:rsidRPr="00A529B3">
            <w:rPr>
              <w:rStyle w:val="normaltextrun"/>
              <w:rFonts w:cs="Arial"/>
            </w:rPr>
            <w:t>on farms with more than 100 milking cows or 200 beef cattle livestock units, or</w:t>
          </w:r>
        </w:p>
        <w:p w14:paraId="785F05E8" w14:textId="77777777" w:rsidR="00723CDA" w:rsidRPr="00A529B3" w:rsidRDefault="00723CDA" w:rsidP="00723CDA">
          <w:pPr>
            <w:pStyle w:val="BodyText1"/>
            <w:numPr>
              <w:ilvl w:val="0"/>
              <w:numId w:val="17"/>
            </w:numPr>
            <w:rPr>
              <w:rStyle w:val="normaltextrun"/>
              <w:rFonts w:cs="Arial"/>
            </w:rPr>
          </w:pPr>
          <w:r w:rsidRPr="00A529B3">
            <w:rPr>
              <w:rStyle w:val="normaltextrun"/>
              <w:rFonts w:cs="Arial"/>
            </w:rPr>
            <w:t>on pig units with more than 800 fattening pigs or 800 sows.</w:t>
          </w:r>
        </w:p>
        <w:p w14:paraId="70728A8B" w14:textId="77777777" w:rsidR="00723CDA" w:rsidRPr="00012C8F" w:rsidRDefault="00723CDA" w:rsidP="00723CDA">
          <w:pPr>
            <w:pStyle w:val="BodyText1"/>
            <w:ind w:left="720"/>
            <w:rPr>
              <w:rFonts w:ascii="Arial" w:hAnsi="Arial" w:cs="Arial"/>
              <w:sz w:val="20"/>
              <w:szCs w:val="20"/>
              <w:lang w:eastAsia="en-GB"/>
            </w:rPr>
          </w:pPr>
          <w:r>
            <w:rPr>
              <w:lang w:eastAsia="en-GB"/>
            </w:rPr>
            <w:t>F</w:t>
          </w:r>
          <w:r w:rsidRPr="00012C8F">
            <w:rPr>
              <w:lang w:eastAsia="en-GB"/>
            </w:rPr>
            <w:t xml:space="preserve">or the purposes </w:t>
          </w:r>
          <w:r>
            <w:rPr>
              <w:lang w:eastAsia="en-GB"/>
            </w:rPr>
            <w:t>of (c) above, i</w:t>
          </w:r>
          <w:r w:rsidRPr="00D17E0D">
            <w:rPr>
              <w:lang w:eastAsia="en-GB"/>
            </w:rPr>
            <w:t>n calculating the number of beef cattle livestock units on the farm</w:t>
          </w:r>
          <w:r w:rsidRPr="00012C8F">
            <w:rPr>
              <w:lang w:eastAsia="en-GB"/>
            </w:rPr>
            <w:t xml:space="preserve">, </w:t>
          </w:r>
          <w:r>
            <w:rPr>
              <w:lang w:eastAsia="en-GB"/>
            </w:rPr>
            <w:t xml:space="preserve">an animal </w:t>
          </w:r>
          <w:r w:rsidRPr="00012C8F">
            <w:rPr>
              <w:lang w:eastAsia="en-GB"/>
            </w:rPr>
            <w:t>of 2 years and older count as 1 unit, and those under 2 years old count as 0.5 of a unit.</w:t>
          </w:r>
        </w:p>
        <w:p w14:paraId="7539DAAC" w14:textId="77777777" w:rsidR="00723CDA" w:rsidRPr="00035691" w:rsidRDefault="00723CDA" w:rsidP="00723CDA">
          <w:pPr>
            <w:pStyle w:val="BodyText1"/>
          </w:pPr>
          <w:r>
            <w:lastRenderedPageBreak/>
            <w:t xml:space="preserve">2.5 </w:t>
          </w:r>
          <w:r>
            <w:tab/>
          </w:r>
          <w:r w:rsidRPr="00B55BB5">
            <w:rPr>
              <w:rStyle w:val="eop"/>
              <w:rFonts w:ascii="Arial" w:hAnsi="Arial" w:cs="Arial"/>
            </w:rPr>
            <w:t>This TRPS will expire on 31 December 2026.</w:t>
          </w:r>
        </w:p>
        <w:p w14:paraId="4410F56E" w14:textId="2E74A460" w:rsidR="00E8589D" w:rsidRPr="003322DE" w:rsidRDefault="00E8589D" w:rsidP="00E8589D">
          <w:pPr>
            <w:pStyle w:val="Heading2"/>
            <w:rPr>
              <w:rFonts w:ascii="Segoe UI" w:hAnsi="Segoe UI" w:cs="Segoe UI"/>
              <w:sz w:val="18"/>
              <w:szCs w:val="18"/>
            </w:rPr>
          </w:pPr>
          <w:r>
            <w:t>3.</w:t>
          </w:r>
          <w:r>
            <w:tab/>
          </w:r>
          <w:r w:rsidRPr="005D5A96">
            <w:t>Applicability of the Temporary Regulatory Position Statement</w:t>
          </w:r>
          <w:r w:rsidRPr="003322DE">
            <w:rPr>
              <w:rStyle w:val="eop"/>
              <w:rFonts w:cs="Arial"/>
            </w:rPr>
            <w:t> </w:t>
          </w:r>
        </w:p>
        <w:p w14:paraId="35851F3D" w14:textId="77777777" w:rsidR="00E8589D" w:rsidRDefault="00E8589D" w:rsidP="00E8589D">
          <w:pPr>
            <w:pStyle w:val="BodyText1"/>
            <w:numPr>
              <w:ilvl w:val="1"/>
              <w:numId w:val="19"/>
            </w:numPr>
            <w:ind w:hanging="862"/>
            <w:rPr>
              <w:rStyle w:val="normaltextrun"/>
              <w:rFonts w:ascii="Segoe UI" w:eastAsiaTheme="majorEastAsia" w:hAnsi="Segoe UI" w:cs="Segoe UI"/>
              <w:b/>
              <w:color w:val="016574" w:themeColor="accent2"/>
              <w:sz w:val="18"/>
              <w:szCs w:val="18"/>
            </w:rPr>
          </w:pPr>
          <w:r>
            <w:rPr>
              <w:rStyle w:val="normaltextrun"/>
              <w:rFonts w:cs="Arial"/>
            </w:rPr>
            <w:t xml:space="preserve">This TRPS does not apply to any other statutory and regulatory requirements applicable to the authorised activity. </w:t>
          </w:r>
        </w:p>
        <w:p w14:paraId="4F0C3A7B" w14:textId="77777777" w:rsidR="00E8589D" w:rsidRDefault="00E8589D" w:rsidP="00E8589D">
          <w:pPr>
            <w:pStyle w:val="BodyText1"/>
            <w:numPr>
              <w:ilvl w:val="1"/>
              <w:numId w:val="19"/>
            </w:numPr>
            <w:ind w:hanging="862"/>
            <w:rPr>
              <w:rStyle w:val="eop"/>
              <w:rFonts w:ascii="Segoe UI" w:eastAsiaTheme="majorEastAsia" w:hAnsi="Segoe UI" w:cs="Segoe UI"/>
              <w:b/>
              <w:color w:val="016574" w:themeColor="accent2"/>
              <w:sz w:val="18"/>
              <w:szCs w:val="18"/>
            </w:rPr>
          </w:pPr>
          <w:r w:rsidRPr="00B55BB5">
            <w:rPr>
              <w:rStyle w:val="normaltextrun"/>
              <w:rFonts w:cs="Arial"/>
            </w:rPr>
            <w:t>All other conditions of GBR 18 not referred to in this TRPS continue to apply as normal.</w:t>
          </w:r>
          <w:r w:rsidRPr="00B55BB5">
            <w:rPr>
              <w:rStyle w:val="eop"/>
              <w:rFonts w:ascii="Arial" w:hAnsi="Arial" w:cs="Arial"/>
            </w:rPr>
            <w:t> </w:t>
          </w:r>
        </w:p>
        <w:p w14:paraId="232C59ED" w14:textId="77777777" w:rsidR="00E8589D" w:rsidRDefault="00E8589D" w:rsidP="00E8589D">
          <w:pPr>
            <w:pStyle w:val="BodyText1"/>
            <w:numPr>
              <w:ilvl w:val="1"/>
              <w:numId w:val="19"/>
            </w:numPr>
            <w:ind w:hanging="862"/>
            <w:rPr>
              <w:rStyle w:val="normaltextrun"/>
              <w:rFonts w:ascii="Segoe UI" w:eastAsiaTheme="majorEastAsia" w:hAnsi="Segoe UI" w:cs="Segoe UI"/>
              <w:b/>
              <w:color w:val="016574" w:themeColor="accent2"/>
              <w:sz w:val="18"/>
              <w:szCs w:val="18"/>
            </w:rPr>
          </w:pPr>
          <w:r w:rsidRPr="00B55BB5">
            <w:rPr>
              <w:rStyle w:val="normaltextrun"/>
              <w:rFonts w:cs="Arial"/>
              <w:shd w:val="clear" w:color="auto" w:fill="FFFFFF"/>
            </w:rPr>
            <w:t>If you do not comply with the conditions of this TRPS or if SEPA considers that the activities are likely to cause significant harm to the environment or human health, or if such harm is caused, this TRPS will be withdrawn immediately, and enforcement action may be taken.</w:t>
          </w:r>
        </w:p>
        <w:p w14:paraId="77829962" w14:textId="77777777" w:rsidR="00E8589D" w:rsidRDefault="00E8589D" w:rsidP="00E8589D">
          <w:pPr>
            <w:pStyle w:val="BodyText1"/>
            <w:numPr>
              <w:ilvl w:val="1"/>
              <w:numId w:val="19"/>
            </w:numPr>
            <w:ind w:hanging="862"/>
            <w:rPr>
              <w:rStyle w:val="normaltextrun"/>
              <w:rFonts w:ascii="Segoe UI" w:eastAsiaTheme="majorEastAsia" w:hAnsi="Segoe UI" w:cs="Segoe UI"/>
              <w:b/>
              <w:color w:val="016574" w:themeColor="accent2"/>
              <w:sz w:val="18"/>
              <w:szCs w:val="18"/>
            </w:rPr>
          </w:pPr>
          <w:r w:rsidRPr="00B55BB5">
            <w:rPr>
              <w:rStyle w:val="normaltextrun"/>
              <w:rFonts w:cs="Arial"/>
            </w:rPr>
            <w:t>The terms of this TRPS may be subject to periodical review and may be varied or withdrawn at any time.</w:t>
          </w:r>
        </w:p>
        <w:p w14:paraId="68433EF5" w14:textId="77777777" w:rsidR="00E8589D" w:rsidRDefault="00E8589D" w:rsidP="00E8589D">
          <w:pPr>
            <w:pStyle w:val="BodyText1"/>
            <w:numPr>
              <w:ilvl w:val="1"/>
              <w:numId w:val="19"/>
            </w:numPr>
            <w:ind w:hanging="862"/>
            <w:rPr>
              <w:rStyle w:val="eop"/>
              <w:rFonts w:ascii="Segoe UI" w:eastAsiaTheme="majorEastAsia" w:hAnsi="Segoe UI" w:cs="Segoe UI"/>
              <w:b/>
              <w:color w:val="016574" w:themeColor="accent2"/>
              <w:sz w:val="18"/>
              <w:szCs w:val="18"/>
            </w:rPr>
          </w:pPr>
          <w:r w:rsidRPr="00B55BB5">
            <w:rPr>
              <w:rStyle w:val="normaltextrun"/>
              <w:rFonts w:cs="Arial"/>
            </w:rPr>
            <w:t>SEPA reserves its discretion to depart from this TRPS and to take appropriate action as necessary.</w:t>
          </w:r>
          <w:r w:rsidRPr="00B55BB5">
            <w:rPr>
              <w:rStyle w:val="eop"/>
              <w:rFonts w:ascii="Arial" w:hAnsi="Arial" w:cs="Arial"/>
            </w:rPr>
            <w:t> </w:t>
          </w:r>
        </w:p>
        <w:p w14:paraId="76D32EAB" w14:textId="77777777" w:rsidR="00E8589D" w:rsidRPr="00B55BB5" w:rsidRDefault="00E8589D" w:rsidP="00E8589D">
          <w:pPr>
            <w:pStyle w:val="BodyText1"/>
            <w:numPr>
              <w:ilvl w:val="1"/>
              <w:numId w:val="19"/>
            </w:numPr>
            <w:ind w:hanging="862"/>
            <w:rPr>
              <w:rStyle w:val="eop"/>
              <w:rFonts w:ascii="Segoe UI" w:eastAsiaTheme="majorEastAsia" w:hAnsi="Segoe UI" w:cs="Segoe UI"/>
              <w:b/>
              <w:color w:val="016574" w:themeColor="accent2"/>
              <w:sz w:val="18"/>
              <w:szCs w:val="18"/>
            </w:rPr>
          </w:pPr>
          <w:r w:rsidRPr="00B55BB5">
            <w:rPr>
              <w:rStyle w:val="eop"/>
              <w:rFonts w:ascii="Arial" w:hAnsi="Arial" w:cs="Arial"/>
            </w:rPr>
            <w:t>This Temporary Regulatory Position Statement applies only in Scotland.</w:t>
          </w:r>
        </w:p>
        <w:p w14:paraId="1EB24504" w14:textId="77777777" w:rsidR="00E8589D" w:rsidRDefault="00E8589D" w:rsidP="00E8589D">
          <w:pPr>
            <w:pStyle w:val="paragraph"/>
            <w:spacing w:before="0" w:beforeAutospacing="0" w:after="0" w:afterAutospacing="0"/>
            <w:textAlignment w:val="baseline"/>
            <w:rPr>
              <w:rStyle w:val="normaltextrun"/>
              <w:rFonts w:eastAsiaTheme="majorEastAsia" w:cs="Arial"/>
            </w:rPr>
          </w:pPr>
        </w:p>
        <w:p w14:paraId="74B55E86" w14:textId="77777777" w:rsidR="00E8589D" w:rsidRDefault="00281BB1" w:rsidP="00E8589D">
          <w:r w:rsidRPr="00EA297B">
            <w:rPr>
              <w:noProof/>
            </w:rPr>
            <mc:AlternateContent>
              <mc:Choice Requires="wps">
                <w:drawing>
                  <wp:anchor distT="0" distB="0" distL="114300" distR="114300" simplePos="0" relativeHeight="251665408" behindDoc="0" locked="1" layoutInCell="1" allowOverlap="1" wp14:anchorId="1FA4F1FC" wp14:editId="77DD76C7">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060EBB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4F1FC"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2060EBB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p w14:paraId="2DDCCA39" w14:textId="77777777" w:rsidR="00E8589D" w:rsidRDefault="00E8589D" w:rsidP="00E8589D"/>
    <w:p w14:paraId="538D1076" w14:textId="77777777" w:rsidR="00E8589D" w:rsidRDefault="00E8589D" w:rsidP="00E8589D"/>
    <w:p w14:paraId="2AC1D7C8" w14:textId="77777777" w:rsidR="00E8589D" w:rsidRDefault="00E8589D" w:rsidP="00E8589D"/>
    <w:p w14:paraId="21BF88FF" w14:textId="67FD2B82" w:rsidR="006243FF" w:rsidRPr="00E8589D" w:rsidRDefault="26AE4097" w:rsidP="00E8589D">
      <w:pPr>
        <w:rPr>
          <w:b/>
          <w:bCs/>
          <w:color w:val="FFFFFF" w:themeColor="background1"/>
          <w:sz w:val="84"/>
          <w:szCs w:val="84"/>
        </w:rPr>
      </w:pPr>
      <w:r w:rsidRPr="001C1ABD">
        <w:rPr>
          <w:rFonts w:eastAsia="Arial"/>
          <w:sz w:val="32"/>
          <w:szCs w:val="32"/>
        </w:rPr>
        <w:t xml:space="preserve">If you would like this document in an accessible format, such as large print, audio recording or braille, please contact SEPA by emailing </w:t>
      </w:r>
      <w:hyperlink r:id="rId12">
        <w:r w:rsidRPr="001C1ABD">
          <w:rPr>
            <w:rStyle w:val="Hyperlink"/>
            <w:rFonts w:ascii="Arial" w:eastAsia="Arial" w:hAnsi="Arial" w:cs="Arial"/>
            <w:color w:val="016574" w:themeColor="accent6"/>
            <w:sz w:val="32"/>
            <w:szCs w:val="32"/>
          </w:rPr>
          <w:t>equalities@sepa.org.uk</w:t>
        </w:r>
      </w:hyperlink>
    </w:p>
    <w:sectPr w:rsidR="006243FF" w:rsidRPr="00E8589D" w:rsidSect="00DA294B">
      <w:headerReference w:type="default" r:id="rId13"/>
      <w:footerReference w:type="even" r:id="rId14"/>
      <w:footerReference w:type="default" r:id="rId15"/>
      <w:headerReference w:type="first" r:id="rId16"/>
      <w:footerReference w:type="first" r:id="rId1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59042" w14:textId="77777777" w:rsidR="00834099" w:rsidRDefault="00834099" w:rsidP="00660C79">
      <w:pPr>
        <w:spacing w:line="240" w:lineRule="auto"/>
      </w:pPr>
      <w:r>
        <w:separator/>
      </w:r>
    </w:p>
  </w:endnote>
  <w:endnote w:type="continuationSeparator" w:id="0">
    <w:p w14:paraId="094A6660" w14:textId="77777777" w:rsidR="00834099" w:rsidRDefault="00834099"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Content>
      <w:p w14:paraId="71B57EDD"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5AD0CAC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006D72"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E47F" w14:textId="77777777" w:rsidR="00EC6A73" w:rsidRDefault="002369CA" w:rsidP="00917BB1">
    <w:pPr>
      <w:pStyle w:val="Footer"/>
      <w:ind w:right="360"/>
    </w:pPr>
    <w:r>
      <w:rPr>
        <w:noProof/>
      </w:rPr>
      <mc:AlternateContent>
        <mc:Choice Requires="wps">
          <w:drawing>
            <wp:anchor distT="0" distB="0" distL="114300" distR="114300" simplePos="0" relativeHeight="251663360" behindDoc="0" locked="0" layoutInCell="0" allowOverlap="1" wp14:anchorId="49E5B573" wp14:editId="0C6EE9F4">
              <wp:simplePos x="0" y="0"/>
              <wp:positionH relativeFrom="page">
                <wp:posOffset>0</wp:posOffset>
              </wp:positionH>
              <wp:positionV relativeFrom="page">
                <wp:posOffset>10229215</wp:posOffset>
              </wp:positionV>
              <wp:extent cx="7556500" cy="273050"/>
              <wp:effectExtent l="0" t="0" r="0" b="12700"/>
              <wp:wrapNone/>
              <wp:docPr id="5" name="MSIPCM5e5e4a189a8ec75f16fc991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FFAF7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E5B573" id="_x0000_t202" coordsize="21600,21600" o:spt="202" path="m,l,21600r21600,l21600,xe">
              <v:stroke joinstyle="miter"/>
              <v:path gradientshapeok="t" o:connecttype="rect"/>
            </v:shapetype>
            <v:shape id="MSIPCM5e5e4a189a8ec75f16fc991b" o:spid="_x0000_s1028" type="#_x0000_t202" alt="&quot;&quot;" style="position:absolute;margin-left:0;margin-top:805.45pt;width:59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33FFAF7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p w14:paraId="756C942E"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1611DBB5" wp14:editId="46266CB8">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4E610B"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617DA3D1"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02738D" w14:textId="77777777" w:rsidR="00917BB1" w:rsidRDefault="00917BB1" w:rsidP="00917BB1">
    <w:pPr>
      <w:pStyle w:val="Footer"/>
      <w:ind w:right="360"/>
    </w:pPr>
    <w:r>
      <w:rPr>
        <w:noProof/>
      </w:rPr>
      <w:drawing>
        <wp:inline distT="0" distB="0" distL="0" distR="0" wp14:anchorId="4B25B100" wp14:editId="000424E5">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1F3D" w14:textId="77777777" w:rsidR="002369CA" w:rsidRDefault="002369CA">
    <w:pPr>
      <w:pStyle w:val="Footer"/>
    </w:pPr>
    <w:r>
      <w:rPr>
        <w:noProof/>
      </w:rPr>
      <mc:AlternateContent>
        <mc:Choice Requires="wps">
          <w:drawing>
            <wp:anchor distT="0" distB="0" distL="114300" distR="114300" simplePos="0" relativeHeight="251664384" behindDoc="0" locked="0" layoutInCell="0" allowOverlap="1" wp14:anchorId="560EDE63" wp14:editId="13766DB6">
              <wp:simplePos x="0" y="0"/>
              <wp:positionH relativeFrom="page">
                <wp:posOffset>0</wp:posOffset>
              </wp:positionH>
              <wp:positionV relativeFrom="page">
                <wp:posOffset>10229215</wp:posOffset>
              </wp:positionV>
              <wp:extent cx="7556500" cy="273050"/>
              <wp:effectExtent l="0" t="0" r="0" b="12700"/>
              <wp:wrapNone/>
              <wp:docPr id="8" name="MSIPCM4e4a48088b4676f42cc92ab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D3045"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0EDE63" id="_x0000_t202" coordsize="21600,21600" o:spt="202" path="m,l,21600r21600,l21600,xe">
              <v:stroke joinstyle="miter"/>
              <v:path gradientshapeok="t" o:connecttype="rect"/>
            </v:shapetype>
            <v:shape id="MSIPCM4e4a48088b4676f42cc92ab1" o:spid="_x0000_s1030" type="#_x0000_t202" alt="&quot;&quot;" style="position:absolute;margin-left:0;margin-top:805.45pt;width:59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360D3045"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8F58D" w14:textId="77777777" w:rsidR="00834099" w:rsidRDefault="00834099" w:rsidP="00660C79">
      <w:pPr>
        <w:spacing w:line="240" w:lineRule="auto"/>
      </w:pPr>
      <w:r>
        <w:separator/>
      </w:r>
    </w:p>
  </w:footnote>
  <w:footnote w:type="continuationSeparator" w:id="0">
    <w:p w14:paraId="13A81BBB" w14:textId="77777777" w:rsidR="00834099" w:rsidRDefault="00834099"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0460" w14:textId="1416D535" w:rsidR="008D113C" w:rsidRPr="00917BB1" w:rsidRDefault="002369CA"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61312" behindDoc="0" locked="0" layoutInCell="0" allowOverlap="1" wp14:anchorId="2CF7C980" wp14:editId="38FA0134">
              <wp:simplePos x="0" y="0"/>
              <wp:positionH relativeFrom="page">
                <wp:posOffset>0</wp:posOffset>
              </wp:positionH>
              <wp:positionV relativeFrom="page">
                <wp:posOffset>190500</wp:posOffset>
              </wp:positionV>
              <wp:extent cx="7556500" cy="273050"/>
              <wp:effectExtent l="0" t="0" r="0" b="12700"/>
              <wp:wrapNone/>
              <wp:docPr id="1" name="MSIPCM3e7c4667b3fb4a16462b8c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DDBBDB"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CF7C980" id="_x0000_t202" coordsize="21600,21600" o:spt="202" path="m,l,21600r21600,l21600,xe">
              <v:stroke joinstyle="miter"/>
              <v:path gradientshapeok="t" o:connecttype="rect"/>
            </v:shapetype>
            <v:shape id="MSIPCM3e7c4667b3fb4a16462b8c07" o:spid="_x0000_s1027" type="#_x0000_t202" alt="&quot;&quot;" style="position:absolute;left:0;text-align:left;margin-left:0;margin-top:15pt;width:59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2CDDBBDB"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sidR="00E8589D">
      <w:rPr>
        <w:color w:val="6E7571" w:themeColor="text2"/>
      </w:rPr>
      <w:t>Temporary regulatory position statement in relation to the application of slurry using precision equipment</w:t>
    </w:r>
  </w:p>
  <w:p w14:paraId="2918A63A"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6A0CE93A" wp14:editId="0C5C3EE6">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DC8FE1"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7446" w14:textId="77777777" w:rsidR="002369CA" w:rsidRDefault="002369CA">
    <w:pPr>
      <w:pStyle w:val="Header"/>
    </w:pPr>
    <w:r>
      <w:rPr>
        <w:noProof/>
      </w:rPr>
      <mc:AlternateContent>
        <mc:Choice Requires="wps">
          <w:drawing>
            <wp:anchor distT="0" distB="0" distL="114300" distR="114300" simplePos="0" relativeHeight="251662336" behindDoc="0" locked="0" layoutInCell="0" allowOverlap="1" wp14:anchorId="3A081B24" wp14:editId="64060586">
              <wp:simplePos x="0" y="0"/>
              <wp:positionH relativeFrom="page">
                <wp:posOffset>0</wp:posOffset>
              </wp:positionH>
              <wp:positionV relativeFrom="page">
                <wp:posOffset>190500</wp:posOffset>
              </wp:positionV>
              <wp:extent cx="7556500" cy="273050"/>
              <wp:effectExtent l="0" t="0" r="0" b="12700"/>
              <wp:wrapNone/>
              <wp:docPr id="4" name="MSIPCMa3a54bf5b0225d2ae74b3b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0B5B56"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A081B24" id="_x0000_t202" coordsize="21600,21600" o:spt="202" path="m,l,21600r21600,l21600,xe">
              <v:stroke joinstyle="miter"/>
              <v:path gradientshapeok="t" o:connecttype="rect"/>
            </v:shapetype>
            <v:shape id="MSIPCMa3a54bf5b0225d2ae74b3b10" o:spid="_x0000_s1029" type="#_x0000_t202" alt="&quot;&quot;" style="position:absolute;margin-left:0;margin-top:15pt;width:59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0B0B5B56"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4749C"/>
    <w:multiLevelType w:val="hybridMultilevel"/>
    <w:tmpl w:val="D4A0AA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BC70BF"/>
    <w:multiLevelType w:val="multilevel"/>
    <w:tmpl w:val="B024DDBA"/>
    <w:lvl w:ilvl="0">
      <w:start w:val="1"/>
      <w:numFmt w:val="decimal"/>
      <w:lvlText w:val="%1."/>
      <w:lvlJc w:val="left"/>
      <w:pPr>
        <w:ind w:left="360" w:hanging="360"/>
      </w:pPr>
      <w:rPr>
        <w:rFonts w:asciiTheme="minorHAnsi" w:hAnsiTheme="minorHAnsi" w:cstheme="minorHAnsi" w:hint="default"/>
        <w:b/>
        <w:bCs/>
        <w:color w:val="016574" w:themeColor="accent1"/>
        <w:sz w:val="32"/>
        <w:szCs w:val="32"/>
      </w:rPr>
    </w:lvl>
    <w:lvl w:ilvl="1">
      <w:start w:val="1"/>
      <w:numFmt w:val="decimal"/>
      <w:lvlText w:val="%1.%2."/>
      <w:lvlJc w:val="left"/>
      <w:pPr>
        <w:ind w:left="3267" w:hanging="432"/>
      </w:pPr>
      <w:rPr>
        <w:rFonts w:asciiTheme="minorHAnsi" w:hAnsiTheme="minorHAnsi" w:cstheme="minorHAnsi"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6C1403"/>
    <w:multiLevelType w:val="multilevel"/>
    <w:tmpl w:val="DA92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7B67FE"/>
    <w:multiLevelType w:val="multilevel"/>
    <w:tmpl w:val="82B4C9C0"/>
    <w:lvl w:ilvl="0">
      <w:start w:val="2"/>
      <w:numFmt w:val="decimal"/>
      <w:lvlText w:val="%1"/>
      <w:lvlJc w:val="left"/>
      <w:pPr>
        <w:ind w:left="360" w:hanging="360"/>
      </w:pPr>
      <w:rPr>
        <w:rFonts w:asciiTheme="minorHAnsi" w:hAnsiTheme="minorHAnsi" w:cs="Arial" w:hint="default"/>
        <w:sz w:val="24"/>
      </w:rPr>
    </w:lvl>
    <w:lvl w:ilvl="1">
      <w:start w:val="1"/>
      <w:numFmt w:val="decimal"/>
      <w:lvlText w:val="%1.%2"/>
      <w:lvlJc w:val="left"/>
      <w:pPr>
        <w:ind w:left="360" w:hanging="360"/>
      </w:pPr>
      <w:rPr>
        <w:rFonts w:asciiTheme="minorHAnsi" w:hAnsiTheme="minorHAnsi" w:cs="Arial" w:hint="default"/>
        <w:sz w:val="24"/>
      </w:rPr>
    </w:lvl>
    <w:lvl w:ilvl="2">
      <w:start w:val="1"/>
      <w:numFmt w:val="decimal"/>
      <w:lvlText w:val="%1.%2.%3"/>
      <w:lvlJc w:val="left"/>
      <w:pPr>
        <w:ind w:left="720" w:hanging="720"/>
      </w:pPr>
      <w:rPr>
        <w:rFonts w:asciiTheme="minorHAnsi" w:hAnsiTheme="minorHAnsi" w:cs="Arial" w:hint="default"/>
        <w:sz w:val="24"/>
      </w:rPr>
    </w:lvl>
    <w:lvl w:ilvl="3">
      <w:start w:val="1"/>
      <w:numFmt w:val="decimal"/>
      <w:lvlText w:val="%1.%2.%3.%4"/>
      <w:lvlJc w:val="left"/>
      <w:pPr>
        <w:ind w:left="720" w:hanging="720"/>
      </w:pPr>
      <w:rPr>
        <w:rFonts w:asciiTheme="minorHAnsi" w:hAnsiTheme="minorHAnsi" w:cs="Arial" w:hint="default"/>
        <w:sz w:val="24"/>
      </w:rPr>
    </w:lvl>
    <w:lvl w:ilvl="4">
      <w:start w:val="1"/>
      <w:numFmt w:val="decimal"/>
      <w:lvlText w:val="%1.%2.%3.%4.%5"/>
      <w:lvlJc w:val="left"/>
      <w:pPr>
        <w:ind w:left="720" w:hanging="720"/>
      </w:pPr>
      <w:rPr>
        <w:rFonts w:asciiTheme="minorHAnsi" w:hAnsiTheme="minorHAnsi" w:cs="Arial" w:hint="default"/>
        <w:sz w:val="24"/>
      </w:rPr>
    </w:lvl>
    <w:lvl w:ilvl="5">
      <w:start w:val="1"/>
      <w:numFmt w:val="decimal"/>
      <w:lvlText w:val="%1.%2.%3.%4.%5.%6"/>
      <w:lvlJc w:val="left"/>
      <w:pPr>
        <w:ind w:left="1080" w:hanging="1080"/>
      </w:pPr>
      <w:rPr>
        <w:rFonts w:asciiTheme="minorHAnsi" w:hAnsiTheme="minorHAnsi" w:cs="Arial" w:hint="default"/>
        <w:sz w:val="24"/>
      </w:rPr>
    </w:lvl>
    <w:lvl w:ilvl="6">
      <w:start w:val="1"/>
      <w:numFmt w:val="decimal"/>
      <w:lvlText w:val="%1.%2.%3.%4.%5.%6.%7"/>
      <w:lvlJc w:val="left"/>
      <w:pPr>
        <w:ind w:left="1080" w:hanging="1080"/>
      </w:pPr>
      <w:rPr>
        <w:rFonts w:asciiTheme="minorHAnsi" w:hAnsiTheme="minorHAnsi" w:cs="Arial" w:hint="default"/>
        <w:sz w:val="24"/>
      </w:rPr>
    </w:lvl>
    <w:lvl w:ilvl="7">
      <w:start w:val="1"/>
      <w:numFmt w:val="decimal"/>
      <w:lvlText w:val="%1.%2.%3.%4.%5.%6.%7.%8"/>
      <w:lvlJc w:val="left"/>
      <w:pPr>
        <w:ind w:left="1440" w:hanging="1440"/>
      </w:pPr>
      <w:rPr>
        <w:rFonts w:asciiTheme="minorHAnsi" w:hAnsiTheme="minorHAnsi" w:cs="Arial" w:hint="default"/>
        <w:sz w:val="24"/>
      </w:rPr>
    </w:lvl>
    <w:lvl w:ilvl="8">
      <w:start w:val="1"/>
      <w:numFmt w:val="decimal"/>
      <w:lvlText w:val="%1.%2.%3.%4.%5.%6.%7.%8.%9"/>
      <w:lvlJc w:val="left"/>
      <w:pPr>
        <w:ind w:left="1440" w:hanging="1440"/>
      </w:pPr>
      <w:rPr>
        <w:rFonts w:asciiTheme="minorHAnsi" w:hAnsiTheme="minorHAnsi" w:cs="Arial" w:hint="default"/>
        <w:sz w:val="24"/>
      </w:rPr>
    </w:lvl>
  </w:abstractNum>
  <w:abstractNum w:abstractNumId="14" w15:restartNumberingAfterBreak="0">
    <w:nsid w:val="553341DC"/>
    <w:multiLevelType w:val="hybridMultilevel"/>
    <w:tmpl w:val="940876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B4F3273"/>
    <w:multiLevelType w:val="hybridMultilevel"/>
    <w:tmpl w:val="689A5B96"/>
    <w:lvl w:ilvl="0" w:tplc="DF1CDCE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BBE4F78"/>
    <w:multiLevelType w:val="multilevel"/>
    <w:tmpl w:val="39DE879E"/>
    <w:lvl w:ilvl="0">
      <w:start w:val="3"/>
      <w:numFmt w:val="decimal"/>
      <w:lvlText w:val="%1"/>
      <w:lvlJc w:val="left"/>
      <w:pPr>
        <w:ind w:left="360" w:hanging="360"/>
      </w:pPr>
      <w:rPr>
        <w:rFonts w:asciiTheme="minorHAnsi" w:eastAsiaTheme="minorEastAsia" w:hAnsiTheme="minorHAnsi" w:cs="Arial" w:hint="default"/>
        <w:b w:val="0"/>
        <w:color w:val="auto"/>
        <w:sz w:val="24"/>
      </w:rPr>
    </w:lvl>
    <w:lvl w:ilvl="1">
      <w:start w:val="1"/>
      <w:numFmt w:val="decimal"/>
      <w:lvlText w:val="%1.%2"/>
      <w:lvlJc w:val="left"/>
      <w:pPr>
        <w:ind w:left="862" w:hanging="360"/>
      </w:pPr>
      <w:rPr>
        <w:rFonts w:asciiTheme="minorHAnsi" w:eastAsiaTheme="minorEastAsia" w:hAnsiTheme="minorHAnsi" w:cs="Arial" w:hint="default"/>
        <w:b w:val="0"/>
        <w:color w:val="auto"/>
        <w:sz w:val="24"/>
      </w:rPr>
    </w:lvl>
    <w:lvl w:ilvl="2">
      <w:start w:val="1"/>
      <w:numFmt w:val="decimal"/>
      <w:lvlText w:val="%1.%2.%3"/>
      <w:lvlJc w:val="left"/>
      <w:pPr>
        <w:ind w:left="1724" w:hanging="720"/>
      </w:pPr>
      <w:rPr>
        <w:rFonts w:asciiTheme="minorHAnsi" w:eastAsiaTheme="minorEastAsia" w:hAnsiTheme="minorHAnsi" w:cs="Arial" w:hint="default"/>
        <w:b w:val="0"/>
        <w:color w:val="auto"/>
        <w:sz w:val="24"/>
      </w:rPr>
    </w:lvl>
    <w:lvl w:ilvl="3">
      <w:start w:val="1"/>
      <w:numFmt w:val="decimal"/>
      <w:lvlText w:val="%1.%2.%3.%4"/>
      <w:lvlJc w:val="left"/>
      <w:pPr>
        <w:ind w:left="2226" w:hanging="720"/>
      </w:pPr>
      <w:rPr>
        <w:rFonts w:asciiTheme="minorHAnsi" w:eastAsiaTheme="minorEastAsia" w:hAnsiTheme="minorHAnsi" w:cs="Arial" w:hint="default"/>
        <w:b w:val="0"/>
        <w:color w:val="auto"/>
        <w:sz w:val="24"/>
      </w:rPr>
    </w:lvl>
    <w:lvl w:ilvl="4">
      <w:start w:val="1"/>
      <w:numFmt w:val="decimal"/>
      <w:lvlText w:val="%1.%2.%3.%4.%5"/>
      <w:lvlJc w:val="left"/>
      <w:pPr>
        <w:ind w:left="3088" w:hanging="1080"/>
      </w:pPr>
      <w:rPr>
        <w:rFonts w:asciiTheme="minorHAnsi" w:eastAsiaTheme="minorEastAsia" w:hAnsiTheme="minorHAnsi" w:cs="Arial" w:hint="default"/>
        <w:b w:val="0"/>
        <w:color w:val="auto"/>
        <w:sz w:val="24"/>
      </w:rPr>
    </w:lvl>
    <w:lvl w:ilvl="5">
      <w:start w:val="1"/>
      <w:numFmt w:val="decimal"/>
      <w:lvlText w:val="%1.%2.%3.%4.%5.%6"/>
      <w:lvlJc w:val="left"/>
      <w:pPr>
        <w:ind w:left="3590" w:hanging="1080"/>
      </w:pPr>
      <w:rPr>
        <w:rFonts w:asciiTheme="minorHAnsi" w:eastAsiaTheme="minorEastAsia" w:hAnsiTheme="minorHAnsi" w:cs="Arial" w:hint="default"/>
        <w:b w:val="0"/>
        <w:color w:val="auto"/>
        <w:sz w:val="24"/>
      </w:rPr>
    </w:lvl>
    <w:lvl w:ilvl="6">
      <w:start w:val="1"/>
      <w:numFmt w:val="decimal"/>
      <w:lvlText w:val="%1.%2.%3.%4.%5.%6.%7"/>
      <w:lvlJc w:val="left"/>
      <w:pPr>
        <w:ind w:left="4092" w:hanging="1080"/>
      </w:pPr>
      <w:rPr>
        <w:rFonts w:asciiTheme="minorHAnsi" w:eastAsiaTheme="minorEastAsia" w:hAnsiTheme="minorHAnsi" w:cs="Arial" w:hint="default"/>
        <w:b w:val="0"/>
        <w:color w:val="auto"/>
        <w:sz w:val="24"/>
      </w:rPr>
    </w:lvl>
    <w:lvl w:ilvl="7">
      <w:start w:val="1"/>
      <w:numFmt w:val="decimal"/>
      <w:lvlText w:val="%1.%2.%3.%4.%5.%6.%7.%8"/>
      <w:lvlJc w:val="left"/>
      <w:pPr>
        <w:ind w:left="4954" w:hanging="1440"/>
      </w:pPr>
      <w:rPr>
        <w:rFonts w:asciiTheme="minorHAnsi" w:eastAsiaTheme="minorEastAsia" w:hAnsiTheme="minorHAnsi" w:cs="Arial" w:hint="default"/>
        <w:b w:val="0"/>
        <w:color w:val="auto"/>
        <w:sz w:val="24"/>
      </w:rPr>
    </w:lvl>
    <w:lvl w:ilvl="8">
      <w:start w:val="1"/>
      <w:numFmt w:val="decimal"/>
      <w:lvlText w:val="%1.%2.%3.%4.%5.%6.%7.%8.%9"/>
      <w:lvlJc w:val="left"/>
      <w:pPr>
        <w:ind w:left="5456" w:hanging="1440"/>
      </w:pPr>
      <w:rPr>
        <w:rFonts w:asciiTheme="minorHAnsi" w:eastAsiaTheme="minorEastAsia" w:hAnsiTheme="minorHAnsi" w:cs="Arial" w:hint="default"/>
        <w:b w:val="0"/>
        <w:color w:val="auto"/>
        <w:sz w:val="24"/>
      </w:rPr>
    </w:lvl>
  </w:abstractNum>
  <w:abstractNum w:abstractNumId="17"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501FB8"/>
    <w:multiLevelType w:val="hybridMultilevel"/>
    <w:tmpl w:val="0C881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17"/>
  </w:num>
  <w:num w:numId="12" w16cid:durableId="903875781">
    <w:abstractNumId w:val="12"/>
  </w:num>
  <w:num w:numId="13" w16cid:durableId="1620990180">
    <w:abstractNumId w:val="10"/>
  </w:num>
  <w:num w:numId="14" w16cid:durableId="653992091">
    <w:abstractNumId w:val="11"/>
  </w:num>
  <w:num w:numId="15" w16cid:durableId="725832719">
    <w:abstractNumId w:val="18"/>
  </w:num>
  <w:num w:numId="16" w16cid:durableId="962154285">
    <w:abstractNumId w:val="13"/>
  </w:num>
  <w:num w:numId="17" w16cid:durableId="874586282">
    <w:abstractNumId w:val="15"/>
  </w:num>
  <w:num w:numId="18" w16cid:durableId="1703361882">
    <w:abstractNumId w:val="14"/>
  </w:num>
  <w:num w:numId="19" w16cid:durableId="585245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DA"/>
    <w:rsid w:val="000115AF"/>
    <w:rsid w:val="00021066"/>
    <w:rsid w:val="00032829"/>
    <w:rsid w:val="00040561"/>
    <w:rsid w:val="00070937"/>
    <w:rsid w:val="000B5A99"/>
    <w:rsid w:val="000B7559"/>
    <w:rsid w:val="000E0D15"/>
    <w:rsid w:val="000F2AD3"/>
    <w:rsid w:val="00105F31"/>
    <w:rsid w:val="001759A8"/>
    <w:rsid w:val="001C1ABD"/>
    <w:rsid w:val="00236552"/>
    <w:rsid w:val="002369CA"/>
    <w:rsid w:val="00281BB1"/>
    <w:rsid w:val="0030096D"/>
    <w:rsid w:val="0030479F"/>
    <w:rsid w:val="00317618"/>
    <w:rsid w:val="003A53A1"/>
    <w:rsid w:val="003D6E4E"/>
    <w:rsid w:val="003F5384"/>
    <w:rsid w:val="004073BC"/>
    <w:rsid w:val="00412609"/>
    <w:rsid w:val="00433F7F"/>
    <w:rsid w:val="00444AA1"/>
    <w:rsid w:val="00466D27"/>
    <w:rsid w:val="004D6DB1"/>
    <w:rsid w:val="00515778"/>
    <w:rsid w:val="00566D9D"/>
    <w:rsid w:val="005759EF"/>
    <w:rsid w:val="005900AA"/>
    <w:rsid w:val="005A355E"/>
    <w:rsid w:val="005D1213"/>
    <w:rsid w:val="005D7437"/>
    <w:rsid w:val="00622C21"/>
    <w:rsid w:val="006243FF"/>
    <w:rsid w:val="00660C79"/>
    <w:rsid w:val="006621A2"/>
    <w:rsid w:val="0067152D"/>
    <w:rsid w:val="006C34CD"/>
    <w:rsid w:val="006D16CE"/>
    <w:rsid w:val="006E5634"/>
    <w:rsid w:val="00723CDA"/>
    <w:rsid w:val="00760F9A"/>
    <w:rsid w:val="007B120D"/>
    <w:rsid w:val="007C3F12"/>
    <w:rsid w:val="007D441B"/>
    <w:rsid w:val="00801105"/>
    <w:rsid w:val="0081770A"/>
    <w:rsid w:val="00834099"/>
    <w:rsid w:val="00861B46"/>
    <w:rsid w:val="008A5426"/>
    <w:rsid w:val="008B487A"/>
    <w:rsid w:val="008B7044"/>
    <w:rsid w:val="008C1A73"/>
    <w:rsid w:val="008D113C"/>
    <w:rsid w:val="008D376F"/>
    <w:rsid w:val="008D661D"/>
    <w:rsid w:val="00917BB1"/>
    <w:rsid w:val="0096745E"/>
    <w:rsid w:val="00975D21"/>
    <w:rsid w:val="00980531"/>
    <w:rsid w:val="009828FC"/>
    <w:rsid w:val="009A240D"/>
    <w:rsid w:val="00A27E9A"/>
    <w:rsid w:val="00A4691F"/>
    <w:rsid w:val="00A9349C"/>
    <w:rsid w:val="00AE068C"/>
    <w:rsid w:val="00B21D76"/>
    <w:rsid w:val="00B26B28"/>
    <w:rsid w:val="00B46E48"/>
    <w:rsid w:val="00B54CF4"/>
    <w:rsid w:val="00B56FC1"/>
    <w:rsid w:val="00B758D5"/>
    <w:rsid w:val="00B95BFD"/>
    <w:rsid w:val="00BE1283"/>
    <w:rsid w:val="00BE60E1"/>
    <w:rsid w:val="00C569B9"/>
    <w:rsid w:val="00C63AF5"/>
    <w:rsid w:val="00C77D00"/>
    <w:rsid w:val="00C825E4"/>
    <w:rsid w:val="00CF7EFB"/>
    <w:rsid w:val="00D17846"/>
    <w:rsid w:val="00D35448"/>
    <w:rsid w:val="00D661AD"/>
    <w:rsid w:val="00DA294B"/>
    <w:rsid w:val="00DC12AB"/>
    <w:rsid w:val="00DC1FC5"/>
    <w:rsid w:val="00E245AC"/>
    <w:rsid w:val="00E62524"/>
    <w:rsid w:val="00E67C75"/>
    <w:rsid w:val="00E8589D"/>
    <w:rsid w:val="00EA297B"/>
    <w:rsid w:val="00EC6A73"/>
    <w:rsid w:val="00ED3EE7"/>
    <w:rsid w:val="00F07048"/>
    <w:rsid w:val="00F125FC"/>
    <w:rsid w:val="00F147F0"/>
    <w:rsid w:val="00F417D5"/>
    <w:rsid w:val="00F60DD8"/>
    <w:rsid w:val="00F61BFF"/>
    <w:rsid w:val="00F72274"/>
    <w:rsid w:val="00F802C1"/>
    <w:rsid w:val="00F97DFD"/>
    <w:rsid w:val="00FF5D5A"/>
    <w:rsid w:val="00FF669F"/>
    <w:rsid w:val="1D7ACA51"/>
    <w:rsid w:val="26AE4097"/>
    <w:rsid w:val="33154BFA"/>
    <w:rsid w:val="3B4611E9"/>
    <w:rsid w:val="606CC0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2C567"/>
  <w15:chartTrackingRefBased/>
  <w15:docId w15:val="{9094F61D-D27F-4E6B-B88D-20F4A0AF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NormalWeb">
    <w:name w:val="Normal (Web)"/>
    <w:basedOn w:val="Normal"/>
    <w:uiPriority w:val="99"/>
    <w:semiHidden/>
    <w:unhideWhenUsed/>
    <w:rsid w:val="00021066"/>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723CDA"/>
    <w:pPr>
      <w:ind w:left="720"/>
      <w:contextualSpacing/>
    </w:pPr>
  </w:style>
  <w:style w:type="character" w:customStyle="1" w:styleId="normaltextrun">
    <w:name w:val="normaltextrun"/>
    <w:basedOn w:val="DefaultParagraphFont"/>
    <w:rsid w:val="00723CDA"/>
  </w:style>
  <w:style w:type="character" w:styleId="CommentReference">
    <w:name w:val="annotation reference"/>
    <w:basedOn w:val="DefaultParagraphFont"/>
    <w:uiPriority w:val="99"/>
    <w:semiHidden/>
    <w:unhideWhenUsed/>
    <w:rsid w:val="00723CDA"/>
    <w:rPr>
      <w:sz w:val="16"/>
      <w:szCs w:val="16"/>
    </w:rPr>
  </w:style>
  <w:style w:type="paragraph" w:styleId="CommentText">
    <w:name w:val="annotation text"/>
    <w:basedOn w:val="Normal"/>
    <w:link w:val="CommentTextChar"/>
    <w:uiPriority w:val="99"/>
    <w:unhideWhenUsed/>
    <w:rsid w:val="00723CDA"/>
    <w:pPr>
      <w:spacing w:line="240" w:lineRule="auto"/>
    </w:pPr>
    <w:rPr>
      <w:sz w:val="20"/>
      <w:szCs w:val="20"/>
    </w:rPr>
  </w:style>
  <w:style w:type="character" w:customStyle="1" w:styleId="CommentTextChar">
    <w:name w:val="Comment Text Char"/>
    <w:basedOn w:val="DefaultParagraphFont"/>
    <w:link w:val="CommentText"/>
    <w:uiPriority w:val="99"/>
    <w:rsid w:val="00723CDA"/>
    <w:rPr>
      <w:rFonts w:eastAsiaTheme="minorEastAsia"/>
      <w:sz w:val="20"/>
      <w:szCs w:val="20"/>
    </w:rPr>
  </w:style>
  <w:style w:type="character" w:styleId="Mention">
    <w:name w:val="Mention"/>
    <w:basedOn w:val="DefaultParagraphFont"/>
    <w:uiPriority w:val="99"/>
    <w:unhideWhenUsed/>
    <w:rsid w:val="00723CDA"/>
    <w:rPr>
      <w:color w:val="2B579A"/>
      <w:shd w:val="clear" w:color="auto" w:fill="E1DFDD"/>
    </w:rPr>
  </w:style>
  <w:style w:type="character" w:customStyle="1" w:styleId="eop">
    <w:name w:val="eop"/>
    <w:basedOn w:val="DefaultParagraphFont"/>
    <w:rsid w:val="00723CDA"/>
  </w:style>
  <w:style w:type="paragraph" w:customStyle="1" w:styleId="pf0">
    <w:name w:val="pf0"/>
    <w:basedOn w:val="Normal"/>
    <w:rsid w:val="00723CDA"/>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paragraph">
    <w:name w:val="paragraph"/>
    <w:basedOn w:val="Normal"/>
    <w:rsid w:val="00E8589D"/>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4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alities@sepa.org.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36548c55ab3c0788df1d15042442fccc">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ffc8b23a5a6da7fa3a29900a0a3be1b"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2D75C-813D-428F-9D04-B914121D7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B3BF0-CAC7-41EE-906E-AD4867EF22FB}">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3B009F55-0F92-4F4E-971B-CDD33E9869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1</TotalTime>
  <Pages>4</Pages>
  <Words>1095</Words>
  <Characters>5328</Characters>
  <Application>Microsoft Office Word</Application>
  <DocSecurity>0</DocSecurity>
  <Lines>98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3</cp:revision>
  <cp:lastPrinted>2023-03-23T14:44:00Z</cp:lastPrinted>
  <dcterms:created xsi:type="dcterms:W3CDTF">2025-12-17T15:36:00Z</dcterms:created>
  <dcterms:modified xsi:type="dcterms:W3CDTF">2025-12-17T15:36:00Z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2023-03-29T16:54:40Z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f869009a-32b8-4965-9a48-fd59adde153c</vt:lpwstr>
  </property>
  <property fmtid="{D5CDD505-2E9C-101B-9397-08002B2CF9AE}" pid="8" name="MSIP_Label_ea4fd52f-9814-4cae-aa53-0ea7b16cd381_ContentBits">
    <vt:lpwstr>3</vt:lpwstr>
  </property>
  <property fmtid="{D5CDD505-2E9C-101B-9397-08002B2CF9AE}" pid="9" name="MediaServiceImageTags">
    <vt:lpwstr/>
  </property>
  <property fmtid="{D5CDD505-2E9C-101B-9397-08002B2CF9AE}" pid="10" name="ContentTypeId">
    <vt:lpwstr>0x01010004C80374B95F7240955C67127CD440EB</vt:lpwstr>
  </property>
  <property fmtid="{D5CDD505-2E9C-101B-9397-08002B2CF9AE}" pid="11" name="sepaSiteName">
    <vt:lpwstr/>
  </property>
  <property fmtid="{D5CDD505-2E9C-101B-9397-08002B2CF9AE}" pid="12" name="sepaDocType">
    <vt:lpwstr/>
  </property>
  <property fmtid="{D5CDD505-2E9C-101B-9397-08002B2CF9AE}" pid="13" name="j4a146bd1242497e854fea19bd003ce8">
    <vt:lpwstr/>
  </property>
  <property fmtid="{D5CDD505-2E9C-101B-9397-08002B2CF9AE}" pid="14" name="ef51aa4790c945b9a0419016f7ab6e29">
    <vt:lpwstr/>
  </property>
  <property fmtid="{D5CDD505-2E9C-101B-9397-08002B2CF9AE}" pid="15" name="ma72f8e6ceae418eb78a3347036104c1">
    <vt:lpwstr/>
  </property>
  <property fmtid="{D5CDD505-2E9C-101B-9397-08002B2CF9AE}" pid="16" name="sepaLocationCode">
    <vt:lpwstr/>
  </property>
  <property fmtid="{D5CDD505-2E9C-101B-9397-08002B2CF9AE}" pid="17" name="sepaIAODept">
    <vt:lpwstr/>
  </property>
  <property fmtid="{D5CDD505-2E9C-101B-9397-08002B2CF9AE}" pid="18" name="sepaSector">
    <vt:lpwstr/>
  </property>
  <property fmtid="{D5CDD505-2E9C-101B-9397-08002B2CF9AE}" pid="19" name="sepaRegime">
    <vt:lpwstr/>
  </property>
  <property fmtid="{D5CDD505-2E9C-101B-9397-08002B2CF9AE}" pid="20" name="oef38a18042f4301907f28c0522602c2">
    <vt:lpwstr/>
  </property>
  <property fmtid="{D5CDD505-2E9C-101B-9397-08002B2CF9AE}" pid="21" name="ee9e47817d504c689218031fd5e96151">
    <vt:lpwstr/>
  </property>
  <property fmtid="{D5CDD505-2E9C-101B-9397-08002B2CF9AE}" pid="22" name="sepaWaterbody">
    <vt:lpwstr/>
  </property>
  <property fmtid="{D5CDD505-2E9C-101B-9397-08002B2CF9AE}" pid="23" name="ne0f48cd5d0346faa88fbe934056f480">
    <vt:lpwstr/>
  </property>
  <property fmtid="{D5CDD505-2E9C-101B-9397-08002B2CF9AE}" pid="24" name="k30a802c90584b64ac3ae896c6a1ef3a">
    <vt:lpwstr/>
  </property>
</Properties>
</file>