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0D8A012C" w14:textId="77777777" w:rsidR="004073BC" w:rsidRDefault="00F72274" w:rsidP="00F72274">
          <w:r>
            <w:rPr>
              <w:noProof/>
            </w:rPr>
            <w:drawing>
              <wp:anchor distT="0" distB="0" distL="114300" distR="114300" simplePos="0" relativeHeight="251658241" behindDoc="1" locked="0" layoutInCell="1" allowOverlap="1" wp14:anchorId="7D33EC4B" wp14:editId="5AA5A615">
                <wp:simplePos x="0" y="0"/>
                <wp:positionH relativeFrom="page">
                  <wp:posOffset>0</wp:posOffset>
                </wp:positionH>
                <wp:positionV relativeFrom="paragraph">
                  <wp:posOffset>-1009650</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E5337E" wp14:editId="05F9E25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25B9C07" w14:textId="77777777" w:rsidR="004073BC" w:rsidRDefault="004073BC" w:rsidP="008C1A73"/>
        <w:p w14:paraId="0F7D5E03" w14:textId="77777777" w:rsidR="004073BC" w:rsidRDefault="004073BC" w:rsidP="008C1A73"/>
        <w:p w14:paraId="578C45AC" w14:textId="77777777" w:rsidR="004073BC" w:rsidRDefault="004073BC" w:rsidP="008C1A73"/>
        <w:p w14:paraId="3B59CB40" w14:textId="77777777" w:rsidR="004073BC" w:rsidRDefault="004073BC" w:rsidP="008C1A73"/>
        <w:p w14:paraId="7ED72213" w14:textId="77777777" w:rsidR="004073BC" w:rsidRDefault="004073BC" w:rsidP="008C1A73"/>
        <w:p w14:paraId="0BD20755" w14:textId="77777777" w:rsidR="0005317F" w:rsidRDefault="00281BB1" w:rsidP="00EF7F00">
          <w:pPr>
            <w:spacing w:line="240" w:lineRule="auto"/>
            <w:rPr>
              <w:b/>
              <w:bCs/>
              <w:color w:val="FFFFFF" w:themeColor="background1"/>
              <w:sz w:val="72"/>
              <w:szCs w:val="72"/>
            </w:rPr>
          </w:pPr>
          <w:r w:rsidRPr="0005317F">
            <w:rPr>
              <w:noProof/>
              <w:sz w:val="72"/>
              <w:szCs w:val="72"/>
            </w:rPr>
            <mc:AlternateContent>
              <mc:Choice Requires="wps">
                <w:drawing>
                  <wp:anchor distT="0" distB="0" distL="114300" distR="114300" simplePos="0" relativeHeight="251658240" behindDoc="0" locked="1" layoutInCell="1" allowOverlap="1" wp14:anchorId="545BE8CB" wp14:editId="42B502F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6EB862B" w14:textId="13F4519E" w:rsidR="00281BB1" w:rsidRPr="009A240D" w:rsidRDefault="000B03C4" w:rsidP="00281BB1">
                                <w:pPr>
                                  <w:pStyle w:val="BodyText1"/>
                                  <w:rPr>
                                    <w:color w:val="FFFFFF" w:themeColor="background1"/>
                                  </w:rPr>
                                </w:pPr>
                                <w:r>
                                  <w:rPr>
                                    <w:color w:val="FFFFFF" w:themeColor="background1"/>
                                  </w:rPr>
                                  <w:t>May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6EB862B" w14:textId="13F4519E" w:rsidR="00281BB1" w:rsidRPr="009A240D" w:rsidRDefault="000B03C4" w:rsidP="00281BB1">
                          <w:pPr>
                            <w:pStyle w:val="BodyText1"/>
                            <w:rPr>
                              <w:color w:val="FFFFFF" w:themeColor="background1"/>
                            </w:rPr>
                          </w:pPr>
                          <w:r>
                            <w:rPr>
                              <w:color w:val="FFFFFF" w:themeColor="background1"/>
                            </w:rPr>
                            <w:t>May 2026</w:t>
                          </w:r>
                        </w:p>
                      </w:txbxContent>
                    </v:textbox>
                    <w10:anchorlock/>
                  </v:shape>
                </w:pict>
              </mc:Fallback>
            </mc:AlternateContent>
          </w:r>
          <w:r w:rsidR="00857DF0" w:rsidRPr="0005317F">
            <w:rPr>
              <w:b/>
              <w:bCs/>
              <w:color w:val="FFFFFF" w:themeColor="background1"/>
              <w:sz w:val="72"/>
              <w:szCs w:val="72"/>
            </w:rPr>
            <w:t>Principles for the Assessment of Prospective Public Doses from</w:t>
          </w:r>
          <w:r w:rsidR="00A65F39" w:rsidRPr="0005317F">
            <w:rPr>
              <w:b/>
              <w:bCs/>
              <w:color w:val="FFFFFF" w:themeColor="background1"/>
              <w:sz w:val="72"/>
              <w:szCs w:val="72"/>
            </w:rPr>
            <w:t xml:space="preserve"> Authorised Discharges </w:t>
          </w:r>
        </w:p>
        <w:p w14:paraId="4B4CAC3D" w14:textId="77777777" w:rsidR="0005317F" w:rsidRDefault="00A65F39" w:rsidP="00EF7F00">
          <w:pPr>
            <w:spacing w:line="240" w:lineRule="auto"/>
            <w:rPr>
              <w:b/>
              <w:bCs/>
              <w:color w:val="FFFFFF" w:themeColor="background1"/>
              <w:sz w:val="72"/>
              <w:szCs w:val="72"/>
            </w:rPr>
          </w:pPr>
          <w:r w:rsidRPr="0005317F">
            <w:rPr>
              <w:b/>
              <w:bCs/>
              <w:color w:val="FFFFFF" w:themeColor="background1"/>
              <w:sz w:val="72"/>
              <w:szCs w:val="72"/>
            </w:rPr>
            <w:t>of Radioactive Waste</w:t>
          </w:r>
          <w:r w:rsidR="00857DF0" w:rsidRPr="0005317F">
            <w:rPr>
              <w:b/>
              <w:bCs/>
              <w:color w:val="FFFFFF" w:themeColor="background1"/>
              <w:sz w:val="72"/>
              <w:szCs w:val="72"/>
            </w:rPr>
            <w:t xml:space="preserve"> </w:t>
          </w:r>
          <w:r w:rsidRPr="0005317F">
            <w:rPr>
              <w:b/>
              <w:bCs/>
              <w:color w:val="FFFFFF" w:themeColor="background1"/>
              <w:sz w:val="72"/>
              <w:szCs w:val="72"/>
            </w:rPr>
            <w:t xml:space="preserve">to </w:t>
          </w:r>
        </w:p>
        <w:p w14:paraId="1340EA6B" w14:textId="137003C1" w:rsidR="00A65F39" w:rsidRPr="0005317F" w:rsidRDefault="00A65F39" w:rsidP="00EF7F00">
          <w:pPr>
            <w:spacing w:line="240" w:lineRule="auto"/>
            <w:rPr>
              <w:b/>
              <w:bCs/>
              <w:color w:val="FFFFFF" w:themeColor="background1"/>
              <w:sz w:val="72"/>
              <w:szCs w:val="72"/>
            </w:rPr>
          </w:pPr>
          <w:r w:rsidRPr="0005317F">
            <w:rPr>
              <w:b/>
              <w:bCs/>
              <w:color w:val="FFFFFF" w:themeColor="background1"/>
              <w:sz w:val="72"/>
              <w:szCs w:val="72"/>
            </w:rPr>
            <w:t>the Environment</w:t>
          </w:r>
        </w:p>
        <w:p w14:paraId="1C3321A6" w14:textId="77777777" w:rsidR="00A65F39" w:rsidRPr="0005317F" w:rsidRDefault="00A65F39" w:rsidP="00EF7F00">
          <w:pPr>
            <w:spacing w:line="240" w:lineRule="auto"/>
            <w:rPr>
              <w:b/>
              <w:bCs/>
              <w:color w:val="FFFFFF" w:themeColor="background1"/>
              <w:sz w:val="56"/>
              <w:szCs w:val="56"/>
            </w:rPr>
          </w:pPr>
        </w:p>
        <w:p w14:paraId="517CF439" w14:textId="1105B8C9" w:rsidR="00A65F39" w:rsidRDefault="00DD3D52" w:rsidP="00A65F39">
          <w:pPr>
            <w:pStyle w:val="BodyText1"/>
          </w:pPr>
          <w:r w:rsidRPr="00DD3D52">
            <w:rPr>
              <w:b/>
              <w:bCs/>
              <w:color w:val="FFFFFF" w:themeColor="background1"/>
              <w:sz w:val="56"/>
              <w:szCs w:val="56"/>
            </w:rPr>
            <w:t>RS-G-046</w:t>
          </w:r>
          <w:r w:rsidR="008C1A73">
            <w:br w:type="page"/>
          </w:r>
        </w:p>
      </w:sdtContent>
    </w:sdt>
    <w:sdt>
      <w:sdtPr>
        <w:rPr>
          <w:rFonts w:asciiTheme="minorHAnsi" w:eastAsiaTheme="minorEastAsia" w:hAnsiTheme="minorHAnsi" w:cstheme="minorBidi"/>
          <w:color w:val="auto"/>
          <w:sz w:val="24"/>
          <w:szCs w:val="24"/>
          <w:lang w:val="en-GB"/>
        </w:rPr>
        <w:id w:val="1980485392"/>
        <w:docPartObj>
          <w:docPartGallery w:val="Table of Contents"/>
          <w:docPartUnique/>
        </w:docPartObj>
      </w:sdtPr>
      <w:sdtEndPr>
        <w:rPr>
          <w:b/>
          <w:bCs/>
          <w:noProof/>
        </w:rPr>
      </w:sdtEndPr>
      <w:sdtContent>
        <w:p w14:paraId="727CD652" w14:textId="3D5050DA" w:rsidR="00A65F39" w:rsidRPr="002F729F" w:rsidRDefault="00A65F39">
          <w:pPr>
            <w:pStyle w:val="TOCHeading"/>
            <w:rPr>
              <w:rFonts w:asciiTheme="minorHAnsi" w:eastAsiaTheme="minorEastAsia" w:hAnsiTheme="minorHAnsi" w:cstheme="minorBidi"/>
              <w:color w:val="auto"/>
              <w:sz w:val="24"/>
              <w:szCs w:val="24"/>
              <w:lang w:val="en-GB"/>
            </w:rPr>
          </w:pPr>
          <w:r>
            <w:t>Contents</w:t>
          </w:r>
        </w:p>
        <w:p w14:paraId="167B284F" w14:textId="6E0FCB91" w:rsidR="006D6015" w:rsidRDefault="00A65F39">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7317355" w:history="1">
            <w:r w:rsidR="006D6015" w:rsidRPr="00A87AA4">
              <w:rPr>
                <w:rStyle w:val="Hyperlink"/>
                <w:noProof/>
              </w:rPr>
              <w:t>About this document</w:t>
            </w:r>
            <w:r w:rsidR="006D6015">
              <w:rPr>
                <w:noProof/>
                <w:webHidden/>
              </w:rPr>
              <w:tab/>
            </w:r>
            <w:r w:rsidR="006D6015">
              <w:rPr>
                <w:noProof/>
                <w:webHidden/>
              </w:rPr>
              <w:fldChar w:fldCharType="begin"/>
            </w:r>
            <w:r w:rsidR="006D6015">
              <w:rPr>
                <w:noProof/>
                <w:webHidden/>
              </w:rPr>
              <w:instrText xml:space="preserve"> PAGEREF _Toc227317355 \h </w:instrText>
            </w:r>
            <w:r w:rsidR="006D6015">
              <w:rPr>
                <w:noProof/>
                <w:webHidden/>
              </w:rPr>
            </w:r>
            <w:r w:rsidR="006D6015">
              <w:rPr>
                <w:noProof/>
                <w:webHidden/>
              </w:rPr>
              <w:fldChar w:fldCharType="separate"/>
            </w:r>
            <w:r w:rsidR="006D6015">
              <w:rPr>
                <w:noProof/>
                <w:webHidden/>
              </w:rPr>
              <w:t>3</w:t>
            </w:r>
            <w:r w:rsidR="006D6015">
              <w:rPr>
                <w:noProof/>
                <w:webHidden/>
              </w:rPr>
              <w:fldChar w:fldCharType="end"/>
            </w:r>
          </w:hyperlink>
        </w:p>
        <w:p w14:paraId="0DC61374" w14:textId="2468D89C" w:rsidR="006D6015" w:rsidRDefault="006D6015">
          <w:pPr>
            <w:pStyle w:val="TOC1"/>
            <w:tabs>
              <w:tab w:val="left" w:pos="480"/>
              <w:tab w:val="right" w:leader="dot" w:pos="10212"/>
            </w:tabs>
            <w:rPr>
              <w:noProof/>
              <w:kern w:val="2"/>
              <w:lang w:eastAsia="en-GB"/>
              <w14:ligatures w14:val="standardContextual"/>
            </w:rPr>
          </w:pPr>
          <w:hyperlink w:anchor="_Toc227317356" w:history="1">
            <w:r w:rsidRPr="00A87AA4">
              <w:rPr>
                <w:rStyle w:val="Hyperlink"/>
                <w:noProof/>
              </w:rPr>
              <w:t>1.</w:t>
            </w:r>
            <w:r>
              <w:rPr>
                <w:noProof/>
                <w:kern w:val="2"/>
                <w:lang w:eastAsia="en-GB"/>
                <w14:ligatures w14:val="standardContextual"/>
              </w:rPr>
              <w:tab/>
            </w:r>
            <w:r w:rsidRPr="00A87AA4">
              <w:rPr>
                <w:rStyle w:val="Hyperlink"/>
                <w:noProof/>
              </w:rPr>
              <w:t>Introduction</w:t>
            </w:r>
            <w:r>
              <w:rPr>
                <w:noProof/>
                <w:webHidden/>
              </w:rPr>
              <w:tab/>
            </w:r>
            <w:r>
              <w:rPr>
                <w:noProof/>
                <w:webHidden/>
              </w:rPr>
              <w:fldChar w:fldCharType="begin"/>
            </w:r>
            <w:r>
              <w:rPr>
                <w:noProof/>
                <w:webHidden/>
              </w:rPr>
              <w:instrText xml:space="preserve"> PAGEREF _Toc227317356 \h </w:instrText>
            </w:r>
            <w:r>
              <w:rPr>
                <w:noProof/>
                <w:webHidden/>
              </w:rPr>
            </w:r>
            <w:r>
              <w:rPr>
                <w:noProof/>
                <w:webHidden/>
              </w:rPr>
              <w:fldChar w:fldCharType="separate"/>
            </w:r>
            <w:r>
              <w:rPr>
                <w:noProof/>
                <w:webHidden/>
              </w:rPr>
              <w:t>4</w:t>
            </w:r>
            <w:r>
              <w:rPr>
                <w:noProof/>
                <w:webHidden/>
              </w:rPr>
              <w:fldChar w:fldCharType="end"/>
            </w:r>
          </w:hyperlink>
        </w:p>
        <w:p w14:paraId="02E4F7D3" w14:textId="7CF165CB" w:rsidR="006D6015" w:rsidRDefault="006D6015">
          <w:pPr>
            <w:pStyle w:val="TOC1"/>
            <w:tabs>
              <w:tab w:val="left" w:pos="480"/>
              <w:tab w:val="right" w:leader="dot" w:pos="10212"/>
            </w:tabs>
            <w:rPr>
              <w:noProof/>
              <w:kern w:val="2"/>
              <w:lang w:eastAsia="en-GB"/>
              <w14:ligatures w14:val="standardContextual"/>
            </w:rPr>
          </w:pPr>
          <w:hyperlink w:anchor="_Toc227317357" w:history="1">
            <w:r w:rsidRPr="00A87AA4">
              <w:rPr>
                <w:rStyle w:val="Hyperlink"/>
                <w:noProof/>
              </w:rPr>
              <w:t xml:space="preserve">2 </w:t>
            </w:r>
            <w:r>
              <w:rPr>
                <w:noProof/>
                <w:kern w:val="2"/>
                <w:lang w:eastAsia="en-GB"/>
                <w14:ligatures w14:val="standardContextual"/>
              </w:rPr>
              <w:tab/>
            </w:r>
            <w:r w:rsidRPr="00A87AA4">
              <w:rPr>
                <w:rStyle w:val="Hyperlink"/>
                <w:noProof/>
              </w:rPr>
              <w:t>Background</w:t>
            </w:r>
            <w:r>
              <w:rPr>
                <w:noProof/>
                <w:webHidden/>
              </w:rPr>
              <w:tab/>
            </w:r>
            <w:r>
              <w:rPr>
                <w:noProof/>
                <w:webHidden/>
              </w:rPr>
              <w:fldChar w:fldCharType="begin"/>
            </w:r>
            <w:r>
              <w:rPr>
                <w:noProof/>
                <w:webHidden/>
              </w:rPr>
              <w:instrText xml:space="preserve"> PAGEREF _Toc227317357 \h </w:instrText>
            </w:r>
            <w:r>
              <w:rPr>
                <w:noProof/>
                <w:webHidden/>
              </w:rPr>
            </w:r>
            <w:r>
              <w:rPr>
                <w:noProof/>
                <w:webHidden/>
              </w:rPr>
              <w:fldChar w:fldCharType="separate"/>
            </w:r>
            <w:r>
              <w:rPr>
                <w:noProof/>
                <w:webHidden/>
              </w:rPr>
              <w:t>6</w:t>
            </w:r>
            <w:r>
              <w:rPr>
                <w:noProof/>
                <w:webHidden/>
              </w:rPr>
              <w:fldChar w:fldCharType="end"/>
            </w:r>
          </w:hyperlink>
        </w:p>
        <w:p w14:paraId="25041359" w14:textId="186562DB" w:rsidR="006D6015" w:rsidRDefault="006D6015">
          <w:pPr>
            <w:pStyle w:val="TOC2"/>
            <w:tabs>
              <w:tab w:val="left" w:pos="960"/>
              <w:tab w:val="right" w:leader="dot" w:pos="10212"/>
            </w:tabs>
            <w:rPr>
              <w:noProof/>
              <w:kern w:val="2"/>
              <w:lang w:eastAsia="en-GB"/>
              <w14:ligatures w14:val="standardContextual"/>
            </w:rPr>
          </w:pPr>
          <w:hyperlink w:anchor="_Toc227317358" w:history="1">
            <w:r w:rsidRPr="00A87AA4">
              <w:rPr>
                <w:rStyle w:val="Hyperlink"/>
                <w:noProof/>
              </w:rPr>
              <w:t>2.1</w:t>
            </w:r>
            <w:r>
              <w:rPr>
                <w:noProof/>
                <w:kern w:val="2"/>
                <w:lang w:eastAsia="en-GB"/>
                <w14:ligatures w14:val="standardContextual"/>
              </w:rPr>
              <w:tab/>
            </w:r>
            <w:r w:rsidRPr="00A87AA4">
              <w:rPr>
                <w:rStyle w:val="Hyperlink"/>
                <w:noProof/>
              </w:rPr>
              <w:t>Requirement for guidance</w:t>
            </w:r>
            <w:r>
              <w:rPr>
                <w:noProof/>
                <w:webHidden/>
              </w:rPr>
              <w:tab/>
            </w:r>
            <w:r>
              <w:rPr>
                <w:noProof/>
                <w:webHidden/>
              </w:rPr>
              <w:fldChar w:fldCharType="begin"/>
            </w:r>
            <w:r>
              <w:rPr>
                <w:noProof/>
                <w:webHidden/>
              </w:rPr>
              <w:instrText xml:space="preserve"> PAGEREF _Toc227317358 \h </w:instrText>
            </w:r>
            <w:r>
              <w:rPr>
                <w:noProof/>
                <w:webHidden/>
              </w:rPr>
            </w:r>
            <w:r>
              <w:rPr>
                <w:noProof/>
                <w:webHidden/>
              </w:rPr>
              <w:fldChar w:fldCharType="separate"/>
            </w:r>
            <w:r>
              <w:rPr>
                <w:noProof/>
                <w:webHidden/>
              </w:rPr>
              <w:t>6</w:t>
            </w:r>
            <w:r>
              <w:rPr>
                <w:noProof/>
                <w:webHidden/>
              </w:rPr>
              <w:fldChar w:fldCharType="end"/>
            </w:r>
          </w:hyperlink>
        </w:p>
        <w:p w14:paraId="286711EE" w14:textId="5A8E9659" w:rsidR="006D6015" w:rsidRDefault="006D6015">
          <w:pPr>
            <w:pStyle w:val="TOC2"/>
            <w:tabs>
              <w:tab w:val="left" w:pos="960"/>
              <w:tab w:val="right" w:leader="dot" w:pos="10212"/>
            </w:tabs>
            <w:rPr>
              <w:noProof/>
              <w:kern w:val="2"/>
              <w:lang w:eastAsia="en-GB"/>
              <w14:ligatures w14:val="standardContextual"/>
            </w:rPr>
          </w:pPr>
          <w:hyperlink w:anchor="_Toc227317359" w:history="1">
            <w:r w:rsidRPr="00A87AA4">
              <w:rPr>
                <w:rStyle w:val="Hyperlink"/>
                <w:noProof/>
              </w:rPr>
              <w:t>2.2</w:t>
            </w:r>
            <w:r>
              <w:rPr>
                <w:noProof/>
                <w:kern w:val="2"/>
                <w:lang w:eastAsia="en-GB"/>
                <w14:ligatures w14:val="standardContextual"/>
              </w:rPr>
              <w:tab/>
            </w:r>
            <w:r w:rsidRPr="00A87AA4">
              <w:rPr>
                <w:rStyle w:val="Hyperlink"/>
                <w:noProof/>
              </w:rPr>
              <w:t>Radioactive waste management policy</w:t>
            </w:r>
            <w:r>
              <w:rPr>
                <w:noProof/>
                <w:webHidden/>
              </w:rPr>
              <w:tab/>
            </w:r>
            <w:r>
              <w:rPr>
                <w:noProof/>
                <w:webHidden/>
              </w:rPr>
              <w:fldChar w:fldCharType="begin"/>
            </w:r>
            <w:r>
              <w:rPr>
                <w:noProof/>
                <w:webHidden/>
              </w:rPr>
              <w:instrText xml:space="preserve"> PAGEREF _Toc227317359 \h </w:instrText>
            </w:r>
            <w:r>
              <w:rPr>
                <w:noProof/>
                <w:webHidden/>
              </w:rPr>
            </w:r>
            <w:r>
              <w:rPr>
                <w:noProof/>
                <w:webHidden/>
              </w:rPr>
              <w:fldChar w:fldCharType="separate"/>
            </w:r>
            <w:r>
              <w:rPr>
                <w:noProof/>
                <w:webHidden/>
              </w:rPr>
              <w:t>7</w:t>
            </w:r>
            <w:r>
              <w:rPr>
                <w:noProof/>
                <w:webHidden/>
              </w:rPr>
              <w:fldChar w:fldCharType="end"/>
            </w:r>
          </w:hyperlink>
        </w:p>
        <w:p w14:paraId="1527A4B7" w14:textId="1F3D8199" w:rsidR="006D6015" w:rsidRDefault="006D6015">
          <w:pPr>
            <w:pStyle w:val="TOC2"/>
            <w:tabs>
              <w:tab w:val="left" w:pos="960"/>
              <w:tab w:val="right" w:leader="dot" w:pos="10212"/>
            </w:tabs>
            <w:rPr>
              <w:noProof/>
              <w:kern w:val="2"/>
              <w:lang w:eastAsia="en-GB"/>
              <w14:ligatures w14:val="standardContextual"/>
            </w:rPr>
          </w:pPr>
          <w:hyperlink w:anchor="_Toc227317360" w:history="1">
            <w:r w:rsidRPr="00A87AA4">
              <w:rPr>
                <w:rStyle w:val="Hyperlink"/>
                <w:noProof/>
              </w:rPr>
              <w:t>2.3</w:t>
            </w:r>
            <w:r>
              <w:rPr>
                <w:noProof/>
                <w:kern w:val="2"/>
                <w:lang w:eastAsia="en-GB"/>
                <w14:ligatures w14:val="standardContextual"/>
              </w:rPr>
              <w:tab/>
            </w:r>
            <w:r w:rsidRPr="00A87AA4">
              <w:rPr>
                <w:rStyle w:val="Hyperlink"/>
                <w:noProof/>
              </w:rPr>
              <w:t>Regulatory framework</w:t>
            </w:r>
            <w:r>
              <w:rPr>
                <w:noProof/>
                <w:webHidden/>
              </w:rPr>
              <w:tab/>
            </w:r>
            <w:r>
              <w:rPr>
                <w:noProof/>
                <w:webHidden/>
              </w:rPr>
              <w:fldChar w:fldCharType="begin"/>
            </w:r>
            <w:r>
              <w:rPr>
                <w:noProof/>
                <w:webHidden/>
              </w:rPr>
              <w:instrText xml:space="preserve"> PAGEREF _Toc227317360 \h </w:instrText>
            </w:r>
            <w:r>
              <w:rPr>
                <w:noProof/>
                <w:webHidden/>
              </w:rPr>
            </w:r>
            <w:r>
              <w:rPr>
                <w:noProof/>
                <w:webHidden/>
              </w:rPr>
              <w:fldChar w:fldCharType="separate"/>
            </w:r>
            <w:r>
              <w:rPr>
                <w:noProof/>
                <w:webHidden/>
              </w:rPr>
              <w:t>9</w:t>
            </w:r>
            <w:r>
              <w:rPr>
                <w:noProof/>
                <w:webHidden/>
              </w:rPr>
              <w:fldChar w:fldCharType="end"/>
            </w:r>
          </w:hyperlink>
        </w:p>
        <w:p w14:paraId="2CE6BE5F" w14:textId="72E04F6A" w:rsidR="006D6015" w:rsidRDefault="006D6015">
          <w:pPr>
            <w:pStyle w:val="TOC2"/>
            <w:tabs>
              <w:tab w:val="left" w:pos="960"/>
              <w:tab w:val="right" w:leader="dot" w:pos="10212"/>
            </w:tabs>
            <w:rPr>
              <w:noProof/>
              <w:kern w:val="2"/>
              <w:lang w:eastAsia="en-GB"/>
              <w14:ligatures w14:val="standardContextual"/>
            </w:rPr>
          </w:pPr>
          <w:hyperlink w:anchor="_Toc227317361" w:history="1">
            <w:r w:rsidRPr="00A87AA4">
              <w:rPr>
                <w:rStyle w:val="Hyperlink"/>
                <w:noProof/>
              </w:rPr>
              <w:t>2.4</w:t>
            </w:r>
            <w:r>
              <w:rPr>
                <w:noProof/>
                <w:kern w:val="2"/>
                <w:lang w:eastAsia="en-GB"/>
                <w14:ligatures w14:val="standardContextual"/>
              </w:rPr>
              <w:tab/>
            </w:r>
            <w:r w:rsidRPr="00A87AA4">
              <w:rPr>
                <w:rStyle w:val="Hyperlink"/>
                <w:noProof/>
              </w:rPr>
              <w:t>Radiological protection criteria for public exposure</w:t>
            </w:r>
            <w:r>
              <w:rPr>
                <w:noProof/>
                <w:webHidden/>
              </w:rPr>
              <w:tab/>
            </w:r>
            <w:r>
              <w:rPr>
                <w:noProof/>
                <w:webHidden/>
              </w:rPr>
              <w:fldChar w:fldCharType="begin"/>
            </w:r>
            <w:r>
              <w:rPr>
                <w:noProof/>
                <w:webHidden/>
              </w:rPr>
              <w:instrText xml:space="preserve"> PAGEREF _Toc227317361 \h </w:instrText>
            </w:r>
            <w:r>
              <w:rPr>
                <w:noProof/>
                <w:webHidden/>
              </w:rPr>
            </w:r>
            <w:r>
              <w:rPr>
                <w:noProof/>
                <w:webHidden/>
              </w:rPr>
              <w:fldChar w:fldCharType="separate"/>
            </w:r>
            <w:r>
              <w:rPr>
                <w:noProof/>
                <w:webHidden/>
              </w:rPr>
              <w:t>11</w:t>
            </w:r>
            <w:r>
              <w:rPr>
                <w:noProof/>
                <w:webHidden/>
              </w:rPr>
              <w:fldChar w:fldCharType="end"/>
            </w:r>
          </w:hyperlink>
        </w:p>
        <w:p w14:paraId="2B221DB3" w14:textId="7BB19824" w:rsidR="006D6015" w:rsidRDefault="006D6015">
          <w:pPr>
            <w:pStyle w:val="TOC3"/>
            <w:tabs>
              <w:tab w:val="right" w:leader="dot" w:pos="10212"/>
            </w:tabs>
            <w:rPr>
              <w:noProof/>
              <w:kern w:val="2"/>
              <w:lang w:eastAsia="en-GB"/>
              <w14:ligatures w14:val="standardContextual"/>
            </w:rPr>
          </w:pPr>
          <w:hyperlink w:anchor="_Toc227317362" w:history="1">
            <w:r w:rsidRPr="00A87AA4">
              <w:rPr>
                <w:rStyle w:val="Hyperlink"/>
                <w:noProof/>
              </w:rPr>
              <w:t>Dose limits</w:t>
            </w:r>
            <w:r>
              <w:rPr>
                <w:noProof/>
                <w:webHidden/>
              </w:rPr>
              <w:tab/>
            </w:r>
            <w:r>
              <w:rPr>
                <w:noProof/>
                <w:webHidden/>
              </w:rPr>
              <w:fldChar w:fldCharType="begin"/>
            </w:r>
            <w:r>
              <w:rPr>
                <w:noProof/>
                <w:webHidden/>
              </w:rPr>
              <w:instrText xml:space="preserve"> PAGEREF _Toc227317362 \h </w:instrText>
            </w:r>
            <w:r>
              <w:rPr>
                <w:noProof/>
                <w:webHidden/>
              </w:rPr>
            </w:r>
            <w:r>
              <w:rPr>
                <w:noProof/>
                <w:webHidden/>
              </w:rPr>
              <w:fldChar w:fldCharType="separate"/>
            </w:r>
            <w:r>
              <w:rPr>
                <w:noProof/>
                <w:webHidden/>
              </w:rPr>
              <w:t>14</w:t>
            </w:r>
            <w:r>
              <w:rPr>
                <w:noProof/>
                <w:webHidden/>
              </w:rPr>
              <w:fldChar w:fldCharType="end"/>
            </w:r>
          </w:hyperlink>
        </w:p>
        <w:p w14:paraId="56DA380A" w14:textId="4C44E951" w:rsidR="006D6015" w:rsidRDefault="006D6015">
          <w:pPr>
            <w:pStyle w:val="TOC3"/>
            <w:tabs>
              <w:tab w:val="right" w:leader="dot" w:pos="10212"/>
            </w:tabs>
            <w:rPr>
              <w:noProof/>
              <w:kern w:val="2"/>
              <w:lang w:eastAsia="en-GB"/>
              <w14:ligatures w14:val="standardContextual"/>
            </w:rPr>
          </w:pPr>
          <w:hyperlink w:anchor="_Toc227317363" w:history="1">
            <w:r w:rsidRPr="00A87AA4">
              <w:rPr>
                <w:rStyle w:val="Hyperlink"/>
                <w:noProof/>
              </w:rPr>
              <w:t>Dose constraint</w:t>
            </w:r>
            <w:r>
              <w:rPr>
                <w:noProof/>
                <w:webHidden/>
              </w:rPr>
              <w:tab/>
            </w:r>
            <w:r>
              <w:rPr>
                <w:noProof/>
                <w:webHidden/>
              </w:rPr>
              <w:fldChar w:fldCharType="begin"/>
            </w:r>
            <w:r>
              <w:rPr>
                <w:noProof/>
                <w:webHidden/>
              </w:rPr>
              <w:instrText xml:space="preserve"> PAGEREF _Toc227317363 \h </w:instrText>
            </w:r>
            <w:r>
              <w:rPr>
                <w:noProof/>
                <w:webHidden/>
              </w:rPr>
            </w:r>
            <w:r>
              <w:rPr>
                <w:noProof/>
                <w:webHidden/>
              </w:rPr>
              <w:fldChar w:fldCharType="separate"/>
            </w:r>
            <w:r>
              <w:rPr>
                <w:noProof/>
                <w:webHidden/>
              </w:rPr>
              <w:t>15</w:t>
            </w:r>
            <w:r>
              <w:rPr>
                <w:noProof/>
                <w:webHidden/>
              </w:rPr>
              <w:fldChar w:fldCharType="end"/>
            </w:r>
          </w:hyperlink>
        </w:p>
        <w:p w14:paraId="0CA4B393" w14:textId="44EF58CF" w:rsidR="006D6015" w:rsidRDefault="006D6015">
          <w:pPr>
            <w:pStyle w:val="TOC3"/>
            <w:tabs>
              <w:tab w:val="right" w:leader="dot" w:pos="10212"/>
            </w:tabs>
            <w:rPr>
              <w:noProof/>
              <w:kern w:val="2"/>
              <w:lang w:eastAsia="en-GB"/>
              <w14:ligatures w14:val="standardContextual"/>
            </w:rPr>
          </w:pPr>
          <w:hyperlink w:anchor="_Toc227317364" w:history="1">
            <w:r w:rsidRPr="00A87AA4">
              <w:rPr>
                <w:rStyle w:val="Hyperlink"/>
                <w:noProof/>
              </w:rPr>
              <w:t>Threshold of optimisation and below regulatory concern</w:t>
            </w:r>
            <w:r>
              <w:rPr>
                <w:noProof/>
                <w:webHidden/>
              </w:rPr>
              <w:tab/>
            </w:r>
            <w:r>
              <w:rPr>
                <w:noProof/>
                <w:webHidden/>
              </w:rPr>
              <w:fldChar w:fldCharType="begin"/>
            </w:r>
            <w:r>
              <w:rPr>
                <w:noProof/>
                <w:webHidden/>
              </w:rPr>
              <w:instrText xml:space="preserve"> PAGEREF _Toc227317364 \h </w:instrText>
            </w:r>
            <w:r>
              <w:rPr>
                <w:noProof/>
                <w:webHidden/>
              </w:rPr>
            </w:r>
            <w:r>
              <w:rPr>
                <w:noProof/>
                <w:webHidden/>
              </w:rPr>
              <w:fldChar w:fldCharType="separate"/>
            </w:r>
            <w:r>
              <w:rPr>
                <w:noProof/>
                <w:webHidden/>
              </w:rPr>
              <w:t>16</w:t>
            </w:r>
            <w:r>
              <w:rPr>
                <w:noProof/>
                <w:webHidden/>
              </w:rPr>
              <w:fldChar w:fldCharType="end"/>
            </w:r>
          </w:hyperlink>
        </w:p>
        <w:p w14:paraId="2589BD02" w14:textId="7B8EAEB0" w:rsidR="006D6015" w:rsidRDefault="006D6015">
          <w:pPr>
            <w:pStyle w:val="TOC2"/>
            <w:tabs>
              <w:tab w:val="left" w:pos="960"/>
              <w:tab w:val="right" w:leader="dot" w:pos="10212"/>
            </w:tabs>
            <w:rPr>
              <w:noProof/>
              <w:kern w:val="2"/>
              <w:lang w:eastAsia="en-GB"/>
              <w14:ligatures w14:val="standardContextual"/>
            </w:rPr>
          </w:pPr>
          <w:hyperlink w:anchor="_Toc227317365" w:history="1">
            <w:r w:rsidRPr="00A87AA4">
              <w:rPr>
                <w:rStyle w:val="Hyperlink"/>
                <w:noProof/>
              </w:rPr>
              <w:t>2.5</w:t>
            </w:r>
            <w:r>
              <w:rPr>
                <w:noProof/>
                <w:kern w:val="2"/>
                <w:lang w:eastAsia="en-GB"/>
                <w14:ligatures w14:val="standardContextual"/>
              </w:rPr>
              <w:tab/>
            </w:r>
            <w:r w:rsidRPr="00A87AA4">
              <w:rPr>
                <w:rStyle w:val="Hyperlink"/>
                <w:noProof/>
              </w:rPr>
              <w:t>Radiological protection of the environment</w:t>
            </w:r>
            <w:r>
              <w:rPr>
                <w:noProof/>
                <w:webHidden/>
              </w:rPr>
              <w:tab/>
            </w:r>
            <w:r>
              <w:rPr>
                <w:noProof/>
                <w:webHidden/>
              </w:rPr>
              <w:fldChar w:fldCharType="begin"/>
            </w:r>
            <w:r>
              <w:rPr>
                <w:noProof/>
                <w:webHidden/>
              </w:rPr>
              <w:instrText xml:space="preserve"> PAGEREF _Toc227317365 \h </w:instrText>
            </w:r>
            <w:r>
              <w:rPr>
                <w:noProof/>
                <w:webHidden/>
              </w:rPr>
            </w:r>
            <w:r>
              <w:rPr>
                <w:noProof/>
                <w:webHidden/>
              </w:rPr>
              <w:fldChar w:fldCharType="separate"/>
            </w:r>
            <w:r>
              <w:rPr>
                <w:noProof/>
                <w:webHidden/>
              </w:rPr>
              <w:t>17</w:t>
            </w:r>
            <w:r>
              <w:rPr>
                <w:noProof/>
                <w:webHidden/>
              </w:rPr>
              <w:fldChar w:fldCharType="end"/>
            </w:r>
          </w:hyperlink>
        </w:p>
        <w:p w14:paraId="3024CED1" w14:textId="7898FD60" w:rsidR="006D6015" w:rsidRDefault="006D6015">
          <w:pPr>
            <w:pStyle w:val="TOC1"/>
            <w:tabs>
              <w:tab w:val="left" w:pos="480"/>
              <w:tab w:val="right" w:leader="dot" w:pos="10212"/>
            </w:tabs>
            <w:rPr>
              <w:noProof/>
              <w:kern w:val="2"/>
              <w:lang w:eastAsia="en-GB"/>
              <w14:ligatures w14:val="standardContextual"/>
            </w:rPr>
          </w:pPr>
          <w:hyperlink w:anchor="_Toc227317366" w:history="1">
            <w:r w:rsidRPr="00A87AA4">
              <w:rPr>
                <w:rStyle w:val="Hyperlink"/>
                <w:rFonts w:eastAsia="Times New Roman"/>
                <w:noProof/>
              </w:rPr>
              <w:t>3</w:t>
            </w:r>
            <w:r>
              <w:rPr>
                <w:noProof/>
                <w:kern w:val="2"/>
                <w:lang w:eastAsia="en-GB"/>
                <w14:ligatures w14:val="standardContextual"/>
              </w:rPr>
              <w:tab/>
            </w:r>
            <w:r w:rsidRPr="00A87AA4">
              <w:rPr>
                <w:rStyle w:val="Hyperlink"/>
                <w:rFonts w:eastAsia="Times New Roman"/>
                <w:noProof/>
              </w:rPr>
              <w:t>General dose assessment principles</w:t>
            </w:r>
            <w:r>
              <w:rPr>
                <w:noProof/>
                <w:webHidden/>
              </w:rPr>
              <w:tab/>
            </w:r>
            <w:r>
              <w:rPr>
                <w:noProof/>
                <w:webHidden/>
              </w:rPr>
              <w:fldChar w:fldCharType="begin"/>
            </w:r>
            <w:r>
              <w:rPr>
                <w:noProof/>
                <w:webHidden/>
              </w:rPr>
              <w:instrText xml:space="preserve"> PAGEREF _Toc227317366 \h </w:instrText>
            </w:r>
            <w:r>
              <w:rPr>
                <w:noProof/>
                <w:webHidden/>
              </w:rPr>
            </w:r>
            <w:r>
              <w:rPr>
                <w:noProof/>
                <w:webHidden/>
              </w:rPr>
              <w:fldChar w:fldCharType="separate"/>
            </w:r>
            <w:r>
              <w:rPr>
                <w:noProof/>
                <w:webHidden/>
              </w:rPr>
              <w:t>19</w:t>
            </w:r>
            <w:r>
              <w:rPr>
                <w:noProof/>
                <w:webHidden/>
              </w:rPr>
              <w:fldChar w:fldCharType="end"/>
            </w:r>
          </w:hyperlink>
        </w:p>
        <w:p w14:paraId="0F1F00A5" w14:textId="6A770EC4" w:rsidR="006D6015" w:rsidRDefault="006D6015">
          <w:pPr>
            <w:pStyle w:val="TOC2"/>
            <w:tabs>
              <w:tab w:val="left" w:pos="960"/>
              <w:tab w:val="right" w:leader="dot" w:pos="10212"/>
            </w:tabs>
            <w:rPr>
              <w:noProof/>
              <w:kern w:val="2"/>
              <w:lang w:eastAsia="en-GB"/>
              <w14:ligatures w14:val="standardContextual"/>
            </w:rPr>
          </w:pPr>
          <w:hyperlink w:anchor="_Toc227317367" w:history="1">
            <w:r w:rsidRPr="00A87AA4">
              <w:rPr>
                <w:rStyle w:val="Hyperlink"/>
                <w:noProof/>
              </w:rPr>
              <w:t>3.1</w:t>
            </w:r>
            <w:r>
              <w:rPr>
                <w:noProof/>
                <w:kern w:val="2"/>
                <w:lang w:eastAsia="en-GB"/>
                <w14:ligatures w14:val="standardContextual"/>
              </w:rPr>
              <w:tab/>
            </w:r>
            <w:r w:rsidRPr="00A87AA4">
              <w:rPr>
                <w:rStyle w:val="Hyperlink"/>
                <w:noProof/>
              </w:rPr>
              <w:t>Transparency of methods and data</w:t>
            </w:r>
            <w:r>
              <w:rPr>
                <w:noProof/>
                <w:webHidden/>
              </w:rPr>
              <w:tab/>
            </w:r>
            <w:r>
              <w:rPr>
                <w:noProof/>
                <w:webHidden/>
              </w:rPr>
              <w:fldChar w:fldCharType="begin"/>
            </w:r>
            <w:r>
              <w:rPr>
                <w:noProof/>
                <w:webHidden/>
              </w:rPr>
              <w:instrText xml:space="preserve"> PAGEREF _Toc227317367 \h </w:instrText>
            </w:r>
            <w:r>
              <w:rPr>
                <w:noProof/>
                <w:webHidden/>
              </w:rPr>
            </w:r>
            <w:r>
              <w:rPr>
                <w:noProof/>
                <w:webHidden/>
              </w:rPr>
              <w:fldChar w:fldCharType="separate"/>
            </w:r>
            <w:r>
              <w:rPr>
                <w:noProof/>
                <w:webHidden/>
              </w:rPr>
              <w:t>19</w:t>
            </w:r>
            <w:r>
              <w:rPr>
                <w:noProof/>
                <w:webHidden/>
              </w:rPr>
              <w:fldChar w:fldCharType="end"/>
            </w:r>
          </w:hyperlink>
        </w:p>
        <w:p w14:paraId="33686FD1" w14:textId="30F81923" w:rsidR="006D6015" w:rsidRDefault="006D6015">
          <w:pPr>
            <w:pStyle w:val="TOC2"/>
            <w:tabs>
              <w:tab w:val="left" w:pos="960"/>
              <w:tab w:val="right" w:leader="dot" w:pos="10212"/>
            </w:tabs>
            <w:rPr>
              <w:noProof/>
              <w:kern w:val="2"/>
              <w:lang w:eastAsia="en-GB"/>
              <w14:ligatures w14:val="standardContextual"/>
            </w:rPr>
          </w:pPr>
          <w:hyperlink w:anchor="_Toc227317368" w:history="1">
            <w:r w:rsidRPr="00A87AA4">
              <w:rPr>
                <w:rStyle w:val="Hyperlink"/>
                <w:noProof/>
              </w:rPr>
              <w:t>3.2</w:t>
            </w:r>
            <w:r>
              <w:rPr>
                <w:noProof/>
                <w:kern w:val="2"/>
                <w:lang w:eastAsia="en-GB"/>
                <w14:ligatures w14:val="standardContextual"/>
              </w:rPr>
              <w:tab/>
            </w:r>
            <w:r w:rsidRPr="00A87AA4">
              <w:rPr>
                <w:rStyle w:val="Hyperlink"/>
                <w:noProof/>
              </w:rPr>
              <w:t>Nuclear sites and other premises discharging radioactive waste</w:t>
            </w:r>
            <w:r>
              <w:rPr>
                <w:noProof/>
                <w:webHidden/>
              </w:rPr>
              <w:tab/>
            </w:r>
            <w:r>
              <w:rPr>
                <w:noProof/>
                <w:webHidden/>
              </w:rPr>
              <w:fldChar w:fldCharType="begin"/>
            </w:r>
            <w:r>
              <w:rPr>
                <w:noProof/>
                <w:webHidden/>
              </w:rPr>
              <w:instrText xml:space="preserve"> PAGEREF _Toc227317368 \h </w:instrText>
            </w:r>
            <w:r>
              <w:rPr>
                <w:noProof/>
                <w:webHidden/>
              </w:rPr>
            </w:r>
            <w:r>
              <w:rPr>
                <w:noProof/>
                <w:webHidden/>
              </w:rPr>
              <w:fldChar w:fldCharType="separate"/>
            </w:r>
            <w:r>
              <w:rPr>
                <w:noProof/>
                <w:webHidden/>
              </w:rPr>
              <w:t>19</w:t>
            </w:r>
            <w:r>
              <w:rPr>
                <w:noProof/>
                <w:webHidden/>
              </w:rPr>
              <w:fldChar w:fldCharType="end"/>
            </w:r>
          </w:hyperlink>
        </w:p>
        <w:p w14:paraId="48966F68" w14:textId="63A53C58" w:rsidR="006D6015" w:rsidRDefault="006D6015">
          <w:pPr>
            <w:pStyle w:val="TOC2"/>
            <w:tabs>
              <w:tab w:val="left" w:pos="960"/>
              <w:tab w:val="right" w:leader="dot" w:pos="10212"/>
            </w:tabs>
            <w:rPr>
              <w:noProof/>
              <w:kern w:val="2"/>
              <w:lang w:eastAsia="en-GB"/>
              <w14:ligatures w14:val="standardContextual"/>
            </w:rPr>
          </w:pPr>
          <w:hyperlink w:anchor="_Toc227317369" w:history="1">
            <w:r w:rsidRPr="00A87AA4">
              <w:rPr>
                <w:rStyle w:val="Hyperlink"/>
                <w:noProof/>
              </w:rPr>
              <w:t>3.3</w:t>
            </w:r>
            <w:r>
              <w:rPr>
                <w:noProof/>
                <w:kern w:val="2"/>
                <w:lang w:eastAsia="en-GB"/>
                <w14:ligatures w14:val="standardContextual"/>
              </w:rPr>
              <w:tab/>
            </w:r>
            <w:r w:rsidRPr="00A87AA4">
              <w:rPr>
                <w:rStyle w:val="Hyperlink"/>
                <w:noProof/>
              </w:rPr>
              <w:t>Members of the public and population groups</w:t>
            </w:r>
            <w:r>
              <w:rPr>
                <w:noProof/>
                <w:webHidden/>
              </w:rPr>
              <w:tab/>
            </w:r>
            <w:r>
              <w:rPr>
                <w:noProof/>
                <w:webHidden/>
              </w:rPr>
              <w:fldChar w:fldCharType="begin"/>
            </w:r>
            <w:r>
              <w:rPr>
                <w:noProof/>
                <w:webHidden/>
              </w:rPr>
              <w:instrText xml:space="preserve"> PAGEREF _Toc227317369 \h </w:instrText>
            </w:r>
            <w:r>
              <w:rPr>
                <w:noProof/>
                <w:webHidden/>
              </w:rPr>
            </w:r>
            <w:r>
              <w:rPr>
                <w:noProof/>
                <w:webHidden/>
              </w:rPr>
              <w:fldChar w:fldCharType="separate"/>
            </w:r>
            <w:r>
              <w:rPr>
                <w:noProof/>
                <w:webHidden/>
              </w:rPr>
              <w:t>19</w:t>
            </w:r>
            <w:r>
              <w:rPr>
                <w:noProof/>
                <w:webHidden/>
              </w:rPr>
              <w:fldChar w:fldCharType="end"/>
            </w:r>
          </w:hyperlink>
        </w:p>
        <w:p w14:paraId="4E3CB163" w14:textId="511B9F8F" w:rsidR="006D6015" w:rsidRDefault="006D6015">
          <w:pPr>
            <w:pStyle w:val="TOC2"/>
            <w:tabs>
              <w:tab w:val="left" w:pos="960"/>
              <w:tab w:val="right" w:leader="dot" w:pos="10212"/>
            </w:tabs>
            <w:rPr>
              <w:noProof/>
              <w:kern w:val="2"/>
              <w:lang w:eastAsia="en-GB"/>
              <w14:ligatures w14:val="standardContextual"/>
            </w:rPr>
          </w:pPr>
          <w:hyperlink w:anchor="_Toc227317370" w:history="1">
            <w:r w:rsidRPr="00A87AA4">
              <w:rPr>
                <w:rStyle w:val="Hyperlink"/>
                <w:noProof/>
              </w:rPr>
              <w:t>3.4</w:t>
            </w:r>
            <w:r>
              <w:rPr>
                <w:noProof/>
                <w:kern w:val="2"/>
                <w:lang w:eastAsia="en-GB"/>
                <w14:ligatures w14:val="standardContextual"/>
              </w:rPr>
              <w:tab/>
            </w:r>
            <w:r w:rsidRPr="00A87AA4">
              <w:rPr>
                <w:rStyle w:val="Hyperlink"/>
                <w:noProof/>
              </w:rPr>
              <w:t>Assessment criteria and exposure pathways</w:t>
            </w:r>
            <w:r>
              <w:rPr>
                <w:noProof/>
                <w:webHidden/>
              </w:rPr>
              <w:tab/>
            </w:r>
            <w:r>
              <w:rPr>
                <w:noProof/>
                <w:webHidden/>
              </w:rPr>
              <w:fldChar w:fldCharType="begin"/>
            </w:r>
            <w:r>
              <w:rPr>
                <w:noProof/>
                <w:webHidden/>
              </w:rPr>
              <w:instrText xml:space="preserve"> PAGEREF _Toc227317370 \h </w:instrText>
            </w:r>
            <w:r>
              <w:rPr>
                <w:noProof/>
                <w:webHidden/>
              </w:rPr>
            </w:r>
            <w:r>
              <w:rPr>
                <w:noProof/>
                <w:webHidden/>
              </w:rPr>
              <w:fldChar w:fldCharType="separate"/>
            </w:r>
            <w:r>
              <w:rPr>
                <w:noProof/>
                <w:webHidden/>
              </w:rPr>
              <w:t>23</w:t>
            </w:r>
            <w:r>
              <w:rPr>
                <w:noProof/>
                <w:webHidden/>
              </w:rPr>
              <w:fldChar w:fldCharType="end"/>
            </w:r>
          </w:hyperlink>
        </w:p>
        <w:p w14:paraId="096DFD2F" w14:textId="400B06C3" w:rsidR="006D6015" w:rsidRDefault="006D6015">
          <w:pPr>
            <w:pStyle w:val="TOC2"/>
            <w:tabs>
              <w:tab w:val="left" w:pos="960"/>
              <w:tab w:val="right" w:leader="dot" w:pos="10212"/>
            </w:tabs>
            <w:rPr>
              <w:noProof/>
              <w:kern w:val="2"/>
              <w:lang w:eastAsia="en-GB"/>
              <w14:ligatures w14:val="standardContextual"/>
            </w:rPr>
          </w:pPr>
          <w:hyperlink w:anchor="_Toc227317371" w:history="1">
            <w:r w:rsidRPr="00A87AA4">
              <w:rPr>
                <w:rStyle w:val="Hyperlink"/>
                <w:noProof/>
              </w:rPr>
              <w:t>3.5</w:t>
            </w:r>
            <w:r>
              <w:rPr>
                <w:noProof/>
                <w:kern w:val="2"/>
                <w:lang w:eastAsia="en-GB"/>
                <w14:ligatures w14:val="standardContextual"/>
              </w:rPr>
              <w:tab/>
            </w:r>
            <w:r w:rsidRPr="00A87AA4">
              <w:rPr>
                <w:rStyle w:val="Hyperlink"/>
                <w:noProof/>
              </w:rPr>
              <w:t>Realistic and cautious assumptions</w:t>
            </w:r>
            <w:r>
              <w:rPr>
                <w:noProof/>
                <w:webHidden/>
              </w:rPr>
              <w:tab/>
            </w:r>
            <w:r>
              <w:rPr>
                <w:noProof/>
                <w:webHidden/>
              </w:rPr>
              <w:fldChar w:fldCharType="begin"/>
            </w:r>
            <w:r>
              <w:rPr>
                <w:noProof/>
                <w:webHidden/>
              </w:rPr>
              <w:instrText xml:space="preserve"> PAGEREF _Toc227317371 \h </w:instrText>
            </w:r>
            <w:r>
              <w:rPr>
                <w:noProof/>
                <w:webHidden/>
              </w:rPr>
            </w:r>
            <w:r>
              <w:rPr>
                <w:noProof/>
                <w:webHidden/>
              </w:rPr>
              <w:fldChar w:fldCharType="separate"/>
            </w:r>
            <w:r>
              <w:rPr>
                <w:noProof/>
                <w:webHidden/>
              </w:rPr>
              <w:t>24</w:t>
            </w:r>
            <w:r>
              <w:rPr>
                <w:noProof/>
                <w:webHidden/>
              </w:rPr>
              <w:fldChar w:fldCharType="end"/>
            </w:r>
          </w:hyperlink>
        </w:p>
        <w:p w14:paraId="5B969BDC" w14:textId="20590C0E" w:rsidR="006D6015" w:rsidRDefault="006D6015">
          <w:pPr>
            <w:pStyle w:val="TOC2"/>
            <w:tabs>
              <w:tab w:val="left" w:pos="960"/>
              <w:tab w:val="right" w:leader="dot" w:pos="10212"/>
            </w:tabs>
            <w:rPr>
              <w:noProof/>
              <w:kern w:val="2"/>
              <w:lang w:eastAsia="en-GB"/>
              <w14:ligatures w14:val="standardContextual"/>
            </w:rPr>
          </w:pPr>
          <w:hyperlink w:anchor="_Toc227317372" w:history="1">
            <w:r w:rsidRPr="00A87AA4">
              <w:rPr>
                <w:rStyle w:val="Hyperlink"/>
                <w:noProof/>
              </w:rPr>
              <w:t>3.6</w:t>
            </w:r>
            <w:r>
              <w:rPr>
                <w:noProof/>
                <w:kern w:val="2"/>
                <w:lang w:eastAsia="en-GB"/>
                <w14:ligatures w14:val="standardContextual"/>
              </w:rPr>
              <w:tab/>
            </w:r>
            <w:r w:rsidRPr="00A87AA4">
              <w:rPr>
                <w:rStyle w:val="Hyperlink"/>
                <w:noProof/>
              </w:rPr>
              <w:t>Accumulation in the environment</w:t>
            </w:r>
            <w:r>
              <w:rPr>
                <w:noProof/>
                <w:webHidden/>
              </w:rPr>
              <w:tab/>
            </w:r>
            <w:r>
              <w:rPr>
                <w:noProof/>
                <w:webHidden/>
              </w:rPr>
              <w:fldChar w:fldCharType="begin"/>
            </w:r>
            <w:r>
              <w:rPr>
                <w:noProof/>
                <w:webHidden/>
              </w:rPr>
              <w:instrText xml:space="preserve"> PAGEREF _Toc227317372 \h </w:instrText>
            </w:r>
            <w:r>
              <w:rPr>
                <w:noProof/>
                <w:webHidden/>
              </w:rPr>
            </w:r>
            <w:r>
              <w:rPr>
                <w:noProof/>
                <w:webHidden/>
              </w:rPr>
              <w:fldChar w:fldCharType="separate"/>
            </w:r>
            <w:r>
              <w:rPr>
                <w:noProof/>
                <w:webHidden/>
              </w:rPr>
              <w:t>27</w:t>
            </w:r>
            <w:r>
              <w:rPr>
                <w:noProof/>
                <w:webHidden/>
              </w:rPr>
              <w:fldChar w:fldCharType="end"/>
            </w:r>
          </w:hyperlink>
        </w:p>
        <w:p w14:paraId="3BE63212" w14:textId="3BA7ACEF" w:rsidR="006D6015" w:rsidRDefault="006D6015">
          <w:pPr>
            <w:pStyle w:val="TOC2"/>
            <w:tabs>
              <w:tab w:val="left" w:pos="960"/>
              <w:tab w:val="right" w:leader="dot" w:pos="10212"/>
            </w:tabs>
            <w:rPr>
              <w:noProof/>
              <w:kern w:val="2"/>
              <w:lang w:eastAsia="en-GB"/>
              <w14:ligatures w14:val="standardContextual"/>
            </w:rPr>
          </w:pPr>
          <w:hyperlink w:anchor="_Toc227317373" w:history="1">
            <w:r w:rsidRPr="00A87AA4">
              <w:rPr>
                <w:rStyle w:val="Hyperlink"/>
                <w:noProof/>
              </w:rPr>
              <w:t>3.7</w:t>
            </w:r>
            <w:r>
              <w:rPr>
                <w:noProof/>
                <w:kern w:val="2"/>
                <w:lang w:eastAsia="en-GB"/>
                <w14:ligatures w14:val="standardContextual"/>
              </w:rPr>
              <w:tab/>
            </w:r>
            <w:r w:rsidRPr="00A87AA4">
              <w:rPr>
                <w:rStyle w:val="Hyperlink"/>
                <w:noProof/>
              </w:rPr>
              <w:t>Representative persons and their habits</w:t>
            </w:r>
            <w:r>
              <w:rPr>
                <w:noProof/>
                <w:webHidden/>
              </w:rPr>
              <w:tab/>
            </w:r>
            <w:r>
              <w:rPr>
                <w:noProof/>
                <w:webHidden/>
              </w:rPr>
              <w:fldChar w:fldCharType="begin"/>
            </w:r>
            <w:r>
              <w:rPr>
                <w:noProof/>
                <w:webHidden/>
              </w:rPr>
              <w:instrText xml:space="preserve"> PAGEREF _Toc227317373 \h </w:instrText>
            </w:r>
            <w:r>
              <w:rPr>
                <w:noProof/>
                <w:webHidden/>
              </w:rPr>
            </w:r>
            <w:r>
              <w:rPr>
                <w:noProof/>
                <w:webHidden/>
              </w:rPr>
              <w:fldChar w:fldCharType="separate"/>
            </w:r>
            <w:r>
              <w:rPr>
                <w:noProof/>
                <w:webHidden/>
              </w:rPr>
              <w:t>28</w:t>
            </w:r>
            <w:r>
              <w:rPr>
                <w:noProof/>
                <w:webHidden/>
              </w:rPr>
              <w:fldChar w:fldCharType="end"/>
            </w:r>
          </w:hyperlink>
        </w:p>
        <w:p w14:paraId="091BACA4" w14:textId="2861C890" w:rsidR="006D6015" w:rsidRDefault="006D6015">
          <w:pPr>
            <w:pStyle w:val="TOC1"/>
            <w:tabs>
              <w:tab w:val="left" w:pos="480"/>
              <w:tab w:val="right" w:leader="dot" w:pos="10212"/>
            </w:tabs>
            <w:rPr>
              <w:noProof/>
              <w:kern w:val="2"/>
              <w:lang w:eastAsia="en-GB"/>
              <w14:ligatures w14:val="standardContextual"/>
            </w:rPr>
          </w:pPr>
          <w:hyperlink w:anchor="_Toc227317374" w:history="1">
            <w:r w:rsidRPr="00A87AA4">
              <w:rPr>
                <w:rStyle w:val="Hyperlink"/>
                <w:noProof/>
              </w:rPr>
              <w:t>4</w:t>
            </w:r>
            <w:r>
              <w:rPr>
                <w:noProof/>
                <w:kern w:val="2"/>
                <w:lang w:eastAsia="en-GB"/>
                <w14:ligatures w14:val="standardContextual"/>
              </w:rPr>
              <w:tab/>
            </w:r>
            <w:r w:rsidRPr="00A87AA4">
              <w:rPr>
                <w:rStyle w:val="Hyperlink"/>
                <w:noProof/>
              </w:rPr>
              <w:t>Overview of the dose assessment process</w:t>
            </w:r>
            <w:r>
              <w:rPr>
                <w:noProof/>
                <w:webHidden/>
              </w:rPr>
              <w:tab/>
            </w:r>
            <w:r>
              <w:rPr>
                <w:noProof/>
                <w:webHidden/>
              </w:rPr>
              <w:fldChar w:fldCharType="begin"/>
            </w:r>
            <w:r>
              <w:rPr>
                <w:noProof/>
                <w:webHidden/>
              </w:rPr>
              <w:instrText xml:space="preserve"> PAGEREF _Toc227317374 \h </w:instrText>
            </w:r>
            <w:r>
              <w:rPr>
                <w:noProof/>
                <w:webHidden/>
              </w:rPr>
            </w:r>
            <w:r>
              <w:rPr>
                <w:noProof/>
                <w:webHidden/>
              </w:rPr>
              <w:fldChar w:fldCharType="separate"/>
            </w:r>
            <w:r>
              <w:rPr>
                <w:noProof/>
                <w:webHidden/>
              </w:rPr>
              <w:t>34</w:t>
            </w:r>
            <w:r>
              <w:rPr>
                <w:noProof/>
                <w:webHidden/>
              </w:rPr>
              <w:fldChar w:fldCharType="end"/>
            </w:r>
          </w:hyperlink>
        </w:p>
        <w:p w14:paraId="05BAC9BA" w14:textId="2DCA2533" w:rsidR="006D6015" w:rsidRDefault="006D6015">
          <w:pPr>
            <w:pStyle w:val="TOC1"/>
            <w:tabs>
              <w:tab w:val="left" w:pos="480"/>
              <w:tab w:val="right" w:leader="dot" w:pos="10212"/>
            </w:tabs>
            <w:rPr>
              <w:noProof/>
              <w:kern w:val="2"/>
              <w:lang w:eastAsia="en-GB"/>
              <w14:ligatures w14:val="standardContextual"/>
            </w:rPr>
          </w:pPr>
          <w:hyperlink w:anchor="_Toc227317375" w:history="1">
            <w:r w:rsidRPr="00A87AA4">
              <w:rPr>
                <w:rStyle w:val="Hyperlink"/>
                <w:noProof/>
              </w:rPr>
              <w:t>5</w:t>
            </w:r>
            <w:r>
              <w:rPr>
                <w:noProof/>
                <w:kern w:val="2"/>
                <w:lang w:eastAsia="en-GB"/>
                <w14:ligatures w14:val="standardContextual"/>
              </w:rPr>
              <w:tab/>
            </w:r>
            <w:r w:rsidRPr="00A87AA4">
              <w:rPr>
                <w:rStyle w:val="Hyperlink"/>
                <w:noProof/>
              </w:rPr>
              <w:t>Initial source assessment</w:t>
            </w:r>
            <w:r>
              <w:rPr>
                <w:noProof/>
                <w:webHidden/>
              </w:rPr>
              <w:tab/>
            </w:r>
            <w:r>
              <w:rPr>
                <w:noProof/>
                <w:webHidden/>
              </w:rPr>
              <w:fldChar w:fldCharType="begin"/>
            </w:r>
            <w:r>
              <w:rPr>
                <w:noProof/>
                <w:webHidden/>
              </w:rPr>
              <w:instrText xml:space="preserve"> PAGEREF _Toc227317375 \h </w:instrText>
            </w:r>
            <w:r>
              <w:rPr>
                <w:noProof/>
                <w:webHidden/>
              </w:rPr>
            </w:r>
            <w:r>
              <w:rPr>
                <w:noProof/>
                <w:webHidden/>
              </w:rPr>
              <w:fldChar w:fldCharType="separate"/>
            </w:r>
            <w:r>
              <w:rPr>
                <w:noProof/>
                <w:webHidden/>
              </w:rPr>
              <w:t>35</w:t>
            </w:r>
            <w:r>
              <w:rPr>
                <w:noProof/>
                <w:webHidden/>
              </w:rPr>
              <w:fldChar w:fldCharType="end"/>
            </w:r>
          </w:hyperlink>
        </w:p>
        <w:p w14:paraId="69D9963F" w14:textId="44AE0455" w:rsidR="006D6015" w:rsidRDefault="006D6015">
          <w:pPr>
            <w:pStyle w:val="TOC1"/>
            <w:tabs>
              <w:tab w:val="left" w:pos="480"/>
              <w:tab w:val="right" w:leader="dot" w:pos="10212"/>
            </w:tabs>
            <w:rPr>
              <w:noProof/>
              <w:kern w:val="2"/>
              <w:lang w:eastAsia="en-GB"/>
              <w14:ligatures w14:val="standardContextual"/>
            </w:rPr>
          </w:pPr>
          <w:hyperlink w:anchor="_Toc227317376" w:history="1">
            <w:r w:rsidRPr="00A87AA4">
              <w:rPr>
                <w:rStyle w:val="Hyperlink"/>
                <w:noProof/>
              </w:rPr>
              <w:t>6</w:t>
            </w:r>
            <w:r>
              <w:rPr>
                <w:noProof/>
                <w:kern w:val="2"/>
                <w:lang w:eastAsia="en-GB"/>
                <w14:ligatures w14:val="standardContextual"/>
              </w:rPr>
              <w:tab/>
            </w:r>
            <w:r w:rsidRPr="00A87AA4">
              <w:rPr>
                <w:rStyle w:val="Hyperlink"/>
                <w:noProof/>
              </w:rPr>
              <w:t>Detailed source and site assessment</w:t>
            </w:r>
            <w:r>
              <w:rPr>
                <w:noProof/>
                <w:webHidden/>
              </w:rPr>
              <w:tab/>
            </w:r>
            <w:r>
              <w:rPr>
                <w:noProof/>
                <w:webHidden/>
              </w:rPr>
              <w:fldChar w:fldCharType="begin"/>
            </w:r>
            <w:r>
              <w:rPr>
                <w:noProof/>
                <w:webHidden/>
              </w:rPr>
              <w:instrText xml:space="preserve"> PAGEREF _Toc227317376 \h </w:instrText>
            </w:r>
            <w:r>
              <w:rPr>
                <w:noProof/>
                <w:webHidden/>
              </w:rPr>
            </w:r>
            <w:r>
              <w:rPr>
                <w:noProof/>
                <w:webHidden/>
              </w:rPr>
              <w:fldChar w:fldCharType="separate"/>
            </w:r>
            <w:r>
              <w:rPr>
                <w:noProof/>
                <w:webHidden/>
              </w:rPr>
              <w:t>36</w:t>
            </w:r>
            <w:r>
              <w:rPr>
                <w:noProof/>
                <w:webHidden/>
              </w:rPr>
              <w:fldChar w:fldCharType="end"/>
            </w:r>
          </w:hyperlink>
        </w:p>
        <w:p w14:paraId="5B65D922" w14:textId="2401C75A" w:rsidR="006D6015" w:rsidRDefault="006D6015">
          <w:pPr>
            <w:pStyle w:val="TOC2"/>
            <w:tabs>
              <w:tab w:val="left" w:pos="960"/>
              <w:tab w:val="right" w:leader="dot" w:pos="10212"/>
            </w:tabs>
            <w:rPr>
              <w:noProof/>
              <w:kern w:val="2"/>
              <w:lang w:eastAsia="en-GB"/>
              <w14:ligatures w14:val="standardContextual"/>
            </w:rPr>
          </w:pPr>
          <w:hyperlink w:anchor="_Toc227317377" w:history="1">
            <w:r w:rsidRPr="00A87AA4">
              <w:rPr>
                <w:rStyle w:val="Hyperlink"/>
                <w:noProof/>
              </w:rPr>
              <w:t>6.1</w:t>
            </w:r>
            <w:r>
              <w:rPr>
                <w:noProof/>
                <w:kern w:val="2"/>
                <w:lang w:eastAsia="en-GB"/>
                <w14:ligatures w14:val="standardContextual"/>
              </w:rPr>
              <w:tab/>
            </w:r>
            <w:r w:rsidRPr="00A87AA4">
              <w:rPr>
                <w:rStyle w:val="Hyperlink"/>
                <w:noProof/>
              </w:rPr>
              <w:t>Steps of detailed assessment</w:t>
            </w:r>
            <w:r>
              <w:rPr>
                <w:noProof/>
                <w:webHidden/>
              </w:rPr>
              <w:tab/>
            </w:r>
            <w:r>
              <w:rPr>
                <w:noProof/>
                <w:webHidden/>
              </w:rPr>
              <w:fldChar w:fldCharType="begin"/>
            </w:r>
            <w:r>
              <w:rPr>
                <w:noProof/>
                <w:webHidden/>
              </w:rPr>
              <w:instrText xml:space="preserve"> PAGEREF _Toc227317377 \h </w:instrText>
            </w:r>
            <w:r>
              <w:rPr>
                <w:noProof/>
                <w:webHidden/>
              </w:rPr>
            </w:r>
            <w:r>
              <w:rPr>
                <w:noProof/>
                <w:webHidden/>
              </w:rPr>
              <w:fldChar w:fldCharType="separate"/>
            </w:r>
            <w:r>
              <w:rPr>
                <w:noProof/>
                <w:webHidden/>
              </w:rPr>
              <w:t>36</w:t>
            </w:r>
            <w:r>
              <w:rPr>
                <w:noProof/>
                <w:webHidden/>
              </w:rPr>
              <w:fldChar w:fldCharType="end"/>
            </w:r>
          </w:hyperlink>
        </w:p>
        <w:p w14:paraId="6D47DCEB" w14:textId="6599B20F" w:rsidR="006D6015" w:rsidRDefault="006D6015">
          <w:pPr>
            <w:pStyle w:val="TOC2"/>
            <w:tabs>
              <w:tab w:val="left" w:pos="960"/>
              <w:tab w:val="right" w:leader="dot" w:pos="10212"/>
            </w:tabs>
            <w:rPr>
              <w:noProof/>
              <w:kern w:val="2"/>
              <w:lang w:eastAsia="en-GB"/>
              <w14:ligatures w14:val="standardContextual"/>
            </w:rPr>
          </w:pPr>
          <w:hyperlink w:anchor="_Toc227317378" w:history="1">
            <w:r w:rsidRPr="00A87AA4">
              <w:rPr>
                <w:rStyle w:val="Hyperlink"/>
                <w:noProof/>
              </w:rPr>
              <w:t>6.2</w:t>
            </w:r>
            <w:r>
              <w:rPr>
                <w:noProof/>
                <w:kern w:val="2"/>
                <w:lang w:eastAsia="en-GB"/>
                <w14:ligatures w14:val="standardContextual"/>
              </w:rPr>
              <w:tab/>
            </w:r>
            <w:r w:rsidRPr="00A87AA4">
              <w:rPr>
                <w:rStyle w:val="Hyperlink"/>
                <w:noProof/>
              </w:rPr>
              <w:t>Identify/quantify source term</w:t>
            </w:r>
            <w:r>
              <w:rPr>
                <w:noProof/>
                <w:webHidden/>
              </w:rPr>
              <w:tab/>
            </w:r>
            <w:r>
              <w:rPr>
                <w:noProof/>
                <w:webHidden/>
              </w:rPr>
              <w:fldChar w:fldCharType="begin"/>
            </w:r>
            <w:r>
              <w:rPr>
                <w:noProof/>
                <w:webHidden/>
              </w:rPr>
              <w:instrText xml:space="preserve"> PAGEREF _Toc227317378 \h </w:instrText>
            </w:r>
            <w:r>
              <w:rPr>
                <w:noProof/>
                <w:webHidden/>
              </w:rPr>
            </w:r>
            <w:r>
              <w:rPr>
                <w:noProof/>
                <w:webHidden/>
              </w:rPr>
              <w:fldChar w:fldCharType="separate"/>
            </w:r>
            <w:r>
              <w:rPr>
                <w:noProof/>
                <w:webHidden/>
              </w:rPr>
              <w:t>37</w:t>
            </w:r>
            <w:r>
              <w:rPr>
                <w:noProof/>
                <w:webHidden/>
              </w:rPr>
              <w:fldChar w:fldCharType="end"/>
            </w:r>
          </w:hyperlink>
        </w:p>
        <w:p w14:paraId="78F30EF7" w14:textId="3C51DDAC" w:rsidR="006D6015" w:rsidRDefault="006D6015">
          <w:pPr>
            <w:pStyle w:val="TOC2"/>
            <w:tabs>
              <w:tab w:val="left" w:pos="960"/>
              <w:tab w:val="right" w:leader="dot" w:pos="10212"/>
            </w:tabs>
            <w:rPr>
              <w:noProof/>
              <w:kern w:val="2"/>
              <w:lang w:eastAsia="en-GB"/>
              <w14:ligatures w14:val="standardContextual"/>
            </w:rPr>
          </w:pPr>
          <w:hyperlink w:anchor="_Toc227317379" w:history="1">
            <w:r w:rsidRPr="00A87AA4">
              <w:rPr>
                <w:rStyle w:val="Hyperlink"/>
                <w:noProof/>
              </w:rPr>
              <w:t>6.3</w:t>
            </w:r>
            <w:r>
              <w:rPr>
                <w:noProof/>
                <w:kern w:val="2"/>
                <w:lang w:eastAsia="en-GB"/>
                <w14:ligatures w14:val="standardContextual"/>
              </w:rPr>
              <w:tab/>
            </w:r>
            <w:r w:rsidRPr="00A87AA4">
              <w:rPr>
                <w:rStyle w:val="Hyperlink"/>
                <w:noProof/>
              </w:rPr>
              <w:t>Model radionuclide transfer in the environment</w:t>
            </w:r>
            <w:r>
              <w:rPr>
                <w:noProof/>
                <w:webHidden/>
              </w:rPr>
              <w:tab/>
            </w:r>
            <w:r>
              <w:rPr>
                <w:noProof/>
                <w:webHidden/>
              </w:rPr>
              <w:fldChar w:fldCharType="begin"/>
            </w:r>
            <w:r>
              <w:rPr>
                <w:noProof/>
                <w:webHidden/>
              </w:rPr>
              <w:instrText xml:space="preserve"> PAGEREF _Toc227317379 \h </w:instrText>
            </w:r>
            <w:r>
              <w:rPr>
                <w:noProof/>
                <w:webHidden/>
              </w:rPr>
            </w:r>
            <w:r>
              <w:rPr>
                <w:noProof/>
                <w:webHidden/>
              </w:rPr>
              <w:fldChar w:fldCharType="separate"/>
            </w:r>
            <w:r>
              <w:rPr>
                <w:noProof/>
                <w:webHidden/>
              </w:rPr>
              <w:t>38</w:t>
            </w:r>
            <w:r>
              <w:rPr>
                <w:noProof/>
                <w:webHidden/>
              </w:rPr>
              <w:fldChar w:fldCharType="end"/>
            </w:r>
          </w:hyperlink>
        </w:p>
        <w:p w14:paraId="1F9213A4" w14:textId="626AF12B" w:rsidR="006D6015" w:rsidRDefault="006D6015">
          <w:pPr>
            <w:pStyle w:val="TOC3"/>
            <w:tabs>
              <w:tab w:val="right" w:leader="dot" w:pos="10212"/>
            </w:tabs>
            <w:rPr>
              <w:noProof/>
              <w:kern w:val="2"/>
              <w:lang w:eastAsia="en-GB"/>
              <w14:ligatures w14:val="standardContextual"/>
            </w:rPr>
          </w:pPr>
          <w:hyperlink w:anchor="_Toc227317380" w:history="1">
            <w:r w:rsidRPr="00A87AA4">
              <w:rPr>
                <w:rStyle w:val="Hyperlink"/>
                <w:noProof/>
              </w:rPr>
              <w:t>Atmospheric Discharges</w:t>
            </w:r>
            <w:r>
              <w:rPr>
                <w:noProof/>
                <w:webHidden/>
              </w:rPr>
              <w:tab/>
            </w:r>
            <w:r>
              <w:rPr>
                <w:noProof/>
                <w:webHidden/>
              </w:rPr>
              <w:fldChar w:fldCharType="begin"/>
            </w:r>
            <w:r>
              <w:rPr>
                <w:noProof/>
                <w:webHidden/>
              </w:rPr>
              <w:instrText xml:space="preserve"> PAGEREF _Toc227317380 \h </w:instrText>
            </w:r>
            <w:r>
              <w:rPr>
                <w:noProof/>
                <w:webHidden/>
              </w:rPr>
            </w:r>
            <w:r>
              <w:rPr>
                <w:noProof/>
                <w:webHidden/>
              </w:rPr>
              <w:fldChar w:fldCharType="separate"/>
            </w:r>
            <w:r>
              <w:rPr>
                <w:noProof/>
                <w:webHidden/>
              </w:rPr>
              <w:t>39</w:t>
            </w:r>
            <w:r>
              <w:rPr>
                <w:noProof/>
                <w:webHidden/>
              </w:rPr>
              <w:fldChar w:fldCharType="end"/>
            </w:r>
          </w:hyperlink>
        </w:p>
        <w:p w14:paraId="4208426F" w14:textId="5A7F9200" w:rsidR="006D6015" w:rsidRDefault="006D6015">
          <w:pPr>
            <w:pStyle w:val="TOC3"/>
            <w:tabs>
              <w:tab w:val="right" w:leader="dot" w:pos="10212"/>
            </w:tabs>
            <w:rPr>
              <w:noProof/>
              <w:kern w:val="2"/>
              <w:lang w:eastAsia="en-GB"/>
              <w14:ligatures w14:val="standardContextual"/>
            </w:rPr>
          </w:pPr>
          <w:hyperlink w:anchor="_Toc227317381" w:history="1">
            <w:r w:rsidRPr="00A87AA4">
              <w:rPr>
                <w:rStyle w:val="Hyperlink"/>
                <w:noProof/>
              </w:rPr>
              <w:t>Aquatic discharges</w:t>
            </w:r>
            <w:r>
              <w:rPr>
                <w:noProof/>
                <w:webHidden/>
              </w:rPr>
              <w:tab/>
            </w:r>
            <w:r>
              <w:rPr>
                <w:noProof/>
                <w:webHidden/>
              </w:rPr>
              <w:fldChar w:fldCharType="begin"/>
            </w:r>
            <w:r>
              <w:rPr>
                <w:noProof/>
                <w:webHidden/>
              </w:rPr>
              <w:instrText xml:space="preserve"> PAGEREF _Toc227317381 \h </w:instrText>
            </w:r>
            <w:r>
              <w:rPr>
                <w:noProof/>
                <w:webHidden/>
              </w:rPr>
            </w:r>
            <w:r>
              <w:rPr>
                <w:noProof/>
                <w:webHidden/>
              </w:rPr>
              <w:fldChar w:fldCharType="separate"/>
            </w:r>
            <w:r>
              <w:rPr>
                <w:noProof/>
                <w:webHidden/>
              </w:rPr>
              <w:t>40</w:t>
            </w:r>
            <w:r>
              <w:rPr>
                <w:noProof/>
                <w:webHidden/>
              </w:rPr>
              <w:fldChar w:fldCharType="end"/>
            </w:r>
          </w:hyperlink>
        </w:p>
        <w:p w14:paraId="51E97D95" w14:textId="01DF0255" w:rsidR="006D6015" w:rsidRDefault="006D6015">
          <w:pPr>
            <w:pStyle w:val="TOC2"/>
            <w:tabs>
              <w:tab w:val="left" w:pos="960"/>
              <w:tab w:val="right" w:leader="dot" w:pos="10212"/>
            </w:tabs>
            <w:rPr>
              <w:noProof/>
              <w:kern w:val="2"/>
              <w:lang w:eastAsia="en-GB"/>
              <w14:ligatures w14:val="standardContextual"/>
            </w:rPr>
          </w:pPr>
          <w:hyperlink w:anchor="_Toc227317382" w:history="1">
            <w:r w:rsidRPr="00A87AA4">
              <w:rPr>
                <w:rStyle w:val="Hyperlink"/>
                <w:noProof/>
              </w:rPr>
              <w:t>6.4</w:t>
            </w:r>
            <w:r>
              <w:rPr>
                <w:noProof/>
                <w:kern w:val="2"/>
                <w:lang w:eastAsia="en-GB"/>
                <w14:ligatures w14:val="standardContextual"/>
              </w:rPr>
              <w:tab/>
            </w:r>
            <w:r w:rsidRPr="00A87AA4">
              <w:rPr>
                <w:rStyle w:val="Hyperlink"/>
                <w:noProof/>
              </w:rPr>
              <w:t>Determine exposure pathways</w:t>
            </w:r>
            <w:r>
              <w:rPr>
                <w:noProof/>
                <w:webHidden/>
              </w:rPr>
              <w:tab/>
            </w:r>
            <w:r>
              <w:rPr>
                <w:noProof/>
                <w:webHidden/>
              </w:rPr>
              <w:fldChar w:fldCharType="begin"/>
            </w:r>
            <w:r>
              <w:rPr>
                <w:noProof/>
                <w:webHidden/>
              </w:rPr>
              <w:instrText xml:space="preserve"> PAGEREF _Toc227317382 \h </w:instrText>
            </w:r>
            <w:r>
              <w:rPr>
                <w:noProof/>
                <w:webHidden/>
              </w:rPr>
            </w:r>
            <w:r>
              <w:rPr>
                <w:noProof/>
                <w:webHidden/>
              </w:rPr>
              <w:fldChar w:fldCharType="separate"/>
            </w:r>
            <w:r>
              <w:rPr>
                <w:noProof/>
                <w:webHidden/>
              </w:rPr>
              <w:t>41</w:t>
            </w:r>
            <w:r>
              <w:rPr>
                <w:noProof/>
                <w:webHidden/>
              </w:rPr>
              <w:fldChar w:fldCharType="end"/>
            </w:r>
          </w:hyperlink>
        </w:p>
        <w:p w14:paraId="05838E21" w14:textId="5628A41C" w:rsidR="006D6015" w:rsidRDefault="006D6015">
          <w:pPr>
            <w:pStyle w:val="TOC2"/>
            <w:tabs>
              <w:tab w:val="left" w:pos="960"/>
              <w:tab w:val="right" w:leader="dot" w:pos="10212"/>
            </w:tabs>
            <w:rPr>
              <w:noProof/>
              <w:kern w:val="2"/>
              <w:lang w:eastAsia="en-GB"/>
              <w14:ligatures w14:val="standardContextual"/>
            </w:rPr>
          </w:pPr>
          <w:hyperlink w:anchor="_Toc227317383" w:history="1">
            <w:r w:rsidRPr="00A87AA4">
              <w:rPr>
                <w:rStyle w:val="Hyperlink"/>
                <w:noProof/>
              </w:rPr>
              <w:t>6.5</w:t>
            </w:r>
            <w:r>
              <w:rPr>
                <w:noProof/>
                <w:kern w:val="2"/>
                <w:lang w:eastAsia="en-GB"/>
                <w14:ligatures w14:val="standardContextual"/>
              </w:rPr>
              <w:tab/>
            </w:r>
            <w:r w:rsidRPr="00A87AA4">
              <w:rPr>
                <w:rStyle w:val="Hyperlink"/>
                <w:noProof/>
              </w:rPr>
              <w:t>Identify habits and data for exposure pathways</w:t>
            </w:r>
            <w:r>
              <w:rPr>
                <w:noProof/>
                <w:webHidden/>
              </w:rPr>
              <w:tab/>
            </w:r>
            <w:r>
              <w:rPr>
                <w:noProof/>
                <w:webHidden/>
              </w:rPr>
              <w:fldChar w:fldCharType="begin"/>
            </w:r>
            <w:r>
              <w:rPr>
                <w:noProof/>
                <w:webHidden/>
              </w:rPr>
              <w:instrText xml:space="preserve"> PAGEREF _Toc227317383 \h </w:instrText>
            </w:r>
            <w:r>
              <w:rPr>
                <w:noProof/>
                <w:webHidden/>
              </w:rPr>
            </w:r>
            <w:r>
              <w:rPr>
                <w:noProof/>
                <w:webHidden/>
              </w:rPr>
              <w:fldChar w:fldCharType="separate"/>
            </w:r>
            <w:r>
              <w:rPr>
                <w:noProof/>
                <w:webHidden/>
              </w:rPr>
              <w:t>42</w:t>
            </w:r>
            <w:r>
              <w:rPr>
                <w:noProof/>
                <w:webHidden/>
              </w:rPr>
              <w:fldChar w:fldCharType="end"/>
            </w:r>
          </w:hyperlink>
        </w:p>
        <w:p w14:paraId="22F04907" w14:textId="7BB2BCDF" w:rsidR="006D6015" w:rsidRDefault="006D6015">
          <w:pPr>
            <w:pStyle w:val="TOC3"/>
            <w:tabs>
              <w:tab w:val="right" w:leader="dot" w:pos="10212"/>
            </w:tabs>
            <w:rPr>
              <w:noProof/>
              <w:kern w:val="2"/>
              <w:lang w:eastAsia="en-GB"/>
              <w14:ligatures w14:val="standardContextual"/>
            </w:rPr>
          </w:pPr>
          <w:hyperlink w:anchor="_Toc227317384" w:history="1">
            <w:r w:rsidRPr="00A87AA4">
              <w:rPr>
                <w:rStyle w:val="Hyperlink"/>
                <w:noProof/>
              </w:rPr>
              <w:t>Atmospheric discharges</w:t>
            </w:r>
            <w:r>
              <w:rPr>
                <w:noProof/>
                <w:webHidden/>
              </w:rPr>
              <w:tab/>
            </w:r>
            <w:r>
              <w:rPr>
                <w:noProof/>
                <w:webHidden/>
              </w:rPr>
              <w:fldChar w:fldCharType="begin"/>
            </w:r>
            <w:r>
              <w:rPr>
                <w:noProof/>
                <w:webHidden/>
              </w:rPr>
              <w:instrText xml:space="preserve"> PAGEREF _Toc227317384 \h </w:instrText>
            </w:r>
            <w:r>
              <w:rPr>
                <w:noProof/>
                <w:webHidden/>
              </w:rPr>
            </w:r>
            <w:r>
              <w:rPr>
                <w:noProof/>
                <w:webHidden/>
              </w:rPr>
              <w:fldChar w:fldCharType="separate"/>
            </w:r>
            <w:r>
              <w:rPr>
                <w:noProof/>
                <w:webHidden/>
              </w:rPr>
              <w:t>42</w:t>
            </w:r>
            <w:r>
              <w:rPr>
                <w:noProof/>
                <w:webHidden/>
              </w:rPr>
              <w:fldChar w:fldCharType="end"/>
            </w:r>
          </w:hyperlink>
        </w:p>
        <w:p w14:paraId="772E5E7E" w14:textId="33B9AFF9" w:rsidR="006D6015" w:rsidRDefault="006D6015">
          <w:pPr>
            <w:pStyle w:val="TOC3"/>
            <w:tabs>
              <w:tab w:val="right" w:leader="dot" w:pos="10212"/>
            </w:tabs>
            <w:rPr>
              <w:noProof/>
              <w:kern w:val="2"/>
              <w:lang w:eastAsia="en-GB"/>
              <w14:ligatures w14:val="standardContextual"/>
            </w:rPr>
          </w:pPr>
          <w:hyperlink w:anchor="_Toc227317385" w:history="1">
            <w:r w:rsidRPr="00A87AA4">
              <w:rPr>
                <w:rStyle w:val="Hyperlink"/>
                <w:noProof/>
              </w:rPr>
              <w:t>Aquatic discharges</w:t>
            </w:r>
            <w:r>
              <w:rPr>
                <w:noProof/>
                <w:webHidden/>
              </w:rPr>
              <w:tab/>
            </w:r>
            <w:r>
              <w:rPr>
                <w:noProof/>
                <w:webHidden/>
              </w:rPr>
              <w:fldChar w:fldCharType="begin"/>
            </w:r>
            <w:r>
              <w:rPr>
                <w:noProof/>
                <w:webHidden/>
              </w:rPr>
              <w:instrText xml:space="preserve"> PAGEREF _Toc227317385 \h </w:instrText>
            </w:r>
            <w:r>
              <w:rPr>
                <w:noProof/>
                <w:webHidden/>
              </w:rPr>
            </w:r>
            <w:r>
              <w:rPr>
                <w:noProof/>
                <w:webHidden/>
              </w:rPr>
              <w:fldChar w:fldCharType="separate"/>
            </w:r>
            <w:r>
              <w:rPr>
                <w:noProof/>
                <w:webHidden/>
              </w:rPr>
              <w:t>44</w:t>
            </w:r>
            <w:r>
              <w:rPr>
                <w:noProof/>
                <w:webHidden/>
              </w:rPr>
              <w:fldChar w:fldCharType="end"/>
            </w:r>
          </w:hyperlink>
        </w:p>
        <w:p w14:paraId="48EBF684" w14:textId="3328F72B" w:rsidR="006D6015" w:rsidRDefault="006D6015">
          <w:pPr>
            <w:pStyle w:val="TOC3"/>
            <w:tabs>
              <w:tab w:val="right" w:leader="dot" w:pos="10212"/>
            </w:tabs>
            <w:rPr>
              <w:noProof/>
              <w:kern w:val="2"/>
              <w:lang w:eastAsia="en-GB"/>
              <w14:ligatures w14:val="standardContextual"/>
            </w:rPr>
          </w:pPr>
          <w:hyperlink w:anchor="_Toc227317386" w:history="1">
            <w:r w:rsidRPr="00A87AA4">
              <w:rPr>
                <w:rStyle w:val="Hyperlink"/>
                <w:noProof/>
              </w:rPr>
              <w:t>Direct radiation</w:t>
            </w:r>
            <w:r>
              <w:rPr>
                <w:noProof/>
                <w:webHidden/>
              </w:rPr>
              <w:tab/>
            </w:r>
            <w:r>
              <w:rPr>
                <w:noProof/>
                <w:webHidden/>
              </w:rPr>
              <w:fldChar w:fldCharType="begin"/>
            </w:r>
            <w:r>
              <w:rPr>
                <w:noProof/>
                <w:webHidden/>
              </w:rPr>
              <w:instrText xml:space="preserve"> PAGEREF _Toc227317386 \h </w:instrText>
            </w:r>
            <w:r>
              <w:rPr>
                <w:noProof/>
                <w:webHidden/>
              </w:rPr>
            </w:r>
            <w:r>
              <w:rPr>
                <w:noProof/>
                <w:webHidden/>
              </w:rPr>
              <w:fldChar w:fldCharType="separate"/>
            </w:r>
            <w:r>
              <w:rPr>
                <w:noProof/>
                <w:webHidden/>
              </w:rPr>
              <w:t>45</w:t>
            </w:r>
            <w:r>
              <w:rPr>
                <w:noProof/>
                <w:webHidden/>
              </w:rPr>
              <w:fldChar w:fldCharType="end"/>
            </w:r>
          </w:hyperlink>
        </w:p>
        <w:p w14:paraId="1F5D11C7" w14:textId="0140691D" w:rsidR="006D6015" w:rsidRDefault="006D6015">
          <w:pPr>
            <w:pStyle w:val="TOC3"/>
            <w:tabs>
              <w:tab w:val="right" w:leader="dot" w:pos="10212"/>
            </w:tabs>
            <w:rPr>
              <w:noProof/>
              <w:kern w:val="2"/>
              <w:lang w:eastAsia="en-GB"/>
              <w14:ligatures w14:val="standardContextual"/>
            </w:rPr>
          </w:pPr>
          <w:hyperlink w:anchor="_Toc227317387" w:history="1">
            <w:r w:rsidRPr="00A87AA4">
              <w:rPr>
                <w:rStyle w:val="Hyperlink"/>
                <w:noProof/>
              </w:rPr>
              <w:t>Habit data</w:t>
            </w:r>
            <w:r>
              <w:rPr>
                <w:noProof/>
                <w:webHidden/>
              </w:rPr>
              <w:tab/>
            </w:r>
            <w:r>
              <w:rPr>
                <w:noProof/>
                <w:webHidden/>
              </w:rPr>
              <w:fldChar w:fldCharType="begin"/>
            </w:r>
            <w:r>
              <w:rPr>
                <w:noProof/>
                <w:webHidden/>
              </w:rPr>
              <w:instrText xml:space="preserve"> PAGEREF _Toc227317387 \h </w:instrText>
            </w:r>
            <w:r>
              <w:rPr>
                <w:noProof/>
                <w:webHidden/>
              </w:rPr>
            </w:r>
            <w:r>
              <w:rPr>
                <w:noProof/>
                <w:webHidden/>
              </w:rPr>
              <w:fldChar w:fldCharType="separate"/>
            </w:r>
            <w:r>
              <w:rPr>
                <w:noProof/>
                <w:webHidden/>
              </w:rPr>
              <w:t>45</w:t>
            </w:r>
            <w:r>
              <w:rPr>
                <w:noProof/>
                <w:webHidden/>
              </w:rPr>
              <w:fldChar w:fldCharType="end"/>
            </w:r>
          </w:hyperlink>
        </w:p>
        <w:p w14:paraId="507FC161" w14:textId="551BB46C" w:rsidR="006D6015" w:rsidRDefault="006D6015">
          <w:pPr>
            <w:pStyle w:val="TOC2"/>
            <w:tabs>
              <w:tab w:val="left" w:pos="960"/>
              <w:tab w:val="right" w:leader="dot" w:pos="10212"/>
            </w:tabs>
            <w:rPr>
              <w:noProof/>
              <w:kern w:val="2"/>
              <w:lang w:eastAsia="en-GB"/>
              <w14:ligatures w14:val="standardContextual"/>
            </w:rPr>
          </w:pPr>
          <w:hyperlink w:anchor="_Toc227317388" w:history="1">
            <w:r w:rsidRPr="00A87AA4">
              <w:rPr>
                <w:rStyle w:val="Hyperlink"/>
                <w:noProof/>
              </w:rPr>
              <w:t>6.6</w:t>
            </w:r>
            <w:r>
              <w:rPr>
                <w:noProof/>
                <w:kern w:val="2"/>
                <w:lang w:eastAsia="en-GB"/>
                <w14:ligatures w14:val="standardContextual"/>
              </w:rPr>
              <w:tab/>
            </w:r>
            <w:r w:rsidRPr="00A87AA4">
              <w:rPr>
                <w:rStyle w:val="Hyperlink"/>
                <w:noProof/>
              </w:rPr>
              <w:t>Determine candidates for the representative person from realistic combinations of habits</w:t>
            </w:r>
            <w:r>
              <w:rPr>
                <w:noProof/>
                <w:webHidden/>
              </w:rPr>
              <w:tab/>
            </w:r>
            <w:r>
              <w:rPr>
                <w:noProof/>
                <w:webHidden/>
              </w:rPr>
              <w:fldChar w:fldCharType="begin"/>
            </w:r>
            <w:r>
              <w:rPr>
                <w:noProof/>
                <w:webHidden/>
              </w:rPr>
              <w:instrText xml:space="preserve"> PAGEREF _Toc227317388 \h </w:instrText>
            </w:r>
            <w:r>
              <w:rPr>
                <w:noProof/>
                <w:webHidden/>
              </w:rPr>
            </w:r>
            <w:r>
              <w:rPr>
                <w:noProof/>
                <w:webHidden/>
              </w:rPr>
              <w:fldChar w:fldCharType="separate"/>
            </w:r>
            <w:r>
              <w:rPr>
                <w:noProof/>
                <w:webHidden/>
              </w:rPr>
              <w:t>46</w:t>
            </w:r>
            <w:r>
              <w:rPr>
                <w:noProof/>
                <w:webHidden/>
              </w:rPr>
              <w:fldChar w:fldCharType="end"/>
            </w:r>
          </w:hyperlink>
        </w:p>
        <w:p w14:paraId="502A8805" w14:textId="5707CE81" w:rsidR="006D6015" w:rsidRDefault="006D6015">
          <w:pPr>
            <w:pStyle w:val="TOC2"/>
            <w:tabs>
              <w:tab w:val="left" w:pos="960"/>
              <w:tab w:val="right" w:leader="dot" w:pos="10212"/>
            </w:tabs>
            <w:rPr>
              <w:noProof/>
              <w:kern w:val="2"/>
              <w:lang w:eastAsia="en-GB"/>
              <w14:ligatures w14:val="standardContextual"/>
            </w:rPr>
          </w:pPr>
          <w:hyperlink w:anchor="_Toc227317389" w:history="1">
            <w:r w:rsidRPr="00A87AA4">
              <w:rPr>
                <w:rStyle w:val="Hyperlink"/>
                <w:noProof/>
              </w:rPr>
              <w:t>6.7</w:t>
            </w:r>
            <w:r>
              <w:rPr>
                <w:noProof/>
                <w:kern w:val="2"/>
                <w:lang w:eastAsia="en-GB"/>
                <w14:ligatures w14:val="standardContextual"/>
              </w:rPr>
              <w:tab/>
            </w:r>
            <w:r w:rsidRPr="00A87AA4">
              <w:rPr>
                <w:rStyle w:val="Hyperlink"/>
                <w:noProof/>
              </w:rPr>
              <w:t>Estimate doses for candidates for the representative person</w:t>
            </w:r>
            <w:r>
              <w:rPr>
                <w:noProof/>
                <w:webHidden/>
              </w:rPr>
              <w:tab/>
            </w:r>
            <w:r>
              <w:rPr>
                <w:noProof/>
                <w:webHidden/>
              </w:rPr>
              <w:fldChar w:fldCharType="begin"/>
            </w:r>
            <w:r>
              <w:rPr>
                <w:noProof/>
                <w:webHidden/>
              </w:rPr>
              <w:instrText xml:space="preserve"> PAGEREF _Toc227317389 \h </w:instrText>
            </w:r>
            <w:r>
              <w:rPr>
                <w:noProof/>
                <w:webHidden/>
              </w:rPr>
            </w:r>
            <w:r>
              <w:rPr>
                <w:noProof/>
                <w:webHidden/>
              </w:rPr>
              <w:fldChar w:fldCharType="separate"/>
            </w:r>
            <w:r>
              <w:rPr>
                <w:noProof/>
                <w:webHidden/>
              </w:rPr>
              <w:t>47</w:t>
            </w:r>
            <w:r>
              <w:rPr>
                <w:noProof/>
                <w:webHidden/>
              </w:rPr>
              <w:fldChar w:fldCharType="end"/>
            </w:r>
          </w:hyperlink>
        </w:p>
        <w:p w14:paraId="0AB1033C" w14:textId="05F1C9EE" w:rsidR="006D6015" w:rsidRDefault="006D6015">
          <w:pPr>
            <w:pStyle w:val="TOC2"/>
            <w:tabs>
              <w:tab w:val="left" w:pos="960"/>
              <w:tab w:val="right" w:leader="dot" w:pos="10212"/>
            </w:tabs>
            <w:rPr>
              <w:noProof/>
              <w:kern w:val="2"/>
              <w:lang w:eastAsia="en-GB"/>
              <w14:ligatures w14:val="standardContextual"/>
            </w:rPr>
          </w:pPr>
          <w:hyperlink w:anchor="_Toc227317390" w:history="1">
            <w:r w:rsidRPr="00A87AA4">
              <w:rPr>
                <w:rStyle w:val="Hyperlink"/>
                <w:noProof/>
              </w:rPr>
              <w:t>6.8</w:t>
            </w:r>
            <w:r>
              <w:rPr>
                <w:noProof/>
                <w:kern w:val="2"/>
                <w:lang w:eastAsia="en-GB"/>
                <w14:ligatures w14:val="standardContextual"/>
              </w:rPr>
              <w:tab/>
            </w:r>
            <w:r w:rsidRPr="00A87AA4">
              <w:rPr>
                <w:rStyle w:val="Hyperlink"/>
                <w:noProof/>
              </w:rPr>
              <w:t>Determine the representative person</w:t>
            </w:r>
            <w:r>
              <w:rPr>
                <w:noProof/>
                <w:webHidden/>
              </w:rPr>
              <w:tab/>
            </w:r>
            <w:r>
              <w:rPr>
                <w:noProof/>
                <w:webHidden/>
              </w:rPr>
              <w:fldChar w:fldCharType="begin"/>
            </w:r>
            <w:r>
              <w:rPr>
                <w:noProof/>
                <w:webHidden/>
              </w:rPr>
              <w:instrText xml:space="preserve"> PAGEREF _Toc227317390 \h </w:instrText>
            </w:r>
            <w:r>
              <w:rPr>
                <w:noProof/>
                <w:webHidden/>
              </w:rPr>
            </w:r>
            <w:r>
              <w:rPr>
                <w:noProof/>
                <w:webHidden/>
              </w:rPr>
              <w:fldChar w:fldCharType="separate"/>
            </w:r>
            <w:r>
              <w:rPr>
                <w:noProof/>
                <w:webHidden/>
              </w:rPr>
              <w:t>48</w:t>
            </w:r>
            <w:r>
              <w:rPr>
                <w:noProof/>
                <w:webHidden/>
              </w:rPr>
              <w:fldChar w:fldCharType="end"/>
            </w:r>
          </w:hyperlink>
        </w:p>
        <w:p w14:paraId="43D5B8FD" w14:textId="4CDDA215" w:rsidR="006D6015" w:rsidRDefault="006D6015">
          <w:pPr>
            <w:pStyle w:val="TOC2"/>
            <w:tabs>
              <w:tab w:val="left" w:pos="960"/>
              <w:tab w:val="right" w:leader="dot" w:pos="10212"/>
            </w:tabs>
            <w:rPr>
              <w:noProof/>
              <w:kern w:val="2"/>
              <w:lang w:eastAsia="en-GB"/>
              <w14:ligatures w14:val="standardContextual"/>
            </w:rPr>
          </w:pPr>
          <w:hyperlink w:anchor="_Toc227317391" w:history="1">
            <w:r w:rsidRPr="00A87AA4">
              <w:rPr>
                <w:rStyle w:val="Hyperlink"/>
                <w:noProof/>
              </w:rPr>
              <w:t>6.9</w:t>
            </w:r>
            <w:r>
              <w:rPr>
                <w:noProof/>
                <w:kern w:val="2"/>
                <w:lang w:eastAsia="en-GB"/>
                <w14:ligatures w14:val="standardContextual"/>
              </w:rPr>
              <w:tab/>
            </w:r>
            <w:r w:rsidRPr="00A87AA4">
              <w:rPr>
                <w:rStyle w:val="Hyperlink"/>
                <w:noProof/>
              </w:rPr>
              <w:t>Total dose</w:t>
            </w:r>
            <w:r>
              <w:rPr>
                <w:noProof/>
                <w:webHidden/>
              </w:rPr>
              <w:tab/>
            </w:r>
            <w:r>
              <w:rPr>
                <w:noProof/>
                <w:webHidden/>
              </w:rPr>
              <w:fldChar w:fldCharType="begin"/>
            </w:r>
            <w:r>
              <w:rPr>
                <w:noProof/>
                <w:webHidden/>
              </w:rPr>
              <w:instrText xml:space="preserve"> PAGEREF _Toc227317391 \h </w:instrText>
            </w:r>
            <w:r>
              <w:rPr>
                <w:noProof/>
                <w:webHidden/>
              </w:rPr>
            </w:r>
            <w:r>
              <w:rPr>
                <w:noProof/>
                <w:webHidden/>
              </w:rPr>
              <w:fldChar w:fldCharType="separate"/>
            </w:r>
            <w:r>
              <w:rPr>
                <w:noProof/>
                <w:webHidden/>
              </w:rPr>
              <w:t>48</w:t>
            </w:r>
            <w:r>
              <w:rPr>
                <w:noProof/>
                <w:webHidden/>
              </w:rPr>
              <w:fldChar w:fldCharType="end"/>
            </w:r>
          </w:hyperlink>
        </w:p>
        <w:p w14:paraId="7926917B" w14:textId="2A608B82" w:rsidR="006D6015" w:rsidRDefault="006D6015">
          <w:pPr>
            <w:pStyle w:val="TOC1"/>
            <w:tabs>
              <w:tab w:val="left" w:pos="480"/>
              <w:tab w:val="right" w:leader="dot" w:pos="10212"/>
            </w:tabs>
            <w:rPr>
              <w:noProof/>
              <w:kern w:val="2"/>
              <w:lang w:eastAsia="en-GB"/>
              <w14:ligatures w14:val="standardContextual"/>
            </w:rPr>
          </w:pPr>
          <w:hyperlink w:anchor="_Toc227317392" w:history="1">
            <w:r w:rsidRPr="00A87AA4">
              <w:rPr>
                <w:rStyle w:val="Hyperlink"/>
                <w:noProof/>
              </w:rPr>
              <w:t>7</w:t>
            </w:r>
            <w:r>
              <w:rPr>
                <w:noProof/>
                <w:kern w:val="2"/>
                <w:lang w:eastAsia="en-GB"/>
                <w14:ligatures w14:val="standardContextual"/>
              </w:rPr>
              <w:tab/>
            </w:r>
            <w:r w:rsidRPr="00A87AA4">
              <w:rPr>
                <w:rStyle w:val="Hyperlink"/>
                <w:noProof/>
              </w:rPr>
              <w:t>Short term release assessment</w:t>
            </w:r>
            <w:r>
              <w:rPr>
                <w:noProof/>
                <w:webHidden/>
              </w:rPr>
              <w:tab/>
            </w:r>
            <w:r>
              <w:rPr>
                <w:noProof/>
                <w:webHidden/>
              </w:rPr>
              <w:fldChar w:fldCharType="begin"/>
            </w:r>
            <w:r>
              <w:rPr>
                <w:noProof/>
                <w:webHidden/>
              </w:rPr>
              <w:instrText xml:space="preserve"> PAGEREF _Toc227317392 \h </w:instrText>
            </w:r>
            <w:r>
              <w:rPr>
                <w:noProof/>
                <w:webHidden/>
              </w:rPr>
            </w:r>
            <w:r>
              <w:rPr>
                <w:noProof/>
                <w:webHidden/>
              </w:rPr>
              <w:fldChar w:fldCharType="separate"/>
            </w:r>
            <w:r>
              <w:rPr>
                <w:noProof/>
                <w:webHidden/>
              </w:rPr>
              <w:t>50</w:t>
            </w:r>
            <w:r>
              <w:rPr>
                <w:noProof/>
                <w:webHidden/>
              </w:rPr>
              <w:fldChar w:fldCharType="end"/>
            </w:r>
          </w:hyperlink>
        </w:p>
        <w:p w14:paraId="57A81823" w14:textId="7E971E5E" w:rsidR="006D6015" w:rsidRDefault="006D6015">
          <w:pPr>
            <w:pStyle w:val="TOC1"/>
            <w:tabs>
              <w:tab w:val="left" w:pos="480"/>
              <w:tab w:val="right" w:leader="dot" w:pos="10212"/>
            </w:tabs>
            <w:rPr>
              <w:noProof/>
              <w:kern w:val="2"/>
              <w:lang w:eastAsia="en-GB"/>
              <w14:ligatures w14:val="standardContextual"/>
            </w:rPr>
          </w:pPr>
          <w:hyperlink w:anchor="_Toc227317393" w:history="1">
            <w:r w:rsidRPr="00A87AA4">
              <w:rPr>
                <w:rStyle w:val="Hyperlink"/>
                <w:noProof/>
              </w:rPr>
              <w:t>8</w:t>
            </w:r>
            <w:r>
              <w:rPr>
                <w:noProof/>
                <w:kern w:val="2"/>
                <w:lang w:eastAsia="en-GB"/>
                <w14:ligatures w14:val="standardContextual"/>
              </w:rPr>
              <w:tab/>
            </w:r>
            <w:r w:rsidRPr="00A87AA4">
              <w:rPr>
                <w:rStyle w:val="Hyperlink"/>
                <w:noProof/>
              </w:rPr>
              <w:t>Collective dose assessment</w:t>
            </w:r>
            <w:r>
              <w:rPr>
                <w:noProof/>
                <w:webHidden/>
              </w:rPr>
              <w:tab/>
            </w:r>
            <w:r>
              <w:rPr>
                <w:noProof/>
                <w:webHidden/>
              </w:rPr>
              <w:fldChar w:fldCharType="begin"/>
            </w:r>
            <w:r>
              <w:rPr>
                <w:noProof/>
                <w:webHidden/>
              </w:rPr>
              <w:instrText xml:space="preserve"> PAGEREF _Toc227317393 \h </w:instrText>
            </w:r>
            <w:r>
              <w:rPr>
                <w:noProof/>
                <w:webHidden/>
              </w:rPr>
            </w:r>
            <w:r>
              <w:rPr>
                <w:noProof/>
                <w:webHidden/>
              </w:rPr>
              <w:fldChar w:fldCharType="separate"/>
            </w:r>
            <w:r>
              <w:rPr>
                <w:noProof/>
                <w:webHidden/>
              </w:rPr>
              <w:t>53</w:t>
            </w:r>
            <w:r>
              <w:rPr>
                <w:noProof/>
                <w:webHidden/>
              </w:rPr>
              <w:fldChar w:fldCharType="end"/>
            </w:r>
          </w:hyperlink>
        </w:p>
        <w:p w14:paraId="66B2EBAD" w14:textId="5283091D" w:rsidR="006D6015" w:rsidRDefault="006D6015">
          <w:pPr>
            <w:pStyle w:val="TOC1"/>
            <w:tabs>
              <w:tab w:val="left" w:pos="480"/>
              <w:tab w:val="right" w:leader="dot" w:pos="10212"/>
            </w:tabs>
            <w:rPr>
              <w:noProof/>
              <w:kern w:val="2"/>
              <w:lang w:eastAsia="en-GB"/>
              <w14:ligatures w14:val="standardContextual"/>
            </w:rPr>
          </w:pPr>
          <w:hyperlink w:anchor="_Toc227317394" w:history="1">
            <w:r w:rsidRPr="00A87AA4">
              <w:rPr>
                <w:rStyle w:val="Hyperlink"/>
                <w:noProof/>
              </w:rPr>
              <w:t>9</w:t>
            </w:r>
            <w:r>
              <w:rPr>
                <w:noProof/>
                <w:kern w:val="2"/>
                <w:lang w:eastAsia="en-GB"/>
                <w14:ligatures w14:val="standardContextual"/>
              </w:rPr>
              <w:tab/>
            </w:r>
            <w:r w:rsidRPr="00A87AA4">
              <w:rPr>
                <w:rStyle w:val="Hyperlink"/>
                <w:noProof/>
              </w:rPr>
              <w:t>Variability and uncertainty assessment</w:t>
            </w:r>
            <w:r>
              <w:rPr>
                <w:noProof/>
                <w:webHidden/>
              </w:rPr>
              <w:tab/>
            </w:r>
            <w:r>
              <w:rPr>
                <w:noProof/>
                <w:webHidden/>
              </w:rPr>
              <w:fldChar w:fldCharType="begin"/>
            </w:r>
            <w:r>
              <w:rPr>
                <w:noProof/>
                <w:webHidden/>
              </w:rPr>
              <w:instrText xml:space="preserve"> PAGEREF _Toc227317394 \h </w:instrText>
            </w:r>
            <w:r>
              <w:rPr>
                <w:noProof/>
                <w:webHidden/>
              </w:rPr>
            </w:r>
            <w:r>
              <w:rPr>
                <w:noProof/>
                <w:webHidden/>
              </w:rPr>
              <w:fldChar w:fldCharType="separate"/>
            </w:r>
            <w:r>
              <w:rPr>
                <w:noProof/>
                <w:webHidden/>
              </w:rPr>
              <w:t>57</w:t>
            </w:r>
            <w:r>
              <w:rPr>
                <w:noProof/>
                <w:webHidden/>
              </w:rPr>
              <w:fldChar w:fldCharType="end"/>
            </w:r>
          </w:hyperlink>
        </w:p>
        <w:p w14:paraId="79083A70" w14:textId="3A02DE6C" w:rsidR="006D6015" w:rsidRDefault="006D6015">
          <w:pPr>
            <w:pStyle w:val="TOC1"/>
            <w:tabs>
              <w:tab w:val="left" w:pos="720"/>
              <w:tab w:val="right" w:leader="dot" w:pos="10212"/>
            </w:tabs>
            <w:rPr>
              <w:noProof/>
              <w:kern w:val="2"/>
              <w:lang w:eastAsia="en-GB"/>
              <w14:ligatures w14:val="standardContextual"/>
            </w:rPr>
          </w:pPr>
          <w:hyperlink w:anchor="_Toc227317395" w:history="1">
            <w:r w:rsidRPr="00A87AA4">
              <w:rPr>
                <w:rStyle w:val="Hyperlink"/>
                <w:noProof/>
              </w:rPr>
              <w:t>10</w:t>
            </w:r>
            <w:r>
              <w:rPr>
                <w:noProof/>
                <w:kern w:val="2"/>
                <w:lang w:eastAsia="en-GB"/>
                <w14:ligatures w14:val="standardContextual"/>
              </w:rPr>
              <w:tab/>
            </w:r>
            <w:r w:rsidRPr="00A87AA4">
              <w:rPr>
                <w:rStyle w:val="Hyperlink"/>
                <w:noProof/>
              </w:rPr>
              <w:t>Conclusions</w:t>
            </w:r>
            <w:r>
              <w:rPr>
                <w:noProof/>
                <w:webHidden/>
              </w:rPr>
              <w:tab/>
            </w:r>
            <w:r>
              <w:rPr>
                <w:noProof/>
                <w:webHidden/>
              </w:rPr>
              <w:fldChar w:fldCharType="begin"/>
            </w:r>
            <w:r>
              <w:rPr>
                <w:noProof/>
                <w:webHidden/>
              </w:rPr>
              <w:instrText xml:space="preserve"> PAGEREF _Toc227317395 \h </w:instrText>
            </w:r>
            <w:r>
              <w:rPr>
                <w:noProof/>
                <w:webHidden/>
              </w:rPr>
            </w:r>
            <w:r>
              <w:rPr>
                <w:noProof/>
                <w:webHidden/>
              </w:rPr>
              <w:fldChar w:fldCharType="separate"/>
            </w:r>
            <w:r>
              <w:rPr>
                <w:noProof/>
                <w:webHidden/>
              </w:rPr>
              <w:t>59</w:t>
            </w:r>
            <w:r>
              <w:rPr>
                <w:noProof/>
                <w:webHidden/>
              </w:rPr>
              <w:fldChar w:fldCharType="end"/>
            </w:r>
          </w:hyperlink>
        </w:p>
        <w:p w14:paraId="4BB6DEC9" w14:textId="0C4F8929" w:rsidR="006D6015" w:rsidRDefault="006D6015">
          <w:pPr>
            <w:pStyle w:val="TOC1"/>
            <w:tabs>
              <w:tab w:val="right" w:leader="dot" w:pos="10212"/>
            </w:tabs>
            <w:rPr>
              <w:noProof/>
              <w:kern w:val="2"/>
              <w:lang w:eastAsia="en-GB"/>
              <w14:ligatures w14:val="standardContextual"/>
            </w:rPr>
          </w:pPr>
          <w:hyperlink w:anchor="_Toc227317396" w:history="1">
            <w:r w:rsidRPr="00A87AA4">
              <w:rPr>
                <w:rStyle w:val="Hyperlink"/>
                <w:noProof/>
              </w:rPr>
              <w:t>References</w:t>
            </w:r>
            <w:r>
              <w:rPr>
                <w:noProof/>
                <w:webHidden/>
              </w:rPr>
              <w:tab/>
            </w:r>
            <w:r>
              <w:rPr>
                <w:noProof/>
                <w:webHidden/>
              </w:rPr>
              <w:fldChar w:fldCharType="begin"/>
            </w:r>
            <w:r>
              <w:rPr>
                <w:noProof/>
                <w:webHidden/>
              </w:rPr>
              <w:instrText xml:space="preserve"> PAGEREF _Toc227317396 \h </w:instrText>
            </w:r>
            <w:r>
              <w:rPr>
                <w:noProof/>
                <w:webHidden/>
              </w:rPr>
            </w:r>
            <w:r>
              <w:rPr>
                <w:noProof/>
                <w:webHidden/>
              </w:rPr>
              <w:fldChar w:fldCharType="separate"/>
            </w:r>
            <w:r>
              <w:rPr>
                <w:noProof/>
                <w:webHidden/>
              </w:rPr>
              <w:t>61</w:t>
            </w:r>
            <w:r>
              <w:rPr>
                <w:noProof/>
                <w:webHidden/>
              </w:rPr>
              <w:fldChar w:fldCharType="end"/>
            </w:r>
          </w:hyperlink>
        </w:p>
        <w:p w14:paraId="418DA7DA" w14:textId="57B1EAA3" w:rsidR="006D6015" w:rsidRDefault="006D6015">
          <w:pPr>
            <w:pStyle w:val="TOC3"/>
            <w:tabs>
              <w:tab w:val="right" w:leader="dot" w:pos="10212"/>
            </w:tabs>
            <w:rPr>
              <w:noProof/>
              <w:kern w:val="2"/>
              <w:lang w:eastAsia="en-GB"/>
              <w14:ligatures w14:val="standardContextual"/>
            </w:rPr>
          </w:pPr>
          <w:hyperlink w:anchor="_Toc227317397" w:history="1">
            <w:r w:rsidRPr="00A87AA4">
              <w:rPr>
                <w:rStyle w:val="Hyperlink"/>
                <w:noProof/>
              </w:rPr>
              <w:t>Figure 1: Stages of dose assessment process</w:t>
            </w:r>
            <w:r>
              <w:rPr>
                <w:noProof/>
                <w:webHidden/>
              </w:rPr>
              <w:tab/>
            </w:r>
            <w:r>
              <w:rPr>
                <w:noProof/>
                <w:webHidden/>
              </w:rPr>
              <w:fldChar w:fldCharType="begin"/>
            </w:r>
            <w:r>
              <w:rPr>
                <w:noProof/>
                <w:webHidden/>
              </w:rPr>
              <w:instrText xml:space="preserve"> PAGEREF _Toc227317397 \h </w:instrText>
            </w:r>
            <w:r>
              <w:rPr>
                <w:noProof/>
                <w:webHidden/>
              </w:rPr>
            </w:r>
            <w:r>
              <w:rPr>
                <w:noProof/>
                <w:webHidden/>
              </w:rPr>
              <w:fldChar w:fldCharType="separate"/>
            </w:r>
            <w:r>
              <w:rPr>
                <w:noProof/>
                <w:webHidden/>
              </w:rPr>
              <w:t>68</w:t>
            </w:r>
            <w:r>
              <w:rPr>
                <w:noProof/>
                <w:webHidden/>
              </w:rPr>
              <w:fldChar w:fldCharType="end"/>
            </w:r>
          </w:hyperlink>
        </w:p>
        <w:p w14:paraId="726D2012" w14:textId="4DDAEA20" w:rsidR="006D6015" w:rsidRDefault="006D6015">
          <w:pPr>
            <w:pStyle w:val="TOC3"/>
            <w:tabs>
              <w:tab w:val="right" w:leader="dot" w:pos="10212"/>
            </w:tabs>
            <w:rPr>
              <w:noProof/>
              <w:kern w:val="2"/>
              <w:lang w:eastAsia="en-GB"/>
              <w14:ligatures w14:val="standardContextual"/>
            </w:rPr>
          </w:pPr>
          <w:hyperlink w:anchor="_Toc227317398" w:history="1">
            <w:r w:rsidRPr="00A87AA4">
              <w:rPr>
                <w:rStyle w:val="Hyperlink"/>
                <w:noProof/>
              </w:rPr>
              <w:t>Figure 2: Detailed source and site assessment</w:t>
            </w:r>
            <w:r>
              <w:rPr>
                <w:noProof/>
                <w:webHidden/>
              </w:rPr>
              <w:tab/>
            </w:r>
            <w:r>
              <w:rPr>
                <w:noProof/>
                <w:webHidden/>
              </w:rPr>
              <w:fldChar w:fldCharType="begin"/>
            </w:r>
            <w:r>
              <w:rPr>
                <w:noProof/>
                <w:webHidden/>
              </w:rPr>
              <w:instrText xml:space="preserve"> PAGEREF _Toc227317398 \h </w:instrText>
            </w:r>
            <w:r>
              <w:rPr>
                <w:noProof/>
                <w:webHidden/>
              </w:rPr>
            </w:r>
            <w:r>
              <w:rPr>
                <w:noProof/>
                <w:webHidden/>
              </w:rPr>
              <w:fldChar w:fldCharType="separate"/>
            </w:r>
            <w:r>
              <w:rPr>
                <w:noProof/>
                <w:webHidden/>
              </w:rPr>
              <w:t>69</w:t>
            </w:r>
            <w:r>
              <w:rPr>
                <w:noProof/>
                <w:webHidden/>
              </w:rPr>
              <w:fldChar w:fldCharType="end"/>
            </w:r>
          </w:hyperlink>
        </w:p>
        <w:p w14:paraId="5F74567C" w14:textId="6319C3E0" w:rsidR="006D6015" w:rsidRDefault="006D6015">
          <w:pPr>
            <w:pStyle w:val="TOC1"/>
            <w:tabs>
              <w:tab w:val="right" w:leader="dot" w:pos="10212"/>
            </w:tabs>
            <w:rPr>
              <w:noProof/>
              <w:kern w:val="2"/>
              <w:lang w:eastAsia="en-GB"/>
              <w14:ligatures w14:val="standardContextual"/>
            </w:rPr>
          </w:pPr>
          <w:hyperlink w:anchor="_Toc227317399" w:history="1">
            <w:r w:rsidRPr="00A87AA4">
              <w:rPr>
                <w:rStyle w:val="Hyperlink"/>
                <w:noProof/>
              </w:rPr>
              <w:t>Appendix A: Relationship between the 13 new principles in this document and the 12 previous principles (2002)</w:t>
            </w:r>
            <w:r>
              <w:rPr>
                <w:noProof/>
                <w:webHidden/>
              </w:rPr>
              <w:tab/>
            </w:r>
            <w:r>
              <w:rPr>
                <w:noProof/>
                <w:webHidden/>
              </w:rPr>
              <w:fldChar w:fldCharType="begin"/>
            </w:r>
            <w:r>
              <w:rPr>
                <w:noProof/>
                <w:webHidden/>
              </w:rPr>
              <w:instrText xml:space="preserve"> PAGEREF _Toc227317399 \h </w:instrText>
            </w:r>
            <w:r>
              <w:rPr>
                <w:noProof/>
                <w:webHidden/>
              </w:rPr>
            </w:r>
            <w:r>
              <w:rPr>
                <w:noProof/>
                <w:webHidden/>
              </w:rPr>
              <w:fldChar w:fldCharType="separate"/>
            </w:r>
            <w:r>
              <w:rPr>
                <w:noProof/>
                <w:webHidden/>
              </w:rPr>
              <w:t>70</w:t>
            </w:r>
            <w:r>
              <w:rPr>
                <w:noProof/>
                <w:webHidden/>
              </w:rPr>
              <w:fldChar w:fldCharType="end"/>
            </w:r>
          </w:hyperlink>
        </w:p>
        <w:p w14:paraId="0D26CE4F" w14:textId="354EECBE" w:rsidR="006D6015" w:rsidRDefault="006D6015">
          <w:pPr>
            <w:pStyle w:val="TOC1"/>
            <w:tabs>
              <w:tab w:val="right" w:leader="dot" w:pos="10212"/>
            </w:tabs>
            <w:rPr>
              <w:noProof/>
              <w:kern w:val="2"/>
              <w:lang w:eastAsia="en-GB"/>
              <w14:ligatures w14:val="standardContextual"/>
            </w:rPr>
          </w:pPr>
          <w:hyperlink w:anchor="_Toc227317400" w:history="1">
            <w:r w:rsidRPr="00A87AA4">
              <w:rPr>
                <w:rStyle w:val="Hyperlink"/>
                <w:noProof/>
              </w:rPr>
              <w:t>Appendix B: Main updates made between the 2002 principles document and this document</w:t>
            </w:r>
            <w:r>
              <w:rPr>
                <w:noProof/>
                <w:webHidden/>
              </w:rPr>
              <w:tab/>
            </w:r>
            <w:r>
              <w:rPr>
                <w:noProof/>
                <w:webHidden/>
              </w:rPr>
              <w:fldChar w:fldCharType="begin"/>
            </w:r>
            <w:r>
              <w:rPr>
                <w:noProof/>
                <w:webHidden/>
              </w:rPr>
              <w:instrText xml:space="preserve"> PAGEREF _Toc227317400 \h </w:instrText>
            </w:r>
            <w:r>
              <w:rPr>
                <w:noProof/>
                <w:webHidden/>
              </w:rPr>
            </w:r>
            <w:r>
              <w:rPr>
                <w:noProof/>
                <w:webHidden/>
              </w:rPr>
              <w:fldChar w:fldCharType="separate"/>
            </w:r>
            <w:r>
              <w:rPr>
                <w:noProof/>
                <w:webHidden/>
              </w:rPr>
              <w:t>74</w:t>
            </w:r>
            <w:r>
              <w:rPr>
                <w:noProof/>
                <w:webHidden/>
              </w:rPr>
              <w:fldChar w:fldCharType="end"/>
            </w:r>
          </w:hyperlink>
        </w:p>
        <w:p w14:paraId="24C55876" w14:textId="4B14EE0C" w:rsidR="006D6015" w:rsidRDefault="006D6015">
          <w:pPr>
            <w:pStyle w:val="TOC1"/>
            <w:tabs>
              <w:tab w:val="right" w:leader="dot" w:pos="10212"/>
            </w:tabs>
            <w:rPr>
              <w:noProof/>
              <w:kern w:val="2"/>
              <w:lang w:eastAsia="en-GB"/>
              <w14:ligatures w14:val="standardContextual"/>
            </w:rPr>
          </w:pPr>
          <w:hyperlink w:anchor="_Toc227317401" w:history="1">
            <w:r w:rsidRPr="00A87AA4">
              <w:rPr>
                <w:rStyle w:val="Hyperlink"/>
                <w:noProof/>
              </w:rPr>
              <w:t>Glossary of terms</w:t>
            </w:r>
            <w:r>
              <w:rPr>
                <w:noProof/>
                <w:webHidden/>
              </w:rPr>
              <w:tab/>
            </w:r>
            <w:r>
              <w:rPr>
                <w:noProof/>
                <w:webHidden/>
              </w:rPr>
              <w:fldChar w:fldCharType="begin"/>
            </w:r>
            <w:r>
              <w:rPr>
                <w:noProof/>
                <w:webHidden/>
              </w:rPr>
              <w:instrText xml:space="preserve"> PAGEREF _Toc227317401 \h </w:instrText>
            </w:r>
            <w:r>
              <w:rPr>
                <w:noProof/>
                <w:webHidden/>
              </w:rPr>
            </w:r>
            <w:r>
              <w:rPr>
                <w:noProof/>
                <w:webHidden/>
              </w:rPr>
              <w:fldChar w:fldCharType="separate"/>
            </w:r>
            <w:r>
              <w:rPr>
                <w:noProof/>
                <w:webHidden/>
              </w:rPr>
              <w:t>77</w:t>
            </w:r>
            <w:r>
              <w:rPr>
                <w:noProof/>
                <w:webHidden/>
              </w:rPr>
              <w:fldChar w:fldCharType="end"/>
            </w:r>
          </w:hyperlink>
        </w:p>
        <w:p w14:paraId="41DF5D57" w14:textId="16D90F10" w:rsidR="006D6015" w:rsidRDefault="006D6015">
          <w:pPr>
            <w:pStyle w:val="TOC1"/>
            <w:tabs>
              <w:tab w:val="right" w:leader="dot" w:pos="10212"/>
            </w:tabs>
            <w:rPr>
              <w:noProof/>
              <w:kern w:val="2"/>
              <w:lang w:eastAsia="en-GB"/>
              <w14:ligatures w14:val="standardContextual"/>
            </w:rPr>
          </w:pPr>
          <w:hyperlink w:anchor="_Toc227317402" w:history="1">
            <w:r w:rsidRPr="00A87AA4">
              <w:rPr>
                <w:rStyle w:val="Hyperlink"/>
                <w:noProof/>
              </w:rPr>
              <w:t>List of abbreviations</w:t>
            </w:r>
            <w:r>
              <w:rPr>
                <w:noProof/>
                <w:webHidden/>
              </w:rPr>
              <w:tab/>
            </w:r>
            <w:r>
              <w:rPr>
                <w:noProof/>
                <w:webHidden/>
              </w:rPr>
              <w:fldChar w:fldCharType="begin"/>
            </w:r>
            <w:r>
              <w:rPr>
                <w:noProof/>
                <w:webHidden/>
              </w:rPr>
              <w:instrText xml:space="preserve"> PAGEREF _Toc227317402 \h </w:instrText>
            </w:r>
            <w:r>
              <w:rPr>
                <w:noProof/>
                <w:webHidden/>
              </w:rPr>
            </w:r>
            <w:r>
              <w:rPr>
                <w:noProof/>
                <w:webHidden/>
              </w:rPr>
              <w:fldChar w:fldCharType="separate"/>
            </w:r>
            <w:r>
              <w:rPr>
                <w:noProof/>
                <w:webHidden/>
              </w:rPr>
              <w:t>82</w:t>
            </w:r>
            <w:r>
              <w:rPr>
                <w:noProof/>
                <w:webHidden/>
              </w:rPr>
              <w:fldChar w:fldCharType="end"/>
            </w:r>
          </w:hyperlink>
        </w:p>
        <w:p w14:paraId="3A370A3D" w14:textId="310CAE78" w:rsidR="00A65F39" w:rsidRDefault="00A65F39">
          <w:r>
            <w:rPr>
              <w:b/>
              <w:bCs/>
              <w:noProof/>
            </w:rPr>
            <w:fldChar w:fldCharType="end"/>
          </w:r>
        </w:p>
      </w:sdtContent>
    </w:sdt>
    <w:p w14:paraId="1F98AB8F" w14:textId="77777777" w:rsidR="00912D36" w:rsidRPr="00912D36" w:rsidRDefault="00912D36" w:rsidP="005D6DE0">
      <w:pPr>
        <w:pStyle w:val="Heading1"/>
      </w:pPr>
      <w:bookmarkStart w:id="0" w:name="_Toc227317355"/>
      <w:r w:rsidRPr="00912D36">
        <w:lastRenderedPageBreak/>
        <w:t xml:space="preserve">Document </w:t>
      </w:r>
      <w:r w:rsidRPr="005D6DE0">
        <w:t>Control</w:t>
      </w:r>
    </w:p>
    <w:tbl>
      <w:tblPr>
        <w:tblStyle w:val="TableGrid"/>
        <w:tblW w:w="0" w:type="auto"/>
        <w:tblLook w:val="04A0" w:firstRow="1" w:lastRow="0" w:firstColumn="1" w:lastColumn="0" w:noHBand="0" w:noVBand="1"/>
      </w:tblPr>
      <w:tblGrid>
        <w:gridCol w:w="2972"/>
        <w:gridCol w:w="7240"/>
      </w:tblGrid>
      <w:tr w:rsidR="0052670E" w:rsidRPr="008875AA" w14:paraId="1130C7F7" w14:textId="77777777" w:rsidTr="005B2D0B">
        <w:tc>
          <w:tcPr>
            <w:tcW w:w="2972" w:type="dxa"/>
            <w:vAlign w:val="center"/>
          </w:tcPr>
          <w:p w14:paraId="1403E688" w14:textId="77777777" w:rsidR="0052670E" w:rsidRPr="008875AA" w:rsidRDefault="0052670E" w:rsidP="005B2D0B">
            <w:pPr>
              <w:pStyle w:val="BodyText1"/>
              <w:rPr>
                <w:rFonts w:asciiTheme="minorHAnsi" w:eastAsiaTheme="majorEastAsia" w:hAnsiTheme="minorHAnsi" w:cstheme="minorHAnsi"/>
                <w:b/>
                <w:bCs/>
                <w:sz w:val="24"/>
                <w:szCs w:val="24"/>
              </w:rPr>
            </w:pPr>
            <w:r w:rsidRPr="008875AA">
              <w:rPr>
                <w:rFonts w:asciiTheme="minorHAnsi" w:eastAsiaTheme="majorEastAsia" w:hAnsiTheme="minorHAnsi" w:cstheme="minorHAnsi"/>
                <w:b/>
                <w:bCs/>
                <w:sz w:val="24"/>
                <w:szCs w:val="24"/>
              </w:rPr>
              <w:t>Title</w:t>
            </w:r>
          </w:p>
        </w:tc>
        <w:tc>
          <w:tcPr>
            <w:tcW w:w="7240" w:type="dxa"/>
            <w:vAlign w:val="center"/>
          </w:tcPr>
          <w:p w14:paraId="74AFA3EE" w14:textId="3C92A199" w:rsidR="0052670E" w:rsidRPr="008875AA" w:rsidRDefault="0052670E" w:rsidP="005B2D0B">
            <w:pPr>
              <w:pStyle w:val="BodyText1"/>
              <w:rPr>
                <w:rFonts w:asciiTheme="minorHAnsi" w:eastAsiaTheme="majorEastAsia" w:hAnsiTheme="minorHAnsi" w:cstheme="minorHAnsi"/>
                <w:sz w:val="24"/>
                <w:szCs w:val="24"/>
              </w:rPr>
            </w:pPr>
            <w:r w:rsidRPr="008875AA">
              <w:rPr>
                <w:rFonts w:asciiTheme="minorHAnsi" w:hAnsiTheme="minorHAnsi" w:cstheme="minorHAnsi"/>
                <w:sz w:val="24"/>
                <w:szCs w:val="24"/>
              </w:rPr>
              <w:t>Principles for the assessment of prospective public doses arising from authorised discharges of radioactive waste to the environment</w:t>
            </w:r>
          </w:p>
        </w:tc>
      </w:tr>
      <w:tr w:rsidR="0052670E" w:rsidRPr="008875AA" w14:paraId="684CFE5F" w14:textId="77777777" w:rsidTr="005B2D0B">
        <w:tc>
          <w:tcPr>
            <w:tcW w:w="2972" w:type="dxa"/>
            <w:vAlign w:val="center"/>
          </w:tcPr>
          <w:p w14:paraId="177414CB" w14:textId="77777777" w:rsidR="0052670E" w:rsidRPr="008875AA" w:rsidRDefault="0052670E" w:rsidP="005B2D0B">
            <w:pPr>
              <w:pStyle w:val="BodyText1"/>
              <w:rPr>
                <w:rFonts w:asciiTheme="minorHAnsi" w:eastAsiaTheme="majorEastAsia" w:hAnsiTheme="minorHAnsi" w:cstheme="minorHAnsi"/>
                <w:b/>
                <w:bCs/>
                <w:sz w:val="24"/>
                <w:szCs w:val="24"/>
              </w:rPr>
            </w:pPr>
            <w:r w:rsidRPr="008875AA">
              <w:rPr>
                <w:rFonts w:asciiTheme="minorHAnsi" w:eastAsiaTheme="majorEastAsia" w:hAnsiTheme="minorHAnsi" w:cstheme="minorHAnsi"/>
                <w:b/>
                <w:bCs/>
                <w:sz w:val="24"/>
                <w:szCs w:val="24"/>
              </w:rPr>
              <w:t>Reference</w:t>
            </w:r>
          </w:p>
        </w:tc>
        <w:tc>
          <w:tcPr>
            <w:tcW w:w="7240" w:type="dxa"/>
            <w:vAlign w:val="center"/>
          </w:tcPr>
          <w:p w14:paraId="5B4E5CDA" w14:textId="4390086B" w:rsidR="0052670E" w:rsidRPr="008875AA" w:rsidRDefault="0052670E" w:rsidP="005B2D0B">
            <w:pPr>
              <w:pStyle w:val="BodyText1"/>
              <w:rPr>
                <w:rFonts w:asciiTheme="minorHAnsi" w:eastAsiaTheme="majorEastAsia" w:hAnsiTheme="minorHAnsi" w:cstheme="minorHAnsi"/>
                <w:sz w:val="24"/>
                <w:szCs w:val="24"/>
              </w:rPr>
            </w:pPr>
            <w:r w:rsidRPr="008875AA">
              <w:rPr>
                <w:rFonts w:asciiTheme="minorHAnsi" w:hAnsiTheme="minorHAnsi" w:cstheme="minorHAnsi"/>
                <w:sz w:val="24"/>
                <w:szCs w:val="24"/>
              </w:rPr>
              <w:t>RS-G-046</w:t>
            </w:r>
          </w:p>
        </w:tc>
      </w:tr>
      <w:tr w:rsidR="0052670E" w:rsidRPr="008875AA" w14:paraId="5D77BCF1" w14:textId="77777777" w:rsidTr="005B2D0B">
        <w:tc>
          <w:tcPr>
            <w:tcW w:w="2972" w:type="dxa"/>
            <w:vAlign w:val="center"/>
          </w:tcPr>
          <w:p w14:paraId="6CC760EB" w14:textId="77777777" w:rsidR="0052670E" w:rsidRPr="008875AA" w:rsidRDefault="0052670E" w:rsidP="005B2D0B">
            <w:pPr>
              <w:pStyle w:val="BodyText1"/>
              <w:rPr>
                <w:rFonts w:asciiTheme="minorHAnsi" w:eastAsiaTheme="majorEastAsia" w:hAnsiTheme="minorHAnsi" w:cstheme="minorHAnsi"/>
                <w:b/>
                <w:bCs/>
                <w:sz w:val="24"/>
                <w:szCs w:val="24"/>
              </w:rPr>
            </w:pPr>
            <w:r w:rsidRPr="008875AA">
              <w:rPr>
                <w:rFonts w:asciiTheme="minorHAnsi" w:eastAsiaTheme="majorEastAsia" w:hAnsiTheme="minorHAnsi" w:cstheme="minorHAnsi"/>
                <w:b/>
                <w:bCs/>
                <w:sz w:val="24"/>
                <w:szCs w:val="24"/>
              </w:rPr>
              <w:t>Version</w:t>
            </w:r>
          </w:p>
        </w:tc>
        <w:tc>
          <w:tcPr>
            <w:tcW w:w="7240" w:type="dxa"/>
            <w:vAlign w:val="center"/>
          </w:tcPr>
          <w:p w14:paraId="37DE127B" w14:textId="1A35E283" w:rsidR="0052670E" w:rsidRPr="008875AA" w:rsidRDefault="0052670E" w:rsidP="005B2D0B">
            <w:pPr>
              <w:pStyle w:val="BodyText1"/>
              <w:rPr>
                <w:rFonts w:asciiTheme="minorHAnsi" w:eastAsiaTheme="majorEastAsia" w:hAnsiTheme="minorHAnsi" w:cstheme="minorHAnsi"/>
                <w:sz w:val="24"/>
                <w:szCs w:val="24"/>
              </w:rPr>
            </w:pPr>
            <w:r w:rsidRPr="008875AA">
              <w:rPr>
                <w:rFonts w:asciiTheme="minorHAnsi" w:eastAsiaTheme="majorEastAsia" w:hAnsiTheme="minorHAnsi" w:cstheme="minorHAnsi"/>
                <w:sz w:val="24"/>
                <w:szCs w:val="24"/>
              </w:rPr>
              <w:t>1</w:t>
            </w:r>
          </w:p>
        </w:tc>
      </w:tr>
      <w:tr w:rsidR="0052670E" w:rsidRPr="008875AA" w14:paraId="5C94CDD2" w14:textId="77777777" w:rsidTr="005B2D0B">
        <w:tc>
          <w:tcPr>
            <w:tcW w:w="2972" w:type="dxa"/>
            <w:vAlign w:val="center"/>
          </w:tcPr>
          <w:p w14:paraId="55985599" w14:textId="77777777" w:rsidR="0052670E" w:rsidRPr="008875AA" w:rsidRDefault="0052670E" w:rsidP="005B2D0B">
            <w:pPr>
              <w:pStyle w:val="BodyText1"/>
              <w:rPr>
                <w:rFonts w:asciiTheme="minorHAnsi" w:eastAsiaTheme="majorEastAsia" w:hAnsiTheme="minorHAnsi" w:cstheme="minorHAnsi"/>
                <w:b/>
                <w:bCs/>
                <w:sz w:val="24"/>
                <w:szCs w:val="24"/>
              </w:rPr>
            </w:pPr>
            <w:r w:rsidRPr="008875AA">
              <w:rPr>
                <w:rFonts w:asciiTheme="minorHAnsi" w:eastAsiaTheme="majorEastAsia" w:hAnsiTheme="minorHAnsi" w:cstheme="minorHAnsi"/>
                <w:b/>
                <w:bCs/>
                <w:sz w:val="24"/>
                <w:szCs w:val="24"/>
              </w:rPr>
              <w:t>Approved by</w:t>
            </w:r>
          </w:p>
        </w:tc>
        <w:tc>
          <w:tcPr>
            <w:tcW w:w="7240" w:type="dxa"/>
            <w:vAlign w:val="center"/>
          </w:tcPr>
          <w:p w14:paraId="5018A593" w14:textId="77777777" w:rsidR="0052670E" w:rsidRPr="008875AA" w:rsidRDefault="0052670E" w:rsidP="005B2D0B">
            <w:pPr>
              <w:pStyle w:val="BodyText1"/>
              <w:rPr>
                <w:rFonts w:asciiTheme="minorHAnsi" w:eastAsiaTheme="majorEastAsia" w:hAnsiTheme="minorHAnsi" w:cstheme="minorHAnsi"/>
                <w:sz w:val="24"/>
                <w:szCs w:val="24"/>
              </w:rPr>
            </w:pPr>
            <w:r w:rsidRPr="008875AA">
              <w:rPr>
                <w:rFonts w:asciiTheme="minorHAnsi" w:eastAsiaTheme="majorEastAsia" w:hAnsiTheme="minorHAnsi" w:cstheme="minorHAnsi"/>
                <w:sz w:val="24"/>
                <w:szCs w:val="24"/>
              </w:rPr>
              <w:t>RASRAP</w:t>
            </w:r>
          </w:p>
        </w:tc>
      </w:tr>
      <w:tr w:rsidR="0052670E" w:rsidRPr="008875AA" w14:paraId="57D94AD9" w14:textId="77777777" w:rsidTr="005B2D0B">
        <w:tc>
          <w:tcPr>
            <w:tcW w:w="2972" w:type="dxa"/>
            <w:vAlign w:val="center"/>
          </w:tcPr>
          <w:p w14:paraId="53A8CDD3" w14:textId="77777777" w:rsidR="0052670E" w:rsidRPr="008875AA" w:rsidRDefault="0052670E" w:rsidP="005B2D0B">
            <w:pPr>
              <w:pStyle w:val="BodyText1"/>
              <w:rPr>
                <w:rFonts w:asciiTheme="minorHAnsi" w:eastAsiaTheme="majorEastAsia" w:hAnsiTheme="minorHAnsi" w:cstheme="minorHAnsi"/>
                <w:b/>
                <w:bCs/>
                <w:sz w:val="24"/>
                <w:szCs w:val="24"/>
              </w:rPr>
            </w:pPr>
            <w:r w:rsidRPr="008875AA">
              <w:rPr>
                <w:rFonts w:asciiTheme="minorHAnsi" w:eastAsiaTheme="majorEastAsia" w:hAnsiTheme="minorHAnsi" w:cstheme="minorHAnsi"/>
                <w:b/>
                <w:bCs/>
                <w:sz w:val="24"/>
                <w:szCs w:val="24"/>
              </w:rPr>
              <w:t>Date approved</w:t>
            </w:r>
          </w:p>
        </w:tc>
        <w:tc>
          <w:tcPr>
            <w:tcW w:w="7240" w:type="dxa"/>
            <w:vAlign w:val="center"/>
          </w:tcPr>
          <w:p w14:paraId="0DECFE02" w14:textId="793E57BF" w:rsidR="0052670E" w:rsidRPr="008875AA" w:rsidRDefault="005F6715" w:rsidP="005B2D0B">
            <w:pPr>
              <w:pStyle w:val="BodyText1"/>
              <w:rPr>
                <w:rFonts w:asciiTheme="minorHAnsi" w:eastAsiaTheme="majorEastAsia" w:hAnsiTheme="minorHAnsi" w:cstheme="minorHAnsi"/>
                <w:sz w:val="24"/>
                <w:szCs w:val="24"/>
              </w:rPr>
            </w:pPr>
            <w:r>
              <w:rPr>
                <w:rFonts w:asciiTheme="minorHAnsi" w:eastAsiaTheme="majorEastAsia" w:hAnsiTheme="minorHAnsi" w:cstheme="minorHAnsi"/>
                <w:sz w:val="24"/>
                <w:szCs w:val="24"/>
              </w:rPr>
              <w:t>May</w:t>
            </w:r>
            <w:r w:rsidR="0052670E" w:rsidRPr="008875AA">
              <w:rPr>
                <w:rFonts w:asciiTheme="minorHAnsi" w:eastAsiaTheme="majorEastAsia" w:hAnsiTheme="minorHAnsi" w:cstheme="minorHAnsi"/>
                <w:sz w:val="24"/>
                <w:szCs w:val="24"/>
              </w:rPr>
              <w:t xml:space="preserve"> 2026</w:t>
            </w:r>
          </w:p>
        </w:tc>
      </w:tr>
    </w:tbl>
    <w:p w14:paraId="554454BE" w14:textId="77777777" w:rsidR="0052670E" w:rsidRDefault="0052670E" w:rsidP="00912D36">
      <w:pPr>
        <w:pStyle w:val="Heading1"/>
      </w:pPr>
    </w:p>
    <w:p w14:paraId="7EFC3731" w14:textId="1550BBE1" w:rsidR="00912D36" w:rsidRPr="00912D36" w:rsidRDefault="00912D36" w:rsidP="00912D36">
      <w:pPr>
        <w:pStyle w:val="Heading1"/>
      </w:pPr>
      <w:r w:rsidRPr="00912D36">
        <w:t>Version Control</w:t>
      </w:r>
    </w:p>
    <w:tbl>
      <w:tblPr>
        <w:tblStyle w:val="TableGrid"/>
        <w:tblW w:w="0" w:type="auto"/>
        <w:tblLook w:val="04A0" w:firstRow="1" w:lastRow="0" w:firstColumn="1" w:lastColumn="0" w:noHBand="0" w:noVBand="1"/>
      </w:tblPr>
      <w:tblGrid>
        <w:gridCol w:w="1413"/>
        <w:gridCol w:w="1559"/>
        <w:gridCol w:w="7240"/>
      </w:tblGrid>
      <w:tr w:rsidR="00AA7A0C" w:rsidRPr="008875AA" w14:paraId="34C14F40" w14:textId="77777777" w:rsidTr="005B2D0B">
        <w:tc>
          <w:tcPr>
            <w:tcW w:w="1413" w:type="dxa"/>
            <w:vAlign w:val="center"/>
          </w:tcPr>
          <w:p w14:paraId="48B84739" w14:textId="77777777" w:rsidR="00AA7A0C" w:rsidRPr="008875AA" w:rsidRDefault="00AA7A0C" w:rsidP="00D00FFB">
            <w:pPr>
              <w:pStyle w:val="BodyText1"/>
              <w:rPr>
                <w:rFonts w:asciiTheme="minorHAnsi" w:hAnsiTheme="minorHAnsi" w:cstheme="minorHAnsi"/>
                <w:b/>
                <w:bCs/>
                <w:sz w:val="24"/>
                <w:szCs w:val="24"/>
              </w:rPr>
            </w:pPr>
            <w:r w:rsidRPr="008875AA">
              <w:rPr>
                <w:rFonts w:asciiTheme="minorHAnsi" w:hAnsiTheme="minorHAnsi" w:cstheme="minorHAnsi"/>
                <w:b/>
                <w:bCs/>
                <w:sz w:val="24"/>
                <w:szCs w:val="24"/>
              </w:rPr>
              <w:t>Version</w:t>
            </w:r>
          </w:p>
        </w:tc>
        <w:tc>
          <w:tcPr>
            <w:tcW w:w="1559" w:type="dxa"/>
            <w:vAlign w:val="center"/>
          </w:tcPr>
          <w:p w14:paraId="60912FEB" w14:textId="77777777" w:rsidR="00AA7A0C" w:rsidRPr="008875AA" w:rsidRDefault="00AA7A0C" w:rsidP="00D00FFB">
            <w:pPr>
              <w:pStyle w:val="BodyText1"/>
              <w:rPr>
                <w:rFonts w:asciiTheme="minorHAnsi" w:hAnsiTheme="minorHAnsi" w:cstheme="minorHAnsi"/>
                <w:b/>
                <w:bCs/>
                <w:sz w:val="24"/>
                <w:szCs w:val="24"/>
              </w:rPr>
            </w:pPr>
            <w:r w:rsidRPr="008875AA">
              <w:rPr>
                <w:rFonts w:asciiTheme="minorHAnsi" w:hAnsiTheme="minorHAnsi" w:cstheme="minorHAnsi"/>
                <w:b/>
                <w:bCs/>
                <w:sz w:val="24"/>
                <w:szCs w:val="24"/>
              </w:rPr>
              <w:t>Date</w:t>
            </w:r>
          </w:p>
        </w:tc>
        <w:tc>
          <w:tcPr>
            <w:tcW w:w="7240" w:type="dxa"/>
            <w:vAlign w:val="center"/>
          </w:tcPr>
          <w:p w14:paraId="3CE83EE3" w14:textId="77777777" w:rsidR="00AA7A0C" w:rsidRPr="008875AA" w:rsidRDefault="00AA7A0C" w:rsidP="00D00FFB">
            <w:pPr>
              <w:pStyle w:val="BodyText1"/>
              <w:rPr>
                <w:rFonts w:asciiTheme="minorHAnsi" w:hAnsiTheme="minorHAnsi" w:cstheme="minorHAnsi"/>
                <w:b/>
                <w:bCs/>
                <w:sz w:val="24"/>
                <w:szCs w:val="24"/>
              </w:rPr>
            </w:pPr>
            <w:r w:rsidRPr="008875AA">
              <w:rPr>
                <w:rFonts w:asciiTheme="minorHAnsi" w:hAnsiTheme="minorHAnsi" w:cstheme="minorHAnsi"/>
                <w:b/>
                <w:bCs/>
                <w:sz w:val="24"/>
                <w:szCs w:val="24"/>
              </w:rPr>
              <w:t>Amendments</w:t>
            </w:r>
          </w:p>
        </w:tc>
      </w:tr>
      <w:tr w:rsidR="00AA7A0C" w:rsidRPr="008875AA" w14:paraId="3BC62DB1" w14:textId="77777777" w:rsidTr="005B2D0B">
        <w:tc>
          <w:tcPr>
            <w:tcW w:w="1413" w:type="dxa"/>
            <w:vAlign w:val="center"/>
          </w:tcPr>
          <w:p w14:paraId="770A1A58" w14:textId="6623D13F" w:rsidR="00AA7A0C" w:rsidRPr="008875AA" w:rsidRDefault="00AA7A0C" w:rsidP="00D00FFB">
            <w:pPr>
              <w:pStyle w:val="BodyText1"/>
              <w:rPr>
                <w:rFonts w:asciiTheme="minorHAnsi" w:hAnsiTheme="minorHAnsi" w:cstheme="minorHAnsi"/>
                <w:sz w:val="24"/>
                <w:szCs w:val="24"/>
              </w:rPr>
            </w:pPr>
            <w:r w:rsidRPr="008875AA">
              <w:rPr>
                <w:rFonts w:asciiTheme="minorHAnsi" w:hAnsiTheme="minorHAnsi" w:cstheme="minorHAnsi"/>
                <w:sz w:val="24"/>
                <w:szCs w:val="24"/>
              </w:rPr>
              <w:t>1</w:t>
            </w:r>
          </w:p>
        </w:tc>
        <w:tc>
          <w:tcPr>
            <w:tcW w:w="1559" w:type="dxa"/>
            <w:vAlign w:val="center"/>
          </w:tcPr>
          <w:p w14:paraId="59A1A8D7" w14:textId="6D910DED" w:rsidR="00AA7A0C" w:rsidRPr="008875AA" w:rsidRDefault="005F6715" w:rsidP="00D00FFB">
            <w:pPr>
              <w:pStyle w:val="BodyText1"/>
              <w:rPr>
                <w:rFonts w:asciiTheme="minorHAnsi" w:hAnsiTheme="minorHAnsi" w:cstheme="minorHAnsi"/>
                <w:sz w:val="24"/>
                <w:szCs w:val="24"/>
              </w:rPr>
            </w:pPr>
            <w:r>
              <w:rPr>
                <w:rFonts w:asciiTheme="minorHAnsi" w:hAnsiTheme="minorHAnsi" w:cstheme="minorHAnsi"/>
                <w:sz w:val="24"/>
                <w:szCs w:val="24"/>
              </w:rPr>
              <w:t>May</w:t>
            </w:r>
            <w:r w:rsidR="00BB205D" w:rsidRPr="008875AA">
              <w:rPr>
                <w:rFonts w:asciiTheme="minorHAnsi" w:hAnsiTheme="minorHAnsi" w:cstheme="minorHAnsi"/>
                <w:sz w:val="24"/>
                <w:szCs w:val="24"/>
              </w:rPr>
              <w:t xml:space="preserve"> 202</w:t>
            </w:r>
            <w:r w:rsidR="008875AA">
              <w:rPr>
                <w:rFonts w:asciiTheme="minorHAnsi" w:hAnsiTheme="minorHAnsi" w:cstheme="minorHAnsi"/>
                <w:sz w:val="24"/>
                <w:szCs w:val="24"/>
              </w:rPr>
              <w:t>6</w:t>
            </w:r>
          </w:p>
        </w:tc>
        <w:tc>
          <w:tcPr>
            <w:tcW w:w="7240" w:type="dxa"/>
            <w:vAlign w:val="center"/>
          </w:tcPr>
          <w:p w14:paraId="29D71826" w14:textId="569E9B13" w:rsidR="00AA7A0C" w:rsidRPr="008875AA" w:rsidRDefault="001C7DB2" w:rsidP="008875AA">
            <w:pPr>
              <w:pStyle w:val="BodyText1"/>
              <w:rPr>
                <w:rFonts w:asciiTheme="minorHAnsi" w:hAnsiTheme="minorHAnsi" w:cstheme="minorHAnsi"/>
                <w:sz w:val="24"/>
                <w:szCs w:val="24"/>
              </w:rPr>
            </w:pPr>
            <w:r w:rsidRPr="008875AA">
              <w:rPr>
                <w:rFonts w:asciiTheme="minorHAnsi" w:hAnsiTheme="minorHAnsi" w:cstheme="minorHAnsi"/>
                <w:sz w:val="24"/>
                <w:szCs w:val="24"/>
              </w:rPr>
              <w:t>The document was migrated into the SEPA accessibility compliant document</w:t>
            </w:r>
            <w:r>
              <w:rPr>
                <w:rFonts w:asciiTheme="minorHAnsi" w:hAnsiTheme="minorHAnsi" w:cstheme="minorHAnsi"/>
                <w:sz w:val="24"/>
                <w:szCs w:val="24"/>
              </w:rPr>
              <w:t>.</w:t>
            </w:r>
            <w:r>
              <w:rPr>
                <w:rFonts w:asciiTheme="minorHAnsi" w:hAnsiTheme="minorHAnsi" w:cstheme="minorHAnsi"/>
                <w:sz w:val="24"/>
                <w:szCs w:val="24"/>
              </w:rPr>
              <w:t xml:space="preserve"> D</w:t>
            </w:r>
            <w:r w:rsidR="00BB205D" w:rsidRPr="008875AA">
              <w:rPr>
                <w:rFonts w:asciiTheme="minorHAnsi" w:hAnsiTheme="minorHAnsi" w:cstheme="minorHAnsi"/>
                <w:sz w:val="24"/>
                <w:szCs w:val="24"/>
              </w:rPr>
              <w:t>ocument reference number changed from RS-JG-016 to RS-G-046</w:t>
            </w:r>
            <w:r>
              <w:rPr>
                <w:rFonts w:asciiTheme="minorHAnsi" w:hAnsiTheme="minorHAnsi" w:cstheme="minorHAnsi"/>
                <w:sz w:val="24"/>
                <w:szCs w:val="24"/>
              </w:rPr>
              <w:t>. N</w:t>
            </w:r>
            <w:r w:rsidR="005E7F1A">
              <w:rPr>
                <w:rFonts w:asciiTheme="minorHAnsi" w:hAnsiTheme="minorHAnsi" w:cstheme="minorHAnsi"/>
                <w:sz w:val="24"/>
                <w:szCs w:val="24"/>
              </w:rPr>
              <w:t>o content changes were made</w:t>
            </w:r>
            <w:r w:rsidR="00BB205D" w:rsidRPr="008875AA">
              <w:rPr>
                <w:rFonts w:asciiTheme="minorHAnsi" w:hAnsiTheme="minorHAnsi" w:cstheme="minorHAnsi"/>
                <w:sz w:val="24"/>
                <w:szCs w:val="24"/>
              </w:rPr>
              <w:t xml:space="preserve">. </w:t>
            </w:r>
          </w:p>
        </w:tc>
      </w:tr>
    </w:tbl>
    <w:p w14:paraId="1DC0478C" w14:textId="77777777" w:rsidR="00AA7A0C" w:rsidRDefault="00AA7A0C" w:rsidP="00190C7A">
      <w:pPr>
        <w:rPr>
          <w:rFonts w:eastAsia="Times New Roman"/>
          <w:lang w:eastAsia="en-GB"/>
        </w:rPr>
      </w:pPr>
    </w:p>
    <w:p w14:paraId="444C9336" w14:textId="77777777" w:rsidR="00AA7A0C" w:rsidRDefault="00AA7A0C" w:rsidP="00190C7A">
      <w:pPr>
        <w:rPr>
          <w:rFonts w:eastAsia="Times New Roman"/>
          <w:lang w:eastAsia="en-GB"/>
        </w:rPr>
      </w:pPr>
    </w:p>
    <w:p w14:paraId="57120050" w14:textId="77777777" w:rsidR="009B393B" w:rsidRDefault="009B393B" w:rsidP="009B393B">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w:t>
      </w:r>
      <w:r>
        <w:rPr>
          <w:rFonts w:eastAsia="Times New Roman"/>
          <w:sz w:val="32"/>
          <w:szCs w:val="32"/>
        </w:rPr>
        <w:t xml:space="preserve"> </w:t>
      </w:r>
      <w:hyperlink r:id="rId10" w:history="1">
        <w:r w:rsidRPr="004C7865">
          <w:rPr>
            <w:rStyle w:val="Hyperlink"/>
            <w:rFonts w:eastAsia="Times New Roman"/>
            <w:sz w:val="32"/>
            <w:szCs w:val="32"/>
          </w:rPr>
          <w:t>equalities@sepa.org.uk</w:t>
        </w:r>
      </w:hyperlink>
      <w:r w:rsidRPr="00C9352C">
        <w:rPr>
          <w:rFonts w:eastAsia="Times New Roman"/>
          <w:sz w:val="32"/>
          <w:szCs w:val="32"/>
        </w:rPr>
        <w:t xml:space="preserve"> </w:t>
      </w:r>
    </w:p>
    <w:p w14:paraId="3AF0A9CD" w14:textId="77777777" w:rsidR="005C2521" w:rsidRDefault="005C2521">
      <w:pPr>
        <w:spacing w:line="240" w:lineRule="auto"/>
        <w:rPr>
          <w:rFonts w:asciiTheme="majorHAnsi" w:eastAsiaTheme="majorEastAsia" w:hAnsiTheme="majorHAnsi" w:cstheme="majorBidi"/>
          <w:b/>
          <w:color w:val="016574" w:themeColor="accent2"/>
          <w:sz w:val="40"/>
          <w:szCs w:val="32"/>
        </w:rPr>
      </w:pPr>
      <w:r>
        <w:br w:type="page"/>
      </w:r>
    </w:p>
    <w:p w14:paraId="118BD340" w14:textId="1DD2CC34" w:rsidR="00A65F39" w:rsidRDefault="00A65F39" w:rsidP="00A65F39">
      <w:pPr>
        <w:pStyle w:val="Heading1"/>
      </w:pPr>
      <w:r>
        <w:lastRenderedPageBreak/>
        <w:t>About this document</w:t>
      </w:r>
      <w:bookmarkEnd w:id="0"/>
    </w:p>
    <w:p w14:paraId="3C33F83F" w14:textId="77777777" w:rsidR="00A65F39" w:rsidRDefault="00A65F39" w:rsidP="00A65F39">
      <w:pPr>
        <w:pStyle w:val="BodyText1"/>
      </w:pPr>
      <w:r>
        <w:t>The Scottish Environment Protection Agency (SEPA) has responsibility for regulating industries under environmental protection legislation. These include the nuclear industry (on nuclear licensed sites) and other organisations using radioactive substances within their processes.</w:t>
      </w:r>
    </w:p>
    <w:p w14:paraId="30C752FE" w14:textId="77777777" w:rsidR="00A65F39" w:rsidRDefault="00A65F39" w:rsidP="00A65F39">
      <w:pPr>
        <w:pStyle w:val="BodyText1"/>
      </w:pPr>
      <w:r>
        <w:t xml:space="preserve">In 2002 the environment agencies (SEPA, the Environment Agency and the Northern Ireland Environment Agency) in collaboration with the National Radiological Protection Board (now incorporated within the Public Health England) and the Food Standards Agency produced a set of principles and interim guidance on the assessment of public doses for the purpose of authorising discharges of radioactive waste to the environment. As a </w:t>
      </w:r>
      <w:proofErr w:type="gramStart"/>
      <w:r>
        <w:t>consequence</w:t>
      </w:r>
      <w:proofErr w:type="gramEnd"/>
      <w:r>
        <w:t xml:space="preserve"> the document enabled radiological assessments to be produced in a more consistent and transparent manner.</w:t>
      </w:r>
    </w:p>
    <w:p w14:paraId="69C7A666" w14:textId="77777777" w:rsidR="00A65F39" w:rsidRDefault="00A65F39" w:rsidP="00A65F39">
      <w:pPr>
        <w:pStyle w:val="BodyText1"/>
      </w:pPr>
      <w:r>
        <w:t>In 2012 the environment agencies collaborated with the Health Protection Agency and the Food Standards Agency to produce an update of the 2002 interim guidance and principles for assessing doses.</w:t>
      </w:r>
    </w:p>
    <w:p w14:paraId="61FC761B" w14:textId="77777777" w:rsidR="00A65F39" w:rsidRDefault="00A65F39" w:rsidP="00A65F39">
      <w:pPr>
        <w:pStyle w:val="BodyText1"/>
      </w:pPr>
      <w:r>
        <w:t xml:space="preserve">This document was reviewed following changes to legislation in </w:t>
      </w:r>
      <w:proofErr w:type="gramStart"/>
      <w:r>
        <w:t>Scotland</w:t>
      </w:r>
      <w:proofErr w:type="gramEnd"/>
      <w:r>
        <w:t xml:space="preserve"> and this version only applies in Scotland.</w:t>
      </w:r>
    </w:p>
    <w:p w14:paraId="4EE8459D" w14:textId="77777777" w:rsidR="00A65F39" w:rsidRDefault="00A65F39">
      <w:pPr>
        <w:spacing w:line="240" w:lineRule="auto"/>
      </w:pPr>
      <w:r>
        <w:br w:type="page"/>
      </w:r>
    </w:p>
    <w:p w14:paraId="14DC9215" w14:textId="08CEAB04" w:rsidR="00A65F39" w:rsidRDefault="00A65F39" w:rsidP="00A65F39">
      <w:pPr>
        <w:pStyle w:val="Heading1"/>
      </w:pPr>
      <w:bookmarkStart w:id="1" w:name="_Toc227317356"/>
      <w:r>
        <w:lastRenderedPageBreak/>
        <w:t>1.</w:t>
      </w:r>
      <w:r>
        <w:tab/>
        <w:t>Introduction</w:t>
      </w:r>
      <w:bookmarkEnd w:id="1"/>
    </w:p>
    <w:p w14:paraId="2C434FF0" w14:textId="0E0E4677" w:rsidR="00E221FD" w:rsidRDefault="00A65F39" w:rsidP="00AF7807">
      <w:pPr>
        <w:ind w:left="720" w:hanging="720"/>
      </w:pPr>
      <w:r>
        <w:t>1.1</w:t>
      </w:r>
      <w:r>
        <w:tab/>
      </w:r>
      <w:r w:rsidR="00E221FD">
        <w:t>The Environmental Authorisations (Scotland) Regulations 2018 (EASR) provide the framework for the regulation of radioactive substances to protect the public and the environment.  EASR requires a person to be authorised for the management of radioactive waste including disposal or discharge to the environment. Responsibility for granting an authorisation in Scotland rests with the</w:t>
      </w:r>
      <w:r w:rsidR="00E221FD" w:rsidRPr="005B7BC3">
        <w:t xml:space="preserve"> </w:t>
      </w:r>
      <w:r w:rsidR="00E221FD">
        <w:t>Scottish Environment Protection Agency (SEPA)</w:t>
      </w:r>
      <w:r w:rsidR="00225D84">
        <w:t>.</w:t>
      </w:r>
    </w:p>
    <w:p w14:paraId="19EE20E7" w14:textId="11D55CAC" w:rsidR="00E221FD" w:rsidRDefault="00E221FD" w:rsidP="00AF7807">
      <w:pPr>
        <w:ind w:left="720" w:hanging="720"/>
      </w:pPr>
      <w:r>
        <w:t>1.2</w:t>
      </w:r>
      <w:r>
        <w:tab/>
        <w:t xml:space="preserve">This document sets out principles and guidance for the prior assessment of doses to the public arising from exposure to ionising radiation which may arise from planned discharges to the atmosphere and to the aquatic environment. The results of assessments undertaken in accordance with these principles and guidance will be used as an input into the process of determining whether discharges of radioactive waste to the environment should be authorised. </w:t>
      </w:r>
    </w:p>
    <w:p w14:paraId="0F532E8B" w14:textId="2303FA58" w:rsidR="00E221FD" w:rsidRDefault="00E221FD" w:rsidP="00AF7807">
      <w:pPr>
        <w:ind w:left="720" w:hanging="720"/>
      </w:pPr>
      <w:r>
        <w:t>1.3</w:t>
      </w:r>
      <w:r>
        <w:tab/>
        <w:t xml:space="preserve">Two primary types of dose assessment can be undertaken; a prospective assessment of doses which might be received by members of the public in the future and a retrospective assessment of doses </w:t>
      </w:r>
      <w:proofErr w:type="gramStart"/>
      <w:r>
        <w:t>as a result of</w:t>
      </w:r>
      <w:proofErr w:type="gramEnd"/>
      <w:r>
        <w:t xml:space="preserve"> discharges that have already been made. Retrospective assessments may also be made for discharges or disposals not covered by a permit (e.g. accidental releases or contaminated land). Although the principles and guidance contained within this document apply to prospective assessments, much of the advice given is consistent with the approach applied to retrospective assessments.</w:t>
      </w:r>
    </w:p>
    <w:p w14:paraId="766652D7" w14:textId="77777777" w:rsidR="00E221FD" w:rsidRDefault="00E221FD" w:rsidP="00E221FD">
      <w:r>
        <w:t>1.4</w:t>
      </w:r>
      <w:r>
        <w:tab/>
        <w:t>The objectives of this document are:</w:t>
      </w:r>
    </w:p>
    <w:p w14:paraId="4E84F2B9" w14:textId="77777777" w:rsidR="00E221FD" w:rsidRDefault="00E221FD" w:rsidP="00AF7807">
      <w:pPr>
        <w:pStyle w:val="ListParagraph"/>
        <w:numPr>
          <w:ilvl w:val="0"/>
          <w:numId w:val="17"/>
        </w:numPr>
      </w:pPr>
      <w:r>
        <w:t>To provide guidance to SEPA staff on the assessment of public doses for the purposes of determining radioactive waste discharge authorisations so that the approach to assessments is consistent and transparent.</w:t>
      </w:r>
    </w:p>
    <w:p w14:paraId="5D607D58" w14:textId="77777777" w:rsidR="00E221FD" w:rsidRDefault="00E221FD" w:rsidP="00E221FD">
      <w:pPr>
        <w:pStyle w:val="ListParagraph"/>
        <w:numPr>
          <w:ilvl w:val="0"/>
          <w:numId w:val="17"/>
        </w:numPr>
      </w:pPr>
      <w:r>
        <w:t>To inform holders of EASR authorisations about our approach to the assessment of public doses and provide guidance on the preparation of radiological assessments in support of authorisation applications.</w:t>
      </w:r>
    </w:p>
    <w:p w14:paraId="59B58683" w14:textId="77777777" w:rsidR="00E221FD" w:rsidRDefault="00E221FD" w:rsidP="00E221FD">
      <w:pPr>
        <w:pStyle w:val="ListParagraph"/>
        <w:numPr>
          <w:ilvl w:val="0"/>
          <w:numId w:val="17"/>
        </w:numPr>
      </w:pPr>
      <w:r>
        <w:t>To provide information to the public on our methods of conducting public dose assessments.</w:t>
      </w:r>
    </w:p>
    <w:p w14:paraId="07C71374" w14:textId="77777777" w:rsidR="00E221FD" w:rsidRDefault="00E221FD" w:rsidP="00E221FD"/>
    <w:p w14:paraId="23F63EDC" w14:textId="77777777" w:rsidR="00E221FD" w:rsidRDefault="00E221FD" w:rsidP="00E221FD">
      <w:pPr>
        <w:ind w:left="720" w:hanging="720"/>
      </w:pPr>
      <w:r>
        <w:lastRenderedPageBreak/>
        <w:t>1.5</w:t>
      </w:r>
      <w:r>
        <w:tab/>
        <w:t>The scope of this document is limited to the prospective assessment of doses to the public for the purpose of authorising discharges under EASR. It applies to all premises in Scotland that are subject to EASR authorisations. It also can be applied to premises where military exemptions apply – the discharges from which are made in accordance with agreements which apply a comparable standard as an authorisation.</w:t>
      </w:r>
    </w:p>
    <w:p w14:paraId="38D64DA5" w14:textId="77777777" w:rsidR="00E221FD" w:rsidRDefault="00E221FD" w:rsidP="00AF7807">
      <w:pPr>
        <w:ind w:left="720" w:hanging="720"/>
      </w:pPr>
      <w:r>
        <w:t>1.6</w:t>
      </w:r>
      <w:r>
        <w:tab/>
        <w:t>The document does not apply to the assessment of the impact of disposals of solid radioactive waste. Guidance already exists on the requirements for permit or authorisation of near-surface disposal facilities on land and geological disposal facilities on land for solid radioactive wastes [Refs 2, 3].</w:t>
      </w:r>
    </w:p>
    <w:p w14:paraId="74C3A55C" w14:textId="3C192A04" w:rsidR="00796646" w:rsidRDefault="00E221FD" w:rsidP="00796646">
      <w:pPr>
        <w:ind w:left="720" w:hanging="720"/>
      </w:pPr>
      <w:r>
        <w:t>1.7</w:t>
      </w:r>
      <w:r>
        <w:tab/>
        <w:t xml:space="preserve">This document is mainly concerned with radiological assessments for the determination of effective dose arising from committed effective dose from intakes of radionuclides and external exposure and referred to as dose (see the glossary for full definition). It may in some circumstances be necessary to make additional calculations of the equivalent dose to </w:t>
      </w:r>
      <w:proofErr w:type="gramStart"/>
      <w:r>
        <w:t>particular organs</w:t>
      </w:r>
      <w:proofErr w:type="gramEnd"/>
      <w:r>
        <w:t xml:space="preserve"> or tissues (for example skin or lens of the eye) where effective dose may not an adequate assessment. Doses to the skin may need to be assessed where beta emitters are present in the environment at enhanced levels and there is scope for sustained contact with the skin. </w:t>
      </w:r>
      <w:proofErr w:type="gramStart"/>
      <w:r>
        <w:t>Effective dose,</w:t>
      </w:r>
      <w:proofErr w:type="gramEnd"/>
      <w:r>
        <w:t xml:space="preserve"> committed effective dose and equivalent dose are defined in the glossary and have the units of sievert (Sv). The sievert is a relatively large unit and therefore doses are usually reported as fractions of a sievert, for example, millisievert (mSv), one thousandth of a sievert, or </w:t>
      </w:r>
      <w:proofErr w:type="spellStart"/>
      <w:r>
        <w:t>microsievert</w:t>
      </w:r>
      <w:proofErr w:type="spellEnd"/>
      <w:r>
        <w:t xml:space="preserve"> (</w:t>
      </w:r>
      <w:r>
        <w:rPr>
          <w:rFonts w:cs="Arial"/>
        </w:rPr>
        <w:t>µ</w:t>
      </w:r>
      <w:r>
        <w:t xml:space="preserve">Sv), one millionth of a sievert. Doses may be assessed for individual members of the public </w:t>
      </w:r>
      <w:proofErr w:type="gramStart"/>
      <w:r>
        <w:t>and also</w:t>
      </w:r>
      <w:proofErr w:type="gramEnd"/>
      <w:r>
        <w:t xml:space="preserve"> the sum of all doses to all the individuals in an exposed population, referred to as collective dose. The unit of collective dose is the man-sievert (</w:t>
      </w:r>
      <w:proofErr w:type="spellStart"/>
      <w:r>
        <w:t>manSv</w:t>
      </w:r>
      <w:proofErr w:type="spellEnd"/>
      <w:r>
        <w:t>). Other terms used in this document are described in the glossary.</w:t>
      </w:r>
    </w:p>
    <w:p w14:paraId="2C6DB90A" w14:textId="77777777" w:rsidR="00796646" w:rsidRDefault="00796646">
      <w:pPr>
        <w:spacing w:line="240" w:lineRule="auto"/>
      </w:pPr>
      <w:r>
        <w:br w:type="page"/>
      </w:r>
    </w:p>
    <w:p w14:paraId="2309AF81" w14:textId="16FCA146" w:rsidR="00AF7807" w:rsidRDefault="00AF7807" w:rsidP="00796646">
      <w:bookmarkStart w:id="2" w:name="_Toc227317357"/>
      <w:r w:rsidRPr="00796646">
        <w:rPr>
          <w:rStyle w:val="Heading1Char"/>
        </w:rPr>
        <w:lastRenderedPageBreak/>
        <w:t xml:space="preserve">2 </w:t>
      </w:r>
      <w:r w:rsidRPr="00796646">
        <w:rPr>
          <w:rStyle w:val="Heading1Char"/>
        </w:rPr>
        <w:tab/>
        <w:t>Background</w:t>
      </w:r>
      <w:bookmarkEnd w:id="2"/>
    </w:p>
    <w:p w14:paraId="7D9CCB79" w14:textId="77777777" w:rsidR="00AF7807" w:rsidRDefault="00AF7807" w:rsidP="00AF7807">
      <w:pPr>
        <w:pStyle w:val="Heading2"/>
      </w:pPr>
      <w:bookmarkStart w:id="3" w:name="_Toc227317358"/>
      <w:r>
        <w:t>2.1</w:t>
      </w:r>
      <w:r>
        <w:tab/>
        <w:t>Requirement for guidance</w:t>
      </w:r>
      <w:bookmarkEnd w:id="3"/>
    </w:p>
    <w:p w14:paraId="475494A3" w14:textId="0D3118B0" w:rsidR="004D1CAC" w:rsidRDefault="00AF7807" w:rsidP="004D1CAC">
      <w:pPr>
        <w:ind w:left="720" w:hanging="720"/>
      </w:pPr>
      <w:r>
        <w:t>2.1.1</w:t>
      </w:r>
      <w:r>
        <w:tab/>
      </w:r>
      <w:r w:rsidR="004D1CAC">
        <w:t xml:space="preserve">The Environment Agencies, the Food Standards Agency, Health Protection Agency and the Office of Nuclear Regulation – ONR - (formerly the Nuclear Installations Inspectorate) have recognised the need for guidance on the methods to be used in assessing prospective public doses to ensure that such assessments are consistent and transparent. These organisations formed the National Dose Assessment Working Group (NDAWG) in 2002 to consider and understand the different approaches to radiological assessment with the aim of promoting best practice and improving consistency. NDAWG has representatives from the regulators, other government agencies, industry, non-governmental organisations and independent experts. NDAWG has published guidance notes on radiological assessment on its website </w:t>
      </w:r>
      <w:r w:rsidR="004D1CAC" w:rsidRPr="00DE7EF0">
        <w:t>(</w:t>
      </w:r>
      <w:hyperlink r:id="rId11" w:history="1">
        <w:r w:rsidR="00B006B1" w:rsidRPr="00DE7EF0">
          <w:rPr>
            <w:rStyle w:val="Hyperlink"/>
          </w:rPr>
          <w:t>Environmental Radiological Assessment Services - Resources</w:t>
        </w:r>
      </w:hyperlink>
      <w:r w:rsidR="004D1CAC" w:rsidRPr="00DE7EF0">
        <w:t>).</w:t>
      </w:r>
      <w:r w:rsidR="004D1CAC">
        <w:t xml:space="preserve"> </w:t>
      </w:r>
    </w:p>
    <w:p w14:paraId="12D712B3" w14:textId="77777777" w:rsidR="004D1CAC" w:rsidRDefault="004D1CAC" w:rsidP="004D1CAC">
      <w:pPr>
        <w:ind w:left="720" w:hanging="720"/>
      </w:pPr>
      <w:r>
        <w:t>2.1.2</w:t>
      </w:r>
      <w:r>
        <w:tab/>
        <w:t>The formation of NDAWG was a key recommendation of the Consultative Exercise on Dose Assessment (CEDA) which was organised by the Food Standards Agency in October 2000 [Ref 5] to initiate a wider debate on assessment methods and to improve their transparency. The work of NDAWG has helped address concerns raised by one of the UK Government’s advisory bodies, the Radioactive Waste Management Advisory Committee (RWMAC), who made the following comments [Ref 6]:</w:t>
      </w:r>
    </w:p>
    <w:p w14:paraId="4A6CE275" w14:textId="77777777" w:rsidR="004D1CAC" w:rsidRDefault="004D1CAC" w:rsidP="004D1CAC">
      <w:pPr>
        <w:pStyle w:val="ListParagraph"/>
        <w:numPr>
          <w:ilvl w:val="0"/>
          <w:numId w:val="20"/>
        </w:numPr>
      </w:pPr>
      <w:r>
        <w:t>“It is not unusual for three different sets of dose calculations to be carried out (i.e. by the operator, one of the Environment Agencies and the Food Standards Agency and for these to result in three different estimates of dose”.</w:t>
      </w:r>
    </w:p>
    <w:p w14:paraId="5955C1B6" w14:textId="518A8714" w:rsidR="004D1CAC" w:rsidRDefault="004D1CAC" w:rsidP="004D1CAC">
      <w:pPr>
        <w:pStyle w:val="ListParagraph"/>
        <w:numPr>
          <w:ilvl w:val="0"/>
          <w:numId w:val="20"/>
        </w:numPr>
      </w:pPr>
      <w:r>
        <w:t>RWMAC “expressed concern about the pessimistic, often grossly pessimistic, assumptions made in these dose calculations”. “Using grossly pessimistic assumptions in dose calculations is not, in the RWMAC’s view, a sound basis for decision making”.</w:t>
      </w:r>
    </w:p>
    <w:p w14:paraId="092EFB3C" w14:textId="677C4F03" w:rsidR="00615AB0" w:rsidRDefault="004D1CAC" w:rsidP="00615AB0">
      <w:pPr>
        <w:ind w:left="720" w:hanging="720"/>
      </w:pPr>
      <w:r>
        <w:t>2.1.3</w:t>
      </w:r>
      <w:r>
        <w:tab/>
        <w:t xml:space="preserve">A further need for guidance arises from EPR 10 [Ref 1], a Direction to SEPA [Ref 7] and Regulations in Northern Ireland [Ref 8] which require the Environment Agencies to ensure that legal dose limits are not </w:t>
      </w:r>
      <w:proofErr w:type="gramStart"/>
      <w:r>
        <w:t>exceeded</w:t>
      </w:r>
      <w:proofErr w:type="gramEnd"/>
      <w:r>
        <w:t xml:space="preserve"> and the defined dose constraints are </w:t>
      </w:r>
      <w:proofErr w:type="gramStart"/>
      <w:r>
        <w:t>taken into account</w:t>
      </w:r>
      <w:proofErr w:type="gramEnd"/>
      <w:r>
        <w:t xml:space="preserve">. These Regulations and Direction implement requirements of the Euratom </w:t>
      </w:r>
      <w:r>
        <w:lastRenderedPageBreak/>
        <w:t>Basic Safety Standards Directive 1996 (BSSD) [Ref 9]. The Euratom BSSD 1996 [Ref 9] requires the Environment Agencies to make realistic assessments of the doses to reference groups of members of the public. This requirement for realistic assessment is a key principle which has been addressed within this document. The Euratom BSSD 1996 is undergoing revision, and the revised BSSD is expected to be published in 2013. The revised BSSD has similar requirements for protecting members of the public including optimisation, the need for dose constraints during optimisation and a realistic dose assessment process.</w:t>
      </w:r>
    </w:p>
    <w:p w14:paraId="5D3F5144" w14:textId="77777777" w:rsidR="00615AB0" w:rsidRDefault="00615AB0" w:rsidP="00615AB0">
      <w:pPr>
        <w:pStyle w:val="Heading2"/>
      </w:pPr>
      <w:bookmarkStart w:id="4" w:name="_Toc227317359"/>
      <w:r>
        <w:t>2.2</w:t>
      </w:r>
      <w:r>
        <w:tab/>
        <w:t>Radioactive waste management policy</w:t>
      </w:r>
      <w:bookmarkEnd w:id="4"/>
    </w:p>
    <w:p w14:paraId="70C9AA8D" w14:textId="77777777" w:rsidR="008328EF" w:rsidRDefault="00615AB0" w:rsidP="008328EF">
      <w:pPr>
        <w:ind w:left="720" w:hanging="720"/>
      </w:pPr>
      <w:r>
        <w:t>2.2.1</w:t>
      </w:r>
      <w:r>
        <w:tab/>
      </w:r>
      <w:r w:rsidR="008328EF">
        <w:t xml:space="preserve">The current UK Government Policy on the management of radioactive waste is defined in </w:t>
      </w:r>
      <w:proofErr w:type="gramStart"/>
      <w:r w:rsidR="008328EF">
        <w:t>a number of</w:t>
      </w:r>
      <w:proofErr w:type="gramEnd"/>
      <w:r w:rsidR="008328EF">
        <w:t xml:space="preserve"> documents, including Cm 2919 [Ref 10] and the UK discharge strategy [Ref 11]. Cm 2919 has the principal aims of ensuring that:</w:t>
      </w:r>
    </w:p>
    <w:p w14:paraId="4DBD67CC" w14:textId="77777777" w:rsidR="008328EF" w:rsidRDefault="008328EF" w:rsidP="008328EF">
      <w:pPr>
        <w:pStyle w:val="ListParagraph"/>
        <w:numPr>
          <w:ilvl w:val="0"/>
          <w:numId w:val="21"/>
        </w:numPr>
      </w:pPr>
      <w:r>
        <w:t>radioactive waste is not unnecessarily created;</w:t>
      </w:r>
    </w:p>
    <w:p w14:paraId="11D2970A" w14:textId="77777777" w:rsidR="008328EF" w:rsidRDefault="008328EF" w:rsidP="008328EF">
      <w:pPr>
        <w:pStyle w:val="ListParagraph"/>
        <w:numPr>
          <w:ilvl w:val="0"/>
          <w:numId w:val="21"/>
        </w:numPr>
      </w:pPr>
      <w:r>
        <w:t>such waste as is created are safely and appropriately managed and treated;</w:t>
      </w:r>
    </w:p>
    <w:p w14:paraId="0A346750" w14:textId="19A2B3A6" w:rsidR="008328EF" w:rsidRDefault="008328EF" w:rsidP="008328EF">
      <w:pPr>
        <w:pStyle w:val="ListParagraph"/>
        <w:numPr>
          <w:ilvl w:val="0"/>
          <w:numId w:val="21"/>
        </w:numPr>
      </w:pPr>
      <w:r>
        <w:t>it is then safely disposed of at appropriate times and in appropriate ways;</w:t>
      </w:r>
    </w:p>
    <w:p w14:paraId="176C0EF4" w14:textId="77777777" w:rsidR="008328EF" w:rsidRDefault="008328EF" w:rsidP="008328EF">
      <w:pPr>
        <w:ind w:left="720"/>
      </w:pPr>
      <w:proofErr w:type="gramStart"/>
      <w:r>
        <w:t>so as to</w:t>
      </w:r>
      <w:proofErr w:type="gramEnd"/>
      <w:r>
        <w:t xml:space="preserve"> safeguard the interests of existing and future generations and the wider environment, and in a manner that commands public confidence and takes due account of costs.</w:t>
      </w:r>
    </w:p>
    <w:p w14:paraId="69CB9097" w14:textId="3CABD013" w:rsidR="008328EF" w:rsidRDefault="008328EF" w:rsidP="000921A4">
      <w:pPr>
        <w:ind w:left="720" w:hanging="720"/>
      </w:pPr>
      <w:r>
        <w:t>2.2.2</w:t>
      </w:r>
      <w:r>
        <w:tab/>
        <w:t xml:space="preserve">This is </w:t>
      </w:r>
      <w:proofErr w:type="gramStart"/>
      <w:r>
        <w:t>similar to</w:t>
      </w:r>
      <w:proofErr w:type="gramEnd"/>
      <w:r>
        <w:t xml:space="preserve"> the fundamental principle of IAEA Safety Standards Series No. SF-1 “Fundamental Safety Principles” [Ref 14]:</w:t>
      </w:r>
      <w:r w:rsidR="000921A4">
        <w:t xml:space="preserve"> </w:t>
      </w:r>
      <w:r>
        <w:t>“People and the environment present and future must be protected against radiation risks”</w:t>
      </w:r>
    </w:p>
    <w:p w14:paraId="4176F33B" w14:textId="77777777" w:rsidR="008328EF" w:rsidRDefault="008328EF" w:rsidP="008328EF">
      <w:pPr>
        <w:ind w:left="720" w:hanging="720"/>
      </w:pPr>
      <w:r>
        <w:t>2.2.3</w:t>
      </w:r>
      <w:r>
        <w:tab/>
        <w:t xml:space="preserve">The UK Strategy for radioactive discharges [Ref 11] aims to implement the OSPAR Strategy for radioactive substances which was agreed by Ministers of the Signatory countries (known as ‘Contracting Parties’) at Sintra, Portugal in 1998. The objective of the OSPAR strategy is to prevent pollution of the </w:t>
      </w:r>
      <w:proofErr w:type="gramStart"/>
      <w:r>
        <w:t>North East</w:t>
      </w:r>
      <w:proofErr w:type="gramEnd"/>
      <w:r>
        <w:t xml:space="preserve"> Atlantic maritime area through progressive and substantial reductions in discharges, emissions and losses of radioactive substances. By the year 2020, the OSPAR Commission will ensure that discharges, emissions and losses of radioactive substances are reduced to levels where the additional concentrations in the marine environment above historic levels, resulting from such discharges, emissions and losses, are close to zero.</w:t>
      </w:r>
    </w:p>
    <w:p w14:paraId="45DD0EA9" w14:textId="1FA93C8E" w:rsidR="008328EF" w:rsidRDefault="008328EF" w:rsidP="008328EF">
      <w:pPr>
        <w:ind w:left="720" w:hanging="720"/>
      </w:pPr>
      <w:r>
        <w:lastRenderedPageBreak/>
        <w:t>2.2.4</w:t>
      </w:r>
      <w:r>
        <w:tab/>
        <w:t>The UK radioactive waste management policy and regulatory framework is underpinned by international recommendations made by the International Commission on Radiological Protection (ICRP) and national recommendations made by the HPA on radiation protection principles and criteria. The most recent formal recommendations are provided in ICRP Publication 103 [Ref 15] and the HPA’s 2009 advice to the Government [Ref 16]. ICRP Publication 77 [Ref 17] provides specific guidance on the disposal of radioactive waste. For practices</w:t>
      </w:r>
      <w:r w:rsidR="009D2DEE">
        <w:rPr>
          <w:rStyle w:val="FootnoteReference"/>
        </w:rPr>
        <w:footnoteReference w:id="2"/>
      </w:r>
      <w:r>
        <w:t xml:space="preserve"> involving the use of radioactive substances (e.g. medical diagnostics and treatment or nuclear power generation), the system of protection recommended by ICRP and HPA is based on the following principles:</w:t>
      </w:r>
    </w:p>
    <w:p w14:paraId="597E2963" w14:textId="77777777" w:rsidR="008328EF" w:rsidRDefault="008328EF" w:rsidP="008328EF">
      <w:pPr>
        <w:pStyle w:val="ListParagraph"/>
        <w:numPr>
          <w:ilvl w:val="0"/>
          <w:numId w:val="22"/>
        </w:numPr>
      </w:pPr>
      <w:r>
        <w:t>no practice involving exposures to radiation should be adopted unless it produces sufficient benefit to the exposed individuals or to society to offset the radiation detriment it causes (the justification principle);</w:t>
      </w:r>
    </w:p>
    <w:p w14:paraId="3B514B07" w14:textId="77777777" w:rsidR="008328EF" w:rsidRDefault="008328EF" w:rsidP="008328EF">
      <w:pPr>
        <w:pStyle w:val="ListParagraph"/>
        <w:numPr>
          <w:ilvl w:val="0"/>
          <w:numId w:val="22"/>
        </w:numPr>
      </w:pPr>
      <w:r>
        <w:t xml:space="preserve">in relation to any particular source within a practice (e.g. an individual hospital with a nuclear medicine department or an individual nuclear power station), the magnitude of individual doses, the number of people exposed, and the likelihood of incurring exposures where these are not certain to be received should all be kept as low as reasonably achievable, economic and social factors being taken into account (ALARA). This procedure should be constrained by restrictions on the doses to individuals (dose constraints), or the risks to individuals in the case of potential exposures (risk constraints), </w:t>
      </w:r>
      <w:proofErr w:type="gramStart"/>
      <w:r>
        <w:t>so as to</w:t>
      </w:r>
      <w:proofErr w:type="gramEnd"/>
      <w:r>
        <w:t xml:space="preserve"> limit the inequity likely to result from the inherent economic and social judgements (the optimisation of protection);</w:t>
      </w:r>
    </w:p>
    <w:p w14:paraId="3F048AA5" w14:textId="7196A553" w:rsidR="008328EF" w:rsidRDefault="008328EF" w:rsidP="008328EF">
      <w:pPr>
        <w:pStyle w:val="ListParagraph"/>
        <w:numPr>
          <w:ilvl w:val="0"/>
          <w:numId w:val="22"/>
        </w:numPr>
      </w:pPr>
      <w:r>
        <w:t xml:space="preserve">the exposure of individuals resulting from the combination of all the relevant practices should be subject to dose limits, or to some control of the risk in the case of potential exposures (individual dose and risk limits). These are aimed at ensuring that no individual is exposed to radiation risks that are judged to be unacceptable from these practices in any normal circumstances. Not all sources are susceptible to control by action at the source (e.g. </w:t>
      </w:r>
      <w:proofErr w:type="gramStart"/>
      <w:r>
        <w:t>as a result of</w:t>
      </w:r>
      <w:proofErr w:type="gramEnd"/>
      <w:r>
        <w:t xml:space="preserve"> incidents or </w:t>
      </w:r>
      <w:r>
        <w:lastRenderedPageBreak/>
        <w:t>accidents) and it is necessary to specify the sources to be included as relevant before selecting a dose limit.</w:t>
      </w:r>
    </w:p>
    <w:p w14:paraId="21335DB8" w14:textId="77777777" w:rsidR="008328EF" w:rsidRDefault="008328EF" w:rsidP="008328EF">
      <w:r>
        <w:t>2.2.5</w:t>
      </w:r>
      <w:r>
        <w:tab/>
        <w:t>The UK discharge strategy sets out the following principles:</w:t>
      </w:r>
    </w:p>
    <w:p w14:paraId="07763B53" w14:textId="77777777" w:rsidR="008328EF" w:rsidRDefault="008328EF" w:rsidP="008328EF">
      <w:pPr>
        <w:pStyle w:val="ListParagraph"/>
        <w:numPr>
          <w:ilvl w:val="0"/>
          <w:numId w:val="23"/>
        </w:numPr>
      </w:pPr>
      <w:r>
        <w:t>regulatory justification of practices by the UK Government [and the Devolved Administrations, in particular circumstances] [Ref 18].</w:t>
      </w:r>
    </w:p>
    <w:p w14:paraId="30F6FCFD" w14:textId="77777777" w:rsidR="008328EF" w:rsidRDefault="008328EF" w:rsidP="008328EF">
      <w:pPr>
        <w:pStyle w:val="ListParagraph"/>
        <w:numPr>
          <w:ilvl w:val="0"/>
          <w:numId w:val="23"/>
        </w:numPr>
      </w:pPr>
      <w:r>
        <w:t xml:space="preserve">optimisation of protection on the basis that radiological doses and risks to workers and members of the public from a source of exposure should be kept as low as reasonably achievable (the ALARA principle) (economic and social factors </w:t>
      </w:r>
      <w:proofErr w:type="gramStart"/>
      <w:r>
        <w:t>taken into account</w:t>
      </w:r>
      <w:proofErr w:type="gramEnd"/>
      <w:r>
        <w:t>);</w:t>
      </w:r>
    </w:p>
    <w:p w14:paraId="356DF3C9" w14:textId="77777777" w:rsidR="008328EF" w:rsidRDefault="008328EF" w:rsidP="008328EF">
      <w:pPr>
        <w:pStyle w:val="ListParagraph"/>
        <w:numPr>
          <w:ilvl w:val="0"/>
          <w:numId w:val="23"/>
        </w:numPr>
      </w:pPr>
      <w:r>
        <w:t>application of limits and conditions to control discharges from justified activities;</w:t>
      </w:r>
    </w:p>
    <w:p w14:paraId="07D560AF" w14:textId="77777777" w:rsidR="008328EF" w:rsidRDefault="008328EF" w:rsidP="008328EF">
      <w:pPr>
        <w:pStyle w:val="ListParagraph"/>
        <w:numPr>
          <w:ilvl w:val="0"/>
          <w:numId w:val="23"/>
        </w:numPr>
      </w:pPr>
      <w:r>
        <w:t>sustainable development;</w:t>
      </w:r>
    </w:p>
    <w:p w14:paraId="2251526F" w14:textId="77777777" w:rsidR="008328EF" w:rsidRDefault="008328EF" w:rsidP="008328EF">
      <w:pPr>
        <w:pStyle w:val="ListParagraph"/>
        <w:numPr>
          <w:ilvl w:val="0"/>
          <w:numId w:val="23"/>
        </w:numPr>
      </w:pPr>
      <w:r>
        <w:t xml:space="preserve">the use of Best Practicable Means (BPM) </w:t>
      </w:r>
    </w:p>
    <w:p w14:paraId="0172DCFD" w14:textId="77777777" w:rsidR="008328EF" w:rsidRDefault="008328EF" w:rsidP="008328EF">
      <w:pPr>
        <w:pStyle w:val="ListParagraph"/>
        <w:numPr>
          <w:ilvl w:val="0"/>
          <w:numId w:val="23"/>
        </w:numPr>
      </w:pPr>
      <w:r>
        <w:t>the precautionary principle;</w:t>
      </w:r>
    </w:p>
    <w:p w14:paraId="758E366D" w14:textId="77777777" w:rsidR="008328EF" w:rsidRDefault="008328EF" w:rsidP="008328EF">
      <w:pPr>
        <w:pStyle w:val="ListParagraph"/>
        <w:numPr>
          <w:ilvl w:val="0"/>
          <w:numId w:val="23"/>
        </w:numPr>
      </w:pPr>
      <w:r>
        <w:t>the polluter pays principle;</w:t>
      </w:r>
    </w:p>
    <w:p w14:paraId="121FE2B0" w14:textId="77777777" w:rsidR="009D2DEE" w:rsidRDefault="008328EF" w:rsidP="009D2DEE">
      <w:pPr>
        <w:pStyle w:val="ListParagraph"/>
        <w:numPr>
          <w:ilvl w:val="0"/>
          <w:numId w:val="23"/>
        </w:numPr>
      </w:pPr>
      <w:r>
        <w:t xml:space="preserve">the preferred use of ‘concentrate and contain’ in the management of radioactive waste over ‘dilute and disperse’ in cases where there would be a definite benefit in reducing environmental pollution, </w:t>
      </w:r>
      <w:proofErr w:type="gramStart"/>
      <w:r>
        <w:t>provided that</w:t>
      </w:r>
      <w:proofErr w:type="gramEnd"/>
      <w:r>
        <w:t xml:space="preserve"> BPM is being applied and worker dose is </w:t>
      </w:r>
      <w:proofErr w:type="gramStart"/>
      <w:r>
        <w:t>taken into account</w:t>
      </w:r>
      <w:proofErr w:type="gramEnd"/>
      <w:r>
        <w:t>.</w:t>
      </w:r>
    </w:p>
    <w:p w14:paraId="22218889" w14:textId="7C2E2A76" w:rsidR="009D2DEE" w:rsidRDefault="009D2DEE" w:rsidP="009D2DEE">
      <w:pPr>
        <w:pStyle w:val="Heading2"/>
      </w:pPr>
      <w:bookmarkStart w:id="5" w:name="_Toc227317360"/>
      <w:r>
        <w:t>2.3</w:t>
      </w:r>
      <w:r>
        <w:tab/>
        <w:t>Regulatory framework</w:t>
      </w:r>
      <w:bookmarkEnd w:id="5"/>
    </w:p>
    <w:p w14:paraId="6021D344" w14:textId="77777777" w:rsidR="00D370EB" w:rsidRDefault="009D2DEE" w:rsidP="00D370EB">
      <w:pPr>
        <w:ind w:left="720" w:hanging="720"/>
      </w:pPr>
      <w:r>
        <w:t>2.3.1</w:t>
      </w:r>
      <w:r>
        <w:tab/>
      </w:r>
      <w:r w:rsidR="00D370EB">
        <w:t xml:space="preserve">EASR provides the framework for controlling the management of solid, liquid and gaseous radioactive waste </w:t>
      </w:r>
      <w:proofErr w:type="gramStart"/>
      <w:r w:rsidR="00D370EB">
        <w:t>so as to</w:t>
      </w:r>
      <w:proofErr w:type="gramEnd"/>
      <w:r w:rsidR="00D370EB">
        <w:t xml:space="preserve"> protect the public and the environment. The key legal requirement is that no person may manage radioactive waste unless it is in accordance with an authorisation, except where the waste is excluded from control. We are responsible for determining applications for authorisations made by producers of radioactive waste and for reviewing those authorisations on a regular basis.</w:t>
      </w:r>
    </w:p>
    <w:p w14:paraId="0CB2C9D3" w14:textId="77777777" w:rsidR="00D370EB" w:rsidRDefault="00D370EB" w:rsidP="00D370EB">
      <w:pPr>
        <w:ind w:left="720" w:hanging="720"/>
      </w:pPr>
      <w:r>
        <w:t>2.3.2</w:t>
      </w:r>
      <w:r>
        <w:tab/>
        <w:t>Premises occupied by the Crown for defence purposes are exempt from EASR. However, discharges from these premises are made in accordance with agreements which apply a comparable standard as an authorisation.</w:t>
      </w:r>
    </w:p>
    <w:p w14:paraId="41F54944" w14:textId="77777777" w:rsidR="00D370EB" w:rsidRDefault="00D370EB" w:rsidP="00D370EB">
      <w:pPr>
        <w:ind w:left="720" w:hanging="720"/>
      </w:pPr>
      <w:r>
        <w:t>2.3.3</w:t>
      </w:r>
      <w:r>
        <w:tab/>
        <w:t xml:space="preserve">The Euratom Basic Safety Standards Directive (BSSD) [Ref 9] provides the mechanism for the implementation of the 2007 recommendations of ICRP [within the European Union. Many of the Directive’s provisions are implemented by the Ionising Radiations </w:t>
      </w:r>
      <w:r>
        <w:lastRenderedPageBreak/>
        <w:t>Regulations [Ref 21, 22] and with respect to the management of radioactive substances are transposed by EASR in Scotland.</w:t>
      </w:r>
    </w:p>
    <w:p w14:paraId="7A089695" w14:textId="77777777" w:rsidR="00D370EB" w:rsidRDefault="00D370EB" w:rsidP="00D370EB">
      <w:pPr>
        <w:ind w:left="720" w:hanging="720"/>
      </w:pPr>
      <w:r>
        <w:t>2.3.4</w:t>
      </w:r>
      <w:r>
        <w:tab/>
        <w:t>The Office of Nuclear Regulation (ONR) within the Health and Safety Executive (HSE) is responsible for regulating sites licensed under the Nuclear Installations Act 1965 [Ref 24] and is a statutory consultee in the process of determining permits or authorisations. On sites for which a nuclear site licence has been granted by the ONR, commonly referred to as ‘nuclear sites’, the accumulation of radioactive wastes are regulated via conditions attached to the licence. The HSE regulates the exposure of workers using radioactive substances under the Ionising Radiations Regulations [Ref 21, 22] (undertaken by the ONR on nuclear sites).</w:t>
      </w:r>
    </w:p>
    <w:p w14:paraId="3685CD03" w14:textId="4A67AE89" w:rsidR="00D370EB" w:rsidRDefault="00D370EB" w:rsidP="00D370EB">
      <w:pPr>
        <w:ind w:left="720" w:hanging="720"/>
      </w:pPr>
      <w:r>
        <w:t>2.3.5</w:t>
      </w:r>
      <w:r>
        <w:tab/>
        <w:t xml:space="preserve">There are </w:t>
      </w:r>
      <w:proofErr w:type="gramStart"/>
      <w:r>
        <w:t>a number of</w:t>
      </w:r>
      <w:proofErr w:type="gramEnd"/>
      <w:r>
        <w:t xml:space="preserve"> advisory bodies involved in the regulatory process. We seek advice from Food Standards Scotland on food safety as part of the process for determining applications for authorisations to manage of radioactive waste. In Scotland, we undertake the programme for radiological monitoring of food and the </w:t>
      </w:r>
      <w:proofErr w:type="gramStart"/>
      <w:r>
        <w:t>environment</w:t>
      </w:r>
      <w:proofErr w:type="gramEnd"/>
      <w:r>
        <w:t xml:space="preserve"> and we work closely with Food Standards Scotland to develop a holistic monitoring programme. The food and environmental monitoring results are published jointly on an annual basis [Refs 25, 26, 27, 28 &amp; 29]</w:t>
      </w:r>
      <w:r w:rsidR="00E0699E">
        <w:t xml:space="preserve"> </w:t>
      </w:r>
      <w:r>
        <w:t>in the publication ‘Radioactivity in Food and the Environment’ (RIFE).</w:t>
      </w:r>
    </w:p>
    <w:p w14:paraId="4616C1BC" w14:textId="77777777" w:rsidR="00D370EB" w:rsidRDefault="00D370EB" w:rsidP="00D370EB">
      <w:pPr>
        <w:ind w:left="720" w:hanging="720"/>
      </w:pPr>
      <w:r>
        <w:t>2.3.6</w:t>
      </w:r>
      <w:r>
        <w:tab/>
        <w:t xml:space="preserve">The Health Protection Agency has a statutory role to give advice on the acceptability and the application in the UK of standards recommended by international or inter-governmental bodies. The functions of the HPA </w:t>
      </w:r>
      <w:proofErr w:type="gramStart"/>
      <w:r>
        <w:t>is</w:t>
      </w:r>
      <w:proofErr w:type="gramEnd"/>
      <w:r>
        <w:t xml:space="preserve"> to give advice, to conduct research and to provide technical services in the field of protection against both ionising and non-ionising radiations.</w:t>
      </w:r>
    </w:p>
    <w:p w14:paraId="1711B145" w14:textId="77777777" w:rsidR="00D370EB" w:rsidRDefault="00D370EB" w:rsidP="00D370EB">
      <w:r>
        <w:t>2.3.7</w:t>
      </w:r>
      <w:r>
        <w:tab/>
        <w:t>Other advisory bodies involved in the regulatory process include:</w:t>
      </w:r>
    </w:p>
    <w:p w14:paraId="09B78421" w14:textId="77777777" w:rsidR="00D370EB" w:rsidRDefault="00D370EB" w:rsidP="00D370EB">
      <w:pPr>
        <w:pStyle w:val="ListParagraph"/>
        <w:numPr>
          <w:ilvl w:val="0"/>
          <w:numId w:val="24"/>
        </w:numPr>
      </w:pPr>
      <w:r>
        <w:t>Committee on Radioactive Waste Management (</w:t>
      </w:r>
      <w:proofErr w:type="spellStart"/>
      <w:r>
        <w:t>CoRWM</w:t>
      </w:r>
      <w:proofErr w:type="spellEnd"/>
      <w:r>
        <w:t xml:space="preserve">) – Created in 2003 to review the options for managing the UK’s higher activity solid radioactive waste, and to make recommendations on the option, or combination of options, that could provide a long-term solution, providing protection for people and the environment. The current role of </w:t>
      </w:r>
      <w:proofErr w:type="spellStart"/>
      <w:r>
        <w:t>CoRWM</w:t>
      </w:r>
      <w:proofErr w:type="spellEnd"/>
      <w:r>
        <w:t xml:space="preserve"> is to provide independent scrutiny and advice to UK Government and Devolved Administration Ministers on the </w:t>
      </w:r>
      <w:proofErr w:type="gramStart"/>
      <w:r>
        <w:t>long term</w:t>
      </w:r>
      <w:proofErr w:type="gramEnd"/>
      <w:r>
        <w:t xml:space="preserve"> management, including storage and disposal, of radioactive waste.</w:t>
      </w:r>
    </w:p>
    <w:p w14:paraId="189A3538" w14:textId="77777777" w:rsidR="00183102" w:rsidRDefault="00D370EB" w:rsidP="00D370EB">
      <w:pPr>
        <w:pStyle w:val="ListParagraph"/>
        <w:numPr>
          <w:ilvl w:val="0"/>
          <w:numId w:val="24"/>
        </w:numPr>
      </w:pPr>
      <w:r>
        <w:lastRenderedPageBreak/>
        <w:t>The Committee on Medical Aspects of Radiation in the Environment (COMARE) – Created in 1985 to assess and advise the Government on the health effects of natural and man-made radiation in the environment and to assess the adequacy of the available data and the need for further research.</w:t>
      </w:r>
    </w:p>
    <w:p w14:paraId="26A4B205" w14:textId="06A7EB70" w:rsidR="00D370EB" w:rsidRDefault="00006AFA" w:rsidP="00183102">
      <w:pPr>
        <w:pStyle w:val="Heading2"/>
      </w:pPr>
      <w:bookmarkStart w:id="6" w:name="_Toc227317361"/>
      <w:r>
        <w:t>2.4</w:t>
      </w:r>
      <w:r w:rsidR="002E482D">
        <w:tab/>
      </w:r>
      <w:r w:rsidR="00183102" w:rsidRPr="00183102">
        <w:t>Radiological protection criteria for public exposure</w:t>
      </w:r>
      <w:bookmarkEnd w:id="6"/>
    </w:p>
    <w:p w14:paraId="795CDA77" w14:textId="77777777" w:rsidR="00695457" w:rsidRDefault="00183102" w:rsidP="00695457">
      <w:r>
        <w:t>2.4.1</w:t>
      </w:r>
      <w:r>
        <w:tab/>
      </w:r>
      <w:r w:rsidR="00695457">
        <w:t>The following criteria are discussed in this section and illustrated in Table 1:</w:t>
      </w:r>
    </w:p>
    <w:p w14:paraId="38D766E2" w14:textId="77777777" w:rsidR="00695457" w:rsidRDefault="00695457" w:rsidP="00695457">
      <w:pPr>
        <w:pStyle w:val="ListParagraph"/>
        <w:numPr>
          <w:ilvl w:val="0"/>
          <w:numId w:val="25"/>
        </w:numPr>
      </w:pPr>
      <w:r>
        <w:t>Dose limits.</w:t>
      </w:r>
    </w:p>
    <w:p w14:paraId="4D1265ED" w14:textId="77777777" w:rsidR="00695457" w:rsidRDefault="00695457" w:rsidP="00695457">
      <w:pPr>
        <w:pStyle w:val="ListParagraph"/>
        <w:numPr>
          <w:ilvl w:val="0"/>
          <w:numId w:val="25"/>
        </w:numPr>
      </w:pPr>
      <w:r>
        <w:t>Site and source dose constraints.</w:t>
      </w:r>
    </w:p>
    <w:p w14:paraId="58185D96" w14:textId="4B350BCC" w:rsidR="00695457" w:rsidRDefault="00695457" w:rsidP="00695457">
      <w:pPr>
        <w:pStyle w:val="ListParagraph"/>
        <w:numPr>
          <w:ilvl w:val="0"/>
          <w:numId w:val="25"/>
        </w:numPr>
      </w:pPr>
      <w:r>
        <w:t>Optimisation at low doses.</w:t>
      </w:r>
    </w:p>
    <w:p w14:paraId="7ADBD855" w14:textId="4642361A" w:rsidR="00183102" w:rsidRDefault="00695457" w:rsidP="00695457">
      <w:pPr>
        <w:ind w:left="720" w:hanging="720"/>
      </w:pPr>
      <w:r>
        <w:t>2.4.2</w:t>
      </w:r>
      <w:r>
        <w:tab/>
        <w:t>The main quantity that is calculated for comparison with the dose criteria expressed as effective dose in Table 1 is dose. Dose is a combination of external effective dose from 1 year’s exposure and committed effective dose from 1 year’s intake – as defined in the glossary.</w:t>
      </w:r>
    </w:p>
    <w:p w14:paraId="5500447C" w14:textId="77777777" w:rsidR="00586F5F" w:rsidRDefault="00586F5F" w:rsidP="00695457">
      <w:pPr>
        <w:ind w:left="720" w:hanging="720"/>
        <w:sectPr w:rsidR="00586F5F" w:rsidSect="00917BB1">
          <w:headerReference w:type="even" r:id="rId12"/>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pPr>
    </w:p>
    <w:p w14:paraId="0A02CA87" w14:textId="55BEF9AC" w:rsidR="00F612F3" w:rsidRPr="00650B15" w:rsidRDefault="00F612F3" w:rsidP="00F612F3">
      <w:pPr>
        <w:pStyle w:val="BodyText1"/>
        <w:rPr>
          <w:rFonts w:eastAsia="Times New Roman"/>
          <w:b/>
          <w:bCs/>
        </w:rPr>
      </w:pPr>
      <w:r w:rsidRPr="00650B15">
        <w:rPr>
          <w:rFonts w:eastAsia="Times New Roman"/>
          <w:b/>
          <w:bCs/>
        </w:rPr>
        <w:lastRenderedPageBreak/>
        <w:t xml:space="preserve">Table </w:t>
      </w:r>
      <w:r>
        <w:rPr>
          <w:rFonts w:eastAsia="Times New Roman"/>
          <w:b/>
          <w:bCs/>
        </w:rPr>
        <w:t>1</w:t>
      </w:r>
      <w:r w:rsidRPr="00650B15">
        <w:rPr>
          <w:rFonts w:eastAsia="Times New Roman"/>
          <w:b/>
          <w:bCs/>
        </w:rPr>
        <w:t xml:space="preserve">: </w:t>
      </w:r>
      <w:r w:rsidR="00AD7263" w:rsidRPr="00AD7263">
        <w:rPr>
          <w:rFonts w:eastAsia="Times New Roman"/>
          <w:b/>
          <w:bCs/>
        </w:rPr>
        <w:t>Summary of Radiological Protection Criteria for Public Exposure</w:t>
      </w:r>
      <w:r w:rsidR="004E2749">
        <w:rPr>
          <w:rFonts w:eastAsia="Times New Roman"/>
          <w:b/>
          <w:bCs/>
        </w:rPr>
        <w:t xml:space="preserve">. </w:t>
      </w:r>
      <w:r w:rsidR="001553B3">
        <w:rPr>
          <w:rFonts w:eastAsia="Times New Roman"/>
          <w:b/>
          <w:bCs/>
        </w:rPr>
        <w:t>D</w:t>
      </w:r>
      <w:r w:rsidR="004E2749">
        <w:rPr>
          <w:rFonts w:eastAsia="Times New Roman"/>
          <w:b/>
          <w:bCs/>
        </w:rPr>
        <w:t xml:space="preserve">oses to be included in </w:t>
      </w:r>
      <w:r w:rsidR="00617D06">
        <w:rPr>
          <w:rFonts w:eastAsia="Times New Roman"/>
          <w:b/>
          <w:bCs/>
        </w:rPr>
        <w:t>a</w:t>
      </w:r>
      <w:r w:rsidR="00117F35">
        <w:rPr>
          <w:rFonts w:eastAsia="Times New Roman"/>
          <w:b/>
          <w:bCs/>
        </w:rPr>
        <w:t xml:space="preserve">ssessment </w:t>
      </w:r>
      <w:r w:rsidR="00617D06">
        <w:rPr>
          <w:rFonts w:eastAsia="Times New Roman"/>
          <w:b/>
          <w:bCs/>
        </w:rPr>
        <w:t>a</w:t>
      </w:r>
      <w:r w:rsidR="00117F35">
        <w:rPr>
          <w:rFonts w:eastAsia="Times New Roman"/>
          <w:b/>
          <w:bCs/>
        </w:rPr>
        <w:t xml:space="preserve">gainst </w:t>
      </w:r>
      <w:r w:rsidR="00617D06">
        <w:rPr>
          <w:rFonts w:eastAsia="Times New Roman"/>
          <w:b/>
          <w:bCs/>
        </w:rPr>
        <w:t>c</w:t>
      </w:r>
      <w:r w:rsidR="00117F35">
        <w:rPr>
          <w:rFonts w:eastAsia="Times New Roman"/>
          <w:b/>
          <w:bCs/>
        </w:rPr>
        <w:t>riteria.</w:t>
      </w:r>
    </w:p>
    <w:tbl>
      <w:tblPr>
        <w:tblW w:w="5000" w:type="pct"/>
        <w:tblLayout w:type="fixed"/>
        <w:tblCellMar>
          <w:left w:w="0" w:type="dxa"/>
          <w:right w:w="0" w:type="dxa"/>
        </w:tblCellMar>
        <w:tblLook w:val="04A0" w:firstRow="1" w:lastRow="0" w:firstColumn="1" w:lastColumn="0" w:noHBand="0" w:noVBand="1"/>
        <w:tblCaption w:val="Table 1: Summary of Radiological Protection Criteria for Public Exposure. The table outlines the doses to be included in assessment against criteria."/>
        <w:tblDescription w:val="This table outlines the criteria and quantity for historical, future and future direct discharges for sources of radiation for site consideration and other sources of radiation (excluding medical and natural)."/>
      </w:tblPr>
      <w:tblGrid>
        <w:gridCol w:w="3110"/>
        <w:gridCol w:w="1981"/>
        <w:gridCol w:w="1702"/>
        <w:gridCol w:w="1702"/>
        <w:gridCol w:w="1844"/>
        <w:gridCol w:w="1557"/>
        <w:gridCol w:w="1423"/>
        <w:gridCol w:w="1823"/>
      </w:tblGrid>
      <w:tr w:rsidR="00D07A2C" w:rsidRPr="00AE1DFE" w14:paraId="2EF93011" w14:textId="77777777" w:rsidTr="00D07A2C">
        <w:trPr>
          <w:trHeight w:val="610"/>
          <w:tblHeader/>
        </w:trPr>
        <w:tc>
          <w:tcPr>
            <w:tcW w:w="1027"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2820420F" w14:textId="515460C6" w:rsidR="00370855" w:rsidRPr="00AE1DFE" w:rsidRDefault="00370855"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Criteria</w:t>
            </w:r>
          </w:p>
        </w:tc>
        <w:tc>
          <w:tcPr>
            <w:tcW w:w="654" w:type="pct"/>
            <w:tcBorders>
              <w:top w:val="single" w:sz="8" w:space="0" w:color="auto"/>
              <w:left w:val="nil"/>
              <w:bottom w:val="single" w:sz="4" w:space="0" w:color="auto"/>
              <w:right w:val="single" w:sz="4" w:space="0" w:color="3C4741" w:themeColor="text1"/>
            </w:tcBorders>
            <w:shd w:val="clear" w:color="auto" w:fill="016574"/>
            <w:noWrap/>
            <w:tcMar>
              <w:top w:w="0" w:type="dxa"/>
              <w:left w:w="108" w:type="dxa"/>
              <w:bottom w:w="0" w:type="dxa"/>
              <w:right w:w="108" w:type="dxa"/>
            </w:tcMar>
            <w:vAlign w:val="center"/>
            <w:hideMark/>
          </w:tcPr>
          <w:p w14:paraId="789308F2" w14:textId="04CDB2CF" w:rsidR="00370855" w:rsidRPr="00AE1DFE" w:rsidRDefault="00370855"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Quantity</w:t>
            </w:r>
          </w:p>
        </w:tc>
        <w:tc>
          <w:tcPr>
            <w:tcW w:w="562" w:type="pct"/>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016574" w:themeFill="accent2"/>
            <w:vAlign w:val="center"/>
          </w:tcPr>
          <w:p w14:paraId="1608D8C3" w14:textId="6434768F" w:rsidR="00D07A2C" w:rsidRDefault="00D07A2C"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Source of Radiation for Site Consideration -</w:t>
            </w:r>
          </w:p>
          <w:p w14:paraId="271E6552" w14:textId="3F074C59" w:rsidR="00370855" w:rsidRPr="00AE1DFE" w:rsidRDefault="00370855"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Historical Discharges</w:t>
            </w:r>
          </w:p>
        </w:tc>
        <w:tc>
          <w:tcPr>
            <w:tcW w:w="562" w:type="pct"/>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016574" w:themeFill="accent2"/>
            <w:vAlign w:val="center"/>
          </w:tcPr>
          <w:p w14:paraId="0BD3BE84" w14:textId="77777777" w:rsidR="00D07A2C" w:rsidRDefault="00D07A2C" w:rsidP="00D07A2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Source of Radiation for Site Consideration -</w:t>
            </w:r>
          </w:p>
          <w:p w14:paraId="5421B6A6" w14:textId="7D502185" w:rsidR="00370855" w:rsidRPr="00AE1DFE" w:rsidRDefault="00370855"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Future Discharges</w:t>
            </w:r>
          </w:p>
        </w:tc>
        <w:tc>
          <w:tcPr>
            <w:tcW w:w="609" w:type="pct"/>
            <w:tcBorders>
              <w:top w:val="single" w:sz="8" w:space="0" w:color="auto"/>
              <w:left w:val="single" w:sz="4" w:space="0" w:color="3C4741" w:themeColor="text1"/>
              <w:bottom w:val="single" w:sz="4" w:space="0" w:color="auto"/>
              <w:right w:val="single" w:sz="4" w:space="0" w:color="3C4741" w:themeColor="text1"/>
            </w:tcBorders>
            <w:shd w:val="clear" w:color="auto" w:fill="016574"/>
            <w:noWrap/>
            <w:tcMar>
              <w:top w:w="0" w:type="dxa"/>
              <w:left w:w="108" w:type="dxa"/>
              <w:bottom w:w="0" w:type="dxa"/>
              <w:right w:w="108" w:type="dxa"/>
            </w:tcMar>
            <w:vAlign w:val="center"/>
            <w:hideMark/>
          </w:tcPr>
          <w:p w14:paraId="27674DFD" w14:textId="77777777" w:rsidR="00D07A2C" w:rsidRDefault="00D07A2C" w:rsidP="00D07A2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Source of Radiation for Site Consideration -</w:t>
            </w:r>
          </w:p>
          <w:p w14:paraId="3BCB2167" w14:textId="3FA52FC3" w:rsidR="00370855" w:rsidRPr="00AE1DFE" w:rsidRDefault="00370855"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Future Direct Radiation</w:t>
            </w: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016574" w:themeFill="accent2"/>
            <w:vAlign w:val="center"/>
          </w:tcPr>
          <w:p w14:paraId="592DE34C" w14:textId="375F3D9B" w:rsidR="00370855" w:rsidRPr="00AE1DFE" w:rsidRDefault="00D07A2C"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Other Sources of Radiation (Excluding Medical and Natural) - </w:t>
            </w:r>
            <w:r w:rsidR="00370855">
              <w:rPr>
                <w:rFonts w:ascii="Arial" w:eastAsia="Times New Roman" w:hAnsi="Arial" w:cs="Arial"/>
                <w:b/>
                <w:bCs/>
                <w:color w:val="FFFFFF"/>
                <w:lang w:eastAsia="en-GB"/>
              </w:rPr>
              <w:t>Historical Discharges</w:t>
            </w: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016574" w:themeFill="accent2"/>
            <w:vAlign w:val="center"/>
          </w:tcPr>
          <w:p w14:paraId="5075BC8A" w14:textId="1F8E05A0" w:rsidR="00370855" w:rsidRPr="00AE1DFE" w:rsidRDefault="00D07A2C"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Other Sources of Radiation (Excluding Medical and Natural) - </w:t>
            </w:r>
            <w:r w:rsidR="00370855">
              <w:rPr>
                <w:rFonts w:ascii="Arial" w:eastAsia="Times New Roman" w:hAnsi="Arial" w:cs="Arial"/>
                <w:b/>
                <w:bCs/>
                <w:color w:val="FFFFFF"/>
                <w:lang w:eastAsia="en-GB"/>
              </w:rPr>
              <w:t>Future Discharges</w:t>
            </w:r>
          </w:p>
        </w:tc>
        <w:tc>
          <w:tcPr>
            <w:tcW w:w="602" w:type="pct"/>
            <w:tcBorders>
              <w:top w:val="single" w:sz="8" w:space="0" w:color="auto"/>
              <w:left w:val="single" w:sz="4" w:space="0" w:color="3C4741" w:themeColor="text1"/>
              <w:bottom w:val="single" w:sz="4" w:space="0" w:color="auto"/>
              <w:right w:val="single" w:sz="8" w:space="0" w:color="auto"/>
            </w:tcBorders>
            <w:shd w:val="clear" w:color="auto" w:fill="016574"/>
            <w:noWrap/>
            <w:tcMar>
              <w:top w:w="0" w:type="dxa"/>
              <w:left w:w="108" w:type="dxa"/>
              <w:bottom w:w="0" w:type="dxa"/>
              <w:right w:w="108" w:type="dxa"/>
            </w:tcMar>
            <w:vAlign w:val="center"/>
            <w:hideMark/>
          </w:tcPr>
          <w:p w14:paraId="7ACD3F10" w14:textId="267A89EB" w:rsidR="00370855" w:rsidRPr="00AE1DFE" w:rsidRDefault="00D07A2C" w:rsidP="0037085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Other Sources of Radiation (Excluding Medical and Natural) - </w:t>
            </w:r>
            <w:r w:rsidR="00370855">
              <w:rPr>
                <w:rFonts w:ascii="Arial" w:eastAsia="Times New Roman" w:hAnsi="Arial" w:cs="Arial"/>
                <w:b/>
                <w:bCs/>
                <w:color w:val="FFFFFF"/>
                <w:lang w:eastAsia="en-GB"/>
              </w:rPr>
              <w:t>Future Direct Radiation</w:t>
            </w:r>
          </w:p>
        </w:tc>
      </w:tr>
      <w:tr w:rsidR="00D07A2C" w:rsidRPr="00AE1DFE" w14:paraId="70B82499" w14:textId="77777777" w:rsidTr="00D07A2C">
        <w:trPr>
          <w:trHeight w:val="315"/>
        </w:trPr>
        <w:tc>
          <w:tcPr>
            <w:tcW w:w="10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B5BB58" w14:textId="74615073" w:rsidR="00370855" w:rsidRPr="00AE1DFE" w:rsidRDefault="00370855" w:rsidP="00370855">
            <w:pPr>
              <w:spacing w:before="120" w:after="120" w:line="240" w:lineRule="auto"/>
              <w:jc w:val="center"/>
              <w:rPr>
                <w:rFonts w:ascii="Arial" w:eastAsia="Times New Roman" w:hAnsi="Arial" w:cs="Arial"/>
                <w:lang w:eastAsia="en-GB"/>
              </w:rPr>
            </w:pPr>
            <w:r>
              <w:rPr>
                <w:rFonts w:ascii="Arial" w:eastAsia="Times New Roman" w:hAnsi="Arial" w:cs="Arial"/>
                <w:lang w:eastAsia="en-GB"/>
              </w:rPr>
              <w:t>Dose limit (effective dose)</w:t>
            </w:r>
          </w:p>
        </w:tc>
        <w:tc>
          <w:tcPr>
            <w:tcW w:w="65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EE0D72A" w14:textId="12437428" w:rsidR="00370855" w:rsidRPr="00AE1DFE" w:rsidRDefault="00356EE9" w:rsidP="00370855">
            <w:pPr>
              <w:spacing w:before="120" w:after="120" w:line="240" w:lineRule="auto"/>
              <w:jc w:val="center"/>
              <w:rPr>
                <w:rFonts w:ascii="Arial" w:eastAsia="Times New Roman" w:hAnsi="Arial" w:cs="Arial"/>
                <w:lang w:eastAsia="en-GB"/>
              </w:rPr>
            </w:pPr>
            <w:r>
              <w:rPr>
                <w:rFonts w:ascii="Arial" w:eastAsia="Times New Roman" w:hAnsi="Arial" w:cs="Arial"/>
                <w:lang w:eastAsia="en-GB"/>
              </w:rPr>
              <w:t>1mSv/y</w:t>
            </w:r>
          </w:p>
        </w:tc>
        <w:tc>
          <w:tcPr>
            <w:tcW w:w="562" w:type="pct"/>
            <w:tcBorders>
              <w:top w:val="single" w:sz="4" w:space="0" w:color="3C4741" w:themeColor="text1"/>
              <w:left w:val="single" w:sz="4" w:space="0" w:color="auto"/>
              <w:bottom w:val="single" w:sz="4" w:space="0" w:color="auto"/>
              <w:right w:val="single" w:sz="4" w:space="0" w:color="auto"/>
            </w:tcBorders>
            <w:vAlign w:val="center"/>
          </w:tcPr>
          <w:p w14:paraId="3487CD97" w14:textId="49C5F5D6" w:rsidR="00370855" w:rsidRPr="00AE1DFE" w:rsidRDefault="00A62F65" w:rsidP="00370855">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562" w:type="pct"/>
            <w:tcBorders>
              <w:top w:val="single" w:sz="4" w:space="0" w:color="3C4741" w:themeColor="text1"/>
              <w:left w:val="single" w:sz="4" w:space="0" w:color="auto"/>
              <w:bottom w:val="single" w:sz="4" w:space="0" w:color="auto"/>
              <w:right w:val="single" w:sz="4" w:space="0" w:color="auto"/>
            </w:tcBorders>
            <w:vAlign w:val="center"/>
          </w:tcPr>
          <w:p w14:paraId="58E6FA23" w14:textId="1EE01606" w:rsidR="00370855" w:rsidRPr="00AE1DFE" w:rsidRDefault="00A62F65" w:rsidP="00370855">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9" w:type="pct"/>
            <w:tcBorders>
              <w:top w:val="single" w:sz="4" w:space="0" w:color="auto"/>
              <w:left w:val="single" w:sz="4" w:space="0" w:color="auto"/>
              <w:bottom w:val="single" w:sz="4" w:space="0" w:color="auto"/>
              <w:right w:val="single" w:sz="4" w:space="0" w:color="3C4741" w:themeColor="text1"/>
            </w:tcBorders>
            <w:noWrap/>
            <w:tcMar>
              <w:top w:w="0" w:type="dxa"/>
              <w:left w:w="108" w:type="dxa"/>
              <w:bottom w:w="0" w:type="dxa"/>
              <w:right w:w="108" w:type="dxa"/>
            </w:tcMar>
            <w:vAlign w:val="center"/>
            <w:hideMark/>
          </w:tcPr>
          <w:p w14:paraId="72AB48F0" w14:textId="15B99568" w:rsidR="00370855" w:rsidRPr="00AE1DFE" w:rsidRDefault="00A62F65" w:rsidP="00370855">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07C1C171" w14:textId="0BA56414" w:rsidR="00370855" w:rsidRPr="00AE1DFE" w:rsidRDefault="00A62F65" w:rsidP="00370855">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2F26B15E" w14:textId="62FD1251" w:rsidR="00370855" w:rsidRPr="00AE1DFE" w:rsidRDefault="00A62F65" w:rsidP="00370855">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2" w:type="pct"/>
            <w:tcBorders>
              <w:top w:val="single" w:sz="4" w:space="0" w:color="auto"/>
              <w:left w:val="single" w:sz="4" w:space="0" w:color="3C4741" w:themeColor="text1"/>
              <w:bottom w:val="single" w:sz="4" w:space="0" w:color="auto"/>
              <w:right w:val="single" w:sz="4" w:space="0" w:color="auto"/>
            </w:tcBorders>
            <w:noWrap/>
            <w:tcMar>
              <w:top w:w="0" w:type="dxa"/>
              <w:left w:w="108" w:type="dxa"/>
              <w:bottom w:w="0" w:type="dxa"/>
              <w:right w:w="108" w:type="dxa"/>
            </w:tcMar>
            <w:vAlign w:val="center"/>
            <w:hideMark/>
          </w:tcPr>
          <w:p w14:paraId="301A017F" w14:textId="21B494B7" w:rsidR="00370855" w:rsidRPr="00AE1DFE" w:rsidRDefault="00A62F65" w:rsidP="00370855">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r>
      <w:tr w:rsidR="00A317CE" w:rsidRPr="00AE1DFE" w14:paraId="48167BCA" w14:textId="77777777" w:rsidTr="001609E4">
        <w:trPr>
          <w:trHeight w:val="300"/>
        </w:trPr>
        <w:tc>
          <w:tcPr>
            <w:tcW w:w="10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60FC03" w14:textId="274C78F3"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Dose limit for the skin (equivalent dose)</w:t>
            </w:r>
          </w:p>
        </w:tc>
        <w:tc>
          <w:tcPr>
            <w:tcW w:w="65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B0F7CD" w14:textId="4931FAA8"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50mSv/y averaged over any area of 1cm</w:t>
            </w:r>
            <w:r w:rsidRPr="00356EE9">
              <w:rPr>
                <w:rFonts w:ascii="Arial" w:eastAsia="Times New Roman" w:hAnsi="Arial" w:cs="Arial"/>
                <w:vertAlign w:val="superscript"/>
                <w:lang w:eastAsia="en-GB"/>
              </w:rPr>
              <w:t>2</w:t>
            </w:r>
          </w:p>
        </w:tc>
        <w:tc>
          <w:tcPr>
            <w:tcW w:w="562" w:type="pct"/>
            <w:tcBorders>
              <w:top w:val="single" w:sz="4" w:space="0" w:color="auto"/>
              <w:left w:val="single" w:sz="4" w:space="0" w:color="auto"/>
              <w:bottom w:val="single" w:sz="4" w:space="0" w:color="auto"/>
              <w:right w:val="single" w:sz="4" w:space="0" w:color="auto"/>
            </w:tcBorders>
            <w:vAlign w:val="center"/>
          </w:tcPr>
          <w:p w14:paraId="5A363AE6" w14:textId="27BA0633"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562" w:type="pct"/>
            <w:tcBorders>
              <w:top w:val="single" w:sz="4" w:space="0" w:color="auto"/>
              <w:left w:val="single" w:sz="4" w:space="0" w:color="auto"/>
              <w:bottom w:val="single" w:sz="4" w:space="0" w:color="auto"/>
              <w:right w:val="single" w:sz="4" w:space="0" w:color="auto"/>
            </w:tcBorders>
            <w:vAlign w:val="center"/>
          </w:tcPr>
          <w:p w14:paraId="6D7E827D" w14:textId="268CA493"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9" w:type="pct"/>
            <w:tcBorders>
              <w:top w:val="single" w:sz="4" w:space="0" w:color="auto"/>
              <w:left w:val="single" w:sz="4" w:space="0" w:color="auto"/>
              <w:bottom w:val="single" w:sz="4" w:space="0" w:color="auto"/>
              <w:right w:val="single" w:sz="4" w:space="0" w:color="3C4741" w:themeColor="text1"/>
            </w:tcBorders>
            <w:noWrap/>
            <w:tcMar>
              <w:top w:w="0" w:type="dxa"/>
              <w:left w:w="108" w:type="dxa"/>
              <w:bottom w:w="0" w:type="dxa"/>
              <w:right w:w="108" w:type="dxa"/>
            </w:tcMar>
            <w:vAlign w:val="center"/>
            <w:hideMark/>
          </w:tcPr>
          <w:p w14:paraId="121F3EDB" w14:textId="6BCABCCC" w:rsidR="00A317CE" w:rsidRPr="00EC4BF1" w:rsidRDefault="00A317CE" w:rsidP="00A317CE">
            <w:pPr>
              <w:spacing w:before="120" w:after="120" w:line="240" w:lineRule="auto"/>
              <w:jc w:val="center"/>
              <w:rPr>
                <w:rFonts w:ascii="Arial" w:eastAsia="Times New Roman" w:hAnsi="Arial" w:cs="Arial"/>
                <w:vertAlign w:val="superscript"/>
                <w:lang w:eastAsia="en-GB"/>
              </w:rPr>
            </w:pPr>
            <w:r w:rsidRPr="00EC4BF1">
              <w:rPr>
                <w:rFonts w:ascii="Arial" w:eastAsia="Times New Roman" w:hAnsi="Arial" w:cs="Arial"/>
                <w:vertAlign w:val="superscript"/>
                <w:lang w:eastAsia="en-GB"/>
              </w:rPr>
              <w:t>(a)</w:t>
            </w: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vAlign w:val="center"/>
          </w:tcPr>
          <w:p w14:paraId="2DA6FC2D" w14:textId="449595B6"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vAlign w:val="center"/>
          </w:tcPr>
          <w:p w14:paraId="7A2503AA" w14:textId="6324CDE7"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2" w:type="pct"/>
            <w:tcBorders>
              <w:top w:val="single" w:sz="4" w:space="0" w:color="auto"/>
              <w:left w:val="single" w:sz="4" w:space="0" w:color="3C4741" w:themeColor="text1"/>
              <w:bottom w:val="single" w:sz="4" w:space="0" w:color="auto"/>
              <w:right w:val="single" w:sz="4" w:space="0" w:color="auto"/>
            </w:tcBorders>
            <w:noWrap/>
            <w:tcMar>
              <w:top w:w="0" w:type="dxa"/>
              <w:left w:w="108" w:type="dxa"/>
              <w:bottom w:w="0" w:type="dxa"/>
              <w:right w:w="108" w:type="dxa"/>
            </w:tcMar>
            <w:vAlign w:val="center"/>
            <w:hideMark/>
          </w:tcPr>
          <w:p w14:paraId="53BB00B1" w14:textId="0685ACEB" w:rsidR="00A317CE" w:rsidRPr="00EC4BF1" w:rsidRDefault="00A317CE" w:rsidP="00A317CE">
            <w:pPr>
              <w:spacing w:before="120" w:after="120" w:line="240" w:lineRule="auto"/>
              <w:jc w:val="center"/>
              <w:rPr>
                <w:rFonts w:ascii="Arial" w:eastAsia="Times New Roman" w:hAnsi="Arial" w:cs="Arial"/>
                <w:vertAlign w:val="superscript"/>
                <w:lang w:eastAsia="en-GB"/>
              </w:rPr>
            </w:pPr>
            <w:r w:rsidRPr="00EC4BF1">
              <w:rPr>
                <w:rFonts w:ascii="Arial" w:eastAsia="Times New Roman" w:hAnsi="Arial" w:cs="Arial"/>
                <w:vertAlign w:val="superscript"/>
                <w:lang w:eastAsia="en-GB"/>
              </w:rPr>
              <w:t>(a)</w:t>
            </w:r>
          </w:p>
        </w:tc>
      </w:tr>
      <w:tr w:rsidR="00A317CE" w:rsidRPr="00AE1DFE" w14:paraId="608BD6CF" w14:textId="77777777" w:rsidTr="00D07A2C">
        <w:trPr>
          <w:trHeight w:val="300"/>
        </w:trPr>
        <w:tc>
          <w:tcPr>
            <w:tcW w:w="10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197C708" w14:textId="0C8AEF4C"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Dose limit for lens of the eye (equivalent dose)</w:t>
            </w:r>
          </w:p>
        </w:tc>
        <w:tc>
          <w:tcPr>
            <w:tcW w:w="65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BB3ECB" w14:textId="657F37AD"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15mSv/y</w:t>
            </w:r>
          </w:p>
        </w:tc>
        <w:tc>
          <w:tcPr>
            <w:tcW w:w="562" w:type="pct"/>
            <w:tcBorders>
              <w:top w:val="single" w:sz="4" w:space="0" w:color="auto"/>
              <w:left w:val="single" w:sz="4" w:space="0" w:color="auto"/>
              <w:bottom w:val="single" w:sz="4" w:space="0" w:color="auto"/>
              <w:right w:val="single" w:sz="4" w:space="0" w:color="auto"/>
            </w:tcBorders>
            <w:vAlign w:val="center"/>
          </w:tcPr>
          <w:p w14:paraId="22A4A32F" w14:textId="200F746D"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562" w:type="pct"/>
            <w:tcBorders>
              <w:top w:val="single" w:sz="4" w:space="0" w:color="auto"/>
              <w:left w:val="single" w:sz="4" w:space="0" w:color="auto"/>
              <w:bottom w:val="single" w:sz="4" w:space="0" w:color="3C4741" w:themeColor="text1"/>
              <w:right w:val="single" w:sz="4" w:space="0" w:color="auto"/>
            </w:tcBorders>
            <w:vAlign w:val="center"/>
          </w:tcPr>
          <w:p w14:paraId="211502E4" w14:textId="0BF23AF0"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9" w:type="pct"/>
            <w:tcBorders>
              <w:top w:val="single" w:sz="4" w:space="0" w:color="auto"/>
              <w:left w:val="single" w:sz="4" w:space="0" w:color="auto"/>
              <w:bottom w:val="single" w:sz="4" w:space="0" w:color="auto"/>
              <w:right w:val="single" w:sz="4" w:space="0" w:color="3C4741" w:themeColor="text1"/>
            </w:tcBorders>
            <w:noWrap/>
            <w:tcMar>
              <w:top w:w="0" w:type="dxa"/>
              <w:left w:w="108" w:type="dxa"/>
              <w:bottom w:w="0" w:type="dxa"/>
              <w:right w:w="108" w:type="dxa"/>
            </w:tcMar>
            <w:vAlign w:val="center"/>
            <w:hideMark/>
          </w:tcPr>
          <w:p w14:paraId="6864D71F" w14:textId="19E0179C" w:rsidR="00A317CE" w:rsidRPr="00EC4BF1" w:rsidRDefault="00A317CE" w:rsidP="00A317CE">
            <w:pPr>
              <w:spacing w:before="120" w:after="120" w:line="240" w:lineRule="auto"/>
              <w:jc w:val="center"/>
              <w:rPr>
                <w:rFonts w:ascii="Arial" w:eastAsia="Times New Roman" w:hAnsi="Arial" w:cs="Arial"/>
                <w:vertAlign w:val="superscript"/>
                <w:lang w:eastAsia="en-GB"/>
              </w:rPr>
            </w:pPr>
            <w:r w:rsidRPr="00EC4BF1">
              <w:rPr>
                <w:rFonts w:ascii="Arial" w:eastAsia="Times New Roman" w:hAnsi="Arial" w:cs="Arial"/>
                <w:vertAlign w:val="superscript"/>
                <w:lang w:eastAsia="en-GB"/>
              </w:rPr>
              <w:t>(a)</w:t>
            </w: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2B8BEB9D" w14:textId="66CBCBA6"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31DAB1F0" w14:textId="33507D91"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2" w:type="pct"/>
            <w:tcBorders>
              <w:top w:val="single" w:sz="4" w:space="0" w:color="auto"/>
              <w:left w:val="single" w:sz="4" w:space="0" w:color="3C4741" w:themeColor="text1"/>
              <w:bottom w:val="single" w:sz="4" w:space="0" w:color="auto"/>
              <w:right w:val="single" w:sz="4" w:space="0" w:color="auto"/>
            </w:tcBorders>
            <w:noWrap/>
            <w:tcMar>
              <w:top w:w="0" w:type="dxa"/>
              <w:left w:w="108" w:type="dxa"/>
              <w:bottom w:w="0" w:type="dxa"/>
              <w:right w:w="108" w:type="dxa"/>
            </w:tcMar>
            <w:vAlign w:val="center"/>
            <w:hideMark/>
          </w:tcPr>
          <w:p w14:paraId="7F9DB73F" w14:textId="5329F457" w:rsidR="00A317CE" w:rsidRPr="00EC4BF1" w:rsidRDefault="00A317CE" w:rsidP="00A317CE">
            <w:pPr>
              <w:spacing w:before="120" w:after="120" w:line="240" w:lineRule="auto"/>
              <w:jc w:val="center"/>
              <w:rPr>
                <w:rFonts w:ascii="Arial" w:eastAsia="Times New Roman" w:hAnsi="Arial" w:cs="Arial"/>
                <w:vertAlign w:val="superscript"/>
                <w:lang w:eastAsia="en-GB"/>
              </w:rPr>
            </w:pPr>
            <w:r w:rsidRPr="00EC4BF1">
              <w:rPr>
                <w:rFonts w:ascii="Arial" w:eastAsia="Times New Roman" w:hAnsi="Arial" w:cs="Arial"/>
                <w:vertAlign w:val="superscript"/>
                <w:lang w:eastAsia="en-GB"/>
              </w:rPr>
              <w:t>(a)</w:t>
            </w:r>
          </w:p>
        </w:tc>
      </w:tr>
      <w:tr w:rsidR="00A317CE" w:rsidRPr="00AE1DFE" w14:paraId="05A2EFF8" w14:textId="77777777" w:rsidTr="00D07A2C">
        <w:trPr>
          <w:trHeight w:val="300"/>
        </w:trPr>
        <w:tc>
          <w:tcPr>
            <w:tcW w:w="10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36C75D" w14:textId="16EB23BC"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Site constraint (effective dose)</w:t>
            </w:r>
          </w:p>
        </w:tc>
        <w:tc>
          <w:tcPr>
            <w:tcW w:w="65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8B130E" w14:textId="5C87D3E5"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0.5mSv/y</w:t>
            </w:r>
          </w:p>
        </w:tc>
        <w:tc>
          <w:tcPr>
            <w:tcW w:w="562" w:type="pct"/>
            <w:tcBorders>
              <w:top w:val="single" w:sz="4" w:space="0" w:color="auto"/>
              <w:left w:val="single" w:sz="4" w:space="0" w:color="auto"/>
              <w:bottom w:val="single" w:sz="4" w:space="0" w:color="auto"/>
              <w:right w:val="single" w:sz="4" w:space="0" w:color="auto"/>
            </w:tcBorders>
            <w:vAlign w:val="center"/>
          </w:tcPr>
          <w:p w14:paraId="4266B283"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562" w:type="pct"/>
            <w:tcBorders>
              <w:top w:val="single" w:sz="4" w:space="0" w:color="auto"/>
              <w:left w:val="single" w:sz="4" w:space="0" w:color="auto"/>
              <w:bottom w:val="single" w:sz="4" w:space="0" w:color="3C4741" w:themeColor="text1"/>
              <w:right w:val="single" w:sz="4" w:space="0" w:color="auto"/>
            </w:tcBorders>
            <w:vAlign w:val="center"/>
          </w:tcPr>
          <w:p w14:paraId="78DB2ECB" w14:textId="66FF2191"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9" w:type="pct"/>
            <w:tcBorders>
              <w:top w:val="single" w:sz="4" w:space="0" w:color="auto"/>
              <w:left w:val="single" w:sz="4" w:space="0" w:color="auto"/>
              <w:bottom w:val="single" w:sz="4" w:space="0" w:color="auto"/>
              <w:right w:val="single" w:sz="4" w:space="0" w:color="3C4741" w:themeColor="text1"/>
            </w:tcBorders>
            <w:noWrap/>
            <w:tcMar>
              <w:top w:w="0" w:type="dxa"/>
              <w:left w:w="108" w:type="dxa"/>
              <w:bottom w:w="0" w:type="dxa"/>
              <w:right w:w="108" w:type="dxa"/>
            </w:tcMar>
            <w:vAlign w:val="center"/>
          </w:tcPr>
          <w:p w14:paraId="0B9F0E78" w14:textId="4F68A51B" w:rsidR="00A317CE" w:rsidRPr="00EC4BF1" w:rsidRDefault="00A317CE" w:rsidP="00A317CE">
            <w:pPr>
              <w:spacing w:before="120" w:after="120" w:line="240" w:lineRule="auto"/>
              <w:jc w:val="center"/>
              <w:rPr>
                <w:rFonts w:ascii="Arial" w:eastAsia="Times New Roman" w:hAnsi="Arial" w:cs="Arial"/>
                <w:vertAlign w:val="superscript"/>
                <w:lang w:eastAsia="en-GB"/>
              </w:rPr>
            </w:pPr>
            <w:r w:rsidRPr="00EC4BF1">
              <w:rPr>
                <w:rFonts w:ascii="Arial" w:eastAsia="Times New Roman" w:hAnsi="Arial" w:cs="Arial"/>
                <w:vertAlign w:val="superscript"/>
                <w:lang w:eastAsia="en-GB"/>
              </w:rPr>
              <w:t>(b)</w:t>
            </w: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724199F0"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59BB7ADB"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602" w:type="pct"/>
            <w:tcBorders>
              <w:top w:val="single" w:sz="4" w:space="0" w:color="auto"/>
              <w:left w:val="single" w:sz="4" w:space="0" w:color="3C4741" w:themeColor="text1"/>
              <w:bottom w:val="single" w:sz="4" w:space="0" w:color="auto"/>
              <w:right w:val="single" w:sz="4" w:space="0" w:color="auto"/>
            </w:tcBorders>
            <w:noWrap/>
            <w:tcMar>
              <w:top w:w="0" w:type="dxa"/>
              <w:left w:w="108" w:type="dxa"/>
              <w:bottom w:w="0" w:type="dxa"/>
              <w:right w:w="108" w:type="dxa"/>
            </w:tcMar>
            <w:vAlign w:val="center"/>
          </w:tcPr>
          <w:p w14:paraId="6FFADAA5" w14:textId="7587B542" w:rsidR="00A317CE" w:rsidRPr="00AE1DFE" w:rsidRDefault="00A317CE" w:rsidP="00A317CE">
            <w:pPr>
              <w:spacing w:before="120" w:after="120" w:line="240" w:lineRule="auto"/>
              <w:jc w:val="center"/>
              <w:rPr>
                <w:rFonts w:ascii="Arial" w:eastAsia="Times New Roman" w:hAnsi="Arial" w:cs="Arial"/>
                <w:lang w:eastAsia="en-GB"/>
              </w:rPr>
            </w:pPr>
          </w:p>
        </w:tc>
      </w:tr>
      <w:tr w:rsidR="00A317CE" w:rsidRPr="00AE1DFE" w14:paraId="04423B09" w14:textId="77777777" w:rsidTr="00D07A2C">
        <w:trPr>
          <w:trHeight w:val="300"/>
        </w:trPr>
        <w:tc>
          <w:tcPr>
            <w:tcW w:w="10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6DCB2AB" w14:textId="4E0670F7"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Source constraint (effective dose)</w:t>
            </w:r>
          </w:p>
        </w:tc>
        <w:tc>
          <w:tcPr>
            <w:tcW w:w="65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BF1F16" w14:textId="61D8CF2E"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0.3mSv/y (max)</w:t>
            </w:r>
          </w:p>
        </w:tc>
        <w:tc>
          <w:tcPr>
            <w:tcW w:w="562" w:type="pct"/>
            <w:tcBorders>
              <w:top w:val="single" w:sz="4" w:space="0" w:color="auto"/>
              <w:left w:val="single" w:sz="4" w:space="0" w:color="auto"/>
              <w:bottom w:val="single" w:sz="4" w:space="0" w:color="auto"/>
              <w:right w:val="single" w:sz="4" w:space="0" w:color="auto"/>
            </w:tcBorders>
            <w:vAlign w:val="center"/>
          </w:tcPr>
          <w:p w14:paraId="1E188E73"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562" w:type="pct"/>
            <w:tcBorders>
              <w:top w:val="single" w:sz="4" w:space="0" w:color="auto"/>
              <w:left w:val="single" w:sz="4" w:space="0" w:color="auto"/>
              <w:bottom w:val="single" w:sz="4" w:space="0" w:color="3C4741" w:themeColor="text1"/>
              <w:right w:val="single" w:sz="4" w:space="0" w:color="auto"/>
            </w:tcBorders>
            <w:vAlign w:val="center"/>
          </w:tcPr>
          <w:p w14:paraId="2F1D8435" w14:textId="64B7B208"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9" w:type="pct"/>
            <w:tcBorders>
              <w:top w:val="single" w:sz="4" w:space="0" w:color="auto"/>
              <w:left w:val="single" w:sz="4" w:space="0" w:color="auto"/>
              <w:bottom w:val="single" w:sz="4" w:space="0" w:color="auto"/>
              <w:right w:val="single" w:sz="4" w:space="0" w:color="3C4741" w:themeColor="text1"/>
            </w:tcBorders>
            <w:noWrap/>
            <w:tcMar>
              <w:top w:w="0" w:type="dxa"/>
              <w:left w:w="108" w:type="dxa"/>
              <w:bottom w:w="0" w:type="dxa"/>
              <w:right w:w="108" w:type="dxa"/>
            </w:tcMar>
            <w:vAlign w:val="center"/>
          </w:tcPr>
          <w:p w14:paraId="1A65A219" w14:textId="28AEAB10"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6AB59C32"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54360CFE"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602" w:type="pct"/>
            <w:tcBorders>
              <w:top w:val="single" w:sz="4" w:space="0" w:color="auto"/>
              <w:left w:val="single" w:sz="4" w:space="0" w:color="3C4741" w:themeColor="text1"/>
              <w:bottom w:val="single" w:sz="4" w:space="0" w:color="auto"/>
              <w:right w:val="single" w:sz="4" w:space="0" w:color="auto"/>
            </w:tcBorders>
            <w:noWrap/>
            <w:tcMar>
              <w:top w:w="0" w:type="dxa"/>
              <w:left w:w="108" w:type="dxa"/>
              <w:bottom w:w="0" w:type="dxa"/>
              <w:right w:w="108" w:type="dxa"/>
            </w:tcMar>
            <w:vAlign w:val="center"/>
          </w:tcPr>
          <w:p w14:paraId="48085F71" w14:textId="6D7633FE" w:rsidR="00A317CE" w:rsidRPr="00AE1DFE" w:rsidRDefault="00A317CE" w:rsidP="00A317CE">
            <w:pPr>
              <w:spacing w:before="120" w:after="120" w:line="240" w:lineRule="auto"/>
              <w:jc w:val="center"/>
              <w:rPr>
                <w:rFonts w:ascii="Arial" w:eastAsia="Times New Roman" w:hAnsi="Arial" w:cs="Arial"/>
                <w:lang w:eastAsia="en-GB"/>
              </w:rPr>
            </w:pPr>
          </w:p>
        </w:tc>
      </w:tr>
      <w:tr w:rsidR="00A317CE" w:rsidRPr="00AE1DFE" w14:paraId="675E6914" w14:textId="77777777" w:rsidTr="00D07A2C">
        <w:trPr>
          <w:trHeight w:val="300"/>
        </w:trPr>
        <w:tc>
          <w:tcPr>
            <w:tcW w:w="10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D2E843" w14:textId="5A613B81" w:rsidR="00A317C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Investigation level for Generalised Derived Constraint (GDC)</w:t>
            </w:r>
          </w:p>
        </w:tc>
        <w:tc>
          <w:tcPr>
            <w:tcW w:w="65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254B5A" w14:textId="5591137E"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30% of GDC or 0.1mSv/y</w:t>
            </w:r>
          </w:p>
        </w:tc>
        <w:tc>
          <w:tcPr>
            <w:tcW w:w="562" w:type="pct"/>
            <w:tcBorders>
              <w:top w:val="single" w:sz="4" w:space="0" w:color="auto"/>
              <w:left w:val="single" w:sz="4" w:space="0" w:color="auto"/>
              <w:bottom w:val="single" w:sz="4" w:space="0" w:color="auto"/>
              <w:right w:val="single" w:sz="4" w:space="0" w:color="auto"/>
            </w:tcBorders>
            <w:vAlign w:val="center"/>
          </w:tcPr>
          <w:p w14:paraId="2EC87C96"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562" w:type="pct"/>
            <w:tcBorders>
              <w:top w:val="single" w:sz="4" w:space="0" w:color="auto"/>
              <w:left w:val="single" w:sz="4" w:space="0" w:color="auto"/>
              <w:bottom w:val="single" w:sz="4" w:space="0" w:color="3C4741" w:themeColor="text1"/>
              <w:right w:val="single" w:sz="4" w:space="0" w:color="auto"/>
            </w:tcBorders>
            <w:vAlign w:val="center"/>
          </w:tcPr>
          <w:p w14:paraId="5C604581" w14:textId="4947A2D8"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9" w:type="pct"/>
            <w:tcBorders>
              <w:top w:val="single" w:sz="4" w:space="0" w:color="auto"/>
              <w:left w:val="single" w:sz="4" w:space="0" w:color="auto"/>
              <w:bottom w:val="single" w:sz="4" w:space="0" w:color="auto"/>
              <w:right w:val="single" w:sz="4" w:space="0" w:color="3C4741" w:themeColor="text1"/>
            </w:tcBorders>
            <w:noWrap/>
            <w:tcMar>
              <w:top w:w="0" w:type="dxa"/>
              <w:left w:w="108" w:type="dxa"/>
              <w:bottom w:w="0" w:type="dxa"/>
              <w:right w:w="108" w:type="dxa"/>
            </w:tcMar>
            <w:vAlign w:val="center"/>
          </w:tcPr>
          <w:p w14:paraId="74575CD9"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5691DBC1"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34A85CBF"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602" w:type="pct"/>
            <w:tcBorders>
              <w:top w:val="single" w:sz="4" w:space="0" w:color="auto"/>
              <w:left w:val="single" w:sz="4" w:space="0" w:color="3C4741" w:themeColor="text1"/>
              <w:bottom w:val="single" w:sz="4" w:space="0" w:color="auto"/>
              <w:right w:val="single" w:sz="4" w:space="0" w:color="auto"/>
            </w:tcBorders>
            <w:noWrap/>
            <w:tcMar>
              <w:top w:w="0" w:type="dxa"/>
              <w:left w:w="108" w:type="dxa"/>
              <w:bottom w:w="0" w:type="dxa"/>
              <w:right w:w="108" w:type="dxa"/>
            </w:tcMar>
            <w:vAlign w:val="center"/>
          </w:tcPr>
          <w:p w14:paraId="39FAD8DD" w14:textId="77777777" w:rsidR="00A317CE" w:rsidRPr="00AE1DFE" w:rsidRDefault="00A317CE" w:rsidP="00A317CE">
            <w:pPr>
              <w:spacing w:before="120" w:after="120" w:line="240" w:lineRule="auto"/>
              <w:jc w:val="center"/>
              <w:rPr>
                <w:rFonts w:ascii="Arial" w:eastAsia="Times New Roman" w:hAnsi="Arial" w:cs="Arial"/>
                <w:lang w:eastAsia="en-GB"/>
              </w:rPr>
            </w:pPr>
          </w:p>
        </w:tc>
      </w:tr>
      <w:tr w:rsidR="00A317CE" w:rsidRPr="00AE1DFE" w14:paraId="1B257728" w14:textId="77777777" w:rsidTr="00D07A2C">
        <w:trPr>
          <w:trHeight w:val="300"/>
        </w:trPr>
        <w:tc>
          <w:tcPr>
            <w:tcW w:w="10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BACAEC" w14:textId="0371AEDD" w:rsidR="00A317C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lastRenderedPageBreak/>
              <w:t xml:space="preserve">‘Threshold </w:t>
            </w:r>
            <w:r w:rsidR="00461AE1">
              <w:rPr>
                <w:rFonts w:ascii="Arial" w:eastAsia="Times New Roman" w:hAnsi="Arial" w:cs="Arial"/>
                <w:lang w:eastAsia="en-GB"/>
              </w:rPr>
              <w:t xml:space="preserve">of </w:t>
            </w:r>
            <w:r>
              <w:rPr>
                <w:rFonts w:ascii="Arial" w:eastAsia="Times New Roman" w:hAnsi="Arial" w:cs="Arial"/>
                <w:lang w:eastAsia="en-GB"/>
              </w:rPr>
              <w:t>optimisation’</w:t>
            </w:r>
            <w:r>
              <w:rPr>
                <w:rFonts w:ascii="Arial" w:eastAsia="Times New Roman" w:hAnsi="Arial" w:cs="Arial"/>
                <w:vertAlign w:val="superscript"/>
                <w:lang w:eastAsia="en-GB"/>
              </w:rPr>
              <w:t>(c)</w:t>
            </w:r>
            <w:r>
              <w:rPr>
                <w:rFonts w:ascii="Arial" w:eastAsia="Times New Roman" w:hAnsi="Arial" w:cs="Arial"/>
                <w:lang w:eastAsia="en-GB"/>
              </w:rPr>
              <w:t xml:space="preserve"> (effective dose) [Ref 10]</w:t>
            </w:r>
          </w:p>
        </w:tc>
        <w:tc>
          <w:tcPr>
            <w:tcW w:w="65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078E2F" w14:textId="39A5A550"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0.02mSv/y</w:t>
            </w:r>
          </w:p>
        </w:tc>
        <w:tc>
          <w:tcPr>
            <w:tcW w:w="562" w:type="pct"/>
            <w:tcBorders>
              <w:top w:val="single" w:sz="4" w:space="0" w:color="auto"/>
              <w:left w:val="single" w:sz="4" w:space="0" w:color="auto"/>
              <w:bottom w:val="single" w:sz="4" w:space="0" w:color="auto"/>
              <w:right w:val="single" w:sz="4" w:space="0" w:color="auto"/>
            </w:tcBorders>
            <w:vAlign w:val="center"/>
          </w:tcPr>
          <w:p w14:paraId="29E681BC"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562" w:type="pct"/>
            <w:tcBorders>
              <w:top w:val="single" w:sz="4" w:space="0" w:color="auto"/>
              <w:left w:val="single" w:sz="4" w:space="0" w:color="auto"/>
              <w:bottom w:val="single" w:sz="4" w:space="0" w:color="3C4741" w:themeColor="text1"/>
              <w:right w:val="single" w:sz="4" w:space="0" w:color="auto"/>
            </w:tcBorders>
            <w:vAlign w:val="center"/>
          </w:tcPr>
          <w:p w14:paraId="0B0BC8EA" w14:textId="5C3F04D2"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9" w:type="pct"/>
            <w:tcBorders>
              <w:top w:val="single" w:sz="4" w:space="0" w:color="auto"/>
              <w:left w:val="single" w:sz="4" w:space="0" w:color="auto"/>
              <w:bottom w:val="single" w:sz="4" w:space="0" w:color="auto"/>
              <w:right w:val="single" w:sz="4" w:space="0" w:color="3C4741" w:themeColor="text1"/>
            </w:tcBorders>
            <w:noWrap/>
            <w:tcMar>
              <w:top w:w="0" w:type="dxa"/>
              <w:left w:w="108" w:type="dxa"/>
              <w:bottom w:w="0" w:type="dxa"/>
              <w:right w:w="108" w:type="dxa"/>
            </w:tcMar>
            <w:vAlign w:val="center"/>
          </w:tcPr>
          <w:p w14:paraId="5E2774A6" w14:textId="4FE55B0E"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2AB2F4A0"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2E5F5C51"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602" w:type="pct"/>
            <w:tcBorders>
              <w:top w:val="single" w:sz="4" w:space="0" w:color="auto"/>
              <w:left w:val="single" w:sz="4" w:space="0" w:color="3C4741" w:themeColor="text1"/>
              <w:bottom w:val="single" w:sz="4" w:space="0" w:color="auto"/>
              <w:right w:val="single" w:sz="4" w:space="0" w:color="auto"/>
            </w:tcBorders>
            <w:noWrap/>
            <w:tcMar>
              <w:top w:w="0" w:type="dxa"/>
              <w:left w:w="108" w:type="dxa"/>
              <w:bottom w:w="0" w:type="dxa"/>
              <w:right w:w="108" w:type="dxa"/>
            </w:tcMar>
            <w:vAlign w:val="center"/>
          </w:tcPr>
          <w:p w14:paraId="1B656020" w14:textId="77777777" w:rsidR="00A317CE" w:rsidRPr="00AE1DFE" w:rsidRDefault="00A317CE" w:rsidP="00A317CE">
            <w:pPr>
              <w:spacing w:before="120" w:after="120" w:line="240" w:lineRule="auto"/>
              <w:jc w:val="center"/>
              <w:rPr>
                <w:rFonts w:ascii="Arial" w:eastAsia="Times New Roman" w:hAnsi="Arial" w:cs="Arial"/>
                <w:lang w:eastAsia="en-GB"/>
              </w:rPr>
            </w:pPr>
          </w:p>
        </w:tc>
      </w:tr>
      <w:tr w:rsidR="00A317CE" w:rsidRPr="00AE1DFE" w14:paraId="60A3DC2B" w14:textId="77777777" w:rsidTr="00D07A2C">
        <w:trPr>
          <w:trHeight w:val="300"/>
        </w:trPr>
        <w:tc>
          <w:tcPr>
            <w:tcW w:w="10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BCA4D4" w14:textId="620515E7" w:rsidR="00A317CE" w:rsidRPr="00AE1DFE" w:rsidRDefault="00A317CE" w:rsidP="00A317CE">
            <w:pPr>
              <w:spacing w:before="120" w:after="120" w:line="240" w:lineRule="auto"/>
              <w:jc w:val="center"/>
              <w:rPr>
                <w:rFonts w:ascii="Arial" w:eastAsia="Times New Roman" w:hAnsi="Arial" w:cs="Arial"/>
                <w:lang w:eastAsia="en-GB"/>
              </w:rPr>
            </w:pPr>
            <w:r>
              <w:rPr>
                <w:rFonts w:ascii="Arial" w:eastAsia="Times New Roman" w:hAnsi="Arial" w:cs="Arial"/>
                <w:lang w:eastAsia="en-GB"/>
              </w:rPr>
              <w:t>Potentially ‘of no regulatory concern’ (effective dose) [Refs 12,30,31]</w:t>
            </w:r>
          </w:p>
        </w:tc>
        <w:tc>
          <w:tcPr>
            <w:tcW w:w="65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30C4CDB" w14:textId="22C3AE0E" w:rsidR="00A317CE" w:rsidRPr="00AE1DFE" w:rsidRDefault="00A317CE" w:rsidP="00A317CE">
            <w:pPr>
              <w:spacing w:before="120" w:after="120" w:line="240" w:lineRule="auto"/>
              <w:jc w:val="center"/>
              <w:rPr>
                <w:rFonts w:ascii="Arial" w:eastAsia="Times New Roman" w:hAnsi="Arial" w:cs="Arial"/>
                <w:lang w:eastAsia="en-GB"/>
              </w:rPr>
            </w:pPr>
            <w:r w:rsidRPr="00EC4BF1">
              <w:rPr>
                <w:rFonts w:ascii="Arial" w:eastAsia="Times New Roman" w:hAnsi="Arial" w:cs="Arial"/>
                <w:lang w:eastAsia="en-GB"/>
              </w:rPr>
              <w:t>≤</w:t>
            </w:r>
            <w:r>
              <w:rPr>
                <w:rFonts w:ascii="Arial" w:eastAsia="Times New Roman" w:hAnsi="Arial" w:cs="Arial"/>
                <w:lang w:eastAsia="en-GB"/>
              </w:rPr>
              <w:t>0.01mSv/y</w:t>
            </w:r>
          </w:p>
        </w:tc>
        <w:tc>
          <w:tcPr>
            <w:tcW w:w="562" w:type="pct"/>
            <w:tcBorders>
              <w:top w:val="single" w:sz="4" w:space="0" w:color="auto"/>
              <w:left w:val="single" w:sz="4" w:space="0" w:color="auto"/>
              <w:bottom w:val="single" w:sz="4" w:space="0" w:color="auto"/>
              <w:right w:val="single" w:sz="4" w:space="0" w:color="auto"/>
            </w:tcBorders>
            <w:vAlign w:val="center"/>
          </w:tcPr>
          <w:p w14:paraId="5D32417E"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562" w:type="pct"/>
            <w:tcBorders>
              <w:top w:val="single" w:sz="4" w:space="0" w:color="3C4741" w:themeColor="text1"/>
              <w:left w:val="single" w:sz="4" w:space="0" w:color="auto"/>
              <w:bottom w:val="single" w:sz="4" w:space="0" w:color="auto"/>
              <w:right w:val="single" w:sz="4" w:space="0" w:color="auto"/>
            </w:tcBorders>
            <w:vAlign w:val="center"/>
          </w:tcPr>
          <w:p w14:paraId="6C0759E2" w14:textId="78A8C9A6"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609" w:type="pct"/>
            <w:tcBorders>
              <w:top w:val="single" w:sz="4" w:space="0" w:color="auto"/>
              <w:left w:val="single" w:sz="4" w:space="0" w:color="auto"/>
              <w:bottom w:val="single" w:sz="4" w:space="0" w:color="auto"/>
              <w:right w:val="single" w:sz="4" w:space="0" w:color="3C4741" w:themeColor="text1"/>
            </w:tcBorders>
            <w:noWrap/>
            <w:tcMar>
              <w:top w:w="0" w:type="dxa"/>
              <w:left w:w="108" w:type="dxa"/>
              <w:bottom w:w="0" w:type="dxa"/>
              <w:right w:w="108" w:type="dxa"/>
            </w:tcMar>
            <w:vAlign w:val="center"/>
            <w:hideMark/>
          </w:tcPr>
          <w:p w14:paraId="79ED4080" w14:textId="2CE3048D" w:rsidR="00A317CE" w:rsidRPr="00AE1DFE" w:rsidRDefault="00A317CE" w:rsidP="00A317CE">
            <w:pPr>
              <w:spacing w:before="120" w:after="120" w:line="240" w:lineRule="auto"/>
              <w:jc w:val="center"/>
              <w:rPr>
                <w:rFonts w:ascii="Arial" w:eastAsia="Times New Roman" w:hAnsi="Arial" w:cs="Arial"/>
                <w:lang w:eastAsia="en-GB"/>
              </w:rPr>
            </w:pPr>
            <w:r w:rsidRPr="00A62F65">
              <w:rPr>
                <w:rFonts w:ascii="Segoe UI Symbol" w:eastAsia="Times New Roman" w:hAnsi="Segoe UI Symbol" w:cs="Segoe UI Symbol"/>
                <w:lang w:eastAsia="en-GB"/>
              </w:rPr>
              <w:t>✓</w:t>
            </w:r>
          </w:p>
        </w:tc>
        <w:tc>
          <w:tcPr>
            <w:tcW w:w="514"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500EEECB"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470" w:type="pct"/>
            <w:tcBorders>
              <w:top w:val="single" w:sz="4" w:space="0" w:color="3C4741" w:themeColor="text1"/>
              <w:left w:val="single" w:sz="4" w:space="0" w:color="3C4741" w:themeColor="text1"/>
              <w:bottom w:val="single" w:sz="4" w:space="0" w:color="3C4741" w:themeColor="text1"/>
              <w:right w:val="single" w:sz="4" w:space="0" w:color="3C4741" w:themeColor="text1"/>
            </w:tcBorders>
          </w:tcPr>
          <w:p w14:paraId="67EBC2B4" w14:textId="77777777" w:rsidR="00A317CE" w:rsidRPr="00AE1DFE" w:rsidRDefault="00A317CE" w:rsidP="00A317CE">
            <w:pPr>
              <w:spacing w:before="120" w:after="120" w:line="240" w:lineRule="auto"/>
              <w:jc w:val="center"/>
              <w:rPr>
                <w:rFonts w:ascii="Arial" w:eastAsia="Times New Roman" w:hAnsi="Arial" w:cs="Arial"/>
                <w:lang w:eastAsia="en-GB"/>
              </w:rPr>
            </w:pPr>
          </w:p>
        </w:tc>
        <w:tc>
          <w:tcPr>
            <w:tcW w:w="602" w:type="pct"/>
            <w:tcBorders>
              <w:top w:val="single" w:sz="4" w:space="0" w:color="auto"/>
              <w:left w:val="single" w:sz="4" w:space="0" w:color="3C4741" w:themeColor="text1"/>
              <w:bottom w:val="single" w:sz="4" w:space="0" w:color="auto"/>
              <w:right w:val="single" w:sz="4" w:space="0" w:color="auto"/>
            </w:tcBorders>
            <w:noWrap/>
            <w:tcMar>
              <w:top w:w="0" w:type="dxa"/>
              <w:left w:w="108" w:type="dxa"/>
              <w:bottom w:w="0" w:type="dxa"/>
              <w:right w:w="108" w:type="dxa"/>
            </w:tcMar>
            <w:vAlign w:val="center"/>
            <w:hideMark/>
          </w:tcPr>
          <w:p w14:paraId="1DD071A0" w14:textId="12F4AFF4" w:rsidR="00A317CE" w:rsidRPr="00AE1DFE" w:rsidRDefault="00A317CE" w:rsidP="00A317CE">
            <w:pPr>
              <w:spacing w:before="120" w:after="120" w:line="240" w:lineRule="auto"/>
              <w:jc w:val="center"/>
              <w:rPr>
                <w:rFonts w:ascii="Arial" w:eastAsia="Times New Roman" w:hAnsi="Arial" w:cs="Arial"/>
                <w:lang w:eastAsia="en-GB"/>
              </w:rPr>
            </w:pPr>
          </w:p>
        </w:tc>
      </w:tr>
    </w:tbl>
    <w:p w14:paraId="2A928434" w14:textId="0440EEA7" w:rsidR="00B71C9F" w:rsidRPr="00B71C9F" w:rsidRDefault="00B71C9F" w:rsidP="00B71C9F">
      <w:pPr>
        <w:ind w:left="720" w:hanging="720"/>
        <w:rPr>
          <w:sz w:val="20"/>
          <w:szCs w:val="20"/>
        </w:rPr>
      </w:pPr>
      <w:r w:rsidRPr="00B71C9F">
        <w:rPr>
          <w:sz w:val="20"/>
          <w:szCs w:val="20"/>
        </w:rPr>
        <w:t>(a)</w:t>
      </w:r>
      <w:r w:rsidRPr="00B71C9F">
        <w:rPr>
          <w:sz w:val="20"/>
          <w:szCs w:val="20"/>
        </w:rPr>
        <w:tab/>
        <w:t>This need not be assessed as the effective dose limit is more restrictive than the equivalent dose limit for direct radiation. Also, the equivalent dose from direct radiation will only add a small contribution to the total equivalent dose, whilst the direct radiation effective dose is less than the effective dose limit.</w:t>
      </w:r>
    </w:p>
    <w:p w14:paraId="51E6956F" w14:textId="77777777" w:rsidR="00B71C9F" w:rsidRPr="00B71C9F" w:rsidRDefault="00B71C9F" w:rsidP="00B71C9F">
      <w:pPr>
        <w:ind w:left="720" w:hanging="720"/>
        <w:rPr>
          <w:sz w:val="20"/>
          <w:szCs w:val="20"/>
        </w:rPr>
      </w:pPr>
      <w:r w:rsidRPr="00B71C9F">
        <w:rPr>
          <w:sz w:val="20"/>
          <w:szCs w:val="20"/>
        </w:rPr>
        <w:t>(b)</w:t>
      </w:r>
      <w:r w:rsidRPr="00B71C9F">
        <w:rPr>
          <w:sz w:val="20"/>
          <w:szCs w:val="20"/>
        </w:rPr>
        <w:tab/>
        <w:t>The derivation of this UK specific constraint strictly excludes consideration of future direct radiation [Ref 32].</w:t>
      </w:r>
    </w:p>
    <w:p w14:paraId="15FF954C" w14:textId="77777777" w:rsidR="00B71C9F" w:rsidRPr="00022B7E" w:rsidRDefault="00B71C9F" w:rsidP="00B71C9F">
      <w:pPr>
        <w:rPr>
          <w:sz w:val="20"/>
          <w:szCs w:val="20"/>
        </w:rPr>
      </w:pPr>
      <w:r w:rsidRPr="00022B7E">
        <w:rPr>
          <w:sz w:val="20"/>
          <w:szCs w:val="20"/>
        </w:rPr>
        <w:t>(c)</w:t>
      </w:r>
      <w:r w:rsidRPr="00022B7E">
        <w:rPr>
          <w:sz w:val="20"/>
          <w:szCs w:val="20"/>
        </w:rPr>
        <w:tab/>
        <w:t>Only applicable in Scotland and Northern Ireland.</w:t>
      </w:r>
    </w:p>
    <w:p w14:paraId="6B1876CE" w14:textId="77777777" w:rsidR="00022B7E" w:rsidRDefault="00022B7E" w:rsidP="00B71C9F">
      <w:pPr>
        <w:rPr>
          <w:b/>
          <w:sz w:val="20"/>
          <w:szCs w:val="20"/>
        </w:rPr>
      </w:pPr>
    </w:p>
    <w:p w14:paraId="4D7268CD" w14:textId="77777777" w:rsidR="00586F5F" w:rsidRDefault="00586F5F" w:rsidP="00B71C9F">
      <w:pPr>
        <w:rPr>
          <w:b/>
          <w:sz w:val="20"/>
          <w:szCs w:val="20"/>
        </w:rPr>
        <w:sectPr w:rsidR="00586F5F" w:rsidSect="0025709E">
          <w:pgSz w:w="16840" w:h="11900" w:orient="landscape"/>
          <w:pgMar w:top="839" w:right="839" w:bottom="839" w:left="839" w:header="794" w:footer="567" w:gutter="0"/>
          <w:pgNumType w:start="12"/>
          <w:cols w:space="708"/>
          <w:titlePg/>
          <w:docGrid w:linePitch="360"/>
        </w:sectPr>
      </w:pPr>
    </w:p>
    <w:p w14:paraId="608FAD3A" w14:textId="44013C84" w:rsidR="001A33FA" w:rsidRDefault="001A33FA" w:rsidP="006C024C">
      <w:pPr>
        <w:pStyle w:val="Heading3"/>
      </w:pPr>
      <w:bookmarkStart w:id="7" w:name="_Toc227317362"/>
      <w:r>
        <w:lastRenderedPageBreak/>
        <w:t>Dose limits</w:t>
      </w:r>
      <w:bookmarkEnd w:id="7"/>
    </w:p>
    <w:p w14:paraId="31597BFC" w14:textId="379657F8" w:rsidR="001A33FA" w:rsidRDefault="00022B7E" w:rsidP="001A33FA">
      <w:pPr>
        <w:ind w:left="720" w:hanging="720"/>
      </w:pPr>
      <w:r w:rsidRPr="001A33FA">
        <w:t>2.4.3</w:t>
      </w:r>
      <w:r w:rsidRPr="001A33FA">
        <w:tab/>
      </w:r>
      <w:r w:rsidR="001A33FA">
        <w:t xml:space="preserve">Legal dose limits are currently set out in the Euratom Basic Safety Standards Directive [Ref 9] and implemented in the UK through the Ionising Radiations Regulations [Ref 21, 22] (IRR 99). Doses to members of the public from all controlled sources (excluding occupational and medical exposure) should not exceed 1mSv in a calendar year (in special circumstances this can be averaged over five consecutive years). SEPA is required to ensure that doses to members of the public from discharges of radioactive waste do not exceed 1mSv per year </w:t>
      </w:r>
      <w:r w:rsidR="001A33FA" w:rsidRPr="00CC6B6F">
        <w:t>[Ref</w:t>
      </w:r>
      <w:r w:rsidR="001A33FA">
        <w:t xml:space="preserve"> 1, 7, 8]. There are also equivalent dose limits for </w:t>
      </w:r>
      <w:proofErr w:type="gramStart"/>
      <w:r w:rsidR="001A33FA">
        <w:t>particular organs</w:t>
      </w:r>
      <w:proofErr w:type="gramEnd"/>
      <w:r w:rsidR="001A33FA">
        <w:t xml:space="preserve"> (skin and lens of the eye) as shown in Table 1.</w:t>
      </w:r>
    </w:p>
    <w:p w14:paraId="50F63E99" w14:textId="77777777" w:rsidR="001A33FA" w:rsidRDefault="001A33FA" w:rsidP="001A33FA">
      <w:pPr>
        <w:ind w:left="720" w:hanging="720"/>
      </w:pPr>
      <w:r>
        <w:t>2.4.4</w:t>
      </w:r>
      <w:r>
        <w:tab/>
        <w:t xml:space="preserve">Dose limits apply when retrospective assessment of doses from past discharges are made. For prospective assessments the dose criteria are dose constraints. </w:t>
      </w:r>
      <w:proofErr w:type="gramStart"/>
      <w:r>
        <w:t>However</w:t>
      </w:r>
      <w:proofErr w:type="gramEnd"/>
      <w:r>
        <w:t xml:space="preserve"> a complete prospective assessment may include additional elements including an assessment of doses from past discharges and doses from other sites nearby as an additional check on the prospective dose assessment outcome. The total outcome may then be compared with the dose limit.</w:t>
      </w:r>
    </w:p>
    <w:p w14:paraId="11CC5B70" w14:textId="77777777" w:rsidR="001A33FA" w:rsidRDefault="001A33FA" w:rsidP="001A33FA">
      <w:pPr>
        <w:ind w:left="720" w:hanging="720"/>
      </w:pPr>
      <w:r>
        <w:t>2.4.5</w:t>
      </w:r>
      <w:r>
        <w:tab/>
        <w:t>HPA has recommended that doses from past planned releases should be included when making comparisons with the dose limit [Ref 16]. We consider that the dose from direct radiation should also be included when comparing with the dose limit.</w:t>
      </w:r>
    </w:p>
    <w:p w14:paraId="67DC81B8" w14:textId="77777777" w:rsidR="001A33FA" w:rsidRDefault="001A33FA" w:rsidP="001A33FA">
      <w:pPr>
        <w:ind w:left="720" w:hanging="720"/>
      </w:pPr>
      <w:r>
        <w:t>2.4.6</w:t>
      </w:r>
      <w:r>
        <w:tab/>
        <w:t>HPA has recommended that doses from past planned releases should be included when making comparisons with the dose limit [Ref 16]. The Environment Agencies, HPA and Food Standards Agency consider that the dose from direct radiation should also be included when comparing with the dose limit.</w:t>
      </w:r>
    </w:p>
    <w:p w14:paraId="11696C3A" w14:textId="77777777" w:rsidR="001A33FA" w:rsidRDefault="001A33FA" w:rsidP="001A33FA">
      <w:pPr>
        <w:ind w:left="720" w:hanging="720"/>
      </w:pPr>
      <w:r>
        <w:t>2.4.7</w:t>
      </w:r>
      <w:r>
        <w:tab/>
        <w:t xml:space="preserve">The recommendations of ICRP [Ref 15] advise that contamination arising from accidental discharges should be treated as an emergency exposure situation. The dose limit, as defined in the BSSD, applies only to practices (i.e. planned exposure situations). </w:t>
      </w:r>
      <w:proofErr w:type="gramStart"/>
      <w:r>
        <w:t>Therefore</w:t>
      </w:r>
      <w:proofErr w:type="gramEnd"/>
      <w:r>
        <w:t xml:space="preserve"> both ICRP and the BSSD indicate that doses to the public arising from past accidents are not normally compared with the dose limit for members of the public. However, monitoring of food and the environment will result in the detection of radionuclides arising both from past accidents and from authorised discharges. If the radionuclides from the accident and from discharges are the same it may be difficult to separate to levels arising from each component. Therefore, where monitoring data is used to assess doses from historical discharges, the contribution from past accidents may be included and will inevitably be compared with the dose limit for the public. Where </w:t>
      </w:r>
      <w:r>
        <w:lastRenderedPageBreak/>
        <w:t>this has happened it should be made clear what has been included. It may be appropriate to carry out assessment work to estimate the contribution from the components.</w:t>
      </w:r>
    </w:p>
    <w:p w14:paraId="1F193DA6" w14:textId="46AFD2CC" w:rsidR="00022B7E" w:rsidRDefault="001A33FA" w:rsidP="006C024C">
      <w:pPr>
        <w:pStyle w:val="Heading3"/>
      </w:pPr>
      <w:bookmarkStart w:id="8" w:name="_Toc227317363"/>
      <w:r>
        <w:t>Dose constraint</w:t>
      </w:r>
      <w:bookmarkEnd w:id="8"/>
    </w:p>
    <w:p w14:paraId="09FA0142" w14:textId="33694898" w:rsidR="002C4457" w:rsidRDefault="001A33FA" w:rsidP="002C4457">
      <w:pPr>
        <w:ind w:left="720" w:hanging="720"/>
      </w:pPr>
      <w:r>
        <w:t>2.4.8</w:t>
      </w:r>
      <w:r>
        <w:tab/>
      </w:r>
      <w:r w:rsidR="002C4457">
        <w:t xml:space="preserve">The HPA considers that there is a need for prospective constraints to assist in the optimisation of radiological protection. HPA has recommended the dose constraint – which was defined as an upper bound on the annual doses that members of the public may receive from the planned operation of a controlled source. The dose constraint is for comparison with the annual dose to the representative person, summed over all pathways from current and future operations. For proposed controlled sources the maximum dose constraint should be 0.3mSv/y [Ref 16]. Some existing controlled sources may give rise to doses that exceed the dose constraint. In these </w:t>
      </w:r>
      <w:proofErr w:type="gramStart"/>
      <w:r w:rsidR="002C4457">
        <w:t>cases</w:t>
      </w:r>
      <w:proofErr w:type="gramEnd"/>
      <w:r w:rsidR="002C4457">
        <w:t xml:space="preserve"> there should be regular </w:t>
      </w:r>
      <w:proofErr w:type="gramStart"/>
      <w:r w:rsidR="002C4457">
        <w:t>review</w:t>
      </w:r>
      <w:proofErr w:type="gramEnd"/>
      <w:r w:rsidR="002C4457">
        <w:t xml:space="preserve"> and the regulators should ensure that doses are as low as reasonably achievable. The Government stated in Cm 2919 that a maximum constraint of 0.3mSv/y should be used when determining applications for discharge permits or authorisations from a single new source, defined as “a facility, or group of facilities, which can be optimised as an integral whole in terms of radioactive waste disposals”. This constraint is referred to as a source constraint. In the planning stage, we are required to have regard to maximum doses to members of the public, which may result from a defined source, of 0.3mSv/y, arising from discharges of radioactive waste first made on or after 13 May 2000 (1st May 2003 in Northern Ireland) [Ref 1, 7, 8].Taking the legislation and advise from HPA on the dose constraints together, unless there are exceptional circumstances that make compliance with these constraints impracticable, no option for the management of radioactive substances or radioactive wastes should be pursued if, in normal operation, its associated discharges would lead to doses above them. The HPA has also advised the Scottish Government that a lower dose constraint not exceeding 0.15mSv/y should be applied at the design stage of new nuclear power stations and waste disposal facilities [Ref 16]. This advice will be </w:t>
      </w:r>
      <w:proofErr w:type="gramStart"/>
      <w:r w:rsidR="002C4457">
        <w:t>taken into account</w:t>
      </w:r>
      <w:proofErr w:type="gramEnd"/>
      <w:r w:rsidR="002C4457">
        <w:t xml:space="preserve"> where relevant.</w:t>
      </w:r>
    </w:p>
    <w:p w14:paraId="570EF008" w14:textId="0D3A1E58" w:rsidR="002C4457" w:rsidRDefault="002C4457" w:rsidP="002C4457">
      <w:pPr>
        <w:ind w:left="720" w:hanging="720"/>
      </w:pPr>
      <w:r>
        <w:t>2.4.9</w:t>
      </w:r>
      <w:r>
        <w:tab/>
        <w:t>Prior to the review of policy on the management of radioactive waste (Cm 2919); the UK Government had operated a site target of 0.5mSv/y as part of its system of dose limitation for radioactive discharges. Under the re-structuring of the nuclear power industry, ownership at four power station sites has been split between the company owning or operating a Magnox station and that owning or operating an Advanced Gas-</w:t>
      </w:r>
      <w:r>
        <w:lastRenderedPageBreak/>
        <w:t xml:space="preserve">Cooled Reactor (AGR) or Pressurised Water Reactor (PWR). To provide reassurance that standards are not being relaxed </w:t>
      </w:r>
      <w:proofErr w:type="gramStart"/>
      <w:r>
        <w:t>as a result of</w:t>
      </w:r>
      <w:proofErr w:type="gramEnd"/>
      <w:r>
        <w:t xml:space="preserve"> restructuring, a site constraint of 0.5mSv/y has been set [Ref 1, 7, 8]. Site and source constraints include different exposure pathways as indicated in Table 1. This will apply to the aggregate exposure from </w:t>
      </w:r>
      <w:proofErr w:type="gramStart"/>
      <w:r>
        <w:t>a number of</w:t>
      </w:r>
      <w:proofErr w:type="gramEnd"/>
      <w:r>
        <w:t xml:space="preserve"> sources with contiguous boundaries at a single location, irrespective of whether different sources on the site are owned or operated by the same or by different organisations. Another example of a split ownership site is that of URENCO and Sellafield Ltd at </w:t>
      </w:r>
      <w:proofErr w:type="spellStart"/>
      <w:r>
        <w:t>Capenhurst</w:t>
      </w:r>
      <w:proofErr w:type="spellEnd"/>
      <w:r>
        <w:t>.</w:t>
      </w:r>
    </w:p>
    <w:p w14:paraId="731B3F71" w14:textId="09AAD8A9" w:rsidR="002C4457" w:rsidRDefault="002C4457" w:rsidP="002C4457">
      <w:pPr>
        <w:ind w:left="720" w:hanging="720"/>
      </w:pPr>
      <w:r>
        <w:t>2.4.10</w:t>
      </w:r>
      <w:r>
        <w:tab/>
        <w:t>The 0.5mSv/y site constraint applies to doses arising from future exposures from discharges and not from exposures arising from direct radiation. This was clarified in the 1996 decision document for the AGR and PWR nuclear power station applications and was accepted at the time by the Department of the Environment [Ref 32].</w:t>
      </w:r>
    </w:p>
    <w:p w14:paraId="775DB866" w14:textId="77777777" w:rsidR="002C4457" w:rsidRDefault="002C4457" w:rsidP="002C4457">
      <w:pPr>
        <w:ind w:left="720" w:hanging="720"/>
      </w:pPr>
      <w:r>
        <w:t>2.4.11</w:t>
      </w:r>
      <w:r>
        <w:tab/>
        <w:t>In addition to the dose constraints used to assess the impact of planned releases, retrospective assessment of total doses to the public from all sources against the dose limit itself may be used as a final check on the appropriateness of the discharge limits set and on the doses assessments made. The assessment of total dose can make use of environmental measurements to confirm the fate of radionuclides already discharged into the environment. Environmental measurements and current understanding of population habits can be brought together to show that the total dose from all sources is within the dose limits and as low as reasonably achievable. As a further check the total dose can be compared with the dose constraints, which depending on the method used, will inform on the validity of the prospective dose assessment outcomes made using modelling.</w:t>
      </w:r>
    </w:p>
    <w:p w14:paraId="08A7EEB0" w14:textId="77777777" w:rsidR="00234BB4" w:rsidRPr="00B1175F" w:rsidRDefault="00234BB4" w:rsidP="006C024C">
      <w:pPr>
        <w:pStyle w:val="Heading3"/>
      </w:pPr>
      <w:bookmarkStart w:id="9" w:name="_Toc227317364"/>
      <w:r w:rsidRPr="00B1175F">
        <w:t>Threshold of optimisation and below regulatory concern</w:t>
      </w:r>
      <w:bookmarkEnd w:id="9"/>
    </w:p>
    <w:p w14:paraId="60DA8948" w14:textId="77777777" w:rsidR="00044C78" w:rsidRDefault="00234BB4" w:rsidP="00044C78">
      <w:pPr>
        <w:ind w:left="720" w:hanging="720"/>
      </w:pPr>
      <w:r>
        <w:rPr>
          <w:rFonts w:eastAsia="Times New Roman"/>
        </w:rPr>
        <w:t>2.4.12</w:t>
      </w:r>
      <w:r>
        <w:rPr>
          <w:rFonts w:eastAsia="Times New Roman"/>
        </w:rPr>
        <w:tab/>
      </w:r>
      <w:r w:rsidR="00044C78">
        <w:t xml:space="preserve">The risks that people are prepared to accept and the degree to which risk is perceived vary from individual to individual. The HSE conducted a considerable amount of work on tolerable and acceptable levels of risk, culminating in the publication of The Tolerability of Risk from Nuclear Power Stations (TOR) [Ref 33], originally issued in 1988 and updated in 1992. More recently the HSE has published a document on ‘Reducing Risks, Protecting People’ [Ref 34] which extends the principles in the Tolerability of Risk document to other industries. The HSE recognised that there was an upper limit beyond which a risk would be intolerable, regardless of the benefit which society derived from the activity involved, and a lower level, below which the risk was negligible in comparison </w:t>
      </w:r>
      <w:r w:rsidR="00044C78">
        <w:lastRenderedPageBreak/>
        <w:t>with other risks people run in their daily lives and therefore broadly acceptable. The area in between is where the risk is tolerable only if is as low as reasonably practicable (ALARP).</w:t>
      </w:r>
    </w:p>
    <w:p w14:paraId="3AD18385" w14:textId="7A4671D4" w:rsidR="00044C78" w:rsidRDefault="00044C78" w:rsidP="00044C78">
      <w:pPr>
        <w:ind w:left="720" w:hanging="720"/>
      </w:pPr>
      <w:r>
        <w:t>2.4.13</w:t>
      </w:r>
      <w:r>
        <w:tab/>
        <w:t>The HSE has published Safety Assessment Principles for Nuclear Facilities [Ref 35] which defines Basic Safety Limits and Basic Safety Objectives that form the upper and lower bounds respectively of the ALARP region. The HSE has set a Basic Safety Objective of 0.02mSv/y for any person off the site receiving doses from sources of ionising radiation originating on the site.</w:t>
      </w:r>
    </w:p>
    <w:p w14:paraId="12AF6288" w14:textId="725DD3FC" w:rsidR="00044C78" w:rsidRDefault="00044C78" w:rsidP="00044C78">
      <w:pPr>
        <w:ind w:left="720" w:hanging="720"/>
      </w:pPr>
      <w:r>
        <w:t>2.4.14</w:t>
      </w:r>
      <w:r>
        <w:tab/>
        <w:t xml:space="preserve">In Cm 2919, the Government introduced a threshold or lower bound on optimisation for radioactive waste discharges, </w:t>
      </w:r>
      <w:proofErr w:type="gramStart"/>
      <w:r>
        <w:t>similar to</w:t>
      </w:r>
      <w:proofErr w:type="gramEnd"/>
      <w:r>
        <w:t xml:space="preserve"> the lower level defining broadly acceptable risk in TOR. The value for this threshold was set at 0.02mSv/y. If exposures are calculated to be below 0.02mSv/y, the regulators in Scotland and Northern Ireland are advised in Cm 2919 that they should not seek to secure further reductions in the exposure of members of the public, provided they are satisfied that the operator is using the best practicable means to limit discharges. The regulators need to ensure that discharges are properly controlled and </w:t>
      </w:r>
      <w:proofErr w:type="gramStart"/>
      <w:r>
        <w:t>monitored</w:t>
      </w:r>
      <w:proofErr w:type="gramEnd"/>
      <w:r>
        <w:t xml:space="preserve"> and the radiological assessments submitted to them by the operator are valid.</w:t>
      </w:r>
    </w:p>
    <w:p w14:paraId="6D63AD62" w14:textId="4B1DBB3E" w:rsidR="00044C78" w:rsidRDefault="00044C78" w:rsidP="00044C78">
      <w:pPr>
        <w:ind w:left="720" w:hanging="720"/>
      </w:pPr>
      <w:r>
        <w:t>2.4.15</w:t>
      </w:r>
      <w:r>
        <w:tab/>
        <w:t>The International Atomic Energy Agency (IAEA) has presented dose criteria which are considered sufficiently low that doses arising from sources or practices that meet these criteria may be exempted from regulatory control. One of the criteria is that the dose should be less than about 10μSv/y (0.01mSv/y) per practice [Ref 30, 31].</w:t>
      </w:r>
    </w:p>
    <w:p w14:paraId="23FF685D" w14:textId="6924FD7E" w:rsidR="00044C78" w:rsidRDefault="00044C78" w:rsidP="00044C78">
      <w:pPr>
        <w:ind w:left="720" w:hanging="720"/>
      </w:pPr>
      <w:r>
        <w:t>2.4.16</w:t>
      </w:r>
      <w:r>
        <w:tab/>
        <w:t>Taking the internationally accepted assumption (for the purpose of radiation protection) that any dose, no matter how small, has the potential to cause harm, an annual dose of 10 to 20μSv/y (0.01 to 0.02mSv/y) can be broadly equated to an annual risk of death of about one in a million per year.</w:t>
      </w:r>
    </w:p>
    <w:p w14:paraId="185370A9" w14:textId="77777777" w:rsidR="00044C78" w:rsidRDefault="00044C78" w:rsidP="00044C78">
      <w:pPr>
        <w:ind w:left="720" w:hanging="720"/>
      </w:pPr>
      <w:r>
        <w:t>2.4.17</w:t>
      </w:r>
      <w:r>
        <w:tab/>
        <w:t>The dose criteria that are appropriate for prospective dose assessment are summarised at the end of section 3.5.</w:t>
      </w:r>
    </w:p>
    <w:p w14:paraId="261BB5DC" w14:textId="4EBB48F8" w:rsidR="00044C78" w:rsidRDefault="00044C78" w:rsidP="00044C78">
      <w:pPr>
        <w:pStyle w:val="Heading2"/>
      </w:pPr>
      <w:bookmarkStart w:id="10" w:name="_Toc227317365"/>
      <w:r>
        <w:t>2.5</w:t>
      </w:r>
      <w:r w:rsidR="00800ABA">
        <w:tab/>
      </w:r>
      <w:r>
        <w:t>Radiological protection of the environment</w:t>
      </w:r>
      <w:bookmarkEnd w:id="10"/>
    </w:p>
    <w:p w14:paraId="52C70F41" w14:textId="77777777" w:rsidR="001C40C7" w:rsidRDefault="00044C78" w:rsidP="001C40C7">
      <w:pPr>
        <w:ind w:left="720" w:hanging="720"/>
      </w:pPr>
      <w:r>
        <w:t>2.5.1</w:t>
      </w:r>
      <w:r>
        <w:tab/>
      </w:r>
      <w:r w:rsidR="001C40C7">
        <w:t xml:space="preserve">The radiological protection system described in the previous sections is aimed primarily at the protection of humans. However, ICRP in its 2007 recommendations [Ref 15] concluded that there is a need for a systematic approach for the radiological assessment </w:t>
      </w:r>
      <w:r w:rsidR="001C40C7">
        <w:lastRenderedPageBreak/>
        <w:t>of non-human species to support the management of radiation effects in the environment. ICRP considers that this is needed to address a conceptual gap in the radiological protection system because ICRP subscribes to the need to maintain biological diversity, ensure conservation of species and to protect the health and status of natural habitats, communities and ecosystems.</w:t>
      </w:r>
    </w:p>
    <w:p w14:paraId="39A10C07" w14:textId="77777777" w:rsidR="001C40C7" w:rsidRDefault="001C40C7" w:rsidP="001C40C7">
      <w:pPr>
        <w:ind w:left="720" w:hanging="720"/>
      </w:pPr>
      <w:r>
        <w:t>2.5.2</w:t>
      </w:r>
      <w:r>
        <w:tab/>
        <w:t>ICRP acknowledged that, in contrast to human radiological protection, the objectives of environmental protection are both complex and difficult to articulate but it believes that there is a need to develop a system in order to assess the relationships between exposure and dose, and dose and effect, and the consequences of such effects, for non-human species, on a common scientific basis. ICRP Publication 91 [Ref 36] concluded that that any developments for non-</w:t>
      </w:r>
      <w:proofErr w:type="gramStart"/>
      <w:r>
        <w:t>humans</w:t>
      </w:r>
      <w:proofErr w:type="gramEnd"/>
      <w:r>
        <w:t xml:space="preserve"> species should draw upon the lessons earned from the development of the systematic framework for the protection of humans. In its recommendations ICRP has stated its intention to develop a small set of Reference Animals and Plants (RAPs) [Ref 37], and their relevant databases, for a few types of organisms that are typical of the major environments.</w:t>
      </w:r>
    </w:p>
    <w:p w14:paraId="72573318" w14:textId="77777777" w:rsidR="001C40C7" w:rsidRDefault="001C40C7" w:rsidP="001C40C7">
      <w:pPr>
        <w:ind w:left="720" w:hanging="720"/>
      </w:pPr>
      <w:r>
        <w:t>2.5.3</w:t>
      </w:r>
      <w:r>
        <w:tab/>
        <w:t>The RAPs can be considered as hypothetical entities with certain assumed basic biological characteristics of a particular type of animal or plant (described at the taxonomic level of Family) and with defined anatomical, physiological and life-history properties. The intention is that the RAPs can serve as points of reference which can be used as a basis for making some management decisions. ICRP has elaborated on the proposed framework in its publication 108 [Ref 38] on the use of RAPs. Given the current state of knowledge and the development of the RAPs, ICRP does not propose to set any form of ‘dose limits’ with respect to environment protection. However, it does intend to offer more practical advice than in the past.</w:t>
      </w:r>
    </w:p>
    <w:p w14:paraId="165015A9" w14:textId="77777777" w:rsidR="001C40C7" w:rsidRDefault="001C40C7" w:rsidP="001C40C7">
      <w:pPr>
        <w:ind w:left="720" w:hanging="720"/>
      </w:pPr>
      <w:r>
        <w:t>2.5.4</w:t>
      </w:r>
      <w:r>
        <w:tab/>
        <w:t>This document does not provide guidance on assessment of doses to animals or plants. The European assessment tool, ERICA, is available to support decisions about radiological protection of the environment (www.wiki.ceh.ac.uk). Assessment methods and tools for noble gases (which are not currently covered by ERICA) may be found in References 39 and 40.</w:t>
      </w:r>
    </w:p>
    <w:p w14:paraId="59EEFA1C" w14:textId="195BA447" w:rsidR="00044C78" w:rsidRDefault="00044C78" w:rsidP="00044C78">
      <w:pPr>
        <w:ind w:left="720" w:hanging="720"/>
      </w:pPr>
    </w:p>
    <w:p w14:paraId="09423DAF" w14:textId="227DBBEB" w:rsidR="001C40C7" w:rsidRDefault="001C40C7">
      <w:pPr>
        <w:spacing w:line="240" w:lineRule="auto"/>
        <w:rPr>
          <w:rFonts w:eastAsia="Times New Roman"/>
        </w:rPr>
      </w:pPr>
      <w:r>
        <w:rPr>
          <w:rFonts w:eastAsia="Times New Roman"/>
        </w:rPr>
        <w:br w:type="page"/>
      </w:r>
    </w:p>
    <w:p w14:paraId="4C9EE1DD" w14:textId="4D604A88" w:rsidR="00F612F3" w:rsidRDefault="001C40C7" w:rsidP="001C40C7">
      <w:pPr>
        <w:pStyle w:val="Heading1"/>
        <w:rPr>
          <w:rFonts w:eastAsia="Times New Roman"/>
        </w:rPr>
      </w:pPr>
      <w:bookmarkStart w:id="11" w:name="_Toc227317366"/>
      <w:r>
        <w:rPr>
          <w:rFonts w:eastAsia="Times New Roman"/>
        </w:rPr>
        <w:lastRenderedPageBreak/>
        <w:t>3</w:t>
      </w:r>
      <w:r>
        <w:rPr>
          <w:rFonts w:eastAsia="Times New Roman"/>
        </w:rPr>
        <w:tab/>
        <w:t>General dose assessment principles</w:t>
      </w:r>
      <w:bookmarkEnd w:id="11"/>
    </w:p>
    <w:p w14:paraId="3D3A7497" w14:textId="103D24C4" w:rsidR="00F612F3" w:rsidRDefault="001C40C7" w:rsidP="00D12B1C">
      <w:pPr>
        <w:pStyle w:val="Heading2"/>
      </w:pPr>
      <w:bookmarkStart w:id="12" w:name="_Toc227317367"/>
      <w:r>
        <w:t>3.1</w:t>
      </w:r>
      <w:r>
        <w:tab/>
      </w:r>
      <w:r w:rsidR="00D12B1C">
        <w:t>Transparency of methods and data</w:t>
      </w:r>
      <w:bookmarkEnd w:id="12"/>
    </w:p>
    <w:p w14:paraId="64E1F5E2" w14:textId="77777777" w:rsidR="00F34353" w:rsidRDefault="00D12B1C" w:rsidP="00F34353">
      <w:pPr>
        <w:ind w:left="720" w:hanging="720"/>
      </w:pPr>
      <w:r>
        <w:t>3.1.1</w:t>
      </w:r>
      <w:r>
        <w:tab/>
      </w:r>
      <w:r w:rsidR="00F34353">
        <w:t>The Radioactive Waste Management Advisory Committee (RWMAC) has stated that “An openly declared and consistent method of dose calculation should be sought” [Ref 6].</w:t>
      </w:r>
    </w:p>
    <w:p w14:paraId="67CB5634" w14:textId="7E144A45" w:rsidR="00371B89" w:rsidRDefault="00230942" w:rsidP="00371B89">
      <w:pPr>
        <w:ind w:left="720" w:hanging="720"/>
      </w:pPr>
      <w:r w:rsidRPr="0096745E">
        <w:rPr>
          <w:rFonts w:ascii="Arial" w:eastAsia="Times New Roman" w:hAnsi="Arial" w:cs="Arial"/>
          <w:noProof/>
        </w:rPr>
        <mc:AlternateContent>
          <mc:Choice Requires="wps">
            <w:drawing>
              <wp:anchor distT="45720" distB="45720" distL="114300" distR="114300" simplePos="0" relativeHeight="251658242" behindDoc="0" locked="0" layoutInCell="1" allowOverlap="1" wp14:anchorId="1D1C58D8" wp14:editId="2FC1BEE6">
                <wp:simplePos x="0" y="0"/>
                <wp:positionH relativeFrom="margin">
                  <wp:align>right</wp:align>
                </wp:positionH>
                <wp:positionV relativeFrom="paragraph">
                  <wp:posOffset>1206500</wp:posOffset>
                </wp:positionV>
                <wp:extent cx="6497320" cy="1404620"/>
                <wp:effectExtent l="0" t="0" r="0" b="2540"/>
                <wp:wrapSquare wrapText="bothSides"/>
                <wp:docPr id="217" name="Text Box 2" descr="Principle 1: Prospective dose assessment methods, data and results should be transparent and made publicly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2D04A6C4" w14:textId="5C829DD5" w:rsidR="00371B89" w:rsidRPr="0096745E" w:rsidRDefault="00371B89" w:rsidP="00371B89">
                            <w:pPr>
                              <w:pStyle w:val="BodyText1"/>
                              <w:spacing w:before="240"/>
                              <w:rPr>
                                <w:color w:val="FFFFFF"/>
                              </w:rPr>
                            </w:pPr>
                            <w:r w:rsidRPr="00371B89">
                              <w:rPr>
                                <w:color w:val="FFFFFF"/>
                              </w:rPr>
                              <w:t>Principle 1</w:t>
                            </w:r>
                            <w:r>
                              <w:rPr>
                                <w:color w:val="FFFFFF"/>
                              </w:rPr>
                              <w:t xml:space="preserve">: </w:t>
                            </w:r>
                            <w:r w:rsidRPr="00371B89">
                              <w:rPr>
                                <w:color w:val="FFFFFF"/>
                              </w:rPr>
                              <w:t>Prospective dose assessment methods, data and results should be transparent and made publicly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C58D8" id="Text Box 2" o:spid="_x0000_s1027" type="#_x0000_t202" alt="Principle 1: Prospective dose assessment methods, data and results should be transparent and made publicly available." style="position:absolute;left:0;text-align:left;margin-left:460.4pt;margin-top:95pt;width:511.6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" fillcolor="#016574" stroked="f">
                <v:textbox style="mso-fit-shape-to-text:t">
                  <w:txbxContent>
                    <w:p w14:paraId="2D04A6C4" w14:textId="5C829DD5" w:rsidR="00371B89" w:rsidRPr="0096745E" w:rsidRDefault="00371B89" w:rsidP="00371B89">
                      <w:pPr>
                        <w:pStyle w:val="BodyText1"/>
                        <w:spacing w:before="240"/>
                        <w:rPr>
                          <w:color w:val="FFFFFF"/>
                        </w:rPr>
                      </w:pPr>
                      <w:r w:rsidRPr="00371B89">
                        <w:rPr>
                          <w:color w:val="FFFFFF"/>
                        </w:rPr>
                        <w:t>Principle 1</w:t>
                      </w:r>
                      <w:r>
                        <w:rPr>
                          <w:color w:val="FFFFFF"/>
                        </w:rPr>
                        <w:t xml:space="preserve">: </w:t>
                      </w:r>
                      <w:r w:rsidRPr="00371B89">
                        <w:rPr>
                          <w:color w:val="FFFFFF"/>
                        </w:rPr>
                        <w:t>Prospective dose assessment methods, data and results should be transparent and made publicly available.</w:t>
                      </w:r>
                    </w:p>
                  </w:txbxContent>
                </v:textbox>
                <w10:wrap type="square" anchorx="margin"/>
              </v:shape>
            </w:pict>
          </mc:Fallback>
        </mc:AlternateContent>
      </w:r>
      <w:r w:rsidR="00F34353">
        <w:t>3.1.2</w:t>
      </w:r>
      <w:r w:rsidR="00F34353">
        <w:tab/>
        <w:t>Prospective assessment methods and reported results should be transparent, by being clear and readily understandable. To achieve this, all methods and their underpinning data should be made publicly available in a suitable form such that another party can repeat the assessment (</w:t>
      </w:r>
      <w:proofErr w:type="gramStart"/>
      <w:r w:rsidR="00F34353">
        <w:t>taking into account</w:t>
      </w:r>
      <w:proofErr w:type="gramEnd"/>
      <w:r w:rsidR="00F34353">
        <w:t xml:space="preserve"> data protection and security issues).</w:t>
      </w:r>
    </w:p>
    <w:p w14:paraId="31DD892E" w14:textId="77777777" w:rsidR="00371B89" w:rsidRDefault="00371B89" w:rsidP="00230942"/>
    <w:p w14:paraId="38BAFFE5" w14:textId="6B2D0DCC" w:rsidR="00382A97" w:rsidRDefault="00382A97" w:rsidP="00910A33">
      <w:pPr>
        <w:pStyle w:val="Heading2"/>
        <w:ind w:left="720" w:hanging="720"/>
      </w:pPr>
      <w:bookmarkStart w:id="13" w:name="_Toc227317368"/>
      <w:r>
        <w:t>3.2</w:t>
      </w:r>
      <w:r>
        <w:tab/>
      </w:r>
      <w:r w:rsidR="00910A33">
        <w:t>Nuclear sites and other premises discharging radioactive waste</w:t>
      </w:r>
      <w:bookmarkEnd w:id="13"/>
    </w:p>
    <w:p w14:paraId="0FA16DAE" w14:textId="33DC14F9" w:rsidR="00910A33" w:rsidRPr="00910A33" w:rsidRDefault="00910A33" w:rsidP="003B3018">
      <w:pPr>
        <w:ind w:left="720" w:hanging="720"/>
      </w:pPr>
      <w:r>
        <w:t>3.2.1</w:t>
      </w:r>
      <w:r>
        <w:tab/>
      </w:r>
      <w:r w:rsidR="003B3018">
        <w:t>Radioactive waste discharges are made from premises such as hospitals, research establishments, universities and industry (the so called ‘non-nuclear sites’) as well as from the nuclear industry. The requirements of the BSSD make no distinction between nuclear and non-nuclear sites. It is the magnitude of the dose and hence risk which is important. Thus, the assessment principles within this document apply equally to nuclear and non-nuclear sites. It is expected that some non-nuclear sites will be able to undertake a simple source assessment to demonstrate that the doses arising from the discharges from the site are sufficiently low to be acceptable for regulatory purposes.</w:t>
      </w:r>
    </w:p>
    <w:p w14:paraId="6A7AF2A1" w14:textId="0888E37A" w:rsidR="003B3018" w:rsidRDefault="003B3018" w:rsidP="003B3018">
      <w:pPr>
        <w:pStyle w:val="Heading2"/>
        <w:ind w:left="720" w:hanging="720"/>
      </w:pPr>
      <w:bookmarkStart w:id="14" w:name="_Toc227317369"/>
      <w:r>
        <w:t>3.3</w:t>
      </w:r>
      <w:r>
        <w:tab/>
        <w:t xml:space="preserve">Members </w:t>
      </w:r>
      <w:r w:rsidR="00D33B92">
        <w:t>of the public and population groups</w:t>
      </w:r>
      <w:bookmarkEnd w:id="14"/>
    </w:p>
    <w:p w14:paraId="723F4C4F" w14:textId="77777777" w:rsidR="00F9089F" w:rsidRDefault="00D33B92" w:rsidP="00F9089F">
      <w:pPr>
        <w:ind w:left="720" w:hanging="720"/>
      </w:pPr>
      <w:r>
        <w:t>3.3.1</w:t>
      </w:r>
      <w:r>
        <w:tab/>
      </w:r>
      <w:r w:rsidR="00F9089F">
        <w:t>Doses to individuals are compared with dose limits and constraints. The BSSD defines separate limits for workers and members of the public. The BSSD defines members of the public as:</w:t>
      </w:r>
    </w:p>
    <w:p w14:paraId="015F6EEF" w14:textId="0218C79E" w:rsidR="00F9089F" w:rsidRDefault="00F9089F" w:rsidP="00F9089F">
      <w:pPr>
        <w:ind w:firstLine="720"/>
      </w:pPr>
      <w:r>
        <w:t>“</w:t>
      </w:r>
      <w:proofErr w:type="gramStart"/>
      <w:r>
        <w:t>individuals</w:t>
      </w:r>
      <w:proofErr w:type="gramEnd"/>
      <w:r>
        <w:t xml:space="preserve"> who may be subject to public exposure”.</w:t>
      </w:r>
    </w:p>
    <w:p w14:paraId="452F8098" w14:textId="4EA51CA7" w:rsidR="00F9089F" w:rsidRDefault="00F9089F" w:rsidP="00F9089F">
      <w:pPr>
        <w:ind w:left="720" w:hanging="720"/>
      </w:pPr>
      <w:r>
        <w:t>3.3.2</w:t>
      </w:r>
      <w:r>
        <w:tab/>
        <w:t xml:space="preserve">The Ionising Radiations Regulations [Ref 21, 22] defines dose limits for employees, where the employer is undertaking work with radiation, as well as dose limits for ‘other </w:t>
      </w:r>
      <w:proofErr w:type="gramStart"/>
      <w:r>
        <w:lastRenderedPageBreak/>
        <w:t>persons’</w:t>
      </w:r>
      <w:proofErr w:type="gramEnd"/>
      <w:r>
        <w:t xml:space="preserve">. ‘Other persons’ includes employees who do not normally work with radiation and members of the public. The Approved Code of Practice for the Ionising Radiations Regulations [Ref 42] states that radiation employers should take </w:t>
      </w:r>
      <w:proofErr w:type="gramStart"/>
      <w:r>
        <w:t>particular steps</w:t>
      </w:r>
      <w:proofErr w:type="gramEnd"/>
      <w:r>
        <w:t xml:space="preserve"> to restrict the exposure of any employees who would not normally be exposed to ionising radiation in the course of their work. The dose control measures should make it unlikely that such persons would receive a dose greater than 1mSv/y. This is the dose limit for ‘other persons’, which includes members of the public (see also 2.4.3).</w:t>
      </w:r>
    </w:p>
    <w:p w14:paraId="4A6522C8" w14:textId="77777777" w:rsidR="00F9089F" w:rsidRDefault="00F9089F" w:rsidP="00F9089F">
      <w:pPr>
        <w:ind w:left="720" w:hanging="720"/>
      </w:pPr>
      <w:r>
        <w:t>3.3.3</w:t>
      </w:r>
      <w:r>
        <w:tab/>
        <w:t>Employers working with radiation are required to assess the dose to their employees under the Ionising Radiations Regulations 2017 [</w:t>
      </w:r>
      <w:r w:rsidRPr="00B21A02">
        <w:t>Ref</w:t>
      </w:r>
      <w:r>
        <w:t xml:space="preserve"> 21, 22]. For the purposes of this document, employers working with radiation can </w:t>
      </w:r>
      <w:proofErr w:type="gramStart"/>
      <w:r>
        <w:t>be considered to be</w:t>
      </w:r>
      <w:proofErr w:type="gramEnd"/>
      <w:r>
        <w:t xml:space="preserve"> on sites that hold an EASR authorisation either managing radioactive material or managing radioactive waste. Workers who enter a site from which a radioactive discharge is being made (e.g. employees, contractors, employees on a co-located site) should be provided with information, where necessary, on their exposure arising from radioactive discharges. The Ionising Radiations Regulations [Ref 21, 22] requires employers to co-operate (by exchanging information etc) where work involving ionising radiation of one employer can give rise to the exposure of an employee of another employer. Therefore, it is not considered necessary to include these workers in the assessment of prospective doses made for members of the public.</w:t>
      </w:r>
    </w:p>
    <w:p w14:paraId="24F4369D" w14:textId="5F2A0C5F" w:rsidR="00F9089F" w:rsidRDefault="00F9089F" w:rsidP="00F9089F">
      <w:pPr>
        <w:ind w:left="720" w:hanging="720"/>
      </w:pPr>
      <w:r>
        <w:t>3.3.4</w:t>
      </w:r>
      <w:r>
        <w:tab/>
        <w:t xml:space="preserve">There is another group of workers who may be exposed </w:t>
      </w:r>
      <w:proofErr w:type="gramStart"/>
      <w:r>
        <w:t>as a result of</w:t>
      </w:r>
      <w:proofErr w:type="gramEnd"/>
      <w:r>
        <w:t xml:space="preserve"> discharges of radioactive waste to the environment, but do not work directly with ionising radiation themselves or are employed by an organisation that does not normally make use of or dispose of radioactive materials. </w:t>
      </w:r>
      <w:proofErr w:type="gramStart"/>
      <w:r>
        <w:t>Thus</w:t>
      </w:r>
      <w:proofErr w:type="gramEnd"/>
      <w:r>
        <w:t xml:space="preserve"> they are workers who are regarded as not normally working with ionising radiation. These workers and their employer may not be familiar with the requirements of EASR and the Ionising Radiations Regulations. This group of workers may include for example, farmers making use of sewage materials that may contain low levels of radioactivity, sewage workers at a sewage works that may take authorised discharges of radioactive waste but not authorised itself or fishermen who fish for a living in an environment affected by authorised discharges. It is appropriate that these workers should be included in the prospective dose assessment processes for members of the public which is made as part of the authorising or permitting discharges </w:t>
      </w:r>
      <w:r>
        <w:lastRenderedPageBreak/>
        <w:t xml:space="preserve">of radioactive substances to the environment. If they are not included in this process </w:t>
      </w:r>
      <w:r w:rsidR="009E47D8" w:rsidRPr="0096745E">
        <w:rPr>
          <w:rFonts w:ascii="Arial" w:eastAsia="Times New Roman" w:hAnsi="Arial" w:cs="Arial"/>
          <w:noProof/>
        </w:rPr>
        <mc:AlternateContent>
          <mc:Choice Requires="wps">
            <w:drawing>
              <wp:anchor distT="45720" distB="45720" distL="114300" distR="114300" simplePos="0" relativeHeight="251658243" behindDoc="0" locked="0" layoutInCell="1" allowOverlap="1" wp14:anchorId="27BBC89C" wp14:editId="4C429AA8">
                <wp:simplePos x="0" y="0"/>
                <wp:positionH relativeFrom="margin">
                  <wp:align>right</wp:align>
                </wp:positionH>
                <wp:positionV relativeFrom="paragraph">
                  <wp:posOffset>615950</wp:posOffset>
                </wp:positionV>
                <wp:extent cx="6438900" cy="1404620"/>
                <wp:effectExtent l="0" t="0" r="0" b="0"/>
                <wp:wrapSquare wrapText="bothSides"/>
                <wp:docPr id="70880980" name="Text Box 2" descr="Principle 2: Workers, who are exposed to discharges of radioactive waste, but who do not work directly with ionising radiation and are therefore not normally exposed to ionising radiation, should be treated as if they are members of the public for the purpose of determining discharge permits or authoris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solidFill>
                          <a:srgbClr val="016574"/>
                        </a:solidFill>
                        <a:ln w="9525">
                          <a:noFill/>
                          <a:miter lim="800000"/>
                          <a:headEnd/>
                          <a:tailEnd/>
                        </a:ln>
                      </wps:spPr>
                      <wps:txbx>
                        <w:txbxContent>
                          <w:p w14:paraId="1D0298A6" w14:textId="2ABE1EF6" w:rsidR="009E47D8" w:rsidRPr="0096745E" w:rsidRDefault="009E47D8" w:rsidP="009E47D8">
                            <w:pPr>
                              <w:pStyle w:val="BodyText1"/>
                              <w:spacing w:before="240"/>
                              <w:rPr>
                                <w:color w:val="FFFFFF"/>
                              </w:rPr>
                            </w:pPr>
                            <w:r w:rsidRPr="009E47D8">
                              <w:rPr>
                                <w:color w:val="FFFFFF"/>
                              </w:rPr>
                              <w:t>Principle 2</w:t>
                            </w:r>
                            <w:r>
                              <w:rPr>
                                <w:color w:val="FFFFFF"/>
                              </w:rPr>
                              <w:t xml:space="preserve">: </w:t>
                            </w:r>
                            <w:r w:rsidRPr="009E47D8">
                              <w:rPr>
                                <w:color w:val="FFFFFF"/>
                              </w:rPr>
                              <w:t>Workers, who are exposed to discharges of radioactive waste, but who do not work directly with ionising radiation and are therefore not normally exposed to ionising radiation, should be treated as if they are members of the public for the purpose of determining discharge permits or authorisations.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BBC89C" id="_x0000_s1028" type="#_x0000_t202" alt="Principle 2: Workers, who are exposed to discharges of radioactive waste, but who do not work directly with ionising radiation and are therefore not normally exposed to ionising radiation, should be treated as if they are members of the public for the purpose of determining discharge permits or authorisations." style="position:absolute;left:0;text-align:left;margin-left:455.8pt;margin-top:48.5pt;width:507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" fillcolor="#016574" stroked="f">
                <v:textbox style="mso-fit-shape-to-text:t">
                  <w:txbxContent>
                    <w:p w14:paraId="1D0298A6" w14:textId="2ABE1EF6" w:rsidR="009E47D8" w:rsidRPr="0096745E" w:rsidRDefault="009E47D8" w:rsidP="009E47D8">
                      <w:pPr>
                        <w:pStyle w:val="BodyText1"/>
                        <w:spacing w:before="240"/>
                        <w:rPr>
                          <w:color w:val="FFFFFF"/>
                        </w:rPr>
                      </w:pPr>
                      <w:r w:rsidRPr="009E47D8">
                        <w:rPr>
                          <w:color w:val="FFFFFF"/>
                        </w:rPr>
                        <w:t>Principle 2</w:t>
                      </w:r>
                      <w:r>
                        <w:rPr>
                          <w:color w:val="FFFFFF"/>
                        </w:rPr>
                        <w:t xml:space="preserve">: </w:t>
                      </w:r>
                      <w:r w:rsidRPr="009E47D8">
                        <w:rPr>
                          <w:color w:val="FFFFFF"/>
                        </w:rPr>
                        <w:t>Workers, who are exposed to discharges of radioactive waste, but who do not work directly with ionising radiation and are therefore not normally exposed to ionising radiation, should be treated as if they are members of the public for the purpose of determining discharge permits or authorisations.</w:t>
                      </w:r>
                    </w:p>
                  </w:txbxContent>
                </v:textbox>
                <w10:wrap type="square" anchorx="margin"/>
              </v:shape>
            </w:pict>
          </mc:Fallback>
        </mc:AlternateContent>
      </w:r>
      <w:r>
        <w:t>doses to these groups may never be assessed.</w:t>
      </w:r>
    </w:p>
    <w:p w14:paraId="3CB65DEE" w14:textId="119368D9" w:rsidR="009E47D8" w:rsidRDefault="009E47D8" w:rsidP="00F9089F">
      <w:pPr>
        <w:ind w:left="720" w:hanging="720"/>
      </w:pPr>
    </w:p>
    <w:p w14:paraId="734816D3" w14:textId="41D2B048" w:rsidR="00F9089F" w:rsidRDefault="00F9089F" w:rsidP="009E47D8">
      <w:pPr>
        <w:ind w:left="720" w:hanging="720"/>
      </w:pPr>
      <w:r>
        <w:t>3.3.</w:t>
      </w:r>
      <w:r w:rsidR="00E10899">
        <w:t>5</w:t>
      </w:r>
      <w:r>
        <w:tab/>
        <w:t>Because it is not practicable to assess doses to each individual member of the public, the ‘representative person’ approach is used. The representative person is ‘an individual receiving a dose that is representative of the more highly exposed individuals in the population’ [Refs 15, 43]. ICRP and the HPA have stated that this term is the equivalent of and replaces the average member of the critical group [Ref 15, 16]. ICRP has recommended that the dose to the representative person can be compared with the public dose limit and with the public dose constraint [Ref 15].</w:t>
      </w:r>
    </w:p>
    <w:p w14:paraId="2FA09D75" w14:textId="77777777" w:rsidR="00F9089F" w:rsidRDefault="00F9089F" w:rsidP="00F9089F">
      <w:pPr>
        <w:ind w:left="720" w:hanging="720"/>
      </w:pPr>
      <w:r>
        <w:t>3.3.6</w:t>
      </w:r>
      <w:r>
        <w:tab/>
        <w:t>The BSSD requires doses to be assessed for reference groups of members of the public. Reference groups are defined as “a group comprising individuals whose exposure to a source is reasonably uniform and representative of that of the individuals in the population who are the more highly exposed to that source”. This definition of a reference group is broadly equivalent to that of a representative person and can be taken to be the same as the representative person.</w:t>
      </w:r>
    </w:p>
    <w:p w14:paraId="3FC54E45" w14:textId="29BB2A90" w:rsidR="00F9089F" w:rsidRDefault="00AE39EB" w:rsidP="00F9089F">
      <w:pPr>
        <w:ind w:left="720" w:hanging="720"/>
      </w:pPr>
      <w:r w:rsidRPr="0096745E">
        <w:rPr>
          <w:rFonts w:ascii="Arial" w:eastAsia="Times New Roman" w:hAnsi="Arial" w:cs="Arial"/>
          <w:noProof/>
        </w:rPr>
        <mc:AlternateContent>
          <mc:Choice Requires="wps">
            <w:drawing>
              <wp:anchor distT="45720" distB="45720" distL="114300" distR="114300" simplePos="0" relativeHeight="251658244" behindDoc="0" locked="0" layoutInCell="1" allowOverlap="1" wp14:anchorId="5C781245" wp14:editId="0BFEB241">
                <wp:simplePos x="0" y="0"/>
                <wp:positionH relativeFrom="margin">
                  <wp:align>right</wp:align>
                </wp:positionH>
                <wp:positionV relativeFrom="paragraph">
                  <wp:posOffset>959485</wp:posOffset>
                </wp:positionV>
                <wp:extent cx="6492240" cy="1404620"/>
                <wp:effectExtent l="0" t="0" r="3810" b="2540"/>
                <wp:wrapSquare wrapText="bothSides"/>
                <wp:docPr id="313288260" name="Text Box 2" descr="Principle 3: When determining discharge permits or authorisations, the dose to the representative person should be asses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04620"/>
                        </a:xfrm>
                        <a:prstGeom prst="rect">
                          <a:avLst/>
                        </a:prstGeom>
                        <a:solidFill>
                          <a:srgbClr val="016574"/>
                        </a:solidFill>
                        <a:ln w="9525">
                          <a:noFill/>
                          <a:miter lim="800000"/>
                          <a:headEnd/>
                          <a:tailEnd/>
                        </a:ln>
                      </wps:spPr>
                      <wps:txbx>
                        <w:txbxContent>
                          <w:p w14:paraId="7D8045D7" w14:textId="3F75201B" w:rsidR="00AE39EB" w:rsidRPr="0096745E" w:rsidRDefault="00AE39EB" w:rsidP="00AE39EB">
                            <w:pPr>
                              <w:pStyle w:val="BodyText1"/>
                              <w:spacing w:before="240"/>
                              <w:rPr>
                                <w:color w:val="FFFFFF"/>
                              </w:rPr>
                            </w:pPr>
                            <w:r w:rsidRPr="00AE39EB">
                              <w:rPr>
                                <w:color w:val="FFFFFF"/>
                              </w:rPr>
                              <w:t>Principle 3</w:t>
                            </w:r>
                            <w:r>
                              <w:rPr>
                                <w:color w:val="FFFFFF"/>
                              </w:rPr>
                              <w:t xml:space="preserve">: </w:t>
                            </w:r>
                            <w:r w:rsidRPr="00AE39EB">
                              <w:rPr>
                                <w:color w:val="FFFFFF"/>
                              </w:rPr>
                              <w:t>When determining discharge permits or authorisations, the dose to the representative person should be assessed.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781245" id="_x0000_s1029" type="#_x0000_t202" alt="Principle 3: When determining discharge permits or authorisations, the dose to the representative person should be assessed." style="position:absolute;left:0;text-align:left;margin-left:460pt;margin-top:75.55pt;width:511.2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" fillcolor="#016574" stroked="f">
                <v:textbox style="mso-fit-shape-to-text:t">
                  <w:txbxContent>
                    <w:p w14:paraId="7D8045D7" w14:textId="3F75201B" w:rsidR="00AE39EB" w:rsidRPr="0096745E" w:rsidRDefault="00AE39EB" w:rsidP="00AE39EB">
                      <w:pPr>
                        <w:pStyle w:val="BodyText1"/>
                        <w:spacing w:before="240"/>
                        <w:rPr>
                          <w:color w:val="FFFFFF"/>
                        </w:rPr>
                      </w:pPr>
                      <w:r w:rsidRPr="00AE39EB">
                        <w:rPr>
                          <w:color w:val="FFFFFF"/>
                        </w:rPr>
                        <w:t>Principle 3</w:t>
                      </w:r>
                      <w:r>
                        <w:rPr>
                          <w:color w:val="FFFFFF"/>
                        </w:rPr>
                        <w:t xml:space="preserve">: </w:t>
                      </w:r>
                      <w:r w:rsidRPr="00AE39EB">
                        <w:rPr>
                          <w:color w:val="FFFFFF"/>
                        </w:rPr>
                        <w:t>When determining discharge permits or authorisations, the dose to the representative person should be assessed.</w:t>
                      </w:r>
                    </w:p>
                  </w:txbxContent>
                </v:textbox>
                <w10:wrap type="square" anchorx="margin"/>
              </v:shape>
            </w:pict>
          </mc:Fallback>
        </mc:AlternateContent>
      </w:r>
      <w:r w:rsidR="00F9089F">
        <w:t>3.3.7</w:t>
      </w:r>
      <w:r w:rsidR="00F9089F">
        <w:tab/>
        <w:t>It is recommended that the dose to the representative person is assessed for the purposes of comparison with source constraints, site constraints and dose limits, in the process of determining discharge authorisations.</w:t>
      </w:r>
    </w:p>
    <w:p w14:paraId="28DC0039" w14:textId="77777777" w:rsidR="001A324D" w:rsidRDefault="001A324D" w:rsidP="00AE39EB"/>
    <w:p w14:paraId="54054F64" w14:textId="77777777" w:rsidR="00F9089F" w:rsidRDefault="00F9089F" w:rsidP="00F9089F">
      <w:pPr>
        <w:ind w:left="720" w:hanging="720"/>
      </w:pPr>
      <w:r>
        <w:lastRenderedPageBreak/>
        <w:t>3.3.8</w:t>
      </w:r>
      <w:r>
        <w:tab/>
        <w:t>It should be assumed that all members of the population could be exposed, thus the most affected age group should be selected which will depend upon the radionuclides discharged and the environment around the source.</w:t>
      </w:r>
    </w:p>
    <w:p w14:paraId="6AC385A5" w14:textId="77777777" w:rsidR="00F9089F" w:rsidRDefault="00F9089F" w:rsidP="00F9089F">
      <w:pPr>
        <w:ind w:left="720" w:hanging="720"/>
      </w:pPr>
      <w:r>
        <w:t>3.3.9</w:t>
      </w:r>
      <w:r>
        <w:tab/>
        <w:t xml:space="preserve">However, it is generally sufficient to consider four age groups: foetus; 1 year old infants; </w:t>
      </w:r>
      <w:proofErr w:type="gramStart"/>
      <w:r>
        <w:t>10 year old</w:t>
      </w:r>
      <w:proofErr w:type="gramEnd"/>
      <w:r>
        <w:t xml:space="preserve"> children; and adults. Assessing doses to these four age groups is considered sufficient to represent all age groups. The foetus is taken to include the embryo, the foetus and the breastfed infant in the first 3 months after birth and doses are calculated </w:t>
      </w:r>
      <w:proofErr w:type="gramStart"/>
      <w:r>
        <w:t>taking into account</w:t>
      </w:r>
      <w:proofErr w:type="gramEnd"/>
      <w:r>
        <w:t xml:space="preserve"> intakes by the mother. Although well-established data are available to enable doses to be assessed for other age groups of infants and children, these groups are representative of the range of habits, physiology and sensitivity to radiation of all children and infants.</w:t>
      </w:r>
    </w:p>
    <w:p w14:paraId="43755AA6" w14:textId="5E86B719" w:rsidR="009031D8" w:rsidRDefault="009031D8" w:rsidP="009031D8">
      <w:pPr>
        <w:ind w:left="720" w:hanging="720"/>
      </w:pPr>
      <w:r w:rsidRPr="0096745E">
        <w:rPr>
          <w:rFonts w:ascii="Arial" w:eastAsia="Times New Roman" w:hAnsi="Arial" w:cs="Arial"/>
          <w:noProof/>
        </w:rPr>
        <mc:AlternateContent>
          <mc:Choice Requires="wps">
            <w:drawing>
              <wp:anchor distT="45720" distB="45720" distL="114300" distR="114300" simplePos="0" relativeHeight="251658245" behindDoc="0" locked="0" layoutInCell="1" allowOverlap="1" wp14:anchorId="198D9D35" wp14:editId="4D7E9BA5">
                <wp:simplePos x="0" y="0"/>
                <wp:positionH relativeFrom="margin">
                  <wp:align>left</wp:align>
                </wp:positionH>
                <wp:positionV relativeFrom="paragraph">
                  <wp:posOffset>2174875</wp:posOffset>
                </wp:positionV>
                <wp:extent cx="6497320" cy="1404620"/>
                <wp:effectExtent l="0" t="0" r="0" b="6350"/>
                <wp:wrapSquare wrapText="bothSides"/>
                <wp:docPr id="1868802410" name="Text Box 2" descr="Principle 4: Doses to the most affected age group should be assessed for the purpose of determining discharge permits or authorisations. Assessment of doses to 1 year old, 10 year old and adults (and foetus when appropriate) is adequate age group cover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6BE0DC51" w14:textId="7C6375E3" w:rsidR="003078D2" w:rsidRPr="0096745E" w:rsidRDefault="003078D2" w:rsidP="003078D2">
                            <w:pPr>
                              <w:pStyle w:val="BodyText1"/>
                              <w:spacing w:before="240"/>
                              <w:rPr>
                                <w:color w:val="FFFFFF"/>
                              </w:rPr>
                            </w:pPr>
                            <w:r w:rsidRPr="003078D2">
                              <w:rPr>
                                <w:color w:val="FFFFFF"/>
                              </w:rPr>
                              <w:t>Principle 4</w:t>
                            </w:r>
                            <w:r>
                              <w:rPr>
                                <w:color w:val="FFFFFF"/>
                              </w:rPr>
                              <w:t xml:space="preserve">: </w:t>
                            </w:r>
                            <w:r w:rsidRPr="003078D2">
                              <w:rPr>
                                <w:color w:val="FFFFFF"/>
                              </w:rPr>
                              <w:t xml:space="preserve">Doses to the most affected age group should be assessed for the purpose of determining discharge permits or authorisations. Assessment of doses to 1 year old, </w:t>
                            </w:r>
                            <w:proofErr w:type="gramStart"/>
                            <w:r w:rsidRPr="003078D2">
                              <w:rPr>
                                <w:color w:val="FFFFFF"/>
                              </w:rPr>
                              <w:t>10 year old</w:t>
                            </w:r>
                            <w:proofErr w:type="gramEnd"/>
                            <w:r w:rsidRPr="003078D2">
                              <w:rPr>
                                <w:color w:val="FFFFFF"/>
                              </w:rPr>
                              <w:t xml:space="preserve"> and adults (and foetus when appropriate) is adequate age group coverage.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D9D35" id="_x0000_s1030" type="#_x0000_t202" alt="Principle 4: Doses to the most affected age group should be assessed for the purpose of determining discharge permits or authorisations. Assessment of doses to 1 year old, 10 year old and adults (and foetus when appropriate) is adequate age group coverage." style="position:absolute;left:0;text-align:left;margin-left:0;margin-top:171.25pt;width:511.6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" fillcolor="#016574" stroked="f">
                <v:textbox style="mso-fit-shape-to-text:t">
                  <w:txbxContent>
                    <w:p w14:paraId="6BE0DC51" w14:textId="7C6375E3" w:rsidR="003078D2" w:rsidRPr="0096745E" w:rsidRDefault="003078D2" w:rsidP="003078D2">
                      <w:pPr>
                        <w:pStyle w:val="BodyText1"/>
                        <w:spacing w:before="240"/>
                        <w:rPr>
                          <w:color w:val="FFFFFF"/>
                        </w:rPr>
                      </w:pPr>
                      <w:r w:rsidRPr="003078D2">
                        <w:rPr>
                          <w:color w:val="FFFFFF"/>
                        </w:rPr>
                        <w:t>Principle 4</w:t>
                      </w:r>
                      <w:r>
                        <w:rPr>
                          <w:color w:val="FFFFFF"/>
                        </w:rPr>
                        <w:t xml:space="preserve">: </w:t>
                      </w:r>
                      <w:r w:rsidRPr="003078D2">
                        <w:rPr>
                          <w:color w:val="FFFFFF"/>
                        </w:rPr>
                        <w:t xml:space="preserve">Doses to the most affected age group should be assessed for the purpose of determining discharge permits or authorisations. Assessment of doses to 1 year old, </w:t>
                      </w:r>
                      <w:proofErr w:type="gramStart"/>
                      <w:r w:rsidRPr="003078D2">
                        <w:rPr>
                          <w:color w:val="FFFFFF"/>
                        </w:rPr>
                        <w:t>10 year old</w:t>
                      </w:r>
                      <w:proofErr w:type="gramEnd"/>
                      <w:r w:rsidRPr="003078D2">
                        <w:rPr>
                          <w:color w:val="FFFFFF"/>
                        </w:rPr>
                        <w:t xml:space="preserve"> and adults (and foetus when appropriate) is adequate age group coverage.</w:t>
                      </w:r>
                    </w:p>
                  </w:txbxContent>
                </v:textbox>
                <w10:wrap type="square" anchorx="margin"/>
              </v:shape>
            </w:pict>
          </mc:Fallback>
        </mc:AlternateContent>
      </w:r>
      <w:r w:rsidR="00F9089F">
        <w:t>3.3.10</w:t>
      </w:r>
      <w:r w:rsidR="00F9089F">
        <w:tab/>
        <w:t xml:space="preserve">The age groups of 1 year old infant, </w:t>
      </w:r>
      <w:proofErr w:type="gramStart"/>
      <w:r w:rsidR="00F9089F">
        <w:t>10 year old</w:t>
      </w:r>
      <w:proofErr w:type="gramEnd"/>
      <w:r w:rsidR="00F9089F">
        <w:t xml:space="preserve"> children and adults should normally be considered in a prospective assessment even if there is evidence (e.g. from habit surveys) that there are no people of that age in the location of interest. Assessments of fewer age groups may be made if there is adequate evidence to support this decision (e.g. assessment of doses to adult sewage workers). Doses to the foetus (including embryo and </w:t>
      </w:r>
      <w:proofErr w:type="gramStart"/>
      <w:r w:rsidR="00F9089F">
        <w:t>breast fed</w:t>
      </w:r>
      <w:proofErr w:type="gramEnd"/>
      <w:r w:rsidR="00F9089F">
        <w:t xml:space="preserve"> infants in the first 3 months after birth) may need to be assessed as well if </w:t>
      </w:r>
      <w:r>
        <w:t>p</w:t>
      </w:r>
      <w:r w:rsidR="00B37249" w:rsidRPr="00B37249">
        <w:t xml:space="preserve">hosphorus-32 </w:t>
      </w:r>
      <w:r w:rsidR="00B37249">
        <w:t>(</w:t>
      </w:r>
      <w:r w:rsidR="00F9089F" w:rsidRPr="00E026E3">
        <w:rPr>
          <w:vertAlign w:val="superscript"/>
        </w:rPr>
        <w:t>32</w:t>
      </w:r>
      <w:r w:rsidR="00F9089F">
        <w:t>P</w:t>
      </w:r>
      <w:r w:rsidR="00B37249">
        <w:t>)</w:t>
      </w:r>
      <w:r w:rsidR="00F9089F">
        <w:t xml:space="preserve">, </w:t>
      </w:r>
      <w:r>
        <w:t>p</w:t>
      </w:r>
      <w:r w:rsidR="004B12E6" w:rsidRPr="004B12E6">
        <w:t>hosphorus-33</w:t>
      </w:r>
      <w:r w:rsidR="004B12E6">
        <w:t xml:space="preserve"> (</w:t>
      </w:r>
      <w:r w:rsidR="00F9089F" w:rsidRPr="00E026E3">
        <w:rPr>
          <w:vertAlign w:val="superscript"/>
        </w:rPr>
        <w:t>33</w:t>
      </w:r>
      <w:r w:rsidR="00F9089F">
        <w:t>P</w:t>
      </w:r>
      <w:r w:rsidR="008E3C6F">
        <w:t>)</w:t>
      </w:r>
      <w:r w:rsidR="00F9089F">
        <w:t xml:space="preserve">, </w:t>
      </w:r>
      <w:r>
        <w:t>c</w:t>
      </w:r>
      <w:r w:rsidR="008E3C6F" w:rsidRPr="008E3C6F">
        <w:t xml:space="preserve">alcium-45 </w:t>
      </w:r>
      <w:r w:rsidR="008E3C6F">
        <w:t>(</w:t>
      </w:r>
      <w:r w:rsidR="00F9089F" w:rsidRPr="00E026E3">
        <w:rPr>
          <w:vertAlign w:val="superscript"/>
        </w:rPr>
        <w:t>45</w:t>
      </w:r>
      <w:r w:rsidR="00F9089F">
        <w:t>Ca</w:t>
      </w:r>
      <w:r w:rsidR="008E3C6F">
        <w:t>)</w:t>
      </w:r>
      <w:r w:rsidR="00F9089F">
        <w:t xml:space="preserve"> and </w:t>
      </w:r>
      <w:r>
        <w:t>s</w:t>
      </w:r>
      <w:r w:rsidRPr="009031D8">
        <w:t>trontium-89</w:t>
      </w:r>
      <w:r>
        <w:t xml:space="preserve"> (</w:t>
      </w:r>
      <w:r w:rsidR="00F9089F" w:rsidRPr="00E026E3">
        <w:rPr>
          <w:vertAlign w:val="superscript"/>
        </w:rPr>
        <w:t>89</w:t>
      </w:r>
      <w:r w:rsidR="00F9089F">
        <w:t>Sr</w:t>
      </w:r>
      <w:r>
        <w:t>)</w:t>
      </w:r>
      <w:r w:rsidR="00F9089F">
        <w:t xml:space="preserve"> are present in the discharge.</w:t>
      </w:r>
    </w:p>
    <w:p w14:paraId="1C1B3CBF" w14:textId="77777777" w:rsidR="009031D8" w:rsidRDefault="009031D8" w:rsidP="009031D8">
      <w:pPr>
        <w:ind w:left="720" w:hanging="720"/>
      </w:pPr>
    </w:p>
    <w:p w14:paraId="12D24DD6" w14:textId="1FE04BE1" w:rsidR="00D33B92" w:rsidRDefault="00F9089F" w:rsidP="003078D2">
      <w:pPr>
        <w:ind w:left="720" w:hanging="720"/>
      </w:pPr>
      <w:r>
        <w:t>3.3.11</w:t>
      </w:r>
      <w:r>
        <w:tab/>
        <w:t xml:space="preserve">The ICRP has published dose factors for the embryo and foetus from intakes of radionuclides by the mother before and during pregnancy [Ref 44]. The HPA has provided advice on the application of these dose coefficients [Ref 45]. This guidance shows that doses to the foetus need only be considered for four radionuclides (i.e. </w:t>
      </w:r>
      <w:r w:rsidR="009031D8">
        <w:t>p</w:t>
      </w:r>
      <w:r w:rsidR="009031D8" w:rsidRPr="00B37249">
        <w:t>hosphorus-32</w:t>
      </w:r>
      <w:r>
        <w:t xml:space="preserve">, </w:t>
      </w:r>
      <w:r w:rsidR="009031D8">
        <w:t>p</w:t>
      </w:r>
      <w:r w:rsidR="009031D8" w:rsidRPr="004B12E6">
        <w:t>hosphorus-33</w:t>
      </w:r>
      <w:r>
        <w:t xml:space="preserve">, </w:t>
      </w:r>
      <w:r w:rsidR="009031D8">
        <w:t>c</w:t>
      </w:r>
      <w:r w:rsidR="009031D8" w:rsidRPr="008E3C6F">
        <w:t>alcium-45</w:t>
      </w:r>
      <w:r>
        <w:t xml:space="preserve"> and </w:t>
      </w:r>
      <w:r w:rsidR="009031D8">
        <w:t>s</w:t>
      </w:r>
      <w:r w:rsidR="009031D8" w:rsidRPr="009031D8">
        <w:t>trontium-89</w:t>
      </w:r>
      <w:r>
        <w:t xml:space="preserve">) in assessments where these radionuclides form a significant part of any release to the environment. In the case of other radionuclides, assessment of doses to the foetus is not warranted and therefore </w:t>
      </w:r>
      <w:r>
        <w:lastRenderedPageBreak/>
        <w:t xml:space="preserve">an assessment of doses to one of the other age groups (1 year old infants; </w:t>
      </w:r>
      <w:proofErr w:type="gramStart"/>
      <w:r>
        <w:t>10 year old</w:t>
      </w:r>
      <w:proofErr w:type="gramEnd"/>
      <w:r>
        <w:t xml:space="preserve"> children; and adults) will be appropriate.</w:t>
      </w:r>
    </w:p>
    <w:p w14:paraId="16967B26" w14:textId="77777777" w:rsidR="000A7FAB" w:rsidRDefault="000A7FAB" w:rsidP="000A7FAB">
      <w:pPr>
        <w:pStyle w:val="Heading2"/>
      </w:pPr>
      <w:bookmarkStart w:id="15" w:name="_Toc25569844"/>
      <w:bookmarkStart w:id="16" w:name="_Toc227317370"/>
      <w:r>
        <w:t>3.4</w:t>
      </w:r>
      <w:r>
        <w:tab/>
        <w:t>Assessment criteria and exposure pathways</w:t>
      </w:r>
      <w:bookmarkEnd w:id="15"/>
      <w:bookmarkEnd w:id="16"/>
    </w:p>
    <w:p w14:paraId="25FF157B" w14:textId="77777777" w:rsidR="000A7FAB" w:rsidRDefault="000A7FAB" w:rsidP="002C1CA8">
      <w:pPr>
        <w:ind w:left="720" w:hanging="720"/>
      </w:pPr>
      <w:r>
        <w:t>3.4.1</w:t>
      </w:r>
      <w:r>
        <w:tab/>
        <w:t>All reasonably foreseeable and relevant future exposure pathways should be included in the assessment of doses for comparison with the source constraint (i.e. doses arising from the future discharges of radioactive waste from the source and future direct radiation exposure from the source).</w:t>
      </w:r>
    </w:p>
    <w:p w14:paraId="45E7DDC2" w14:textId="1AB992FF" w:rsidR="000A7FAB" w:rsidRDefault="000A7FAB" w:rsidP="002C1CA8">
      <w:pPr>
        <w:ind w:left="720" w:hanging="720"/>
      </w:pPr>
      <w:r>
        <w:t>3.4.2</w:t>
      </w:r>
      <w:r>
        <w:tab/>
        <w:t xml:space="preserve">The doses arising from future discharges of radioactive waste from a site (but not future direct radiation) should be assessed for comparison with the site constraint. Doses arising from exposure to radionuclides in the environment from historical discharges are not included in the comparison with the source or site </w:t>
      </w:r>
      <w:proofErr w:type="gramStart"/>
      <w:r>
        <w:t>constraint, but</w:t>
      </w:r>
      <w:proofErr w:type="gramEnd"/>
      <w:r>
        <w:t xml:space="preserve"> are included in the comparison with the dose limit (see Principle 6).</w:t>
      </w:r>
    </w:p>
    <w:p w14:paraId="77705B31" w14:textId="79D32AE3" w:rsidR="002C1CA8" w:rsidRDefault="002C1CA8" w:rsidP="002C1CA8">
      <w:pPr>
        <w:ind w:left="720" w:hanging="720"/>
      </w:pPr>
      <w:r w:rsidRPr="0096745E">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3B99AB1A" wp14:editId="6404A95E">
                <wp:simplePos x="0" y="0"/>
                <wp:positionH relativeFrom="margin">
                  <wp:posOffset>0</wp:posOffset>
                </wp:positionH>
                <wp:positionV relativeFrom="paragraph">
                  <wp:posOffset>312420</wp:posOffset>
                </wp:positionV>
                <wp:extent cx="6497320" cy="1404620"/>
                <wp:effectExtent l="0" t="0" r="0" b="6350"/>
                <wp:wrapSquare wrapText="bothSides"/>
                <wp:docPr id="539334090" name="Text Box 2" descr="Principle 5: The dose to the representative person which is assessed for comparison with the source constraint and, if appropriate, the site constraint, should include all reasonably foreseeable and relevant future exposure pathw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2C676E93" w14:textId="103F622A" w:rsidR="002C1CA8" w:rsidRPr="0096745E" w:rsidRDefault="002C1CA8" w:rsidP="002C1CA8">
                            <w:pPr>
                              <w:pStyle w:val="BodyText1"/>
                              <w:spacing w:before="240"/>
                              <w:rPr>
                                <w:color w:val="FFFFFF"/>
                              </w:rPr>
                            </w:pPr>
                            <w:r w:rsidRPr="002C1CA8">
                              <w:rPr>
                                <w:color w:val="FFFFFF"/>
                              </w:rPr>
                              <w:t>Principle 5</w:t>
                            </w:r>
                            <w:r>
                              <w:rPr>
                                <w:color w:val="FFFFFF"/>
                              </w:rPr>
                              <w:t xml:space="preserve">: </w:t>
                            </w:r>
                            <w:r w:rsidRPr="002C1CA8">
                              <w:rPr>
                                <w:color w:val="FFFFFF"/>
                              </w:rPr>
                              <w:t>The dose to the representative person which is assessed for comparison with the source constraint and, if appropriate, the site constraint, should include all reasonably foreseeable and relevant future exposure pathways.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99AB1A" id="_x0000_s1031" type="#_x0000_t202" alt="Principle 5: The dose to the representative person which is assessed for comparison with the source constraint and, if appropriate, the site constraint, should include all reasonably foreseeable and relevant future exposure pathways." style="position:absolute;left:0;text-align:left;margin-left:0;margin-top:24.6pt;width:511.6pt;height:110.6pt;z-index:25165825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" fillcolor="#016574" stroked="f">
                <v:textbox style="mso-fit-shape-to-text:t">
                  <w:txbxContent>
                    <w:p w14:paraId="2C676E93" w14:textId="103F622A" w:rsidR="002C1CA8" w:rsidRPr="0096745E" w:rsidRDefault="002C1CA8" w:rsidP="002C1CA8">
                      <w:pPr>
                        <w:pStyle w:val="BodyText1"/>
                        <w:spacing w:before="240"/>
                        <w:rPr>
                          <w:color w:val="FFFFFF"/>
                        </w:rPr>
                      </w:pPr>
                      <w:r w:rsidRPr="002C1CA8">
                        <w:rPr>
                          <w:color w:val="FFFFFF"/>
                        </w:rPr>
                        <w:t>Principle 5</w:t>
                      </w:r>
                      <w:r>
                        <w:rPr>
                          <w:color w:val="FFFFFF"/>
                        </w:rPr>
                        <w:t xml:space="preserve">: </w:t>
                      </w:r>
                      <w:r w:rsidRPr="002C1CA8">
                        <w:rPr>
                          <w:color w:val="FFFFFF"/>
                        </w:rPr>
                        <w:t>The dose to the representative person which is assessed for comparison with the source constraint and, if appropriate, the site constraint, should include all reasonably foreseeable and relevant future exposure pathways.</w:t>
                      </w:r>
                    </w:p>
                  </w:txbxContent>
                </v:textbox>
                <w10:wrap type="square" anchorx="margin"/>
              </v:shape>
            </w:pict>
          </mc:Fallback>
        </mc:AlternateContent>
      </w:r>
    </w:p>
    <w:p w14:paraId="443C042B" w14:textId="77777777" w:rsidR="002C1CA8" w:rsidRDefault="002C1CA8" w:rsidP="002C1CA8">
      <w:pPr>
        <w:ind w:left="720" w:hanging="720"/>
      </w:pPr>
    </w:p>
    <w:p w14:paraId="281DE441" w14:textId="298DE94D" w:rsidR="000A7FAB" w:rsidRDefault="000A7FAB" w:rsidP="002C1CA8">
      <w:pPr>
        <w:ind w:left="720" w:hanging="720"/>
      </w:pPr>
      <w:r>
        <w:t>3.4.3</w:t>
      </w:r>
      <w:r>
        <w:tab/>
        <w:t>EASR requires that when authorising the management of radioactive waste, the sum of doses resulting from the exposure of any member of the public to ionising radiation should not exceed the dose limit. As previously discussed, HPA has also recommended that doses from past planned releases should be included when making comparisons with the dose limit [Ref 16].</w:t>
      </w:r>
    </w:p>
    <w:p w14:paraId="1DCA4B63" w14:textId="77777777" w:rsidR="000A7FAB" w:rsidRDefault="000A7FAB" w:rsidP="002C1CA8">
      <w:pPr>
        <w:ind w:left="720" w:hanging="720"/>
      </w:pPr>
      <w:r>
        <w:t>3.4.4</w:t>
      </w:r>
      <w:r>
        <w:tab/>
        <w:t>Hence, if there are significant additional future exposure pathways as a result of other sources of radioactive discharges or direct radiation or accumulation of radionuclides in the environment from historical discharges (i.e. discharges prior to current year), then it will be necessary to undertake an assessment of these for comparison with the dose limit for members of the public.</w:t>
      </w:r>
    </w:p>
    <w:p w14:paraId="74BACA29" w14:textId="77777777" w:rsidR="000A7FAB" w:rsidRDefault="000A7FAB" w:rsidP="002C1CA8">
      <w:pPr>
        <w:ind w:left="720" w:hanging="720"/>
      </w:pPr>
      <w:r>
        <w:t>3.4.5</w:t>
      </w:r>
      <w:r>
        <w:tab/>
        <w:t xml:space="preserve">Past experience of dose assessments for radioactive waste discharges in the UK [e.g. Refs 46, 47] indicates that, if the dose to the representative person for a single source is </w:t>
      </w:r>
      <w:r>
        <w:lastRenderedPageBreak/>
        <w:t>less than 0.3 mSv/y, it is extremely unlikely that the dose limit would be exceeded once other sources are included.</w:t>
      </w:r>
    </w:p>
    <w:p w14:paraId="3B065577" w14:textId="5DFD3327" w:rsidR="002C1CA8" w:rsidRDefault="002C1CA8" w:rsidP="002C1CA8">
      <w:r w:rsidRPr="0096745E">
        <w:rPr>
          <w:rFonts w:ascii="Arial" w:eastAsia="Times New Roman" w:hAnsi="Arial" w:cs="Arial"/>
          <w:noProof/>
        </w:rPr>
        <mc:AlternateContent>
          <mc:Choice Requires="wps">
            <w:drawing>
              <wp:anchor distT="45720" distB="45720" distL="114300" distR="114300" simplePos="0" relativeHeight="251658254" behindDoc="0" locked="0" layoutInCell="1" allowOverlap="1" wp14:anchorId="55A04F56" wp14:editId="38B51FCD">
                <wp:simplePos x="0" y="0"/>
                <wp:positionH relativeFrom="margin">
                  <wp:posOffset>0</wp:posOffset>
                </wp:positionH>
                <wp:positionV relativeFrom="paragraph">
                  <wp:posOffset>311785</wp:posOffset>
                </wp:positionV>
                <wp:extent cx="6497320" cy="1404620"/>
                <wp:effectExtent l="0" t="0" r="0" b="0"/>
                <wp:wrapSquare wrapText="bothSides"/>
                <wp:docPr id="1423415825" name="Text Box 2" descr="Principle 6: Significant additional doses to the representative person from historical discharges from the source being considered and doses from historical and future discharges and direct radiation from other relevant sources subject to control should be assessed and the total dose compared with the dose limit of 1mSv/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10DF5DC9" w14:textId="1791D5D7" w:rsidR="002C1CA8" w:rsidRPr="0096745E" w:rsidRDefault="002C1CA8" w:rsidP="002C1CA8">
                            <w:pPr>
                              <w:pStyle w:val="BodyText1"/>
                              <w:spacing w:before="240"/>
                              <w:rPr>
                                <w:color w:val="FFFFFF"/>
                              </w:rPr>
                            </w:pPr>
                            <w:r w:rsidRPr="002C1CA8">
                              <w:rPr>
                                <w:color w:val="FFFFFF"/>
                              </w:rPr>
                              <w:t>Principle 6</w:t>
                            </w:r>
                            <w:r>
                              <w:rPr>
                                <w:color w:val="FFFFFF"/>
                              </w:rPr>
                              <w:t xml:space="preserve">: </w:t>
                            </w:r>
                            <w:r w:rsidRPr="002C1CA8">
                              <w:rPr>
                                <w:color w:val="FFFFFF"/>
                              </w:rPr>
                              <w:t>Significant additional doses to the representative person from historical discharges from the source being considered and doses from historical and future discharges and direct radiation from other relevant sources subject to control should be assessed and the total dose compared with the dose limit of 1mSv/y.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A04F56" id="_x0000_s1032" type="#_x0000_t202" alt="Principle 6: Significant additional doses to the representative person from historical discharges from the source being considered and doses from historical and future discharges and direct radiation from other relevant sources subject to control should be assessed and the total dose compared with the dose limit of 1mSv/y." style="position:absolute;margin-left:0;margin-top:24.55pt;width:511.6pt;height:110.6pt;z-index:25165825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" fillcolor="#016574" stroked="f">
                <v:textbox style="mso-fit-shape-to-text:t">
                  <w:txbxContent>
                    <w:p w14:paraId="10DF5DC9" w14:textId="1791D5D7" w:rsidR="002C1CA8" w:rsidRPr="0096745E" w:rsidRDefault="002C1CA8" w:rsidP="002C1CA8">
                      <w:pPr>
                        <w:pStyle w:val="BodyText1"/>
                        <w:spacing w:before="240"/>
                        <w:rPr>
                          <w:color w:val="FFFFFF"/>
                        </w:rPr>
                      </w:pPr>
                      <w:r w:rsidRPr="002C1CA8">
                        <w:rPr>
                          <w:color w:val="FFFFFF"/>
                        </w:rPr>
                        <w:t>Principle 6</w:t>
                      </w:r>
                      <w:r>
                        <w:rPr>
                          <w:color w:val="FFFFFF"/>
                        </w:rPr>
                        <w:t xml:space="preserve">: </w:t>
                      </w:r>
                      <w:r w:rsidRPr="002C1CA8">
                        <w:rPr>
                          <w:color w:val="FFFFFF"/>
                        </w:rPr>
                        <w:t>Significant additional doses to the representative person from historical discharges from the source being considered and doses from historical and future discharges and direct radiation from other relevant sources subject to control should be assessed and the total dose compared with the dose limit of 1mSv/y.</w:t>
                      </w:r>
                    </w:p>
                  </w:txbxContent>
                </v:textbox>
                <w10:wrap type="square" anchorx="margin"/>
              </v:shape>
            </w:pict>
          </mc:Fallback>
        </mc:AlternateContent>
      </w:r>
    </w:p>
    <w:p w14:paraId="4E43169B" w14:textId="77777777" w:rsidR="00FA1B5F" w:rsidRPr="00D33B92" w:rsidRDefault="00FA1B5F" w:rsidP="002C1CA8"/>
    <w:p w14:paraId="25CB4DD5" w14:textId="616FC209" w:rsidR="00D12B1C" w:rsidRDefault="0060114D" w:rsidP="0060114D">
      <w:pPr>
        <w:pStyle w:val="Heading2"/>
      </w:pPr>
      <w:bookmarkStart w:id="17" w:name="_Toc227317371"/>
      <w:r>
        <w:t>3.5</w:t>
      </w:r>
      <w:r>
        <w:tab/>
      </w:r>
      <w:r w:rsidR="00F73B1F">
        <w:t>Realistic and cautious assumptions</w:t>
      </w:r>
      <w:bookmarkEnd w:id="17"/>
    </w:p>
    <w:p w14:paraId="1C2EE461" w14:textId="77777777" w:rsidR="00DC74D0" w:rsidRDefault="00F73B1F" w:rsidP="004C392E">
      <w:pPr>
        <w:ind w:left="720" w:hanging="720"/>
      </w:pPr>
      <w:r>
        <w:t>3.5.1</w:t>
      </w:r>
      <w:r>
        <w:tab/>
      </w:r>
      <w:r w:rsidR="00DC74D0">
        <w:t xml:space="preserve">Prospective assessments require assumptions to be made regarding the behaviour of radionuclides in the environment and the habits of people who may be exposed to those substances. One approach is to make an assessment using simple cautious assumptions to ensure that the dose is very unlikely to be underestimated. In general, assessment assumptions are simplified by using generic representative persons and associated generic behaviour or habit data which is used to determine their exposure. Cautious assessments are designed to ensure that the calculated doses will be an overestimate of those that would </w:t>
      </w:r>
      <w:proofErr w:type="gramStart"/>
      <w:r w:rsidR="00DC74D0">
        <w:t>actually be</w:t>
      </w:r>
      <w:proofErr w:type="gramEnd"/>
      <w:r w:rsidR="00DC74D0">
        <w:t xml:space="preserve"> received for a given discharge of radionuclide or level of activity concentration in the environment.</w:t>
      </w:r>
    </w:p>
    <w:p w14:paraId="4DFC0B52" w14:textId="77777777" w:rsidR="00DC74D0" w:rsidRDefault="00DC74D0" w:rsidP="004C392E">
      <w:pPr>
        <w:ind w:left="720" w:hanging="720"/>
      </w:pPr>
      <w:r>
        <w:t>3.5.2</w:t>
      </w:r>
      <w:r>
        <w:tab/>
        <w:t xml:space="preserve">An alternative approach is to make a realistic or best-estimate assessment of doses using knowledge and data for known population groups around the site of interest (i.e. a </w:t>
      </w:r>
      <w:proofErr w:type="gramStart"/>
      <w:r>
        <w:t>site specific</w:t>
      </w:r>
      <w:proofErr w:type="gramEnd"/>
      <w:r>
        <w:t xml:space="preserve"> assessment). The aim is to be as close as possible to the actual doses that would be received from discharges at the proposed future limits, by making efforts to be as comprehensive and accurate as possible.</w:t>
      </w:r>
    </w:p>
    <w:p w14:paraId="594B1776" w14:textId="77777777" w:rsidR="00DC74D0" w:rsidRDefault="00DC74D0" w:rsidP="004C392E">
      <w:pPr>
        <w:ind w:left="720" w:hanging="720"/>
      </w:pPr>
      <w:r>
        <w:t>3.5.3</w:t>
      </w:r>
      <w:r>
        <w:tab/>
        <w:t>Articles 65 and 66 of the BSSD requires that the assessment of doses to ‘the representative person’ should be made as realistic as possible. This requirement has been included in EASR. EC Guidance on radiological assessment has further promoted the need for realistic assessments [Ref 48].</w:t>
      </w:r>
    </w:p>
    <w:p w14:paraId="30CFFF6E" w14:textId="77777777" w:rsidR="00DC74D0" w:rsidRDefault="00DC74D0" w:rsidP="004C392E">
      <w:pPr>
        <w:ind w:left="720" w:hanging="720"/>
      </w:pPr>
      <w:r>
        <w:t>3.5.4</w:t>
      </w:r>
      <w:r>
        <w:tab/>
        <w:t>The HPA has previously given formal advice [Ref 49] that when dose assessments are made for comparison against dose constraints:</w:t>
      </w:r>
    </w:p>
    <w:p w14:paraId="3686F893" w14:textId="77777777" w:rsidR="00DC74D0" w:rsidRDefault="00DC74D0" w:rsidP="004C392E">
      <w:pPr>
        <w:ind w:left="720"/>
      </w:pPr>
      <w:r>
        <w:lastRenderedPageBreak/>
        <w:t>“Where the application of dose constraints will influence the operating regime of a controlled source, it is important that assessments provide estimates of doses that are as realistic as practicable (as opposed to over estimation or under estimation), otherwise operational decisions may be taken which result in much smaller doses to members of the public, but with higher costs and possibly higher doses to workers than would be the optimum. This requirement for realism applies at all stages of the dose assessment, including estimates of discharges and levels of direct irradiation, the modelling of pathways by which individuals are exposed, and the assumptions made concerning the location, habits and characteristics of those exposed”.</w:t>
      </w:r>
    </w:p>
    <w:p w14:paraId="72FB0288" w14:textId="77777777" w:rsidR="00DC74D0" w:rsidRDefault="00DC74D0" w:rsidP="004C392E">
      <w:pPr>
        <w:ind w:left="720" w:hanging="720"/>
      </w:pPr>
      <w:r>
        <w:t>3.5.5</w:t>
      </w:r>
      <w:r>
        <w:tab/>
        <w:t xml:space="preserve">For the purposes of setting discharge authorisations, future doses from discharges at the proposed limits </w:t>
      </w:r>
      <w:proofErr w:type="gramStart"/>
      <w:r>
        <w:t>have to</w:t>
      </w:r>
      <w:proofErr w:type="gramEnd"/>
      <w:r>
        <w:t xml:space="preserve"> be assessed. As indicated, this means that various assumptions </w:t>
      </w:r>
      <w:proofErr w:type="gramStart"/>
      <w:r>
        <w:t>have to</w:t>
      </w:r>
      <w:proofErr w:type="gramEnd"/>
      <w:r>
        <w:t xml:space="preserve"> be made, for example about the behaviour of the representative person in the future. It is common practice to start with relatively cautious generic assumptions and then refine these assumptions, where doses are high, to take account of more realistic </w:t>
      </w:r>
      <w:proofErr w:type="gramStart"/>
      <w:r>
        <w:t>site specific</w:t>
      </w:r>
      <w:proofErr w:type="gramEnd"/>
      <w:r>
        <w:t xml:space="preserve"> exposure pathways and habit data.</w:t>
      </w:r>
    </w:p>
    <w:p w14:paraId="229D0129" w14:textId="223AB456" w:rsidR="00DC74D0" w:rsidRDefault="00DC74D0" w:rsidP="004C392E">
      <w:pPr>
        <w:ind w:left="720" w:hanging="720"/>
      </w:pPr>
      <w:r>
        <w:t>3.5.6</w:t>
      </w:r>
      <w:r>
        <w:tab/>
        <w:t xml:space="preserve">HPA has published generalised derived constraints (GDC) [Refs 50 and 51], which can be used to assist the assessment of planned discharges. GDCs relate discharges (in Bq) to the dose constraint of 0.3mSv/y via a fixed and cautious model. HPA recommends that when GDCs are used, further </w:t>
      </w:r>
      <w:proofErr w:type="gramStart"/>
      <w:r>
        <w:t>site specific</w:t>
      </w:r>
      <w:proofErr w:type="gramEnd"/>
      <w:r>
        <w:t xml:space="preserve"> investigation should be carried out if the discharges planned are more than about 30% of the GDC. The implied dose level for further investigation is 0.1mSv/y. Further investigations would include consideration of </w:t>
      </w:r>
      <w:proofErr w:type="gramStart"/>
      <w:r>
        <w:t>site specific</w:t>
      </w:r>
      <w:proofErr w:type="gramEnd"/>
      <w:r>
        <w:t xml:space="preserve"> factors, the source of the activity, the dispersion to be considered and the length of time for which the discharges are likely to persist.</w:t>
      </w:r>
    </w:p>
    <w:p w14:paraId="7C424F24" w14:textId="500B8CF8" w:rsidR="00DC74D0" w:rsidRDefault="00DC74D0" w:rsidP="004C392E">
      <w:pPr>
        <w:ind w:left="720" w:hanging="720"/>
      </w:pPr>
      <w:r>
        <w:t>3.5.7</w:t>
      </w:r>
      <w:r>
        <w:tab/>
      </w:r>
      <w:r w:rsidRPr="00E14C9E">
        <w:t xml:space="preserve">The BSSD implies that all assessments should be realistic. However, the Environment Agencies, HPA and the Food Standards Agency recognise that where doses are below the threshold of optimisation (&lt;0.02mSv/y) or are below regulatory concern (&lt;0.01mSv/y) (see Section 2.4) then the effort to make assessments more realistic may not be warranted. Historically, further investigation and use of more realistic data in the dose assessment should be undertaken when doses exceed a few tens of </w:t>
      </w:r>
      <w:proofErr w:type="spellStart"/>
      <w:r w:rsidRPr="00E14C9E">
        <w:t>microsieverts</w:t>
      </w:r>
      <w:proofErr w:type="spellEnd"/>
      <w:r w:rsidRPr="00E14C9E">
        <w:t xml:space="preserve"> per year (i.e. 0.02mSv/y). The publication of statutory guidance to the Environment Agency indicating lower regulatory concern below 0.01mSv/y could allow the adoption of 0.01mSv/y as the threshold which will apply in England and Wales. This would lead to </w:t>
      </w:r>
      <w:r w:rsidRPr="00E14C9E">
        <w:lastRenderedPageBreak/>
        <w:t xml:space="preserve">0.01mSv/y being adopted in England and Wales and 0.02mSv/y in Scotland and Northern Ireland as the threshold below which the dose assessment process does not require further refinement. However, 0.01mSv/y and 0.02mSv/y can </w:t>
      </w:r>
      <w:proofErr w:type="gramStart"/>
      <w:r w:rsidRPr="00E14C9E">
        <w:t>be considered to be</w:t>
      </w:r>
      <w:proofErr w:type="gramEnd"/>
      <w:r w:rsidRPr="00E14C9E">
        <w:t xml:space="preserve"> broadly equivalent for the purposes of this principle and so 0.02mSv/y has been retained to ensure consistency of this guidance across the UK and with the approach adopted previously.</w:t>
      </w:r>
    </w:p>
    <w:p w14:paraId="16E322B3" w14:textId="77777777" w:rsidR="00DC74D0" w:rsidRDefault="00DC74D0" w:rsidP="004C392E">
      <w:pPr>
        <w:ind w:left="720" w:hanging="720"/>
      </w:pPr>
      <w:r>
        <w:t>3.5.8</w:t>
      </w:r>
      <w:r>
        <w:tab/>
        <w:t xml:space="preserve">It is important to recognise that a distinction cannot always easily be drawn between a cautious assessment and a realistic assessment. Assessments will have </w:t>
      </w:r>
      <w:proofErr w:type="gramStart"/>
      <w:r>
        <w:t>a number of</w:t>
      </w:r>
      <w:proofErr w:type="gramEnd"/>
      <w:r>
        <w:t xml:space="preserve"> assumptions which will vary in their degree of caution or realism. We recognise that some caution will be required in prospective assessments. This caution will arise from </w:t>
      </w:r>
      <w:proofErr w:type="gramStart"/>
      <w:r>
        <w:t>a number of</w:t>
      </w:r>
      <w:proofErr w:type="gramEnd"/>
      <w:r>
        <w:t xml:space="preserve"> sources </w:t>
      </w:r>
      <w:proofErr w:type="gramStart"/>
      <w:r>
        <w:t>including:</w:t>
      </w:r>
      <w:proofErr w:type="gramEnd"/>
      <w:r>
        <w:t xml:space="preserve"> assessment of discharges at limits rather than expected discharges; use of cautious surrogate radionuclides to represent groups of radionuclides; locations of exposure and food exposure near to the release point; and high occupancy levels and rates of consumption of food.</w:t>
      </w:r>
    </w:p>
    <w:p w14:paraId="22B6E201" w14:textId="066E0C0A" w:rsidR="00DC74D0" w:rsidRDefault="00DC74D0" w:rsidP="004C392E">
      <w:pPr>
        <w:ind w:left="720" w:hanging="720"/>
      </w:pPr>
      <w:r>
        <w:t>3.5.9</w:t>
      </w:r>
      <w:r>
        <w:tab/>
        <w:t xml:space="preserve">When undertaking realistic prospective assessments (where the dose exceeds 0.02mSv/y), sufficient caution should be retained to provide confidence that actual doses received from all sources of radiation by the representative person will be below the dose limit. However, the level of caution between doses assessed prospectively and those assessed afterwards (i.e. retrospectively) should not exceed a factor of about ten, unless this is due mainly to the difference between actual discharges and discharge limits. The level of caution that has been applied may be assessed </w:t>
      </w:r>
      <w:proofErr w:type="gramStart"/>
      <w:r>
        <w:t>as a result of</w:t>
      </w:r>
      <w:proofErr w:type="gramEnd"/>
      <w:r>
        <w:t xml:space="preserve"> an investigation into the uncertainty and variability in an assessment. Consideration should be given to reviewing prospective assessments, if excessive caution is subsequently identified </w:t>
      </w:r>
      <w:proofErr w:type="gramStart"/>
      <w:r>
        <w:t>as a result of</w:t>
      </w:r>
      <w:proofErr w:type="gramEnd"/>
      <w:r>
        <w:t xml:space="preserve"> a retrospective assessment.</w:t>
      </w:r>
    </w:p>
    <w:p w14:paraId="4AD90C23" w14:textId="5DFE61CB" w:rsidR="0027496A" w:rsidRDefault="00C23D84" w:rsidP="00C23D84">
      <w:r w:rsidRPr="0096745E">
        <w:rPr>
          <w:rFonts w:ascii="Arial" w:eastAsia="Times New Roman" w:hAnsi="Arial" w:cs="Arial"/>
          <w:noProof/>
        </w:rPr>
        <mc:AlternateContent>
          <mc:Choice Requires="wps">
            <w:drawing>
              <wp:anchor distT="45720" distB="45720" distL="114300" distR="114300" simplePos="0" relativeHeight="251658246" behindDoc="0" locked="0" layoutInCell="1" allowOverlap="1" wp14:anchorId="02FA9459" wp14:editId="5B4E74B4">
                <wp:simplePos x="0" y="0"/>
                <wp:positionH relativeFrom="margin">
                  <wp:posOffset>0</wp:posOffset>
                </wp:positionH>
                <wp:positionV relativeFrom="paragraph">
                  <wp:posOffset>320040</wp:posOffset>
                </wp:positionV>
                <wp:extent cx="6497320" cy="1404620"/>
                <wp:effectExtent l="0" t="0" r="0" b="0"/>
                <wp:wrapSquare wrapText="bothSides"/>
                <wp:docPr id="998410631" name="Text Box 2" descr="Principle 7: Where a cautious estimate of the dose to the representative person exceeds 0.02 mSv/y, the assessments should be refined and, where appropriate, more realistic assumptions made. However, sufficient caution should be retained in assessments to provide confidence that actual doses received by the representative person will be below the dose limi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6610F589" w14:textId="46D09FE4" w:rsidR="00C23D84" w:rsidRPr="0096745E" w:rsidRDefault="00C23D84" w:rsidP="00C23D84">
                            <w:pPr>
                              <w:pStyle w:val="BodyText1"/>
                              <w:spacing w:before="240"/>
                              <w:rPr>
                                <w:color w:val="FFFFFF"/>
                              </w:rPr>
                            </w:pPr>
                            <w:r w:rsidRPr="00C23D84">
                              <w:rPr>
                                <w:color w:val="FFFFFF"/>
                              </w:rPr>
                              <w:t>Principle 7</w:t>
                            </w:r>
                            <w:r>
                              <w:rPr>
                                <w:color w:val="FFFFFF"/>
                              </w:rPr>
                              <w:t xml:space="preserve">: </w:t>
                            </w:r>
                            <w:r w:rsidRPr="00C23D84">
                              <w:rPr>
                                <w:color w:val="FFFFFF"/>
                              </w:rPr>
                              <w:t>Where a cautious estimate of the dose to the representative person exceeds 0.02mSv/y, the assessments should be refined and, where appropriate, more realistic assumptions made. However, sufficient caution should be retained in assessments to provide confidence that actual doses received by the representative person will be below the dose limit.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FA9459" id="_x0000_s1033" type="#_x0000_t202" alt="Principle 7: Where a cautious estimate of the dose to the representative person exceeds 0.02 mSv/y, the assessments should be refined and, where appropriate, more realistic assumptions made. However, sufficient caution should be retained in assessments to provide confidence that actual doses received by the representative person will be below the dose limit." style="position:absolute;margin-left:0;margin-top:25.2pt;width:511.6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" fillcolor="#016574" stroked="f">
                <v:textbox style="mso-fit-shape-to-text:t">
                  <w:txbxContent>
                    <w:p w14:paraId="6610F589" w14:textId="46D09FE4" w:rsidR="00C23D84" w:rsidRPr="0096745E" w:rsidRDefault="00C23D84" w:rsidP="00C23D84">
                      <w:pPr>
                        <w:pStyle w:val="BodyText1"/>
                        <w:spacing w:before="240"/>
                        <w:rPr>
                          <w:color w:val="FFFFFF"/>
                        </w:rPr>
                      </w:pPr>
                      <w:r w:rsidRPr="00C23D84">
                        <w:rPr>
                          <w:color w:val="FFFFFF"/>
                        </w:rPr>
                        <w:t>Principle 7</w:t>
                      </w:r>
                      <w:r>
                        <w:rPr>
                          <w:color w:val="FFFFFF"/>
                        </w:rPr>
                        <w:t xml:space="preserve">: </w:t>
                      </w:r>
                      <w:r w:rsidRPr="00C23D84">
                        <w:rPr>
                          <w:color w:val="FFFFFF"/>
                        </w:rPr>
                        <w:t>Where a cautious estimate of the dose to the representative person exceeds 0.02mSv/y, the assessments should be refined and, where appropriate, more realistic assumptions made. However, sufficient caution should be retained in assessments to provide confidence that actual doses received by the representative person will be below the dose limit.</w:t>
                      </w:r>
                    </w:p>
                  </w:txbxContent>
                </v:textbox>
                <w10:wrap type="square" anchorx="margin"/>
              </v:shape>
            </w:pict>
          </mc:Fallback>
        </mc:AlternateContent>
      </w:r>
    </w:p>
    <w:p w14:paraId="5EB44744" w14:textId="77777777" w:rsidR="0027496A" w:rsidRDefault="0027496A" w:rsidP="00C23D84"/>
    <w:p w14:paraId="3DE954F9" w14:textId="77777777" w:rsidR="00DC74D0" w:rsidRDefault="00DC74D0" w:rsidP="004C392E">
      <w:pPr>
        <w:ind w:left="720" w:hanging="720"/>
      </w:pPr>
      <w:r>
        <w:t>3.5.10</w:t>
      </w:r>
      <w:r>
        <w:tab/>
        <w:t xml:space="preserve">We will assess doses received by members of the public and compare this with the dose limit by undertaking retrospective assessments after the discharge has occurred, mainly using the results of environmental monitoring. </w:t>
      </w:r>
    </w:p>
    <w:p w14:paraId="50AB5AEC" w14:textId="77777777" w:rsidR="0097703C" w:rsidRDefault="00DC74D0" w:rsidP="004C392E">
      <w:pPr>
        <w:ind w:left="720" w:hanging="720"/>
        <w:sectPr w:rsidR="0097703C" w:rsidSect="0025709E">
          <w:pgSz w:w="11900" w:h="16840"/>
          <w:pgMar w:top="839" w:right="839" w:bottom="839" w:left="839" w:header="794" w:footer="567" w:gutter="0"/>
          <w:pgNumType w:start="14"/>
          <w:cols w:space="708"/>
          <w:titlePg/>
          <w:docGrid w:linePitch="360"/>
        </w:sectPr>
      </w:pPr>
      <w:r>
        <w:t>3.5.11</w:t>
      </w:r>
      <w:r>
        <w:tab/>
        <w:t>The dose criteria and their application in prospective dose assessments are summarised in Table 2.</w:t>
      </w:r>
    </w:p>
    <w:p w14:paraId="29ED92AC" w14:textId="7A8BB117" w:rsidR="00F37C79" w:rsidRPr="00650B15" w:rsidRDefault="00F37C79" w:rsidP="00F37C79">
      <w:pPr>
        <w:pStyle w:val="BodyText1"/>
        <w:rPr>
          <w:rFonts w:eastAsia="Times New Roman"/>
          <w:b/>
          <w:bCs/>
        </w:rPr>
      </w:pPr>
      <w:r w:rsidRPr="00650B15">
        <w:rPr>
          <w:rFonts w:eastAsia="Times New Roman"/>
          <w:b/>
          <w:bCs/>
        </w:rPr>
        <w:lastRenderedPageBreak/>
        <w:t xml:space="preserve">Table </w:t>
      </w:r>
      <w:r>
        <w:rPr>
          <w:rFonts w:eastAsia="Times New Roman"/>
          <w:b/>
          <w:bCs/>
        </w:rPr>
        <w:t>2</w:t>
      </w:r>
      <w:r w:rsidRPr="00650B15">
        <w:rPr>
          <w:rFonts w:eastAsia="Times New Roman"/>
          <w:b/>
          <w:bCs/>
        </w:rPr>
        <w:t xml:space="preserve">: </w:t>
      </w:r>
      <w:r w:rsidRPr="00AD7263">
        <w:rPr>
          <w:rFonts w:eastAsia="Times New Roman"/>
          <w:b/>
          <w:bCs/>
        </w:rPr>
        <w:t>Summary of Radiological Protection Criteria for Public Exposure</w:t>
      </w:r>
    </w:p>
    <w:tbl>
      <w:tblPr>
        <w:tblW w:w="5000" w:type="pct"/>
        <w:tblLayout w:type="fixed"/>
        <w:tblCellMar>
          <w:left w:w="0" w:type="dxa"/>
          <w:right w:w="0" w:type="dxa"/>
        </w:tblCellMar>
        <w:tblLook w:val="04A0" w:firstRow="1" w:lastRow="0" w:firstColumn="1" w:lastColumn="0" w:noHBand="0" w:noVBand="1"/>
        <w:tblCaption w:val="Table 2: Summary of Radiological Protection Criteria for Public Exposure"/>
        <w:tblDescription w:val="This table outlines the effective dose criteria, dose quantity, application to prospective dose assessments and the purpose of assessment."/>
      </w:tblPr>
      <w:tblGrid>
        <w:gridCol w:w="2684"/>
        <w:gridCol w:w="1439"/>
        <w:gridCol w:w="6215"/>
        <w:gridCol w:w="4804"/>
      </w:tblGrid>
      <w:tr w:rsidR="0097703C" w:rsidRPr="00AE1DFE" w14:paraId="5886FD5B" w14:textId="77777777" w:rsidTr="00B27B06">
        <w:trPr>
          <w:trHeight w:val="610"/>
          <w:tblHeader/>
        </w:trPr>
        <w:tc>
          <w:tcPr>
            <w:tcW w:w="88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A2087A2" w14:textId="7524D569" w:rsidR="00F37C79" w:rsidRPr="00AE1DFE" w:rsidRDefault="000B5B43" w:rsidP="000057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Effective dose criteria</w:t>
            </w:r>
          </w:p>
        </w:tc>
        <w:tc>
          <w:tcPr>
            <w:tcW w:w="47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D001FB3" w14:textId="3532B044" w:rsidR="00F37C79" w:rsidRPr="00AE1DFE" w:rsidRDefault="000B5B43" w:rsidP="000057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Dose quantity</w:t>
            </w:r>
          </w:p>
        </w:tc>
        <w:tc>
          <w:tcPr>
            <w:tcW w:w="205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8CD0BAA" w14:textId="6CBD14D1" w:rsidR="00F37C79" w:rsidRPr="00AE1DFE" w:rsidRDefault="000B5B43" w:rsidP="000057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Application to prospective dose assessments</w:t>
            </w:r>
          </w:p>
        </w:tc>
        <w:tc>
          <w:tcPr>
            <w:tcW w:w="15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D45597E" w14:textId="527427C0" w:rsidR="00F37C79" w:rsidRPr="00AE1DFE" w:rsidRDefault="000B5B43" w:rsidP="0000575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Purpose of assessment</w:t>
            </w:r>
          </w:p>
        </w:tc>
      </w:tr>
      <w:tr w:rsidR="0097703C" w:rsidRPr="00AE1DFE" w14:paraId="7BA67765" w14:textId="77777777" w:rsidTr="00B27B06">
        <w:trPr>
          <w:trHeight w:val="315"/>
        </w:trPr>
        <w:tc>
          <w:tcPr>
            <w:tcW w:w="88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DB269F1" w14:textId="04241152" w:rsidR="00F37C79" w:rsidRPr="00AE1DFE" w:rsidRDefault="000B5B43"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Dose limit</w:t>
            </w:r>
          </w:p>
        </w:tc>
        <w:tc>
          <w:tcPr>
            <w:tcW w:w="4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097333E" w14:textId="662BE494" w:rsidR="00F37C79" w:rsidRPr="00AE1DFE" w:rsidRDefault="000B5B43"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1mSv/y</w:t>
            </w: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395B28E" w14:textId="4206F4A5" w:rsidR="00F37C79" w:rsidRPr="00AE1DFE" w:rsidRDefault="00CE1F54"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One or more future discharges is </w:t>
            </w:r>
            <w:proofErr w:type="gramStart"/>
            <w:r>
              <w:rPr>
                <w:rFonts w:ascii="Arial" w:eastAsia="Times New Roman" w:hAnsi="Arial" w:cs="Arial"/>
                <w:lang w:eastAsia="en-GB"/>
              </w:rPr>
              <w:t>planned</w:t>
            </w:r>
            <w:proofErr w:type="gramEnd"/>
            <w:r>
              <w:rPr>
                <w:rFonts w:ascii="Arial" w:eastAsia="Times New Roman" w:hAnsi="Arial" w:cs="Arial"/>
                <w:lang w:eastAsia="en-GB"/>
              </w:rPr>
              <w:t xml:space="preserve"> and the radioactivity will combine with the residues of past discharges from one or more sources and direct radiation</w:t>
            </w:r>
          </w:p>
        </w:tc>
        <w:tc>
          <w:tcPr>
            <w:tcW w:w="15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0EFD40B" w14:textId="32A76D3F" w:rsidR="00F37C79" w:rsidRPr="00AE1DFE" w:rsidRDefault="00CE1F54"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To show the total dose f</w:t>
            </w:r>
            <w:r w:rsidR="00912552">
              <w:rPr>
                <w:rFonts w:ascii="Arial" w:eastAsia="Times New Roman" w:hAnsi="Arial" w:cs="Arial"/>
                <w:lang w:eastAsia="en-GB"/>
              </w:rPr>
              <w:t>ro</w:t>
            </w:r>
            <w:r>
              <w:rPr>
                <w:rFonts w:ascii="Arial" w:eastAsia="Times New Roman" w:hAnsi="Arial" w:cs="Arial"/>
                <w:lang w:eastAsia="en-GB"/>
              </w:rPr>
              <w:t>m one or more past and present</w:t>
            </w:r>
            <w:r w:rsidR="0097703C">
              <w:rPr>
                <w:rFonts w:ascii="Arial" w:eastAsia="Times New Roman" w:hAnsi="Arial" w:cs="Arial"/>
                <w:lang w:eastAsia="en-GB"/>
              </w:rPr>
              <w:t xml:space="preserve"> and future sources will not exceed dose limit</w:t>
            </w:r>
          </w:p>
        </w:tc>
      </w:tr>
      <w:tr w:rsidR="0097703C" w:rsidRPr="00AE1DFE" w14:paraId="1E79C7A8" w14:textId="77777777" w:rsidTr="00B27B06">
        <w:trPr>
          <w:trHeight w:val="300"/>
        </w:trPr>
        <w:tc>
          <w:tcPr>
            <w:tcW w:w="88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C3F4FE2" w14:textId="6E4E4739" w:rsidR="00F37C79" w:rsidRPr="00AE1DFE" w:rsidRDefault="000B5B43"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Site constraint</w:t>
            </w:r>
          </w:p>
        </w:tc>
        <w:tc>
          <w:tcPr>
            <w:tcW w:w="4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3E8640C" w14:textId="3CECDD7A" w:rsidR="000B5B43" w:rsidRPr="00AE1DFE" w:rsidRDefault="000B5B43" w:rsidP="000B5B43">
            <w:pPr>
              <w:spacing w:before="120" w:after="120" w:line="240" w:lineRule="auto"/>
              <w:jc w:val="center"/>
              <w:rPr>
                <w:rFonts w:ascii="Arial" w:eastAsia="Times New Roman" w:hAnsi="Arial" w:cs="Arial"/>
                <w:lang w:eastAsia="en-GB"/>
              </w:rPr>
            </w:pPr>
            <w:r>
              <w:rPr>
                <w:rFonts w:ascii="Arial" w:eastAsia="Times New Roman" w:hAnsi="Arial" w:cs="Arial"/>
                <w:lang w:eastAsia="en-GB"/>
              </w:rPr>
              <w:t>0.5mSv/y</w:t>
            </w: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552FD1E" w14:textId="2BA119C7" w:rsidR="00F37C79" w:rsidRPr="00AE1DFE" w:rsidRDefault="009970BD"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Future discharges from the planned operation of more than one source where the sources are on sites that are adjacent. Direct radiation is not included.</w:t>
            </w:r>
          </w:p>
        </w:tc>
        <w:tc>
          <w:tcPr>
            <w:tcW w:w="15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BC56328" w14:textId="60DEDE90" w:rsidR="00F37C79" w:rsidRPr="00AE1DFE" w:rsidRDefault="008449E2"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To assist optimisation of the planned operation of sources where the sources are under separate control but located together.</w:t>
            </w:r>
          </w:p>
        </w:tc>
      </w:tr>
      <w:tr w:rsidR="0097703C" w:rsidRPr="00AE1DFE" w14:paraId="78D7C896" w14:textId="77777777" w:rsidTr="00B27B06">
        <w:trPr>
          <w:trHeight w:val="300"/>
        </w:trPr>
        <w:tc>
          <w:tcPr>
            <w:tcW w:w="88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0ED2E81" w14:textId="58D33641" w:rsidR="00F37C79" w:rsidRPr="00AE1DFE" w:rsidRDefault="000B5B43"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Source constraint</w:t>
            </w:r>
          </w:p>
        </w:tc>
        <w:tc>
          <w:tcPr>
            <w:tcW w:w="4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61DE6B9" w14:textId="65F977BF" w:rsidR="00F37C79" w:rsidRPr="00AE1DFE" w:rsidRDefault="000B5B43"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0.3mSv/y</w:t>
            </w: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293B93" w14:textId="18A3FD78" w:rsidR="00F37C79" w:rsidRPr="00AE1DFE" w:rsidRDefault="008449E2"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Upper constraint on future discharges and direct radiation from the planned operation of a single source. Dose assessment should be refined until it </w:t>
            </w:r>
            <w:proofErr w:type="gramStart"/>
            <w:r>
              <w:rPr>
                <w:rFonts w:ascii="Arial" w:eastAsia="Times New Roman" w:hAnsi="Arial" w:cs="Arial"/>
                <w:lang w:eastAsia="en-GB"/>
              </w:rPr>
              <w:t>is considered to be</w:t>
            </w:r>
            <w:proofErr w:type="gramEnd"/>
            <w:r>
              <w:rPr>
                <w:rFonts w:ascii="Arial" w:eastAsia="Times New Roman" w:hAnsi="Arial" w:cs="Arial"/>
                <w:lang w:eastAsia="en-GB"/>
              </w:rPr>
              <w:t xml:space="preserve"> sufficiently realistic or falls below 0.02mSv/y</w:t>
            </w:r>
          </w:p>
        </w:tc>
        <w:tc>
          <w:tcPr>
            <w:tcW w:w="15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CDF2D40" w14:textId="02D2851E" w:rsidR="00F37C79" w:rsidRPr="00AE1DFE" w:rsidRDefault="008449E2"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To </w:t>
            </w:r>
            <w:r w:rsidR="00AF5608">
              <w:rPr>
                <w:rFonts w:ascii="Arial" w:eastAsia="Times New Roman" w:hAnsi="Arial" w:cs="Arial"/>
                <w:lang w:eastAsia="en-GB"/>
              </w:rPr>
              <w:t>assist</w:t>
            </w:r>
            <w:r>
              <w:rPr>
                <w:rFonts w:ascii="Arial" w:eastAsia="Times New Roman" w:hAnsi="Arial" w:cs="Arial"/>
                <w:lang w:eastAsia="en-GB"/>
              </w:rPr>
              <w:t xml:space="preserve"> constrained optimisation of the planned operation of a single source. Provide a realistic assessment of doses to act as an input to the </w:t>
            </w:r>
            <w:r w:rsidR="00AF5608">
              <w:rPr>
                <w:rFonts w:ascii="Arial" w:eastAsia="Times New Roman" w:hAnsi="Arial" w:cs="Arial"/>
                <w:lang w:eastAsia="en-GB"/>
              </w:rPr>
              <w:t>optimisation process.</w:t>
            </w:r>
          </w:p>
        </w:tc>
      </w:tr>
      <w:tr w:rsidR="0097703C" w:rsidRPr="00AE1DFE" w14:paraId="417EFEAC" w14:textId="77777777" w:rsidTr="00B27B06">
        <w:trPr>
          <w:trHeight w:val="300"/>
        </w:trPr>
        <w:tc>
          <w:tcPr>
            <w:tcW w:w="88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980953" w14:textId="71E459E6" w:rsidR="000B5B43" w:rsidRDefault="000B5B43"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Between threshold of optimisation and source constraint</w:t>
            </w:r>
          </w:p>
        </w:tc>
        <w:tc>
          <w:tcPr>
            <w:tcW w:w="4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AA91FD" w14:textId="2E73BFD7" w:rsidR="000B5B43" w:rsidRPr="00AE1DFE" w:rsidRDefault="000B5B43"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0.02 to 0.3</w:t>
            </w:r>
            <w:r w:rsidR="00C134B0">
              <w:rPr>
                <w:rFonts w:ascii="Arial" w:eastAsia="Times New Roman" w:hAnsi="Arial" w:cs="Arial"/>
                <w:lang w:eastAsia="en-GB"/>
              </w:rPr>
              <w:t>mSv/y</w:t>
            </w: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AF72C7" w14:textId="663FA029" w:rsidR="000B5B43" w:rsidRPr="00AE1DFE" w:rsidRDefault="00AF5608"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Future discharges and direct radiation from the planned operation </w:t>
            </w:r>
            <w:r w:rsidR="004635F4">
              <w:rPr>
                <w:rFonts w:ascii="Arial" w:eastAsia="Times New Roman" w:hAnsi="Arial" w:cs="Arial"/>
                <w:lang w:eastAsia="en-GB"/>
              </w:rPr>
              <w:t xml:space="preserve">of a single source. Dose assessment should be refined </w:t>
            </w:r>
            <w:r w:rsidR="00B34386">
              <w:rPr>
                <w:rFonts w:ascii="Arial" w:eastAsia="Times New Roman" w:hAnsi="Arial" w:cs="Arial"/>
                <w:lang w:eastAsia="en-GB"/>
              </w:rPr>
              <w:t xml:space="preserve">until it </w:t>
            </w:r>
            <w:proofErr w:type="gramStart"/>
            <w:r w:rsidR="00B34386">
              <w:rPr>
                <w:rFonts w:ascii="Arial" w:eastAsia="Times New Roman" w:hAnsi="Arial" w:cs="Arial"/>
                <w:lang w:eastAsia="en-GB"/>
              </w:rPr>
              <w:t>is considered to be</w:t>
            </w:r>
            <w:proofErr w:type="gramEnd"/>
            <w:r w:rsidR="00B34386">
              <w:rPr>
                <w:rFonts w:ascii="Arial" w:eastAsia="Times New Roman" w:hAnsi="Arial" w:cs="Arial"/>
                <w:lang w:eastAsia="en-GB"/>
              </w:rPr>
              <w:t xml:space="preserve"> sufficiently </w:t>
            </w:r>
            <w:proofErr w:type="gramStart"/>
            <w:r w:rsidR="00B34386">
              <w:rPr>
                <w:rFonts w:ascii="Arial" w:eastAsia="Times New Roman" w:hAnsi="Arial" w:cs="Arial"/>
                <w:lang w:eastAsia="en-GB"/>
              </w:rPr>
              <w:t>realistic</w:t>
            </w:r>
            <w:proofErr w:type="gramEnd"/>
            <w:r w:rsidR="00B34386">
              <w:rPr>
                <w:rFonts w:ascii="Arial" w:eastAsia="Times New Roman" w:hAnsi="Arial" w:cs="Arial"/>
                <w:lang w:eastAsia="en-GB"/>
              </w:rPr>
              <w:t xml:space="preserve"> or the assessment dose falls below 0.02mSv/y.</w:t>
            </w:r>
          </w:p>
        </w:tc>
        <w:tc>
          <w:tcPr>
            <w:tcW w:w="15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AF3666" w14:textId="77777777" w:rsidR="00B27B06" w:rsidRDefault="003D0175"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To assist constrained optimisation of the pl</w:t>
            </w:r>
            <w:r w:rsidR="002B5510">
              <w:rPr>
                <w:rFonts w:ascii="Arial" w:eastAsia="Times New Roman" w:hAnsi="Arial" w:cs="Arial"/>
                <w:lang w:eastAsia="en-GB"/>
              </w:rPr>
              <w:t xml:space="preserve">anned operation of a single source. </w:t>
            </w:r>
          </w:p>
          <w:p w14:paraId="7CD2E3ED" w14:textId="52242513" w:rsidR="000B5B43" w:rsidRPr="00AE1DFE" w:rsidRDefault="002B5510"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Provide a realistic assessment of doses to act as an input to the optimisation process.</w:t>
            </w:r>
          </w:p>
        </w:tc>
      </w:tr>
      <w:tr w:rsidR="0097703C" w:rsidRPr="00AE1DFE" w14:paraId="46C85693" w14:textId="77777777" w:rsidTr="00B27B06">
        <w:trPr>
          <w:trHeight w:val="300"/>
        </w:trPr>
        <w:tc>
          <w:tcPr>
            <w:tcW w:w="88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937289E" w14:textId="23C0C99E" w:rsidR="00F37C79" w:rsidRPr="00AE1DFE" w:rsidRDefault="000B5B43"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Level of dose below which the dose assessment requires no further work.</w:t>
            </w:r>
          </w:p>
        </w:tc>
        <w:tc>
          <w:tcPr>
            <w:tcW w:w="4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1DEE45" w14:textId="299372B3" w:rsidR="00F37C79" w:rsidRPr="00AE1DFE" w:rsidRDefault="00C134B0"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0.02mSv/y</w:t>
            </w: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B4AA1BD" w14:textId="6EB52FEC" w:rsidR="00F37C79" w:rsidRPr="00AE1DFE" w:rsidRDefault="002B5510"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Future discharges and direct radiation from the planned operation of a single source. If doses are below this threshold, the dose assessment need not be refined further.</w:t>
            </w:r>
          </w:p>
        </w:tc>
        <w:tc>
          <w:tcPr>
            <w:tcW w:w="15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A1DBAC3" w14:textId="77777777" w:rsidR="00F37C79" w:rsidRDefault="00686777"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To assist constrained optimisation of the planned operation of a single source.</w:t>
            </w:r>
          </w:p>
          <w:p w14:paraId="692B8CE0" w14:textId="15A0BA9F" w:rsidR="00686777" w:rsidRPr="00AE1DFE" w:rsidRDefault="00686777" w:rsidP="0000575D">
            <w:pPr>
              <w:spacing w:before="120" w:after="120" w:line="240" w:lineRule="auto"/>
              <w:jc w:val="center"/>
              <w:rPr>
                <w:rFonts w:ascii="Arial" w:eastAsia="Times New Roman" w:hAnsi="Arial" w:cs="Arial"/>
                <w:lang w:eastAsia="en-GB"/>
              </w:rPr>
            </w:pPr>
            <w:r>
              <w:rPr>
                <w:rFonts w:ascii="Arial" w:eastAsia="Times New Roman" w:hAnsi="Arial" w:cs="Arial"/>
                <w:lang w:eastAsia="en-GB"/>
              </w:rPr>
              <w:t>Doses sufficiently low to be used as an input to the optimisation process withou</w:t>
            </w:r>
            <w:r w:rsidR="00B27B06">
              <w:rPr>
                <w:rFonts w:ascii="Arial" w:eastAsia="Times New Roman" w:hAnsi="Arial" w:cs="Arial"/>
                <w:lang w:eastAsia="en-GB"/>
              </w:rPr>
              <w:t>t further refinement.</w:t>
            </w:r>
          </w:p>
        </w:tc>
      </w:tr>
    </w:tbl>
    <w:p w14:paraId="58CBDE68" w14:textId="77777777" w:rsidR="0025709E" w:rsidRPr="0025709E" w:rsidRDefault="0025709E" w:rsidP="0025709E">
      <w:pPr>
        <w:sectPr w:rsidR="0025709E" w:rsidRPr="0025709E" w:rsidSect="0025709E">
          <w:pgSz w:w="16840" w:h="11900" w:orient="landscape"/>
          <w:pgMar w:top="839" w:right="839" w:bottom="839" w:left="839" w:header="794" w:footer="567" w:gutter="0"/>
          <w:pgNumType w:start="26"/>
          <w:cols w:space="708"/>
          <w:titlePg/>
          <w:docGrid w:linePitch="360"/>
        </w:sectPr>
      </w:pPr>
    </w:p>
    <w:p w14:paraId="77AA0A3E" w14:textId="1586A61C" w:rsidR="00F37C79" w:rsidRDefault="006E7F2E" w:rsidP="006E7F2E">
      <w:pPr>
        <w:pStyle w:val="Heading2"/>
      </w:pPr>
      <w:bookmarkStart w:id="18" w:name="_Toc227317372"/>
      <w:r>
        <w:lastRenderedPageBreak/>
        <w:t>3.6</w:t>
      </w:r>
      <w:r w:rsidR="002E482D">
        <w:tab/>
      </w:r>
      <w:r w:rsidR="00EC4A56">
        <w:t>Accumulation in the environment</w:t>
      </w:r>
      <w:bookmarkEnd w:id="18"/>
    </w:p>
    <w:p w14:paraId="5F5AF9C1" w14:textId="77777777" w:rsidR="009B3D13" w:rsidRDefault="00EC4A56" w:rsidP="009B3D13">
      <w:pPr>
        <w:ind w:left="720" w:hanging="720"/>
      </w:pPr>
      <w:r>
        <w:t>3.6.1</w:t>
      </w:r>
      <w:r>
        <w:tab/>
      </w:r>
      <w:r w:rsidR="009B3D13">
        <w:t xml:space="preserve">For assessments of individual dose, it is appropriate to take account of accumulation of radionuclides in the environment, usually by undertaking the assessment for the year in which the highest dose to the representative person is likely to occur. This ensures that future generations are afforded the same level of protection as the current generation. Assuming no change in discharge limits, the highest dose to the representative person is generally predicted to occur during the last few years of discharges from a plant/site. Once discharges cease or are reduced significantly, the highest environmental activity concentrations near the discharge point generally start to decline. An accumulation </w:t>
      </w:r>
      <w:proofErr w:type="gramStart"/>
      <w:r w:rsidR="009B3D13">
        <w:t>time-scale</w:t>
      </w:r>
      <w:proofErr w:type="gramEnd"/>
      <w:r w:rsidR="009B3D13">
        <w:t xml:space="preserve"> of the </w:t>
      </w:r>
      <w:proofErr w:type="gramStart"/>
      <w:r w:rsidR="009B3D13">
        <w:t>life-time</w:t>
      </w:r>
      <w:proofErr w:type="gramEnd"/>
      <w:r w:rsidR="009B3D13">
        <w:t xml:space="preserve"> of the plant/site should be used, although 50 years is usually selected for new plants and for plants/sites where it is difficult to specify a closure date. For plants, which are unlikely to be replaced or replaced with plants having significantly lower discharges, then it may be appropriate to limit this to the lifetime of the plants.</w:t>
      </w:r>
    </w:p>
    <w:p w14:paraId="402C5747" w14:textId="77777777" w:rsidR="009B3D13" w:rsidRDefault="009B3D13" w:rsidP="009B3D13">
      <w:pPr>
        <w:ind w:left="720" w:hanging="720"/>
      </w:pPr>
      <w:r>
        <w:t>3.6.2</w:t>
      </w:r>
      <w:r>
        <w:tab/>
        <w:t>Generally, the highest radionuclide concentrations in the environment, from a given site, tend to decline following a reduction in discharges. A key exception is where there is in-growth of a daughter radionuclide from its parent (e.g. americium-241). The effect of a reduction in discharges is clearly demonstrated in the Irish Sea around Sellafield. Discharges from Sellafield of many radionuclides, including radio caesium and isotopes of plutonium have declined by a factor of 100 or more between the mid-1970s and present day [Ref 53]. Following the discharge reductions, concentrations of these radionuclides in sea water, sediments and marine organisms in the Irish Sea have also generally declined [Ref 25, 26 &amp; 27, 28, 29]. The decline commenced at the time or shortly after the reduction in discharge occurred. Where there is relevant information available about the accumulation and other reasonably foreseeable effects in the environment, which are likely to have significant implications for the doses which might be received, this should be considered in radiological assessments.</w:t>
      </w:r>
    </w:p>
    <w:p w14:paraId="2F461B37" w14:textId="7EC96238" w:rsidR="00250320" w:rsidRDefault="009B3D13" w:rsidP="00805574">
      <w:pPr>
        <w:ind w:left="720" w:hanging="720"/>
      </w:pPr>
      <w:r>
        <w:t>3.6.3</w:t>
      </w:r>
      <w:r>
        <w:tab/>
        <w:t xml:space="preserve">Environmental models (e.g. for the marine environment) should be sufficiently well developed to be able to provide estimates of future average environmental concentrations for key radionuclides over </w:t>
      </w:r>
      <w:proofErr w:type="gramStart"/>
      <w:r>
        <w:t>time-scales</w:t>
      </w:r>
      <w:proofErr w:type="gramEnd"/>
      <w:r>
        <w:t xml:space="preserve"> of about 50 years with a reasonable degree of confidence.</w:t>
      </w:r>
    </w:p>
    <w:p w14:paraId="1403E876" w14:textId="6B74D887" w:rsidR="00250320" w:rsidRDefault="00805574" w:rsidP="00D46594">
      <w:r w:rsidRPr="0096745E">
        <w:rPr>
          <w:rFonts w:ascii="Arial" w:eastAsia="Times New Roman" w:hAnsi="Arial" w:cs="Arial"/>
          <w:noProof/>
        </w:rPr>
        <w:lastRenderedPageBreak/>
        <mc:AlternateContent>
          <mc:Choice Requires="wps">
            <w:drawing>
              <wp:anchor distT="45720" distB="45720" distL="114300" distR="114300" simplePos="0" relativeHeight="251658252" behindDoc="0" locked="0" layoutInCell="1" allowOverlap="1" wp14:anchorId="7CA3A382" wp14:editId="2CC4A4CB">
                <wp:simplePos x="0" y="0"/>
                <wp:positionH relativeFrom="margin">
                  <wp:posOffset>0</wp:posOffset>
                </wp:positionH>
                <wp:positionV relativeFrom="paragraph">
                  <wp:posOffset>304165</wp:posOffset>
                </wp:positionV>
                <wp:extent cx="6497320" cy="1404620"/>
                <wp:effectExtent l="0" t="0" r="0" b="0"/>
                <wp:wrapSquare wrapText="bothSides"/>
                <wp:docPr id="18482526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082F3E02" w14:textId="6D94E0BE" w:rsidR="00805574" w:rsidRPr="0096745E" w:rsidRDefault="00805574" w:rsidP="00805574">
                            <w:pPr>
                              <w:pStyle w:val="BodyText1"/>
                              <w:spacing w:before="240"/>
                              <w:rPr>
                                <w:color w:val="FFFFFF"/>
                              </w:rPr>
                            </w:pPr>
                            <w:r w:rsidRPr="00805574">
                              <w:rPr>
                                <w:color w:val="FFFFFF"/>
                              </w:rPr>
                              <w:t>Principle 8</w:t>
                            </w:r>
                            <w:r>
                              <w:rPr>
                                <w:color w:val="FFFFFF"/>
                              </w:rPr>
                              <w:t xml:space="preserve">: </w:t>
                            </w:r>
                            <w:r w:rsidRPr="00805574">
                              <w:rPr>
                                <w:color w:val="FFFFFF"/>
                              </w:rPr>
                              <w:t>The assessment of dose to the representative person should take account of accumulation of radionuclides in the environment from future discharges.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A3A382"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3.95pt;width:511.6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" fillcolor="#016574" stroked="f">
                <v:textbox style="mso-fit-shape-to-text:t">
                  <w:txbxContent>
                    <w:p w14:paraId="082F3E02" w14:textId="6D94E0BE" w:rsidR="00805574" w:rsidRPr="0096745E" w:rsidRDefault="00805574" w:rsidP="00805574">
                      <w:pPr>
                        <w:pStyle w:val="BodyText1"/>
                        <w:spacing w:before="240"/>
                        <w:rPr>
                          <w:color w:val="FFFFFF"/>
                        </w:rPr>
                      </w:pPr>
                      <w:r w:rsidRPr="00805574">
                        <w:rPr>
                          <w:color w:val="FFFFFF"/>
                        </w:rPr>
                        <w:t>Principle 8</w:t>
                      </w:r>
                      <w:r>
                        <w:rPr>
                          <w:color w:val="FFFFFF"/>
                        </w:rPr>
                        <w:t xml:space="preserve">: </w:t>
                      </w:r>
                      <w:r w:rsidRPr="00805574">
                        <w:rPr>
                          <w:color w:val="FFFFFF"/>
                        </w:rPr>
                        <w:t>The assessment of dose to the representative person should take account of accumulation of radionuclides in the environment from future discharges.</w:t>
                      </w:r>
                    </w:p>
                  </w:txbxContent>
                </v:textbox>
                <w10:wrap type="square" anchorx="margin"/>
              </v:shape>
            </w:pict>
          </mc:Fallback>
        </mc:AlternateContent>
      </w:r>
    </w:p>
    <w:p w14:paraId="2A9851AA" w14:textId="77777777" w:rsidR="00250320" w:rsidRDefault="00250320" w:rsidP="009B3D13">
      <w:pPr>
        <w:ind w:left="720" w:hanging="720"/>
      </w:pPr>
    </w:p>
    <w:p w14:paraId="0AE36F04" w14:textId="77777777" w:rsidR="009B3D13" w:rsidRDefault="009B3D13" w:rsidP="009B3D13">
      <w:pPr>
        <w:pStyle w:val="Heading2"/>
      </w:pPr>
      <w:bookmarkStart w:id="19" w:name="_Toc25569848"/>
      <w:bookmarkStart w:id="20" w:name="_Toc227317373"/>
      <w:r>
        <w:t>3.7</w:t>
      </w:r>
      <w:r>
        <w:tab/>
        <w:t>Representative persons and their habits</w:t>
      </w:r>
      <w:bookmarkEnd w:id="19"/>
      <w:bookmarkEnd w:id="20"/>
    </w:p>
    <w:p w14:paraId="5226ABC4" w14:textId="77777777" w:rsidR="009B3D13" w:rsidRDefault="009B3D13" w:rsidP="009B3D13">
      <w:pPr>
        <w:ind w:left="720" w:hanging="720"/>
      </w:pPr>
      <w:r>
        <w:t>3.7.1</w:t>
      </w:r>
      <w:r>
        <w:tab/>
        <w:t>There are two broad approaches to the identification of representative persons. The first method identifies the representative person for a particular controlled source by carrying out localised surveys. The alternative method uses a generalised approach that leads to the specification of a generic representative person based on national or regional survey data.</w:t>
      </w:r>
    </w:p>
    <w:p w14:paraId="30986AB3" w14:textId="77777777" w:rsidR="009B3D13" w:rsidRDefault="009B3D13" w:rsidP="009B3D13">
      <w:pPr>
        <w:ind w:left="720" w:hanging="720"/>
      </w:pPr>
      <w:r>
        <w:t>3.7.2</w:t>
      </w:r>
      <w:r>
        <w:tab/>
        <w:t xml:space="preserve">The important factor is that the characteristics of the representative person are applicable to the </w:t>
      </w:r>
      <w:proofErr w:type="gramStart"/>
      <w:r>
        <w:t>time period</w:t>
      </w:r>
      <w:proofErr w:type="gramEnd"/>
      <w:r>
        <w:t xml:space="preserve"> of the dose constraints and dose limits and the </w:t>
      </w:r>
      <w:proofErr w:type="gramStart"/>
      <w:r>
        <w:t>time period</w:t>
      </w:r>
      <w:proofErr w:type="gramEnd"/>
      <w:r>
        <w:t xml:space="preserve"> for which the dose assessment will apply. For prospective assessments of the dose to the representative person relating to the authorisation of radioactive waste discharges, annual doses are required for comparison with the dose constraints and dose limits. We have taken the view that the assessments should remain valid for a period of about 5 years.</w:t>
      </w:r>
    </w:p>
    <w:p w14:paraId="62422F77" w14:textId="37898F3F" w:rsidR="009B3D13" w:rsidRDefault="009B3D13" w:rsidP="009B3D13">
      <w:pPr>
        <w:ind w:left="720" w:hanging="720"/>
      </w:pPr>
      <w:r>
        <w:t>3.7.3</w:t>
      </w:r>
      <w:r>
        <w:tab/>
        <w:t xml:space="preserve">The reason for this period of validity is that we regularly review authorisations to ensure that they remain effective. Reviews are usually carried out on a timescale of every one to five years where the dose to the representative person is greater than 0.02mSv/y. These reviews will include examining whether any new information is available which may affect the results of the dose assessment. However, the reviews will not necessarily lead to a revision of the dose assessment or permit/authorisation. We also commission habit surveys around nuclear sites. These surveys provide information to allow realistic retrospective assessments of total dose around the sites. The habits information can also be used as inputs to prospective assessments of dose. The frequency of the surveys is about every 4-6 years for sites where the total retrospective dose to the representative person exceeds 0.02mSv/y. Where total dose is consistently lower than 0.02mSv/y the surveys may be less frequent. The results of these habit surveys are considered as part of the review of permits and authorisations. We also keep abreast of significant </w:t>
      </w:r>
      <w:r>
        <w:lastRenderedPageBreak/>
        <w:t>developments around nuclear sites through engagement with local stakeholders, in particular local authorities. Where such developments could have a significant impact on the effectiveness of an authorisation, this will initiate a review of that authorisation.</w:t>
      </w:r>
    </w:p>
    <w:p w14:paraId="2023CB4A" w14:textId="77777777" w:rsidR="009B3D13" w:rsidRDefault="009B3D13" w:rsidP="009B3D13">
      <w:pPr>
        <w:ind w:left="720" w:hanging="720"/>
      </w:pPr>
      <w:r>
        <w:t>3.7.4</w:t>
      </w:r>
      <w:r>
        <w:tab/>
        <w:t xml:space="preserve">To afford future generations the same level of protection as the current generation, it is important that the habits observed for the current generation are assumed to </w:t>
      </w:r>
      <w:proofErr w:type="gramStart"/>
      <w:r>
        <w:t>continue into the future</w:t>
      </w:r>
      <w:proofErr w:type="gramEnd"/>
      <w:r>
        <w:t>. There is also a need to consider potential changes of habits in the future. Cm 2919 [Ref 10] states that “the regulators should not exclude from consideration any pattern of behaviour which a reasonable person might adopt, whether or not anyone actually engages in such behaviour at a given time”.</w:t>
      </w:r>
    </w:p>
    <w:p w14:paraId="183A8E4E" w14:textId="77777777" w:rsidR="009B3D13" w:rsidRDefault="009B3D13" w:rsidP="009B3D13">
      <w:pPr>
        <w:ind w:left="720" w:hanging="720"/>
      </w:pPr>
      <w:r>
        <w:t>3.7.5</w:t>
      </w:r>
      <w:r>
        <w:tab/>
        <w:t>We recognise that prospective assessments should consider reasonably foreseeable patterns of behaviour for the representative person (e.g. their habits and location). The difficulty is in balancing this requirement with that of the assessment of doses to be realistic [Ref 9, 48]. ICRP Publication 103 [Ref 15] states that “the representative person may be hypothetical, but it is important that the habits...used to characterise the representative person are typical habits of a small number of individuals representative of those most highly exposed and not the extreme habits of a single member of the population. Consideration may be given to some extreme or unusual habits, but they should not dictate the characteristics of the representative person considered”.</w:t>
      </w:r>
    </w:p>
    <w:p w14:paraId="19721790" w14:textId="77777777" w:rsidR="009B3D13" w:rsidRDefault="009B3D13" w:rsidP="003514B8">
      <w:pPr>
        <w:ind w:left="720" w:hanging="720"/>
      </w:pPr>
      <w:r>
        <w:t>3.7.6</w:t>
      </w:r>
      <w:r>
        <w:tab/>
        <w:t xml:space="preserve">In practice, an acceptable way to proceed is to make plausible assumptions based on habits and behaviour observed currently or in the recent past for the site in question. It may be appropriate to assume that activities which happened at a location in the recent past (say 5 years), </w:t>
      </w:r>
      <w:proofErr w:type="gramStart"/>
      <w:r>
        <w:t>continue into the future</w:t>
      </w:r>
      <w:proofErr w:type="gramEnd"/>
      <w:r>
        <w:t xml:space="preserve">, or re-commence, if they do not currently occur. It is reasonable to assume that habit data will not vary significantly over </w:t>
      </w:r>
      <w:proofErr w:type="gramStart"/>
      <w:r>
        <w:t>a time period</w:t>
      </w:r>
      <w:proofErr w:type="gramEnd"/>
      <w:r>
        <w:t xml:space="preserve"> of about 5 years into the future. However, if there are changes around a site which are reasonably likely to occur </w:t>
      </w:r>
      <w:proofErr w:type="gramStart"/>
      <w:r>
        <w:t>in the near future</w:t>
      </w:r>
      <w:proofErr w:type="gramEnd"/>
      <w:r>
        <w:t xml:space="preserve"> (i.e. more than 50% probability of occurring in the next 5 years) and could lead to significant changes to habits, these should be </w:t>
      </w:r>
      <w:proofErr w:type="gramStart"/>
      <w:r>
        <w:t>taken into account</w:t>
      </w:r>
      <w:proofErr w:type="gramEnd"/>
      <w:r>
        <w:t>. Examples might include the construction of new houses, marinas or allotments. Where habit data suggests that no members of the public are exposed to a major exposure pathway (e.g. fish consumption, external radiation from sediment, consumption of fruit and vegetables etc.), then it may be appropriate to use generic habit data for these exposure pathways.</w:t>
      </w:r>
    </w:p>
    <w:p w14:paraId="48FE9EE4" w14:textId="77777777" w:rsidR="009B3D13" w:rsidRDefault="009B3D13" w:rsidP="003514B8">
      <w:pPr>
        <w:ind w:left="720" w:hanging="720"/>
      </w:pPr>
      <w:r>
        <w:lastRenderedPageBreak/>
        <w:t>3.7.7</w:t>
      </w:r>
      <w:r>
        <w:tab/>
        <w:t xml:space="preserve">In some situations, a new pattern of behaviour can arise which delivers a significant exposure over a short </w:t>
      </w:r>
      <w:proofErr w:type="gramStart"/>
      <w:r>
        <w:t>time period</w:t>
      </w:r>
      <w:proofErr w:type="gramEnd"/>
      <w:r>
        <w:t xml:space="preserve"> (e.g. consumption of unusual by-catches of seafood). These patterns of behaviour should be considered in assessments where the habits were reported within a period of about 5 years.</w:t>
      </w:r>
    </w:p>
    <w:p w14:paraId="6B2277C7" w14:textId="77777777" w:rsidR="009B3D13" w:rsidRDefault="009B3D13" w:rsidP="003514B8">
      <w:pPr>
        <w:ind w:left="720" w:hanging="720"/>
      </w:pPr>
      <w:r>
        <w:t>3.7.8</w:t>
      </w:r>
      <w:r>
        <w:tab/>
        <w:t>The future habits assumed for a representative person should not be influenced by the potential exposures to be received (i.e. it should be assumed that representative persons are unaware of the potential exposures). However, it is not necessary to consider exposures resulting from malicious actions that would lead to a breach of UK law (including statutes, common law and bylaws). For example, occupation of land that would involve trespass does not need to be considered. Also, deliberate actions taken by members of the public with the prime intention to cause themselves to receive radiation exposures should not be included in these dose assessments.</w:t>
      </w:r>
    </w:p>
    <w:p w14:paraId="2459FD2A" w14:textId="77777777" w:rsidR="009B3D13" w:rsidRDefault="009B3D13" w:rsidP="003514B8">
      <w:pPr>
        <w:ind w:left="720" w:hanging="720"/>
      </w:pPr>
      <w:r>
        <w:t>3.7.9</w:t>
      </w:r>
      <w:r>
        <w:tab/>
        <w:t>When deciding upon the habits of the representative person, it is appropriate to consider that the representative person is representing a small group of the more highly exposed individuals in the population and that the dose to the representative person should be the average dose to this group [Refs 15, 43]. ICRP Publication 43 [Ref 54] states that this “group should be small enough to be relatively homogeneous with respect to age, diet and those aspects of behaviour that affect the doses received”.</w:t>
      </w:r>
    </w:p>
    <w:p w14:paraId="2B51EF14" w14:textId="77777777" w:rsidR="009B3D13" w:rsidRDefault="009B3D13" w:rsidP="003514B8">
      <w:pPr>
        <w:ind w:left="720" w:hanging="720"/>
      </w:pPr>
      <w:r>
        <w:t>3.7.10</w:t>
      </w:r>
      <w:r>
        <w:tab/>
        <w:t>ICRP Publication 43 also advises that the degree of homogeneity in this group depends on the magnitude of the mean dose in the group as a fraction of the relevant source upper bound (or dose constraint). In cases where the mean dose is less than about one tenth of the dose constraint, the group should be regarded as relatively homogeneous, if the distribution of individual doses lies substantially within a total range of a factor of ten (i.e. a factor of about three on either side of the mean). Where the mean dose of the group is more than one tenth of the dose constraint, the total range of doses to individuals in the group should be less than a factor of ten, preferably no more than a factor of three. We consider that these homogeneity criteria may also be applied to the habits of the group of more highly exposed individuals.</w:t>
      </w:r>
    </w:p>
    <w:p w14:paraId="4158C3A7" w14:textId="7302F893" w:rsidR="00C14CB1" w:rsidRDefault="009B3D13" w:rsidP="00250320">
      <w:pPr>
        <w:ind w:left="720" w:hanging="720"/>
      </w:pPr>
      <w:r>
        <w:t>3.7.11</w:t>
      </w:r>
      <w:r>
        <w:tab/>
        <w:t xml:space="preserve">In some cases, the ‘normal behaviour’ of only one or two individuals may result in them being the more highly exposed individuals (e.g. person living in single dwelling close to the site). The HPA has advised that in these situations, the group of more highly exposed </w:t>
      </w:r>
      <w:r>
        <w:lastRenderedPageBreak/>
        <w:t>individuals might comprise only these one or two individuals [Ref 49]. What constitutes normal or realistic behaviour for these individuals is considered later.</w:t>
      </w:r>
    </w:p>
    <w:p w14:paraId="6BA81DF0" w14:textId="0FE997E8" w:rsidR="00C14CB1" w:rsidRDefault="00250320" w:rsidP="003514B8">
      <w:pPr>
        <w:ind w:left="720" w:hanging="720"/>
      </w:pPr>
      <w:r w:rsidRPr="0096745E">
        <w:rPr>
          <w:rFonts w:ascii="Arial" w:eastAsia="Times New Roman" w:hAnsi="Arial" w:cs="Arial"/>
          <w:noProof/>
        </w:rPr>
        <mc:AlternateContent>
          <mc:Choice Requires="wps">
            <w:drawing>
              <wp:anchor distT="45720" distB="45720" distL="114300" distR="114300" simplePos="0" relativeHeight="251658251" behindDoc="0" locked="0" layoutInCell="1" allowOverlap="1" wp14:anchorId="0F7563C5" wp14:editId="258130CB">
                <wp:simplePos x="0" y="0"/>
                <wp:positionH relativeFrom="margin">
                  <wp:posOffset>0</wp:posOffset>
                </wp:positionH>
                <wp:positionV relativeFrom="paragraph">
                  <wp:posOffset>319405</wp:posOffset>
                </wp:positionV>
                <wp:extent cx="6497320" cy="1404620"/>
                <wp:effectExtent l="0" t="0" r="0" b="0"/>
                <wp:wrapSquare wrapText="bothSides"/>
                <wp:docPr id="121567255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4E5FC0BD" w14:textId="5280C4E1" w:rsidR="00250320" w:rsidRPr="0096745E" w:rsidRDefault="00250320" w:rsidP="00250320">
                            <w:pPr>
                              <w:pStyle w:val="BodyText1"/>
                              <w:spacing w:before="240"/>
                              <w:rPr>
                                <w:color w:val="FFFFFF"/>
                              </w:rPr>
                            </w:pPr>
                            <w:r w:rsidRPr="00250320">
                              <w:rPr>
                                <w:color w:val="FFFFFF"/>
                              </w:rPr>
                              <w:t>Principle 9</w:t>
                            </w:r>
                            <w:r>
                              <w:rPr>
                                <w:color w:val="FFFFFF"/>
                              </w:rPr>
                              <w:t xml:space="preserve">: </w:t>
                            </w:r>
                            <w:r w:rsidRPr="00250320">
                              <w:rPr>
                                <w:color w:val="FFFFFF"/>
                              </w:rPr>
                              <w:t xml:space="preserve">The realistic habits adopted for the representative person should be those which have </w:t>
                            </w:r>
                            <w:proofErr w:type="gramStart"/>
                            <w:r w:rsidRPr="00250320">
                              <w:rPr>
                                <w:color w:val="FFFFFF"/>
                              </w:rPr>
                              <w:t>actually been</w:t>
                            </w:r>
                            <w:proofErr w:type="gramEnd"/>
                            <w:r w:rsidRPr="00250320">
                              <w:rPr>
                                <w:color w:val="FFFFFF"/>
                              </w:rPr>
                              <w:t xml:space="preserve"> observed at the site, within a period of about 5 years. Changes to habits which are reasonably likely to occur should be </w:t>
                            </w:r>
                            <w:proofErr w:type="gramStart"/>
                            <w:r w:rsidRPr="00250320">
                              <w:rPr>
                                <w:color w:val="FFFFFF"/>
                              </w:rPr>
                              <w:t>taken into account</w:t>
                            </w:r>
                            <w:proofErr w:type="gramEnd"/>
                            <w:r w:rsidRPr="00250320">
                              <w:rPr>
                                <w:color w:va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7563C5"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margin-top:25.15pt;width:511.6pt;height:110.6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" fillcolor="#016574" stroked="f">
                <v:textbox style="mso-fit-shape-to-text:t">
                  <w:txbxContent>
                    <w:p w14:paraId="4E5FC0BD" w14:textId="5280C4E1" w:rsidR="00250320" w:rsidRPr="0096745E" w:rsidRDefault="00250320" w:rsidP="00250320">
                      <w:pPr>
                        <w:pStyle w:val="BodyText1"/>
                        <w:spacing w:before="240"/>
                        <w:rPr>
                          <w:color w:val="FFFFFF"/>
                        </w:rPr>
                      </w:pPr>
                      <w:r w:rsidRPr="00250320">
                        <w:rPr>
                          <w:color w:val="FFFFFF"/>
                        </w:rPr>
                        <w:t>Principle 9</w:t>
                      </w:r>
                      <w:r>
                        <w:rPr>
                          <w:color w:val="FFFFFF"/>
                        </w:rPr>
                        <w:t xml:space="preserve">: </w:t>
                      </w:r>
                      <w:r w:rsidRPr="00250320">
                        <w:rPr>
                          <w:color w:val="FFFFFF"/>
                        </w:rPr>
                        <w:t xml:space="preserve">The realistic habits adopted for the representative person should be those which have </w:t>
                      </w:r>
                      <w:proofErr w:type="gramStart"/>
                      <w:r w:rsidRPr="00250320">
                        <w:rPr>
                          <w:color w:val="FFFFFF"/>
                        </w:rPr>
                        <w:t>actually been</w:t>
                      </w:r>
                      <w:proofErr w:type="gramEnd"/>
                      <w:r w:rsidRPr="00250320">
                        <w:rPr>
                          <w:color w:val="FFFFFF"/>
                        </w:rPr>
                        <w:t xml:space="preserve"> observed at the site, within a period of about 5 years. Changes to habits which are reasonably likely to occur should be </w:t>
                      </w:r>
                      <w:proofErr w:type="gramStart"/>
                      <w:r w:rsidRPr="00250320">
                        <w:rPr>
                          <w:color w:val="FFFFFF"/>
                        </w:rPr>
                        <w:t>taken into account</w:t>
                      </w:r>
                      <w:proofErr w:type="gramEnd"/>
                      <w:r w:rsidRPr="00250320">
                        <w:rPr>
                          <w:color w:val="FFFFFF"/>
                        </w:rPr>
                        <w:t>.</w:t>
                      </w:r>
                    </w:p>
                  </w:txbxContent>
                </v:textbox>
                <w10:wrap type="square" anchorx="margin"/>
              </v:shape>
            </w:pict>
          </mc:Fallback>
        </mc:AlternateContent>
      </w:r>
    </w:p>
    <w:p w14:paraId="065680E8" w14:textId="77777777" w:rsidR="00C14CB1" w:rsidRDefault="00C14CB1" w:rsidP="003514B8">
      <w:pPr>
        <w:ind w:left="720" w:hanging="720"/>
      </w:pPr>
    </w:p>
    <w:p w14:paraId="3EFC5625" w14:textId="77777777" w:rsidR="009B3D13" w:rsidRDefault="009B3D13" w:rsidP="00250320">
      <w:pPr>
        <w:ind w:left="720" w:hanging="720"/>
      </w:pPr>
      <w:r>
        <w:t>3.7.12</w:t>
      </w:r>
      <w:r>
        <w:tab/>
        <w:t xml:space="preserve">Many representative person habits will be supported by </w:t>
      </w:r>
      <w:proofErr w:type="gramStart"/>
      <w:r>
        <w:t>particular land</w:t>
      </w:r>
      <w:proofErr w:type="gramEnd"/>
      <w:r>
        <w:t xml:space="preserve"> use or infrastructure requirements (e.g. allotments or small holdings for supply of food produce; appropriate anchorage, road access and, usually, mains services power supplies for houseboat owners). The capacity of the infrastructure, land or region of sea to support the representative person for a period of about 5 years is particularly important for the provision of food. When deciding upon where local food might be produced in the future, it is important that there is sufficient land or marine area to support the production of all the food types assumed to be consumed by the representative person.</w:t>
      </w:r>
    </w:p>
    <w:p w14:paraId="7181A0D8" w14:textId="77777777" w:rsidR="009B3D13" w:rsidRDefault="009B3D13" w:rsidP="00BE3E77">
      <w:pPr>
        <w:ind w:left="720" w:hanging="720"/>
      </w:pPr>
      <w:r>
        <w:t>3.7.13</w:t>
      </w:r>
      <w:r>
        <w:tab/>
        <w:t xml:space="preserve">Where a change of land use or provision of infrastructure is considered for the representative person then this should be reasonably likely over a period of about 5 years and be sustainable year on year. Where planning applications have been made involving a change in land use, then it would be expected that this would be </w:t>
      </w:r>
      <w:proofErr w:type="gramStart"/>
      <w:r>
        <w:t>taken into account</w:t>
      </w:r>
      <w:proofErr w:type="gramEnd"/>
      <w:r>
        <w:t xml:space="preserve"> in an assessment. However, it would not be appropriate to include unconstrained speculation on planning applications which have not been made.</w:t>
      </w:r>
    </w:p>
    <w:p w14:paraId="15046712" w14:textId="77777777" w:rsidR="009B3D13" w:rsidRDefault="009B3D13" w:rsidP="00BE3E77">
      <w:pPr>
        <w:ind w:left="720" w:hanging="720"/>
      </w:pPr>
      <w:r>
        <w:t>3.7.14</w:t>
      </w:r>
      <w:r>
        <w:tab/>
        <w:t>Changes in agricultural practice (e.g. introduction of milk production) which allow consumption of food not currently produced should be considered within future representative person habits, unless it can be demonstrated that factors such as the soil type or climate preclude a particular agricultural practice.</w:t>
      </w:r>
    </w:p>
    <w:p w14:paraId="52AFFECD" w14:textId="77777777" w:rsidR="00570F4F" w:rsidRDefault="00570F4F" w:rsidP="00BE3E77">
      <w:pPr>
        <w:ind w:left="720" w:hanging="720"/>
      </w:pPr>
    </w:p>
    <w:p w14:paraId="51EADD17" w14:textId="41D4A520" w:rsidR="00570F4F" w:rsidRDefault="00C14CB1" w:rsidP="00BE3E77">
      <w:pPr>
        <w:ind w:left="720" w:hanging="720"/>
      </w:pPr>
      <w:r w:rsidRPr="0096745E">
        <w:rPr>
          <w:rFonts w:ascii="Arial" w:eastAsia="Times New Roman" w:hAnsi="Arial" w:cs="Arial"/>
          <w:noProof/>
        </w:rPr>
        <w:lastRenderedPageBreak/>
        <mc:AlternateContent>
          <mc:Choice Requires="wps">
            <w:drawing>
              <wp:anchor distT="45720" distB="45720" distL="114300" distR="114300" simplePos="0" relativeHeight="251658250" behindDoc="0" locked="0" layoutInCell="1" allowOverlap="1" wp14:anchorId="15CFA47A" wp14:editId="59E5ACB8">
                <wp:simplePos x="0" y="0"/>
                <wp:positionH relativeFrom="margin">
                  <wp:posOffset>0</wp:posOffset>
                </wp:positionH>
                <wp:positionV relativeFrom="paragraph">
                  <wp:posOffset>304165</wp:posOffset>
                </wp:positionV>
                <wp:extent cx="6497320" cy="1404620"/>
                <wp:effectExtent l="0" t="0" r="0" b="0"/>
                <wp:wrapSquare wrapText="bothSides"/>
                <wp:docPr id="111562797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6DE57234" w14:textId="4E3E6EDE" w:rsidR="00C14CB1" w:rsidRPr="0096745E" w:rsidRDefault="00C14CB1" w:rsidP="00C14CB1">
                            <w:pPr>
                              <w:pStyle w:val="BodyText1"/>
                              <w:spacing w:before="240"/>
                              <w:rPr>
                                <w:color w:val="FFFFFF"/>
                              </w:rPr>
                            </w:pPr>
                            <w:r w:rsidRPr="00C14CB1">
                              <w:rPr>
                                <w:color w:val="FFFFFF"/>
                              </w:rPr>
                              <w:t>Principle 10</w:t>
                            </w:r>
                            <w:r>
                              <w:rPr>
                                <w:color w:val="FFFFFF"/>
                              </w:rPr>
                              <w:t xml:space="preserve">: </w:t>
                            </w:r>
                            <w:r w:rsidRPr="00C14CB1">
                              <w:rPr>
                                <w:color w:val="FFFFFF"/>
                              </w:rPr>
                              <w:t>Land use and infrastructure should have sufficient capacity to support the habits of the representative person. Any changes to land use and infrastructure should be reasonably likely to occur over a period of about 5 years and be sustainable year on year for them to be considered.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FA47A"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margin-top:23.95pt;width:511.6pt;height:110.6pt;z-index:25165825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" fillcolor="#016574" stroked="f">
                <v:textbox style="mso-fit-shape-to-text:t">
                  <w:txbxContent>
                    <w:p w14:paraId="6DE57234" w14:textId="4E3E6EDE" w:rsidR="00C14CB1" w:rsidRPr="0096745E" w:rsidRDefault="00C14CB1" w:rsidP="00C14CB1">
                      <w:pPr>
                        <w:pStyle w:val="BodyText1"/>
                        <w:spacing w:before="240"/>
                        <w:rPr>
                          <w:color w:val="FFFFFF"/>
                        </w:rPr>
                      </w:pPr>
                      <w:r w:rsidRPr="00C14CB1">
                        <w:rPr>
                          <w:color w:val="FFFFFF"/>
                        </w:rPr>
                        <w:t>Principle 10</w:t>
                      </w:r>
                      <w:r>
                        <w:rPr>
                          <w:color w:val="FFFFFF"/>
                        </w:rPr>
                        <w:t xml:space="preserve">: </w:t>
                      </w:r>
                      <w:r w:rsidRPr="00C14CB1">
                        <w:rPr>
                          <w:color w:val="FFFFFF"/>
                        </w:rPr>
                        <w:t>Land use and infrastructure should have sufficient capacity to support the habits of the representative person. Any changes to land use and infrastructure should be reasonably likely to occur over a period of about 5 years and be sustainable year on year for them to be considered.</w:t>
                      </w:r>
                    </w:p>
                  </w:txbxContent>
                </v:textbox>
                <w10:wrap type="square" anchorx="margin"/>
              </v:shape>
            </w:pict>
          </mc:Fallback>
        </mc:AlternateContent>
      </w:r>
    </w:p>
    <w:p w14:paraId="7722D673" w14:textId="77777777" w:rsidR="00570F4F" w:rsidRDefault="00570F4F" w:rsidP="00BE3E77">
      <w:pPr>
        <w:ind w:left="720" w:hanging="720"/>
      </w:pPr>
    </w:p>
    <w:p w14:paraId="5590B25C" w14:textId="77777777" w:rsidR="009B3D13" w:rsidRDefault="009B3D13" w:rsidP="00C14CB1">
      <w:pPr>
        <w:ind w:left="720" w:hanging="720"/>
      </w:pPr>
      <w:r>
        <w:t>3.7.15</w:t>
      </w:r>
      <w:r>
        <w:tab/>
        <w:t>Some specific examples of the identification of future representative person habits are given below:</w:t>
      </w:r>
    </w:p>
    <w:p w14:paraId="2B176517" w14:textId="77777777" w:rsidR="009B3D13" w:rsidRDefault="009B3D13" w:rsidP="009B3D13">
      <w:pPr>
        <w:pStyle w:val="ListParagraph"/>
        <w:numPr>
          <w:ilvl w:val="0"/>
          <w:numId w:val="26"/>
        </w:numPr>
      </w:pPr>
      <w:r>
        <w:t xml:space="preserve">A holiday cottage is identified as being at a location which would lead to the highest doses. Under its present use, there will be no single group of individuals who will be exposed continuously throughout the year. However, it is reasonably likely that the cottage could be sold over the next 5 </w:t>
      </w:r>
      <w:proofErr w:type="gramStart"/>
      <w:r>
        <w:t>years</w:t>
      </w:r>
      <w:proofErr w:type="gramEnd"/>
      <w:r>
        <w:t xml:space="preserve"> and a single group of individuals take up residence.</w:t>
      </w:r>
    </w:p>
    <w:p w14:paraId="3B8DEBE3" w14:textId="77777777" w:rsidR="009B3D13" w:rsidRDefault="009B3D13" w:rsidP="009B3D13">
      <w:pPr>
        <w:pStyle w:val="ListParagraph"/>
        <w:numPr>
          <w:ilvl w:val="0"/>
          <w:numId w:val="26"/>
        </w:numPr>
      </w:pPr>
      <w:r>
        <w:t>A derelict dwelling is at a location which would lead to the highest doses. It should be considered reasonably likely that the building could be renovated to achieve legitimate occupation during the next 5 years, unless there are planning controls which prevent this from happening.</w:t>
      </w:r>
    </w:p>
    <w:p w14:paraId="4E9F36B6" w14:textId="77777777" w:rsidR="009B3D13" w:rsidRDefault="009B3D13" w:rsidP="009B3D13">
      <w:pPr>
        <w:pStyle w:val="ListParagraph"/>
        <w:numPr>
          <w:ilvl w:val="0"/>
          <w:numId w:val="26"/>
        </w:numPr>
      </w:pPr>
      <w:r>
        <w:t xml:space="preserve">There is a derelict plot of land near to an urban hospital with a large nuclear medicine department. It would not be reasonably likely for the plot of land to be converted to a small holding from which a family source all their food (milk, meat, vegetables and fruit) on a sustainable basis over the next 5 years. However, if there are </w:t>
      </w:r>
      <w:proofErr w:type="gramStart"/>
      <w:r>
        <w:t>local residents</w:t>
      </w:r>
      <w:proofErr w:type="gramEnd"/>
      <w:r>
        <w:t xml:space="preserve"> nearby with gardens, it would be appropriate to assume that these residents grow their own fruit and vegetables within their gardens.</w:t>
      </w:r>
    </w:p>
    <w:p w14:paraId="4D02B663" w14:textId="77777777" w:rsidR="009B3D13" w:rsidRDefault="009B3D13" w:rsidP="009B3D13">
      <w:pPr>
        <w:pStyle w:val="ListParagraph"/>
        <w:numPr>
          <w:ilvl w:val="0"/>
          <w:numId w:val="26"/>
        </w:numPr>
      </w:pPr>
      <w:r>
        <w:t xml:space="preserve">An estuary with contaminated sediments currently has no occupation as reported in a habit survey. Generic occupancy habits on these sediments should be used which will provide a cautious estimate of public dose based on activities such as bait digging or dog-walking. It is reasonably likely that such habits could arise during a </w:t>
      </w:r>
      <w:proofErr w:type="gramStart"/>
      <w:r>
        <w:t>5 year</w:t>
      </w:r>
      <w:proofErr w:type="gramEnd"/>
      <w:r>
        <w:t xml:space="preserve"> </w:t>
      </w:r>
      <w:proofErr w:type="gramStart"/>
      <w:r>
        <w:t>time period</w:t>
      </w:r>
      <w:proofErr w:type="gramEnd"/>
      <w:r>
        <w:t xml:space="preserve"> even if they are not observed at present. For house-boat dwelling, to be considered as likely over this </w:t>
      </w:r>
      <w:proofErr w:type="gramStart"/>
      <w:r>
        <w:t>time period</w:t>
      </w:r>
      <w:proofErr w:type="gramEnd"/>
      <w:r>
        <w:t xml:space="preserve">, there would need to be a recent history of such occupancy habits, or an appropriate provision of facilities and adequate physical </w:t>
      </w:r>
      <w:r>
        <w:lastRenderedPageBreak/>
        <w:t>characteristics (e.g. protection from storm conditions in respect of house-boat owners) to enable the habits to be adopted.</w:t>
      </w:r>
    </w:p>
    <w:p w14:paraId="7C1BDEBC" w14:textId="77777777" w:rsidR="009B3D13" w:rsidRDefault="009B3D13" w:rsidP="009B3D13">
      <w:pPr>
        <w:pStyle w:val="ListParagraph"/>
        <w:numPr>
          <w:ilvl w:val="0"/>
          <w:numId w:val="26"/>
        </w:numPr>
      </w:pPr>
      <w:r>
        <w:t xml:space="preserve">A piece of privately owned land close to a source of radioactivity is normally fenced off from public access and trespass notices displayed. </w:t>
      </w:r>
      <w:proofErr w:type="gramStart"/>
      <w:r>
        <w:t>However</w:t>
      </w:r>
      <w:proofErr w:type="gramEnd"/>
      <w:r>
        <w:t xml:space="preserve"> the fencing and has been degraded and a pathway has been formed across the land which is used by some members of the public for recreational use. The habits of dog walking on the land have been identified but are contrary to the law and thus any exposure should not be included.</w:t>
      </w:r>
    </w:p>
    <w:p w14:paraId="27473B7D" w14:textId="09BE9758" w:rsidR="00BE3E77" w:rsidRDefault="00BE3E77">
      <w:pPr>
        <w:spacing w:line="240" w:lineRule="auto"/>
      </w:pPr>
      <w:r>
        <w:br w:type="page"/>
      </w:r>
    </w:p>
    <w:p w14:paraId="6FC0AF15" w14:textId="7AC6A1C7" w:rsidR="00EC4A56" w:rsidRDefault="00BE3E77" w:rsidP="00BE3E77">
      <w:pPr>
        <w:pStyle w:val="Heading1"/>
      </w:pPr>
      <w:bookmarkStart w:id="21" w:name="_Toc227317374"/>
      <w:r>
        <w:lastRenderedPageBreak/>
        <w:t>4</w:t>
      </w:r>
      <w:r>
        <w:tab/>
        <w:t>Overview of the dose assessment process</w:t>
      </w:r>
      <w:bookmarkEnd w:id="21"/>
    </w:p>
    <w:p w14:paraId="55932CE3" w14:textId="33492F91" w:rsidR="00EF7E47" w:rsidRDefault="00847C7A" w:rsidP="00EF7E47">
      <w:pPr>
        <w:ind w:left="720" w:hanging="720"/>
      </w:pPr>
      <w:r>
        <w:t>4.1</w:t>
      </w:r>
      <w:r>
        <w:tab/>
      </w:r>
      <w:r w:rsidR="00EF7E47">
        <w:t>A staged approach to the assessment of the dose to the representative person is advised (see Figure 1) which implements the principles in the previous section. The first stage (Initial Source Assessment) would be to make a simple and cautious assessment of the dose to the representative person. If the resulting dose to the representative person is less than the 0.02mSv/y (see Principle 7), then no further assessment would be warranted for the purpose of authorising the discharge of radioactive waste to the environment.</w:t>
      </w:r>
    </w:p>
    <w:p w14:paraId="0A2DDE6E" w14:textId="19B292B0" w:rsidR="00EF7E47" w:rsidRDefault="00EF7E47" w:rsidP="00EF7E47">
      <w:pPr>
        <w:ind w:left="720" w:hanging="720"/>
      </w:pPr>
      <w:r>
        <w:t>4.2</w:t>
      </w:r>
      <w:r>
        <w:tab/>
        <w:t>Where the cautious dose to the representative person exceeds 0.02mSv/y, then a detailed assessment should be carried out with the following stages:</w:t>
      </w:r>
    </w:p>
    <w:p w14:paraId="1CBACCE6" w14:textId="77777777" w:rsidR="00EF7E47" w:rsidRDefault="00EF7E47" w:rsidP="00EF7E47">
      <w:pPr>
        <w:pStyle w:val="ListParagraph"/>
        <w:numPr>
          <w:ilvl w:val="0"/>
          <w:numId w:val="27"/>
        </w:numPr>
      </w:pPr>
      <w:r>
        <w:t>Detailed Source and Site Assessment - To determine the dose to the representative person for comparison with the source and site constraints and the dose limit.</w:t>
      </w:r>
    </w:p>
    <w:p w14:paraId="45534A1A" w14:textId="77777777" w:rsidR="00EF7E47" w:rsidRDefault="00EF7E47" w:rsidP="00EF7E47">
      <w:pPr>
        <w:pStyle w:val="ListParagraph"/>
        <w:numPr>
          <w:ilvl w:val="0"/>
          <w:numId w:val="27"/>
        </w:numPr>
      </w:pPr>
      <w:r>
        <w:t xml:space="preserve">Short Term Release Assessment - To determine acceptability of </w:t>
      </w:r>
      <w:proofErr w:type="gramStart"/>
      <w:r>
        <w:t>short term</w:t>
      </w:r>
      <w:proofErr w:type="gramEnd"/>
      <w:r>
        <w:t xml:space="preserve"> release limits, where appropriate.</w:t>
      </w:r>
    </w:p>
    <w:p w14:paraId="274EAA47" w14:textId="77777777" w:rsidR="00EF7E47" w:rsidRDefault="00EF7E47" w:rsidP="00EF7E47">
      <w:pPr>
        <w:pStyle w:val="ListParagraph"/>
        <w:numPr>
          <w:ilvl w:val="0"/>
          <w:numId w:val="27"/>
        </w:numPr>
      </w:pPr>
      <w:r>
        <w:t>Collective Dose Assessment - To provide an assessment of the population doses for different discharge/disposal options.</w:t>
      </w:r>
    </w:p>
    <w:p w14:paraId="0FE72FAD" w14:textId="77777777" w:rsidR="00EF7E47" w:rsidRDefault="00EF7E47" w:rsidP="00EF7E47">
      <w:pPr>
        <w:pStyle w:val="ListParagraph"/>
        <w:numPr>
          <w:ilvl w:val="0"/>
          <w:numId w:val="27"/>
        </w:numPr>
      </w:pPr>
      <w:r>
        <w:t>Variability and Uncertainty Assessment - To establish how much caution has been applied at each stage of the assessment.</w:t>
      </w:r>
    </w:p>
    <w:p w14:paraId="7BC8CE31" w14:textId="6CCAA18E" w:rsidR="00EF7E47" w:rsidRDefault="00EF7E47">
      <w:pPr>
        <w:spacing w:line="240" w:lineRule="auto"/>
      </w:pPr>
      <w:r>
        <w:br w:type="page"/>
      </w:r>
    </w:p>
    <w:p w14:paraId="34A4A3F8" w14:textId="632F5566" w:rsidR="00BE3E77" w:rsidRDefault="00EF7E47" w:rsidP="00EF7E47">
      <w:pPr>
        <w:pStyle w:val="Heading1"/>
      </w:pPr>
      <w:bookmarkStart w:id="22" w:name="_Toc227317375"/>
      <w:r>
        <w:lastRenderedPageBreak/>
        <w:t>5</w:t>
      </w:r>
      <w:r>
        <w:tab/>
        <w:t>Initial source assessment</w:t>
      </w:r>
      <w:bookmarkEnd w:id="22"/>
    </w:p>
    <w:p w14:paraId="3E487355" w14:textId="77777777" w:rsidR="00AF73DF" w:rsidRDefault="00E92EAF" w:rsidP="00AF73DF">
      <w:r>
        <w:t>5.1</w:t>
      </w:r>
      <w:r>
        <w:tab/>
      </w:r>
      <w:r w:rsidR="00AF73DF">
        <w:t xml:space="preserve">The NDAWG has published guidance on initial radiological assessments [Ref 55]. </w:t>
      </w:r>
    </w:p>
    <w:p w14:paraId="7C7D5672" w14:textId="09B7BC1D" w:rsidR="00F96875" w:rsidRDefault="00AF73DF" w:rsidP="00AF73DF">
      <w:pPr>
        <w:ind w:left="720" w:hanging="720"/>
      </w:pPr>
      <w:r>
        <w:t>5.2</w:t>
      </w:r>
      <w:r>
        <w:tab/>
        <w:t xml:space="preserve">A dose assessment methodology for non-nuclear sites has been provided by HPA [Ref 58]. In addition, HPA has published Generalised Derived Constraints [Ref 50, 51] which have been produced using cautious generic assumptions and therefore may be used to make an initial source assessment. The GDCs give the annual discharge for </w:t>
      </w:r>
      <w:proofErr w:type="gramStart"/>
      <w:r>
        <w:t>particular radionuclides</w:t>
      </w:r>
      <w:proofErr w:type="gramEnd"/>
      <w:r>
        <w:t xml:space="preserve"> which if they are not exceeded are unlikely to result in a dose to the representative person greater than 0.3mSv/y (i.e. the maximum source constraint). If the discharges are greater than 30% of the appropriate GDC (a dose of 0.1mSv/y) for a single radionuclide, a detailed assessment will be necessary. The dose threshold of 0.1mSv/y used with GDCs to trigger a more detailed assessment is higher than the dose threshold of 0.02mSv/y recommended in this document for the same purpose. The GDCs are calculated conservatively and therefore the dose criteria of 0.1mSv/y is appropriate for use with the GDCs.</w:t>
      </w:r>
    </w:p>
    <w:p w14:paraId="325DEB62" w14:textId="77777777" w:rsidR="00F96875" w:rsidRDefault="00F96875">
      <w:pPr>
        <w:spacing w:line="240" w:lineRule="auto"/>
      </w:pPr>
      <w:r>
        <w:br w:type="page"/>
      </w:r>
    </w:p>
    <w:p w14:paraId="68DD0A22" w14:textId="123C1FA5" w:rsidR="00F96875" w:rsidRDefault="00F96875" w:rsidP="00F96875">
      <w:pPr>
        <w:pStyle w:val="Heading1"/>
      </w:pPr>
      <w:bookmarkStart w:id="23" w:name="_Toc227317376"/>
      <w:r>
        <w:lastRenderedPageBreak/>
        <w:t>6</w:t>
      </w:r>
      <w:r>
        <w:tab/>
        <w:t xml:space="preserve">Detailed </w:t>
      </w:r>
      <w:r w:rsidR="008673D1">
        <w:t>source and site assessment</w:t>
      </w:r>
      <w:bookmarkEnd w:id="23"/>
    </w:p>
    <w:p w14:paraId="60948062" w14:textId="4681E047" w:rsidR="00EF7E47" w:rsidRDefault="008673D1" w:rsidP="008673D1">
      <w:pPr>
        <w:pStyle w:val="Heading2"/>
      </w:pPr>
      <w:bookmarkStart w:id="24" w:name="_Toc227317377"/>
      <w:r>
        <w:t>6.1</w:t>
      </w:r>
      <w:r>
        <w:tab/>
        <w:t>Steps of detailed assessment</w:t>
      </w:r>
      <w:bookmarkEnd w:id="24"/>
    </w:p>
    <w:p w14:paraId="74199F0D" w14:textId="77777777" w:rsidR="003D424E" w:rsidRDefault="008673D1" w:rsidP="003D424E">
      <w:pPr>
        <w:ind w:left="720" w:hanging="720"/>
      </w:pPr>
      <w:r>
        <w:t>6.1.1</w:t>
      </w:r>
      <w:r>
        <w:tab/>
      </w:r>
      <w:r w:rsidR="003D424E">
        <w:t>The general steps for a detailed and hence more realistic assessment of the dose to a representative person for a particular source or site are as follows (see Figure 2):</w:t>
      </w:r>
    </w:p>
    <w:p w14:paraId="15F7B6AD" w14:textId="77777777" w:rsidR="003D424E" w:rsidRDefault="003D424E" w:rsidP="003D424E">
      <w:pPr>
        <w:pStyle w:val="ListParagraph"/>
        <w:numPr>
          <w:ilvl w:val="0"/>
          <w:numId w:val="28"/>
        </w:numPr>
      </w:pPr>
      <w:r>
        <w:t>Identify/quantify source term - The amount of each radionuclide released, its chemical form (if important) and the mode of release.</w:t>
      </w:r>
    </w:p>
    <w:p w14:paraId="5B27D58D" w14:textId="77777777" w:rsidR="003D424E" w:rsidRDefault="003D424E" w:rsidP="003D424E">
      <w:pPr>
        <w:pStyle w:val="ListParagraph"/>
        <w:numPr>
          <w:ilvl w:val="0"/>
          <w:numId w:val="28"/>
        </w:numPr>
      </w:pPr>
      <w:r>
        <w:t>Model radionuclide transfer in the environment - Estimate activity concentrations and dose-rates arising from the discharged radionuclides in environmental media such as air, water, sediment, soils and foods.</w:t>
      </w:r>
    </w:p>
    <w:p w14:paraId="22385FBC" w14:textId="77777777" w:rsidR="003D424E" w:rsidRDefault="003D424E" w:rsidP="003D424E">
      <w:pPr>
        <w:pStyle w:val="ListParagraph"/>
        <w:numPr>
          <w:ilvl w:val="0"/>
          <w:numId w:val="28"/>
        </w:numPr>
      </w:pPr>
      <w:r>
        <w:t>Determine exposure pathways - Identify the relevant exposure pathways to people from the activity concentrations and dose-rates in environmental media.</w:t>
      </w:r>
    </w:p>
    <w:p w14:paraId="67BD7D25" w14:textId="77777777" w:rsidR="003D424E" w:rsidRDefault="003D424E" w:rsidP="003D424E">
      <w:pPr>
        <w:pStyle w:val="ListParagraph"/>
        <w:numPr>
          <w:ilvl w:val="0"/>
          <w:numId w:val="28"/>
        </w:numPr>
      </w:pPr>
      <w:r>
        <w:t xml:space="preserve">Identify habits and data for exposure pathways – Identify those habits and behaviours together with the associated habit data that could lead to exposure of people through all relevant pathways. Examples of habit data include intake rates of </w:t>
      </w:r>
      <w:proofErr w:type="gramStart"/>
      <w:r>
        <w:t>particular foods</w:t>
      </w:r>
      <w:proofErr w:type="gramEnd"/>
      <w:r>
        <w:t xml:space="preserve"> and the time spent at </w:t>
      </w:r>
      <w:proofErr w:type="gramStart"/>
      <w:r>
        <w:t>particular locations</w:t>
      </w:r>
      <w:proofErr w:type="gramEnd"/>
      <w:r>
        <w:t>.</w:t>
      </w:r>
    </w:p>
    <w:p w14:paraId="6B76EA14" w14:textId="77777777" w:rsidR="003D424E" w:rsidRDefault="003D424E" w:rsidP="003D424E">
      <w:pPr>
        <w:pStyle w:val="ListParagraph"/>
        <w:numPr>
          <w:ilvl w:val="0"/>
          <w:numId w:val="28"/>
        </w:numPr>
      </w:pPr>
      <w:r>
        <w:t xml:space="preserve">Determine candidates for the representative person from realistic combinations of habits – </w:t>
      </w:r>
      <w:proofErr w:type="gramStart"/>
      <w:r>
        <w:t>A number of</w:t>
      </w:r>
      <w:proofErr w:type="gramEnd"/>
      <w:r>
        <w:t xml:space="preserve"> different groups of people should be determined for a particular source with their habits relating to the different exposure pathways. These groups of people could receive doses that are representative of the most highly exposed individuals in the population. The determination process should be based on local knowledge and plausible assumptions. Candidates for the representative person expressed in terms of their habits can then be identified to represent each group.</w:t>
      </w:r>
    </w:p>
    <w:p w14:paraId="4BFEE1D9" w14:textId="77777777" w:rsidR="003D424E" w:rsidRDefault="003D424E" w:rsidP="003D424E">
      <w:pPr>
        <w:pStyle w:val="ListParagraph"/>
        <w:numPr>
          <w:ilvl w:val="0"/>
          <w:numId w:val="28"/>
        </w:numPr>
      </w:pPr>
      <w:r>
        <w:t>Estimate doses to the candidates for the representative person – Calculate doses for each group for all relevant exposure pathways. This should include identification of the most important exposure pathways and radionuclides in terms of their contribution to the overall dose.</w:t>
      </w:r>
    </w:p>
    <w:p w14:paraId="0C2B20EB" w14:textId="77777777" w:rsidR="003D424E" w:rsidRDefault="003D424E" w:rsidP="003D424E">
      <w:pPr>
        <w:pStyle w:val="ListParagraph"/>
        <w:numPr>
          <w:ilvl w:val="0"/>
          <w:numId w:val="28"/>
        </w:numPr>
      </w:pPr>
      <w:r>
        <w:t>Determine the representative person – This is the candidate for the representative person expected to receive the highest mean dose.</w:t>
      </w:r>
    </w:p>
    <w:p w14:paraId="6D9A9E1A" w14:textId="77777777" w:rsidR="003D424E" w:rsidRDefault="003D424E" w:rsidP="003D424E">
      <w:pPr>
        <w:pStyle w:val="ListParagraph"/>
        <w:numPr>
          <w:ilvl w:val="0"/>
          <w:numId w:val="28"/>
        </w:numPr>
      </w:pPr>
      <w:r>
        <w:t xml:space="preserve">Total dose - Calculate the additional dose arising from historical discharges from the site being considered and the dose from historical and future discharges and direct </w:t>
      </w:r>
      <w:r>
        <w:lastRenderedPageBreak/>
        <w:t>radiation from other sources subject to control to enable comparison of the total dose with the dose limit.</w:t>
      </w:r>
    </w:p>
    <w:p w14:paraId="5FB03744" w14:textId="77777777" w:rsidR="003D424E" w:rsidRPr="00A13716" w:rsidRDefault="003D424E" w:rsidP="003D424E">
      <w:pPr>
        <w:ind w:left="720" w:hanging="720"/>
      </w:pPr>
      <w:r>
        <w:t>6.1.2</w:t>
      </w:r>
      <w:r>
        <w:tab/>
        <w:t>Methods and guidance for the detailed assessments of doses from all exposure pathways [Refs 60, 59] and via the food chain [Ref 5, 60. J R Simmonds, G Lawson and A Mayall (1995</w:t>
      </w:r>
      <w:r w:rsidRPr="00A13716">
        <w:t>). Methodology for assessing the radiological consequences of routine releases of radionuclides to the environment. European Commission, Luxembourg, EUR 15760 EN, Radiation Protection 72.</w:t>
      </w:r>
    </w:p>
    <w:p w14:paraId="0645143B" w14:textId="77777777" w:rsidR="003D424E" w:rsidRDefault="003D424E" w:rsidP="003D424E">
      <w:r w:rsidRPr="00A13716">
        <w:t>6.1.3</w:t>
      </w:r>
      <w:r w:rsidRPr="00A13716">
        <w:tab/>
        <w:t>61, 62] are available.</w:t>
      </w:r>
    </w:p>
    <w:p w14:paraId="2325DDD2" w14:textId="77777777" w:rsidR="003D424E" w:rsidRDefault="003D424E" w:rsidP="003D424E">
      <w:pPr>
        <w:pStyle w:val="Heading2"/>
      </w:pPr>
      <w:bookmarkStart w:id="25" w:name="_Toc25569853"/>
      <w:bookmarkStart w:id="26" w:name="_Toc227317378"/>
      <w:r>
        <w:t>6.2</w:t>
      </w:r>
      <w:r>
        <w:tab/>
        <w:t>Identify/quantify source term</w:t>
      </w:r>
      <w:bookmarkEnd w:id="25"/>
      <w:bookmarkEnd w:id="26"/>
    </w:p>
    <w:p w14:paraId="7EBB9894" w14:textId="00E4B5FC" w:rsidR="003D424E" w:rsidRDefault="003D424E" w:rsidP="009F46F9">
      <w:pPr>
        <w:ind w:left="720" w:hanging="720"/>
      </w:pPr>
      <w:r>
        <w:t>6.2.1</w:t>
      </w:r>
      <w:r>
        <w:tab/>
        <w:t>Prospective dose assessments are made to provide input to the authorisation determination process. One key requirement is to understand the radiological impact if discharges occur at the limits that are to be set. These might be the limits proposed by SEPA or the limits applied for by the operator. Actual discharges are likely to be lower than the authorised limits and where doses are above 0.02mSv/y it may be appropriate to provide an estimate of the doses from the likely or expected discharges in addition to the assessment at the limits. This is more likely to be appropriate where additional evidence of the impact of discharges from the site is required for example if the site is contentious; or predicted doses approach 0.3mSv/y or additional assurance is required for the local population.</w:t>
      </w:r>
    </w:p>
    <w:p w14:paraId="7DD9570E" w14:textId="77777777" w:rsidR="003D424E" w:rsidRDefault="003D424E" w:rsidP="009F46F9">
      <w:pPr>
        <w:ind w:left="720" w:hanging="720"/>
      </w:pPr>
      <w:r>
        <w:t>6.2.2</w:t>
      </w:r>
      <w:r>
        <w:tab/>
        <w:t xml:space="preserve">Discharge authorisations contain discharge limits for specific radionuclides and for groups of radionuclides with the same type of activity (e.g. total alpha activity or total beta activity). Assessments of doses can only be carried out on a radionuclide specific basis and so where limits for groups of radionuclides remain, it is necessary either to split the discharge for the groups of nuclides between the radionuclides known to be discharged or to use a ‘representative’ radionuclide. Therefore, in some circumstances, it might be cautious to assume that plutonium-239 is representative of total alpha activity or caesium-137 is representative of total beta activity. However, in most cases it is more realistic to adopt a </w:t>
      </w:r>
      <w:proofErr w:type="gramStart"/>
      <w:r>
        <w:t>site specific</w:t>
      </w:r>
      <w:proofErr w:type="gramEnd"/>
      <w:r>
        <w:t xml:space="preserve"> approach based on the radionuclides known to be discharged from the site. In cases where a discharge authorisation is being set for a new facility, the assumed radionuclide composition will have to be based on knowledge of the </w:t>
      </w:r>
      <w:r>
        <w:lastRenderedPageBreak/>
        <w:t>processes that will be undertaken or from considering discharges from similar facilities already in operation.</w:t>
      </w:r>
    </w:p>
    <w:p w14:paraId="15EDA681" w14:textId="77777777" w:rsidR="003D424E" w:rsidRDefault="003D424E" w:rsidP="009F46F9">
      <w:pPr>
        <w:ind w:left="720" w:hanging="720"/>
      </w:pPr>
      <w:r>
        <w:t>6.2.3</w:t>
      </w:r>
      <w:r>
        <w:tab/>
        <w:t>In some cases the chemical form of the discharged radionuclide can have a significant effect on the radiation doses. The operator will be required to provide information on specific or general chemical form, particularly when it is important in the dose assessment (e.g. organic or inorganic form of radionuclides).</w:t>
      </w:r>
    </w:p>
    <w:p w14:paraId="5919646D" w14:textId="77777777" w:rsidR="003D424E" w:rsidRDefault="003D424E" w:rsidP="003D424E">
      <w:pPr>
        <w:pStyle w:val="Heading2"/>
      </w:pPr>
      <w:bookmarkStart w:id="27" w:name="_Toc25569854"/>
      <w:bookmarkStart w:id="28" w:name="_Toc227317379"/>
      <w:r>
        <w:t>6.3</w:t>
      </w:r>
      <w:r>
        <w:tab/>
        <w:t>Model radionuclide transfer in the environment</w:t>
      </w:r>
      <w:bookmarkEnd w:id="27"/>
      <w:bookmarkEnd w:id="28"/>
    </w:p>
    <w:p w14:paraId="3E2E80F7" w14:textId="77777777" w:rsidR="003D424E" w:rsidRDefault="003D424E" w:rsidP="009F46F9">
      <w:pPr>
        <w:ind w:left="720" w:hanging="720"/>
      </w:pPr>
      <w:r>
        <w:t>6.3.1</w:t>
      </w:r>
      <w:r>
        <w:tab/>
        <w:t xml:space="preserve">A variety of models and data are required to predict the transfer of radionuclides through the environment and the resulting doses to people. It is important that any models used are robust and fit for the purpose. Measures should have been taken to ensure that the models are valid. This means that the models should have been tested to ensure that they are behaving as intended and where possible they should be compared with measurement data to ensure that they are an adequate representation of reality. For authorisation purposes it is normally adequate to use generic models and parameter values although occasionally there may be sufficient evidence to warrant using a </w:t>
      </w:r>
      <w:proofErr w:type="gramStart"/>
      <w:r>
        <w:t>site specific</w:t>
      </w:r>
      <w:proofErr w:type="gramEnd"/>
      <w:r>
        <w:t xml:space="preserve"> value for a particular parameter. Empirical models may also be used which relate environmental activity concentrations to discharges, although care </w:t>
      </w:r>
      <w:proofErr w:type="gramStart"/>
      <w:r>
        <w:t>has to</w:t>
      </w:r>
      <w:proofErr w:type="gramEnd"/>
      <w:r>
        <w:t xml:space="preserve"> be taken due to the accumulation of radionuclides in the environment.</w:t>
      </w:r>
    </w:p>
    <w:p w14:paraId="191655A1" w14:textId="77777777" w:rsidR="003D424E" w:rsidRDefault="003D424E" w:rsidP="009F46F9">
      <w:pPr>
        <w:ind w:left="720" w:hanging="720"/>
      </w:pPr>
      <w:r>
        <w:t>6.3.2</w:t>
      </w:r>
      <w:r>
        <w:tab/>
        <w:t xml:space="preserve">Authorisations are mainly concerned with routine </w:t>
      </w:r>
      <w:proofErr w:type="gramStart"/>
      <w:r>
        <w:t>discharges</w:t>
      </w:r>
      <w:proofErr w:type="gramEnd"/>
      <w:r>
        <w:t xml:space="preserve"> and it is assumed that discharges are continuous over a year. Where this is not the case and a significant proportion of the authorised limits are utilised in a short time period, say a few days (e.g. depressurisation of gas cooled reactors or iodine-131 discharges to sewer from thyroid treatment at a hospital), then short term releases will need to be assessed (see later section on Short Term Releases).</w:t>
      </w:r>
    </w:p>
    <w:p w14:paraId="08DFC96C" w14:textId="77777777" w:rsidR="003D424E" w:rsidRDefault="003D424E" w:rsidP="009F46F9">
      <w:pPr>
        <w:ind w:left="720" w:hanging="720"/>
      </w:pPr>
      <w:r>
        <w:t>6.3.3</w:t>
      </w:r>
      <w:r>
        <w:tab/>
        <w:t>Although the dose assessment is carried out for a year’s discharge there is the possibility that radionuclides will build up in the environment from continuous discharges over more than one year. Account should be taken of this in the modelling (see Principle 8), by assuming that the discharge continues for the lifetime of the plant or 50 years, with the dose assessed for the final year of discharge.</w:t>
      </w:r>
    </w:p>
    <w:p w14:paraId="0C3EF61A" w14:textId="77777777" w:rsidR="003D424E" w:rsidRDefault="003D424E" w:rsidP="009F46F9">
      <w:pPr>
        <w:ind w:left="720" w:hanging="720"/>
      </w:pPr>
      <w:r>
        <w:t>6.3.4</w:t>
      </w:r>
      <w:r>
        <w:tab/>
        <w:t xml:space="preserve">There are </w:t>
      </w:r>
      <w:proofErr w:type="gramStart"/>
      <w:r>
        <w:t>a number of</w:t>
      </w:r>
      <w:proofErr w:type="gramEnd"/>
      <w:r>
        <w:t xml:space="preserve"> environmental dispersion and dose assessment models available. We make no specific recommendation on model </w:t>
      </w:r>
      <w:proofErr w:type="gramStart"/>
      <w:r>
        <w:t>application, but</w:t>
      </w:r>
      <w:proofErr w:type="gramEnd"/>
      <w:r>
        <w:t xml:space="preserve"> require any model to be </w:t>
      </w:r>
      <w:r>
        <w:lastRenderedPageBreak/>
        <w:t xml:space="preserve">appropriate for the application. The European Union code system, PC-CREAM [Ref 63] is a suitable model for many applications. The code is based on a methodology for assessing the radiological consequences of routine releases published by the Health Protection Agency in 2009 [Ref 59], which is an update of the original methodology published in 1995 by the EC [Ref 60]. It should be noted that currently PC-CREAM does not have a model for the assessment of doses to sewage workers </w:t>
      </w:r>
      <w:proofErr w:type="gramStart"/>
      <w:r>
        <w:t>as a result of</w:t>
      </w:r>
      <w:proofErr w:type="gramEnd"/>
      <w:r>
        <w:t xml:space="preserve"> discharges to sewer. Also, it cannot be used directly to assess the impact of the disposal of sewage sludge to land, where the sludge contains radionuclides. Alternative models for the assessment of doses from discharges to sewer are available [Refs 50, 51, 58, 64, 65, 66].</w:t>
      </w:r>
    </w:p>
    <w:p w14:paraId="6673E9F5" w14:textId="77777777" w:rsidR="003D424E" w:rsidRPr="00AA5D55" w:rsidRDefault="003D424E" w:rsidP="006C024C">
      <w:pPr>
        <w:pStyle w:val="Heading3"/>
      </w:pPr>
      <w:bookmarkStart w:id="29" w:name="_Toc227317380"/>
      <w:r w:rsidRPr="00AA5D55">
        <w:t>Atmospheric Discharges</w:t>
      </w:r>
      <w:bookmarkEnd w:id="29"/>
    </w:p>
    <w:p w14:paraId="07E343C9" w14:textId="77777777" w:rsidR="003D424E" w:rsidRDefault="003D424E" w:rsidP="009F46F9">
      <w:pPr>
        <w:ind w:left="720" w:hanging="720"/>
      </w:pPr>
      <w:r>
        <w:t>6.3.5</w:t>
      </w:r>
      <w:r>
        <w:tab/>
        <w:t>For releases to atmosphere, models are required to estimate activity concentrations in air and the subsequent deposition of radionuclides to the ground. Further models are then required to predict the transfer of radionuclides through terrestrial food-chains, the behaviour of radionuclides deposited on the ground and, where relevant, the re-suspension of radionuclides from the ground back into the air.</w:t>
      </w:r>
    </w:p>
    <w:p w14:paraId="34AC1916" w14:textId="77777777" w:rsidR="003D424E" w:rsidRDefault="003D424E" w:rsidP="009F46F9">
      <w:pPr>
        <w:ind w:left="720" w:hanging="720"/>
      </w:pPr>
      <w:r>
        <w:t>6.3.6</w:t>
      </w:r>
      <w:r>
        <w:tab/>
        <w:t xml:space="preserve">The model used to predict activity concentrations in the air and on the ground should take account of the effective particle size of the radionuclides, the effective release height, the range of meteorological conditions that occur </w:t>
      </w:r>
      <w:proofErr w:type="gramStart"/>
      <w:r>
        <w:t>in the course of</w:t>
      </w:r>
      <w:proofErr w:type="gramEnd"/>
      <w:r>
        <w:t xml:space="preserve"> a year, wet and dry deposition as well as radioactive decay. All significant routine radioactive releases of radionuclides to atmosphere are filtered, generally using High Efficiency Particulate in Air (HEPA) filters. The filters generally trap all particles with an activity mean aerodynamic diameter (AMAD) of greater than 1 </w:t>
      </w:r>
      <w:r>
        <w:rPr>
          <w:rFonts w:cs="Arial"/>
        </w:rPr>
        <w:t>µ</w:t>
      </w:r>
      <w:r>
        <w:t xml:space="preserve">m. The model used will need to be appropriate for the remaining discharged particle size range. Models used may simplify the modelling by assuming that all that particles have an AMAD of 1 </w:t>
      </w:r>
      <w:proofErr w:type="spellStart"/>
      <w:r>
        <w:t>micrometer</w:t>
      </w:r>
      <w:proofErr w:type="spellEnd"/>
      <w:r>
        <w:t xml:space="preserve"> for the purpose of the assessment – which needs to match to the assumption about particle size for the dose coefficients for inhalation.</w:t>
      </w:r>
    </w:p>
    <w:p w14:paraId="494B3B21" w14:textId="77777777" w:rsidR="003D424E" w:rsidRDefault="003D424E" w:rsidP="009F46F9">
      <w:pPr>
        <w:ind w:left="720" w:hanging="720"/>
      </w:pPr>
      <w:r>
        <w:t>6.3.7</w:t>
      </w:r>
      <w:r>
        <w:tab/>
        <w:t xml:space="preserve">The meteorological conditions should be appropriate for the site in question and should preferably be averaged from several years of data. Such data may be available for the site itself or from nearby meteorological stations. The atmospheric dispersion model also needs to </w:t>
      </w:r>
      <w:proofErr w:type="gramStart"/>
      <w:r>
        <w:t>take into account</w:t>
      </w:r>
      <w:proofErr w:type="gramEnd"/>
      <w:r>
        <w:t xml:space="preserve"> the height of the release, the effects of nearby buildings and any plume rise due to the thermal buoyancy and/or momentum of the released material. </w:t>
      </w:r>
      <w:r>
        <w:lastRenderedPageBreak/>
        <w:t>Gaussian plume dispersion models [Ref 67] are currently still acceptable for public dose assessment purposes, although new generation dispersion models (e.g. ADMS [Ref 68], AERMOD [Ref 69]) are available.</w:t>
      </w:r>
    </w:p>
    <w:p w14:paraId="66284E88" w14:textId="77777777" w:rsidR="003D424E" w:rsidRDefault="003D424E" w:rsidP="009F46F9">
      <w:pPr>
        <w:ind w:left="720" w:hanging="720"/>
      </w:pPr>
      <w:r>
        <w:t>6.3.8</w:t>
      </w:r>
      <w:r>
        <w:tab/>
        <w:t xml:space="preserve">It is common practice to a use a generic model for the transfer of radionuclides through terrestrial food-chains. In such </w:t>
      </w:r>
      <w:proofErr w:type="gramStart"/>
      <w:r>
        <w:t>models</w:t>
      </w:r>
      <w:proofErr w:type="gramEnd"/>
      <w:r>
        <w:t xml:space="preserve"> similar foods are grouped together for modelling purposes, for example green vegetables and root vegetables are considered rather than specific crops such as cabbage or carrots. In most cases it will be acceptable to use generic parameter values for the food-chain model. However, if extensive measurements have been made close to the </w:t>
      </w:r>
      <w:proofErr w:type="gramStart"/>
      <w:r>
        <w:t>site</w:t>
      </w:r>
      <w:proofErr w:type="gramEnd"/>
      <w:r>
        <w:t xml:space="preserve"> then it may be appropriate to use site specific values for </w:t>
      </w:r>
      <w:proofErr w:type="gramStart"/>
      <w:r>
        <w:t>particular parameter</w:t>
      </w:r>
      <w:proofErr w:type="gramEnd"/>
      <w:r>
        <w:t xml:space="preserve"> values. The PC-CREAM code contains the FARMLAND model for undertaking such modelling [Ref 59] and the Food Standards Agency uses its own model, SPADE [Ref 70].</w:t>
      </w:r>
    </w:p>
    <w:p w14:paraId="3359A6AD" w14:textId="77777777" w:rsidR="003D424E" w:rsidRDefault="003D424E" w:rsidP="009F46F9">
      <w:pPr>
        <w:ind w:left="720" w:hanging="720"/>
      </w:pPr>
      <w:r>
        <w:t>6.3.9</w:t>
      </w:r>
      <w:r>
        <w:tab/>
        <w:t>For modelling the re-suspension of radionuclides deposited on the ground two approaches are possible. The first uses a re-suspension factor to relate the ground deposition to the activity concentration in air while the second uses a dust loading approach [Ref 59]. Re-suspension factor models can take account of the ageing process for deposited activity, including weathering of the deposit and migration into deeper soil layers. The dust loading model is particularly appropriate for scenarios in which the concentrations of radionuclides in soil or dust have arisen from processes other than atmospheric deposition (e.g. sewage sludge conditioning of land) or there are higher than normal dust loadings in air (e.g. due to agricultural activities).</w:t>
      </w:r>
    </w:p>
    <w:p w14:paraId="115C0A93" w14:textId="77777777" w:rsidR="003D424E" w:rsidRDefault="003D424E" w:rsidP="009F46F9">
      <w:pPr>
        <w:ind w:left="720" w:hanging="720"/>
      </w:pPr>
      <w:r>
        <w:t>6.3.10</w:t>
      </w:r>
      <w:r>
        <w:tab/>
        <w:t>A model may also be required to calculate external radiation exposures from radionuclides in the passing cloud and deposited radionuclides. The latter should allow for the downward migration of radionuclides in the soil as well as the build-up of activity due to continuous deposition. Dose-rate factors per unit air concentration or deposition rate are available [Ref 59, 71] and are provided in PC-CREAM data files.</w:t>
      </w:r>
    </w:p>
    <w:p w14:paraId="13024DE7" w14:textId="77777777" w:rsidR="00FB57E8" w:rsidRPr="00AA5D55" w:rsidRDefault="00FB57E8" w:rsidP="006C024C">
      <w:pPr>
        <w:pStyle w:val="Heading3"/>
      </w:pPr>
      <w:bookmarkStart w:id="30" w:name="_Toc227317381"/>
      <w:r w:rsidRPr="00AA5D55">
        <w:t>Aquatic discharges</w:t>
      </w:r>
      <w:bookmarkEnd w:id="30"/>
    </w:p>
    <w:p w14:paraId="5A734C7E" w14:textId="77777777" w:rsidR="00FB57E8" w:rsidRDefault="00FB57E8" w:rsidP="00C91087">
      <w:pPr>
        <w:ind w:left="720" w:hanging="720"/>
      </w:pPr>
      <w:r>
        <w:t>6.3.11</w:t>
      </w:r>
      <w:r>
        <w:tab/>
        <w:t>Radioactive waste may be discharged to a freshwater, estuarine or marine environment. In the UK there are also discharges of radionuclides to the sewer system from hospitals, universities and research establishments and a few nuclear sites.</w:t>
      </w:r>
    </w:p>
    <w:p w14:paraId="144A52BF" w14:textId="77777777" w:rsidR="00FB57E8" w:rsidRDefault="00FB57E8" w:rsidP="00C91087">
      <w:pPr>
        <w:ind w:left="720" w:hanging="720"/>
      </w:pPr>
      <w:r>
        <w:t>6.3.12</w:t>
      </w:r>
      <w:r>
        <w:tab/>
        <w:t xml:space="preserve">Radionuclides discharged to water bodies are dispersed due to general water movements and sedimentation processes. Much depends on the local characteristics of </w:t>
      </w:r>
      <w:r>
        <w:lastRenderedPageBreak/>
        <w:t xml:space="preserve">the receiving </w:t>
      </w:r>
      <w:proofErr w:type="gramStart"/>
      <w:r>
        <w:t>environment</w:t>
      </w:r>
      <w:proofErr w:type="gramEnd"/>
      <w:r>
        <w:t xml:space="preserve"> and it is not possible to have a totally generic model for these releases. For example, for rivers information is required on the size of the river and its flow rate. Models are required to predict the activity concentrations in water and in sediment. From these data activity concentrations in aquatic foods, such as fish and crustaceans, can be estimated together with external radiation doses from exposure to sediments.</w:t>
      </w:r>
    </w:p>
    <w:p w14:paraId="02551C1E" w14:textId="77777777" w:rsidR="00FB57E8" w:rsidRDefault="00FB57E8" w:rsidP="00C91087">
      <w:pPr>
        <w:ind w:left="720" w:hanging="720"/>
      </w:pPr>
      <w:r>
        <w:t>6.3.13</w:t>
      </w:r>
      <w:r>
        <w:tab/>
        <w:t>In assessing doses to the candidates for the representative person, the highest activity concentrations and hence doses will generally arise close to the discharge point. However, there is the possibility of exposures arising from further downstream, for example where drinking water is abstracted or where there is a major fishery. Freshwater may be used for irrigation of agricultural land and then the transfer of radionuclides to the terrestrial food-chains needs to be considered. The models discussed above for releases to atmosphere may be adapted to derive concentrations of radionuclides in food, where the source of radionuclides is via irrigation water, and modelling deposition by rain. For discharges to the marine environment exposures may also arise from radionuclides in sea spray being blown onto land and inhaled.</w:t>
      </w:r>
    </w:p>
    <w:p w14:paraId="16245D41" w14:textId="77777777" w:rsidR="00FB57E8" w:rsidRDefault="00FB57E8" w:rsidP="00C91087">
      <w:pPr>
        <w:ind w:left="720" w:hanging="720"/>
      </w:pPr>
      <w:r>
        <w:t>6.3.14</w:t>
      </w:r>
      <w:r>
        <w:tab/>
        <w:t xml:space="preserve">When assessing discharges to sewers, it is necessary to model the transfer of the radionuclides to the sewage works and their subsequent release into the environment. At the sewage works the doses to workers need to be estimated from external irradiation as well as inhalation and inadvertent ingestion. Radionuclides could be discharged from the sewage works with the treated effluent, to rivers or coastal waters, where the models discussed above would be required. In </w:t>
      </w:r>
      <w:proofErr w:type="gramStart"/>
      <w:r>
        <w:t>addition</w:t>
      </w:r>
      <w:proofErr w:type="gramEnd"/>
      <w:r>
        <w:t xml:space="preserve"> radionuclides may be associated with the sewage sludge which is disposed of in various ways including its use as a land treatment and disposal by incineration. Appropriate models are then required for the transfer of radionuclides through terrestrial food-chains and for atmospheric releases (as discussed previously).</w:t>
      </w:r>
    </w:p>
    <w:p w14:paraId="0C1A3C7E" w14:textId="77777777" w:rsidR="00FB57E8" w:rsidRDefault="00FB57E8" w:rsidP="00FB57E8">
      <w:pPr>
        <w:pStyle w:val="Heading2"/>
      </w:pPr>
      <w:bookmarkStart w:id="31" w:name="_Toc25569855"/>
      <w:bookmarkStart w:id="32" w:name="_Toc227317382"/>
      <w:r>
        <w:t>6.4</w:t>
      </w:r>
      <w:r>
        <w:tab/>
        <w:t>Determine exposure pathways</w:t>
      </w:r>
      <w:bookmarkEnd w:id="31"/>
      <w:bookmarkEnd w:id="32"/>
    </w:p>
    <w:p w14:paraId="658F68E4" w14:textId="77777777" w:rsidR="00FB57E8" w:rsidRDefault="00FB57E8" w:rsidP="00C91087">
      <w:pPr>
        <w:ind w:left="720" w:hanging="720"/>
      </w:pPr>
      <w:r>
        <w:t>6.4.1</w:t>
      </w:r>
      <w:r>
        <w:tab/>
        <w:t xml:space="preserve">The relevant exposure pathways depend on the radionuclides discharged and the </w:t>
      </w:r>
      <w:proofErr w:type="gramStart"/>
      <w:r>
        <w:t>particular circumstances</w:t>
      </w:r>
      <w:proofErr w:type="gramEnd"/>
      <w:r>
        <w:t>. The following pathways should normally be considered although calculations will not necessarily be carried out for them all for all cases:</w:t>
      </w:r>
    </w:p>
    <w:p w14:paraId="49B7D8BB" w14:textId="77777777" w:rsidR="00FB57E8" w:rsidRDefault="00FB57E8" w:rsidP="00FB57E8">
      <w:pPr>
        <w:pStyle w:val="ListParagraph"/>
        <w:numPr>
          <w:ilvl w:val="0"/>
          <w:numId w:val="29"/>
        </w:numPr>
      </w:pPr>
      <w:r>
        <w:lastRenderedPageBreak/>
        <w:t>Internal irradiation following inhalation of radionuclides in the air either following releases to atmosphere or following the re-suspension of radionuclides from the ground or in sea spray.</w:t>
      </w:r>
    </w:p>
    <w:p w14:paraId="2D0258F9" w14:textId="77777777" w:rsidR="00FB57E8" w:rsidRDefault="00FB57E8" w:rsidP="00FB57E8">
      <w:pPr>
        <w:pStyle w:val="ListParagraph"/>
        <w:numPr>
          <w:ilvl w:val="0"/>
          <w:numId w:val="29"/>
        </w:numPr>
      </w:pPr>
      <w:r>
        <w:t>External gamma irradiation from radionuclides in environmental media including air, soil and sediments.</w:t>
      </w:r>
    </w:p>
    <w:p w14:paraId="4E1C1688" w14:textId="77777777" w:rsidR="00FB57E8" w:rsidRDefault="00FB57E8" w:rsidP="00FB57E8">
      <w:pPr>
        <w:pStyle w:val="ListParagraph"/>
        <w:numPr>
          <w:ilvl w:val="0"/>
          <w:numId w:val="29"/>
        </w:numPr>
      </w:pPr>
      <w:r>
        <w:t>External radiation direct from the site of interest.</w:t>
      </w:r>
    </w:p>
    <w:p w14:paraId="26994396" w14:textId="77777777" w:rsidR="00FB57E8" w:rsidRDefault="00FB57E8" w:rsidP="00FB57E8">
      <w:pPr>
        <w:pStyle w:val="ListParagraph"/>
        <w:numPr>
          <w:ilvl w:val="0"/>
          <w:numId w:val="29"/>
        </w:numPr>
      </w:pPr>
      <w:r>
        <w:t>Internal irradiation following the ingestion of radionuclides in terrestrial and aquatic foods and drinking water.</w:t>
      </w:r>
    </w:p>
    <w:p w14:paraId="60C2A5B6" w14:textId="77777777" w:rsidR="00FB57E8" w:rsidRDefault="00FB57E8" w:rsidP="00FB57E8">
      <w:pPr>
        <w:pStyle w:val="ListParagraph"/>
        <w:numPr>
          <w:ilvl w:val="0"/>
          <w:numId w:val="29"/>
        </w:numPr>
      </w:pPr>
      <w:r>
        <w:t>Internal irradiation following inadvertent ingestion (e.g. soil, sediment or seawater).</w:t>
      </w:r>
    </w:p>
    <w:p w14:paraId="265C1741" w14:textId="77777777" w:rsidR="00FB57E8" w:rsidRDefault="00FB57E8" w:rsidP="00FB57E8">
      <w:pPr>
        <w:pStyle w:val="ListParagraph"/>
        <w:numPr>
          <w:ilvl w:val="0"/>
          <w:numId w:val="29"/>
        </w:numPr>
      </w:pPr>
      <w:r>
        <w:t>External beta irradiation of skin from exposure due to radionuclides in environmental media.</w:t>
      </w:r>
    </w:p>
    <w:p w14:paraId="35F4CDD0" w14:textId="77777777" w:rsidR="00FB57E8" w:rsidRDefault="00FB57E8" w:rsidP="00FB57E8">
      <w:pPr>
        <w:pStyle w:val="ListParagraph"/>
        <w:numPr>
          <w:ilvl w:val="0"/>
          <w:numId w:val="29"/>
        </w:numPr>
      </w:pPr>
      <w:r>
        <w:t>Internal irradiation from direct absorption of radionuclides through the skin (e.g. tritium).</w:t>
      </w:r>
    </w:p>
    <w:p w14:paraId="0B887D0E" w14:textId="77777777" w:rsidR="00FB57E8" w:rsidRDefault="00FB57E8" w:rsidP="00C91087">
      <w:pPr>
        <w:ind w:left="720" w:hanging="720"/>
      </w:pPr>
      <w:r>
        <w:t>6.4.2</w:t>
      </w:r>
      <w:r>
        <w:tab/>
        <w:t>Where unusual pathways relating to authorised discharges exist at a site then they should be included in the assessment.</w:t>
      </w:r>
    </w:p>
    <w:p w14:paraId="0E32496C" w14:textId="77777777" w:rsidR="00FB57E8" w:rsidRDefault="00FB57E8" w:rsidP="00FB57E8">
      <w:r>
        <w:t>6.4.3</w:t>
      </w:r>
      <w:r>
        <w:tab/>
        <w:t>NDAWG has published guidance on common and unusual exposure pathways [Ref 72].</w:t>
      </w:r>
    </w:p>
    <w:p w14:paraId="674CE304" w14:textId="77777777" w:rsidR="00C91087" w:rsidRDefault="00C91087" w:rsidP="00FB57E8"/>
    <w:p w14:paraId="3A3764B7" w14:textId="77777777" w:rsidR="00FB57E8" w:rsidRDefault="00FB57E8" w:rsidP="00FB57E8">
      <w:pPr>
        <w:pStyle w:val="Heading2"/>
      </w:pPr>
      <w:bookmarkStart w:id="33" w:name="_Toc25569856"/>
      <w:bookmarkStart w:id="34" w:name="_Toc227317383"/>
      <w:r>
        <w:t>6.5</w:t>
      </w:r>
      <w:r>
        <w:tab/>
        <w:t>Identify habits and data for exposure pathways</w:t>
      </w:r>
      <w:bookmarkEnd w:id="33"/>
      <w:bookmarkEnd w:id="34"/>
    </w:p>
    <w:p w14:paraId="7A1F87F5" w14:textId="77777777" w:rsidR="00FB57E8" w:rsidRDefault="00FB57E8" w:rsidP="00C91087">
      <w:pPr>
        <w:ind w:left="720" w:hanging="720"/>
      </w:pPr>
      <w:r>
        <w:t>6.5.1</w:t>
      </w:r>
      <w:r>
        <w:tab/>
        <w:t>Particular habits and behaviours which could lead to exposure of people through the pathways outlined above should be identified. This may be accomplished through local knowledge, commissioning of habit surveys or by reference to generic studies of such habits.</w:t>
      </w:r>
    </w:p>
    <w:p w14:paraId="26AFCD26" w14:textId="77777777" w:rsidR="00FB57E8" w:rsidRPr="00FE7F4E" w:rsidRDefault="00FB57E8" w:rsidP="006C024C">
      <w:pPr>
        <w:pStyle w:val="Heading3"/>
      </w:pPr>
      <w:bookmarkStart w:id="35" w:name="_Toc227317384"/>
      <w:r w:rsidRPr="00FE7F4E">
        <w:t>Atmospheric discharges</w:t>
      </w:r>
      <w:bookmarkEnd w:id="35"/>
    </w:p>
    <w:p w14:paraId="415DEA1F" w14:textId="77777777" w:rsidR="00FB57E8" w:rsidRDefault="00FB57E8" w:rsidP="00FB57E8">
      <w:pPr>
        <w:ind w:left="720" w:hanging="720"/>
      </w:pPr>
      <w:r>
        <w:t>6.5.2</w:t>
      </w:r>
      <w:r>
        <w:tab/>
        <w:t>The key exposure pathways are inhalation, irradiation from deposited activity and consumption of food. The radiation exposures will depend on the concentrations of radionuclides in air and on the ground around the site resulting from the discharges. This depends in turn on the location of the discharge points, the effective height of the release and the atmospheric conditions.</w:t>
      </w:r>
    </w:p>
    <w:p w14:paraId="4AEB6D65" w14:textId="77777777" w:rsidR="00FB57E8" w:rsidRDefault="00FB57E8" w:rsidP="00FB57E8">
      <w:pPr>
        <w:ind w:left="720" w:hanging="720"/>
      </w:pPr>
      <w:r>
        <w:t>6.5.3</w:t>
      </w:r>
      <w:r>
        <w:tab/>
        <w:t xml:space="preserve">For inhalation of radionuclides in the plume, locations with the highest air concentration are required while for external irradiation from deposited material it is the highest ground </w:t>
      </w:r>
      <w:r>
        <w:lastRenderedPageBreak/>
        <w:t xml:space="preserve">deposition that leads to the highest exposures. Locations for assessment might include homes, places of work or places for leisure (e.g. dog walking, fishing). Only occupation of existing buildings need be considered. It is not normally necessary to consider the possibility of additional buildings being erected unless the land is within a planned development area. Where there are no planned developments, a substantial period of occupancy in a new building is unlikely </w:t>
      </w:r>
      <w:proofErr w:type="gramStart"/>
      <w:r>
        <w:t>during the course of</w:t>
      </w:r>
      <w:proofErr w:type="gramEnd"/>
      <w:r>
        <w:t xml:space="preserve"> the permit or authorisation period.</w:t>
      </w:r>
    </w:p>
    <w:p w14:paraId="44D09621" w14:textId="77777777" w:rsidR="00FB57E8" w:rsidRDefault="00FB57E8" w:rsidP="00FB57E8">
      <w:pPr>
        <w:ind w:left="720" w:hanging="720"/>
      </w:pPr>
      <w:r>
        <w:t>6.5.4</w:t>
      </w:r>
      <w:r>
        <w:tab/>
        <w:t xml:space="preserve">Account should be taken of the degree of shielding offered by the building, to reduce the external irradiation exposure, </w:t>
      </w:r>
      <w:proofErr w:type="gramStart"/>
      <w:r>
        <w:t>and also</w:t>
      </w:r>
      <w:proofErr w:type="gramEnd"/>
      <w:r>
        <w:t xml:space="preserve"> occupancy of the building. Generic occupancy data is available for time spent at home by different age groups [Ref 73</w:t>
      </w:r>
      <w:proofErr w:type="gramStart"/>
      <w:r>
        <w:t>],</w:t>
      </w:r>
      <w:proofErr w:type="gramEnd"/>
      <w:r>
        <w:t xml:space="preserve"> detailing time spent indoors and outdoors in the garden. If the building is a workplace only, then assuming occupancy during working hours only is sufficient [e.g. 2000 hours per year, Ref 73]. The combination of occupancy and shielding may mean that the nearest building to the source is not the location for the most exposed group.</w:t>
      </w:r>
    </w:p>
    <w:p w14:paraId="111C530C" w14:textId="77777777" w:rsidR="00FB57E8" w:rsidRDefault="00FB57E8" w:rsidP="00FB57E8">
      <w:pPr>
        <w:ind w:left="720" w:hanging="720"/>
      </w:pPr>
      <w:r>
        <w:t>6.5.5</w:t>
      </w:r>
      <w:r>
        <w:tab/>
        <w:t xml:space="preserve">For discharges to atmosphere it is also necessary to include the transfer of radionuclides to terrestrial foods and their subsequent ingestion by people. The areas of land currently used for agricultural production or where it is reasonably likely that food production could occur, over a period of about 5 years, need to be identified. The assessment will be concerned with those agricultural areas where the deposition from atmosphere is highest. It is possible for people to grow vegetables in their gardens and so it is reasonable to assume that any house nearby could have vegetables growing. It is important to consider the intake of products such as milk and meat from animals such as cattle and sheep that graze outdoors for significant periods. It is also reasonable to assume that any agricultural land nearby could be used for cattle and sheep in the future even if this is not currently the case. It is not normally necessary to consider products from pigs and poultry where they are housed inside and fed from </w:t>
      </w:r>
      <w:proofErr w:type="gramStart"/>
      <w:r>
        <w:t>a number of</w:t>
      </w:r>
      <w:proofErr w:type="gramEnd"/>
      <w:r>
        <w:t xml:space="preserve"> sources most of which will be some distance from the site of interest. However, it is unlikely that a house could change to become a small holding with cattle or </w:t>
      </w:r>
      <w:proofErr w:type="gramStart"/>
      <w:r>
        <w:t>sheep</w:t>
      </w:r>
      <w:proofErr w:type="gramEnd"/>
      <w:r>
        <w:t xml:space="preserve"> so this possibility does not need to be considered. It is also considered unlikely that someone would grow their own grain and so this possibility does not normally need to be considered. Habit surveys may be used to ascertain what food has been produced locally over a period of about the last 5 years.</w:t>
      </w:r>
    </w:p>
    <w:p w14:paraId="06AAABC9" w14:textId="763C28AB" w:rsidR="00FB57E8" w:rsidRDefault="00FB57E8" w:rsidP="00FB57E8">
      <w:pPr>
        <w:ind w:left="720" w:hanging="720"/>
      </w:pPr>
      <w:r>
        <w:lastRenderedPageBreak/>
        <w:t>6.5.6</w:t>
      </w:r>
      <w:r>
        <w:tab/>
        <w:t xml:space="preserve">Agricultural production occurs over significant areas and so it is unrealistic to assume that all food consumed could be produced close to the source of the discharge, unless this is shown to be the case by habit surveys. It might be cautiously assumed that a few foods could be produced over an area which has a centre at </w:t>
      </w:r>
      <w:proofErr w:type="gramStart"/>
      <w:r>
        <w:t>a distance of few</w:t>
      </w:r>
      <w:proofErr w:type="gramEnd"/>
      <w:r>
        <w:t xml:space="preserve"> hundred metres from a premises’ boundary. However, where it is assumed that </w:t>
      </w:r>
      <w:proofErr w:type="gramStart"/>
      <w:r>
        <w:t>a number of</w:t>
      </w:r>
      <w:proofErr w:type="gramEnd"/>
      <w:r>
        <w:t xml:space="preserve"> different types of foods (e.g. milk, meat and vegetables) are produced close to the source of discharge, then it is more realistic to take account of the need for larger grazing areas, movement of livestock around a farm and rotation of crops. Thus, </w:t>
      </w:r>
      <w:proofErr w:type="gramStart"/>
      <w:r>
        <w:t>a distance of 500m</w:t>
      </w:r>
      <w:proofErr w:type="gramEnd"/>
      <w:r>
        <w:t xml:space="preserve"> from the premises’ boundary would be a more realistic minimum distance </w:t>
      </w:r>
      <w:proofErr w:type="gramStart"/>
      <w:r>
        <w:t>for the production of</w:t>
      </w:r>
      <w:proofErr w:type="gramEnd"/>
      <w:r>
        <w:t xml:space="preserve"> food, unless there is evidence to indicate that significant production occurs at a closer distance. It is important that models used in the determination can provide an assessment at these distances.</w:t>
      </w:r>
    </w:p>
    <w:p w14:paraId="5C8CE8E1" w14:textId="77777777" w:rsidR="00FB57E8" w:rsidRDefault="00FB57E8" w:rsidP="00FB57E8">
      <w:pPr>
        <w:ind w:left="720" w:hanging="720"/>
      </w:pPr>
      <w:r>
        <w:t>6.5.7</w:t>
      </w:r>
      <w:r>
        <w:tab/>
        <w:t xml:space="preserve">There is evidence from national and regional habit surveys that people rarely consume more than two foods at high rates [Ref 74]. In assessments where consumption rates for each food type are used, then two foods are assumed to be consumed at high rates while other foods are assumed to be consumed at average rates. The two foods chosen are those which give rise to the highest dose. If assessments utilise </w:t>
      </w:r>
      <w:proofErr w:type="gramStart"/>
      <w:r>
        <w:t>data-sets</w:t>
      </w:r>
      <w:proofErr w:type="gramEnd"/>
      <w:r>
        <w:t xml:space="preserve"> of actual consumption rates for individual people obtained from site specific habit surveys, then it is not necessary to make such assumptions about which foods are consumed at the highest rates. It is normally cautiously assumed that all terrestrial foods are locally produced. The degree of caution resulting from these assumptions can be investigated as part of an uncertainty/variability review (see later).</w:t>
      </w:r>
    </w:p>
    <w:p w14:paraId="24CED5AF" w14:textId="77777777" w:rsidR="00FB57E8" w:rsidRPr="00FE7F4E" w:rsidRDefault="00FB57E8" w:rsidP="006C024C">
      <w:pPr>
        <w:pStyle w:val="Heading3"/>
      </w:pPr>
      <w:bookmarkStart w:id="36" w:name="_Toc227317385"/>
      <w:r w:rsidRPr="00FE7F4E">
        <w:t>Aquatic discharges</w:t>
      </w:r>
      <w:bookmarkEnd w:id="36"/>
    </w:p>
    <w:p w14:paraId="2DE85B2A" w14:textId="77777777" w:rsidR="00FB57E8" w:rsidRDefault="00FB57E8" w:rsidP="00FB57E8">
      <w:pPr>
        <w:ind w:left="720" w:hanging="720"/>
      </w:pPr>
      <w:r>
        <w:t>6.5.8</w:t>
      </w:r>
      <w:r>
        <w:tab/>
        <w:t>For marine discharges, the habits to use in the assessment are likely to include consumption of higher than average amounts of locally caught seafood (fish, crustaceans and/or molluscs) and spending a relatively large amount of time on areas of sediment or sand – leading to exposure to external irradiation (this could also include handling sediment or sand). The candidates for the representative person for marine discharges do not necessarily live close to the source of the discharge.</w:t>
      </w:r>
    </w:p>
    <w:p w14:paraId="45FE23C3" w14:textId="77777777" w:rsidR="00FB57E8" w:rsidRDefault="00FB57E8" w:rsidP="00FB57E8">
      <w:pPr>
        <w:ind w:left="720" w:hanging="720"/>
      </w:pPr>
      <w:r>
        <w:t>6.5.9</w:t>
      </w:r>
      <w:r>
        <w:tab/>
        <w:t xml:space="preserve">The habits to use in an assessment of discharges to freshwater can include consumption of drinking water abstracted from the freshwater environment, angling on riverbanks into which radionuclides have been incorporated and give rise to an external dose rate, </w:t>
      </w:r>
      <w:r>
        <w:lastRenderedPageBreak/>
        <w:t>consumption of freshwater fish, and consumption of food irrigated by the freshwater. The selection and application of habits data should be informed by location specific information on land and water use and by site specific habit data where available.</w:t>
      </w:r>
    </w:p>
    <w:p w14:paraId="41AED0F2" w14:textId="77777777" w:rsidR="00FB57E8" w:rsidRPr="00FE7F4E" w:rsidRDefault="00FB57E8" w:rsidP="006C024C">
      <w:pPr>
        <w:pStyle w:val="Heading3"/>
      </w:pPr>
      <w:bookmarkStart w:id="37" w:name="_Toc227317386"/>
      <w:r w:rsidRPr="00FE7F4E">
        <w:t>Direct radiation</w:t>
      </w:r>
      <w:bookmarkEnd w:id="37"/>
    </w:p>
    <w:p w14:paraId="6A92BD56" w14:textId="77777777" w:rsidR="00FB57E8" w:rsidRDefault="00FB57E8" w:rsidP="00FB57E8">
      <w:pPr>
        <w:ind w:left="720" w:hanging="720"/>
      </w:pPr>
      <w:r>
        <w:t>6.5.10</w:t>
      </w:r>
      <w:r>
        <w:tab/>
        <w:t>For direct radiation exposure, the habits will generally be living or working close to the source of radiation. As for external irradiation from deposited atmospheric discharges, factors such as occupancy and the shielding effects of buildings influence the location of the most exposed group [Ref 75]. It is only necessary to consider existing buildings for assessing direct radiation doses, for the same reasons as atmospheric discharges.</w:t>
      </w:r>
    </w:p>
    <w:p w14:paraId="1A767BE3" w14:textId="77777777" w:rsidR="00FB57E8" w:rsidRDefault="00FB57E8" w:rsidP="00FB57E8">
      <w:pPr>
        <w:ind w:left="720" w:hanging="720"/>
      </w:pPr>
      <w:r>
        <w:t>6.5.11</w:t>
      </w:r>
      <w:r>
        <w:tab/>
        <w:t xml:space="preserve">We do not have regulatory responsibility for ensuring the control of direct radiation from nuclear sites, this is a duty of ONR. However, direct radiation exposure should be considered as an additional dose at the locations where members of the public are exposed to atmospheric and/or aquatic discharges. We will liaise with ONR over the assessment of direct radiation doses from nuclear sites, including the publication of direct radiation </w:t>
      </w:r>
      <w:proofErr w:type="spellStart"/>
      <w:r>
        <w:t>doserates</w:t>
      </w:r>
      <w:proofErr w:type="spellEnd"/>
      <w:r>
        <w:t>.</w:t>
      </w:r>
    </w:p>
    <w:p w14:paraId="4E7B7FAB" w14:textId="77777777" w:rsidR="00FB57E8" w:rsidRDefault="00FB57E8" w:rsidP="00FB57E8">
      <w:r>
        <w:t>6.5.12</w:t>
      </w:r>
      <w:r>
        <w:tab/>
        <w:t>NDAWG has published a guidance note on the assessment of direct radiation [Ref 76].</w:t>
      </w:r>
    </w:p>
    <w:p w14:paraId="72DD928B" w14:textId="77777777" w:rsidR="00FB57E8" w:rsidRPr="008A3216" w:rsidRDefault="00FB57E8" w:rsidP="006C024C">
      <w:pPr>
        <w:pStyle w:val="Heading3"/>
      </w:pPr>
      <w:bookmarkStart w:id="38" w:name="_Toc227317387"/>
      <w:r w:rsidRPr="008A3216">
        <w:t>Habit data</w:t>
      </w:r>
      <w:bookmarkEnd w:id="38"/>
    </w:p>
    <w:p w14:paraId="394BCD04" w14:textId="77777777" w:rsidR="00FB57E8" w:rsidRDefault="00FB57E8" w:rsidP="00FB57E8">
      <w:pPr>
        <w:ind w:left="720" w:hanging="720"/>
      </w:pPr>
      <w:r>
        <w:t>6.5.13</w:t>
      </w:r>
      <w:r>
        <w:tab/>
        <w:t xml:space="preserve">A variety of habits data is required to assess radiation doses. These include intake rates of terrestrial and aquatic foods, water and air together with occupancies of different environments, such as time spent indoors or near sediments. As discussed earlier it is possible to use generic or </w:t>
      </w:r>
      <w:proofErr w:type="gramStart"/>
      <w:r>
        <w:t>site specific</w:t>
      </w:r>
      <w:proofErr w:type="gramEnd"/>
      <w:r>
        <w:t xml:space="preserve"> data and the important factor is that the data are applicable over a period of about 5 years. Both average habit data and higher than average habit data are required to assess doses.</w:t>
      </w:r>
    </w:p>
    <w:p w14:paraId="2C04E94C" w14:textId="77777777" w:rsidR="00FB57E8" w:rsidRDefault="00FB57E8" w:rsidP="00FB57E8">
      <w:pPr>
        <w:ind w:left="720" w:hanging="720"/>
      </w:pPr>
      <w:r>
        <w:t>6.5.14</w:t>
      </w:r>
      <w:r>
        <w:tab/>
        <w:t xml:space="preserve">A compilation of intake rates for a range of foods has been published jointly by the then MAFF and NRPB [Ref 77]. These data include the mean and median intake for consumers that could be used to represent the average </w:t>
      </w:r>
      <w:proofErr w:type="gramStart"/>
      <w:r>
        <w:t>and also</w:t>
      </w:r>
      <w:proofErr w:type="gramEnd"/>
      <w:r>
        <w:t xml:space="preserve"> the 97.5 percentile that can be used for the </w:t>
      </w:r>
      <w:proofErr w:type="gramStart"/>
      <w:r>
        <w:t>higher than average</w:t>
      </w:r>
      <w:proofErr w:type="gramEnd"/>
      <w:r>
        <w:t xml:space="preserve"> habit data. This compilation is based on national surveys and is appropriate for use where there are unlikely to be strong local differences in intakes.</w:t>
      </w:r>
    </w:p>
    <w:p w14:paraId="5376D017" w14:textId="77777777" w:rsidR="00FB57E8" w:rsidRDefault="00FB57E8" w:rsidP="00FB57E8">
      <w:pPr>
        <w:ind w:left="720" w:hanging="720"/>
      </w:pPr>
      <w:r>
        <w:t>6.5.15</w:t>
      </w:r>
      <w:r>
        <w:tab/>
        <w:t xml:space="preserve">For aquatic foods there are likely to be regional or local differences, for example between the intakes of people living in a coastal community and the UK </w:t>
      </w:r>
      <w:proofErr w:type="gramStart"/>
      <w:r>
        <w:t>population as a whole</w:t>
      </w:r>
      <w:proofErr w:type="gramEnd"/>
      <w:r>
        <w:t xml:space="preserve">. </w:t>
      </w:r>
      <w:proofErr w:type="gramStart"/>
      <w:r>
        <w:lastRenderedPageBreak/>
        <w:t>Also</w:t>
      </w:r>
      <w:proofErr w:type="gramEnd"/>
      <w:r>
        <w:t xml:space="preserve"> the availability of </w:t>
      </w:r>
      <w:proofErr w:type="gramStart"/>
      <w:r>
        <w:t>particular seafood</w:t>
      </w:r>
      <w:proofErr w:type="gramEnd"/>
      <w:r>
        <w:t xml:space="preserve"> species varies around the UK. Site specific habit surveys have been carried out for many years to determine the intakes of aquatic foods [Refs 25, 26, 27, 78, 79 &amp; 80]. These surveys are available for the major nuclear sites and a range of different locations for marine, estuarine and freshwater environments. The surveys show existing or past habits and care is required in applying them to prospective authorisation assessments. It is possible to use these </w:t>
      </w:r>
      <w:proofErr w:type="gramStart"/>
      <w:r>
        <w:t>site specific</w:t>
      </w:r>
      <w:proofErr w:type="gramEnd"/>
      <w:r>
        <w:t xml:space="preserve"> data to obtain a more generic set of intakes for use in authorisation assessments (for example, see Reference 73).</w:t>
      </w:r>
    </w:p>
    <w:p w14:paraId="1019E723" w14:textId="77777777" w:rsidR="00FB57E8" w:rsidRDefault="00FB57E8" w:rsidP="00FB57E8">
      <w:pPr>
        <w:ind w:left="720" w:hanging="720"/>
      </w:pPr>
      <w:r>
        <w:t>6.5.16</w:t>
      </w:r>
      <w:r>
        <w:tab/>
        <w:t xml:space="preserve">Habit surveys have shown that there are generally less local and regional differences in intakes for terrestrial foods compared to aquatic foods. </w:t>
      </w:r>
      <w:proofErr w:type="gramStart"/>
      <w:r>
        <w:t>Therefore</w:t>
      </w:r>
      <w:proofErr w:type="gramEnd"/>
      <w:r>
        <w:t xml:space="preserve"> the use of generic intake rates for terrestrial foods [e.g. Refs 73 &amp; 77] is unlikely to lead to unrealistic assessments. Where site specific studies identify higher intake rates that are reasonably likely to continue over a period of about 5 years, then these should be used.</w:t>
      </w:r>
    </w:p>
    <w:p w14:paraId="4CC4E8F4" w14:textId="77777777" w:rsidR="00FB57E8" w:rsidRDefault="00FB57E8" w:rsidP="00FB57E8">
      <w:pPr>
        <w:ind w:left="720" w:hanging="720"/>
      </w:pPr>
      <w:r>
        <w:t>6.5.17</w:t>
      </w:r>
      <w:r>
        <w:tab/>
        <w:t xml:space="preserve">Generic and </w:t>
      </w:r>
      <w:proofErr w:type="gramStart"/>
      <w:r>
        <w:t>site specific</w:t>
      </w:r>
      <w:proofErr w:type="gramEnd"/>
      <w:r>
        <w:t xml:space="preserve"> data on occupancies are also available [Refs 73 &amp; 78]. As for terrestrial food intakes, generic habit data may be used, unless site specific studies identify higher occupancy.</w:t>
      </w:r>
    </w:p>
    <w:p w14:paraId="3929BE2B" w14:textId="77777777" w:rsidR="00FB57E8" w:rsidRDefault="00FB57E8" w:rsidP="00FB57E8">
      <w:pPr>
        <w:ind w:left="720" w:hanging="720"/>
      </w:pPr>
      <w:r>
        <w:t>6.5.18</w:t>
      </w:r>
      <w:r>
        <w:tab/>
        <w:t>Further guidance on the evaluation and use of habits data for prospective assessments including site specific and generic data has been presented by the NDAWG [Ref 81].</w:t>
      </w:r>
    </w:p>
    <w:p w14:paraId="1171562F" w14:textId="77777777" w:rsidR="00FB57E8" w:rsidRDefault="00FB57E8" w:rsidP="00363DBD">
      <w:pPr>
        <w:pStyle w:val="Heading2"/>
        <w:ind w:left="720" w:hanging="720"/>
      </w:pPr>
      <w:bookmarkStart w:id="39" w:name="_Toc25569857"/>
      <w:bookmarkStart w:id="40" w:name="_Toc227317388"/>
      <w:r>
        <w:t>6.6</w:t>
      </w:r>
      <w:r>
        <w:tab/>
        <w:t>Determine candidates for the representative person from realistic combinations of habits</w:t>
      </w:r>
      <w:bookmarkEnd w:id="39"/>
      <w:bookmarkEnd w:id="40"/>
    </w:p>
    <w:p w14:paraId="44040564" w14:textId="77777777" w:rsidR="00FB57E8" w:rsidRDefault="00FB57E8" w:rsidP="003B3AA8">
      <w:pPr>
        <w:ind w:left="720" w:hanging="720"/>
      </w:pPr>
      <w:r>
        <w:t>6.6.1</w:t>
      </w:r>
      <w:r>
        <w:tab/>
        <w:t xml:space="preserve">Candidates for the representative person will need to be identified with </w:t>
      </w:r>
      <w:proofErr w:type="gramStart"/>
      <w:r>
        <w:t>particular combinations</w:t>
      </w:r>
      <w:proofErr w:type="gramEnd"/>
      <w:r>
        <w:t xml:space="preserve"> of habits, both higher than average and average, based on local knowledge and plausible assumptions. These combinations of habits will need to be realistic and not lead to implausible situations such as a full-time working person spending an equal proportion of the day on leisure activities or a person having an excessive calorie intake.</w:t>
      </w:r>
    </w:p>
    <w:p w14:paraId="694FAFA2" w14:textId="77777777" w:rsidR="00FB57E8" w:rsidRDefault="00FB57E8" w:rsidP="003B3AA8">
      <w:pPr>
        <w:ind w:left="720" w:hanging="720"/>
      </w:pPr>
      <w:r>
        <w:t>6.6.2</w:t>
      </w:r>
      <w:r>
        <w:tab/>
        <w:t xml:space="preserve">A full range of exposure pathways should be considered for each of the candidates for the representative person. For example, the people who are candidates for the representative person due to their direct radiation exposure from the site will also be exposed due to any atmospheric discharges and depending on the circumstances could be exposed due to the aquatic discharges. However, in most cases it is not realistic to assume that the same people are most exposed from all pathways and so a simple addition of doses attributed to different pathways is not necessarily appropriate. Instead, </w:t>
      </w:r>
      <w:r>
        <w:lastRenderedPageBreak/>
        <w:t xml:space="preserve">a combination of habits typical of average and most exposed people may be assumed. For example, the candidates for the representative person who eat locally produced terrestrial foods at </w:t>
      </w:r>
      <w:proofErr w:type="gramStart"/>
      <w:r>
        <w:t>higher than average</w:t>
      </w:r>
      <w:proofErr w:type="gramEnd"/>
      <w:r>
        <w:t xml:space="preserve"> rates, could be assumed to eat a proportion of locally produced aquatic foods at average rates.</w:t>
      </w:r>
    </w:p>
    <w:p w14:paraId="3111BFAE" w14:textId="77777777" w:rsidR="00FB57E8" w:rsidRDefault="00FB57E8" w:rsidP="003B3AA8">
      <w:pPr>
        <w:ind w:left="720" w:hanging="720"/>
      </w:pPr>
      <w:r>
        <w:t>6.6.3</w:t>
      </w:r>
      <w:r>
        <w:tab/>
        <w:t xml:space="preserve">Candidates for the representative person may </w:t>
      </w:r>
      <w:proofErr w:type="gramStart"/>
      <w:r>
        <w:t>be located in</w:t>
      </w:r>
      <w:proofErr w:type="gramEnd"/>
      <w:r>
        <w:t xml:space="preserve"> areas remote from the site </w:t>
      </w:r>
      <w:proofErr w:type="gramStart"/>
      <w:r>
        <w:t>as a result of</w:t>
      </w:r>
      <w:proofErr w:type="gramEnd"/>
      <w:r>
        <w:t xml:space="preserve"> discharge to sewer or the interplay of dispersion and accumulation mechanisms in the environment. Sometimes, it may be necessary to consider candidates for the representative person from different countries within the UK and to assess doses to the population of other European countries close to the UK.</w:t>
      </w:r>
    </w:p>
    <w:p w14:paraId="10F34A49" w14:textId="77777777" w:rsidR="00FB57E8" w:rsidRDefault="00FB57E8" w:rsidP="003B3AA8">
      <w:pPr>
        <w:ind w:left="720" w:hanging="720"/>
      </w:pPr>
      <w:r>
        <w:t>6.6.4</w:t>
      </w:r>
      <w:r>
        <w:tab/>
      </w:r>
      <w:r w:rsidRPr="00A13716">
        <w:t>The Environment Agencies, Food Standards Agency and the Office of Nuclear Regulation have commissioned combined (terrestrial and marine pathway and direct radiation pathway) habit surveys in England, Wales and Scotland to provide information on real cases of combinations of exposure pathways. The results of these studies are published (see the RIFE series of reports [Ref 29] for the references to the most recent habit surveys) and form the basis for defining the habits of the representative person.</w:t>
      </w:r>
    </w:p>
    <w:p w14:paraId="60757E5A" w14:textId="77777777" w:rsidR="00FB57E8" w:rsidRDefault="00FB57E8" w:rsidP="00FB57E8">
      <w:r>
        <w:t>6.6.5</w:t>
      </w:r>
      <w:r>
        <w:tab/>
        <w:t>Typical candidates for the representative person may include the following:</w:t>
      </w:r>
    </w:p>
    <w:p w14:paraId="167D2681" w14:textId="77777777" w:rsidR="00FB57E8" w:rsidRDefault="00FB57E8" w:rsidP="00FB57E8">
      <w:pPr>
        <w:pStyle w:val="ListParagraph"/>
        <w:numPr>
          <w:ilvl w:val="0"/>
          <w:numId w:val="30"/>
        </w:numPr>
      </w:pPr>
      <w:r>
        <w:t>Consumers of shellfish and fish who spend time on contaminated sediments collecting shellfish.</w:t>
      </w:r>
    </w:p>
    <w:p w14:paraId="5A3AD43D" w14:textId="77777777" w:rsidR="00FB57E8" w:rsidRDefault="00FB57E8" w:rsidP="00FB57E8">
      <w:pPr>
        <w:pStyle w:val="ListParagraph"/>
        <w:numPr>
          <w:ilvl w:val="0"/>
          <w:numId w:val="30"/>
        </w:numPr>
      </w:pPr>
      <w:r>
        <w:t xml:space="preserve">Fisherman who </w:t>
      </w:r>
      <w:proofErr w:type="gramStart"/>
      <w:r>
        <w:t>dig</w:t>
      </w:r>
      <w:proofErr w:type="gramEnd"/>
      <w:r>
        <w:t xml:space="preserve"> </w:t>
      </w:r>
      <w:proofErr w:type="gramStart"/>
      <w:r>
        <w:t>bait, and</w:t>
      </w:r>
      <w:proofErr w:type="gramEnd"/>
      <w:r>
        <w:t xml:space="preserve"> catch and eat fish.</w:t>
      </w:r>
    </w:p>
    <w:p w14:paraId="1DED1CE7" w14:textId="77777777" w:rsidR="00FB57E8" w:rsidRDefault="00FB57E8" w:rsidP="00FB57E8">
      <w:pPr>
        <w:pStyle w:val="ListParagraph"/>
        <w:numPr>
          <w:ilvl w:val="0"/>
          <w:numId w:val="30"/>
        </w:numPr>
      </w:pPr>
      <w:r>
        <w:t>People who eat local terrestrial produce and walk dogs on a beach.</w:t>
      </w:r>
    </w:p>
    <w:p w14:paraId="2C7A7D3F" w14:textId="77777777" w:rsidR="00FB57E8" w:rsidRDefault="00FB57E8" w:rsidP="00FB57E8">
      <w:pPr>
        <w:pStyle w:val="ListParagraph"/>
        <w:numPr>
          <w:ilvl w:val="0"/>
          <w:numId w:val="30"/>
        </w:numPr>
      </w:pPr>
      <w:r>
        <w:t>People who eat local fish and shellfish and local terrestrial produce.</w:t>
      </w:r>
    </w:p>
    <w:p w14:paraId="72239D9F" w14:textId="77777777" w:rsidR="00FB57E8" w:rsidRDefault="00FB57E8" w:rsidP="00FB57E8">
      <w:pPr>
        <w:pStyle w:val="ListParagraph"/>
        <w:numPr>
          <w:ilvl w:val="0"/>
          <w:numId w:val="30"/>
        </w:numPr>
      </w:pPr>
      <w:r>
        <w:t>Farmers who work outdoors close to site and eat local terrestrial produce.</w:t>
      </w:r>
    </w:p>
    <w:p w14:paraId="3BA6ACF2" w14:textId="77777777" w:rsidR="009E5A0D" w:rsidRDefault="009E5A0D" w:rsidP="009E5A0D">
      <w:pPr>
        <w:pStyle w:val="Heading2"/>
      </w:pPr>
      <w:bookmarkStart w:id="41" w:name="_Toc25569858"/>
      <w:bookmarkStart w:id="42" w:name="_Toc227317389"/>
      <w:r>
        <w:t>6.7</w:t>
      </w:r>
      <w:r>
        <w:tab/>
        <w:t>Estimate doses for candidates for the representative person</w:t>
      </w:r>
      <w:bookmarkEnd w:id="41"/>
      <w:bookmarkEnd w:id="42"/>
    </w:p>
    <w:p w14:paraId="04459EB4" w14:textId="77777777" w:rsidR="009E5A0D" w:rsidRDefault="009E5A0D" w:rsidP="009E5A0D">
      <w:pPr>
        <w:ind w:left="720" w:hanging="720"/>
      </w:pPr>
      <w:r>
        <w:t>6.7.1</w:t>
      </w:r>
      <w:r>
        <w:tab/>
        <w:t xml:space="preserve">Dose coefficients are required to calculate the radiation doses arising from intakes of radionuclides into the body. A full range of dose coefficients for intakes by inhalation and ingestion has been published in the BSSD. It is a requirement of the BSSD that the dose coefficients are used. They are the same dose coefficients for intakes by inhalation and ingestion that have been published by ICRP [Ref 82] and by IAEA [Ref 83]. From </w:t>
      </w:r>
      <w:proofErr w:type="gramStart"/>
      <w:r>
        <w:t>time to time</w:t>
      </w:r>
      <w:proofErr w:type="gramEnd"/>
      <w:r>
        <w:t xml:space="preserve"> HPA may advise the use of different dose coefficients to those provided in Euratom Basic Safety Standards Directive for certain situations. Where HPA provide such </w:t>
      </w:r>
      <w:proofErr w:type="gramStart"/>
      <w:r>
        <w:t>advice</w:t>
      </w:r>
      <w:proofErr w:type="gramEnd"/>
      <w:r>
        <w:t xml:space="preserve"> it will be </w:t>
      </w:r>
      <w:proofErr w:type="gramStart"/>
      <w:r>
        <w:t>taken into account</w:t>
      </w:r>
      <w:proofErr w:type="gramEnd"/>
      <w:r>
        <w:t>.</w:t>
      </w:r>
    </w:p>
    <w:p w14:paraId="7DE60A3F" w14:textId="77777777" w:rsidR="009E5A0D" w:rsidRDefault="009E5A0D" w:rsidP="009E5A0D">
      <w:pPr>
        <w:ind w:left="720" w:hanging="720"/>
      </w:pPr>
      <w:r>
        <w:lastRenderedPageBreak/>
        <w:t>6.7.2</w:t>
      </w:r>
      <w:r>
        <w:tab/>
        <w:t xml:space="preserve">The dose coefficients for internal irradiation relate the intake of activity (Bq) to the committed effective dose (Sv) and are available for </w:t>
      </w:r>
      <w:proofErr w:type="gramStart"/>
      <w:r>
        <w:t>a number of</w:t>
      </w:r>
      <w:proofErr w:type="gramEnd"/>
      <w:r>
        <w:t xml:space="preserve"> ages and, in the case of inhalation dose coefficients, common chemical forms for each radionuclide. If specific information on chemical form is not </w:t>
      </w:r>
      <w:proofErr w:type="gramStart"/>
      <w:r>
        <w:t>available</w:t>
      </w:r>
      <w:proofErr w:type="gramEnd"/>
      <w:r>
        <w:t xml:space="preserve"> then the defaults recommended in ICRP Publication 72 [ref 80] should be used. It is not appropriate to use the chemical form that leads to the highest dose coefficient in all cases. Based on an understanding of the processes involved, expert judgement should be used to determine the most appropriate chemical form for use in the assessment.</w:t>
      </w:r>
    </w:p>
    <w:p w14:paraId="7D240F30" w14:textId="7CF11EA7" w:rsidR="009E5A0D" w:rsidRDefault="009E5A0D" w:rsidP="009E5A0D">
      <w:pPr>
        <w:ind w:left="720" w:hanging="720"/>
      </w:pPr>
      <w:r>
        <w:t>6.7.3</w:t>
      </w:r>
      <w:r>
        <w:tab/>
        <w:t>For calculating effective doses and equivalent doses from external irradiation, standard models exist as well as compilations of dose coefficients [e.g. Ref 59, 71]. It is important to note that when calculating equivalent doses to the skin this should be the average dose over an area of 1cm</w:t>
      </w:r>
      <w:r w:rsidRPr="008A3216">
        <w:rPr>
          <w:vertAlign w:val="superscript"/>
        </w:rPr>
        <w:t>2</w:t>
      </w:r>
      <w:r>
        <w:t xml:space="preserve"> to compare to the dose limit.</w:t>
      </w:r>
    </w:p>
    <w:p w14:paraId="6B67B1D3" w14:textId="77777777" w:rsidR="009E5A0D" w:rsidRDefault="009E5A0D" w:rsidP="009E5A0D">
      <w:pPr>
        <w:pStyle w:val="Heading2"/>
      </w:pPr>
      <w:bookmarkStart w:id="43" w:name="_Toc25569859"/>
      <w:bookmarkStart w:id="44" w:name="_Toc227317390"/>
      <w:r>
        <w:t>6.8</w:t>
      </w:r>
      <w:r>
        <w:tab/>
        <w:t>Determine the representative person</w:t>
      </w:r>
      <w:bookmarkEnd w:id="43"/>
      <w:bookmarkEnd w:id="44"/>
    </w:p>
    <w:p w14:paraId="041DE291" w14:textId="77777777" w:rsidR="009E5A0D" w:rsidRDefault="009E5A0D" w:rsidP="009E5A0D">
      <w:pPr>
        <w:ind w:left="720" w:hanging="720"/>
      </w:pPr>
      <w:r>
        <w:t>6.8.1</w:t>
      </w:r>
      <w:r>
        <w:tab/>
        <w:t>The term ‘representative person’ is used solely to refer to an individual receiving a dose that is representative of the more highly exposed individuals in the population. The dose to the representative person will result from a combination of exposure pathways arising from all routes of discharge and include exposure due to direct radiation from the site. It is not appropriate to define separate representative persons for discharges to different environmental media. The dose to the representative person will be compared with the source or site constraint as appropriate.</w:t>
      </w:r>
    </w:p>
    <w:p w14:paraId="09899258" w14:textId="77777777" w:rsidR="009E5A0D" w:rsidRDefault="009E5A0D" w:rsidP="009E5A0D">
      <w:pPr>
        <w:pStyle w:val="Heading2"/>
      </w:pPr>
      <w:bookmarkStart w:id="45" w:name="_Toc25569860"/>
      <w:bookmarkStart w:id="46" w:name="_Toc227317391"/>
      <w:r>
        <w:t>6.9</w:t>
      </w:r>
      <w:r>
        <w:tab/>
        <w:t>Total dose</w:t>
      </w:r>
      <w:bookmarkEnd w:id="45"/>
      <w:bookmarkEnd w:id="46"/>
    </w:p>
    <w:p w14:paraId="7DC00040" w14:textId="77777777" w:rsidR="009E5A0D" w:rsidRDefault="009E5A0D" w:rsidP="009E5A0D">
      <w:pPr>
        <w:ind w:left="720" w:hanging="720"/>
      </w:pPr>
      <w:r>
        <w:t>6.9.1</w:t>
      </w:r>
      <w:r>
        <w:tab/>
        <w:t>In order to make a comparison with the dose limit, significant future exposures arising from historical discharges from the site, historical and future discharges from other sites in the locality and future direct radiation from other sites will need to be added to future discharges and direct radiation from the site. Expert judgement will be required to determine those discharges and direct radiation sources which are likely be significant, but those which are likely to give rise to a dose greater than 10% of the dose arising from the source under consideration might be regarded as requiring an assessment. The representative person for total dose may be different to that assessed for comparison against the source or site constraint.</w:t>
      </w:r>
    </w:p>
    <w:p w14:paraId="4E77774E" w14:textId="45A0D424" w:rsidR="006C024C" w:rsidRDefault="009E5A0D" w:rsidP="00C91087">
      <w:pPr>
        <w:ind w:left="720" w:hanging="720"/>
      </w:pPr>
      <w:r>
        <w:lastRenderedPageBreak/>
        <w:t>6.9.2</w:t>
      </w:r>
      <w:r>
        <w:tab/>
        <w:t>Modelling of the transfer of radionuclides in the environment and food-chain can be used. However, it may be possible to use the results of published retrospective assessments which utilise radiological environmental monitoring data, such as those produced by site operator</w:t>
      </w:r>
      <w:r w:rsidRPr="00A13716">
        <w:t>s, Environment Agencies [e.g. Ref 52]; the Environment Agencies and the Food Standards Agency [Refs 25, 26, 27, 28 &amp; 29];or the HPA [e.g. Ref 46].</w:t>
      </w:r>
    </w:p>
    <w:p w14:paraId="5B82D7E2" w14:textId="062CF25C" w:rsidR="008673D1" w:rsidRPr="008673D1" w:rsidRDefault="006C024C" w:rsidP="006C024C">
      <w:pPr>
        <w:spacing w:line="240" w:lineRule="auto"/>
      </w:pPr>
      <w:r>
        <w:br w:type="page"/>
      </w:r>
    </w:p>
    <w:p w14:paraId="0E3AB0AD" w14:textId="77777777" w:rsidR="009E5A0D" w:rsidRDefault="009E5A0D" w:rsidP="009E5A0D">
      <w:pPr>
        <w:pStyle w:val="Heading1"/>
      </w:pPr>
      <w:bookmarkStart w:id="47" w:name="_Toc227317392"/>
      <w:r>
        <w:lastRenderedPageBreak/>
        <w:t>7</w:t>
      </w:r>
      <w:r>
        <w:tab/>
        <w:t>Short term release assessment</w:t>
      </w:r>
      <w:bookmarkEnd w:id="47"/>
    </w:p>
    <w:p w14:paraId="31B837DD" w14:textId="77777777" w:rsidR="00FD286D" w:rsidRDefault="00FD286D" w:rsidP="00FD286D">
      <w:pPr>
        <w:ind w:left="720" w:hanging="720"/>
      </w:pPr>
      <w:r>
        <w:t>7.1</w:t>
      </w:r>
      <w:r>
        <w:tab/>
        <w:t xml:space="preserve">Operational </w:t>
      </w:r>
      <w:proofErr w:type="gramStart"/>
      <w:r>
        <w:t>short term</w:t>
      </w:r>
      <w:proofErr w:type="gramEnd"/>
      <w:r>
        <w:t xml:space="preserve"> releases of a significant proportion of the 12-month discharge limit can occur </w:t>
      </w:r>
      <w:proofErr w:type="gramStart"/>
      <w:r>
        <w:t>as a result of</w:t>
      </w:r>
      <w:proofErr w:type="gramEnd"/>
      <w:r>
        <w:t xml:space="preserve"> variations in site production, restricted nuclear medicine treatment days within hospitals or </w:t>
      </w:r>
      <w:proofErr w:type="gramStart"/>
      <w:r>
        <w:t>particular projects</w:t>
      </w:r>
      <w:proofErr w:type="gramEnd"/>
      <w:r>
        <w:t xml:space="preserve"> (e.g. decommissioning activities).</w:t>
      </w:r>
    </w:p>
    <w:p w14:paraId="0343E365" w14:textId="77777777" w:rsidR="00FD286D" w:rsidRDefault="00FD286D" w:rsidP="00FD286D">
      <w:pPr>
        <w:ind w:left="720" w:hanging="720"/>
      </w:pPr>
      <w:r>
        <w:t>7.2</w:t>
      </w:r>
      <w:r>
        <w:tab/>
        <w:t>The dose to the representative person which is assessed for releases at the annual or 12-month rolling discharge authorisation limits, assumes that the activity is discharged continuously and uniformly throughout the year. In practice, discharges are unlikely to be entirely uniformly continuous. Indeed, radioactive waste discharged to the aquatic environment, is generally accumulated in tanks prior to discharge which then occurs over a short period each day. Given the other uncertainties in the assessment process, the results based on continuous release are appropriate for these normal operational daily variations in discharges.</w:t>
      </w:r>
    </w:p>
    <w:p w14:paraId="5E773F74" w14:textId="2E34093F" w:rsidR="00FD286D" w:rsidRDefault="00FD286D" w:rsidP="00FD286D">
      <w:pPr>
        <w:ind w:left="720" w:hanging="720"/>
      </w:pPr>
      <w:r>
        <w:t>7.3</w:t>
      </w:r>
      <w:r>
        <w:tab/>
        <w:t>However, if a significant proportion of the 12-month permit or authorisation limit (e.g. ≥2% of 12-monthly actual or expected discharges) was released operationally in a short time period (e.g. ≤1 day), this could lead to a higher annual dose to the representative person than that assessed for a uniform release rate over the year for the following reasons:</w:t>
      </w:r>
    </w:p>
    <w:p w14:paraId="1FCA33F7" w14:textId="77777777" w:rsidR="00FD286D" w:rsidRDefault="00FD286D" w:rsidP="00FD286D">
      <w:pPr>
        <w:pStyle w:val="ListParagraph"/>
        <w:numPr>
          <w:ilvl w:val="0"/>
          <w:numId w:val="31"/>
        </w:numPr>
      </w:pPr>
      <w:r>
        <w:t xml:space="preserve">Over the short </w:t>
      </w:r>
      <w:proofErr w:type="gramStart"/>
      <w:r>
        <w:t>time period</w:t>
      </w:r>
      <w:proofErr w:type="gramEnd"/>
      <w:r>
        <w:t xml:space="preserve"> that the release occurred, dispersion in the environment could be more localised than average dispersion over a year. This could lead to higher activity concentrations in a few parts of the environment, including areas where food is produced.</w:t>
      </w:r>
      <w:r>
        <w:br/>
        <w:t>In the case of discharges to atmosphere, this might be due to occurrence of meteorological conditions leading to poor dispersion (e.g. inversion conditions at night or during anticyclones) and the wind blowing in one direction for the duration of the release. For discharges to water, this could be a result of low flow conditions in rivers etc., such as can occur during summer months.</w:t>
      </w:r>
    </w:p>
    <w:p w14:paraId="2B3847A6" w14:textId="77777777" w:rsidR="00FD286D" w:rsidRDefault="00FD286D" w:rsidP="00FD286D">
      <w:pPr>
        <w:pStyle w:val="ListParagraph"/>
        <w:numPr>
          <w:ilvl w:val="0"/>
          <w:numId w:val="31"/>
        </w:numPr>
      </w:pPr>
      <w:r>
        <w:t>For releases to atmosphere during rainfall this will lead to greater local deposition of radionuclides.</w:t>
      </w:r>
    </w:p>
    <w:p w14:paraId="292178A2" w14:textId="77777777" w:rsidR="00FD286D" w:rsidRDefault="00FD286D" w:rsidP="00FD286D">
      <w:pPr>
        <w:pStyle w:val="ListParagraph"/>
        <w:numPr>
          <w:ilvl w:val="0"/>
          <w:numId w:val="31"/>
        </w:numPr>
      </w:pPr>
      <w:r>
        <w:t>Occupancy habits may change through the seasons. For example, swimming in the sea or angling may occur more frequently in summer.</w:t>
      </w:r>
    </w:p>
    <w:p w14:paraId="041DA3B7" w14:textId="77777777" w:rsidR="00FD286D" w:rsidRDefault="00FD286D" w:rsidP="00FD286D">
      <w:pPr>
        <w:pStyle w:val="ListParagraph"/>
        <w:numPr>
          <w:ilvl w:val="0"/>
          <w:numId w:val="31"/>
        </w:numPr>
      </w:pPr>
      <w:r>
        <w:t xml:space="preserve">Food may be ready for harvesting shortly after the release leading to higher activity concentrations in the food than would have been assumed. Also, some foods (e.g. </w:t>
      </w:r>
      <w:r>
        <w:lastRenderedPageBreak/>
        <w:t>root vegetables and fruit) may be stored for consumption for many months after harvesting, giving prolonged exposure.</w:t>
      </w:r>
    </w:p>
    <w:p w14:paraId="001E5430" w14:textId="77777777" w:rsidR="00FD286D" w:rsidRDefault="00FD286D" w:rsidP="00FD286D">
      <w:pPr>
        <w:ind w:left="720" w:hanging="720"/>
      </w:pPr>
      <w:r>
        <w:t>7.4</w:t>
      </w:r>
      <w:r>
        <w:tab/>
        <w:t>It should be noted that, conversely, short term releases could occur at times which would lead to lower doses (e.g. during winter when milk is produced by cows which are not grazing outdoors).</w:t>
      </w:r>
    </w:p>
    <w:p w14:paraId="26906B76" w14:textId="6126358C" w:rsidR="00FD286D" w:rsidRDefault="00FD286D" w:rsidP="00FD286D">
      <w:pPr>
        <w:ind w:left="720" w:hanging="720"/>
      </w:pPr>
      <w:r>
        <w:t>7.5</w:t>
      </w:r>
      <w:r>
        <w:tab/>
        <w:t xml:space="preserve">We may decide to impose short term (i.e. daily, weekly, monthly or quarterly) notification levels or limits as a preventative measure to constrain doses from operational </w:t>
      </w:r>
      <w:proofErr w:type="gramStart"/>
      <w:r>
        <w:t>short term</w:t>
      </w:r>
      <w:proofErr w:type="gramEnd"/>
      <w:r>
        <w:t xml:space="preserve"> releases. Dose assessments for discharges at short term limits or notification levels will need to follow the same principles as those used to assess doses from annual discharges. The assessment process may start with an initial assessment and then adopt more realistic assumptions if the cautiously estimated doses exceed 0.02mSv/y.</w:t>
      </w:r>
    </w:p>
    <w:p w14:paraId="3BB86E78" w14:textId="07995CA9" w:rsidR="001B46F5" w:rsidRDefault="00FD286D" w:rsidP="004855C7">
      <w:pPr>
        <w:ind w:left="720" w:hanging="720"/>
      </w:pPr>
      <w:r>
        <w:t>7.6</w:t>
      </w:r>
      <w:r>
        <w:tab/>
        <w:t xml:space="preserve">The dose from operational </w:t>
      </w:r>
      <w:proofErr w:type="gramStart"/>
      <w:r>
        <w:t>short term</w:t>
      </w:r>
      <w:proofErr w:type="gramEnd"/>
      <w:r>
        <w:t xml:space="preserve"> discharges which might occur during a year at notification levels or limits may be compared with the source dose constraint of 0.3mSv/y and the dose limit of 1mSv/y. Where the total discharges from short term releases in the year are less than the </w:t>
      </w:r>
      <w:proofErr w:type="gramStart"/>
      <w:r>
        <w:t>12 month</w:t>
      </w:r>
      <w:proofErr w:type="gramEnd"/>
      <w:r>
        <w:t xml:space="preserve"> discharge limits, the dose assessment should </w:t>
      </w:r>
      <w:proofErr w:type="gramStart"/>
      <w:r>
        <w:t>take into account</w:t>
      </w:r>
      <w:proofErr w:type="gramEnd"/>
      <w:r>
        <w:t xml:space="preserve"> continuous discharges during the remainder of the year up to the 12-month discharge limits.</w:t>
      </w:r>
    </w:p>
    <w:p w14:paraId="4EA41C9A" w14:textId="6AF7D288" w:rsidR="001B46F5" w:rsidRDefault="00933369" w:rsidP="00933369">
      <w:r w:rsidRPr="0096745E">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4054A551" wp14:editId="0A56DC49">
                <wp:simplePos x="0" y="0"/>
                <wp:positionH relativeFrom="margin">
                  <wp:posOffset>0</wp:posOffset>
                </wp:positionH>
                <wp:positionV relativeFrom="paragraph">
                  <wp:posOffset>304800</wp:posOffset>
                </wp:positionV>
                <wp:extent cx="6497320" cy="1404620"/>
                <wp:effectExtent l="0" t="0" r="0" b="0"/>
                <wp:wrapSquare wrapText="bothSides"/>
                <wp:docPr id="180002349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37A9F4AC" w14:textId="4EE81491" w:rsidR="00933369" w:rsidRPr="0096745E" w:rsidRDefault="00933369" w:rsidP="00933369">
                            <w:pPr>
                              <w:pStyle w:val="BodyText1"/>
                              <w:spacing w:before="240"/>
                              <w:rPr>
                                <w:color w:val="FFFFFF"/>
                              </w:rPr>
                            </w:pPr>
                            <w:r w:rsidRPr="00933369">
                              <w:rPr>
                                <w:color w:val="FFFFFF"/>
                              </w:rPr>
                              <w:t>Principle 11</w:t>
                            </w:r>
                            <w:r>
                              <w:rPr>
                                <w:color w:val="FFFFFF"/>
                              </w:rPr>
                              <w:t xml:space="preserve">: </w:t>
                            </w:r>
                            <w:r w:rsidRPr="00933369">
                              <w:rPr>
                                <w:color w:val="FFFFFF"/>
                              </w:rPr>
                              <w:t xml:space="preserve">The dose assessed for operational </w:t>
                            </w:r>
                            <w:proofErr w:type="gramStart"/>
                            <w:r w:rsidRPr="00933369">
                              <w:rPr>
                                <w:color w:val="FFFFFF"/>
                              </w:rPr>
                              <w:t>short term</w:t>
                            </w:r>
                            <w:proofErr w:type="gramEnd"/>
                            <w:r w:rsidRPr="00933369">
                              <w:rPr>
                                <w:color w:val="FFFFFF"/>
                              </w:rPr>
                              <w:t xml:space="preserve"> release at proposed notification levels or limits should be compared with the source constraint (maximum of 0.3mSv/y) and the dose limit (1mSv/y), </w:t>
                            </w:r>
                            <w:proofErr w:type="gramStart"/>
                            <w:r w:rsidRPr="00933369">
                              <w:rPr>
                                <w:color w:val="FFFFFF"/>
                              </w:rPr>
                              <w:t>taking into account</w:t>
                            </w:r>
                            <w:proofErr w:type="gramEnd"/>
                            <w:r w:rsidRPr="00933369">
                              <w:rPr>
                                <w:color w:val="FFFFFF"/>
                              </w:rPr>
                              <w:t xml:space="preserve"> remaining continuous discharges during the remainder of the year and contributions from other relevant sources under control.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54A551"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pt;width:511.6pt;height:110.6pt;z-index:25165824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" fillcolor="#016574" stroked="f">
                <v:textbox style="mso-fit-shape-to-text:t">
                  <w:txbxContent>
                    <w:p w14:paraId="37A9F4AC" w14:textId="4EE81491" w:rsidR="00933369" w:rsidRPr="0096745E" w:rsidRDefault="00933369" w:rsidP="00933369">
                      <w:pPr>
                        <w:pStyle w:val="BodyText1"/>
                        <w:spacing w:before="240"/>
                        <w:rPr>
                          <w:color w:val="FFFFFF"/>
                        </w:rPr>
                      </w:pPr>
                      <w:r w:rsidRPr="00933369">
                        <w:rPr>
                          <w:color w:val="FFFFFF"/>
                        </w:rPr>
                        <w:t>Principle 11</w:t>
                      </w:r>
                      <w:r>
                        <w:rPr>
                          <w:color w:val="FFFFFF"/>
                        </w:rPr>
                        <w:t xml:space="preserve">: </w:t>
                      </w:r>
                      <w:r w:rsidRPr="00933369">
                        <w:rPr>
                          <w:color w:val="FFFFFF"/>
                        </w:rPr>
                        <w:t xml:space="preserve">The dose assessed for operational </w:t>
                      </w:r>
                      <w:proofErr w:type="gramStart"/>
                      <w:r w:rsidRPr="00933369">
                        <w:rPr>
                          <w:color w:val="FFFFFF"/>
                        </w:rPr>
                        <w:t>short term</w:t>
                      </w:r>
                      <w:proofErr w:type="gramEnd"/>
                      <w:r w:rsidRPr="00933369">
                        <w:rPr>
                          <w:color w:val="FFFFFF"/>
                        </w:rPr>
                        <w:t xml:space="preserve"> release at proposed notification levels or limits should be compared with the source constraint (maximum of 0.3mSv/y) and the dose limit (1mSv/y), </w:t>
                      </w:r>
                      <w:proofErr w:type="gramStart"/>
                      <w:r w:rsidRPr="00933369">
                        <w:rPr>
                          <w:color w:val="FFFFFF"/>
                        </w:rPr>
                        <w:t>taking into account</w:t>
                      </w:r>
                      <w:proofErr w:type="gramEnd"/>
                      <w:r w:rsidRPr="00933369">
                        <w:rPr>
                          <w:color w:val="FFFFFF"/>
                        </w:rPr>
                        <w:t xml:space="preserve"> remaining continuous discharges during the remainder of the year and contributions from other relevant sources under control.</w:t>
                      </w:r>
                    </w:p>
                  </w:txbxContent>
                </v:textbox>
                <w10:wrap type="square" anchorx="margin"/>
              </v:shape>
            </w:pict>
          </mc:Fallback>
        </mc:AlternateContent>
      </w:r>
    </w:p>
    <w:p w14:paraId="1930D715" w14:textId="77777777" w:rsidR="001B46F5" w:rsidRDefault="001B46F5" w:rsidP="00FD286D">
      <w:pPr>
        <w:ind w:left="720" w:hanging="720"/>
      </w:pPr>
    </w:p>
    <w:p w14:paraId="4C1EA63C" w14:textId="77777777" w:rsidR="00FD286D" w:rsidRDefault="00FD286D" w:rsidP="00933369">
      <w:pPr>
        <w:ind w:left="720" w:hanging="720"/>
      </w:pPr>
      <w:r>
        <w:t>7.7</w:t>
      </w:r>
      <w:r>
        <w:tab/>
        <w:t xml:space="preserve">The National Dose Assessment Working Group has produced guidance on assessing doses from short term releases [Ref 84]. This provides guidance on how to make the short term release assessment realistic (e.g. number of </w:t>
      </w:r>
      <w:proofErr w:type="gramStart"/>
      <w:r>
        <w:t>short term</w:t>
      </w:r>
      <w:proofErr w:type="gramEnd"/>
      <w:r>
        <w:t xml:space="preserve"> releases in a year, duration of release, harvesting and storage of food etc.) and where to obtain data for the assessment.</w:t>
      </w:r>
    </w:p>
    <w:p w14:paraId="4EDC214A" w14:textId="77777777" w:rsidR="00FD286D" w:rsidRDefault="00FD286D" w:rsidP="00FD286D">
      <w:pPr>
        <w:ind w:left="720" w:hanging="720"/>
      </w:pPr>
      <w:r>
        <w:t>7.8</w:t>
      </w:r>
      <w:r>
        <w:tab/>
        <w:t xml:space="preserve">As with continuous discharges of radioactivity, there will be a build-up of radioactivity in the environment from short duration releases which occur many times throughout the </w:t>
      </w:r>
      <w:r>
        <w:lastRenderedPageBreak/>
        <w:t xml:space="preserve">lifetime of the plant. Unless there is evidence to the contrary, environmental conditions (e.g. wind direction) will not be the same for every </w:t>
      </w:r>
      <w:proofErr w:type="gramStart"/>
      <w:r>
        <w:t>short term</w:t>
      </w:r>
      <w:proofErr w:type="gramEnd"/>
      <w:r>
        <w:t xml:space="preserve"> release. Thus, the averaging assumptions used in the assessment for discharges at the annual or 12-month limit will be applicable. For short duration releases that occur beyond one year, the assessment can adopt the assumptions of continuous releases. The assessment will </w:t>
      </w:r>
      <w:proofErr w:type="gramStart"/>
      <w:r>
        <w:t>take into account</w:t>
      </w:r>
      <w:proofErr w:type="gramEnd"/>
      <w:r>
        <w:t xml:space="preserve"> build-up in the environment by using doses for the 50th year of discharge. Consequently, there is no need to consider short term releases that continue for one year or more. Discharges beyond one year can be assessed as a continuous release.</w:t>
      </w:r>
    </w:p>
    <w:p w14:paraId="6DF5F763" w14:textId="6D637334" w:rsidR="002C73D3" w:rsidRDefault="00FD286D" w:rsidP="00FD286D">
      <w:pPr>
        <w:ind w:left="720" w:hanging="720"/>
      </w:pPr>
      <w:r>
        <w:t>7.9</w:t>
      </w:r>
      <w:r>
        <w:tab/>
        <w:t xml:space="preserve">Uncontrolled </w:t>
      </w:r>
      <w:proofErr w:type="gramStart"/>
      <w:r>
        <w:t>short term</w:t>
      </w:r>
      <w:proofErr w:type="gramEnd"/>
      <w:r>
        <w:t xml:space="preserve"> releases may also occur </w:t>
      </w:r>
      <w:proofErr w:type="gramStart"/>
      <w:r>
        <w:t>as a result of</w:t>
      </w:r>
      <w:proofErr w:type="gramEnd"/>
      <w:r>
        <w:t xml:space="preserve"> incidents or accidents. Doses arising from these uncontrolled releases are not assessed as part of the process of authorising routine discharges of radioactive waste to the environment. The doses and risks from uncontrolled releases are addressed as a requirement of the Ionising Radiations Regulations [Ref 21, 22] and, where relevant, the nuclear site licence conditions. We inspect operators on a regular basis to ensure that engineered and administrative protection systems are in place to minimise the likelihood and consequences of such uncontrolled releases. Radiological assessments would be carried out as part of post-accident recovery operations, but this guidance document does not strictly apply to this situation.</w:t>
      </w:r>
    </w:p>
    <w:p w14:paraId="1B4778FF" w14:textId="77777777" w:rsidR="002C73D3" w:rsidRDefault="002C73D3">
      <w:pPr>
        <w:spacing w:line="240" w:lineRule="auto"/>
      </w:pPr>
      <w:r>
        <w:br w:type="page"/>
      </w:r>
    </w:p>
    <w:p w14:paraId="61E18227" w14:textId="64D4ED7B" w:rsidR="008567F0" w:rsidRDefault="008567F0" w:rsidP="008567F0">
      <w:pPr>
        <w:pStyle w:val="Heading1"/>
      </w:pPr>
      <w:bookmarkStart w:id="48" w:name="_Toc227317393"/>
      <w:r>
        <w:lastRenderedPageBreak/>
        <w:t>8</w:t>
      </w:r>
      <w:r>
        <w:tab/>
        <w:t>Collective dose assessment</w:t>
      </w:r>
      <w:bookmarkEnd w:id="48"/>
    </w:p>
    <w:p w14:paraId="08677BD7" w14:textId="77777777" w:rsidR="009C659A" w:rsidRDefault="002C73D3" w:rsidP="00385BF5">
      <w:pPr>
        <w:ind w:left="720" w:hanging="720"/>
      </w:pPr>
      <w:r>
        <w:t>8.1</w:t>
      </w:r>
      <w:r>
        <w:tab/>
      </w:r>
      <w:r w:rsidR="009C659A">
        <w:t>Collective dose has been defined by ICRP as the sum of doses received by members of the exposed population from all significant exposure pathways from a given source [Refs 15, 20, 85]. Radionuclides with long radioactive half-lives, such as carbon-14, can give rise to doses over extended periods of time, long after a release has stopped. To account for this the annual individual doses to the exposed population are summed over various time periods following the year of release. Doses are summed up to a specified time, for example, 500 years and the quantity is referred to as collective dose truncated at 500 years.</w:t>
      </w:r>
    </w:p>
    <w:p w14:paraId="0506951E" w14:textId="77777777" w:rsidR="009C659A" w:rsidRDefault="009C659A" w:rsidP="00385BF5">
      <w:pPr>
        <w:ind w:left="720" w:hanging="720"/>
      </w:pPr>
      <w:r>
        <w:t>8.2</w:t>
      </w:r>
      <w:r>
        <w:tab/>
        <w:t>There is no legal limit for collective doses. Instead, collective doses are normally used to assess different process or discharge/disposal options (e.g. for the abatement of discharges). We use the outcome of collective dose assessments for this purpose. The International Atomic Energy Agency (IAEA) has presented dose criteria which are considered sufficiently low that doses arising from sources or practices that meet these criteria may be exempted from regulatory control. One of the criteria is that collective dose should be less than about 1 man Sv per year of practice [Ref 30, 31].</w:t>
      </w:r>
    </w:p>
    <w:p w14:paraId="6893413D" w14:textId="77777777" w:rsidR="009C659A" w:rsidRDefault="009C659A" w:rsidP="00385BF5">
      <w:pPr>
        <w:ind w:left="720" w:hanging="720"/>
      </w:pPr>
      <w:r>
        <w:t>8.3</w:t>
      </w:r>
      <w:r>
        <w:tab/>
        <w:t xml:space="preserve">Collective dose to an exposed population of members of the public is often the result of the summation of very small individual doses to very large number of people. Therefore, although the resultant collective dose may be numerically large, from the perspective of the individual the risks from the exposure may be insignificant. Both the magnitude of the individual doses and the size of the exposed population become increasingly uncertain as the time increases [Ref 86]. Also, current judgements about the relationship between a radiation dose and the consequent health effects may not be valid for future generations. For these reasons, ICRP has recommended that, generally “forecasts of collective dose over periods longer than several thousands of years and forecasts of health detriment over periods longer than several hundred years should be examined critically” [Ref 17]. ICRP also recommends [Ref 15] that “to avoid inappropriate aggregation of, for example, very low individual doses over extended time periods and wide geographical regions, limiting conditions need to be set”. These limiting conditions will include the </w:t>
      </w:r>
      <w:proofErr w:type="gramStart"/>
      <w:r>
        <w:t>time period</w:t>
      </w:r>
      <w:proofErr w:type="gramEnd"/>
      <w:r>
        <w:t xml:space="preserve"> of integration. In general, the rate of increment of collective dose is highest when </w:t>
      </w:r>
      <w:r>
        <w:lastRenderedPageBreak/>
        <w:t>discharges are occurring and begins to slow when discharges cease. Therefore, the rate of increment of collective dose will be highest in the first few hundred years.</w:t>
      </w:r>
    </w:p>
    <w:p w14:paraId="743ABAD7" w14:textId="77777777" w:rsidR="009C659A" w:rsidRDefault="009C659A" w:rsidP="00385BF5">
      <w:pPr>
        <w:ind w:left="720" w:hanging="720"/>
      </w:pPr>
      <w:r>
        <w:t>8.4</w:t>
      </w:r>
      <w:r>
        <w:tab/>
        <w:t xml:space="preserve">It is therefore appropriate to draw comparisons of process/disposal options </w:t>
      </w:r>
      <w:proofErr w:type="gramStart"/>
      <w:r>
        <w:t>on the basis of</w:t>
      </w:r>
      <w:proofErr w:type="gramEnd"/>
      <w:r>
        <w:t xml:space="preserve"> truncated collective doses [Refs 87, 88]. HPA has previously noted that calculations of collective dose extending beyond around five hundred years into the future are of little value for estimating health effects [Refs 89, 90]. The HPA continues to recommend that collective doses estimated for discharge permitting or authorisation purposes should be truncated at 500 years [Ref 16]. In estimating collective </w:t>
      </w:r>
      <w:proofErr w:type="gramStart"/>
      <w:r>
        <w:t>doses</w:t>
      </w:r>
      <w:proofErr w:type="gramEnd"/>
      <w:r>
        <w:t xml:space="preserve"> the population of the UK should be considered together with the populations of Europe and the World.</w:t>
      </w:r>
    </w:p>
    <w:p w14:paraId="554EAE39" w14:textId="1359BE08" w:rsidR="00207E04" w:rsidRDefault="001B46F5" w:rsidP="001B46F5">
      <w:r w:rsidRPr="0096745E">
        <w:rPr>
          <w:rFonts w:ascii="Arial" w:eastAsia="Times New Roman" w:hAnsi="Arial" w:cs="Arial"/>
          <w:noProof/>
        </w:rPr>
        <mc:AlternateContent>
          <mc:Choice Requires="wps">
            <w:drawing>
              <wp:anchor distT="45720" distB="45720" distL="114300" distR="114300" simplePos="0" relativeHeight="251658248" behindDoc="0" locked="0" layoutInCell="1" allowOverlap="1" wp14:anchorId="74DBE9FB" wp14:editId="077228F2">
                <wp:simplePos x="0" y="0"/>
                <wp:positionH relativeFrom="margin">
                  <wp:posOffset>0</wp:posOffset>
                </wp:positionH>
                <wp:positionV relativeFrom="paragraph">
                  <wp:posOffset>319405</wp:posOffset>
                </wp:positionV>
                <wp:extent cx="6497320" cy="1404620"/>
                <wp:effectExtent l="0" t="0" r="0" b="2540"/>
                <wp:wrapSquare wrapText="bothSides"/>
                <wp:docPr id="2041036663" name="Text Box 2" descr="Principle 12: For authorisation purposes, collective doses to the populations of UK, Europe and the world, truncated at 500 y, should be estima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640F273D" w14:textId="3C62CDEC" w:rsidR="001B46F5" w:rsidRPr="0096745E" w:rsidRDefault="001B46F5" w:rsidP="001B46F5">
                            <w:pPr>
                              <w:pStyle w:val="BodyText1"/>
                              <w:spacing w:before="240"/>
                              <w:rPr>
                                <w:color w:val="FFFFFF"/>
                              </w:rPr>
                            </w:pPr>
                            <w:r w:rsidRPr="001B46F5">
                              <w:rPr>
                                <w:color w:val="FFFFFF"/>
                              </w:rPr>
                              <w:t>Principle 12</w:t>
                            </w:r>
                            <w:r>
                              <w:rPr>
                                <w:color w:val="FFFFFF"/>
                              </w:rPr>
                              <w:t xml:space="preserve">: </w:t>
                            </w:r>
                            <w:r w:rsidRPr="001B46F5">
                              <w:rPr>
                                <w:color w:val="FFFFFF"/>
                              </w:rPr>
                              <w:t>For authorisation purposes, collective doses to the populations of UK, Europe and the world, truncated at 500 y, should be estimated.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BE9FB" id="_x0000_s1038" type="#_x0000_t202" alt="Principle 12: For authorisation purposes, collective doses to the populations of UK, Europe and the world, truncated at 500 y, should be estimated." style="position:absolute;margin-left:0;margin-top:25.15pt;width:511.6pt;height:110.6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" fillcolor="#016574" stroked="f">
                <v:textbox style="mso-fit-shape-to-text:t">
                  <w:txbxContent>
                    <w:p w14:paraId="640F273D" w14:textId="3C62CDEC" w:rsidR="001B46F5" w:rsidRPr="0096745E" w:rsidRDefault="001B46F5" w:rsidP="001B46F5">
                      <w:pPr>
                        <w:pStyle w:val="BodyText1"/>
                        <w:spacing w:before="240"/>
                        <w:rPr>
                          <w:color w:val="FFFFFF"/>
                        </w:rPr>
                      </w:pPr>
                      <w:r w:rsidRPr="001B46F5">
                        <w:rPr>
                          <w:color w:val="FFFFFF"/>
                        </w:rPr>
                        <w:t>Principle 12</w:t>
                      </w:r>
                      <w:r>
                        <w:rPr>
                          <w:color w:val="FFFFFF"/>
                        </w:rPr>
                        <w:t xml:space="preserve">: </w:t>
                      </w:r>
                      <w:r w:rsidRPr="001B46F5">
                        <w:rPr>
                          <w:color w:val="FFFFFF"/>
                        </w:rPr>
                        <w:t>For authorisation purposes, collective doses to the populations of UK, Europe and the world, truncated at 500 y, should be estimated.</w:t>
                      </w:r>
                    </w:p>
                  </w:txbxContent>
                </v:textbox>
                <w10:wrap type="square" anchorx="margin"/>
              </v:shape>
            </w:pict>
          </mc:Fallback>
        </mc:AlternateContent>
      </w:r>
    </w:p>
    <w:p w14:paraId="10D4796D" w14:textId="77777777" w:rsidR="001B46F5" w:rsidRDefault="001B46F5" w:rsidP="00385BF5">
      <w:pPr>
        <w:ind w:left="720" w:hanging="720"/>
        <w:rPr>
          <w:b/>
          <w:u w:val="single"/>
        </w:rPr>
      </w:pPr>
    </w:p>
    <w:p w14:paraId="142D0B7C" w14:textId="5005FD55" w:rsidR="009C659A" w:rsidRDefault="009C659A" w:rsidP="00385BF5">
      <w:pPr>
        <w:ind w:left="720" w:hanging="720"/>
      </w:pPr>
      <w:r>
        <w:t>8.5</w:t>
      </w:r>
      <w:r>
        <w:tab/>
        <w:t xml:space="preserve">Estimating collective doses requires appropriate models together with information on the spatial distributions of population and agricultural production over the region of interest [Ref 59]. The code system PC-CREAM [Ref 63], for example, can be used to estimate collective doses for discharges to atmosphere and discharges to the sea. HPA has published the results of a study to determine the radiological impact of routine discharges from UK civil nuclear sites in the mid-1990s [Ref 90]. This report gives collective doses per unit discharge for a range of radionuclides for </w:t>
      </w:r>
      <w:proofErr w:type="gramStart"/>
      <w:r>
        <w:t>a number of</w:t>
      </w:r>
      <w:proofErr w:type="gramEnd"/>
      <w:r>
        <w:t xml:space="preserve"> locations in the UK. These collective doses can be scaled by the actual discharges to obtain collective doses for authorised discharges. If the site of interest is not included then it is acceptable to take another similar site, preferably nearby, and to use the collective doses from there. In general, the world collective dose need only be considered for globally circulating radionuclides (e.g. tritium, carbon-14) as all other radionuclides will not be dispersed significantly beyond Europe. Collective doses per unit activity concentration in sewage sludge and unit production rate of the sludge are also available for some radionuclides [Ref 64].</w:t>
      </w:r>
    </w:p>
    <w:p w14:paraId="1F1E48A6" w14:textId="77777777" w:rsidR="009C659A" w:rsidRDefault="009C659A" w:rsidP="00385BF5">
      <w:pPr>
        <w:ind w:left="720" w:hanging="720"/>
      </w:pPr>
      <w:r>
        <w:t>8.6</w:t>
      </w:r>
      <w:r>
        <w:tab/>
        <w:t xml:space="preserve">By its nature, collective dose is an aggregated quantity and even in the case of collective doses truncated at 500 years, useful information for decision-making may be hidden. For </w:t>
      </w:r>
      <w:r>
        <w:lastRenderedPageBreak/>
        <w:t xml:space="preserve">example, the magnitude of the individual doses comprising the collective dose and when these doses are received are useful items of information. ICRP recommends that when exposures occur over large populations, areas and time periods with the range of individual doses spanning several orders of magnitude the distribution of individual doses should be characterised by division into ranges. </w:t>
      </w:r>
      <w:proofErr w:type="gramStart"/>
      <w:r>
        <w:t>However</w:t>
      </w:r>
      <w:proofErr w:type="gramEnd"/>
      <w:r>
        <w:t xml:space="preserve"> HPA considers that the disaggregation of collective doses by ranges of individual doses is not usually possible. A study carried out for the European Union [Ref 91] found that consideration of individual dose distributions is not possible if ingestion of food is an important exposure pathway. HPA has suggested that the use of the per-caput dose may provide an alternative useful input.</w:t>
      </w:r>
    </w:p>
    <w:p w14:paraId="67D5CF69" w14:textId="77777777" w:rsidR="009C659A" w:rsidRDefault="009C659A" w:rsidP="00385BF5">
      <w:pPr>
        <w:ind w:left="720" w:hanging="720"/>
      </w:pPr>
      <w:r>
        <w:t>8.7</w:t>
      </w:r>
      <w:r>
        <w:tab/>
        <w:t xml:space="preserve">It can be shown that the collective dose truncated at a particular time from one year’s operation of a practice is numerically equal to the maximum annual collective dose-rate if the practice operated unchanged for that </w:t>
      </w:r>
      <w:proofErr w:type="gramStart"/>
      <w:r>
        <w:t>time period</w:t>
      </w:r>
      <w:proofErr w:type="gramEnd"/>
      <w:r>
        <w:t xml:space="preserve"> provided all other factors remained the same [Ref 92]. Thus, division of the maximum annual collective dose by the number of individuals in the exposed population gives the highest average annual individual dose in the exposed population from operation of the practice over the particular </w:t>
      </w:r>
      <w:proofErr w:type="gramStart"/>
      <w:r>
        <w:t>time period</w:t>
      </w:r>
      <w:proofErr w:type="gramEnd"/>
      <w:r>
        <w:t xml:space="preserve">. A realistic approach would be to assume that proposed new practices operate unchanged for a period of 100 years. </w:t>
      </w:r>
      <w:proofErr w:type="gramStart"/>
      <w:r>
        <w:t>However</w:t>
      </w:r>
      <w:proofErr w:type="gramEnd"/>
      <w:r>
        <w:t xml:space="preserve"> it is suggested that proposed new practices are assumed to operate unchanged for a period of not more than 500 years and that the highest average individual doses are calculated for 500 years. Individual facilities, of course, will not exist for such an extended </w:t>
      </w:r>
      <w:proofErr w:type="gramStart"/>
      <w:r>
        <w:t>time period</w:t>
      </w:r>
      <w:proofErr w:type="gramEnd"/>
      <w:r>
        <w:t>; it is assumed, however, that they would be replaced by similar facilities.</w:t>
      </w:r>
    </w:p>
    <w:p w14:paraId="1082D773" w14:textId="77777777" w:rsidR="009C659A" w:rsidRDefault="009C659A" w:rsidP="00385BF5">
      <w:pPr>
        <w:ind w:left="720" w:hanging="720"/>
      </w:pPr>
      <w:r>
        <w:t>8.8</w:t>
      </w:r>
      <w:r>
        <w:tab/>
        <w:t xml:space="preserve">For a practice that operates for a shorter </w:t>
      </w:r>
      <w:proofErr w:type="gramStart"/>
      <w:r>
        <w:t>time period</w:t>
      </w:r>
      <w:proofErr w:type="gramEnd"/>
      <w:r>
        <w:t xml:space="preserve">, the collective dose truncated at 500 years may be greater than the maximum annual collective dose, but will, in any case, be no less. In the case of existing facilities that may have been designed to meet less stringent standards than apply today and which would operate for only a limited </w:t>
      </w:r>
      <w:proofErr w:type="gramStart"/>
      <w:r>
        <w:t>period of time</w:t>
      </w:r>
      <w:proofErr w:type="gramEnd"/>
      <w:r>
        <w:t>, it might be appropriate to estimate average annual individual doses from collective doses truncated at time periods much shorter than 500 years. An appropriate truncation period for these calculations would be 100 years.</w:t>
      </w:r>
    </w:p>
    <w:p w14:paraId="06900443" w14:textId="77777777" w:rsidR="009C659A" w:rsidRDefault="009C659A" w:rsidP="00385BF5">
      <w:pPr>
        <w:ind w:left="720" w:hanging="720"/>
      </w:pPr>
      <w:r>
        <w:t>8.9</w:t>
      </w:r>
      <w:r>
        <w:tab/>
        <w:t xml:space="preserve">The highest annual average individual dose is a useful quantity for decision-making purposes. Taken together with estimated representative person doses, it gives an </w:t>
      </w:r>
      <w:r>
        <w:lastRenderedPageBreak/>
        <w:t xml:space="preserve">indication of the health risks to individuals in the exposed population </w:t>
      </w:r>
      <w:proofErr w:type="gramStart"/>
      <w:r>
        <w:t>and also</w:t>
      </w:r>
      <w:proofErr w:type="gramEnd"/>
      <w:r>
        <w:t xml:space="preserve"> allows an evaluation of the radiological implications of build-up of radionuclides in the environment.</w:t>
      </w:r>
    </w:p>
    <w:p w14:paraId="5E003BA1" w14:textId="73B4A8F1" w:rsidR="006C024C" w:rsidRDefault="009C659A" w:rsidP="00385BF5">
      <w:pPr>
        <w:ind w:left="720" w:hanging="720"/>
      </w:pPr>
      <w:r>
        <w:t>8.10</w:t>
      </w:r>
      <w:r>
        <w:tab/>
        <w:t xml:space="preserve">In this respect, calculated average annual individual doses for a population group in the </w:t>
      </w:r>
      <w:proofErr w:type="spellStart"/>
      <w:r>
        <w:t>nanosievert</w:t>
      </w:r>
      <w:proofErr w:type="spellEnd"/>
      <w:r>
        <w:t xml:space="preserve"> (</w:t>
      </w:r>
      <w:proofErr w:type="spellStart"/>
      <w:r>
        <w:t>nSv</w:t>
      </w:r>
      <w:proofErr w:type="spellEnd"/>
      <w:r>
        <w:t xml:space="preserve">/y) range or below should be ignored in the </w:t>
      </w:r>
      <w:proofErr w:type="gramStart"/>
      <w:r>
        <w:t>decision making</w:t>
      </w:r>
      <w:proofErr w:type="gramEnd"/>
      <w:r>
        <w:t xml:space="preserve"> process as the associated risks </w:t>
      </w:r>
      <w:proofErr w:type="gramStart"/>
      <w:r>
        <w:t>are</w:t>
      </w:r>
      <w:proofErr w:type="gramEnd"/>
      <w:r>
        <w:t xml:space="preserve"> minuscule and the contribution to total doses to individuals will be insignificant. Higher annual doses, up to say a few </w:t>
      </w:r>
      <w:proofErr w:type="spellStart"/>
      <w:r>
        <w:t>microsievert</w:t>
      </w:r>
      <w:proofErr w:type="spellEnd"/>
      <w:r>
        <w:t xml:space="preserve"> (µSv/y) can be considered trivial but may require some consideration particularly if at the higher end of the range. Calculated annual average individual doses </w:t>
      </w:r>
      <w:proofErr w:type="gramStart"/>
      <w:r>
        <w:t>in excess of</w:t>
      </w:r>
      <w:proofErr w:type="gramEnd"/>
      <w:r>
        <w:t xml:space="preserve"> these values should prompt careful consideration of the discharge options being considered.</w:t>
      </w:r>
    </w:p>
    <w:p w14:paraId="4D0CEF90" w14:textId="54410A8E" w:rsidR="008567F0" w:rsidRPr="008567F0" w:rsidRDefault="006C024C" w:rsidP="006C024C">
      <w:pPr>
        <w:spacing w:line="240" w:lineRule="auto"/>
      </w:pPr>
      <w:r>
        <w:br w:type="page"/>
      </w:r>
    </w:p>
    <w:p w14:paraId="2CFD179A" w14:textId="77777777" w:rsidR="007D29C8" w:rsidRDefault="007D29C8" w:rsidP="007D29C8">
      <w:pPr>
        <w:pStyle w:val="Heading1"/>
      </w:pPr>
      <w:bookmarkStart w:id="49" w:name="_Toc25569863"/>
      <w:bookmarkStart w:id="50" w:name="_Toc227317394"/>
      <w:r>
        <w:lastRenderedPageBreak/>
        <w:t>9</w:t>
      </w:r>
      <w:r>
        <w:tab/>
        <w:t>Variability and uncertainty assessment</w:t>
      </w:r>
      <w:bookmarkEnd w:id="49"/>
      <w:bookmarkEnd w:id="50"/>
    </w:p>
    <w:p w14:paraId="1E167522" w14:textId="77777777" w:rsidR="00FE2D54" w:rsidRDefault="00FE2D54" w:rsidP="00FE2D54">
      <w:pPr>
        <w:ind w:left="720" w:hanging="720"/>
      </w:pPr>
      <w:r>
        <w:t>9.1</w:t>
      </w:r>
      <w:r>
        <w:tab/>
        <w:t xml:space="preserve">As discussed above, assessments of doses necessarily entail a series of assumptions about the identification and behaviour of candidates for the representative person and about the transfer of radionuclides in the environment. Different groups of people will have different </w:t>
      </w:r>
      <w:proofErr w:type="gramStart"/>
      <w:r>
        <w:t>behaviours</w:t>
      </w:r>
      <w:proofErr w:type="gramEnd"/>
      <w:r>
        <w:t xml:space="preserve"> and this is considered through the process of selecting </w:t>
      </w:r>
      <w:proofErr w:type="gramStart"/>
      <w:r>
        <w:t>a number of</w:t>
      </w:r>
      <w:proofErr w:type="gramEnd"/>
      <w:r>
        <w:t xml:space="preserve"> known or plausible candidates for the representative person. This process allows different exposure pathways and habits to be explored in a realistic manner. These different habits lead to a distribution of different doses and the estimated mean dose to the representative person is therefore within this distribution. There are two significant aspects to this distribution referred to as the uncertainty and the variability.</w:t>
      </w:r>
    </w:p>
    <w:p w14:paraId="5E984D80" w14:textId="77777777" w:rsidR="00FE2D54" w:rsidRDefault="00FE2D54" w:rsidP="00FE2D54">
      <w:pPr>
        <w:ind w:left="720" w:hanging="720"/>
      </w:pPr>
      <w:r>
        <w:t>9.2</w:t>
      </w:r>
      <w:r>
        <w:tab/>
        <w:t>The uncertainty reflects the amount of knowledge about the system being investigated and relates to how accurately the dose can be estimated. For example, the extent of knowledge on the parameters used in the calculation of doses. The NDAWG has published guidance on considering uncertainty and variability in radiological assessments [Ref 93].</w:t>
      </w:r>
    </w:p>
    <w:p w14:paraId="13E21187" w14:textId="77777777" w:rsidR="00FE2D54" w:rsidRDefault="00FE2D54" w:rsidP="00FE2D54">
      <w:pPr>
        <w:ind w:left="720" w:hanging="720"/>
      </w:pPr>
      <w:r>
        <w:t>9.3</w:t>
      </w:r>
      <w:r>
        <w:tab/>
        <w:t xml:space="preserve">The variability refers to the genuine differences that occur both in radionuclide transfer in different environments and between individuals within a group. For example, there are differences in how much of a particular food is consumed per individual within a defined group of consumers. This topic is discussed in more detail in Reference </w:t>
      </w:r>
      <w:proofErr w:type="gramStart"/>
      <w:r>
        <w:t>94</w:t>
      </w:r>
      <w:proofErr w:type="gramEnd"/>
      <w:r>
        <w:t xml:space="preserve"> and </w:t>
      </w:r>
      <w:proofErr w:type="gramStart"/>
      <w:r>
        <w:t>a number of</w:t>
      </w:r>
      <w:proofErr w:type="gramEnd"/>
      <w:r>
        <w:t xml:space="preserve"> studies have been carried out by the HPA, Food Standards Agency and EC to investigate uncertainty and variability [e.g. Refs 47, 95, 96]. In addition, a study carried out for the Environment Agency by the HPA [Ref 97] investigated the variability in the radiation doses and risks received by critical groups. The study looked at the spread on the distribution of doses to critical groups from authorised discharges from the Sellafield and Sizewell nuclear sites. The spreads on the dose distributions as represented by the ratios between the 5th and 95th percentile were estimated. The ratios were generally between 3 and 5 depending on the group and site considered.</w:t>
      </w:r>
    </w:p>
    <w:p w14:paraId="62C71C57" w14:textId="77777777" w:rsidR="00FE2D54" w:rsidRDefault="00FE2D54" w:rsidP="00FE2D54">
      <w:r>
        <w:t>9.4</w:t>
      </w:r>
      <w:r>
        <w:tab/>
        <w:t xml:space="preserve">The scale of uncertainty and variability should be </w:t>
      </w:r>
      <w:proofErr w:type="gramStart"/>
      <w:r>
        <w:t>reviewed</w:t>
      </w:r>
      <w:proofErr w:type="gramEnd"/>
      <w:r>
        <w:t xml:space="preserve"> and this should include:</w:t>
      </w:r>
    </w:p>
    <w:p w14:paraId="0B972D92" w14:textId="77777777" w:rsidR="00FE2D54" w:rsidRDefault="00FE2D54" w:rsidP="00FE2D54">
      <w:pPr>
        <w:pStyle w:val="ListParagraph"/>
        <w:numPr>
          <w:ilvl w:val="0"/>
          <w:numId w:val="32"/>
        </w:numPr>
      </w:pPr>
      <w:r>
        <w:t>Expected discharges compared with limits – the extent of headroom.</w:t>
      </w:r>
    </w:p>
    <w:p w14:paraId="41BBE619" w14:textId="77777777" w:rsidR="00FE2D54" w:rsidRDefault="00FE2D54" w:rsidP="00FE2D54">
      <w:pPr>
        <w:pStyle w:val="ListParagraph"/>
        <w:numPr>
          <w:ilvl w:val="0"/>
          <w:numId w:val="32"/>
        </w:numPr>
      </w:pPr>
      <w:r>
        <w:t>Representative radionuclides – the effect of different radionuclides selected to represent a group and effect of different chemical forms.</w:t>
      </w:r>
    </w:p>
    <w:p w14:paraId="60771F6D" w14:textId="77777777" w:rsidR="00FE2D54" w:rsidRDefault="00FE2D54" w:rsidP="00FE2D54">
      <w:pPr>
        <w:pStyle w:val="ListParagraph"/>
        <w:numPr>
          <w:ilvl w:val="0"/>
          <w:numId w:val="32"/>
        </w:numPr>
      </w:pPr>
      <w:r>
        <w:lastRenderedPageBreak/>
        <w:t>Environmental modelling – effect of different models and parameter values used for atmospheric dispersion modelling, marine dispersion modelling and food chain modelling.</w:t>
      </w:r>
    </w:p>
    <w:p w14:paraId="54FD8A56" w14:textId="77777777" w:rsidR="00FE2D54" w:rsidRDefault="00FE2D54" w:rsidP="00FE2D54">
      <w:pPr>
        <w:pStyle w:val="ListParagraph"/>
        <w:numPr>
          <w:ilvl w:val="0"/>
          <w:numId w:val="32"/>
        </w:numPr>
      </w:pPr>
      <w:r>
        <w:t>Selection of exposure locations and source of food production.</w:t>
      </w:r>
    </w:p>
    <w:p w14:paraId="1DB0FB1B" w14:textId="77777777" w:rsidR="00FE2D54" w:rsidRDefault="00FE2D54" w:rsidP="00FE2D54">
      <w:pPr>
        <w:pStyle w:val="ListParagraph"/>
        <w:numPr>
          <w:ilvl w:val="0"/>
          <w:numId w:val="32"/>
        </w:numPr>
      </w:pPr>
      <w:r>
        <w:t>Selection of habits – effect of different consumption and occupancy patterns.</w:t>
      </w:r>
    </w:p>
    <w:p w14:paraId="299E09EF" w14:textId="77777777" w:rsidR="00FE2D54" w:rsidRDefault="00FE2D54" w:rsidP="00FE2D54">
      <w:pPr>
        <w:pStyle w:val="ListParagraph"/>
        <w:numPr>
          <w:ilvl w:val="0"/>
          <w:numId w:val="32"/>
        </w:numPr>
      </w:pPr>
      <w:proofErr w:type="spellStart"/>
      <w:r>
        <w:t>Dosimetric</w:t>
      </w:r>
      <w:proofErr w:type="spellEnd"/>
      <w:r>
        <w:t xml:space="preserve"> data.</w:t>
      </w:r>
    </w:p>
    <w:p w14:paraId="2EEFE879" w14:textId="2184793E" w:rsidR="00FE2D54" w:rsidRDefault="00FE2D54" w:rsidP="00FE2D54">
      <w:pPr>
        <w:ind w:left="720" w:hanging="720"/>
      </w:pPr>
      <w:r>
        <w:t>9.5</w:t>
      </w:r>
      <w:r>
        <w:tab/>
        <w:t xml:space="preserve">The purpose of this review would be to provide confidence that an appropriate level of caution has been applied to the assessment. The review will ensure that sufficient caution has been retained such that the dose limit is unlikely to be exceeded </w:t>
      </w:r>
      <w:proofErr w:type="gramStart"/>
      <w:r>
        <w:t>on the basis of</w:t>
      </w:r>
      <w:proofErr w:type="gramEnd"/>
      <w:r>
        <w:t xml:space="preserve"> a retrospective assessment (see Principle 7) but balancing this against ensuring that there has not been an undue level of caution applied in the assessment. Such a review will only be necessary when the cautiously estimated dose to the representative person exceeds 0.02mSv/y and a more detailed assessment is required. The approach taken to assessing uncertainty should be proportionate </w:t>
      </w:r>
      <w:proofErr w:type="gramStart"/>
      <w:r>
        <w:t>taking into account</w:t>
      </w:r>
      <w:proofErr w:type="gramEnd"/>
      <w:r>
        <w:t xml:space="preserve"> the level of dose estimated and the degree of confidence in the robustness of the assessment. Consideration of how to manage the scientific, financial and presentational aspects of an uncertainty assessment will be needed if a more complex approach involving multiple inputs and leading to multiple results is to be carried out.</w:t>
      </w:r>
    </w:p>
    <w:p w14:paraId="114A821A" w14:textId="28F48064" w:rsidR="00207E04" w:rsidRDefault="00207E04" w:rsidP="00FE2D54">
      <w:r w:rsidRPr="0096745E">
        <w:rPr>
          <w:rFonts w:ascii="Arial" w:eastAsia="Times New Roman" w:hAnsi="Arial" w:cs="Arial"/>
          <w:noProof/>
        </w:rPr>
        <mc:AlternateContent>
          <mc:Choice Requires="wps">
            <w:drawing>
              <wp:anchor distT="45720" distB="45720" distL="114300" distR="114300" simplePos="0" relativeHeight="251658247" behindDoc="0" locked="0" layoutInCell="1" allowOverlap="1" wp14:anchorId="46EE32F3" wp14:editId="3FCA048A">
                <wp:simplePos x="0" y="0"/>
                <wp:positionH relativeFrom="margin">
                  <wp:posOffset>0</wp:posOffset>
                </wp:positionH>
                <wp:positionV relativeFrom="paragraph">
                  <wp:posOffset>304165</wp:posOffset>
                </wp:positionV>
                <wp:extent cx="6497320" cy="1404620"/>
                <wp:effectExtent l="0" t="0" r="0" b="6350"/>
                <wp:wrapSquare wrapText="bothSides"/>
                <wp:docPr id="1848341020" name="Text Box 2" descr="Principle 13: Where the assessed mean dose to the representative person exceeds 0.02 mSv/y, the uncertainty and variability in the key assumptions used for the dose assessment should be review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1404620"/>
                        </a:xfrm>
                        <a:prstGeom prst="rect">
                          <a:avLst/>
                        </a:prstGeom>
                        <a:solidFill>
                          <a:srgbClr val="016574"/>
                        </a:solidFill>
                        <a:ln w="9525">
                          <a:noFill/>
                          <a:miter lim="800000"/>
                          <a:headEnd/>
                          <a:tailEnd/>
                        </a:ln>
                      </wps:spPr>
                      <wps:txbx>
                        <w:txbxContent>
                          <w:p w14:paraId="1380B8E8" w14:textId="4C92D9E0" w:rsidR="00207E04" w:rsidRPr="0096745E" w:rsidRDefault="00207E04" w:rsidP="00207E04">
                            <w:pPr>
                              <w:pStyle w:val="BodyText1"/>
                              <w:spacing w:before="240"/>
                              <w:rPr>
                                <w:color w:val="FFFFFF"/>
                              </w:rPr>
                            </w:pPr>
                            <w:r w:rsidRPr="00207E04">
                              <w:rPr>
                                <w:color w:val="FFFFFF"/>
                              </w:rPr>
                              <w:t>Principle 13</w:t>
                            </w:r>
                            <w:r>
                              <w:rPr>
                                <w:color w:val="FFFFFF"/>
                              </w:rPr>
                              <w:t xml:space="preserve">: </w:t>
                            </w:r>
                            <w:r w:rsidRPr="00207E04">
                              <w:rPr>
                                <w:color w:val="FFFFFF"/>
                              </w:rPr>
                              <w:t>Where the assessed mean dose to the representative person exceeds 0.02mSv/y, the uncertainty and variability in the key assumptions used for the dose assessment should be reviewed.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E32F3" id="_x0000_s1039" type="#_x0000_t202" alt="Principle 13: Where the assessed mean dose to the representative person exceeds 0.02 mSv/y, the uncertainty and variability in the key assumptions used for the dose assessment should be reviewed." style="position:absolute;margin-left:0;margin-top:23.95pt;width:511.6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" fillcolor="#016574" stroked="f">
                <v:textbox style="mso-fit-shape-to-text:t">
                  <w:txbxContent>
                    <w:p w14:paraId="1380B8E8" w14:textId="4C92D9E0" w:rsidR="00207E04" w:rsidRPr="0096745E" w:rsidRDefault="00207E04" w:rsidP="00207E04">
                      <w:pPr>
                        <w:pStyle w:val="BodyText1"/>
                        <w:spacing w:before="240"/>
                        <w:rPr>
                          <w:color w:val="FFFFFF"/>
                        </w:rPr>
                      </w:pPr>
                      <w:r w:rsidRPr="00207E04">
                        <w:rPr>
                          <w:color w:val="FFFFFF"/>
                        </w:rPr>
                        <w:t>Principle 13</w:t>
                      </w:r>
                      <w:r>
                        <w:rPr>
                          <w:color w:val="FFFFFF"/>
                        </w:rPr>
                        <w:t xml:space="preserve">: </w:t>
                      </w:r>
                      <w:r w:rsidRPr="00207E04">
                        <w:rPr>
                          <w:color w:val="FFFFFF"/>
                        </w:rPr>
                        <w:t>Where the assessed mean dose to the representative person exceeds 0.02mSv/y, the uncertainty and variability in the key assumptions used for the dose assessment should be reviewed.</w:t>
                      </w:r>
                    </w:p>
                  </w:txbxContent>
                </v:textbox>
                <w10:wrap type="square" anchorx="margin"/>
              </v:shape>
            </w:pict>
          </mc:Fallback>
        </mc:AlternateContent>
      </w:r>
    </w:p>
    <w:p w14:paraId="24676DF6" w14:textId="77777777" w:rsidR="00207E04" w:rsidRPr="00FE2D54" w:rsidRDefault="00207E04" w:rsidP="00FE2D54"/>
    <w:p w14:paraId="2BFB1A52" w14:textId="77777777" w:rsidR="006C024C" w:rsidRDefault="006C024C">
      <w:pPr>
        <w:spacing w:line="240" w:lineRule="auto"/>
        <w:rPr>
          <w:rFonts w:asciiTheme="majorHAnsi" w:eastAsiaTheme="majorEastAsia" w:hAnsiTheme="majorHAnsi" w:cstheme="majorBidi"/>
          <w:b/>
          <w:color w:val="016574" w:themeColor="accent2"/>
          <w:sz w:val="40"/>
          <w:szCs w:val="32"/>
        </w:rPr>
      </w:pPr>
      <w:bookmarkStart w:id="51" w:name="_Toc25569864"/>
      <w:r>
        <w:br w:type="page"/>
      </w:r>
    </w:p>
    <w:p w14:paraId="091D221B" w14:textId="5E3ED841" w:rsidR="008017FD" w:rsidRDefault="008017FD" w:rsidP="008017FD">
      <w:pPr>
        <w:pStyle w:val="Heading1"/>
      </w:pPr>
      <w:bookmarkStart w:id="52" w:name="_Toc227317395"/>
      <w:r>
        <w:lastRenderedPageBreak/>
        <w:t>10</w:t>
      </w:r>
      <w:r>
        <w:tab/>
        <w:t>Conclusions</w:t>
      </w:r>
      <w:bookmarkEnd w:id="51"/>
      <w:bookmarkEnd w:id="52"/>
    </w:p>
    <w:p w14:paraId="3DB2213A" w14:textId="77777777" w:rsidR="008017FD" w:rsidRDefault="008017FD" w:rsidP="008017FD">
      <w:pPr>
        <w:ind w:left="720" w:hanging="720"/>
      </w:pPr>
      <w:r w:rsidRPr="00E14C9E">
        <w:t>10.1</w:t>
      </w:r>
      <w:r w:rsidRPr="00E14C9E">
        <w:tab/>
        <w:t xml:space="preserve">This document provides guidance on the assessment of doses to members of the public for the purposes of authorising discharges of radioactive waste to the environment. The guidance has been developed by the UK Environment Agencies in collaboration with the Health Protection Agency and the Food Standards Agency </w:t>
      </w:r>
      <w:proofErr w:type="gramStart"/>
      <w:r w:rsidRPr="00E14C9E">
        <w:t>as a result of</w:t>
      </w:r>
      <w:proofErr w:type="gramEnd"/>
      <w:r w:rsidRPr="00E14C9E">
        <w:t xml:space="preserve"> a recognised need to ensure that the methods used in assessing public doses are consistent and transparent. The BSSD, which has been transposed through EASR where relevant provides </w:t>
      </w:r>
      <w:proofErr w:type="gramStart"/>
      <w:r w:rsidRPr="00E14C9E">
        <w:t>particular requirements</w:t>
      </w:r>
      <w:proofErr w:type="gramEnd"/>
      <w:r w:rsidRPr="00E14C9E">
        <w:t xml:space="preserve"> for the assessment of public doses.</w:t>
      </w:r>
    </w:p>
    <w:p w14:paraId="36558649" w14:textId="77777777" w:rsidR="00163E60" w:rsidRDefault="00163E60" w:rsidP="00163E60">
      <w:r>
        <w:t>10.2</w:t>
      </w:r>
      <w:r>
        <w:tab/>
        <w:t>Principles have been established which relate to the following:</w:t>
      </w:r>
    </w:p>
    <w:p w14:paraId="0A0D5F43" w14:textId="77777777" w:rsidR="00163E60" w:rsidRDefault="00163E60" w:rsidP="00163E60">
      <w:pPr>
        <w:pStyle w:val="ListParagraph"/>
        <w:numPr>
          <w:ilvl w:val="0"/>
          <w:numId w:val="33"/>
        </w:numPr>
      </w:pPr>
      <w:r>
        <w:t>Population groups to be considered in assessments and the use of the representative person concept.</w:t>
      </w:r>
    </w:p>
    <w:p w14:paraId="3E0C3E6B" w14:textId="77777777" w:rsidR="00163E60" w:rsidRDefault="00163E60" w:rsidP="00163E60">
      <w:pPr>
        <w:pStyle w:val="ListParagraph"/>
        <w:numPr>
          <w:ilvl w:val="0"/>
          <w:numId w:val="33"/>
        </w:numPr>
      </w:pPr>
      <w:r>
        <w:t>Exposure pathways to be included for comparison of doses against the source constraint, site constraint and dose limit.</w:t>
      </w:r>
    </w:p>
    <w:p w14:paraId="76C367BC" w14:textId="77777777" w:rsidR="00163E60" w:rsidRDefault="00163E60" w:rsidP="00163E60">
      <w:pPr>
        <w:pStyle w:val="ListParagraph"/>
        <w:numPr>
          <w:ilvl w:val="0"/>
          <w:numId w:val="33"/>
        </w:numPr>
      </w:pPr>
      <w:r>
        <w:t>Accumulation of radionuclides in the environment.</w:t>
      </w:r>
    </w:p>
    <w:p w14:paraId="416F8178" w14:textId="77777777" w:rsidR="00163E60" w:rsidRDefault="00163E60" w:rsidP="00163E60">
      <w:pPr>
        <w:pStyle w:val="ListParagraph"/>
        <w:numPr>
          <w:ilvl w:val="0"/>
          <w:numId w:val="33"/>
        </w:numPr>
      </w:pPr>
      <w:r>
        <w:t>The need for realistic dose assessments, based upon the selection of realistic habits, but taking account of reasonably likely changes over a period of about 5 years.</w:t>
      </w:r>
    </w:p>
    <w:p w14:paraId="6DC6C144" w14:textId="77777777" w:rsidR="00163E60" w:rsidRDefault="00163E60" w:rsidP="00163E60">
      <w:pPr>
        <w:pStyle w:val="ListParagraph"/>
        <w:numPr>
          <w:ilvl w:val="0"/>
          <w:numId w:val="33"/>
        </w:numPr>
      </w:pPr>
      <w:r>
        <w:t>The need to assess doses from short term releases, assessment of collective doses and investigation of variability and uncertainty in the assessment.</w:t>
      </w:r>
    </w:p>
    <w:p w14:paraId="7CF14463" w14:textId="42691C48" w:rsidR="00163E60" w:rsidRDefault="00163E60" w:rsidP="0041075E">
      <w:pPr>
        <w:ind w:left="720" w:hanging="720"/>
      </w:pPr>
      <w:r>
        <w:t>10.3</w:t>
      </w:r>
      <w:r>
        <w:tab/>
        <w:t xml:space="preserve">A staged approach to dose assessments is recommended. An initial cautious assessment may be undertaken using, for example, published dose per unit release factors. If the assessed dose is less than 0.02mSv/y then no further dose assessment will be necessary. This is likely to be the case for most non-nuclear premises. Where the assessed dose exceeds 0.02mSv/y, a more detailed and realistic </w:t>
      </w:r>
      <w:proofErr w:type="gramStart"/>
      <w:r>
        <w:t>site specific</w:t>
      </w:r>
      <w:proofErr w:type="gramEnd"/>
      <w:r>
        <w:t xml:space="preserve"> assessment should be carried out. Assessed doses will be compared with the source and site constraints of 0.3mSv/y and 0.5mSv/y respectively. Significant additional doses from historical discharges and other sources will need to be assessed and compared with the dose limit of 1mSv/y.</w:t>
      </w:r>
    </w:p>
    <w:p w14:paraId="4ED97F60" w14:textId="77777777" w:rsidR="00163E60" w:rsidRDefault="00163E60" w:rsidP="0041075E">
      <w:pPr>
        <w:ind w:left="720" w:hanging="720"/>
      </w:pPr>
      <w:r>
        <w:t>10.4</w:t>
      </w:r>
      <w:r>
        <w:tab/>
        <w:t>Assessments for short term releases may be required to enable short term (e.g. daily, monthly or quarterly) limits or notification levels to be set.</w:t>
      </w:r>
    </w:p>
    <w:p w14:paraId="08F877FF" w14:textId="77777777" w:rsidR="00163E60" w:rsidRDefault="00163E60" w:rsidP="0041075E">
      <w:pPr>
        <w:ind w:left="720" w:hanging="720"/>
      </w:pPr>
      <w:r>
        <w:t>10.5</w:t>
      </w:r>
      <w:r>
        <w:tab/>
        <w:t xml:space="preserve">Collective doses for the UK, European and world populations may be assessed to consider different process/disposal </w:t>
      </w:r>
      <w:proofErr w:type="gramStart"/>
      <w:r>
        <w:t>options, but</w:t>
      </w:r>
      <w:proofErr w:type="gramEnd"/>
      <w:r>
        <w:t xml:space="preserve"> should be truncated at 500 years.</w:t>
      </w:r>
    </w:p>
    <w:p w14:paraId="3F201740" w14:textId="77777777" w:rsidR="00163E60" w:rsidRDefault="00163E60" w:rsidP="0041075E">
      <w:pPr>
        <w:ind w:left="720" w:hanging="720"/>
      </w:pPr>
      <w:r>
        <w:lastRenderedPageBreak/>
        <w:t>10.6</w:t>
      </w:r>
      <w:r>
        <w:tab/>
        <w:t>The variability and uncertainty in the dose to the representative person should be investigated to establish how much caution has been applied at each stage of the assessment and to ensure this level of caution is appropriate.</w:t>
      </w:r>
    </w:p>
    <w:p w14:paraId="79CA4D18" w14:textId="77777777" w:rsidR="006C024C" w:rsidRDefault="006C024C">
      <w:pPr>
        <w:spacing w:line="240" w:lineRule="auto"/>
        <w:rPr>
          <w:rFonts w:asciiTheme="majorHAnsi" w:eastAsiaTheme="majorEastAsia" w:hAnsiTheme="majorHAnsi" w:cstheme="majorBidi"/>
          <w:b/>
          <w:color w:val="016574" w:themeColor="accent2"/>
          <w:sz w:val="40"/>
          <w:szCs w:val="32"/>
        </w:rPr>
      </w:pPr>
      <w:bookmarkStart w:id="53" w:name="_Toc25569865"/>
      <w:r>
        <w:br w:type="page"/>
      </w:r>
    </w:p>
    <w:p w14:paraId="4D28D322" w14:textId="5B2D740F" w:rsidR="00163E60" w:rsidRDefault="00163E60" w:rsidP="00163E60">
      <w:pPr>
        <w:pStyle w:val="Heading1"/>
      </w:pPr>
      <w:bookmarkStart w:id="54" w:name="_Toc227317396"/>
      <w:r>
        <w:lastRenderedPageBreak/>
        <w:t>References</w:t>
      </w:r>
      <w:bookmarkEnd w:id="53"/>
      <w:bookmarkEnd w:id="54"/>
    </w:p>
    <w:p w14:paraId="323893DF" w14:textId="77777777" w:rsidR="00163E60" w:rsidRDefault="00163E60" w:rsidP="00163E60">
      <w:r>
        <w:t>1.</w:t>
      </w:r>
      <w:r>
        <w:tab/>
        <w:t>Reference deleted</w:t>
      </w:r>
    </w:p>
    <w:p w14:paraId="3F8DA7A8" w14:textId="77777777" w:rsidR="00163E60" w:rsidRDefault="00163E60" w:rsidP="003D1840">
      <w:pPr>
        <w:ind w:left="720" w:hanging="720"/>
      </w:pPr>
      <w:r>
        <w:t>2.</w:t>
      </w:r>
      <w:r>
        <w:tab/>
        <w:t>Environment Agency, Northern Ireland Environment Agency and Scottish Environment Protection Agency (2009). Near-surface Disposal Facilities on Land for Solid Radioactive Wastes. Guidance on Requirements for Authorisation. February 2009.</w:t>
      </w:r>
    </w:p>
    <w:p w14:paraId="3865A31C" w14:textId="77777777" w:rsidR="00163E60" w:rsidRDefault="00163E60" w:rsidP="003D1840">
      <w:pPr>
        <w:ind w:left="720" w:hanging="720"/>
      </w:pPr>
      <w:r>
        <w:t>3.</w:t>
      </w:r>
      <w:r>
        <w:tab/>
        <w:t>Environment Agency and Northern Ireland Environment Agency (2009). Geological Disposal Facilities on Land for Solid Radioactive Wastes. Guidance on Requirements for Authorisation. February 2009.</w:t>
      </w:r>
    </w:p>
    <w:p w14:paraId="2E2F432A" w14:textId="77777777" w:rsidR="00163E60" w:rsidRDefault="00163E60" w:rsidP="003D1840">
      <w:pPr>
        <w:ind w:left="720" w:hanging="720"/>
      </w:pPr>
      <w:r>
        <w:t>4.</w:t>
      </w:r>
      <w:r>
        <w:tab/>
        <w:t>Environment Agency, Scottish Environment Protection Agency, Department of Environment, Northern Ireland, National Radiological Protection Board, Food Standards Agency, (2002) Radioactive Substances Regulation Authorisation of Discharges of Radioactive Waste to the Environment Principles for the Assessment of Prospective Public Doses Interim Guidance.</w:t>
      </w:r>
    </w:p>
    <w:p w14:paraId="66305B80" w14:textId="77777777" w:rsidR="00163E60" w:rsidRDefault="00163E60" w:rsidP="003D1840">
      <w:pPr>
        <w:ind w:left="720" w:hanging="720"/>
      </w:pPr>
      <w:r>
        <w:t>5.</w:t>
      </w:r>
      <w:r>
        <w:tab/>
        <w:t>Food Standards Agency (2001). Consultative Exercise on dose Assessments (CEDA) – Discussion of the methods of assessing the impact of radioactive discharges on the public. Held at University of Sussex, 3-4 October 2000. Radiological Protection and Research Management Division, Food Standards Agency, London.</w:t>
      </w:r>
    </w:p>
    <w:p w14:paraId="68333502" w14:textId="77777777" w:rsidR="00163E60" w:rsidRDefault="00163E60" w:rsidP="003D1840">
      <w:pPr>
        <w:ind w:left="720" w:hanging="720"/>
      </w:pPr>
      <w:r>
        <w:t>6.</w:t>
      </w:r>
      <w:r>
        <w:tab/>
        <w:t>RWMAC (1998). The Radioactive Waste Management Advisory Committee’s Advice on Issues which need to be Addressed in the Guidance to be given to the Environment Agencies on the Principles for Determining Radioactive Waste Discharge Authorisations – the ‘Principles Document’. July 1998.</w:t>
      </w:r>
    </w:p>
    <w:p w14:paraId="1D93CFE0" w14:textId="7CA16032" w:rsidR="00DB2EDC" w:rsidRDefault="00163E60" w:rsidP="00163E60">
      <w:r>
        <w:t>7.</w:t>
      </w:r>
      <w:r>
        <w:tab/>
      </w:r>
      <w:r w:rsidR="00DB2EDC">
        <w:t>Reference deleted.</w:t>
      </w:r>
    </w:p>
    <w:p w14:paraId="1001E7E3" w14:textId="77777777" w:rsidR="00163E60" w:rsidRDefault="00163E60" w:rsidP="00163E60">
      <w:r>
        <w:t>9.</w:t>
      </w:r>
      <w:r>
        <w:tab/>
        <w:t xml:space="preserve">Council Directive 2013/59/Euratom </w:t>
      </w:r>
    </w:p>
    <w:p w14:paraId="3429B899" w14:textId="77777777" w:rsidR="00163E60" w:rsidRDefault="00163E60" w:rsidP="003D1840">
      <w:pPr>
        <w:ind w:left="720" w:hanging="720"/>
      </w:pPr>
      <w:r>
        <w:t>10.</w:t>
      </w:r>
      <w:r>
        <w:tab/>
        <w:t>Department of the Environment, Scottish Office and Welsh Office (1995). Review of Radioactive Waste Management Policy. Final Conclusions. Cm 2919. HMSO, London.</w:t>
      </w:r>
    </w:p>
    <w:p w14:paraId="3F9B83D9" w14:textId="77777777" w:rsidR="00163E60" w:rsidRDefault="00163E60" w:rsidP="003D1840">
      <w:pPr>
        <w:ind w:left="720" w:hanging="720"/>
      </w:pPr>
      <w:r>
        <w:t>11.</w:t>
      </w:r>
      <w:r>
        <w:tab/>
        <w:t>Department of Energy and Climate Change, Department of Environment Northern Ireland, The Scottish Government and Welsh Assembly Government (2009). UK Strategy for Radioactive Discharges. July 2009.</w:t>
      </w:r>
    </w:p>
    <w:p w14:paraId="4C1DF37F" w14:textId="77777777" w:rsidR="00163E60" w:rsidRDefault="00163E60" w:rsidP="003D1840">
      <w:pPr>
        <w:ind w:left="720" w:hanging="720"/>
      </w:pPr>
      <w:r>
        <w:t>12.</w:t>
      </w:r>
      <w:r>
        <w:tab/>
        <w:t>Department of Energy and Climate Change and Welsh Assembly Government (2009). Statutory Guidance to the Environment Agency concerning the regulation of radioactive discharges into the environment.</w:t>
      </w:r>
    </w:p>
    <w:p w14:paraId="34133CE8" w14:textId="77777777" w:rsidR="00163E60" w:rsidRDefault="00163E60" w:rsidP="003D1840">
      <w:pPr>
        <w:ind w:left="720" w:hanging="720"/>
      </w:pPr>
      <w:r>
        <w:lastRenderedPageBreak/>
        <w:t>13.</w:t>
      </w:r>
      <w:r>
        <w:tab/>
        <w:t>The Scottish Government (2008). Environment Act 1995. The UK Strategy for Radioactive Discharges. Statutory Guidance.</w:t>
      </w:r>
    </w:p>
    <w:p w14:paraId="61146E17" w14:textId="77777777" w:rsidR="00163E60" w:rsidRDefault="00163E60" w:rsidP="00163E60">
      <w:r>
        <w:t>14.</w:t>
      </w:r>
      <w:r>
        <w:tab/>
        <w:t>IAEA (1993). The Principles of Radioactive Waste Management. Safety Series 111-5.</w:t>
      </w:r>
    </w:p>
    <w:p w14:paraId="67D05214" w14:textId="77777777" w:rsidR="00163E60" w:rsidRDefault="00163E60" w:rsidP="003D1840">
      <w:pPr>
        <w:ind w:left="720" w:hanging="720"/>
      </w:pPr>
      <w:r>
        <w:t>15.</w:t>
      </w:r>
      <w:r>
        <w:tab/>
        <w:t>ICRP (2007). The 2007 Recommendations of the International Commission on Radiological Protection. ICRP Publication 103. Ann ICRP, 37, 2-4.</w:t>
      </w:r>
    </w:p>
    <w:p w14:paraId="3DE9AE6B" w14:textId="77777777" w:rsidR="00163E60" w:rsidRDefault="00163E60" w:rsidP="003D1840">
      <w:pPr>
        <w:ind w:left="720" w:hanging="720"/>
      </w:pPr>
      <w:r>
        <w:t>16.</w:t>
      </w:r>
      <w:r>
        <w:tab/>
        <w:t>HPA (2009). Application of the 2007 Recommendations of the ICRP to the UK: Advice from the Health Protection Agency. Documents of the Health Protection Agency, Radiation, Chemicals and Environmental Hazards, July 2009.</w:t>
      </w:r>
    </w:p>
    <w:p w14:paraId="48D520F4" w14:textId="77777777" w:rsidR="00163E60" w:rsidRDefault="00163E60" w:rsidP="003D1840">
      <w:pPr>
        <w:ind w:left="720" w:hanging="720"/>
      </w:pPr>
      <w:r>
        <w:t>17.</w:t>
      </w:r>
      <w:r>
        <w:tab/>
        <w:t>ICRP (1997). Radiological protection policy for the disposal of radioactive waste. ICRP Publication 77. Ann ICRP, 27, Supplement 1997.</w:t>
      </w:r>
    </w:p>
    <w:p w14:paraId="335E0190" w14:textId="77777777" w:rsidR="00163E60" w:rsidRDefault="00163E60" w:rsidP="003D1840">
      <w:pPr>
        <w:ind w:left="720" w:hanging="720"/>
      </w:pPr>
      <w:r>
        <w:t>18.</w:t>
      </w:r>
      <w:r>
        <w:tab/>
        <w:t>The Justification of Practices Involving Ionising Radiation Regulations 2004. SI 2004 No. 1769.</w:t>
      </w:r>
    </w:p>
    <w:p w14:paraId="386ED1BF" w14:textId="77777777" w:rsidR="00163E60" w:rsidRDefault="00163E60" w:rsidP="00163E60">
      <w:r>
        <w:t>19.</w:t>
      </w:r>
      <w:r>
        <w:tab/>
        <w:t>Reference deleted</w:t>
      </w:r>
    </w:p>
    <w:p w14:paraId="0E715D76" w14:textId="77777777" w:rsidR="00163E60" w:rsidRDefault="00163E60" w:rsidP="003D1840">
      <w:pPr>
        <w:ind w:left="720" w:hanging="720"/>
      </w:pPr>
      <w:r>
        <w:t>20.</w:t>
      </w:r>
      <w:r>
        <w:tab/>
        <w:t>ICRP (1991). 1990 Recommendations of the International Commission on Radiological Protection. ICRP Publication 60. Ann ICRP, 21, 1-3.</w:t>
      </w:r>
    </w:p>
    <w:p w14:paraId="2E1B3FE0" w14:textId="77777777" w:rsidR="00163E60" w:rsidRDefault="00163E60" w:rsidP="00163E60">
      <w:r>
        <w:t>21.</w:t>
      </w:r>
      <w:r>
        <w:tab/>
        <w:t>The Ionising Radiations Regulations 2017.</w:t>
      </w:r>
    </w:p>
    <w:p w14:paraId="666E3D34" w14:textId="77777777" w:rsidR="00163E60" w:rsidRDefault="00163E60" w:rsidP="00163E60">
      <w:r>
        <w:t>24.</w:t>
      </w:r>
      <w:r>
        <w:tab/>
        <w:t>The Nuclear Installations Act 1965.</w:t>
      </w:r>
    </w:p>
    <w:p w14:paraId="2E2EE303" w14:textId="77777777" w:rsidR="00163E60" w:rsidRDefault="00163E60" w:rsidP="003D1840">
      <w:pPr>
        <w:ind w:left="720" w:hanging="720"/>
      </w:pPr>
      <w:r>
        <w:t>25.</w:t>
      </w:r>
      <w:r>
        <w:tab/>
        <w:t>Ministry of Agriculture Fisheries and Food. Radioactivity in Food and the Environment, 1995. RIFE-1.</w:t>
      </w:r>
    </w:p>
    <w:p w14:paraId="57C7ABE0" w14:textId="77777777" w:rsidR="00163E60" w:rsidRDefault="00163E60" w:rsidP="003D1840">
      <w:pPr>
        <w:ind w:left="720" w:hanging="720"/>
      </w:pPr>
      <w:r>
        <w:t>26.</w:t>
      </w:r>
      <w:r>
        <w:tab/>
        <w:t>Ministry of Agriculture Fisheries and Food and Scottish Environment Protection Agency. Radioactivity in Food and the Environment, 1996-1998. RIFE-2 to RIFE-4.</w:t>
      </w:r>
    </w:p>
    <w:p w14:paraId="22199CA6" w14:textId="1CE45473" w:rsidR="00163E60" w:rsidRDefault="00163E60" w:rsidP="00E46DB6">
      <w:pPr>
        <w:ind w:left="720" w:hanging="720"/>
      </w:pPr>
      <w:r>
        <w:t>27.</w:t>
      </w:r>
      <w:r>
        <w:tab/>
      </w:r>
      <w:r w:rsidR="00276E85">
        <w:t>Reference deleted.</w:t>
      </w:r>
    </w:p>
    <w:p w14:paraId="4B9B51D6" w14:textId="77777777" w:rsidR="00163E60" w:rsidRDefault="00163E60" w:rsidP="003D1840">
      <w:pPr>
        <w:ind w:left="720" w:hanging="720"/>
      </w:pPr>
      <w:r>
        <w:t>30.</w:t>
      </w:r>
      <w:r>
        <w:tab/>
        <w:t>IAEA (1988). Principles for the exemption of radiation sources and practices from regulatory control. Safety Series No 89.</w:t>
      </w:r>
    </w:p>
    <w:p w14:paraId="209F6E2A" w14:textId="77777777" w:rsidR="00163E60" w:rsidRDefault="00163E60" w:rsidP="003D1840">
      <w:pPr>
        <w:ind w:left="720" w:hanging="720"/>
      </w:pPr>
      <w:r>
        <w:t>31.</w:t>
      </w:r>
      <w:r>
        <w:tab/>
        <w:t>IAEA (2004). Application of the Concepts of Exclusion, Exemption and Clearance Safety Guide. IAEA Safety Standards Series No.RS-G-1.7.</w:t>
      </w:r>
    </w:p>
    <w:p w14:paraId="1F51F88F" w14:textId="77777777" w:rsidR="00163E60" w:rsidRDefault="00163E60" w:rsidP="003D1840">
      <w:pPr>
        <w:ind w:left="720" w:hanging="720"/>
      </w:pPr>
      <w:r>
        <w:t>32.</w:t>
      </w:r>
      <w:r>
        <w:tab/>
        <w:t>HMIP &amp; MAFF (1996). Decisions by the chief inspector and the minister on applications by the AGR &amp; PWR company limited to dispose of radioactive wastes from the Dungeness B, Hartlepool, Heysham 1, Heysham 2, Hinkley Point B and Sizewell B nuclear power stations.</w:t>
      </w:r>
    </w:p>
    <w:p w14:paraId="26B93B60" w14:textId="77777777" w:rsidR="00163E60" w:rsidRDefault="00163E60" w:rsidP="00163E60">
      <w:r>
        <w:t>33.</w:t>
      </w:r>
      <w:r>
        <w:tab/>
        <w:t>HSE (1992). The Tolerability of Risk from Nuclear Power Stations.</w:t>
      </w:r>
    </w:p>
    <w:p w14:paraId="2B2798E9" w14:textId="77777777" w:rsidR="00163E60" w:rsidRDefault="00163E60" w:rsidP="003D1840">
      <w:pPr>
        <w:ind w:left="720" w:hanging="720"/>
      </w:pPr>
      <w:r>
        <w:lastRenderedPageBreak/>
        <w:t>34.</w:t>
      </w:r>
      <w:r>
        <w:tab/>
        <w:t>HSE (2001). Reducing Risks, Protecting People. HSE’s Decision-Making Process. HSE Books.</w:t>
      </w:r>
    </w:p>
    <w:p w14:paraId="2921DD9D" w14:textId="77777777" w:rsidR="00163E60" w:rsidRDefault="00163E60" w:rsidP="00163E60">
      <w:r>
        <w:t>35.</w:t>
      </w:r>
      <w:r>
        <w:tab/>
        <w:t>HSE (2006). Safety Assessment Principles for Nuclear Facilities. 2006 Edition.</w:t>
      </w:r>
    </w:p>
    <w:p w14:paraId="133FA801" w14:textId="77777777" w:rsidR="00163E60" w:rsidRDefault="00163E60" w:rsidP="003D1840">
      <w:pPr>
        <w:ind w:left="720" w:hanging="720"/>
      </w:pPr>
      <w:r>
        <w:t>36.</w:t>
      </w:r>
      <w:r>
        <w:tab/>
        <w:t>ICRP (2003). A Framework for Assessing the Impact of Ionising Radiation on Non-human Species. ICRP Publication 91. Ann ICRP, 33, 3.</w:t>
      </w:r>
    </w:p>
    <w:p w14:paraId="0C1CEB49" w14:textId="77777777" w:rsidR="00163E60" w:rsidRDefault="00163E60" w:rsidP="003D1840">
      <w:pPr>
        <w:ind w:left="720" w:hanging="720"/>
      </w:pPr>
      <w:r>
        <w:t>37.</w:t>
      </w:r>
      <w:r>
        <w:tab/>
        <w:t>R J Pentreath (2005). Concept and use of reference animals and plants. In: Protection of the Environment from the Effects of Ionizing Radiation. IAEA-CN-109, IAEA, Vienna, 411-420.</w:t>
      </w:r>
    </w:p>
    <w:p w14:paraId="4C7AF67B" w14:textId="77777777" w:rsidR="00163E60" w:rsidRDefault="00163E60" w:rsidP="003D1840">
      <w:pPr>
        <w:ind w:left="720" w:hanging="720"/>
      </w:pPr>
      <w:r>
        <w:t>38.</w:t>
      </w:r>
      <w:r>
        <w:tab/>
        <w:t xml:space="preserve">ICRP (2008). Environmental Protection: </w:t>
      </w:r>
      <w:proofErr w:type="gramStart"/>
      <w:r>
        <w:t>the</w:t>
      </w:r>
      <w:proofErr w:type="gramEnd"/>
      <w:r>
        <w:t xml:space="preserve"> Concept and Use of Reference Animals and Plants. ICRP Publication 108. Ann ICRP, 38, 4-6.</w:t>
      </w:r>
    </w:p>
    <w:p w14:paraId="244EB7E8" w14:textId="77777777" w:rsidR="00163E60" w:rsidRDefault="00163E60" w:rsidP="003D1840">
      <w:pPr>
        <w:ind w:left="720" w:hanging="720"/>
      </w:pPr>
      <w:r>
        <w:t>39.</w:t>
      </w:r>
      <w:r>
        <w:tab/>
        <w:t>Environment Agency (2001). Impact Assessment of Ionising Radiation on Wildlife. R&amp;D Report 128.</w:t>
      </w:r>
    </w:p>
    <w:p w14:paraId="7AF21658" w14:textId="77777777" w:rsidR="00163E60" w:rsidRDefault="00163E60" w:rsidP="003D1840">
      <w:pPr>
        <w:ind w:left="720" w:hanging="720"/>
      </w:pPr>
      <w:r>
        <w:t>40.</w:t>
      </w:r>
      <w:r>
        <w:tab/>
        <w:t xml:space="preserve">D </w:t>
      </w:r>
      <w:proofErr w:type="spellStart"/>
      <w:r>
        <w:t>Copplestone</w:t>
      </w:r>
      <w:proofErr w:type="spellEnd"/>
      <w:r>
        <w:t xml:space="preserve">, M D Wood, S Bielby, S R Jones, J Vives and N </w:t>
      </w:r>
      <w:proofErr w:type="gramStart"/>
      <w:r>
        <w:t>A</w:t>
      </w:r>
      <w:proofErr w:type="gramEnd"/>
      <w:r>
        <w:t xml:space="preserve"> Beresford (2003). Habitats Regulations for Stage 3 Assessments: Radioactive Substances Authorisations. Environment Agency R&amp;D Technical Report P3-101/SP1a. ISBN: 1844321754.</w:t>
      </w:r>
    </w:p>
    <w:p w14:paraId="345030B8" w14:textId="77777777" w:rsidR="00163E60" w:rsidRDefault="00163E60" w:rsidP="003D1840">
      <w:pPr>
        <w:ind w:left="720" w:hanging="720"/>
      </w:pPr>
      <w:r>
        <w:t>41.</w:t>
      </w:r>
      <w:r>
        <w:tab/>
        <w:t>Environment Agency (2008). Habitats assessment for Radioactive Substances. Science report: SC060083/SR1. May 2009.</w:t>
      </w:r>
    </w:p>
    <w:p w14:paraId="0369DB57" w14:textId="77777777" w:rsidR="00163E60" w:rsidRDefault="00163E60" w:rsidP="003D1840">
      <w:pPr>
        <w:ind w:left="720" w:hanging="720"/>
      </w:pPr>
      <w:r>
        <w:t>42.</w:t>
      </w:r>
      <w:r>
        <w:tab/>
        <w:t>Working with Ionising Radiation. Ionising Radiations Regulations 2017 Approved Code of Practice and Guidance.</w:t>
      </w:r>
    </w:p>
    <w:p w14:paraId="0F103994" w14:textId="77777777" w:rsidR="00163E60" w:rsidRDefault="00163E60" w:rsidP="003D1840">
      <w:pPr>
        <w:ind w:left="720" w:hanging="720"/>
      </w:pPr>
      <w:r>
        <w:t>43.</w:t>
      </w:r>
      <w:r>
        <w:tab/>
        <w:t>ICRP (2006). Assessing Dose of the Representative Person for the Purpose of Radiation Protection of the Public and Optimisation of Radiological Protection: Broadening the Process. ICRP Publication 101. Ann ICRP, 36, No 3.</w:t>
      </w:r>
    </w:p>
    <w:p w14:paraId="7C7D933E" w14:textId="77777777" w:rsidR="00163E60" w:rsidRDefault="00163E60" w:rsidP="003D1840">
      <w:pPr>
        <w:ind w:left="720" w:hanging="720"/>
      </w:pPr>
      <w:r>
        <w:t>44.</w:t>
      </w:r>
      <w:r>
        <w:tab/>
        <w:t xml:space="preserve">ICRP (2001). Doses to the Embryo and </w:t>
      </w:r>
      <w:proofErr w:type="spellStart"/>
      <w:r>
        <w:t>Fetus</w:t>
      </w:r>
      <w:proofErr w:type="spellEnd"/>
      <w:r>
        <w:t xml:space="preserve"> from Intakes of Radionuclides by the </w:t>
      </w:r>
      <w:proofErr w:type="gramStart"/>
      <w:r>
        <w:t>Mother</w:t>
      </w:r>
      <w:proofErr w:type="gramEnd"/>
      <w:r>
        <w:t>. ICRP Publication 88. Ann ICRP, 31, No 1-3.</w:t>
      </w:r>
    </w:p>
    <w:p w14:paraId="78869F5D" w14:textId="77777777" w:rsidR="00163E60" w:rsidRDefault="00163E60" w:rsidP="003D1840">
      <w:pPr>
        <w:ind w:left="720" w:hanging="720"/>
      </w:pPr>
      <w:r>
        <w:t>45.</w:t>
      </w:r>
      <w:r>
        <w:tab/>
        <w:t xml:space="preserve">W B Oatway, JR Simmonds, J D Harrison (2008). Guidance on the application of dose coefficients for the embryo, </w:t>
      </w:r>
      <w:proofErr w:type="spellStart"/>
      <w:r>
        <w:t>fetus</w:t>
      </w:r>
      <w:proofErr w:type="spellEnd"/>
      <w:r>
        <w:t xml:space="preserve"> and breastfed infant in dose assessments for members of the public. Advice from the Health Protection Agency. Documents of the Health Protection Agency RCE-5.</w:t>
      </w:r>
    </w:p>
    <w:p w14:paraId="5F9CBE13" w14:textId="77777777" w:rsidR="00163E60" w:rsidRDefault="00163E60" w:rsidP="003D1840">
      <w:pPr>
        <w:ind w:left="720" w:hanging="720"/>
      </w:pPr>
      <w:r>
        <w:t>46.</w:t>
      </w:r>
      <w:r>
        <w:tab/>
        <w:t xml:space="preserve">C A Robinson, A Mayall, C A Attwood, T Cabianca, D H Hodd, C A </w:t>
      </w:r>
      <w:proofErr w:type="spellStart"/>
      <w:r>
        <w:t>Fayers</w:t>
      </w:r>
      <w:proofErr w:type="spellEnd"/>
      <w:r>
        <w:t>, K A Jones and J R Simmonds (1994). Critical Group Doses around Nuclear Sites in England and Wales. NRPB-R271.</w:t>
      </w:r>
    </w:p>
    <w:p w14:paraId="1B34D285" w14:textId="77777777" w:rsidR="00163E60" w:rsidRDefault="00163E60" w:rsidP="003D1840">
      <w:pPr>
        <w:ind w:left="720" w:hanging="720"/>
      </w:pPr>
      <w:r>
        <w:lastRenderedPageBreak/>
        <w:t>47.</w:t>
      </w:r>
      <w:r>
        <w:tab/>
        <w:t xml:space="preserve">K R Smith, J Brown, J A Jones, P Mansfield, J G Smith and S M Haywood (1998). Uncertainties in the assessment of terrestrial </w:t>
      </w:r>
      <w:proofErr w:type="spellStart"/>
      <w:r>
        <w:t>foodchain</w:t>
      </w:r>
      <w:proofErr w:type="spellEnd"/>
      <w:r>
        <w:t xml:space="preserve"> doses. NRPB-M922.</w:t>
      </w:r>
    </w:p>
    <w:p w14:paraId="547CF635" w14:textId="77777777" w:rsidR="00163E60" w:rsidRDefault="00163E60" w:rsidP="003D1840">
      <w:pPr>
        <w:ind w:left="720" w:hanging="720"/>
      </w:pPr>
      <w:r>
        <w:t>48.</w:t>
      </w:r>
      <w:r>
        <w:tab/>
        <w:t>European Commission (2002). Guidance on the Realistic Assessment of Radiation Doses to Members of the Public due to the Operation of Nuclear Installations under Normal Conditions. Recommendations of the Group of Experts Set Up Under the Terms of Article 31 of the Euratom Treaty. Radiation Protection 129, Luxembourg.</w:t>
      </w:r>
    </w:p>
    <w:p w14:paraId="58FE2A71" w14:textId="77777777" w:rsidR="00163E60" w:rsidRDefault="00163E60" w:rsidP="003D1840">
      <w:pPr>
        <w:ind w:left="720" w:hanging="720"/>
      </w:pPr>
      <w:r>
        <w:t>49.</w:t>
      </w:r>
      <w:r>
        <w:tab/>
        <w:t>NRPB (1993). Public exposure: guidance on the 1990 recommendations of ICRP. Doc NRPB, 4, No 2, 27-41.</w:t>
      </w:r>
    </w:p>
    <w:p w14:paraId="29AF0D10" w14:textId="77777777" w:rsidR="00163E60" w:rsidRDefault="00163E60" w:rsidP="003D1840">
      <w:pPr>
        <w:ind w:left="720" w:hanging="720"/>
      </w:pPr>
      <w:r>
        <w:t>50.</w:t>
      </w:r>
      <w:r>
        <w:tab/>
        <w:t>J G Titley, C A Attwood and J R Simmonds (2000). Generalised Derived Constraints for Radioisotopes of Strontium, Ruthenium, Iodine, Caesium, Plutonium, Americium and Curium. Doc NRPB, 11(2), 1-41.</w:t>
      </w:r>
    </w:p>
    <w:p w14:paraId="3B94FAC0" w14:textId="77777777" w:rsidR="00163E60" w:rsidRDefault="00163E60" w:rsidP="003D1840">
      <w:pPr>
        <w:ind w:left="720" w:hanging="720"/>
      </w:pPr>
      <w:r>
        <w:t>51.</w:t>
      </w:r>
      <w:r>
        <w:tab/>
        <w:t>M P Harvey and J R Simmonds (2002). Generalised Derived Constraints for Radioisotopes of Polonium, Lead, Radium and Uranium. Doc NRPB, 13(2), 1-38.</w:t>
      </w:r>
    </w:p>
    <w:p w14:paraId="5D646CB8" w14:textId="77777777" w:rsidR="00163E60" w:rsidRDefault="00163E60" w:rsidP="00163E60">
      <w:r>
        <w:t>52.</w:t>
      </w:r>
      <w:r>
        <w:tab/>
        <w:t>Environment Agency. Radioactivity in the Environment. Annual Report for 1995 to 2001.</w:t>
      </w:r>
    </w:p>
    <w:p w14:paraId="70ABA7EE" w14:textId="77777777" w:rsidR="00163E60" w:rsidRDefault="00163E60" w:rsidP="003D1840">
      <w:pPr>
        <w:ind w:left="720" w:hanging="720"/>
      </w:pPr>
      <w:r>
        <w:t>53.</w:t>
      </w:r>
      <w:r>
        <w:tab/>
        <w:t>Environment Agency and SNIFFER (1999). The Past, Current and Future Radiological Impact of the Sellafield Marine Discharges on the People Living in the Coastal Communities Surrounding the Irish Sea. Environment Agency R&amp;D Technical Report P290.</w:t>
      </w:r>
    </w:p>
    <w:p w14:paraId="0456548B" w14:textId="77777777" w:rsidR="00163E60" w:rsidRDefault="00163E60" w:rsidP="003D1840">
      <w:pPr>
        <w:ind w:left="720" w:hanging="720"/>
      </w:pPr>
      <w:r>
        <w:t>54.</w:t>
      </w:r>
      <w:r>
        <w:tab/>
        <w:t>ICRP (1985). Principles of Monitoring for the Radiation Protection of the Population. ICRP Publication 43. Ann ICRP, 15, No 1.</w:t>
      </w:r>
    </w:p>
    <w:p w14:paraId="7EF60E5E" w14:textId="77777777" w:rsidR="00163E60" w:rsidRDefault="00163E60" w:rsidP="003D1840">
      <w:pPr>
        <w:ind w:left="720" w:hanging="720"/>
      </w:pPr>
      <w:r>
        <w:t>55.</w:t>
      </w:r>
      <w:r>
        <w:tab/>
        <w:t>National Dose Assessment Working Group (2008). Guidance on initial/simple assessment tools. NDAWG Guidance note 2.</w:t>
      </w:r>
    </w:p>
    <w:p w14:paraId="40921CFE" w14:textId="1A80CA7C" w:rsidR="00163E60" w:rsidRDefault="00163E60" w:rsidP="003D1840">
      <w:pPr>
        <w:ind w:left="720" w:hanging="720"/>
      </w:pPr>
      <w:r>
        <w:t>56.</w:t>
      </w:r>
      <w:r>
        <w:tab/>
        <w:t>Environment Agency. Initial radiological assessment methodology – part 1 user report.  Science report SC030162/SR1 May 2006</w:t>
      </w:r>
    </w:p>
    <w:p w14:paraId="406F0507" w14:textId="3D866A7D" w:rsidR="00163E60" w:rsidRDefault="00163E60" w:rsidP="003D1840">
      <w:pPr>
        <w:ind w:left="720" w:hanging="720"/>
      </w:pPr>
      <w:r>
        <w:t>57.</w:t>
      </w:r>
      <w:r>
        <w:tab/>
        <w:t>Environment Agency. Initial radiological assessment methodology – part 2 methods and input data.</w:t>
      </w:r>
      <w:r>
        <w:tab/>
        <w:t>Science report SC030162/SR2 May 2006</w:t>
      </w:r>
    </w:p>
    <w:p w14:paraId="7E20C5B1" w14:textId="77777777" w:rsidR="00163E60" w:rsidRDefault="00163E60" w:rsidP="00163E60">
      <w:r>
        <w:t>58.</w:t>
      </w:r>
      <w:r>
        <w:tab/>
        <w:t>C E McDonnell (2004). Radiological Assessments for Small Users. NRPB-W63.</w:t>
      </w:r>
    </w:p>
    <w:p w14:paraId="4A4D0392" w14:textId="77777777" w:rsidR="00163E60" w:rsidRDefault="00163E60" w:rsidP="003D1840">
      <w:pPr>
        <w:ind w:left="720" w:hanging="720"/>
      </w:pPr>
      <w:r>
        <w:t>59.</w:t>
      </w:r>
      <w:r>
        <w:tab/>
        <w:t>J G Smith and J R Simmonds (Editors) (2009). The Methodology for Assessing the Radiological Consequences of Routine Releases of Radionuclides to the Environment Used in PC-CREAM 08. HPA-RPD-058.</w:t>
      </w:r>
    </w:p>
    <w:p w14:paraId="078EE404" w14:textId="77777777" w:rsidR="00163E60" w:rsidRDefault="00163E60" w:rsidP="003D1840">
      <w:pPr>
        <w:ind w:left="720" w:hanging="720"/>
      </w:pPr>
      <w:r>
        <w:lastRenderedPageBreak/>
        <w:t>60.</w:t>
      </w:r>
      <w:r>
        <w:tab/>
        <w:t>J R Simmonds, G Lawson and A Mayall (1995). Methodology for assessing the radiological consequences of routine releases of radionuclides to the environment. European Commission, Luxembourg, EUR 15760 EN, Radiation Protection 72.</w:t>
      </w:r>
    </w:p>
    <w:p w14:paraId="0FCE171E" w14:textId="77777777" w:rsidR="00163E60" w:rsidRDefault="00163E60" w:rsidP="003D1840">
      <w:pPr>
        <w:ind w:left="720" w:hanging="720"/>
      </w:pPr>
      <w:r>
        <w:t>61.</w:t>
      </w:r>
      <w:r>
        <w:tab/>
        <w:t xml:space="preserve">Z Ould-Dada, S Tucker, D Webbe-Wood, K Mondon and J Hunt. (2002). Assessment of Prospective </w:t>
      </w:r>
      <w:proofErr w:type="spellStart"/>
      <w:r>
        <w:t>Foodchain</w:t>
      </w:r>
      <w:proofErr w:type="spellEnd"/>
      <w:r>
        <w:t xml:space="preserve"> Doses from Radioactive Discharges from BNFL Sellafield. J Env Rad, 59, 273-291.</w:t>
      </w:r>
    </w:p>
    <w:p w14:paraId="70598D12" w14:textId="77777777" w:rsidR="00163E60" w:rsidRDefault="00163E60" w:rsidP="003D1840">
      <w:pPr>
        <w:ind w:left="720" w:hanging="720"/>
      </w:pPr>
      <w:r>
        <w:t>62.</w:t>
      </w:r>
      <w:r>
        <w:tab/>
        <w:t>Food Standards Agency (2007). Assessment Methodology for the Potential Impact on Food of Radioactive Discharges to the Environment. Radiological Protection and Research Management Division, Food Standards Agency, London.</w:t>
      </w:r>
    </w:p>
    <w:p w14:paraId="3685EE11" w14:textId="77777777" w:rsidR="00163E60" w:rsidRDefault="00163E60" w:rsidP="003D1840">
      <w:pPr>
        <w:ind w:left="720" w:hanging="720"/>
      </w:pPr>
      <w:r>
        <w:t>63.</w:t>
      </w:r>
      <w:r>
        <w:tab/>
        <w:t>J Smith, W Oatway, I Brown and J Sherwood (2009). PC-CREAM 08 user guide. RPD-EA-9-2009.</w:t>
      </w:r>
    </w:p>
    <w:p w14:paraId="4B0AC5D6" w14:textId="77777777" w:rsidR="00163E60" w:rsidRDefault="00163E60" w:rsidP="003D1840">
      <w:pPr>
        <w:ind w:left="720" w:hanging="720"/>
      </w:pPr>
      <w:r>
        <w:t>64.</w:t>
      </w:r>
      <w:r>
        <w:tab/>
        <w:t xml:space="preserve">J G Titley, A D Carey, G M Crockett, G J Ham, M P Harvey, S F Mobbs, C Tournette, J S </w:t>
      </w:r>
      <w:proofErr w:type="spellStart"/>
      <w:r>
        <w:t>S</w:t>
      </w:r>
      <w:proofErr w:type="spellEnd"/>
      <w:r>
        <w:t xml:space="preserve"> Penfold &amp; B T Wilkins (2000). Investigation of the Sources and Fate of Radioactive Discharges to Public Sewers. Environment Agency R&amp;D Technical Report P288.</w:t>
      </w:r>
    </w:p>
    <w:p w14:paraId="77547D67" w14:textId="77777777" w:rsidR="00163E60" w:rsidRDefault="00163E60" w:rsidP="003D1840">
      <w:pPr>
        <w:ind w:left="720" w:hanging="720"/>
      </w:pPr>
      <w:r>
        <w:t>65.</w:t>
      </w:r>
      <w:r>
        <w:tab/>
        <w:t xml:space="preserve">Brownless &amp; Round (2000). Non-Licensed Sites Screening Methodology. </w:t>
      </w:r>
      <w:proofErr w:type="spellStart"/>
      <w:r>
        <w:t>Cefas</w:t>
      </w:r>
      <w:proofErr w:type="spellEnd"/>
      <w:r>
        <w:t xml:space="preserve"> Environment Report RL09/00.</w:t>
      </w:r>
    </w:p>
    <w:p w14:paraId="7F5BD060" w14:textId="48702150" w:rsidR="00163E60" w:rsidRDefault="00163E60" w:rsidP="003D1840">
      <w:pPr>
        <w:ind w:left="720" w:hanging="720"/>
      </w:pPr>
      <w:r>
        <w:t>66.</w:t>
      </w:r>
      <w:r>
        <w:tab/>
        <w:t xml:space="preserve">Scottish Environment Protection Agency. Assessment of radioactive discharges to sewer by the non-nuclear industry in Scotland. </w:t>
      </w:r>
    </w:p>
    <w:p w14:paraId="0055EBBD" w14:textId="77777777" w:rsidR="00163E60" w:rsidRDefault="00163E60" w:rsidP="003D1840">
      <w:pPr>
        <w:ind w:left="720" w:hanging="720"/>
      </w:pPr>
      <w:r>
        <w:t>67.</w:t>
      </w:r>
      <w:r>
        <w:tab/>
        <w:t>R H Clarke (1979). The First Report of a Working Group on Atmospheric Dispersion: A Model for Short and Medium Range Dispersion of Radionuclides Released to the Atmosphere. NRPB-R91.</w:t>
      </w:r>
    </w:p>
    <w:p w14:paraId="7B4164AF" w14:textId="77777777" w:rsidR="00163E60" w:rsidRDefault="00163E60" w:rsidP="00163E60">
      <w:r>
        <w:t>68.</w:t>
      </w:r>
      <w:r>
        <w:tab/>
        <w:t>CERC (2002) ADMS Version 3.1. Cambridge Environmental Research Consultants.</w:t>
      </w:r>
    </w:p>
    <w:p w14:paraId="16C0822B" w14:textId="0DABAC7A" w:rsidR="00163E60" w:rsidRDefault="00163E60" w:rsidP="003D1840">
      <w:pPr>
        <w:ind w:left="720" w:hanging="720"/>
      </w:pPr>
      <w:r>
        <w:t>69.</w:t>
      </w:r>
      <w:r>
        <w:tab/>
        <w:t xml:space="preserve">A J Cimorelli, S G Perry, A </w:t>
      </w:r>
      <w:proofErr w:type="spellStart"/>
      <w:r>
        <w:t>Venkatram</w:t>
      </w:r>
      <w:proofErr w:type="spellEnd"/>
      <w:r>
        <w:t xml:space="preserve">, J C Weil, R J Paine, R B Wilson, R F Lee, W D Peters, R W Brode, J O Paumier (2004). AERMOD: description of model formulation. EPA-454/R-03¬004 </w:t>
      </w:r>
    </w:p>
    <w:p w14:paraId="724E5F65" w14:textId="77777777" w:rsidR="00163E60" w:rsidRDefault="00163E60" w:rsidP="003D1840">
      <w:pPr>
        <w:ind w:left="720" w:hanging="720"/>
      </w:pPr>
      <w:r>
        <w:t>70.</w:t>
      </w:r>
      <w:r>
        <w:tab/>
        <w:t xml:space="preserve">N G Mitchell (1999). A Handbook for the SPADE Suite of Models for Radionuclide Transfer through Terrestrial </w:t>
      </w:r>
      <w:proofErr w:type="spellStart"/>
      <w:r>
        <w:t>Foodchains</w:t>
      </w:r>
      <w:proofErr w:type="spellEnd"/>
      <w:r>
        <w:t>. Mouchel Report 48112 produced for MAFF/Food Standards Agency.</w:t>
      </w:r>
    </w:p>
    <w:p w14:paraId="43AE933D" w14:textId="77777777" w:rsidR="00163E60" w:rsidRDefault="00163E60" w:rsidP="00AF557D">
      <w:pPr>
        <w:ind w:left="720" w:hanging="720"/>
      </w:pPr>
      <w:r>
        <w:t>71.</w:t>
      </w:r>
      <w:r>
        <w:tab/>
        <w:t>K F Eckerman and J C Ryman (1993). External Exposure to Radionuclides in Air, Water and Soil. Federal Guidance Report 12. EPA Report 402-R-93-081. Washington, DC.</w:t>
      </w:r>
    </w:p>
    <w:p w14:paraId="1B535438" w14:textId="77777777" w:rsidR="00163E60" w:rsidRDefault="00163E60" w:rsidP="00AF557D">
      <w:pPr>
        <w:ind w:left="720" w:hanging="720"/>
      </w:pPr>
      <w:r>
        <w:t>72.</w:t>
      </w:r>
      <w:r>
        <w:tab/>
        <w:t>National Dose Assessment Working Group (2009). Guidance on exposure pathways. NDAWG Guidance Note 3.</w:t>
      </w:r>
    </w:p>
    <w:p w14:paraId="66D29FA4" w14:textId="77777777" w:rsidR="00163E60" w:rsidRDefault="00163E60" w:rsidP="00AF557D">
      <w:pPr>
        <w:ind w:left="720" w:hanging="720"/>
      </w:pPr>
      <w:r>
        <w:lastRenderedPageBreak/>
        <w:t>73.</w:t>
      </w:r>
      <w:r>
        <w:tab/>
        <w:t>K R Smith and A L Jones (2003). Generalised Habit Data for Radiological Assessments. NRPB-W41.</w:t>
      </w:r>
    </w:p>
    <w:p w14:paraId="3943325E" w14:textId="77777777" w:rsidR="00163E60" w:rsidRDefault="00163E60" w:rsidP="00AF557D">
      <w:pPr>
        <w:ind w:left="720" w:hanging="720"/>
      </w:pPr>
      <w:r>
        <w:t>74.</w:t>
      </w:r>
      <w:r>
        <w:tab/>
        <w:t>Ministry of Agriculture, Fisheries and Food (1996). MAFF Pesticide Safety Directorate’s Handbook Appendix IC. Ministry of Agriculture Fisheries and Food, London.</w:t>
      </w:r>
    </w:p>
    <w:p w14:paraId="61F0072E" w14:textId="77777777" w:rsidR="00163E60" w:rsidRDefault="00163E60" w:rsidP="00AF557D">
      <w:pPr>
        <w:ind w:left="720" w:hanging="720"/>
      </w:pPr>
      <w:r>
        <w:t>75.</w:t>
      </w:r>
      <w:r>
        <w:tab/>
        <w:t xml:space="preserve">J Brown and J A Jones (1993). Location factors for modification of external radiation doses. </w:t>
      </w:r>
      <w:proofErr w:type="spellStart"/>
      <w:r>
        <w:t>Radiol</w:t>
      </w:r>
      <w:proofErr w:type="spellEnd"/>
      <w:r>
        <w:t xml:space="preserve"> Prot Bull, 144, 10.</w:t>
      </w:r>
    </w:p>
    <w:p w14:paraId="5050510B" w14:textId="77777777" w:rsidR="00163E60" w:rsidRDefault="00163E60" w:rsidP="00AF557D">
      <w:pPr>
        <w:ind w:left="720" w:hanging="720"/>
      </w:pPr>
      <w:r>
        <w:t>76.</w:t>
      </w:r>
      <w:r>
        <w:tab/>
        <w:t>National Dose Assessment Working Group (2010). The Estimation and Use of Results on Exposure to Direct Radiation. NDAWG Guidance Note 5.</w:t>
      </w:r>
    </w:p>
    <w:p w14:paraId="3441EAF7" w14:textId="77777777" w:rsidR="00163E60" w:rsidRDefault="00163E60" w:rsidP="00AF557D">
      <w:pPr>
        <w:ind w:left="720" w:hanging="720"/>
      </w:pPr>
      <w:r>
        <w:t>77.</w:t>
      </w:r>
      <w:r>
        <w:tab/>
        <w:t xml:space="preserve">J Byrom, C A Robinson, J R Simmonds, B Walters and R </w:t>
      </w:r>
      <w:proofErr w:type="spellStart"/>
      <w:r>
        <w:t>R</w:t>
      </w:r>
      <w:proofErr w:type="spellEnd"/>
      <w:r>
        <w:t xml:space="preserve"> Taylor (1995). Food intake rates for use in generalised radiological dose assessments. J </w:t>
      </w:r>
      <w:proofErr w:type="spellStart"/>
      <w:r>
        <w:t>Radiol</w:t>
      </w:r>
      <w:proofErr w:type="spellEnd"/>
      <w:r>
        <w:t xml:space="preserve"> Prot 15(4) pp 335-341.</w:t>
      </w:r>
    </w:p>
    <w:p w14:paraId="5FDFC2A5" w14:textId="77777777" w:rsidR="00163E60" w:rsidRDefault="00163E60" w:rsidP="00AF557D">
      <w:pPr>
        <w:ind w:left="720" w:hanging="720"/>
      </w:pPr>
      <w:r>
        <w:t>78.</w:t>
      </w:r>
      <w:r>
        <w:tab/>
        <w:t>Ministry of Agriculture, Fisheries and Food, Directorate of Fisheries Research (1989). Investigation of External Radiation Exposure Pathways in the Eastern Irish Sea. Fisheries Research Data Report No 22, Lowestoft.</w:t>
      </w:r>
    </w:p>
    <w:p w14:paraId="263B27A2" w14:textId="77777777" w:rsidR="00163E60" w:rsidRDefault="00163E60" w:rsidP="00AF557D">
      <w:pPr>
        <w:ind w:left="720" w:hanging="720"/>
      </w:pPr>
      <w:r>
        <w:t>79.</w:t>
      </w:r>
      <w:r>
        <w:tab/>
        <w:t>Department of the Environment (1991). An Investigation of the Uses Made of the Cumbrian Coastal Area by Transient and Indigenous Population Groups. Research Surveys of Great Britain Limited. HMIP Research Report DoE/HMIP/RR/91/057.</w:t>
      </w:r>
    </w:p>
    <w:p w14:paraId="466C36B6" w14:textId="77777777" w:rsidR="00163E60" w:rsidRDefault="00163E60" w:rsidP="00AF557D">
      <w:pPr>
        <w:ind w:left="720" w:hanging="720"/>
      </w:pPr>
      <w:r>
        <w:t>80.</w:t>
      </w:r>
      <w:r>
        <w:tab/>
        <w:t>HMIP (1994). A Survey of Radioactivity in the Ribble Estuary: I, Activity Concentrations and Estuarine Dynamics; II, Radiological Assessment. HMIP Environment Series Reports.</w:t>
      </w:r>
    </w:p>
    <w:p w14:paraId="407BBB2F" w14:textId="050A0990" w:rsidR="00163E60" w:rsidRDefault="00163E60" w:rsidP="00AF557D">
      <w:pPr>
        <w:ind w:left="720" w:hanging="720"/>
      </w:pPr>
      <w:r>
        <w:t>81.</w:t>
      </w:r>
      <w:r>
        <w:tab/>
        <w:t xml:space="preserve">National Dose Assessment Working Group (2009). Acquisition and Use of Habits Data for Prospective Assessments. Report of the NDAWG Habits Sub-group NDAWG/2/2009. </w:t>
      </w:r>
    </w:p>
    <w:p w14:paraId="65C8D675" w14:textId="77777777" w:rsidR="00163E60" w:rsidRDefault="00163E60" w:rsidP="00AF557D">
      <w:pPr>
        <w:ind w:left="720" w:hanging="720"/>
      </w:pPr>
      <w:r>
        <w:t>82.</w:t>
      </w:r>
      <w:r>
        <w:tab/>
        <w:t>ICRP (1996). Age-dependent doses to members of the public from intake of radionuclides. Part 5. Compilation of ingestion and inhalation dose coefficients. ICRP Publication 72. Ann ICRP 26, No 1.</w:t>
      </w:r>
    </w:p>
    <w:p w14:paraId="64D84548" w14:textId="77777777" w:rsidR="00163E60" w:rsidRDefault="00163E60" w:rsidP="00AF557D">
      <w:pPr>
        <w:ind w:left="720" w:hanging="720"/>
      </w:pPr>
      <w:r>
        <w:t>83.</w:t>
      </w:r>
      <w:r>
        <w:tab/>
        <w:t>IAEA. International Basic Safety Standards for Protection against Ionizing Radiation and for the Safety of Radiation Sources. Vienna, IAEA, Safety Series No 115.</w:t>
      </w:r>
    </w:p>
    <w:p w14:paraId="57E6C1E2" w14:textId="5EB57836" w:rsidR="00163E60" w:rsidRDefault="00163E60" w:rsidP="00AF557D">
      <w:pPr>
        <w:ind w:left="720" w:hanging="720"/>
      </w:pPr>
      <w:r>
        <w:t>84.</w:t>
      </w:r>
      <w:r>
        <w:tab/>
        <w:t xml:space="preserve">National Dose Assessment Working Group (2011). Guidance on short term release assessments. NDAWG Guidance Note 6. </w:t>
      </w:r>
    </w:p>
    <w:p w14:paraId="4AA8D610" w14:textId="77777777" w:rsidR="00163E60" w:rsidRDefault="00163E60" w:rsidP="00AF557D">
      <w:pPr>
        <w:ind w:left="720" w:hanging="720"/>
      </w:pPr>
      <w:r>
        <w:t>85.</w:t>
      </w:r>
      <w:r>
        <w:tab/>
        <w:t>ICRP (1977). Recommendations of the International Commission on Radiological Protection. ICRP Publication 26. Ann ICRP, 1, No 3.</w:t>
      </w:r>
    </w:p>
    <w:p w14:paraId="4A291148" w14:textId="77777777" w:rsidR="00163E60" w:rsidRDefault="00163E60" w:rsidP="00AF557D">
      <w:pPr>
        <w:ind w:left="720" w:hanging="720"/>
      </w:pPr>
      <w:r>
        <w:lastRenderedPageBreak/>
        <w:t>86.</w:t>
      </w:r>
      <w:r>
        <w:tab/>
        <w:t xml:space="preserve">I M Barraclough, J D Robb, C A Robinson, K R Smith and J R Cooper (1996). The use of estimates of collective dose to the public. J </w:t>
      </w:r>
      <w:proofErr w:type="spellStart"/>
      <w:r>
        <w:t>Radiol</w:t>
      </w:r>
      <w:proofErr w:type="spellEnd"/>
      <w:r>
        <w:t xml:space="preserve"> Prot, 16, No 2, 73-80.</w:t>
      </w:r>
    </w:p>
    <w:p w14:paraId="2488DF75" w14:textId="77777777" w:rsidR="00163E60" w:rsidRDefault="00163E60" w:rsidP="00AF557D">
      <w:pPr>
        <w:ind w:left="720" w:hanging="720"/>
      </w:pPr>
      <w:r>
        <w:t>87.</w:t>
      </w:r>
      <w:r>
        <w:tab/>
        <w:t>A Mayall, T Cabianca, T P Morris, A Nightingale, J R Simmonds and J R Cooper (1993). Collective doses from proposed Sellafield discharges. NRPB note for COMARE. NRPB-M453.</w:t>
      </w:r>
    </w:p>
    <w:p w14:paraId="31F15F5A" w14:textId="77777777" w:rsidR="00163E60" w:rsidRDefault="00163E60" w:rsidP="00AF557D">
      <w:pPr>
        <w:ind w:left="720" w:hanging="720"/>
      </w:pPr>
      <w:r>
        <w:t>88.</w:t>
      </w:r>
      <w:r>
        <w:tab/>
        <w:t xml:space="preserve">I M Barraclough, J D Robb, C A Robinson, K R Smith and J R Cooper (1996). The use of estimates of collective dose to the public. J </w:t>
      </w:r>
      <w:proofErr w:type="spellStart"/>
      <w:r>
        <w:t>Radiol</w:t>
      </w:r>
      <w:proofErr w:type="spellEnd"/>
      <w:r>
        <w:t xml:space="preserve"> Prot 16(2) pp 73-80.</w:t>
      </w:r>
    </w:p>
    <w:p w14:paraId="13E3BCFD" w14:textId="77777777" w:rsidR="00163E60" w:rsidRDefault="00163E60" w:rsidP="00AF557D">
      <w:pPr>
        <w:ind w:left="720" w:hanging="720"/>
      </w:pPr>
      <w:r>
        <w:t>89.</w:t>
      </w:r>
      <w:r>
        <w:tab/>
        <w:t xml:space="preserve">G Lawson, N McColl, J A Jones, J Williams, J </w:t>
      </w:r>
      <w:proofErr w:type="spellStart"/>
      <w:r>
        <w:t>Dionian</w:t>
      </w:r>
      <w:proofErr w:type="spellEnd"/>
      <w:r>
        <w:t xml:space="preserve"> and J R Cooper (1988). The radiological impact of routine discharges during 1970 – 1984 and estimated discharges up to 1989 from the UK civil nuclear power programme. NRPB-R211.</w:t>
      </w:r>
    </w:p>
    <w:p w14:paraId="22D5FFB7" w14:textId="77777777" w:rsidR="00163E60" w:rsidRDefault="00163E60" w:rsidP="00AF557D">
      <w:pPr>
        <w:ind w:left="720" w:hanging="720"/>
      </w:pPr>
      <w:r>
        <w:t>90.</w:t>
      </w:r>
      <w:r>
        <w:tab/>
        <w:t xml:space="preserve">A </w:t>
      </w:r>
      <w:proofErr w:type="spellStart"/>
      <w:r>
        <w:t>Bexon</w:t>
      </w:r>
      <w:proofErr w:type="spellEnd"/>
      <w:r>
        <w:t xml:space="preserve"> (1999). Radiological impact of routine discharges from UK civil nuclear sites in the </w:t>
      </w:r>
      <w:proofErr w:type="spellStart"/>
      <w:r>
        <w:t>mid 1990s</w:t>
      </w:r>
      <w:proofErr w:type="spellEnd"/>
      <w:r>
        <w:t>. NRPB-R312.</w:t>
      </w:r>
    </w:p>
    <w:p w14:paraId="06BFE61A" w14:textId="77777777" w:rsidR="00163E60" w:rsidRDefault="00163E60" w:rsidP="00AF557D">
      <w:pPr>
        <w:ind w:left="720" w:hanging="720"/>
      </w:pPr>
      <w:r>
        <w:t>91.</w:t>
      </w:r>
      <w:r>
        <w:tab/>
        <w:t xml:space="preserve">K R Smith, A P </w:t>
      </w:r>
      <w:proofErr w:type="spellStart"/>
      <w:r>
        <w:t>Bexon</w:t>
      </w:r>
      <w:proofErr w:type="spellEnd"/>
      <w:r>
        <w:t>, K Sihra, J R Simmonds, J Lochard, T Schneider and C Bataille (2006). Guidance on the Calculation, Presentation and Use of Collective Doses for Routine Discharges. European Commission, Radiation Protection Report 144.</w:t>
      </w:r>
    </w:p>
    <w:p w14:paraId="0AEB2607" w14:textId="77777777" w:rsidR="00163E60" w:rsidRDefault="00163E60" w:rsidP="00AF557D">
      <w:pPr>
        <w:ind w:left="720" w:hanging="720"/>
      </w:pPr>
      <w:r>
        <w:t>92.</w:t>
      </w:r>
      <w:r>
        <w:tab/>
        <w:t>ICRP (1999). Principles for the Protection of the Public in Situations of Prolonged Exposure. Ann ICRP 29, Nos 1-2.</w:t>
      </w:r>
    </w:p>
    <w:p w14:paraId="7A1E7EF4" w14:textId="77777777" w:rsidR="00163E60" w:rsidRDefault="00163E60" w:rsidP="00AF557D">
      <w:pPr>
        <w:ind w:left="720" w:hanging="720"/>
      </w:pPr>
      <w:r>
        <w:t>93.</w:t>
      </w:r>
      <w:r>
        <w:tab/>
        <w:t>National Dose Assessment Working Group (2010). Guidance on Considering Uncertainty and Variability in Radiological Assessments. NDAWG Guidance Note 4.</w:t>
      </w:r>
    </w:p>
    <w:p w14:paraId="7EF9617B" w14:textId="77777777" w:rsidR="00163E60" w:rsidRDefault="00163E60" w:rsidP="00AF557D">
      <w:pPr>
        <w:ind w:left="720" w:hanging="720"/>
      </w:pPr>
      <w:r>
        <w:t>94.</w:t>
      </w:r>
      <w:r>
        <w:tab/>
        <w:t>IAEA (1989). Evaluating the reliability of predictions made using environmental transfer models. IAEA Safety Series 100, IAEA Vienna.</w:t>
      </w:r>
    </w:p>
    <w:p w14:paraId="401D9BDA" w14:textId="77777777" w:rsidR="00163E60" w:rsidRDefault="00163E60" w:rsidP="00AF557D">
      <w:pPr>
        <w:ind w:left="720" w:hanging="720"/>
      </w:pPr>
      <w:r>
        <w:t>95.</w:t>
      </w:r>
      <w:r>
        <w:tab/>
        <w:t xml:space="preserve">T R A Cabianca, C A </w:t>
      </w:r>
      <w:proofErr w:type="spellStart"/>
      <w:r>
        <w:t>Fayers</w:t>
      </w:r>
      <w:proofErr w:type="spellEnd"/>
      <w:r>
        <w:t xml:space="preserve">, J R Simmonds, C A Robinson and J S </w:t>
      </w:r>
      <w:proofErr w:type="spellStart"/>
      <w:r>
        <w:t>S</w:t>
      </w:r>
      <w:proofErr w:type="spellEnd"/>
      <w:r>
        <w:t xml:space="preserve"> Penfold (1998). The variability in critical group doses from routine releases of radionuclides to the environment. NRPB-M952.</w:t>
      </w:r>
    </w:p>
    <w:p w14:paraId="4AF0D0E3" w14:textId="1FA01042" w:rsidR="00163E60" w:rsidRDefault="00163E60" w:rsidP="00AF557D">
      <w:pPr>
        <w:ind w:left="720" w:hanging="720"/>
      </w:pPr>
      <w:r>
        <w:t>96.</w:t>
      </w:r>
      <w:r>
        <w:tab/>
        <w:t xml:space="preserve">J A Jones, J </w:t>
      </w:r>
      <w:r w:rsidR="00DA50A7">
        <w:t>Ehrhardt,</w:t>
      </w:r>
      <w:r>
        <w:t xml:space="preserve"> L H J Goossens, J Brown, R M Cooke, F Fischer, I Hasemann and B C P Kraan (2000). Probabilistic accident consequence uncertainty assessment using COSYMA: Overall uncertainty analysis. EUR 18826.</w:t>
      </w:r>
    </w:p>
    <w:p w14:paraId="138A7460" w14:textId="77777777" w:rsidR="00163E60" w:rsidRDefault="00163E60" w:rsidP="00AF557D">
      <w:pPr>
        <w:ind w:left="720" w:hanging="720"/>
      </w:pPr>
      <w:r>
        <w:t>97.</w:t>
      </w:r>
      <w:r>
        <w:tab/>
        <w:t xml:space="preserve">K A Jones, A P </w:t>
      </w:r>
      <w:proofErr w:type="spellStart"/>
      <w:r>
        <w:t>Bexon</w:t>
      </w:r>
      <w:proofErr w:type="spellEnd"/>
      <w:r>
        <w:t xml:space="preserve">, C Walsh, S M Haywood, A L Jones, C A </w:t>
      </w:r>
      <w:proofErr w:type="spellStart"/>
      <w:r>
        <w:t>Fayers</w:t>
      </w:r>
      <w:proofErr w:type="spellEnd"/>
      <w:r>
        <w:t>, R G E Haylock and A W Phipps (2003). Distributions of Risk in Exposed Groups from Routine Releases of Radionuclides to the Environment. NRPB-W45.</w:t>
      </w:r>
    </w:p>
    <w:p w14:paraId="5496C021" w14:textId="57F062AF" w:rsidR="00AF557D" w:rsidRDefault="00AF557D" w:rsidP="008017FD">
      <w:pPr>
        <w:ind w:left="720" w:hanging="720"/>
      </w:pPr>
    </w:p>
    <w:p w14:paraId="6A59EEEC" w14:textId="1648BC0B" w:rsidR="00AF557D" w:rsidRDefault="00AF557D">
      <w:pPr>
        <w:spacing w:line="240" w:lineRule="auto"/>
      </w:pPr>
      <w:r>
        <w:br w:type="page"/>
      </w:r>
    </w:p>
    <w:p w14:paraId="0B5D96DD" w14:textId="77777777" w:rsidR="003D1840" w:rsidRDefault="003D1840" w:rsidP="003D1840">
      <w:pPr>
        <w:pStyle w:val="Heading3"/>
      </w:pPr>
      <w:bookmarkStart w:id="55" w:name="_Toc25569866"/>
      <w:bookmarkStart w:id="56" w:name="_Toc227317397"/>
      <w:r>
        <w:lastRenderedPageBreak/>
        <w:t>Figure 1: Stages of dose assessment process</w:t>
      </w:r>
      <w:bookmarkEnd w:id="55"/>
      <w:bookmarkEnd w:id="56"/>
    </w:p>
    <w:p w14:paraId="2071457F" w14:textId="77777777" w:rsidR="003D1840" w:rsidRDefault="003D1840" w:rsidP="003D1840">
      <w:r>
        <w:rPr>
          <w:noProof/>
          <w:lang w:eastAsia="en-GB"/>
        </w:rPr>
        <w:drawing>
          <wp:inline distT="0" distB="0" distL="0" distR="0" wp14:anchorId="1FD00B36" wp14:editId="1D45175E">
            <wp:extent cx="5676260" cy="7518400"/>
            <wp:effectExtent l="0" t="0" r="1270" b="6350"/>
            <wp:docPr id="17" name="Picture 17" descr="This figure outlines a flow diagram of the stages of the dose assess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is figure outlines a flow diagram of the stages of the dose assessment process."/>
                    <pic:cNvPicPr/>
                  </pic:nvPicPr>
                  <pic:blipFill>
                    <a:blip r:embed="rId18">
                      <a:extLst>
                        <a:ext uri="{28A0092B-C50C-407E-A947-70E740481C1C}">
                          <a14:useLocalDpi xmlns:a14="http://schemas.microsoft.com/office/drawing/2010/main" val="0"/>
                        </a:ext>
                      </a:extLst>
                    </a:blip>
                    <a:stretch>
                      <a:fillRect/>
                    </a:stretch>
                  </pic:blipFill>
                  <pic:spPr>
                    <a:xfrm>
                      <a:off x="0" y="0"/>
                      <a:ext cx="5683248" cy="7527656"/>
                    </a:xfrm>
                    <a:prstGeom prst="rect">
                      <a:avLst/>
                    </a:prstGeom>
                  </pic:spPr>
                </pic:pic>
              </a:graphicData>
            </a:graphic>
          </wp:inline>
        </w:drawing>
      </w:r>
    </w:p>
    <w:p w14:paraId="3483EF3B" w14:textId="169349A1" w:rsidR="003D1840" w:rsidRDefault="003D1840" w:rsidP="002F44AB">
      <w:pPr>
        <w:rPr>
          <w:sz w:val="20"/>
        </w:rPr>
      </w:pPr>
      <w:r>
        <w:rPr>
          <w:sz w:val="20"/>
        </w:rPr>
        <w:t xml:space="preserve">Note 1 – collective dose may need to be considered from global circulation of carbon-14 where discharge &gt; 100 </w:t>
      </w:r>
      <w:proofErr w:type="spellStart"/>
      <w:r>
        <w:rPr>
          <w:sz w:val="20"/>
        </w:rPr>
        <w:t>GBq</w:t>
      </w:r>
      <w:proofErr w:type="spellEnd"/>
      <w:r>
        <w:rPr>
          <w:sz w:val="20"/>
        </w:rPr>
        <w:t>/y</w:t>
      </w:r>
    </w:p>
    <w:p w14:paraId="447D78F5" w14:textId="77777777" w:rsidR="003D1840" w:rsidRDefault="003D1840" w:rsidP="003D1840">
      <w:pPr>
        <w:pStyle w:val="Heading3"/>
      </w:pPr>
      <w:bookmarkStart w:id="57" w:name="_Toc25569867"/>
      <w:bookmarkStart w:id="58" w:name="_Toc227317398"/>
      <w:r>
        <w:lastRenderedPageBreak/>
        <w:t>Figure 2: Detailed source and site assessment</w:t>
      </w:r>
      <w:bookmarkEnd w:id="57"/>
      <w:bookmarkEnd w:id="58"/>
    </w:p>
    <w:p w14:paraId="49BAA058" w14:textId="01D6A1EB" w:rsidR="003D1840" w:rsidRPr="00924E4C" w:rsidRDefault="003D1840" w:rsidP="003D1840">
      <w:pPr>
        <w:rPr>
          <w:sz w:val="20"/>
        </w:rPr>
      </w:pPr>
      <w:r>
        <w:rPr>
          <w:noProof/>
          <w:sz w:val="20"/>
          <w:lang w:eastAsia="en-GB"/>
        </w:rPr>
        <w:drawing>
          <wp:inline distT="0" distB="0" distL="0" distR="0" wp14:anchorId="51B8CF8D" wp14:editId="0235545E">
            <wp:extent cx="6453196" cy="8051800"/>
            <wp:effectExtent l="0" t="0" r="5080" b="6350"/>
            <wp:docPr id="19" name="Picture 19" descr="This figure outlines a flow diagram of the detailed source and site assessment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is figure outlines a flow diagram of the detailed source and site assessment steps."/>
                    <pic:cNvPicPr/>
                  </pic:nvPicPr>
                  <pic:blipFill>
                    <a:blip r:embed="rId19">
                      <a:extLst>
                        <a:ext uri="{28A0092B-C50C-407E-A947-70E740481C1C}">
                          <a14:useLocalDpi xmlns:a14="http://schemas.microsoft.com/office/drawing/2010/main" val="0"/>
                        </a:ext>
                      </a:extLst>
                    </a:blip>
                    <a:stretch>
                      <a:fillRect/>
                    </a:stretch>
                  </pic:blipFill>
                  <pic:spPr>
                    <a:xfrm>
                      <a:off x="0" y="0"/>
                      <a:ext cx="6462500" cy="8063409"/>
                    </a:xfrm>
                    <a:prstGeom prst="rect">
                      <a:avLst/>
                    </a:prstGeom>
                  </pic:spPr>
                </pic:pic>
              </a:graphicData>
            </a:graphic>
          </wp:inline>
        </w:drawing>
      </w:r>
    </w:p>
    <w:p w14:paraId="17A6325A" w14:textId="39D894CD" w:rsidR="003D1840" w:rsidRDefault="003D1840" w:rsidP="003D1840">
      <w:pPr>
        <w:pStyle w:val="Heading1"/>
        <w:pageBreakBefore/>
      </w:pPr>
      <w:bookmarkStart w:id="59" w:name="_Toc25569868"/>
      <w:bookmarkStart w:id="60" w:name="_Toc227317399"/>
      <w:r>
        <w:lastRenderedPageBreak/>
        <w:t>Appendix A</w:t>
      </w:r>
      <w:r w:rsidR="003936B7">
        <w:t>:</w:t>
      </w:r>
      <w:r>
        <w:t xml:space="preserve"> Relationship between the 13 new principles in this document and the 12 previous principles (2002)</w:t>
      </w:r>
      <w:bookmarkEnd w:id="59"/>
      <w:bookmarkEnd w:id="60"/>
    </w:p>
    <w:p w14:paraId="36A355B0" w14:textId="77777777" w:rsidR="0026731A" w:rsidRPr="0026731A" w:rsidRDefault="0026731A" w:rsidP="0026731A"/>
    <w:p w14:paraId="3B75B209" w14:textId="15640F26" w:rsidR="00D5744F" w:rsidRDefault="004E26F9" w:rsidP="00A41E5A">
      <w:r w:rsidRPr="00A41E5A">
        <w:rPr>
          <w:b/>
          <w:bCs/>
        </w:rPr>
        <w:t>New principle</w:t>
      </w:r>
      <w:r w:rsidR="00D5744F" w:rsidRPr="00A41E5A">
        <w:rPr>
          <w:b/>
          <w:bCs/>
        </w:rPr>
        <w:t xml:space="preserve"> (this document)</w:t>
      </w:r>
      <w:r w:rsidR="00A41E5A" w:rsidRPr="00A41E5A">
        <w:rPr>
          <w:b/>
          <w:bCs/>
        </w:rPr>
        <w:t>:</w:t>
      </w:r>
      <w:r w:rsidR="00A41E5A">
        <w:t xml:space="preserve"> 1. </w:t>
      </w:r>
      <w:r w:rsidR="00F3749F">
        <w:t>Prospective dose assessment methods, data and results should be transparent and made publicly available.</w:t>
      </w:r>
    </w:p>
    <w:p w14:paraId="4600E79D" w14:textId="6F273C35" w:rsidR="00F3749F" w:rsidRDefault="00D5744F" w:rsidP="00A41E5A">
      <w:r w:rsidRPr="00A41E5A">
        <w:rPr>
          <w:b/>
          <w:bCs/>
        </w:rPr>
        <w:t xml:space="preserve">Previous principles 2002 </w:t>
      </w:r>
      <w:r w:rsidR="00852E4A" w:rsidRPr="00A41E5A">
        <w:rPr>
          <w:b/>
          <w:bCs/>
        </w:rPr>
        <w:t>[Ref 4]</w:t>
      </w:r>
      <w:r w:rsidR="00A41E5A" w:rsidRPr="00A41E5A">
        <w:rPr>
          <w:b/>
          <w:bCs/>
        </w:rPr>
        <w:t>.</w:t>
      </w:r>
      <w:r w:rsidR="00A41E5A">
        <w:t xml:space="preserve"> </w:t>
      </w:r>
      <w:r w:rsidR="00F3749F">
        <w:t>N/A</w:t>
      </w:r>
    </w:p>
    <w:p w14:paraId="28979AB5" w14:textId="77777777" w:rsidR="000335A2" w:rsidRDefault="000335A2" w:rsidP="00A41E5A"/>
    <w:p w14:paraId="44E4AD09" w14:textId="63525A55" w:rsidR="000335A2" w:rsidRDefault="00CD52F9" w:rsidP="00CD52F9">
      <w:r w:rsidRPr="00A41E5A">
        <w:rPr>
          <w:b/>
          <w:bCs/>
        </w:rPr>
        <w:t>New principle (this document</w:t>
      </w:r>
      <w:r w:rsidRPr="00F630E6">
        <w:rPr>
          <w:b/>
          <w:bCs/>
        </w:rPr>
        <w:t>):</w:t>
      </w:r>
      <w:r w:rsidRPr="00F630E6">
        <w:t xml:space="preserve"> 2</w:t>
      </w:r>
      <w:r>
        <w:t>. Workers, who are exposed to discharges of radioactive water, but do not work directly with ionising radiation</w:t>
      </w:r>
      <w:r w:rsidR="000335A2">
        <w:t xml:space="preserve"> and </w:t>
      </w:r>
      <w:r w:rsidR="00014FDB">
        <w:t>are therefore not normally exposed</w:t>
      </w:r>
      <w:r w:rsidR="0081362F">
        <w:t xml:space="preserve"> to ionising radiation, should be</w:t>
      </w:r>
      <w:r w:rsidR="0028609B">
        <w:t xml:space="preserve"> treated as if they are members of the public for the purpose of determining discharge permits or authorisations.</w:t>
      </w:r>
    </w:p>
    <w:p w14:paraId="70D59060" w14:textId="59FC3B58" w:rsidR="00CD52F9" w:rsidRDefault="00CD52F9" w:rsidP="00CD52F9">
      <w:r w:rsidRPr="00A41E5A">
        <w:rPr>
          <w:b/>
          <w:bCs/>
        </w:rPr>
        <w:t>Previous principles 2002 [Ref 4].</w:t>
      </w:r>
      <w:r>
        <w:t xml:space="preserve"> </w:t>
      </w:r>
      <w:r w:rsidR="002F2D79">
        <w:t>1</w:t>
      </w:r>
      <w:r>
        <w:t>.</w:t>
      </w:r>
      <w:r w:rsidR="00326EA4">
        <w:t xml:space="preserve"> Workers who are exposed to discharges of radioactive waste, but do not receive direct tangible benefits from the organisation making the discharge, should be treated as if they are members of the public for the purpose of determining discharge authorisations.</w:t>
      </w:r>
    </w:p>
    <w:p w14:paraId="06F19F00" w14:textId="7AA913E6" w:rsidR="000335A2" w:rsidRDefault="000335A2" w:rsidP="00CD52F9"/>
    <w:p w14:paraId="26B6DFEE" w14:textId="15A126FE" w:rsidR="00CD52F9" w:rsidRDefault="00CD52F9" w:rsidP="00CD52F9">
      <w:r w:rsidRPr="00A41E5A">
        <w:rPr>
          <w:b/>
          <w:bCs/>
        </w:rPr>
        <w:t>New principle (this document):</w:t>
      </w:r>
      <w:r>
        <w:t xml:space="preserve"> 3.</w:t>
      </w:r>
      <w:r w:rsidR="00326EA4">
        <w:t xml:space="preserve"> When</w:t>
      </w:r>
      <w:r w:rsidR="00182E41">
        <w:t xml:space="preserve"> determining discharge permits or authorisations, the dose of the representative person should be assessed.</w:t>
      </w:r>
    </w:p>
    <w:p w14:paraId="50B987D3" w14:textId="252CA081" w:rsidR="00CD52F9" w:rsidRDefault="00CD52F9" w:rsidP="00CD52F9">
      <w:r w:rsidRPr="00A41E5A">
        <w:rPr>
          <w:b/>
          <w:bCs/>
        </w:rPr>
        <w:t>Previous principles 2002 [Ref 4].</w:t>
      </w:r>
      <w:r>
        <w:t xml:space="preserve"> </w:t>
      </w:r>
      <w:r w:rsidR="002F2D79">
        <w:t>2</w:t>
      </w:r>
      <w:r>
        <w:t>.</w:t>
      </w:r>
      <w:r w:rsidR="00182E41">
        <w:t xml:space="preserve"> The mean critical group dose should be assessed for the purpose of determining discharge </w:t>
      </w:r>
      <w:r w:rsidR="00185245">
        <w:t>authorisations.</w:t>
      </w:r>
    </w:p>
    <w:p w14:paraId="58390DB7" w14:textId="77777777" w:rsidR="000335A2" w:rsidRDefault="000335A2" w:rsidP="00CD52F9"/>
    <w:p w14:paraId="50720FD8" w14:textId="1FBA9D4C" w:rsidR="00CD52F9" w:rsidRDefault="00CD52F9" w:rsidP="00CD52F9">
      <w:r w:rsidRPr="00A41E5A">
        <w:rPr>
          <w:b/>
          <w:bCs/>
        </w:rPr>
        <w:t>New principle (this document):</w:t>
      </w:r>
      <w:r>
        <w:t xml:space="preserve"> 4.</w:t>
      </w:r>
      <w:r w:rsidR="00185245">
        <w:t xml:space="preserve"> Doses to the most affected age group should be assessed for the purpose of determining discharge permits or</w:t>
      </w:r>
      <w:r w:rsidR="001940A7">
        <w:t xml:space="preserve"> authorisations. Assessment of doses to 1 year old, </w:t>
      </w:r>
      <w:proofErr w:type="gramStart"/>
      <w:r w:rsidR="001940A7">
        <w:t>10 year old</w:t>
      </w:r>
      <w:proofErr w:type="gramEnd"/>
      <w:r w:rsidR="001940A7">
        <w:t xml:space="preserve"> and adults (and foetus when appropriate) is adequate age group coverage.</w:t>
      </w:r>
    </w:p>
    <w:p w14:paraId="040B7252" w14:textId="4F7F3C1E" w:rsidR="00326EA4" w:rsidRDefault="00CD52F9" w:rsidP="00F3749F">
      <w:r w:rsidRPr="00A41E5A">
        <w:rPr>
          <w:b/>
          <w:bCs/>
        </w:rPr>
        <w:t>Previous principles 2002 [Ref 4].</w:t>
      </w:r>
      <w:r>
        <w:t xml:space="preserve"> </w:t>
      </w:r>
      <w:r w:rsidR="002F2D79">
        <w:t>3</w:t>
      </w:r>
      <w:r>
        <w:t>.</w:t>
      </w:r>
      <w:r w:rsidR="00BB675F">
        <w:t xml:space="preserve"> Doses to the most exposed age group should be assessed for the purposes of determining authorizations.</w:t>
      </w:r>
    </w:p>
    <w:p w14:paraId="385407AA" w14:textId="6DEFBCCC" w:rsidR="0026731A" w:rsidRDefault="0026731A">
      <w:pPr>
        <w:spacing w:line="240" w:lineRule="auto"/>
        <w:rPr>
          <w:noProof/>
          <w:lang w:eastAsia="en-GB"/>
        </w:rPr>
      </w:pPr>
      <w:r>
        <w:rPr>
          <w:noProof/>
          <w:lang w:eastAsia="en-GB"/>
        </w:rPr>
        <w:br w:type="page"/>
      </w:r>
    </w:p>
    <w:p w14:paraId="690F5EE2" w14:textId="4AB25E44" w:rsidR="00BB675F" w:rsidRDefault="00BB675F" w:rsidP="00BB675F">
      <w:r w:rsidRPr="00A41E5A">
        <w:rPr>
          <w:b/>
          <w:bCs/>
        </w:rPr>
        <w:lastRenderedPageBreak/>
        <w:t>New principle (this document):</w:t>
      </w:r>
      <w:r>
        <w:t xml:space="preserve"> 5. The dose to the representative person which is assessed for comparison with the source constraint and, if appropriate, the site constraint</w:t>
      </w:r>
      <w:r w:rsidR="00CE571F">
        <w:t>, should include all reasonably foreseeable and relevant future exposure pathways.</w:t>
      </w:r>
    </w:p>
    <w:p w14:paraId="0DB7E417" w14:textId="516FE9BF" w:rsidR="00BB675F" w:rsidRDefault="00BB675F" w:rsidP="00BB675F">
      <w:r w:rsidRPr="00A41E5A">
        <w:rPr>
          <w:b/>
          <w:bCs/>
        </w:rPr>
        <w:t>Previous principles 2002 [Ref 4].</w:t>
      </w:r>
      <w:r>
        <w:t xml:space="preserve"> </w:t>
      </w:r>
      <w:r w:rsidR="002F2D79">
        <w:t>4</w:t>
      </w:r>
      <w:r>
        <w:t>.</w:t>
      </w:r>
      <w:r w:rsidR="00CE571F">
        <w:t>Critical group doses to be assessed for comparison with the source constraint and, if appropriate, the site constraint should include all relevant future exposure pathways.</w:t>
      </w:r>
    </w:p>
    <w:p w14:paraId="7E4695F7" w14:textId="77777777" w:rsidR="00BB675F" w:rsidRDefault="00BB675F" w:rsidP="00F3749F">
      <w:pPr>
        <w:rPr>
          <w:noProof/>
          <w:lang w:eastAsia="en-GB"/>
        </w:rPr>
      </w:pPr>
    </w:p>
    <w:p w14:paraId="6663A036" w14:textId="5F719821" w:rsidR="00751594" w:rsidRDefault="00751594" w:rsidP="00751594">
      <w:r w:rsidRPr="00A41E5A">
        <w:rPr>
          <w:b/>
          <w:bCs/>
        </w:rPr>
        <w:t>New principle (this document):</w:t>
      </w:r>
      <w:r>
        <w:t xml:space="preserve"> 6. </w:t>
      </w:r>
      <w:r w:rsidR="00F630E6">
        <w:t>Significant additional doses to the representative person from historical discharges from</w:t>
      </w:r>
      <w:r w:rsidR="004C1767">
        <w:t xml:space="preserve"> the</w:t>
      </w:r>
      <w:r w:rsidR="00F630E6">
        <w:t xml:space="preserve"> source being considered and doses from historical and future discharges and direct radiation from other relevant sources</w:t>
      </w:r>
      <w:r w:rsidR="00451510">
        <w:t xml:space="preserve"> subject to control should be assessed and the total dose compared with dose limit of 1mSv/y.</w:t>
      </w:r>
    </w:p>
    <w:p w14:paraId="17062B9C" w14:textId="471AF45A" w:rsidR="00751594" w:rsidRDefault="00751594" w:rsidP="00751594">
      <w:r w:rsidRPr="00A41E5A">
        <w:rPr>
          <w:b/>
          <w:bCs/>
        </w:rPr>
        <w:t>Previous principles 2002 [Ref 4].</w:t>
      </w:r>
      <w:r>
        <w:t xml:space="preserve"> 5. </w:t>
      </w:r>
      <w:r w:rsidR="00451510">
        <w:t xml:space="preserve">Significant additional doses to the critical group from historical discharges from the sources being considered and doses from historical and future discharges and direct radiation from other relevant </w:t>
      </w:r>
      <w:r w:rsidR="00883931">
        <w:t>sources subject to control should be assessed and the total dose compared with the dose limit of 1mSv/y.</w:t>
      </w:r>
    </w:p>
    <w:p w14:paraId="629C9DD0" w14:textId="77777777" w:rsidR="00751594" w:rsidRDefault="00751594" w:rsidP="00751594"/>
    <w:p w14:paraId="57F614F9" w14:textId="2E7EE2F5" w:rsidR="00751594" w:rsidRDefault="00751594" w:rsidP="00751594">
      <w:r w:rsidRPr="00A41E5A">
        <w:rPr>
          <w:b/>
          <w:bCs/>
        </w:rPr>
        <w:t>New principle (this document):</w:t>
      </w:r>
      <w:r>
        <w:t xml:space="preserve"> 7. </w:t>
      </w:r>
      <w:r w:rsidR="009A5FC8">
        <w:t>Where a cautious estimate of the dose to the representative person exceeds 0.02 mSv/y</w:t>
      </w:r>
      <w:r w:rsidR="0021061F">
        <w:t>, the assessments should be refined and, where appropriate, more realistic</w:t>
      </w:r>
      <w:r w:rsidR="00FC71E4">
        <w:t xml:space="preserve"> assumptions made. However, sufficient caution should be retained in assessments to provide confidence that actual doses received by the representative person will be below the dose limit.</w:t>
      </w:r>
    </w:p>
    <w:p w14:paraId="48001973" w14:textId="615FF99C" w:rsidR="002F2D79" w:rsidRDefault="00751594" w:rsidP="00F3749F">
      <w:r w:rsidRPr="00A41E5A">
        <w:rPr>
          <w:b/>
          <w:bCs/>
        </w:rPr>
        <w:t>Previous principles 2002 [Ref 4].</w:t>
      </w:r>
      <w:r>
        <w:t xml:space="preserve"> 6. </w:t>
      </w:r>
      <w:r w:rsidR="00FD5830">
        <w:t>Where estimates of the critical group dose exceed 0.02 mSv/y, the assessments should be refined and, where appropriate, more realistic assumptions made. However, sufficient caution should be refined in assessments to provide confidence what actual doses received by a representative member of the critical group will be below the dose limit.</w:t>
      </w:r>
    </w:p>
    <w:p w14:paraId="445090B7" w14:textId="77777777" w:rsidR="00BD75FF" w:rsidRDefault="00BD75FF" w:rsidP="00F3749F"/>
    <w:p w14:paraId="37FE5F8F" w14:textId="6F42DE5D" w:rsidR="00751594" w:rsidRDefault="00751594" w:rsidP="00751594">
      <w:r w:rsidRPr="00A41E5A">
        <w:rPr>
          <w:b/>
          <w:bCs/>
        </w:rPr>
        <w:t>New principle (this document):</w:t>
      </w:r>
      <w:r>
        <w:t xml:space="preserve"> 8. </w:t>
      </w:r>
      <w:r w:rsidR="001F7804">
        <w:t>The assessment of dose to the representative person should take account of accumulation of radionuclide in the environment from future discharges.</w:t>
      </w:r>
    </w:p>
    <w:p w14:paraId="34A4B270" w14:textId="6E7FCE2C" w:rsidR="00751594" w:rsidRDefault="00751594" w:rsidP="00751594">
      <w:r w:rsidRPr="00A41E5A">
        <w:rPr>
          <w:b/>
          <w:bCs/>
        </w:rPr>
        <w:t>Previous principles 2002 [Ref 4].</w:t>
      </w:r>
      <w:r>
        <w:t xml:space="preserve"> 7. </w:t>
      </w:r>
      <w:r w:rsidR="00BE3D44">
        <w:t>The assessment of critical group doses should take account of accumulation of radionuclide in the environment from future discharges.</w:t>
      </w:r>
    </w:p>
    <w:p w14:paraId="3CC6C608" w14:textId="77777777" w:rsidR="00751594" w:rsidRDefault="00751594" w:rsidP="00F3749F"/>
    <w:p w14:paraId="7A705208" w14:textId="32D3AAE8" w:rsidR="00751594" w:rsidRDefault="00751594" w:rsidP="00751594">
      <w:r w:rsidRPr="00A41E5A">
        <w:rPr>
          <w:b/>
          <w:bCs/>
        </w:rPr>
        <w:lastRenderedPageBreak/>
        <w:t>New principle (this document):</w:t>
      </w:r>
      <w:r>
        <w:t xml:space="preserve"> 9. </w:t>
      </w:r>
      <w:r w:rsidR="00111866">
        <w:t>The realistic habits adopted f</w:t>
      </w:r>
      <w:r w:rsidR="00702660">
        <w:t>or</w:t>
      </w:r>
      <w:r w:rsidR="00111866">
        <w:t xml:space="preserve"> the representative person should be those which have </w:t>
      </w:r>
      <w:proofErr w:type="gramStart"/>
      <w:r w:rsidR="00111866">
        <w:t>actually been</w:t>
      </w:r>
      <w:proofErr w:type="gramEnd"/>
      <w:r w:rsidR="00111866">
        <w:t xml:space="preserve"> </w:t>
      </w:r>
      <w:r w:rsidR="00702660">
        <w:t xml:space="preserve">observed at the site, within a period of about 5 years. Changes to habits which are reasonably likely to occur should be </w:t>
      </w:r>
      <w:proofErr w:type="gramStart"/>
      <w:r w:rsidR="00702660">
        <w:t>taken into account</w:t>
      </w:r>
      <w:proofErr w:type="gramEnd"/>
      <w:r w:rsidR="00702660">
        <w:t>.</w:t>
      </w:r>
    </w:p>
    <w:p w14:paraId="4207ECA0" w14:textId="611FA066" w:rsidR="00751594" w:rsidRDefault="00751594" w:rsidP="00751594">
      <w:r w:rsidRPr="00A41E5A">
        <w:rPr>
          <w:b/>
          <w:bCs/>
        </w:rPr>
        <w:t>Previous principles 2002 [Ref 4].</w:t>
      </w:r>
      <w:r>
        <w:t xml:space="preserve"> 8. </w:t>
      </w:r>
      <w:r w:rsidR="00B43282">
        <w:t xml:space="preserve">The realistic habits </w:t>
      </w:r>
      <w:r w:rsidR="00B41425">
        <w:t>adop</w:t>
      </w:r>
      <w:r w:rsidR="00B43282">
        <w:t>ted for the critical group should be th</w:t>
      </w:r>
      <w:r w:rsidR="00B41425">
        <w:t>o</w:t>
      </w:r>
      <w:r w:rsidR="00B43282">
        <w:t xml:space="preserve">se which are </w:t>
      </w:r>
      <w:proofErr w:type="gramStart"/>
      <w:r w:rsidR="00B43282">
        <w:t>actually observed</w:t>
      </w:r>
      <w:proofErr w:type="gramEnd"/>
      <w:r w:rsidR="00B43282">
        <w:t xml:space="preserve"> </w:t>
      </w:r>
      <w:r w:rsidR="00D71D7F">
        <w:t>y</w:t>
      </w:r>
      <w:r w:rsidR="00B43282">
        <w:t xml:space="preserve">ear in </w:t>
      </w:r>
      <w:r w:rsidR="00D71D7F">
        <w:t>y</w:t>
      </w:r>
      <w:r w:rsidR="00B43282">
        <w:t>ear at the site</w:t>
      </w:r>
      <w:r w:rsidR="001F6F26">
        <w:t>, or at similar sites elsewhere, either currently or in the rec</w:t>
      </w:r>
      <w:r w:rsidR="0059272C">
        <w:t>e</w:t>
      </w:r>
      <w:r w:rsidR="001F6F26">
        <w:t xml:space="preserve">nt past. Sustainable habits </w:t>
      </w:r>
      <w:r w:rsidR="00562075">
        <w:t xml:space="preserve">leading </w:t>
      </w:r>
      <w:r w:rsidR="00C34C07">
        <w:t>to greater exposure that are reasonably foreseeable over the period until the next review of the authorisation (about 5 years), should be considered.</w:t>
      </w:r>
    </w:p>
    <w:p w14:paraId="7D20B2F2" w14:textId="00196ACB" w:rsidR="00751594" w:rsidRDefault="00751594" w:rsidP="00F3749F"/>
    <w:p w14:paraId="35CD6856" w14:textId="4F8AE3BE" w:rsidR="00751594" w:rsidRDefault="00751594" w:rsidP="00751594">
      <w:r w:rsidRPr="00A41E5A">
        <w:rPr>
          <w:b/>
          <w:bCs/>
        </w:rPr>
        <w:t>New principle (this document):</w:t>
      </w:r>
      <w:r>
        <w:t xml:space="preserve"> 10. </w:t>
      </w:r>
      <w:r w:rsidR="00E900E4">
        <w:t>Land use and infrastructure should have sufficient capacity to support the habits of the representative person.</w:t>
      </w:r>
      <w:r w:rsidR="00605A82">
        <w:t xml:space="preserve"> Any changes to land use and infrastructure should be reasonably likely to occur over a period of about</w:t>
      </w:r>
      <w:r w:rsidR="008C5B94">
        <w:t xml:space="preserve"> 5 years and be sustainable year on year from them to be considered.</w:t>
      </w:r>
    </w:p>
    <w:p w14:paraId="242883CF" w14:textId="6ED50256" w:rsidR="00751594" w:rsidRDefault="00751594" w:rsidP="00751594">
      <w:r w:rsidRPr="00A41E5A">
        <w:rPr>
          <w:b/>
          <w:bCs/>
        </w:rPr>
        <w:t>Previous principles 2002 [Ref 4].</w:t>
      </w:r>
      <w:r>
        <w:t xml:space="preserve"> 9. </w:t>
      </w:r>
      <w:r w:rsidR="002333B3">
        <w:t xml:space="preserve">Land use and infrastructure should have sufficient capacity to support the habits of the critical group. Any changes to land use and </w:t>
      </w:r>
      <w:r w:rsidR="009839DC">
        <w:t>infrastructure should be reasonably foreseeable over the period until the next review of the authorisation (about 5 years) and sustainable year on year for them to be considered.</w:t>
      </w:r>
    </w:p>
    <w:p w14:paraId="3F4FB9C6" w14:textId="1C44CC63" w:rsidR="00751594" w:rsidRDefault="00751594" w:rsidP="00F3749F"/>
    <w:p w14:paraId="14A3E659" w14:textId="7D79AC4E" w:rsidR="00751594" w:rsidRDefault="00751594" w:rsidP="00751594">
      <w:r w:rsidRPr="00A41E5A">
        <w:rPr>
          <w:b/>
          <w:bCs/>
        </w:rPr>
        <w:t>New principle (this document):</w:t>
      </w:r>
      <w:r>
        <w:t xml:space="preserve"> 11. </w:t>
      </w:r>
      <w:r w:rsidR="00306C2A">
        <w:t xml:space="preserve">The dose assessed for operational short term release at proposed notification levels or limits should be compared with the source constraint (maximum of 0.3 mSv/y) and the dose limit (1 mSv/y), taking into account remaining </w:t>
      </w:r>
      <w:r w:rsidR="00CD356E">
        <w:t>continuous</w:t>
      </w:r>
      <w:r w:rsidR="00306C2A">
        <w:t xml:space="preserve"> discharges during the remainder of the year and contri</w:t>
      </w:r>
      <w:r w:rsidR="00CD356E">
        <w:t>butions from other relevant sources under control.</w:t>
      </w:r>
    </w:p>
    <w:p w14:paraId="6EC8A7FD" w14:textId="30DC3833" w:rsidR="00751594" w:rsidRDefault="00751594" w:rsidP="00751594">
      <w:r w:rsidRPr="00A41E5A">
        <w:rPr>
          <w:b/>
          <w:bCs/>
        </w:rPr>
        <w:t>Previous principles 2002 [Ref 4].</w:t>
      </w:r>
      <w:r>
        <w:t xml:space="preserve"> 10. </w:t>
      </w:r>
      <w:r w:rsidR="00CD356E">
        <w:t xml:space="preserve">The dose assessed for operational </w:t>
      </w:r>
      <w:proofErr w:type="gramStart"/>
      <w:r w:rsidR="00CD356E">
        <w:t>short term</w:t>
      </w:r>
      <w:proofErr w:type="gramEnd"/>
      <w:r w:rsidR="00CD356E">
        <w:t xml:space="preserve"> release at proposed</w:t>
      </w:r>
      <w:r w:rsidR="00D72995">
        <w:t xml:space="preserve"> notification level or limits should be compared with the source constraint (maximum of 0.3 mSv/y) and the dose limit (1 mSv/y), </w:t>
      </w:r>
      <w:proofErr w:type="gramStart"/>
      <w:r w:rsidR="00D72995">
        <w:t>taking into account</w:t>
      </w:r>
      <w:proofErr w:type="gramEnd"/>
      <w:r w:rsidR="00D72995">
        <w:t xml:space="preserve"> other relevant contributions.</w:t>
      </w:r>
    </w:p>
    <w:p w14:paraId="3DCA1770" w14:textId="736B99D7" w:rsidR="00751594" w:rsidRDefault="00751594" w:rsidP="00F3749F"/>
    <w:p w14:paraId="2A8E274B" w14:textId="4C88D5D4" w:rsidR="00F630E6" w:rsidRDefault="00F630E6" w:rsidP="00F630E6">
      <w:r w:rsidRPr="00A41E5A">
        <w:rPr>
          <w:b/>
          <w:bCs/>
        </w:rPr>
        <w:t>New principle (this document):</w:t>
      </w:r>
      <w:r>
        <w:t xml:space="preserve"> 12. </w:t>
      </w:r>
      <w:r w:rsidR="009F3450">
        <w:t>For permitting or authorisation purposes, collective doses to the populations of UK, Europe and the World, truncated at 500 y, should be estimated.</w:t>
      </w:r>
    </w:p>
    <w:p w14:paraId="008DE526" w14:textId="13E65BE4" w:rsidR="009F3450" w:rsidRDefault="00F630E6" w:rsidP="00F630E6">
      <w:r w:rsidRPr="00A41E5A">
        <w:rPr>
          <w:b/>
          <w:bCs/>
        </w:rPr>
        <w:t>Previous principles 2002 [Ref 4].</w:t>
      </w:r>
      <w:r>
        <w:t xml:space="preserve"> 11. </w:t>
      </w:r>
      <w:r w:rsidR="009F3450">
        <w:t>For authorisation purposes, collective doses to the populations of UK, Europe and the World, truncated at 500 y, should be estimated.</w:t>
      </w:r>
    </w:p>
    <w:p w14:paraId="693FB601" w14:textId="65C7FB68" w:rsidR="00F630E6" w:rsidRDefault="00F630E6" w:rsidP="00F630E6"/>
    <w:p w14:paraId="46639F01" w14:textId="4C8D66EB" w:rsidR="00F630E6" w:rsidRDefault="00F630E6" w:rsidP="00F630E6">
      <w:r w:rsidRPr="00A41E5A">
        <w:rPr>
          <w:b/>
          <w:bCs/>
        </w:rPr>
        <w:lastRenderedPageBreak/>
        <w:t>New principle (this document):</w:t>
      </w:r>
      <w:r>
        <w:t xml:space="preserve"> 13. </w:t>
      </w:r>
      <w:r w:rsidR="00AC1A5B">
        <w:t>Where the assessed mean dose to the representative person exceeds 0.02 mSv/y, the uncertainty and variability in the key assumptions used for the dose assessment should be reviewed.</w:t>
      </w:r>
    </w:p>
    <w:p w14:paraId="6BF55AEF" w14:textId="77B47351" w:rsidR="003D1840" w:rsidRDefault="00F630E6" w:rsidP="003D1840">
      <w:r w:rsidRPr="00A41E5A">
        <w:rPr>
          <w:b/>
          <w:bCs/>
        </w:rPr>
        <w:t>Previous principles 2002 [Ref 4].</w:t>
      </w:r>
      <w:r>
        <w:t xml:space="preserve"> 12. </w:t>
      </w:r>
      <w:r w:rsidR="00BD75FF">
        <w:t xml:space="preserve">Where the assessed mean critical </w:t>
      </w:r>
      <w:r w:rsidR="00313375">
        <w:t>g</w:t>
      </w:r>
      <w:r w:rsidR="00BD75FF">
        <w:t>roup dose exceeds 0.02 mSv/y, the uncertainty and variability in the key assumptions for the dose assessment should be reviewed.</w:t>
      </w:r>
    </w:p>
    <w:p w14:paraId="321946C3" w14:textId="77777777" w:rsidR="00FA2D80" w:rsidRDefault="00FA2D80">
      <w:pPr>
        <w:spacing w:line="240" w:lineRule="auto"/>
        <w:rPr>
          <w:rFonts w:asciiTheme="majorHAnsi" w:eastAsiaTheme="majorEastAsia" w:hAnsiTheme="majorHAnsi" w:cstheme="majorBidi"/>
          <w:b/>
          <w:color w:val="016574" w:themeColor="accent2"/>
          <w:sz w:val="40"/>
          <w:szCs w:val="32"/>
        </w:rPr>
      </w:pPr>
      <w:bookmarkStart w:id="61" w:name="_Toc25569869"/>
      <w:r>
        <w:br w:type="page"/>
      </w:r>
    </w:p>
    <w:p w14:paraId="641C50DE" w14:textId="0544CC7D" w:rsidR="00FA2D80" w:rsidRDefault="003D1840" w:rsidP="002970E2">
      <w:pPr>
        <w:pStyle w:val="Heading1"/>
      </w:pPr>
      <w:bookmarkStart w:id="62" w:name="_Toc227317400"/>
      <w:r>
        <w:lastRenderedPageBreak/>
        <w:t>Appendix B</w:t>
      </w:r>
      <w:r w:rsidR="003936B7">
        <w:t>:</w:t>
      </w:r>
      <w:r>
        <w:t xml:space="preserve"> Main updates made between the 2002 principles document and this document</w:t>
      </w:r>
      <w:bookmarkEnd w:id="61"/>
      <w:bookmarkEnd w:id="62"/>
    </w:p>
    <w:tbl>
      <w:tblPr>
        <w:tblW w:w="5000" w:type="pct"/>
        <w:tblLayout w:type="fixed"/>
        <w:tblCellMar>
          <w:left w:w="0" w:type="dxa"/>
          <w:right w:w="0" w:type="dxa"/>
        </w:tblCellMar>
        <w:tblLook w:val="04A0" w:firstRow="1" w:lastRow="0" w:firstColumn="1" w:lastColumn="0" w:noHBand="0" w:noVBand="1"/>
        <w:tblCaption w:val="Appendix B:Main updates made between the 2002 principles document and this document."/>
        <w:tblDescription w:val="This table outlines the document version number, date, part of report updated and the type of amendment."/>
      </w:tblPr>
      <w:tblGrid>
        <w:gridCol w:w="1124"/>
        <w:gridCol w:w="1416"/>
        <w:gridCol w:w="1702"/>
        <w:gridCol w:w="5960"/>
      </w:tblGrid>
      <w:tr w:rsidR="00473691" w:rsidRPr="0096745E" w14:paraId="0FC0478C" w14:textId="77777777" w:rsidTr="00804E1D">
        <w:trPr>
          <w:trHeight w:val="610"/>
          <w:tblHeader/>
        </w:trPr>
        <w:tc>
          <w:tcPr>
            <w:tcW w:w="55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9EA8324" w14:textId="1213CF77" w:rsidR="00DA23DA" w:rsidRPr="0096745E" w:rsidRDefault="002970E2" w:rsidP="009948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Version No</w:t>
            </w:r>
          </w:p>
        </w:tc>
        <w:tc>
          <w:tcPr>
            <w:tcW w:w="69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4B5F816" w14:textId="759EADBA" w:rsidR="00DA23DA" w:rsidRPr="0096745E" w:rsidRDefault="002970E2" w:rsidP="009948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Date</w:t>
            </w:r>
          </w:p>
        </w:tc>
        <w:tc>
          <w:tcPr>
            <w:tcW w:w="8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3FB2F25" w14:textId="52ABC4D7" w:rsidR="00DA23DA" w:rsidRPr="0096745E" w:rsidRDefault="002970E2" w:rsidP="009948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Part of Report</w:t>
            </w:r>
          </w:p>
        </w:tc>
        <w:tc>
          <w:tcPr>
            <w:tcW w:w="292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64C7F67" w14:textId="472E82F2" w:rsidR="00DA23DA" w:rsidRPr="0096745E" w:rsidRDefault="002970E2" w:rsidP="0099489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Amendment</w:t>
            </w:r>
          </w:p>
        </w:tc>
      </w:tr>
      <w:tr w:rsidR="00473691" w:rsidRPr="0096745E" w14:paraId="05209607" w14:textId="77777777" w:rsidTr="00804E1D">
        <w:trPr>
          <w:trHeight w:val="315"/>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E857104" w14:textId="2FC31CC9" w:rsidR="00DA23DA" w:rsidRPr="0096745E" w:rsidRDefault="00B82475" w:rsidP="0099489F">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04D9845" w14:textId="0F69F0E3" w:rsidR="00DA23DA" w:rsidRPr="0096745E" w:rsidRDefault="00B82475" w:rsidP="0099489F">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BD76588" w14:textId="4B4A2D4D" w:rsidR="00DA23DA" w:rsidRPr="0096745E" w:rsidRDefault="00B82475" w:rsidP="0099489F">
            <w:pPr>
              <w:spacing w:before="120" w:after="120" w:line="240" w:lineRule="auto"/>
              <w:jc w:val="center"/>
              <w:rPr>
                <w:rFonts w:ascii="Arial" w:eastAsia="Times New Roman" w:hAnsi="Arial" w:cs="Arial"/>
                <w:lang w:eastAsia="en-GB"/>
              </w:rPr>
            </w:pPr>
            <w:r>
              <w:rPr>
                <w:rFonts w:ascii="Arial" w:eastAsia="Times New Roman" w:hAnsi="Arial" w:cs="Arial"/>
                <w:lang w:eastAsia="en-GB"/>
              </w:rPr>
              <w:t>All</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15F03C7" w14:textId="532927AA" w:rsidR="00DA23DA" w:rsidRPr="0096745E" w:rsidRDefault="002B668A" w:rsidP="0099489F">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Updated </w:t>
            </w:r>
            <w:proofErr w:type="gramStart"/>
            <w:r>
              <w:rPr>
                <w:rFonts w:ascii="Arial" w:eastAsia="Times New Roman" w:hAnsi="Arial" w:cs="Arial"/>
                <w:lang w:eastAsia="en-GB"/>
              </w:rPr>
              <w:t>as a result of</w:t>
            </w:r>
            <w:proofErr w:type="gramEnd"/>
            <w:r>
              <w:rPr>
                <w:rFonts w:ascii="Arial" w:eastAsia="Times New Roman" w:hAnsi="Arial" w:cs="Arial"/>
                <w:lang w:eastAsia="en-GB"/>
              </w:rPr>
              <w:t xml:space="preserve"> Environmental Permitting Regulations</w:t>
            </w:r>
            <w:r w:rsidR="002F5C5E">
              <w:rPr>
                <w:rFonts w:ascii="Arial" w:eastAsia="Times New Roman" w:hAnsi="Arial" w:cs="Arial"/>
                <w:lang w:eastAsia="en-GB"/>
              </w:rPr>
              <w:t xml:space="preserve"> coming into force in England and Wales.</w:t>
            </w:r>
          </w:p>
        </w:tc>
      </w:tr>
      <w:tr w:rsidR="00473691" w:rsidRPr="0096745E" w14:paraId="2EA5FD8C"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E284EE1" w14:textId="08BC06D9" w:rsidR="00DA23DA" w:rsidRPr="0096745E" w:rsidRDefault="00B82475" w:rsidP="0099489F">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B66DA63" w14:textId="4B7CF10A" w:rsidR="00DA23DA" w:rsidRPr="0096745E" w:rsidRDefault="00B82475" w:rsidP="0099489F">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3D50133" w14:textId="1C717259" w:rsidR="00DA23DA" w:rsidRPr="0096745E" w:rsidRDefault="00B82475" w:rsidP="0099489F">
            <w:pPr>
              <w:spacing w:before="120" w:after="120" w:line="240" w:lineRule="auto"/>
              <w:jc w:val="center"/>
              <w:rPr>
                <w:rFonts w:ascii="Arial" w:eastAsia="Times New Roman" w:hAnsi="Arial" w:cs="Arial"/>
                <w:lang w:eastAsia="en-GB"/>
              </w:rPr>
            </w:pPr>
            <w:r>
              <w:rPr>
                <w:rFonts w:ascii="Arial" w:eastAsia="Times New Roman" w:hAnsi="Arial" w:cs="Arial"/>
                <w:lang w:eastAsia="en-GB"/>
              </w:rPr>
              <w:t>All</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D9BD779" w14:textId="5FDAB627" w:rsidR="00DA23DA" w:rsidRPr="0096745E" w:rsidRDefault="00CA07DE" w:rsidP="0099489F">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Updated </w:t>
            </w:r>
            <w:proofErr w:type="gramStart"/>
            <w:r>
              <w:rPr>
                <w:rFonts w:ascii="Arial" w:eastAsia="Times New Roman" w:hAnsi="Arial" w:cs="Arial"/>
                <w:lang w:eastAsia="en-GB"/>
              </w:rPr>
              <w:t>as a result of</w:t>
            </w:r>
            <w:proofErr w:type="gramEnd"/>
            <w:r>
              <w:rPr>
                <w:rFonts w:ascii="Arial" w:eastAsia="Times New Roman" w:hAnsi="Arial" w:cs="Arial"/>
                <w:lang w:eastAsia="en-GB"/>
              </w:rPr>
              <w:t xml:space="preserve"> Statutory Guidance to the Environment Agencies.</w:t>
            </w:r>
          </w:p>
        </w:tc>
      </w:tr>
      <w:tr w:rsidR="00473691" w:rsidRPr="0096745E" w14:paraId="01E6CC66"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0FCAD5E" w14:textId="58ED673D"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893A9E4" w14:textId="1337F469"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3E97942" w14:textId="5A424E92"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All</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EDD7BE5" w14:textId="3DFBEF4D"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Updates relating to ICRP Publication 103 (2007 Recommendations), in particular use of representative person rather than critical group.</w:t>
            </w:r>
          </w:p>
        </w:tc>
      </w:tr>
      <w:tr w:rsidR="002B668A" w:rsidRPr="0096745E" w14:paraId="5E43271E"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279941" w14:textId="269E65EE"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2F07F7" w14:textId="5B221DCD"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514ECC" w14:textId="477B9B5B"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All</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48A733" w14:textId="01687736"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Reference to NDAWG guidance notes included.</w:t>
            </w:r>
          </w:p>
        </w:tc>
      </w:tr>
      <w:tr w:rsidR="002B668A" w:rsidRPr="0096745E" w14:paraId="73D271D5"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4090B3" w14:textId="4CB55E74"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FC04F6" w14:textId="46DE16E4"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57145A" w14:textId="6D827F9E"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Para 1.0, 6.7</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B4A95E" w14:textId="1FA42AAB"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Inclusion of consideration of equivalent dose to skin and the lens of the eye in certain circumstances.</w:t>
            </w:r>
          </w:p>
        </w:tc>
      </w:tr>
      <w:tr w:rsidR="002B668A" w:rsidRPr="0096745E" w14:paraId="0B99FC7A"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1C84C" w14:textId="64F55B89"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FE07FD" w14:textId="5121055D"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8562D4" w14:textId="36C29E8C"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Para 3.1</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2D4AC3" w14:textId="7EAF743A"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New principle 1 – transparency of methods, data and results</w:t>
            </w:r>
          </w:p>
        </w:tc>
      </w:tr>
      <w:tr w:rsidR="002B668A" w:rsidRPr="0096745E" w14:paraId="1062705E"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777B6F" w14:textId="515986B7"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C7241E" w14:textId="77F618C0"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C18817" w14:textId="312ADD75"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Sections 3 to 8</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8E9120" w14:textId="3AEFC290"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Existing principles 1 to 12 renumbered 2 to 13.</w:t>
            </w:r>
          </w:p>
        </w:tc>
      </w:tr>
      <w:tr w:rsidR="002B668A" w:rsidRPr="0096745E" w14:paraId="51B9167E"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7D7461" w14:textId="7291F823"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E689DA" w14:textId="1A7456B1"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433727" w14:textId="0B1CF298"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Para 3.3</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A7AD89" w14:textId="23A7E2F7"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Explanation of population groups used in prospective assessments revised using advice from HSE.</w:t>
            </w:r>
          </w:p>
        </w:tc>
      </w:tr>
      <w:tr w:rsidR="002B668A" w:rsidRPr="0096745E" w14:paraId="2E5FCE86"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A0C2AE" w14:textId="79463005"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595E0E" w14:textId="20A41D37" w:rsidR="00B82475" w:rsidRPr="0096745E" w:rsidRDefault="00B82475"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December 2010</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7A3EEB" w14:textId="3C96401E"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Para 3.7</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CC6C34" w14:textId="6860B531" w:rsidR="00B82475"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Guidance on use of habit data for prospective assessments changed from habits which are reasonably foreseeable to habits which are reasonably likely to occur – to take account of advice of NDAWG habits subgroup</w:t>
            </w:r>
          </w:p>
        </w:tc>
      </w:tr>
      <w:tr w:rsidR="00473691" w:rsidRPr="0096745E" w14:paraId="7FE40295"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A6FB80" w14:textId="25156AAB" w:rsidR="00473691"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1.1</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0B2968" w14:textId="00FA3267" w:rsidR="00473691"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2011</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402E56" w14:textId="2D2DE3D0" w:rsidR="00473691"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Title of the document</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3E4B85" w14:textId="7729C2D4" w:rsidR="00473691" w:rsidRPr="0096745E" w:rsidRDefault="00473691" w:rsidP="00B82475">
            <w:pPr>
              <w:spacing w:before="120" w:after="120" w:line="240" w:lineRule="auto"/>
              <w:jc w:val="center"/>
              <w:rPr>
                <w:rFonts w:ascii="Arial" w:eastAsia="Times New Roman" w:hAnsi="Arial" w:cs="Arial"/>
                <w:lang w:eastAsia="en-GB"/>
              </w:rPr>
            </w:pPr>
            <w:r>
              <w:rPr>
                <w:rFonts w:ascii="Arial" w:eastAsia="Times New Roman" w:hAnsi="Arial" w:cs="Arial"/>
                <w:lang w:eastAsia="en-GB"/>
              </w:rPr>
              <w:t>Principles for the Assessment of Prospective Public Doses arising from Authorised Discharges of Radioactive Waste to the Environment</w:t>
            </w:r>
          </w:p>
        </w:tc>
      </w:tr>
      <w:tr w:rsidR="00473691" w:rsidRPr="0096745E" w14:paraId="00D65406"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440317" w14:textId="5C685485" w:rsidR="00473691" w:rsidRDefault="00473691" w:rsidP="00473691">
            <w:pPr>
              <w:spacing w:before="120" w:after="120" w:line="240" w:lineRule="auto"/>
              <w:jc w:val="center"/>
              <w:rPr>
                <w:rFonts w:ascii="Arial" w:eastAsia="Times New Roman" w:hAnsi="Arial" w:cs="Arial"/>
                <w:lang w:eastAsia="en-GB"/>
              </w:rPr>
            </w:pPr>
            <w:r>
              <w:rPr>
                <w:rFonts w:ascii="Arial" w:eastAsia="Times New Roman" w:hAnsi="Arial" w:cs="Arial"/>
                <w:lang w:eastAsia="en-GB"/>
              </w:rPr>
              <w:t>1.1</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377806" w14:textId="297F4C9B" w:rsidR="00473691" w:rsidRDefault="00473691" w:rsidP="00473691">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2011</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0462E1" w14:textId="15283C1E" w:rsidR="00473691" w:rsidRPr="0096745E" w:rsidRDefault="00473691" w:rsidP="00473691">
            <w:pPr>
              <w:spacing w:before="120" w:after="120" w:line="240" w:lineRule="auto"/>
              <w:jc w:val="center"/>
              <w:rPr>
                <w:rFonts w:ascii="Arial" w:eastAsia="Times New Roman" w:hAnsi="Arial" w:cs="Arial"/>
                <w:lang w:eastAsia="en-GB"/>
              </w:rPr>
            </w:pPr>
            <w:r>
              <w:rPr>
                <w:rFonts w:ascii="Arial" w:eastAsia="Times New Roman" w:hAnsi="Arial" w:cs="Arial"/>
                <w:lang w:eastAsia="en-GB"/>
              </w:rPr>
              <w:t>1, 2</w:t>
            </w:r>
            <w:r w:rsidR="00E96CAF">
              <w:rPr>
                <w:rFonts w:ascii="Arial" w:eastAsia="Times New Roman" w:hAnsi="Arial" w:cs="Arial"/>
                <w:lang w:eastAsia="en-GB"/>
              </w:rPr>
              <w:t>.</w:t>
            </w:r>
            <w:r>
              <w:rPr>
                <w:rFonts w:ascii="Arial" w:eastAsia="Times New Roman" w:hAnsi="Arial" w:cs="Arial"/>
                <w:lang w:eastAsia="en-GB"/>
              </w:rPr>
              <w:t>4, glossary</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5256BC" w14:textId="1774F3F5" w:rsidR="00473691" w:rsidRPr="0096745E" w:rsidRDefault="00473691" w:rsidP="00473691">
            <w:pPr>
              <w:spacing w:before="120" w:after="120" w:line="240" w:lineRule="auto"/>
              <w:jc w:val="center"/>
              <w:rPr>
                <w:rFonts w:ascii="Arial" w:eastAsia="Times New Roman" w:hAnsi="Arial" w:cs="Arial"/>
                <w:lang w:eastAsia="en-GB"/>
              </w:rPr>
            </w:pPr>
            <w:r>
              <w:rPr>
                <w:rFonts w:ascii="Arial" w:eastAsia="Times New Roman" w:hAnsi="Arial" w:cs="Arial"/>
                <w:lang w:eastAsia="en-GB"/>
              </w:rPr>
              <w:t>A definition of the quantity ‘dose’ used in the document has been added to the glossary and referred to from paragraphs</w:t>
            </w:r>
            <w:r w:rsidR="004C01FD">
              <w:rPr>
                <w:rFonts w:ascii="Arial" w:eastAsia="Times New Roman" w:hAnsi="Arial" w:cs="Arial"/>
                <w:lang w:eastAsia="en-GB"/>
              </w:rPr>
              <w:t xml:space="preserve"> 1.7 and 2.4.2.</w:t>
            </w:r>
          </w:p>
        </w:tc>
      </w:tr>
      <w:tr w:rsidR="00473691" w:rsidRPr="0096745E" w14:paraId="046D0E0B"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F7D2B" w14:textId="4BE2B167" w:rsidR="00473691" w:rsidRDefault="00A7723E" w:rsidP="00473691">
            <w:pPr>
              <w:spacing w:before="120" w:after="120" w:line="240" w:lineRule="auto"/>
              <w:jc w:val="center"/>
              <w:rPr>
                <w:rFonts w:ascii="Arial" w:eastAsia="Times New Roman" w:hAnsi="Arial" w:cs="Arial"/>
                <w:lang w:eastAsia="en-GB"/>
              </w:rPr>
            </w:pPr>
            <w:r>
              <w:rPr>
                <w:rFonts w:ascii="Arial" w:eastAsia="Times New Roman" w:hAnsi="Arial" w:cs="Arial"/>
                <w:lang w:eastAsia="en-GB"/>
              </w:rPr>
              <w:lastRenderedPageBreak/>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C1D50F" w14:textId="287DF30E" w:rsidR="00473691" w:rsidRDefault="00A7723E" w:rsidP="00473691">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174C6E" w14:textId="6204BD99" w:rsidR="00473691" w:rsidRPr="0096745E" w:rsidRDefault="00A7723E" w:rsidP="00473691">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1</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DC09B4" w14:textId="7AE811B8" w:rsidR="00473691" w:rsidRPr="0096745E" w:rsidRDefault="00AC4DD4" w:rsidP="00473691">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 paragraphs 1.3; 1.4;1.5; and 1.7 after consultation.</w:t>
            </w:r>
          </w:p>
        </w:tc>
      </w:tr>
      <w:tr w:rsidR="00A7723E" w:rsidRPr="0096745E" w14:paraId="10ED2C5A"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C072B1" w14:textId="29151421"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FCE110" w14:textId="4ECEAF73"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53312E" w14:textId="5A343BA8" w:rsidR="00A7723E" w:rsidRPr="0096745E" w:rsidRDefault="001E1078"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2</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9269AF" w14:textId="7D6BC1A1" w:rsidR="00A7723E" w:rsidRPr="0096745E" w:rsidRDefault="00AD66E1"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 paragraphs 2.12; 2.13; 2.33;</w:t>
            </w:r>
            <w:r w:rsidR="00E97344">
              <w:rPr>
                <w:rFonts w:ascii="Arial" w:eastAsia="Times New Roman" w:hAnsi="Arial" w:cs="Arial"/>
                <w:lang w:eastAsia="en-GB"/>
              </w:rPr>
              <w:t>2.45; 2.46 and 2.49 after consultation</w:t>
            </w:r>
          </w:p>
        </w:tc>
      </w:tr>
      <w:tr w:rsidR="00A7723E" w:rsidRPr="0096745E" w14:paraId="05D9D1EF"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2F333" w14:textId="1997D754"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D8D1CD" w14:textId="712C83A2"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F5A36D" w14:textId="6D7153A0" w:rsidR="00A7723E" w:rsidRPr="0096745E" w:rsidRDefault="001E1078"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2</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8B7379" w14:textId="2357AE2B" w:rsidR="00A7723E" w:rsidRPr="0096745E" w:rsidRDefault="00716D62"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 table 1 after consultation</w:t>
            </w:r>
          </w:p>
        </w:tc>
      </w:tr>
      <w:tr w:rsidR="00A7723E" w:rsidRPr="0096745E" w14:paraId="0747B767"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9713CE" w14:textId="2778C562"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F8FF1" w14:textId="5F38FAD2"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A1DCAD" w14:textId="3959D52D" w:rsidR="00A7723E" w:rsidRPr="0096745E" w:rsidRDefault="001E1078"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2</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9BC7AB" w14:textId="5B6CA3E5" w:rsidR="00A7723E" w:rsidRPr="0096745E" w:rsidRDefault="00716D62"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New paragraph 2.4.16 after consultation</w:t>
            </w:r>
          </w:p>
        </w:tc>
      </w:tr>
      <w:tr w:rsidR="00A7723E" w:rsidRPr="0096745E" w14:paraId="7458A6AE"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539A72" w14:textId="3D62C5AE"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58F1D0" w14:textId="1146804D"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418FB5" w14:textId="16A66261" w:rsidR="00A7723E" w:rsidRPr="0096745E" w:rsidRDefault="001E1078"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3</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32CFBE" w14:textId="504D39D3" w:rsidR="00A7723E" w:rsidRPr="0096745E" w:rsidRDefault="00716D62"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w:t>
            </w:r>
            <w:r w:rsidR="007B0B08">
              <w:rPr>
                <w:rFonts w:ascii="Arial" w:eastAsia="Times New Roman" w:hAnsi="Arial" w:cs="Arial"/>
                <w:lang w:eastAsia="en-GB"/>
              </w:rPr>
              <w:t xml:space="preserve"> paragraphs 3.1.2; 3.3.3; 3.3.4; 3.3.9;</w:t>
            </w:r>
            <w:r w:rsidR="001774CD">
              <w:rPr>
                <w:rFonts w:ascii="Arial" w:eastAsia="Times New Roman" w:hAnsi="Arial" w:cs="Arial"/>
                <w:lang w:eastAsia="en-GB"/>
              </w:rPr>
              <w:t xml:space="preserve"> 3.4.1; 3.5.6; 3.5.</w:t>
            </w:r>
            <w:r w:rsidR="001E02A5">
              <w:rPr>
                <w:rFonts w:ascii="Arial" w:eastAsia="Times New Roman" w:hAnsi="Arial" w:cs="Arial"/>
                <w:lang w:eastAsia="en-GB"/>
              </w:rPr>
              <w:t>7; 3.5.11; 3.7.3 and 3.7.15 after consultation</w:t>
            </w:r>
          </w:p>
        </w:tc>
      </w:tr>
      <w:tr w:rsidR="00A7723E" w:rsidRPr="0096745E" w14:paraId="17B7CF33"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FF4864" w14:textId="074EEE87"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88DC73" w14:textId="7A217500"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7E037E" w14:textId="7446DA95" w:rsidR="00A7723E" w:rsidRPr="0096745E" w:rsidRDefault="001E1078"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3</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58B8D6" w14:textId="18044FFD" w:rsidR="00A7723E" w:rsidRPr="0096745E" w:rsidRDefault="007B0B08"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w:t>
            </w:r>
            <w:r w:rsidR="001E02A5">
              <w:rPr>
                <w:rFonts w:ascii="Arial" w:eastAsia="Times New Roman" w:hAnsi="Arial" w:cs="Arial"/>
                <w:lang w:eastAsia="en-GB"/>
              </w:rPr>
              <w:t xml:space="preserve"> Principle 4 and Principle 5 after consultation.</w:t>
            </w:r>
          </w:p>
        </w:tc>
      </w:tr>
      <w:tr w:rsidR="00A7723E" w:rsidRPr="0096745E" w14:paraId="1E5316CE"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05C0A8" w14:textId="3BB4D1F1"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BCD303" w14:textId="22E6D2DC"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F7D5BC" w14:textId="08B2E015" w:rsidR="00A7723E" w:rsidRPr="0096745E" w:rsidRDefault="00AD66E1"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3</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CF5741" w14:textId="2E5F74AA" w:rsidR="00A7723E" w:rsidRPr="0096745E" w:rsidRDefault="001E02A5"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New Table 2 after consultation.</w:t>
            </w:r>
          </w:p>
        </w:tc>
      </w:tr>
      <w:tr w:rsidR="00A7723E" w:rsidRPr="0096745E" w14:paraId="6CE069EB"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9EAD88" w14:textId="0003B566"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742C4D" w14:textId="2952C6D3" w:rsidR="00A7723E" w:rsidRDefault="00A7723E"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43D0C" w14:textId="27FE7753" w:rsidR="00A7723E" w:rsidRPr="0096745E" w:rsidRDefault="00AD66E1"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5</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36BC3E" w14:textId="76940C70" w:rsidR="00A7723E" w:rsidRPr="0096745E" w:rsidRDefault="001E02A5" w:rsidP="00A7723E">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 paragraph 5.2 after consultation</w:t>
            </w:r>
          </w:p>
        </w:tc>
      </w:tr>
      <w:tr w:rsidR="0087424F" w:rsidRPr="0096745E" w14:paraId="13CA370B"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C3C93" w14:textId="1CADEDD8" w:rsidR="0087424F" w:rsidRDefault="0087424F"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BCDC4C" w14:textId="578A3B81" w:rsidR="0087424F" w:rsidRDefault="0087424F"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C240E" w14:textId="6E34F3A8" w:rsidR="0087424F" w:rsidRPr="0096745E" w:rsidRDefault="00FF2DDA"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6</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DFFBC4" w14:textId="1B9ECFA1" w:rsidR="0087424F" w:rsidRPr="0096745E" w:rsidRDefault="00BD5CBC"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w:t>
            </w:r>
            <w:r w:rsidR="005A1B71">
              <w:rPr>
                <w:rFonts w:ascii="Arial" w:eastAsia="Times New Roman" w:hAnsi="Arial" w:cs="Arial"/>
                <w:lang w:eastAsia="en-GB"/>
              </w:rPr>
              <w:t xml:space="preserve"> to paragraphs 6.1.1; 6.2.1; 6.</w:t>
            </w:r>
            <w:r>
              <w:rPr>
                <w:rFonts w:ascii="Arial" w:eastAsia="Times New Roman" w:hAnsi="Arial" w:cs="Arial"/>
                <w:lang w:eastAsia="en-GB"/>
              </w:rPr>
              <w:t>3.6; 6.3.13; 6.5.9; 6.6</w:t>
            </w:r>
            <w:r w:rsidR="005A3FF7">
              <w:rPr>
                <w:rFonts w:ascii="Arial" w:eastAsia="Times New Roman" w:hAnsi="Arial" w:cs="Arial"/>
                <w:lang w:eastAsia="en-GB"/>
              </w:rPr>
              <w:t>.</w:t>
            </w:r>
            <w:r>
              <w:rPr>
                <w:rFonts w:ascii="Arial" w:eastAsia="Times New Roman" w:hAnsi="Arial" w:cs="Arial"/>
                <w:lang w:eastAsia="en-GB"/>
              </w:rPr>
              <w:t>3 and 6.7.1 after consultation.</w:t>
            </w:r>
          </w:p>
        </w:tc>
      </w:tr>
      <w:tr w:rsidR="0087424F" w:rsidRPr="0096745E" w14:paraId="3F44F1AB"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001098" w14:textId="50732421" w:rsidR="0087424F" w:rsidRDefault="0087424F"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894500" w14:textId="6C3DDFC0" w:rsidR="0087424F" w:rsidRDefault="0087424F"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28EA2A" w14:textId="0DFAFACA" w:rsidR="0087424F" w:rsidRPr="0096745E" w:rsidRDefault="00FF2DDA"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6</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AC2CF1" w14:textId="151B5E15" w:rsidR="0087424F" w:rsidRPr="0096745E" w:rsidRDefault="005A3FF7"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Deletion of paragraph 6.5.18 after consultation.</w:t>
            </w:r>
          </w:p>
        </w:tc>
      </w:tr>
      <w:tr w:rsidR="0087424F" w:rsidRPr="0096745E" w14:paraId="63B6B5BC"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F7F7F9" w14:textId="64545A22" w:rsidR="0087424F" w:rsidRDefault="0087424F"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F0F6E8" w14:textId="1312C2D7" w:rsidR="0087424F" w:rsidRDefault="0087424F"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3CE7E3" w14:textId="3181C77C" w:rsidR="0087424F" w:rsidRPr="0096745E" w:rsidRDefault="00FF2DDA"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7</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98E5D9" w14:textId="4A1C3B12" w:rsidR="0087424F" w:rsidRPr="0096745E" w:rsidRDefault="0050429C"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 paragraphs 7.5 and 7.8 after consultation.</w:t>
            </w:r>
          </w:p>
        </w:tc>
      </w:tr>
      <w:tr w:rsidR="0087424F" w:rsidRPr="0096745E" w14:paraId="1FE3B6DD"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66C988" w14:textId="3413A113" w:rsidR="0087424F" w:rsidRDefault="0087424F"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4E573F" w14:textId="7017265F" w:rsidR="0087424F" w:rsidRDefault="0087424F"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75FB01" w14:textId="4E92593C" w:rsidR="0087424F" w:rsidRPr="0096745E" w:rsidRDefault="00FF2DDA"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Section </w:t>
            </w:r>
            <w:r w:rsidR="005A1B71">
              <w:rPr>
                <w:rFonts w:ascii="Arial" w:eastAsia="Times New Roman" w:hAnsi="Arial" w:cs="Arial"/>
                <w:lang w:eastAsia="en-GB"/>
              </w:rPr>
              <w:t>8</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B3D84" w14:textId="618B13BC" w:rsidR="0087424F" w:rsidRPr="0096745E" w:rsidRDefault="0050429C" w:rsidP="0087424F">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 paragraph 8.7 after consultation.</w:t>
            </w:r>
          </w:p>
        </w:tc>
      </w:tr>
      <w:tr w:rsidR="007C7738" w:rsidRPr="0096745E" w14:paraId="149758AC"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BED061" w14:textId="0B8B089A"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4CFE04" w14:textId="6FD5B20A"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9C50E" w14:textId="29CAAD31"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9</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C98F9E" w14:textId="1B29EABE"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Amendments to paragraph 9.5 after consultation.</w:t>
            </w:r>
          </w:p>
        </w:tc>
      </w:tr>
      <w:tr w:rsidR="007C7738" w:rsidRPr="0096745E" w14:paraId="0ADDD578"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3181C6" w14:textId="2AA1E6B5"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4C40C0" w14:textId="201C7CCE"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5CEBF3" w14:textId="564D43DB"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Figure 1</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D4C030" w14:textId="4CF5FA68"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Insertion of footnote</w:t>
            </w:r>
          </w:p>
        </w:tc>
      </w:tr>
      <w:tr w:rsidR="007C7738" w:rsidRPr="0096745E" w14:paraId="63D53EE6"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5322E0" w14:textId="4F6F4BD9"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lastRenderedPageBreak/>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6DD3C0" w14:textId="7BBDB472"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6147A3" w14:textId="6E484BEB"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Various</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061EB7" w14:textId="132AFE2E"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Smaller textual changes made</w:t>
            </w:r>
          </w:p>
        </w:tc>
      </w:tr>
      <w:tr w:rsidR="007C7738" w:rsidRPr="0096745E" w14:paraId="70A44262"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1739DD" w14:textId="306746E7"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138B8E" w14:textId="0517EA08"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DDB03C" w14:textId="5A7268C6"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Glossary updated</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BECBFB" w14:textId="73E3B1A4" w:rsidR="007C7738" w:rsidRDefault="007C7738" w:rsidP="007C7738">
            <w:pPr>
              <w:spacing w:before="120" w:after="120" w:line="240" w:lineRule="auto"/>
              <w:jc w:val="center"/>
              <w:rPr>
                <w:rFonts w:ascii="Arial" w:eastAsia="Times New Roman" w:hAnsi="Arial" w:cs="Arial"/>
                <w:lang w:eastAsia="en-GB"/>
              </w:rPr>
            </w:pPr>
            <w:r>
              <w:rPr>
                <w:rFonts w:ascii="Arial" w:eastAsia="Times New Roman" w:hAnsi="Arial" w:cs="Arial"/>
                <w:lang w:eastAsia="en-GB"/>
              </w:rPr>
              <w:t>ALDA, ALARP, BAT, BPM, Nuclear site, radioactive waste</w:t>
            </w:r>
          </w:p>
        </w:tc>
      </w:tr>
      <w:tr w:rsidR="005037EB" w:rsidRPr="0096745E" w14:paraId="2857E754"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3A083" w14:textId="7F4A4F5C" w:rsidR="005037EB" w:rsidRDefault="005037EB" w:rsidP="005037EB">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1A5A0" w14:textId="60D38B62" w:rsidR="005037EB" w:rsidRDefault="005037EB" w:rsidP="005037EB">
            <w:pPr>
              <w:spacing w:before="120" w:after="120" w:line="240" w:lineRule="auto"/>
              <w:jc w:val="center"/>
              <w:rPr>
                <w:rFonts w:ascii="Arial" w:eastAsia="Times New Roman" w:hAnsi="Arial" w:cs="Arial"/>
                <w:lang w:eastAsia="en-GB"/>
              </w:rPr>
            </w:pPr>
            <w:r>
              <w:rPr>
                <w:rFonts w:ascii="Arial" w:eastAsia="Times New Roman" w:hAnsi="Arial" w:cs="Arial"/>
                <w:lang w:eastAsia="en-GB"/>
              </w:rPr>
              <w:t>March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BB8B0B" w14:textId="61D2E678" w:rsidR="005037EB" w:rsidRDefault="005037EB" w:rsidP="005037EB">
            <w:pPr>
              <w:spacing w:before="120" w:after="120" w:line="240" w:lineRule="auto"/>
              <w:jc w:val="center"/>
              <w:rPr>
                <w:rFonts w:ascii="Arial" w:eastAsia="Times New Roman" w:hAnsi="Arial" w:cs="Arial"/>
                <w:lang w:eastAsia="en-GB"/>
              </w:rPr>
            </w:pPr>
            <w:r>
              <w:rPr>
                <w:rFonts w:ascii="Arial" w:eastAsia="Times New Roman" w:hAnsi="Arial" w:cs="Arial"/>
                <w:lang w:eastAsia="en-GB"/>
              </w:rPr>
              <w:t>List of abbreviations</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D20D60" w14:textId="7621A1A0" w:rsidR="005037EB" w:rsidRDefault="005037EB" w:rsidP="005037EB">
            <w:pPr>
              <w:spacing w:before="120" w:after="120" w:line="240" w:lineRule="auto"/>
              <w:jc w:val="center"/>
              <w:rPr>
                <w:rFonts w:ascii="Arial" w:eastAsia="Times New Roman" w:hAnsi="Arial" w:cs="Arial"/>
                <w:lang w:eastAsia="en-GB"/>
              </w:rPr>
            </w:pPr>
            <w:r>
              <w:rPr>
                <w:rFonts w:ascii="Arial" w:eastAsia="Times New Roman" w:hAnsi="Arial" w:cs="Arial"/>
                <w:lang w:eastAsia="en-GB"/>
              </w:rPr>
              <w:t>Extended and changes made</w:t>
            </w:r>
          </w:p>
        </w:tc>
      </w:tr>
      <w:tr w:rsidR="005037EB" w:rsidRPr="0096745E" w14:paraId="279AD9E0"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44CCF" w14:textId="0EC7912D" w:rsidR="005037EB" w:rsidRDefault="00374FA1" w:rsidP="005037EB">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036023" w14:textId="0C6583D4" w:rsidR="005037EB" w:rsidRDefault="00374FA1" w:rsidP="005037EB">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8C0EBC" w14:textId="21BE44FE" w:rsidR="005037EB" w:rsidRDefault="00C700CB" w:rsidP="005037EB">
            <w:pPr>
              <w:spacing w:before="120" w:after="120" w:line="240" w:lineRule="auto"/>
              <w:jc w:val="center"/>
              <w:rPr>
                <w:rFonts w:ascii="Arial" w:eastAsia="Times New Roman" w:hAnsi="Arial" w:cs="Arial"/>
                <w:lang w:eastAsia="en-GB"/>
              </w:rPr>
            </w:pPr>
            <w:r>
              <w:rPr>
                <w:rFonts w:ascii="Arial" w:eastAsia="Times New Roman" w:hAnsi="Arial" w:cs="Arial"/>
                <w:lang w:eastAsia="en-GB"/>
              </w:rPr>
              <w:t>Comparison of principles</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1E0B0D" w14:textId="76BC6D4C"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Appendix A added comparing old and new principles</w:t>
            </w:r>
          </w:p>
        </w:tc>
      </w:tr>
      <w:tr w:rsidR="00C700CB" w:rsidRPr="0096745E" w14:paraId="0F2296F8"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A52C6E" w14:textId="42A9A6DF"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A671CC" w14:textId="01738EA9"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86012" w14:textId="477C5CCA"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8 Collective dose</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3A7EE2" w14:textId="1CF9D885"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Para 8.7 and Para 8.8 amended</w:t>
            </w:r>
          </w:p>
        </w:tc>
      </w:tr>
      <w:tr w:rsidR="00C700CB" w:rsidRPr="0096745E" w14:paraId="74F997EF"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A1AB3C" w14:textId="5331D312"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331B48" w14:textId="397B49EF"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AA3DA6" w14:textId="618C8D46"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Table 1</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0BCE64" w14:textId="0923578A"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Lens of the eye dose limit entry restored to table 1</w:t>
            </w:r>
          </w:p>
        </w:tc>
      </w:tr>
      <w:tr w:rsidR="00C700CB" w:rsidRPr="0096745E" w14:paraId="17551BD2"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46A236" w14:textId="49D01AFC"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C9CB27" w14:textId="4FA8021F"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8399B2" w14:textId="27FC32CB" w:rsidR="00C700CB" w:rsidRDefault="008A1103"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2 Dose limit</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AC0553" w14:textId="51CAD7C1" w:rsidR="00C700CB" w:rsidRDefault="008A1103"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New paragraph at 2.4.4 related to </w:t>
            </w:r>
            <w:r w:rsidR="00631FFC">
              <w:rPr>
                <w:rFonts w:ascii="Arial" w:eastAsia="Times New Roman" w:hAnsi="Arial" w:cs="Arial"/>
                <w:lang w:eastAsia="en-GB"/>
              </w:rPr>
              <w:t>dose limits in prospective assessments added.</w:t>
            </w:r>
          </w:p>
        </w:tc>
      </w:tr>
      <w:tr w:rsidR="00C700CB" w:rsidRPr="0096745E" w14:paraId="6A015A1F"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18F286" w14:textId="4696F663"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1CD11A" w14:textId="2877038A"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8EA4CB" w14:textId="1FD3CD0B" w:rsidR="00C700CB" w:rsidRDefault="00114E37"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1 Introduction</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54CB1F" w14:textId="6743BA75" w:rsidR="00C700CB" w:rsidRDefault="00114E37"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New linking paragraph 1.8 to the changes and to the 2002 principles document.</w:t>
            </w:r>
          </w:p>
        </w:tc>
      </w:tr>
      <w:tr w:rsidR="00C700CB" w:rsidRPr="0096745E" w14:paraId="7F3509D2"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EB4CC0" w14:textId="7B20BB4B"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EC3465" w14:textId="67155106" w:rsidR="00C700CB" w:rsidRDefault="00C700CB"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A2EDF2" w14:textId="3E54AFE6" w:rsidR="00C700CB" w:rsidRDefault="006D001A"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Header and table of contents</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8F1C15" w14:textId="7B658F83" w:rsidR="00C700CB" w:rsidRDefault="006D001A" w:rsidP="00C700CB">
            <w:pPr>
              <w:spacing w:before="120" w:after="120" w:line="240" w:lineRule="auto"/>
              <w:jc w:val="center"/>
              <w:rPr>
                <w:rFonts w:ascii="Arial" w:eastAsia="Times New Roman" w:hAnsi="Arial" w:cs="Arial"/>
                <w:lang w:eastAsia="en-GB"/>
              </w:rPr>
            </w:pPr>
            <w:r>
              <w:rPr>
                <w:rFonts w:ascii="Arial" w:eastAsia="Times New Roman" w:hAnsi="Arial" w:cs="Arial"/>
                <w:lang w:eastAsia="en-GB"/>
              </w:rPr>
              <w:t>Updated</w:t>
            </w:r>
            <w:r w:rsidR="00FC6CF2">
              <w:rPr>
                <w:rFonts w:ascii="Arial" w:eastAsia="Times New Roman" w:hAnsi="Arial" w:cs="Arial"/>
                <w:lang w:eastAsia="en-GB"/>
              </w:rPr>
              <w:t>.</w:t>
            </w:r>
          </w:p>
        </w:tc>
      </w:tr>
      <w:tr w:rsidR="00114E37" w:rsidRPr="0096745E" w14:paraId="54F2ACB2"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F5B616" w14:textId="41A8817D" w:rsidR="00114E37" w:rsidRDefault="00114E37" w:rsidP="00114E37">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57288E" w14:textId="787C6788" w:rsidR="00114E37" w:rsidRDefault="00114E37" w:rsidP="00114E37">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BBC320" w14:textId="57E9AE20" w:rsidR="00114E37" w:rsidRDefault="006D001A" w:rsidP="00114E37">
            <w:pPr>
              <w:spacing w:before="120" w:after="120" w:line="240" w:lineRule="auto"/>
              <w:jc w:val="center"/>
              <w:rPr>
                <w:rFonts w:ascii="Arial" w:eastAsia="Times New Roman" w:hAnsi="Arial" w:cs="Arial"/>
                <w:lang w:eastAsia="en-GB"/>
              </w:rPr>
            </w:pPr>
            <w:r>
              <w:rPr>
                <w:rFonts w:ascii="Arial" w:eastAsia="Times New Roman" w:hAnsi="Arial" w:cs="Arial"/>
                <w:lang w:eastAsia="en-GB"/>
              </w:rPr>
              <w:t>Section 6 - Habits</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39800F" w14:textId="4B6EF97A" w:rsidR="00114E37" w:rsidRDefault="006D001A" w:rsidP="00114E37">
            <w:pPr>
              <w:spacing w:before="120" w:after="120" w:line="240" w:lineRule="auto"/>
              <w:jc w:val="center"/>
              <w:rPr>
                <w:rFonts w:ascii="Arial" w:eastAsia="Times New Roman" w:hAnsi="Arial" w:cs="Arial"/>
                <w:lang w:eastAsia="en-GB"/>
              </w:rPr>
            </w:pPr>
            <w:r>
              <w:rPr>
                <w:rFonts w:ascii="Arial" w:eastAsia="Times New Roman" w:hAnsi="Arial" w:cs="Arial"/>
                <w:lang w:eastAsia="en-GB"/>
              </w:rPr>
              <w:t>Reference to habits group report on pro</w:t>
            </w:r>
            <w:r w:rsidR="00FC6CF2">
              <w:rPr>
                <w:rFonts w:ascii="Arial" w:eastAsia="Times New Roman" w:hAnsi="Arial" w:cs="Arial"/>
                <w:lang w:eastAsia="en-GB"/>
              </w:rPr>
              <w:t>spective assessments added.</w:t>
            </w:r>
          </w:p>
        </w:tc>
      </w:tr>
      <w:tr w:rsidR="00114E37" w:rsidRPr="0096745E" w14:paraId="6447E747"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D7FC0E" w14:textId="579CC56A" w:rsidR="00114E37" w:rsidRDefault="00114E37" w:rsidP="00114E37">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EDABA9" w14:textId="344E5AD6" w:rsidR="00114E37" w:rsidRDefault="00114E37" w:rsidP="00114E37">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DF2E90" w14:textId="793005D0" w:rsidR="00114E37" w:rsidRDefault="00FC6CF2" w:rsidP="00114E37">
            <w:pPr>
              <w:spacing w:before="120" w:after="120" w:line="240" w:lineRule="auto"/>
              <w:jc w:val="center"/>
              <w:rPr>
                <w:rFonts w:ascii="Arial" w:eastAsia="Times New Roman" w:hAnsi="Arial" w:cs="Arial"/>
                <w:lang w:eastAsia="en-GB"/>
              </w:rPr>
            </w:pPr>
            <w:r>
              <w:rPr>
                <w:rFonts w:ascii="Arial" w:eastAsia="Times New Roman" w:hAnsi="Arial" w:cs="Arial"/>
                <w:lang w:eastAsia="en-GB"/>
              </w:rPr>
              <w:t>References</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0A1EAF" w14:textId="4C889A9B" w:rsidR="00114E37" w:rsidRDefault="00FC6CF2" w:rsidP="00114E37">
            <w:pPr>
              <w:spacing w:before="120" w:after="120" w:line="240" w:lineRule="auto"/>
              <w:jc w:val="center"/>
              <w:rPr>
                <w:rFonts w:ascii="Arial" w:eastAsia="Times New Roman" w:hAnsi="Arial" w:cs="Arial"/>
                <w:lang w:eastAsia="en-GB"/>
              </w:rPr>
            </w:pPr>
            <w:r>
              <w:rPr>
                <w:rFonts w:ascii="Arial" w:eastAsia="Times New Roman" w:hAnsi="Arial" w:cs="Arial"/>
                <w:lang w:eastAsia="en-GB"/>
              </w:rPr>
              <w:t>Reference to short duration releases amended</w:t>
            </w:r>
          </w:p>
        </w:tc>
      </w:tr>
      <w:tr w:rsidR="00375100" w:rsidRPr="0096745E" w14:paraId="04268736"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FFFD20" w14:textId="133194FF" w:rsidR="00375100" w:rsidRDefault="00375100" w:rsidP="00375100">
            <w:pPr>
              <w:spacing w:before="120" w:after="120" w:line="240" w:lineRule="auto"/>
              <w:jc w:val="center"/>
              <w:rPr>
                <w:rFonts w:ascii="Arial" w:eastAsia="Times New Roman" w:hAnsi="Arial" w:cs="Arial"/>
                <w:lang w:eastAsia="en-GB"/>
              </w:rPr>
            </w:pPr>
            <w:r>
              <w:rPr>
                <w:rFonts w:ascii="Arial" w:eastAsia="Times New Roman" w:hAnsi="Arial" w:cs="Arial"/>
                <w:lang w:eastAsia="en-GB"/>
              </w:rPr>
              <w:t>3.0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9E7AFC" w14:textId="702DC50A" w:rsidR="00375100" w:rsidRDefault="00375100" w:rsidP="00375100">
            <w:pPr>
              <w:spacing w:before="120" w:after="120" w:line="240" w:lineRule="auto"/>
              <w:jc w:val="center"/>
              <w:rPr>
                <w:rFonts w:ascii="Arial" w:eastAsia="Times New Roman" w:hAnsi="Arial" w:cs="Arial"/>
                <w:lang w:eastAsia="en-GB"/>
              </w:rPr>
            </w:pPr>
            <w:r>
              <w:rPr>
                <w:rFonts w:ascii="Arial" w:eastAsia="Times New Roman" w:hAnsi="Arial" w:cs="Arial"/>
                <w:lang w:eastAsia="en-GB"/>
              </w:rPr>
              <w:t>May 2012</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E0DE87" w14:textId="26ECF8A3" w:rsidR="00375100" w:rsidRDefault="00375100" w:rsidP="00375100">
            <w:pPr>
              <w:spacing w:before="120" w:after="120" w:line="240" w:lineRule="auto"/>
              <w:jc w:val="center"/>
              <w:rPr>
                <w:rFonts w:ascii="Arial" w:eastAsia="Times New Roman" w:hAnsi="Arial" w:cs="Arial"/>
                <w:lang w:eastAsia="en-GB"/>
              </w:rPr>
            </w:pPr>
            <w:r>
              <w:rPr>
                <w:rFonts w:ascii="Arial" w:eastAsia="Times New Roman" w:hAnsi="Arial" w:cs="Arial"/>
                <w:lang w:eastAsia="en-GB"/>
              </w:rPr>
              <w:t>Summary of changes</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C5B7BC" w14:textId="6C0B3D2F" w:rsidR="00375100" w:rsidRDefault="00375100" w:rsidP="00375100">
            <w:pPr>
              <w:spacing w:before="120" w:after="120" w:line="240" w:lineRule="auto"/>
              <w:jc w:val="center"/>
              <w:rPr>
                <w:rFonts w:ascii="Arial" w:eastAsia="Times New Roman" w:hAnsi="Arial" w:cs="Arial"/>
                <w:lang w:eastAsia="en-GB"/>
              </w:rPr>
            </w:pPr>
            <w:r>
              <w:rPr>
                <w:rFonts w:ascii="Arial" w:eastAsia="Times New Roman" w:hAnsi="Arial" w:cs="Arial"/>
                <w:lang w:eastAsia="en-GB"/>
              </w:rPr>
              <w:t>Appendix B summarising changes added.</w:t>
            </w:r>
          </w:p>
        </w:tc>
      </w:tr>
      <w:tr w:rsidR="00DD3D52" w:rsidRPr="0096745E" w14:paraId="4FC1AE81"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11FDB8" w14:textId="55074B28" w:rsidR="00DD3D52" w:rsidRDefault="00DD3D52" w:rsidP="00DD3D52">
            <w:pPr>
              <w:spacing w:before="120" w:after="120" w:line="240" w:lineRule="auto"/>
              <w:jc w:val="center"/>
              <w:rPr>
                <w:rFonts w:ascii="Arial" w:eastAsia="Times New Roman" w:hAnsi="Arial" w:cs="Arial"/>
                <w:lang w:eastAsia="en-GB"/>
              </w:rPr>
            </w:pPr>
            <w:r>
              <w:rPr>
                <w:rFonts w:ascii="Arial" w:eastAsia="Times New Roman" w:hAnsi="Arial" w:cs="Arial"/>
                <w:lang w:eastAsia="en-GB"/>
              </w:rPr>
              <w:t>4.0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3F378F" w14:textId="13DB22EA" w:rsidR="00DD3D52" w:rsidRDefault="00DD3D52" w:rsidP="00DD3D52">
            <w:pPr>
              <w:spacing w:before="120" w:after="120" w:line="240" w:lineRule="auto"/>
              <w:jc w:val="center"/>
              <w:rPr>
                <w:rFonts w:ascii="Arial" w:eastAsia="Times New Roman" w:hAnsi="Arial" w:cs="Arial"/>
                <w:lang w:eastAsia="en-GB"/>
              </w:rPr>
            </w:pPr>
            <w:r>
              <w:rPr>
                <w:rFonts w:ascii="Arial" w:eastAsia="Times New Roman" w:hAnsi="Arial" w:cs="Arial"/>
                <w:lang w:eastAsia="en-GB"/>
              </w:rPr>
              <w:t>April 2026</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43603D" w14:textId="1D38B7CB" w:rsidR="00DD3D52" w:rsidRDefault="00DD3D52" w:rsidP="00DD3D52">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r w:rsidRPr="00AB14E6">
              <w:rPr>
                <w:rFonts w:ascii="Arial" w:eastAsia="Times New Roman" w:hAnsi="Arial" w:cs="Arial"/>
                <w:lang w:eastAsia="en-GB"/>
              </w:rPr>
              <w:t>ew reference numbe</w:t>
            </w:r>
            <w:r>
              <w:rPr>
                <w:rFonts w:ascii="Arial" w:eastAsia="Times New Roman" w:hAnsi="Arial" w:cs="Arial"/>
                <w:lang w:eastAsia="en-GB"/>
              </w:rPr>
              <w:t>r</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CFBE3B" w14:textId="0B02865A" w:rsidR="00DD3D52" w:rsidRDefault="00DD3D52" w:rsidP="00DD3D52">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The document number changed from </w:t>
            </w:r>
            <w:r w:rsidRPr="00DD3D52">
              <w:rPr>
                <w:rFonts w:ascii="Arial" w:eastAsia="Times New Roman" w:hAnsi="Arial" w:cs="Arial"/>
                <w:lang w:eastAsia="en-GB"/>
              </w:rPr>
              <w:t>RS-JG-016</w:t>
            </w:r>
            <w:r>
              <w:rPr>
                <w:rFonts w:ascii="Arial" w:eastAsia="Times New Roman" w:hAnsi="Arial" w:cs="Arial"/>
                <w:lang w:eastAsia="en-GB"/>
              </w:rPr>
              <w:t xml:space="preserve"> to </w:t>
            </w:r>
            <w:r w:rsidRPr="00AB14E6">
              <w:rPr>
                <w:rFonts w:ascii="Arial" w:eastAsia="Times New Roman" w:hAnsi="Arial" w:cs="Arial"/>
                <w:lang w:eastAsia="en-GB"/>
              </w:rPr>
              <w:t>RS-G-046</w:t>
            </w:r>
          </w:p>
        </w:tc>
      </w:tr>
      <w:tr w:rsidR="00DD3D52" w:rsidRPr="0096745E" w14:paraId="065BE6F8" w14:textId="77777777" w:rsidTr="00804E1D">
        <w:trPr>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5783A9" w14:textId="79436011" w:rsidR="00DD3D52" w:rsidRDefault="00DD3D52" w:rsidP="00DD3D52">
            <w:pPr>
              <w:spacing w:before="120" w:after="120" w:line="240" w:lineRule="auto"/>
              <w:jc w:val="center"/>
              <w:rPr>
                <w:rFonts w:ascii="Arial" w:eastAsia="Times New Roman" w:hAnsi="Arial" w:cs="Arial"/>
                <w:lang w:eastAsia="en-GB"/>
              </w:rPr>
            </w:pPr>
            <w:r>
              <w:rPr>
                <w:rFonts w:ascii="Arial" w:eastAsia="Times New Roman" w:hAnsi="Arial" w:cs="Arial"/>
                <w:lang w:eastAsia="en-GB"/>
              </w:rPr>
              <w:t>4.0</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62A8F7" w14:textId="58CEC528" w:rsidR="00DD3D52" w:rsidRDefault="00DD3D52" w:rsidP="00DD3D52">
            <w:pPr>
              <w:spacing w:before="120" w:after="120" w:line="240" w:lineRule="auto"/>
              <w:jc w:val="center"/>
              <w:rPr>
                <w:rFonts w:ascii="Arial" w:eastAsia="Times New Roman" w:hAnsi="Arial" w:cs="Arial"/>
                <w:lang w:eastAsia="en-GB"/>
              </w:rPr>
            </w:pPr>
            <w:r>
              <w:rPr>
                <w:rFonts w:ascii="Arial" w:eastAsia="Times New Roman" w:hAnsi="Arial" w:cs="Arial"/>
                <w:lang w:eastAsia="en-GB"/>
              </w:rPr>
              <w:t>April 2026</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F8B28B" w14:textId="5176ED81" w:rsidR="00DD3D52" w:rsidRPr="0096745E" w:rsidRDefault="00DD3D52" w:rsidP="00DD3D52">
            <w:pPr>
              <w:spacing w:before="120" w:after="120" w:line="240" w:lineRule="auto"/>
              <w:jc w:val="center"/>
              <w:rPr>
                <w:rFonts w:ascii="Arial" w:eastAsia="Times New Roman" w:hAnsi="Arial" w:cs="Arial"/>
                <w:lang w:eastAsia="en-GB"/>
              </w:rPr>
            </w:pPr>
            <w:r>
              <w:rPr>
                <w:rFonts w:ascii="Arial" w:eastAsia="Times New Roman" w:hAnsi="Arial" w:cs="Arial"/>
                <w:lang w:eastAsia="en-GB"/>
              </w:rPr>
              <w:t>Accessibility format change</w:t>
            </w:r>
          </w:p>
        </w:tc>
        <w:tc>
          <w:tcPr>
            <w:tcW w:w="29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E65BC9" w14:textId="2FEDB1E1" w:rsidR="00DD3D52" w:rsidRPr="0096745E" w:rsidRDefault="00DD3D52" w:rsidP="00DD3D52">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The document was migrated into the SEPA accessibility compliant document and the </w:t>
            </w:r>
          </w:p>
        </w:tc>
      </w:tr>
    </w:tbl>
    <w:p w14:paraId="22F062CD" w14:textId="6886507E" w:rsidR="003936B7" w:rsidRDefault="003936B7">
      <w:pPr>
        <w:spacing w:line="240" w:lineRule="auto"/>
      </w:pPr>
      <w:r>
        <w:br w:type="page"/>
      </w:r>
    </w:p>
    <w:p w14:paraId="555AB2D9" w14:textId="77777777" w:rsidR="003D1840" w:rsidRDefault="003D1840" w:rsidP="003D1840">
      <w:pPr>
        <w:pStyle w:val="Heading1"/>
      </w:pPr>
      <w:bookmarkStart w:id="63" w:name="_Toc25569870"/>
      <w:bookmarkStart w:id="64" w:name="_Toc227317401"/>
      <w:r>
        <w:lastRenderedPageBreak/>
        <w:t>Glossary of terms</w:t>
      </w:r>
      <w:bookmarkEnd w:id="63"/>
      <w:bookmarkEnd w:id="64"/>
    </w:p>
    <w:p w14:paraId="357BE11E" w14:textId="206A716C" w:rsidR="00342DBC" w:rsidRDefault="00342DBC" w:rsidP="00342DBC">
      <w:pPr>
        <w:ind w:left="2880" w:hanging="2880"/>
        <w:rPr>
          <w:rFonts w:ascii="Arial" w:hAnsi="Arial" w:cs="Arial"/>
        </w:rPr>
      </w:pPr>
      <w:r w:rsidRPr="003D1840">
        <w:rPr>
          <w:rFonts w:ascii="Arial" w:hAnsi="Arial" w:cs="Arial"/>
        </w:rPr>
        <w:t>Absorbed Dose</w:t>
      </w:r>
      <w:r w:rsidR="00CC04F5">
        <w:rPr>
          <w:rFonts w:ascii="Arial" w:hAnsi="Arial" w:cs="Arial"/>
        </w:rPr>
        <w:tab/>
      </w:r>
      <w:r w:rsidRPr="003D1840">
        <w:rPr>
          <w:rFonts w:ascii="Arial" w:hAnsi="Arial" w:cs="Arial"/>
        </w:rPr>
        <w:t>Is the ionising radiation energy absorbed in a material per unit mass. The unit for</w:t>
      </w:r>
      <w:r w:rsidR="00CC04F5">
        <w:rPr>
          <w:rFonts w:ascii="Arial" w:hAnsi="Arial" w:cs="Arial"/>
        </w:rPr>
        <w:t xml:space="preserve"> </w:t>
      </w:r>
      <w:r w:rsidRPr="003D1840">
        <w:rPr>
          <w:rFonts w:ascii="Arial" w:hAnsi="Arial" w:cs="Arial"/>
        </w:rPr>
        <w:t xml:space="preserve">absorbed dose is the </w:t>
      </w:r>
      <w:proofErr w:type="spellStart"/>
      <w:r w:rsidRPr="003D1840">
        <w:rPr>
          <w:rFonts w:ascii="Arial" w:hAnsi="Arial" w:cs="Arial"/>
        </w:rPr>
        <w:t>gray</w:t>
      </w:r>
      <w:proofErr w:type="spellEnd"/>
      <w:r w:rsidRPr="003D1840">
        <w:rPr>
          <w:rFonts w:ascii="Arial" w:hAnsi="Arial" w:cs="Arial"/>
        </w:rPr>
        <w:t xml:space="preserve"> (Gy) which is equivalent to J/kg.</w:t>
      </w:r>
    </w:p>
    <w:p w14:paraId="06992B5B" w14:textId="335D5B32" w:rsidR="00342DBC" w:rsidRDefault="00342DBC" w:rsidP="00342DBC">
      <w:pPr>
        <w:ind w:left="2880" w:hanging="2880"/>
        <w:rPr>
          <w:rFonts w:ascii="Arial" w:hAnsi="Arial" w:cs="Arial"/>
        </w:rPr>
      </w:pPr>
      <w:r w:rsidRPr="003D1840">
        <w:rPr>
          <w:rFonts w:ascii="Arial" w:hAnsi="Arial" w:cs="Arial"/>
        </w:rPr>
        <w:t>ALARA</w:t>
      </w:r>
      <w:r>
        <w:rPr>
          <w:rFonts w:ascii="Arial" w:hAnsi="Arial" w:cs="Arial"/>
        </w:rPr>
        <w:tab/>
      </w:r>
      <w:r w:rsidRPr="003D1840">
        <w:rPr>
          <w:rFonts w:ascii="Arial" w:hAnsi="Arial" w:cs="Arial"/>
        </w:rPr>
        <w:t>As low as reasonably achievable. Radiological doses or risks from a source of exposure are as low as reasonably achievable when they are consistent with the relevant dose or target standard and have been reduced to a level that represents a balance between radiological and other factors, including social and economic factors. The level of protection may then be said to be optimised.</w:t>
      </w:r>
    </w:p>
    <w:p w14:paraId="35B1AC59" w14:textId="1D18F63C" w:rsidR="00342DBC" w:rsidRDefault="00342DBC" w:rsidP="00342DBC">
      <w:pPr>
        <w:ind w:left="2880" w:hanging="2880"/>
        <w:rPr>
          <w:rFonts w:ascii="Arial" w:hAnsi="Arial" w:cs="Arial"/>
        </w:rPr>
      </w:pPr>
      <w:r w:rsidRPr="003D1840">
        <w:rPr>
          <w:rFonts w:ascii="Arial" w:hAnsi="Arial" w:cs="Arial"/>
        </w:rPr>
        <w:t>ALARP</w:t>
      </w:r>
      <w:r>
        <w:rPr>
          <w:rFonts w:ascii="Arial" w:hAnsi="Arial" w:cs="Arial"/>
        </w:rPr>
        <w:tab/>
      </w:r>
      <w:r w:rsidRPr="003D1840">
        <w:rPr>
          <w:rFonts w:ascii="Arial" w:hAnsi="Arial" w:cs="Arial"/>
        </w:rPr>
        <w:t>As low as reasonably practicable. To satisfy the ALARP principle, measures necessary to reduce risk must be taken until or unless the cost of those measures, whether in money, time or trouble, is disproportionate to the reduction in risk.</w:t>
      </w:r>
    </w:p>
    <w:p w14:paraId="7B0E3560" w14:textId="7C7E0AB1" w:rsidR="00342DBC" w:rsidRDefault="00342DBC" w:rsidP="00342DBC">
      <w:pPr>
        <w:ind w:left="2880" w:hanging="2880"/>
        <w:rPr>
          <w:rFonts w:ascii="Arial" w:hAnsi="Arial" w:cs="Arial"/>
        </w:rPr>
      </w:pPr>
      <w:r w:rsidRPr="003D1840">
        <w:rPr>
          <w:rFonts w:ascii="Arial" w:hAnsi="Arial" w:cs="Arial"/>
        </w:rPr>
        <w:t>BPM</w:t>
      </w:r>
      <w:r>
        <w:rPr>
          <w:rFonts w:ascii="Arial" w:hAnsi="Arial" w:cs="Arial"/>
        </w:rPr>
        <w:tab/>
      </w:r>
      <w:r w:rsidRPr="003D1840">
        <w:rPr>
          <w:rFonts w:ascii="Arial" w:hAnsi="Arial" w:cs="Arial"/>
        </w:rPr>
        <w:t xml:space="preserve">“Best Practicable Means” - Operators are required to take all reasonable measures in the design and operational management of their facilities, </w:t>
      </w:r>
      <w:proofErr w:type="gramStart"/>
      <w:r w:rsidRPr="003D1840">
        <w:rPr>
          <w:rFonts w:ascii="Arial" w:hAnsi="Arial" w:cs="Arial"/>
        </w:rPr>
        <w:t>in order to</w:t>
      </w:r>
      <w:proofErr w:type="gramEnd"/>
      <w:r w:rsidRPr="003D1840">
        <w:rPr>
          <w:rFonts w:ascii="Arial" w:hAnsi="Arial" w:cs="Arial"/>
        </w:rPr>
        <w:t xml:space="preserve"> minimise discharges and disposal of radioactive waste, and to achieve a high standard of protection for the public and the environment. BPM takes account of availability, costs, operator safety and the benefits of reduced discharges and disposals.</w:t>
      </w:r>
    </w:p>
    <w:p w14:paraId="28DB3D96" w14:textId="1F08D9D7" w:rsidR="00342DBC" w:rsidRDefault="00342DBC" w:rsidP="00342DBC">
      <w:pPr>
        <w:ind w:left="2880" w:hanging="2880"/>
        <w:rPr>
          <w:rFonts w:ascii="Arial" w:hAnsi="Arial" w:cs="Arial"/>
        </w:rPr>
      </w:pPr>
      <w:r w:rsidRPr="003D1840">
        <w:rPr>
          <w:rFonts w:ascii="Arial" w:hAnsi="Arial" w:cs="Arial"/>
        </w:rPr>
        <w:t>Cautious assessment</w:t>
      </w:r>
      <w:r>
        <w:rPr>
          <w:rFonts w:ascii="Arial" w:hAnsi="Arial" w:cs="Arial"/>
        </w:rPr>
        <w:tab/>
      </w:r>
      <w:proofErr w:type="gramStart"/>
      <w:r w:rsidRPr="003D1840">
        <w:rPr>
          <w:rFonts w:ascii="Arial" w:hAnsi="Arial" w:cs="Arial"/>
        </w:rPr>
        <w:t>An</w:t>
      </w:r>
      <w:proofErr w:type="gramEnd"/>
      <w:r w:rsidRPr="003D1840">
        <w:rPr>
          <w:rFonts w:ascii="Arial" w:hAnsi="Arial" w:cs="Arial"/>
        </w:rPr>
        <w:t xml:space="preserve"> assessment of dose which is designed not to underestimate the dose</w:t>
      </w:r>
      <w:r>
        <w:rPr>
          <w:rFonts w:ascii="Arial" w:hAnsi="Arial" w:cs="Arial"/>
        </w:rPr>
        <w:t xml:space="preserve"> </w:t>
      </w:r>
      <w:r w:rsidRPr="003D1840">
        <w:rPr>
          <w:rFonts w:ascii="Arial" w:hAnsi="Arial" w:cs="Arial"/>
        </w:rPr>
        <w:t>received by the representative person. It will normally involve using generic assumptions about locations of people, food production and the habits of people which lead to exposure. See also realistic assessment.</w:t>
      </w:r>
    </w:p>
    <w:p w14:paraId="262BD33A" w14:textId="7615BC6A" w:rsidR="00342DBC" w:rsidRDefault="00342DBC" w:rsidP="00342DBC">
      <w:pPr>
        <w:ind w:left="2880" w:hanging="2880"/>
        <w:rPr>
          <w:rFonts w:ascii="Arial" w:hAnsi="Arial" w:cs="Arial"/>
        </w:rPr>
      </w:pPr>
      <w:r w:rsidRPr="003D1840">
        <w:rPr>
          <w:rFonts w:ascii="Arial" w:hAnsi="Arial" w:cs="Arial"/>
        </w:rPr>
        <w:t>Collective Dose</w:t>
      </w:r>
      <w:r w:rsidRPr="00342DBC">
        <w:rPr>
          <w:rFonts w:ascii="Arial" w:hAnsi="Arial" w:cs="Arial"/>
        </w:rPr>
        <w:t xml:space="preserve"> </w:t>
      </w:r>
      <w:r>
        <w:rPr>
          <w:rFonts w:ascii="Arial" w:hAnsi="Arial" w:cs="Arial"/>
        </w:rPr>
        <w:tab/>
      </w:r>
      <w:r w:rsidRPr="003D1840">
        <w:rPr>
          <w:rFonts w:ascii="Arial" w:hAnsi="Arial" w:cs="Arial"/>
        </w:rPr>
        <w:t xml:space="preserve">The sum of </w:t>
      </w:r>
      <w:proofErr w:type="gramStart"/>
      <w:r w:rsidRPr="003D1840">
        <w:rPr>
          <w:rFonts w:ascii="Arial" w:hAnsi="Arial" w:cs="Arial"/>
        </w:rPr>
        <w:t>all of</w:t>
      </w:r>
      <w:proofErr w:type="gramEnd"/>
      <w:r w:rsidRPr="003D1840">
        <w:rPr>
          <w:rFonts w:ascii="Arial" w:hAnsi="Arial" w:cs="Arial"/>
        </w:rPr>
        <w:t xml:space="preserve"> the individual effective doses to members of the population. If the doses continue for longer than a year, then the annual individual effective doses must also be integrated over time. Unless otherwise specified, the time over which the dose is integrated is infinite; if a finite upper limit is applied to the time </w:t>
      </w:r>
      <w:r w:rsidRPr="003D1840">
        <w:rPr>
          <w:rFonts w:ascii="Arial" w:hAnsi="Arial" w:cs="Arial"/>
        </w:rPr>
        <w:lastRenderedPageBreak/>
        <w:t>integration, the collective dose is described as ‘truncated’ at that time. The special name for the collective dose quantity is the ‘man sievert’.</w:t>
      </w:r>
    </w:p>
    <w:p w14:paraId="440C051E" w14:textId="16F5686E" w:rsidR="00342DBC" w:rsidRDefault="00342DBC" w:rsidP="00342DBC">
      <w:pPr>
        <w:ind w:left="2880" w:hanging="2880"/>
        <w:rPr>
          <w:rFonts w:ascii="Arial" w:hAnsi="Arial" w:cs="Arial"/>
        </w:rPr>
      </w:pPr>
      <w:r w:rsidRPr="003D1840">
        <w:rPr>
          <w:rFonts w:ascii="Arial" w:hAnsi="Arial" w:cs="Arial"/>
        </w:rPr>
        <w:t>Committed Effective Dose</w:t>
      </w:r>
      <w:r>
        <w:rPr>
          <w:rFonts w:ascii="Arial" w:hAnsi="Arial" w:cs="Arial"/>
        </w:rPr>
        <w:tab/>
      </w:r>
      <w:r w:rsidRPr="003D1840">
        <w:rPr>
          <w:rFonts w:ascii="Arial" w:hAnsi="Arial" w:cs="Arial"/>
        </w:rPr>
        <w:t>The sum of the committed equivalent doses for all organs and tissues in the body resulting from an intake (of a radionuclide), having been weighted by their tissue weighting factors. The unit of committed effective dose is the sievert (Sv).</w:t>
      </w:r>
    </w:p>
    <w:p w14:paraId="7BBDE8A6" w14:textId="43E19690" w:rsidR="00342DBC" w:rsidRDefault="00342DBC" w:rsidP="00342DBC">
      <w:pPr>
        <w:ind w:left="2160" w:hanging="2160"/>
        <w:rPr>
          <w:rFonts w:ascii="Arial" w:hAnsi="Arial" w:cs="Arial"/>
        </w:rPr>
      </w:pPr>
      <w:r w:rsidRPr="003D1840">
        <w:rPr>
          <w:rFonts w:ascii="Arial" w:hAnsi="Arial" w:cs="Arial"/>
        </w:rPr>
        <w:t>Committed Equivalent Dose</w:t>
      </w:r>
    </w:p>
    <w:p w14:paraId="57438921" w14:textId="158D1C59" w:rsidR="00342DBC" w:rsidRDefault="00342DBC" w:rsidP="00342DBC">
      <w:pPr>
        <w:ind w:left="2880"/>
        <w:rPr>
          <w:rFonts w:ascii="Arial" w:hAnsi="Arial" w:cs="Arial"/>
        </w:rPr>
      </w:pPr>
      <w:r w:rsidRPr="003D1840">
        <w:rPr>
          <w:rFonts w:ascii="Arial" w:hAnsi="Arial" w:cs="Arial"/>
        </w:rPr>
        <w:t xml:space="preserve">Is the integral of the absorbed dose-rate over time for a tissue or organ, weighted for the type and quality of the radiation by a radiation weighting factor. For adults and </w:t>
      </w:r>
      <w:proofErr w:type="gramStart"/>
      <w:r w:rsidRPr="003D1840">
        <w:rPr>
          <w:rFonts w:ascii="Arial" w:hAnsi="Arial" w:cs="Arial"/>
        </w:rPr>
        <w:t>children</w:t>
      </w:r>
      <w:proofErr w:type="gramEnd"/>
      <w:r w:rsidRPr="003D1840">
        <w:rPr>
          <w:rFonts w:ascii="Arial" w:hAnsi="Arial" w:cs="Arial"/>
        </w:rPr>
        <w:t xml:space="preserve"> the default time integration period is 50 years and 70 years respectively. The unit of committed equivalent dose is the sievert (Sv).</w:t>
      </w:r>
    </w:p>
    <w:p w14:paraId="0C2816C7" w14:textId="1DF106E7" w:rsidR="00342DBC" w:rsidRDefault="00342DBC" w:rsidP="00342DBC">
      <w:pPr>
        <w:ind w:left="2880" w:hanging="2880"/>
        <w:rPr>
          <w:rFonts w:ascii="Arial" w:hAnsi="Arial" w:cs="Arial"/>
        </w:rPr>
      </w:pPr>
      <w:r w:rsidRPr="003D1840">
        <w:rPr>
          <w:rFonts w:ascii="Arial" w:hAnsi="Arial" w:cs="Arial"/>
        </w:rPr>
        <w:t>Direct Radiation</w:t>
      </w:r>
      <w:r>
        <w:rPr>
          <w:rFonts w:ascii="Arial" w:hAnsi="Arial" w:cs="Arial"/>
        </w:rPr>
        <w:tab/>
      </w:r>
      <w:r w:rsidRPr="003D1840">
        <w:rPr>
          <w:rFonts w:ascii="Arial" w:hAnsi="Arial" w:cs="Arial"/>
        </w:rPr>
        <w:t xml:space="preserve">Ionising radiation which arises directly from processes or operations on premises using radioactive substances and not </w:t>
      </w:r>
      <w:proofErr w:type="gramStart"/>
      <w:r w:rsidRPr="003D1840">
        <w:rPr>
          <w:rFonts w:ascii="Arial" w:hAnsi="Arial" w:cs="Arial"/>
        </w:rPr>
        <w:t>as a result of</w:t>
      </w:r>
      <w:proofErr w:type="gramEnd"/>
      <w:r w:rsidRPr="003D1840">
        <w:rPr>
          <w:rFonts w:ascii="Arial" w:hAnsi="Arial" w:cs="Arial"/>
        </w:rPr>
        <w:t xml:space="preserve"> discharges of those substances to the environment.</w:t>
      </w:r>
    </w:p>
    <w:p w14:paraId="4B78530E" w14:textId="4FC22CE5" w:rsidR="00342DBC" w:rsidRDefault="00342DBC" w:rsidP="00342DBC">
      <w:pPr>
        <w:ind w:left="2880" w:hanging="2880"/>
        <w:rPr>
          <w:rFonts w:ascii="Arial" w:hAnsi="Arial" w:cs="Arial"/>
        </w:rPr>
      </w:pPr>
      <w:r w:rsidRPr="003D1840">
        <w:rPr>
          <w:rFonts w:ascii="Arial" w:hAnsi="Arial" w:cs="Arial"/>
        </w:rPr>
        <w:t>Dose</w:t>
      </w:r>
      <w:r>
        <w:rPr>
          <w:rFonts w:ascii="Arial" w:hAnsi="Arial" w:cs="Arial"/>
        </w:rPr>
        <w:tab/>
      </w:r>
      <w:r w:rsidRPr="003D1840">
        <w:rPr>
          <w:rFonts w:ascii="Arial" w:hAnsi="Arial" w:cs="Arial"/>
        </w:rPr>
        <w:t>The quantity calculated for comparison with the annual dose limit; source dose constraint; site dose constraint; threshold of optimisation or ‘dose of no regulatory concern’ is dose. The dose quantity calculated is the sum of the committed effective dose from internal exposure (from intakes of radionuclides into the body) and external dose from radionuclides remaining outside the body. The quantity is for one year’s exposure to external dose and committed dose (over 50 years for adults and to age 70 years for children) from one year’s intake of each radionuclide. In some circumstances, equivalent doses to skin or lens of the eye may be calculated for comparison with the dose limits for skin and lens of the eye.</w:t>
      </w:r>
    </w:p>
    <w:p w14:paraId="3F809754" w14:textId="09FA2B74" w:rsidR="00342DBC" w:rsidRDefault="00342DBC" w:rsidP="00342DBC">
      <w:pPr>
        <w:ind w:left="2880" w:hanging="2880"/>
        <w:rPr>
          <w:rFonts w:ascii="Arial" w:hAnsi="Arial" w:cs="Arial"/>
        </w:rPr>
      </w:pPr>
      <w:r w:rsidRPr="003D1840">
        <w:rPr>
          <w:rFonts w:ascii="Arial" w:hAnsi="Arial" w:cs="Arial"/>
        </w:rPr>
        <w:t>Dose Coefficient</w:t>
      </w:r>
      <w:r>
        <w:rPr>
          <w:rFonts w:ascii="Arial" w:hAnsi="Arial" w:cs="Arial"/>
        </w:rPr>
        <w:tab/>
      </w:r>
      <w:r w:rsidRPr="003D1840">
        <w:rPr>
          <w:rFonts w:ascii="Arial" w:hAnsi="Arial" w:cs="Arial"/>
        </w:rPr>
        <w:t xml:space="preserve">Committed effective dose per unit acute intake. Committed doses are evaluated over 50 years for adults and from intake to age 70 years for children. </w:t>
      </w:r>
      <w:proofErr w:type="gramStart"/>
      <w:r w:rsidRPr="003D1840">
        <w:rPr>
          <w:rFonts w:ascii="Arial" w:hAnsi="Arial" w:cs="Arial"/>
        </w:rPr>
        <w:t>Also</w:t>
      </w:r>
      <w:proofErr w:type="gramEnd"/>
      <w:r w:rsidRPr="003D1840">
        <w:rPr>
          <w:rFonts w:ascii="Arial" w:hAnsi="Arial" w:cs="Arial"/>
        </w:rPr>
        <w:t xml:space="preserve"> effective dose from external irradiation due to unit activity.</w:t>
      </w:r>
    </w:p>
    <w:p w14:paraId="0874C1E9" w14:textId="193683E7" w:rsidR="00342DBC" w:rsidRDefault="00342DBC" w:rsidP="00342DBC">
      <w:pPr>
        <w:ind w:left="2880" w:hanging="2880"/>
        <w:rPr>
          <w:rFonts w:ascii="Arial" w:hAnsi="Arial" w:cs="Arial"/>
        </w:rPr>
      </w:pPr>
      <w:r w:rsidRPr="003D1840">
        <w:rPr>
          <w:rFonts w:ascii="Arial" w:hAnsi="Arial" w:cs="Arial"/>
        </w:rPr>
        <w:lastRenderedPageBreak/>
        <w:t>Dose Constraint</w:t>
      </w:r>
      <w:r>
        <w:rPr>
          <w:rFonts w:ascii="Arial" w:hAnsi="Arial" w:cs="Arial"/>
        </w:rPr>
        <w:tab/>
      </w:r>
      <w:r w:rsidRPr="003D1840">
        <w:rPr>
          <w:rFonts w:ascii="Arial" w:hAnsi="Arial" w:cs="Arial"/>
        </w:rPr>
        <w:t xml:space="preserve">A restriction on annual dose to an individual from a single source or site such that when aggregated with doses from all sources, excluding natural background and medical procedures, the dose limit is not likely to be exceeded. The dose constraint places an upper bound on the outcome of any optimisation study and will therefore limit any inequity which might result from the economic and social judgements inherent in the optimisation process. Source constraints will be set by the Environment Agencies for new sources, the maximum constraint being 0.3mSv/y. A site constraint of 0.5mSv/y has been set by the UK </w:t>
      </w:r>
      <w:proofErr w:type="gramStart"/>
      <w:r w:rsidRPr="003D1840">
        <w:rPr>
          <w:rFonts w:ascii="Arial" w:hAnsi="Arial" w:cs="Arial"/>
        </w:rPr>
        <w:t>Government</w:t>
      </w:r>
      <w:proofErr w:type="gramEnd"/>
      <w:r w:rsidRPr="003D1840">
        <w:rPr>
          <w:rFonts w:ascii="Arial" w:hAnsi="Arial" w:cs="Arial"/>
        </w:rPr>
        <w:t xml:space="preserve"> and this applies to the aggregate exposure from </w:t>
      </w:r>
      <w:proofErr w:type="gramStart"/>
      <w:r w:rsidRPr="003D1840">
        <w:rPr>
          <w:rFonts w:ascii="Arial" w:hAnsi="Arial" w:cs="Arial"/>
        </w:rPr>
        <w:t>a number of</w:t>
      </w:r>
      <w:proofErr w:type="gramEnd"/>
      <w:r w:rsidRPr="003D1840">
        <w:rPr>
          <w:rFonts w:ascii="Arial" w:hAnsi="Arial" w:cs="Arial"/>
        </w:rPr>
        <w:t xml:space="preserve"> sources with contiguous boundaries at a single location, irrespective of whether different sources on the site are owned or operated by the same or by different organisations.</w:t>
      </w:r>
    </w:p>
    <w:p w14:paraId="6305F4FD" w14:textId="31F02E3F" w:rsidR="00342DBC" w:rsidRDefault="00342DBC" w:rsidP="00342DBC">
      <w:pPr>
        <w:ind w:left="2880" w:hanging="2880"/>
        <w:rPr>
          <w:rFonts w:ascii="Arial" w:hAnsi="Arial" w:cs="Arial"/>
        </w:rPr>
      </w:pPr>
      <w:r w:rsidRPr="003D1840">
        <w:rPr>
          <w:rFonts w:ascii="Arial" w:hAnsi="Arial" w:cs="Arial"/>
        </w:rPr>
        <w:t>Dose Limit</w:t>
      </w:r>
      <w:r>
        <w:rPr>
          <w:rFonts w:ascii="Arial" w:hAnsi="Arial" w:cs="Arial"/>
        </w:rPr>
        <w:tab/>
      </w:r>
      <w:r w:rsidRPr="003D1840">
        <w:rPr>
          <w:rFonts w:ascii="Arial" w:hAnsi="Arial" w:cs="Arial"/>
        </w:rPr>
        <w:t>Maximum permissible dose resulting from ionising radiation from practices covered by the Euratom Basic Safety Standards Directive, excluding medical exposures. It applies to the sum of the relevant doses from external exposures in the specified period and the 50 year committed doses (up to age 70 for children) from intakes in the same period. Currently, the limit has been defined as 1mSv/y for the UK.</w:t>
      </w:r>
    </w:p>
    <w:p w14:paraId="547A14D4" w14:textId="7EE22DD4" w:rsidR="00342DBC" w:rsidRDefault="00342DBC" w:rsidP="00342DBC">
      <w:pPr>
        <w:ind w:left="2880" w:hanging="2880"/>
        <w:rPr>
          <w:rFonts w:ascii="Arial" w:hAnsi="Arial" w:cs="Arial"/>
        </w:rPr>
      </w:pPr>
      <w:r w:rsidRPr="003D1840">
        <w:rPr>
          <w:rFonts w:ascii="Arial" w:hAnsi="Arial" w:cs="Arial"/>
        </w:rPr>
        <w:t>Effective Dose</w:t>
      </w:r>
      <w:r>
        <w:rPr>
          <w:rFonts w:ascii="Arial" w:hAnsi="Arial" w:cs="Arial"/>
        </w:rPr>
        <w:tab/>
      </w:r>
      <w:r w:rsidRPr="003D1840">
        <w:rPr>
          <w:rFonts w:ascii="Arial" w:hAnsi="Arial" w:cs="Arial"/>
        </w:rPr>
        <w:t>The sum of the equivalent doses from radiation in all tissue and organs of the body, having been weighted by their tissue weighting factors. The unit of effective dose is the sievert (Sv).</w:t>
      </w:r>
    </w:p>
    <w:p w14:paraId="4A3D6081" w14:textId="249C8B91" w:rsidR="00342DBC" w:rsidRDefault="00342DBC" w:rsidP="00342DBC">
      <w:pPr>
        <w:ind w:left="2880" w:hanging="2880"/>
        <w:rPr>
          <w:rFonts w:ascii="Arial" w:hAnsi="Arial" w:cs="Arial"/>
        </w:rPr>
      </w:pPr>
      <w:r w:rsidRPr="003D1840">
        <w:rPr>
          <w:rFonts w:ascii="Arial" w:hAnsi="Arial" w:cs="Arial"/>
        </w:rPr>
        <w:t>Equivalent Dose</w:t>
      </w:r>
      <w:r>
        <w:rPr>
          <w:rFonts w:ascii="Arial" w:hAnsi="Arial" w:cs="Arial"/>
        </w:rPr>
        <w:tab/>
      </w:r>
      <w:r w:rsidRPr="003D1840">
        <w:rPr>
          <w:rFonts w:ascii="Arial" w:hAnsi="Arial" w:cs="Arial"/>
        </w:rPr>
        <w:t>Is the absorbed dose in a tissue or organ, weighted for the type and quality of the radiation by a radiation weighting factor. The unit of equivalent dose is the sievert (Sv).</w:t>
      </w:r>
    </w:p>
    <w:p w14:paraId="1D1CB88D" w14:textId="65F0439F" w:rsidR="00342DBC" w:rsidRDefault="00AB47E4" w:rsidP="00342DBC">
      <w:pPr>
        <w:ind w:left="2880" w:hanging="2880"/>
      </w:pPr>
      <w:r w:rsidRPr="003D1840">
        <w:rPr>
          <w:rFonts w:ascii="Arial" w:hAnsi="Arial" w:cs="Arial"/>
        </w:rPr>
        <w:t>Nuclear Site</w:t>
      </w:r>
      <w:r>
        <w:rPr>
          <w:rFonts w:ascii="Arial" w:hAnsi="Arial" w:cs="Arial"/>
        </w:rPr>
        <w:tab/>
      </w:r>
      <w:r w:rsidRPr="003D1840">
        <w:rPr>
          <w:rFonts w:ascii="Arial" w:hAnsi="Arial" w:cs="Arial"/>
        </w:rPr>
        <w:t>A site licensed by the Office for Nuclear Regulation – ONR - (formerly the Nuclear Installations Inspectorate) under the Nuclear Installations Act 1965 and Nuclear Installations Regulations 1971.</w:t>
      </w:r>
    </w:p>
    <w:p w14:paraId="79D35D7F" w14:textId="1A3458D5" w:rsidR="00342DBC" w:rsidRDefault="00AB47E4" w:rsidP="00342DBC">
      <w:pPr>
        <w:ind w:left="2880" w:hanging="2880"/>
        <w:rPr>
          <w:rFonts w:ascii="Arial" w:hAnsi="Arial" w:cs="Arial"/>
        </w:rPr>
      </w:pPr>
      <w:r w:rsidRPr="003D1840">
        <w:rPr>
          <w:rFonts w:ascii="Arial" w:hAnsi="Arial" w:cs="Arial"/>
        </w:rPr>
        <w:t>Planned Exposure Situation</w:t>
      </w:r>
    </w:p>
    <w:p w14:paraId="79D6E201" w14:textId="68AB4A33" w:rsidR="00AB47E4" w:rsidRDefault="00AB47E4" w:rsidP="00342DBC">
      <w:pPr>
        <w:ind w:left="2880" w:hanging="2880"/>
        <w:rPr>
          <w:rFonts w:ascii="Arial" w:hAnsi="Arial" w:cs="Arial"/>
        </w:rPr>
      </w:pPr>
      <w:r>
        <w:lastRenderedPageBreak/>
        <w:tab/>
      </w:r>
      <w:r w:rsidRPr="003D1840">
        <w:rPr>
          <w:rFonts w:ascii="Arial" w:hAnsi="Arial" w:cs="Arial"/>
        </w:rPr>
        <w:t>Everyday situations involving the planned operation of sources including decommissioning, disposal of radioactive waste and rehabilitation of the previously occupied land. Practices in operation are planned exposure situations. Planned exposure situations may give rise both to exposures that are anticipated (normal exposures) or not anticipated to occur (potential exposures).</w:t>
      </w:r>
    </w:p>
    <w:p w14:paraId="3694B62A" w14:textId="303F928D" w:rsidR="00AB47E4" w:rsidRDefault="00AB47E4" w:rsidP="00342DBC">
      <w:pPr>
        <w:ind w:left="2880" w:hanging="2880"/>
        <w:rPr>
          <w:rFonts w:ascii="Arial" w:hAnsi="Arial" w:cs="Arial"/>
        </w:rPr>
      </w:pPr>
      <w:r w:rsidRPr="003D1840">
        <w:rPr>
          <w:rFonts w:ascii="Arial" w:hAnsi="Arial" w:cs="Arial"/>
        </w:rPr>
        <w:t>Practice</w:t>
      </w:r>
      <w:r>
        <w:rPr>
          <w:rFonts w:ascii="Arial" w:hAnsi="Arial" w:cs="Arial"/>
        </w:rPr>
        <w:tab/>
      </w:r>
      <w:r w:rsidRPr="003D1840">
        <w:rPr>
          <w:rFonts w:ascii="Arial" w:hAnsi="Arial" w:cs="Arial"/>
        </w:rPr>
        <w:t>Human activity which can increase the exposure of people to radiation. Practices can be activities such as a business, trade, industry or any other productive activity; it can also be a government undertaking, or a charity.</w:t>
      </w:r>
    </w:p>
    <w:p w14:paraId="6D72B53F" w14:textId="6C33C798" w:rsidR="00AB47E4" w:rsidRDefault="00AB47E4" w:rsidP="00342DBC">
      <w:pPr>
        <w:ind w:left="2880" w:hanging="2880"/>
      </w:pPr>
      <w:r w:rsidRPr="003D1840">
        <w:rPr>
          <w:rFonts w:ascii="Arial" w:hAnsi="Arial" w:cs="Arial"/>
        </w:rPr>
        <w:t>Prospective Assessment</w:t>
      </w:r>
      <w:r>
        <w:rPr>
          <w:rFonts w:ascii="Arial" w:hAnsi="Arial" w:cs="Arial"/>
        </w:rPr>
        <w:tab/>
      </w:r>
      <w:r w:rsidRPr="003D1840">
        <w:rPr>
          <w:rFonts w:ascii="Arial" w:hAnsi="Arial" w:cs="Arial"/>
        </w:rPr>
        <w:t>Estimation of the doses that may be received by a representative person from future sources of radiation.</w:t>
      </w:r>
    </w:p>
    <w:p w14:paraId="6CC05B5D" w14:textId="38F7EF07" w:rsidR="00AB47E4" w:rsidRDefault="00AB47E4" w:rsidP="00342DBC">
      <w:pPr>
        <w:ind w:left="2880" w:hanging="2880"/>
        <w:rPr>
          <w:rFonts w:ascii="Arial" w:hAnsi="Arial" w:cs="Arial"/>
        </w:rPr>
      </w:pPr>
      <w:r w:rsidRPr="003D1840">
        <w:rPr>
          <w:rFonts w:ascii="Arial" w:hAnsi="Arial" w:cs="Arial"/>
        </w:rPr>
        <w:t>Radiation Weighting Factor</w:t>
      </w:r>
      <w:r>
        <w:rPr>
          <w:rFonts w:ascii="Arial" w:hAnsi="Arial" w:cs="Arial"/>
        </w:rPr>
        <w:t xml:space="preserve"> </w:t>
      </w:r>
    </w:p>
    <w:p w14:paraId="12EBBE7F" w14:textId="503424B3" w:rsidR="00AB47E4" w:rsidRDefault="00AB47E4" w:rsidP="00342DBC">
      <w:pPr>
        <w:ind w:left="2880" w:hanging="2880"/>
        <w:rPr>
          <w:rFonts w:ascii="Arial" w:hAnsi="Arial" w:cs="Arial"/>
        </w:rPr>
      </w:pPr>
      <w:r>
        <w:rPr>
          <w:rFonts w:ascii="Arial" w:hAnsi="Arial" w:cs="Arial"/>
        </w:rPr>
        <w:tab/>
      </w:r>
      <w:r w:rsidRPr="003D1840">
        <w:rPr>
          <w:rFonts w:ascii="Arial" w:hAnsi="Arial" w:cs="Arial"/>
        </w:rPr>
        <w:t>Factor used to weight the tissue or organ absorbed dose to take account of the type and quality of the radiation. Example radiation weighting factors: alpha particles = 20; beta particles = 1; photons = 1.</w:t>
      </w:r>
    </w:p>
    <w:p w14:paraId="2F02DD90" w14:textId="54E1F25D" w:rsidR="00AB47E4" w:rsidRDefault="00AB47E4" w:rsidP="00342DBC">
      <w:pPr>
        <w:ind w:left="2880" w:hanging="2880"/>
        <w:rPr>
          <w:rFonts w:ascii="Arial" w:hAnsi="Arial" w:cs="Arial"/>
        </w:rPr>
      </w:pPr>
      <w:r w:rsidRPr="003D1840">
        <w:rPr>
          <w:rFonts w:ascii="Arial" w:hAnsi="Arial" w:cs="Arial"/>
        </w:rPr>
        <w:t>Radioactive Waste</w:t>
      </w:r>
      <w:r>
        <w:rPr>
          <w:rFonts w:ascii="Arial" w:hAnsi="Arial" w:cs="Arial"/>
        </w:rPr>
        <w:tab/>
      </w:r>
      <w:r w:rsidRPr="003D1840">
        <w:rPr>
          <w:rFonts w:ascii="Arial" w:hAnsi="Arial" w:cs="Arial"/>
        </w:rPr>
        <w:t>Legal definitions of radioactive material and radioactive wastes are contained in Schedule 8 of EASR</w:t>
      </w:r>
      <w:r>
        <w:rPr>
          <w:rFonts w:ascii="Arial" w:hAnsi="Arial" w:cs="Arial"/>
        </w:rPr>
        <w:t>.</w:t>
      </w:r>
    </w:p>
    <w:p w14:paraId="7375D3E3" w14:textId="4D4F252C" w:rsidR="00AB47E4" w:rsidRDefault="00AB47E4" w:rsidP="00342DBC">
      <w:pPr>
        <w:ind w:left="2880" w:hanging="2880"/>
        <w:rPr>
          <w:rFonts w:ascii="Arial" w:hAnsi="Arial" w:cs="Arial"/>
        </w:rPr>
      </w:pPr>
      <w:r w:rsidRPr="003D1840">
        <w:rPr>
          <w:rFonts w:ascii="Arial" w:hAnsi="Arial" w:cs="Arial"/>
        </w:rPr>
        <w:t>Realistic assessment</w:t>
      </w:r>
      <w:r>
        <w:rPr>
          <w:rFonts w:ascii="Arial" w:hAnsi="Arial" w:cs="Arial"/>
        </w:rPr>
        <w:tab/>
      </w:r>
      <w:proofErr w:type="gramStart"/>
      <w:r w:rsidRPr="003D1840">
        <w:rPr>
          <w:rFonts w:ascii="Arial" w:hAnsi="Arial" w:cs="Arial"/>
        </w:rPr>
        <w:t>An</w:t>
      </w:r>
      <w:proofErr w:type="gramEnd"/>
      <w:r w:rsidRPr="003D1840">
        <w:rPr>
          <w:rFonts w:ascii="Arial" w:hAnsi="Arial" w:cs="Arial"/>
        </w:rPr>
        <w:t xml:space="preserve"> assessment of dose which is designed to provide a best estimate of the dose received by the representative person. However, for prospective assessments, the dose should not be underestimated. It will normally involve using site specific information on the location of people, food production and the habits of people which lead to exposure. See also cautious assessment.</w:t>
      </w:r>
    </w:p>
    <w:p w14:paraId="186DD026" w14:textId="03B9D575" w:rsidR="00AB47E4" w:rsidRDefault="00AB47E4" w:rsidP="00342DBC">
      <w:pPr>
        <w:ind w:left="2880" w:hanging="2880"/>
        <w:rPr>
          <w:rFonts w:ascii="Arial" w:hAnsi="Arial" w:cs="Arial"/>
        </w:rPr>
      </w:pPr>
      <w:r w:rsidRPr="003D1840">
        <w:rPr>
          <w:rFonts w:ascii="Arial" w:hAnsi="Arial" w:cs="Arial"/>
        </w:rPr>
        <w:t>Representative person</w:t>
      </w:r>
      <w:r>
        <w:rPr>
          <w:rFonts w:ascii="Arial" w:hAnsi="Arial" w:cs="Arial"/>
        </w:rPr>
        <w:tab/>
      </w:r>
      <w:proofErr w:type="gramStart"/>
      <w:r w:rsidRPr="003D1840">
        <w:rPr>
          <w:rFonts w:ascii="Arial" w:hAnsi="Arial" w:cs="Arial"/>
        </w:rPr>
        <w:t>An</w:t>
      </w:r>
      <w:proofErr w:type="gramEnd"/>
      <w:r w:rsidRPr="003D1840">
        <w:rPr>
          <w:rFonts w:ascii="Arial" w:hAnsi="Arial" w:cs="Arial"/>
        </w:rPr>
        <w:t xml:space="preserve"> individual receiving a dose that is representative of the more highly exposed individuals in the population. This term is equivalent to, and replaces, ‘average member of the critical group’.</w:t>
      </w:r>
    </w:p>
    <w:p w14:paraId="7C5E17C0" w14:textId="2AC9790D" w:rsidR="00AB47E4" w:rsidRDefault="00AB47E4" w:rsidP="00342DBC">
      <w:pPr>
        <w:ind w:left="2880" w:hanging="2880"/>
        <w:rPr>
          <w:rFonts w:ascii="Arial" w:hAnsi="Arial" w:cs="Arial"/>
        </w:rPr>
      </w:pPr>
      <w:r w:rsidRPr="003D1840">
        <w:rPr>
          <w:rFonts w:ascii="Arial" w:hAnsi="Arial" w:cs="Arial"/>
        </w:rPr>
        <w:t>Retrospective Assessment</w:t>
      </w:r>
    </w:p>
    <w:p w14:paraId="3BA94D04" w14:textId="3552F6BA" w:rsidR="0025709E" w:rsidRDefault="0025709E" w:rsidP="00342DBC">
      <w:pPr>
        <w:ind w:left="2880" w:hanging="2880"/>
        <w:rPr>
          <w:rFonts w:ascii="Arial" w:hAnsi="Arial" w:cs="Arial"/>
        </w:rPr>
      </w:pPr>
      <w:r>
        <w:rPr>
          <w:rFonts w:ascii="Arial" w:hAnsi="Arial" w:cs="Arial"/>
        </w:rPr>
        <w:tab/>
      </w:r>
      <w:r w:rsidRPr="003D1840">
        <w:rPr>
          <w:rFonts w:ascii="Arial" w:hAnsi="Arial" w:cs="Arial"/>
        </w:rPr>
        <w:t xml:space="preserve">Calculation of doses that have </w:t>
      </w:r>
      <w:proofErr w:type="gramStart"/>
      <w:r w:rsidRPr="003D1840">
        <w:rPr>
          <w:rFonts w:ascii="Arial" w:hAnsi="Arial" w:cs="Arial"/>
        </w:rPr>
        <w:t>actually been</w:t>
      </w:r>
      <w:proofErr w:type="gramEnd"/>
      <w:r w:rsidRPr="003D1840">
        <w:rPr>
          <w:rFonts w:ascii="Arial" w:hAnsi="Arial" w:cs="Arial"/>
        </w:rPr>
        <w:t xml:space="preserve"> received by the representative person group.</w:t>
      </w:r>
    </w:p>
    <w:p w14:paraId="2830D615" w14:textId="276A96F6" w:rsidR="0025709E" w:rsidRDefault="0025709E" w:rsidP="00342DBC">
      <w:pPr>
        <w:ind w:left="2880" w:hanging="2880"/>
        <w:rPr>
          <w:rFonts w:ascii="Arial" w:hAnsi="Arial" w:cs="Arial"/>
        </w:rPr>
      </w:pPr>
      <w:r w:rsidRPr="003D1840">
        <w:rPr>
          <w:rFonts w:ascii="Arial" w:hAnsi="Arial" w:cs="Arial"/>
        </w:rPr>
        <w:lastRenderedPageBreak/>
        <w:t>Source</w:t>
      </w:r>
      <w:r>
        <w:rPr>
          <w:rFonts w:ascii="Arial" w:hAnsi="Arial" w:cs="Arial"/>
        </w:rPr>
        <w:tab/>
      </w:r>
      <w:r w:rsidRPr="003D1840">
        <w:rPr>
          <w:rFonts w:ascii="Arial" w:hAnsi="Arial" w:cs="Arial"/>
        </w:rPr>
        <w:t>A facility, or group of facilities, which can be optimised as an integral whole in terms of radioactive waste disposals (e.g. an individual hospital with a nuclear medicine department or an individual nuclear power station).</w:t>
      </w:r>
    </w:p>
    <w:p w14:paraId="3D55F0F9" w14:textId="6BBD630E" w:rsidR="00AB47E4" w:rsidRPr="00342DBC" w:rsidRDefault="0025709E" w:rsidP="0025709E">
      <w:pPr>
        <w:ind w:left="2880" w:hanging="2880"/>
      </w:pPr>
      <w:r w:rsidRPr="003D1840">
        <w:rPr>
          <w:rFonts w:ascii="Arial" w:hAnsi="Arial" w:cs="Arial"/>
        </w:rPr>
        <w:t>Tissue Weighting Factors</w:t>
      </w:r>
      <w:r>
        <w:rPr>
          <w:rFonts w:ascii="Arial" w:hAnsi="Arial" w:cs="Arial"/>
        </w:rPr>
        <w:tab/>
      </w:r>
      <w:r w:rsidRPr="003D1840">
        <w:rPr>
          <w:rFonts w:ascii="Arial" w:hAnsi="Arial" w:cs="Arial"/>
        </w:rPr>
        <w:t>Factor used to weight the equivalent dose in a tissue or organ to take account of the different radiosensitivity of each tissue and organ. Example tissue weighting factors: lung= 0.12; bone marrow= 0.12; skin= 0.01.</w:t>
      </w:r>
    </w:p>
    <w:p w14:paraId="7A4CBD83" w14:textId="77777777" w:rsidR="003D1840" w:rsidRDefault="003D1840" w:rsidP="003D1840">
      <w:pPr>
        <w:pStyle w:val="Heading1"/>
        <w:pageBreakBefore/>
      </w:pPr>
      <w:bookmarkStart w:id="65" w:name="_Toc25569871"/>
      <w:bookmarkStart w:id="66" w:name="_Toc227317402"/>
      <w:r>
        <w:lastRenderedPageBreak/>
        <w:t>List of abbreviations</w:t>
      </w:r>
      <w:bookmarkEnd w:id="65"/>
      <w:bookmarkEnd w:id="66"/>
    </w:p>
    <w:p w14:paraId="17E5FB27" w14:textId="38C8C398" w:rsidR="003A32AB" w:rsidRDefault="003A32AB" w:rsidP="003A32AB">
      <w:r w:rsidRPr="003D1840">
        <w:rPr>
          <w:rFonts w:cstheme="minorHAnsi"/>
        </w:rPr>
        <w:t>AGR</w:t>
      </w:r>
      <w:r>
        <w:rPr>
          <w:rFonts w:cstheme="minorHAnsi"/>
        </w:rPr>
        <w:tab/>
      </w:r>
      <w:r>
        <w:rPr>
          <w:rFonts w:cstheme="minorHAnsi"/>
        </w:rPr>
        <w:tab/>
      </w:r>
      <w:r w:rsidRPr="003D1840">
        <w:rPr>
          <w:rFonts w:cstheme="minorHAnsi"/>
        </w:rPr>
        <w:t>Advanced Gas-Cooled Reactor</w:t>
      </w:r>
    </w:p>
    <w:p w14:paraId="03654921" w14:textId="3F937E98" w:rsidR="003A32AB" w:rsidRDefault="003A32AB" w:rsidP="003A32AB">
      <w:pPr>
        <w:rPr>
          <w:rFonts w:cstheme="minorHAnsi"/>
        </w:rPr>
      </w:pPr>
      <w:r w:rsidRPr="003D1840">
        <w:rPr>
          <w:rFonts w:cstheme="minorHAnsi"/>
        </w:rPr>
        <w:t>ALARA</w:t>
      </w:r>
      <w:r w:rsidRPr="003A32AB">
        <w:rPr>
          <w:rFonts w:cstheme="minorHAnsi"/>
        </w:rPr>
        <w:t xml:space="preserve"> </w:t>
      </w:r>
      <w:r>
        <w:rPr>
          <w:rFonts w:cstheme="minorHAnsi"/>
        </w:rPr>
        <w:tab/>
      </w:r>
      <w:r w:rsidRPr="003D1840">
        <w:rPr>
          <w:rFonts w:cstheme="minorHAnsi"/>
        </w:rPr>
        <w:t xml:space="preserve">As Low </w:t>
      </w:r>
      <w:proofErr w:type="gramStart"/>
      <w:r w:rsidRPr="003D1840">
        <w:rPr>
          <w:rFonts w:cstheme="minorHAnsi"/>
        </w:rPr>
        <w:t>As</w:t>
      </w:r>
      <w:proofErr w:type="gramEnd"/>
      <w:r w:rsidRPr="003D1840">
        <w:rPr>
          <w:rFonts w:cstheme="minorHAnsi"/>
        </w:rPr>
        <w:t xml:space="preserve"> Reasonably Achievable</w:t>
      </w:r>
    </w:p>
    <w:p w14:paraId="1731FAB9" w14:textId="6495F91D" w:rsidR="003A32AB" w:rsidRDefault="003A32AB" w:rsidP="003A32AB">
      <w:pPr>
        <w:rPr>
          <w:rFonts w:cstheme="minorHAnsi"/>
        </w:rPr>
      </w:pPr>
      <w:r w:rsidRPr="003D1840">
        <w:rPr>
          <w:rFonts w:cstheme="minorHAnsi"/>
        </w:rPr>
        <w:t>ALARP</w:t>
      </w:r>
      <w:r>
        <w:rPr>
          <w:rFonts w:cstheme="minorHAnsi"/>
        </w:rPr>
        <w:tab/>
      </w:r>
      <w:r w:rsidRPr="003D1840">
        <w:rPr>
          <w:rFonts w:cstheme="minorHAnsi"/>
        </w:rPr>
        <w:t xml:space="preserve">As Low </w:t>
      </w:r>
      <w:proofErr w:type="gramStart"/>
      <w:r w:rsidRPr="003D1840">
        <w:rPr>
          <w:rFonts w:cstheme="minorHAnsi"/>
        </w:rPr>
        <w:t>As</w:t>
      </w:r>
      <w:proofErr w:type="gramEnd"/>
      <w:r w:rsidRPr="003D1840">
        <w:rPr>
          <w:rFonts w:cstheme="minorHAnsi"/>
        </w:rPr>
        <w:t xml:space="preserve"> Reasonably Practicable</w:t>
      </w:r>
    </w:p>
    <w:p w14:paraId="1B0F4CDA" w14:textId="62EC5219" w:rsidR="003A32AB" w:rsidRDefault="003A32AB" w:rsidP="003A32AB">
      <w:pPr>
        <w:rPr>
          <w:rFonts w:cstheme="minorHAnsi"/>
        </w:rPr>
      </w:pPr>
      <w:r w:rsidRPr="003D1840">
        <w:rPr>
          <w:rFonts w:cstheme="minorHAnsi"/>
        </w:rPr>
        <w:t>BPM</w:t>
      </w:r>
      <w:r>
        <w:rPr>
          <w:rFonts w:cstheme="minorHAnsi"/>
        </w:rPr>
        <w:tab/>
      </w:r>
      <w:r>
        <w:rPr>
          <w:rFonts w:cstheme="minorHAnsi"/>
        </w:rPr>
        <w:tab/>
      </w:r>
      <w:r w:rsidRPr="003D1840">
        <w:rPr>
          <w:rFonts w:cstheme="minorHAnsi"/>
        </w:rPr>
        <w:t>Best Practicable Means</w:t>
      </w:r>
    </w:p>
    <w:p w14:paraId="50F4AE06" w14:textId="159F08EE" w:rsidR="003A32AB" w:rsidRDefault="003A32AB" w:rsidP="003A32AB">
      <w:pPr>
        <w:rPr>
          <w:rFonts w:cstheme="minorHAnsi"/>
        </w:rPr>
      </w:pPr>
      <w:r w:rsidRPr="003D1840">
        <w:rPr>
          <w:rFonts w:cstheme="minorHAnsi"/>
        </w:rPr>
        <w:t>CEDA</w:t>
      </w:r>
      <w:r w:rsidRPr="003A32AB">
        <w:rPr>
          <w:rFonts w:cstheme="minorHAnsi"/>
        </w:rPr>
        <w:t xml:space="preserve"> </w:t>
      </w:r>
      <w:r>
        <w:rPr>
          <w:rFonts w:cstheme="minorHAnsi"/>
        </w:rPr>
        <w:tab/>
      </w:r>
      <w:r w:rsidRPr="003D1840">
        <w:rPr>
          <w:rFonts w:cstheme="minorHAnsi"/>
        </w:rPr>
        <w:t>Consultative Exercise on Dose Assessment</w:t>
      </w:r>
    </w:p>
    <w:p w14:paraId="028333F2" w14:textId="042153F0" w:rsidR="003A32AB" w:rsidRDefault="003A32AB" w:rsidP="003A32AB">
      <w:pPr>
        <w:rPr>
          <w:rFonts w:cstheme="minorHAnsi"/>
        </w:rPr>
      </w:pPr>
      <w:r w:rsidRPr="003D1840">
        <w:rPr>
          <w:rFonts w:cstheme="minorHAnsi"/>
        </w:rPr>
        <w:t>CEFAS</w:t>
      </w:r>
      <w:r>
        <w:rPr>
          <w:rFonts w:cstheme="minorHAnsi"/>
        </w:rPr>
        <w:tab/>
      </w:r>
      <w:r w:rsidRPr="003D1840">
        <w:rPr>
          <w:rFonts w:cstheme="minorHAnsi"/>
        </w:rPr>
        <w:t>Centre for Environment, Fisheries and Aquaculture Science</w:t>
      </w:r>
    </w:p>
    <w:p w14:paraId="23D7ACE4" w14:textId="33466C9A" w:rsidR="003A32AB" w:rsidRDefault="003A32AB" w:rsidP="003A32AB">
      <w:pPr>
        <w:rPr>
          <w:rFonts w:cstheme="minorHAnsi"/>
        </w:rPr>
      </w:pPr>
      <w:r w:rsidRPr="003D1840">
        <w:rPr>
          <w:rFonts w:cstheme="minorHAnsi"/>
        </w:rPr>
        <w:t>COMARE</w:t>
      </w:r>
      <w:r>
        <w:rPr>
          <w:rFonts w:cstheme="minorHAnsi"/>
        </w:rPr>
        <w:tab/>
      </w:r>
      <w:r w:rsidRPr="003D1840">
        <w:rPr>
          <w:rFonts w:cstheme="minorHAnsi"/>
        </w:rPr>
        <w:t>Committee on Medical Aspects of Radiation in the Environment</w:t>
      </w:r>
    </w:p>
    <w:p w14:paraId="264D8701" w14:textId="4D08A597" w:rsidR="003A32AB" w:rsidRDefault="003A32AB" w:rsidP="003A32AB">
      <w:pPr>
        <w:rPr>
          <w:rFonts w:cstheme="minorHAnsi"/>
        </w:rPr>
      </w:pPr>
      <w:proofErr w:type="spellStart"/>
      <w:r w:rsidRPr="003D1840">
        <w:rPr>
          <w:rFonts w:cstheme="minorHAnsi"/>
        </w:rPr>
        <w:t>CoRWM</w:t>
      </w:r>
      <w:proofErr w:type="spellEnd"/>
      <w:r>
        <w:rPr>
          <w:rFonts w:cstheme="minorHAnsi"/>
        </w:rPr>
        <w:tab/>
      </w:r>
      <w:r w:rsidRPr="003D1840">
        <w:rPr>
          <w:rFonts w:cstheme="minorHAnsi"/>
        </w:rPr>
        <w:t>Committee on Radioactive Waste Management</w:t>
      </w:r>
    </w:p>
    <w:p w14:paraId="6312F5AF" w14:textId="5593D2C7" w:rsidR="003A32AB" w:rsidRDefault="003A32AB" w:rsidP="003A32AB">
      <w:pPr>
        <w:rPr>
          <w:rFonts w:cstheme="minorHAnsi"/>
        </w:rPr>
      </w:pPr>
      <w:r w:rsidRPr="003D1840">
        <w:rPr>
          <w:rFonts w:cstheme="minorHAnsi"/>
        </w:rPr>
        <w:t>DEFRA</w:t>
      </w:r>
      <w:r>
        <w:rPr>
          <w:rFonts w:cstheme="minorHAnsi"/>
        </w:rPr>
        <w:tab/>
      </w:r>
      <w:r w:rsidRPr="003D1840">
        <w:rPr>
          <w:rFonts w:cstheme="minorHAnsi"/>
        </w:rPr>
        <w:t>Department for Environment, Food and Rural Affairs</w:t>
      </w:r>
    </w:p>
    <w:p w14:paraId="64EC8579" w14:textId="3B3A24B8" w:rsidR="003A32AB" w:rsidRDefault="003A32AB" w:rsidP="003A32AB">
      <w:pPr>
        <w:ind w:left="1440" w:hanging="1440"/>
        <w:rPr>
          <w:rFonts w:cstheme="minorHAnsi"/>
        </w:rPr>
      </w:pPr>
      <w:r w:rsidRPr="003D1840">
        <w:rPr>
          <w:rFonts w:cstheme="minorHAnsi"/>
        </w:rPr>
        <w:t>DETR</w:t>
      </w:r>
      <w:r>
        <w:rPr>
          <w:rFonts w:cstheme="minorHAnsi"/>
        </w:rPr>
        <w:tab/>
      </w:r>
      <w:r w:rsidRPr="003D1840">
        <w:rPr>
          <w:rFonts w:cstheme="minorHAnsi"/>
        </w:rPr>
        <w:t>Department of the Environment, Transport and the Regions (responsibility for the environment has now passed to DEFRA)</w:t>
      </w:r>
    </w:p>
    <w:p w14:paraId="25E19C4B" w14:textId="55F0E1C5" w:rsidR="003A32AB" w:rsidRDefault="003A32AB" w:rsidP="003A32AB">
      <w:pPr>
        <w:rPr>
          <w:rFonts w:cstheme="minorHAnsi"/>
        </w:rPr>
      </w:pPr>
      <w:r w:rsidRPr="003D1840">
        <w:rPr>
          <w:rFonts w:cstheme="minorHAnsi"/>
        </w:rPr>
        <w:t>EASR</w:t>
      </w:r>
      <w:r>
        <w:rPr>
          <w:rFonts w:cstheme="minorHAnsi"/>
        </w:rPr>
        <w:tab/>
      </w:r>
      <w:r>
        <w:rPr>
          <w:rFonts w:cstheme="minorHAnsi"/>
        </w:rPr>
        <w:tab/>
      </w:r>
      <w:r w:rsidRPr="003D1840">
        <w:rPr>
          <w:rFonts w:cstheme="minorHAnsi"/>
        </w:rPr>
        <w:t>Environmental Authorisations (Scotland) Regulations 2018</w:t>
      </w:r>
    </w:p>
    <w:p w14:paraId="334B910F" w14:textId="6299CEC5" w:rsidR="003A32AB" w:rsidRDefault="003A32AB" w:rsidP="003A32AB">
      <w:pPr>
        <w:rPr>
          <w:rFonts w:cstheme="minorHAnsi"/>
        </w:rPr>
      </w:pPr>
      <w:r w:rsidRPr="003D1840">
        <w:rPr>
          <w:rFonts w:cstheme="minorHAnsi"/>
        </w:rPr>
        <w:t>FSS</w:t>
      </w:r>
      <w:r>
        <w:rPr>
          <w:rFonts w:cstheme="minorHAnsi"/>
        </w:rPr>
        <w:tab/>
      </w:r>
      <w:r>
        <w:rPr>
          <w:rFonts w:cstheme="minorHAnsi"/>
        </w:rPr>
        <w:tab/>
      </w:r>
      <w:r w:rsidRPr="003D1840">
        <w:rPr>
          <w:rFonts w:cstheme="minorHAnsi"/>
        </w:rPr>
        <w:t>Food Standards Scotland</w:t>
      </w:r>
    </w:p>
    <w:p w14:paraId="76A2D3E9" w14:textId="482ADE89" w:rsidR="003A32AB" w:rsidRDefault="003A32AB" w:rsidP="003A32AB">
      <w:pPr>
        <w:rPr>
          <w:rFonts w:cstheme="minorHAnsi"/>
        </w:rPr>
      </w:pPr>
      <w:r w:rsidRPr="003D1840">
        <w:rPr>
          <w:rFonts w:cstheme="minorHAnsi"/>
        </w:rPr>
        <w:t>GDC</w:t>
      </w:r>
      <w:r>
        <w:rPr>
          <w:rFonts w:cstheme="minorHAnsi"/>
        </w:rPr>
        <w:tab/>
      </w:r>
      <w:r>
        <w:rPr>
          <w:rFonts w:cstheme="minorHAnsi"/>
        </w:rPr>
        <w:tab/>
      </w:r>
      <w:r w:rsidRPr="003D1840">
        <w:rPr>
          <w:rFonts w:cstheme="minorHAnsi"/>
        </w:rPr>
        <w:t>Generalised Derived Constraints</w:t>
      </w:r>
    </w:p>
    <w:p w14:paraId="37105BEF" w14:textId="2318A651" w:rsidR="003A32AB" w:rsidRDefault="00342DBC" w:rsidP="003A32AB">
      <w:r w:rsidRPr="003D1840">
        <w:rPr>
          <w:rFonts w:cstheme="minorHAnsi"/>
        </w:rPr>
        <w:t>HEPA</w:t>
      </w:r>
      <w:r>
        <w:rPr>
          <w:rFonts w:cstheme="minorHAnsi"/>
        </w:rPr>
        <w:tab/>
      </w:r>
      <w:r>
        <w:rPr>
          <w:rFonts w:cstheme="minorHAnsi"/>
        </w:rPr>
        <w:tab/>
      </w:r>
      <w:r w:rsidRPr="003D1840">
        <w:rPr>
          <w:rFonts w:cstheme="minorHAnsi"/>
        </w:rPr>
        <w:t>High Efficiency Particulate Air</w:t>
      </w:r>
    </w:p>
    <w:p w14:paraId="0B468018" w14:textId="076A0C91" w:rsidR="00342DBC" w:rsidRDefault="00342DBC" w:rsidP="003A32AB">
      <w:r w:rsidRPr="003D1840">
        <w:rPr>
          <w:rFonts w:cstheme="minorHAnsi"/>
        </w:rPr>
        <w:t>HPA</w:t>
      </w:r>
      <w:r>
        <w:rPr>
          <w:rFonts w:cstheme="minorHAnsi"/>
        </w:rPr>
        <w:tab/>
      </w:r>
      <w:r>
        <w:rPr>
          <w:rFonts w:cstheme="minorHAnsi"/>
        </w:rPr>
        <w:tab/>
      </w:r>
      <w:r w:rsidRPr="003D1840">
        <w:rPr>
          <w:rFonts w:cstheme="minorHAnsi"/>
        </w:rPr>
        <w:t>Health Protection Agency (including the former NRPB)</w:t>
      </w:r>
    </w:p>
    <w:p w14:paraId="435E9D9C" w14:textId="69CD1401" w:rsidR="00342DBC" w:rsidRDefault="00342DBC" w:rsidP="003A32AB">
      <w:r w:rsidRPr="003D1840">
        <w:rPr>
          <w:rFonts w:cstheme="minorHAnsi"/>
        </w:rPr>
        <w:t>HSE</w:t>
      </w:r>
      <w:r>
        <w:rPr>
          <w:rFonts w:cstheme="minorHAnsi"/>
        </w:rPr>
        <w:tab/>
      </w:r>
      <w:r>
        <w:rPr>
          <w:rFonts w:cstheme="minorHAnsi"/>
        </w:rPr>
        <w:tab/>
      </w:r>
      <w:r w:rsidRPr="003D1840">
        <w:rPr>
          <w:rFonts w:cstheme="minorHAnsi"/>
        </w:rPr>
        <w:t>Health and Safety Executive</w:t>
      </w:r>
    </w:p>
    <w:p w14:paraId="3B14BEE2" w14:textId="53BF074B" w:rsidR="00342DBC" w:rsidRDefault="00342DBC" w:rsidP="003A32AB">
      <w:pPr>
        <w:rPr>
          <w:rFonts w:cstheme="minorHAnsi"/>
        </w:rPr>
      </w:pPr>
      <w:r w:rsidRPr="003D1840">
        <w:rPr>
          <w:rFonts w:cstheme="minorHAnsi"/>
        </w:rPr>
        <w:t>IAEA</w:t>
      </w:r>
      <w:r>
        <w:rPr>
          <w:rFonts w:cstheme="minorHAnsi"/>
        </w:rPr>
        <w:tab/>
      </w:r>
      <w:r>
        <w:rPr>
          <w:rFonts w:cstheme="minorHAnsi"/>
        </w:rPr>
        <w:tab/>
      </w:r>
      <w:r w:rsidRPr="003D1840">
        <w:rPr>
          <w:rFonts w:cstheme="minorHAnsi"/>
        </w:rPr>
        <w:t>International Atomic Energy Agency</w:t>
      </w:r>
    </w:p>
    <w:p w14:paraId="21025875" w14:textId="71515D76" w:rsidR="00342DBC" w:rsidRDefault="00342DBC" w:rsidP="003A32AB">
      <w:pPr>
        <w:rPr>
          <w:rFonts w:cstheme="minorHAnsi"/>
        </w:rPr>
      </w:pPr>
      <w:r w:rsidRPr="003D1840">
        <w:rPr>
          <w:rFonts w:cstheme="minorHAnsi"/>
        </w:rPr>
        <w:t>ICRP</w:t>
      </w:r>
      <w:r>
        <w:rPr>
          <w:rFonts w:cstheme="minorHAnsi"/>
        </w:rPr>
        <w:tab/>
      </w:r>
      <w:r>
        <w:rPr>
          <w:rFonts w:cstheme="minorHAnsi"/>
        </w:rPr>
        <w:tab/>
      </w:r>
      <w:r w:rsidRPr="003D1840">
        <w:rPr>
          <w:rFonts w:cstheme="minorHAnsi"/>
        </w:rPr>
        <w:t>International Commission on Radiological Protection</w:t>
      </w:r>
    </w:p>
    <w:p w14:paraId="4148C423" w14:textId="56C28CDA" w:rsidR="00342DBC" w:rsidRDefault="00342DBC" w:rsidP="003A32AB">
      <w:pPr>
        <w:rPr>
          <w:rFonts w:cstheme="minorHAnsi"/>
        </w:rPr>
      </w:pPr>
      <w:r w:rsidRPr="003D1840">
        <w:rPr>
          <w:rFonts w:cstheme="minorHAnsi"/>
        </w:rPr>
        <w:t>IRR</w:t>
      </w:r>
      <w:r>
        <w:rPr>
          <w:rFonts w:cstheme="minorHAnsi"/>
        </w:rPr>
        <w:tab/>
      </w:r>
      <w:r>
        <w:rPr>
          <w:rFonts w:cstheme="minorHAnsi"/>
        </w:rPr>
        <w:tab/>
      </w:r>
      <w:r w:rsidRPr="003D1840">
        <w:rPr>
          <w:rFonts w:cstheme="minorHAnsi"/>
        </w:rPr>
        <w:t>Ionising Radiations Regulations</w:t>
      </w:r>
    </w:p>
    <w:p w14:paraId="58AD2327" w14:textId="335A67BA" w:rsidR="00342DBC" w:rsidRDefault="00342DBC" w:rsidP="00342DBC">
      <w:pPr>
        <w:ind w:left="1440" w:hanging="1440"/>
        <w:rPr>
          <w:rFonts w:cstheme="minorHAnsi"/>
        </w:rPr>
      </w:pPr>
      <w:r w:rsidRPr="003D1840">
        <w:rPr>
          <w:rFonts w:cstheme="minorHAnsi"/>
        </w:rPr>
        <w:t>MAFF</w:t>
      </w:r>
      <w:r>
        <w:rPr>
          <w:rFonts w:cstheme="minorHAnsi"/>
        </w:rPr>
        <w:tab/>
      </w:r>
      <w:r w:rsidRPr="003D1840">
        <w:rPr>
          <w:rFonts w:cstheme="minorHAnsi"/>
        </w:rPr>
        <w:t>Ministry of Agriculture, Fisheries and Food (a government ministry absorbed into DEFRA in 2002).</w:t>
      </w:r>
    </w:p>
    <w:p w14:paraId="46C086C3" w14:textId="6B6E3C23" w:rsidR="00342DBC" w:rsidRDefault="00342DBC" w:rsidP="003A32AB">
      <w:pPr>
        <w:rPr>
          <w:rFonts w:cstheme="minorHAnsi"/>
        </w:rPr>
      </w:pPr>
      <w:r w:rsidRPr="003D1840">
        <w:rPr>
          <w:rFonts w:cstheme="minorHAnsi"/>
        </w:rPr>
        <w:t>NRPB</w:t>
      </w:r>
      <w:r>
        <w:rPr>
          <w:rFonts w:cstheme="minorHAnsi"/>
        </w:rPr>
        <w:tab/>
      </w:r>
      <w:r>
        <w:rPr>
          <w:rFonts w:cstheme="minorHAnsi"/>
        </w:rPr>
        <w:tab/>
      </w:r>
      <w:r w:rsidRPr="003D1840">
        <w:rPr>
          <w:rFonts w:cstheme="minorHAnsi"/>
        </w:rPr>
        <w:t>National Radiological Protection Board (now part of Public Health England - PHE)</w:t>
      </w:r>
    </w:p>
    <w:p w14:paraId="6CE46A0B" w14:textId="49844A83" w:rsidR="00342DBC" w:rsidRDefault="00342DBC" w:rsidP="003A32AB">
      <w:pPr>
        <w:rPr>
          <w:rFonts w:cstheme="minorHAnsi"/>
        </w:rPr>
      </w:pPr>
      <w:r w:rsidRPr="003D1840">
        <w:rPr>
          <w:rFonts w:cstheme="minorHAnsi"/>
        </w:rPr>
        <w:t>ONR</w:t>
      </w:r>
      <w:r>
        <w:rPr>
          <w:rFonts w:cstheme="minorHAnsi"/>
        </w:rPr>
        <w:tab/>
      </w:r>
      <w:r>
        <w:rPr>
          <w:rFonts w:cstheme="minorHAnsi"/>
        </w:rPr>
        <w:tab/>
      </w:r>
      <w:r w:rsidRPr="003D1840">
        <w:rPr>
          <w:rFonts w:cstheme="minorHAnsi"/>
        </w:rPr>
        <w:t>Office for Nuclear Regulation (formerly the Nuclear Installations Inspectorate NII)</w:t>
      </w:r>
    </w:p>
    <w:p w14:paraId="555129A0" w14:textId="0F2AD318" w:rsidR="00342DBC" w:rsidRDefault="00342DBC" w:rsidP="003A32AB">
      <w:pPr>
        <w:rPr>
          <w:rFonts w:cstheme="minorHAnsi"/>
        </w:rPr>
      </w:pPr>
      <w:r w:rsidRPr="003D1840">
        <w:rPr>
          <w:rFonts w:cstheme="minorHAnsi"/>
        </w:rPr>
        <w:t>OSPAR</w:t>
      </w:r>
      <w:r>
        <w:rPr>
          <w:rFonts w:cstheme="minorHAnsi"/>
        </w:rPr>
        <w:tab/>
      </w:r>
      <w:r w:rsidRPr="003D1840">
        <w:rPr>
          <w:rFonts w:cstheme="minorHAnsi"/>
        </w:rPr>
        <w:t xml:space="preserve">Convention for the Protection of the Marine Environment of the </w:t>
      </w:r>
      <w:proofErr w:type="gramStart"/>
      <w:r w:rsidRPr="003D1840">
        <w:rPr>
          <w:rFonts w:cstheme="minorHAnsi"/>
        </w:rPr>
        <w:t>North East</w:t>
      </w:r>
      <w:proofErr w:type="gramEnd"/>
      <w:r w:rsidRPr="003D1840">
        <w:rPr>
          <w:rFonts w:cstheme="minorHAnsi"/>
        </w:rPr>
        <w:t xml:space="preserve"> Atlantic</w:t>
      </w:r>
    </w:p>
    <w:p w14:paraId="4CBA6D57" w14:textId="7278C650" w:rsidR="00342DBC" w:rsidRDefault="00342DBC" w:rsidP="003A32AB">
      <w:pPr>
        <w:rPr>
          <w:rFonts w:cstheme="minorHAnsi"/>
        </w:rPr>
      </w:pPr>
      <w:r w:rsidRPr="003D1840">
        <w:rPr>
          <w:rFonts w:cstheme="minorHAnsi"/>
        </w:rPr>
        <w:t>PWR</w:t>
      </w:r>
      <w:r>
        <w:rPr>
          <w:rFonts w:cstheme="minorHAnsi"/>
        </w:rPr>
        <w:tab/>
      </w:r>
      <w:r>
        <w:rPr>
          <w:rFonts w:cstheme="minorHAnsi"/>
        </w:rPr>
        <w:tab/>
      </w:r>
      <w:r w:rsidRPr="003D1840">
        <w:rPr>
          <w:rFonts w:cstheme="minorHAnsi"/>
        </w:rPr>
        <w:t>Pressurised Water Reactor</w:t>
      </w:r>
    </w:p>
    <w:p w14:paraId="4FFAE86F" w14:textId="66352BF0" w:rsidR="00342DBC" w:rsidRDefault="00342DBC" w:rsidP="003A32AB">
      <w:r w:rsidRPr="003D1840">
        <w:rPr>
          <w:rFonts w:cstheme="minorHAnsi"/>
        </w:rPr>
        <w:t>RAPS</w:t>
      </w:r>
      <w:r>
        <w:rPr>
          <w:rFonts w:cstheme="minorHAnsi"/>
        </w:rPr>
        <w:tab/>
      </w:r>
      <w:r>
        <w:rPr>
          <w:rFonts w:cstheme="minorHAnsi"/>
        </w:rPr>
        <w:tab/>
      </w:r>
      <w:r w:rsidRPr="003D1840">
        <w:rPr>
          <w:rFonts w:cstheme="minorHAnsi"/>
        </w:rPr>
        <w:t>Reference Animals and Plants</w:t>
      </w:r>
    </w:p>
    <w:p w14:paraId="5D367700" w14:textId="164F2399" w:rsidR="00342DBC" w:rsidRDefault="00342DBC" w:rsidP="003A32AB">
      <w:pPr>
        <w:rPr>
          <w:rFonts w:cstheme="minorHAnsi"/>
        </w:rPr>
      </w:pPr>
      <w:r w:rsidRPr="003D1840">
        <w:rPr>
          <w:rFonts w:cstheme="minorHAnsi"/>
        </w:rPr>
        <w:t>RIFE</w:t>
      </w:r>
      <w:r>
        <w:rPr>
          <w:rFonts w:cstheme="minorHAnsi"/>
        </w:rPr>
        <w:tab/>
      </w:r>
      <w:r>
        <w:rPr>
          <w:rFonts w:cstheme="minorHAnsi"/>
        </w:rPr>
        <w:tab/>
      </w:r>
      <w:r w:rsidRPr="003D1840">
        <w:rPr>
          <w:rFonts w:cstheme="minorHAnsi"/>
        </w:rPr>
        <w:t>Radioactivity in Food and the Environment</w:t>
      </w:r>
    </w:p>
    <w:p w14:paraId="67D95F7D" w14:textId="1234F982" w:rsidR="00342DBC" w:rsidRDefault="00342DBC" w:rsidP="003A32AB">
      <w:pPr>
        <w:rPr>
          <w:rFonts w:cstheme="minorHAnsi"/>
        </w:rPr>
      </w:pPr>
      <w:r w:rsidRPr="003D1840">
        <w:rPr>
          <w:rFonts w:cstheme="minorHAnsi"/>
        </w:rPr>
        <w:t>RWMAC</w:t>
      </w:r>
      <w:r>
        <w:rPr>
          <w:rFonts w:cstheme="minorHAnsi"/>
        </w:rPr>
        <w:tab/>
      </w:r>
      <w:r w:rsidRPr="003D1840">
        <w:rPr>
          <w:rFonts w:cstheme="minorHAnsi"/>
        </w:rPr>
        <w:t>Radioactive Waste Management Advisory Committee</w:t>
      </w:r>
    </w:p>
    <w:p w14:paraId="5293FC2B" w14:textId="68C4082E" w:rsidR="00342DBC" w:rsidRDefault="00342DBC" w:rsidP="003A32AB">
      <w:pPr>
        <w:rPr>
          <w:rFonts w:cstheme="minorHAnsi"/>
        </w:rPr>
      </w:pPr>
      <w:r w:rsidRPr="003D1840">
        <w:rPr>
          <w:rFonts w:cstheme="minorHAnsi"/>
        </w:rPr>
        <w:t>SEPA</w:t>
      </w:r>
      <w:r>
        <w:rPr>
          <w:rFonts w:cstheme="minorHAnsi"/>
        </w:rPr>
        <w:tab/>
      </w:r>
      <w:r>
        <w:rPr>
          <w:rFonts w:cstheme="minorHAnsi"/>
        </w:rPr>
        <w:tab/>
      </w:r>
      <w:r w:rsidRPr="003D1840">
        <w:rPr>
          <w:rFonts w:cstheme="minorHAnsi"/>
        </w:rPr>
        <w:t>Scottish Environment Protection Agency</w:t>
      </w:r>
    </w:p>
    <w:p w14:paraId="370520C6" w14:textId="0081412E" w:rsidR="003D1840" w:rsidRPr="003D1840" w:rsidRDefault="00342DBC" w:rsidP="003D1840">
      <w:r w:rsidRPr="003D1840">
        <w:rPr>
          <w:rFonts w:cstheme="minorHAnsi"/>
        </w:rPr>
        <w:lastRenderedPageBreak/>
        <w:t>TOR</w:t>
      </w:r>
      <w:r>
        <w:rPr>
          <w:rFonts w:cstheme="minorHAnsi"/>
        </w:rPr>
        <w:tab/>
      </w:r>
      <w:r>
        <w:rPr>
          <w:rFonts w:cstheme="minorHAnsi"/>
        </w:rPr>
        <w:tab/>
      </w:r>
      <w:r w:rsidRPr="003D1840">
        <w:rPr>
          <w:rFonts w:cstheme="minorHAnsi"/>
        </w:rPr>
        <w:t>The tolerability of Risk from Nuclear Power Stations 1988</w:t>
      </w:r>
    </w:p>
    <w:p w14:paraId="57BB77C8" w14:textId="2C3CA537" w:rsidR="006243FF" w:rsidRPr="008875AA" w:rsidRDefault="006243FF" w:rsidP="00290B1F">
      <w:pPr>
        <w:spacing w:line="240" w:lineRule="auto"/>
        <w:rPr>
          <w:rFonts w:ascii="Poppins" w:eastAsiaTheme="majorEastAsia" w:hAnsi="Poppins" w:cstheme="majorBidi"/>
          <w:b/>
          <w:iCs/>
          <w:color w:val="3C4741" w:themeColor="text1"/>
        </w:rPr>
      </w:pPr>
    </w:p>
    <w:sectPr w:rsidR="006243FF" w:rsidRPr="008875AA" w:rsidSect="0025709E">
      <w:pgSz w:w="11900" w:h="16840"/>
      <w:pgMar w:top="839" w:right="839" w:bottom="839" w:left="839" w:header="794" w:footer="567"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8D7E" w14:textId="77777777" w:rsidR="00B6049A" w:rsidRDefault="00B6049A" w:rsidP="00660C79">
      <w:pPr>
        <w:spacing w:line="240" w:lineRule="auto"/>
      </w:pPr>
      <w:r>
        <w:separator/>
      </w:r>
    </w:p>
  </w:endnote>
  <w:endnote w:type="continuationSeparator" w:id="0">
    <w:p w14:paraId="4A15B988" w14:textId="77777777" w:rsidR="00B6049A" w:rsidRDefault="00B6049A" w:rsidP="00660C79">
      <w:pPr>
        <w:spacing w:line="240" w:lineRule="auto"/>
      </w:pPr>
      <w:r>
        <w:continuationSeparator/>
      </w:r>
    </w:p>
  </w:endnote>
  <w:endnote w:type="continuationNotice" w:id="1">
    <w:p w14:paraId="2259DDDE" w14:textId="77777777" w:rsidR="00B6049A" w:rsidRDefault="00B604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B44E" w14:textId="1ABDF652" w:rsidR="00EC6A73" w:rsidRDefault="00C2078C"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9510" behindDoc="0" locked="0" layoutInCell="1" allowOverlap="1" wp14:anchorId="049F74E5" wp14:editId="73C22F9F">
              <wp:simplePos x="635" y="635"/>
              <wp:positionH relativeFrom="page">
                <wp:align>center</wp:align>
              </wp:positionH>
              <wp:positionV relativeFrom="page">
                <wp:align>bottom</wp:align>
              </wp:positionV>
              <wp:extent cx="421005" cy="422910"/>
              <wp:effectExtent l="0" t="0" r="17145" b="0"/>
              <wp:wrapNone/>
              <wp:docPr id="808046622" name="Text Box 3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B21DFDF" w14:textId="3D96495A"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F74E5" id="_x0000_t202" coordsize="21600,21600" o:spt="202" path="m,l,21600r21600,l21600,xe">
              <v:stroke joinstyle="miter"/>
              <v:path gradientshapeok="t" o:connecttype="rect"/>
            </v:shapetype>
            <v:shape id="Text Box 32" o:spid="_x0000_s1043" type="#_x0000_t202" alt="PUBLIC" style="position:absolute;margin-left:0;margin-top:0;width:33.15pt;height:33.3pt;z-index:2516695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5B21DFDF" w14:textId="3D96495A"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D5CF67B"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308F3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7ACAD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A47E" w14:textId="3E39D87C" w:rsidR="00EC6A73" w:rsidRDefault="00C2078C" w:rsidP="00917BB1">
    <w:pPr>
      <w:pStyle w:val="Footer"/>
      <w:ind w:right="360"/>
    </w:pPr>
    <w:r>
      <w:rPr>
        <w:noProof/>
      </w:rPr>
      <mc:AlternateContent>
        <mc:Choice Requires="wps">
          <w:drawing>
            <wp:anchor distT="0" distB="0" distL="0" distR="0" simplePos="0" relativeHeight="251670534" behindDoc="0" locked="0" layoutInCell="1" allowOverlap="1" wp14:anchorId="4C32D3B4" wp14:editId="4F8AC9B3">
              <wp:simplePos x="635" y="635"/>
              <wp:positionH relativeFrom="page">
                <wp:align>center</wp:align>
              </wp:positionH>
              <wp:positionV relativeFrom="page">
                <wp:align>bottom</wp:align>
              </wp:positionV>
              <wp:extent cx="421005" cy="422910"/>
              <wp:effectExtent l="0" t="0" r="17145" b="0"/>
              <wp:wrapNone/>
              <wp:docPr id="2035781721" name="Text Box 3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A348819" w14:textId="3C55E220"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2D3B4" id="_x0000_t202" coordsize="21600,21600" o:spt="202" path="m,l,21600r21600,l21600,xe">
              <v:stroke joinstyle="miter"/>
              <v:path gradientshapeok="t" o:connecttype="rect"/>
            </v:shapetype>
            <v:shape id="Text Box 33" o:spid="_x0000_s1044" type="#_x0000_t202" alt="PUBLIC" style="position:absolute;margin-left:0;margin-top:0;width:33.15pt;height:33.3pt;z-index:2516705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VLDg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traj5Ov4H6QEshHPn2Ti5bar0SPjwJJIJpDxJt&#10;eKRDG+grDieLswbw9//8MZ9wpyhnPQmm4pYUzZn5aYmPqK3RwNHYJKO4ya9zittddwckw4JehJPJ&#10;JC8GM5oaoXshOS9iIwoJK6ldxTejeReOyqXnINVikZJIRk6ElV07GUtHuCKWz8OLQHcCPBBTDzCq&#10;SZRvcD/mxpveLXaB0E+kRGiPQJ4QJwkmrk7PJWr89X/Kujzq+R8A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Iu1xU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2A348819" w14:textId="3C55E220"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4" behindDoc="0" locked="0" layoutInCell="0" allowOverlap="1" wp14:anchorId="3848D2DB" wp14:editId="6431F0D2">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BB7E2" w14:textId="3767A576"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48D2DB" id="Text Box 8" o:spid="_x0000_s104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514BB7E2" w14:textId="3767A576"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p w14:paraId="3A4D44AC"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2CF5611" wp14:editId="7CCE1ED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49BD2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1505E9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49941B" w14:textId="2A8C0559" w:rsidR="00917BB1" w:rsidRDefault="00917BB1" w:rsidP="00917BB1">
    <w:pPr>
      <w:pStyle w:val="Footer"/>
      <w:ind w:right="360"/>
    </w:pPr>
    <w:r>
      <w:rPr>
        <w:noProof/>
      </w:rPr>
      <w:drawing>
        <wp:inline distT="0" distB="0" distL="0" distR="0" wp14:anchorId="4DF81F20" wp14:editId="35407CA0">
          <wp:extent cx="1007167" cy="265044"/>
          <wp:effectExtent l="0" t="0" r="0" b="1905"/>
          <wp:docPr id="189901112" name="Picture 189901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2E97" w14:textId="062CA14A" w:rsidR="0097703C" w:rsidRDefault="00C2078C">
    <w:pPr>
      <w:pStyle w:val="Footer"/>
      <w:jc w:val="right"/>
    </w:pPr>
    <w:r>
      <w:rPr>
        <w:noProof/>
      </w:rPr>
      <mc:AlternateContent>
        <mc:Choice Requires="wps">
          <w:drawing>
            <wp:anchor distT="0" distB="0" distL="0" distR="0" simplePos="0" relativeHeight="251668486" behindDoc="0" locked="0" layoutInCell="1" allowOverlap="1" wp14:anchorId="793443FC" wp14:editId="2546A4F5">
              <wp:simplePos x="635" y="635"/>
              <wp:positionH relativeFrom="page">
                <wp:align>center</wp:align>
              </wp:positionH>
              <wp:positionV relativeFrom="page">
                <wp:align>bottom</wp:align>
              </wp:positionV>
              <wp:extent cx="421005" cy="422910"/>
              <wp:effectExtent l="0" t="0" r="17145" b="0"/>
              <wp:wrapNone/>
              <wp:docPr id="1640490853" name="Text Box 3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1FA4041" w14:textId="387FE05F"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443FC" id="_x0000_t202" coordsize="21600,21600" o:spt="202" path="m,l,21600r21600,l21600,xe">
              <v:stroke joinstyle="miter"/>
              <v:path gradientshapeok="t" o:connecttype="rect"/>
            </v:shapetype>
            <v:shape id="Text Box 31" o:spid="_x0000_s1048" type="#_x0000_t202" alt="PUBLIC" style="position:absolute;left:0;text-align:left;margin-left:0;margin-top:0;width:33.15pt;height:33.3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uLDgIAABwEAAAOAAAAZHJzL2Uyb0RvYy54bWysU01v2zAMvQ/YfxB0X2wH7dAacYq0RYYB&#10;QVsgHXpWZCk2IIsCpcTOfv0oJU62bqehF5kmKX689zS7GzrD9gp9C7bixSTnTFkJdWu3Ff/xuvxy&#10;w5kPwtbCgFUVPyjP7+afP816V6opNGBqhYyKWF/2ruJNCK7MMi8b1Qk/AacsBTVgJwL94jarUfRU&#10;vTPZNM+/Zj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Ba164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41FA4041" w14:textId="387FE05F"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v:textbox>
              <w10:wrap anchorx="page" anchory="page"/>
            </v:shape>
          </w:pict>
        </mc:Fallback>
      </mc:AlternateContent>
    </w:r>
    <w:sdt>
      <w:sdtPr>
        <w:id w:val="1538387350"/>
        <w:docPartObj>
          <w:docPartGallery w:val="Page Numbers (Bottom of Page)"/>
          <w:docPartUnique/>
        </w:docPartObj>
      </w:sdtPr>
      <w:sdtEndPr>
        <w:rPr>
          <w:noProof/>
        </w:rPr>
      </w:sdtEndPr>
      <w:sdtContent>
        <w:r w:rsidR="0025709E">
          <w:rPr>
            <w:noProof/>
          </w:rPr>
          <mc:AlternateContent>
            <mc:Choice Requires="wps">
              <w:drawing>
                <wp:anchor distT="0" distB="0" distL="114300" distR="114300" simplePos="0" relativeHeight="251658246" behindDoc="0" locked="0" layoutInCell="1" allowOverlap="1" wp14:anchorId="2CC90D82" wp14:editId="3818102A">
                  <wp:simplePos x="0" y="0"/>
                  <wp:positionH relativeFrom="column">
                    <wp:posOffset>0</wp:posOffset>
                  </wp:positionH>
                  <wp:positionV relativeFrom="paragraph">
                    <wp:posOffset>0</wp:posOffset>
                  </wp:positionV>
                  <wp:extent cx="6466840" cy="0"/>
                  <wp:effectExtent l="0" t="0" r="10160" b="12700"/>
                  <wp:wrapNone/>
                  <wp:docPr id="1536334453" name="Straight Connector 15363344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A88D2" id="Straight Connector 1536334453" o:spid="_x0000_s1026" alt="&quot;&quot;"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0,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" strokecolor="#016574 [3205]" strokeweight=".5pt">
                  <v:stroke joinstyle="miter"/>
                </v:line>
              </w:pict>
            </mc:Fallback>
          </mc:AlternateContent>
        </w:r>
        <w:r w:rsidR="0097703C">
          <w:fldChar w:fldCharType="begin"/>
        </w:r>
        <w:r w:rsidR="0097703C">
          <w:instrText xml:space="preserve"> PAGE   \* MERGEFORMAT </w:instrText>
        </w:r>
        <w:r w:rsidR="0097703C">
          <w:fldChar w:fldCharType="separate"/>
        </w:r>
        <w:r w:rsidR="0097703C">
          <w:rPr>
            <w:noProof/>
          </w:rPr>
          <w:t>2</w:t>
        </w:r>
        <w:r w:rsidR="0097703C">
          <w:rPr>
            <w:noProof/>
          </w:rPr>
          <w:fldChar w:fldCharType="end"/>
        </w:r>
      </w:sdtContent>
    </w:sdt>
  </w:p>
  <w:p w14:paraId="74CDA7E5" w14:textId="5DA37EE0" w:rsidR="00CE7AD0" w:rsidRDefault="0025709E">
    <w:pPr>
      <w:pStyle w:val="Footer"/>
    </w:pPr>
    <w:r>
      <w:rPr>
        <w:noProof/>
      </w:rPr>
      <w:drawing>
        <wp:inline distT="0" distB="0" distL="0" distR="0" wp14:anchorId="644736E8" wp14:editId="1B1252D3">
          <wp:extent cx="1007167" cy="265044"/>
          <wp:effectExtent l="0" t="0" r="0" b="1905"/>
          <wp:docPr id="1446192146" name="Picture 1446192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CEFE" w14:textId="77777777" w:rsidR="00B6049A" w:rsidRDefault="00B6049A" w:rsidP="00660C79">
      <w:pPr>
        <w:spacing w:line="240" w:lineRule="auto"/>
      </w:pPr>
      <w:r>
        <w:separator/>
      </w:r>
    </w:p>
  </w:footnote>
  <w:footnote w:type="continuationSeparator" w:id="0">
    <w:p w14:paraId="5528D363" w14:textId="77777777" w:rsidR="00B6049A" w:rsidRDefault="00B6049A" w:rsidP="00660C79">
      <w:pPr>
        <w:spacing w:line="240" w:lineRule="auto"/>
      </w:pPr>
      <w:r>
        <w:continuationSeparator/>
      </w:r>
    </w:p>
  </w:footnote>
  <w:footnote w:type="continuationNotice" w:id="1">
    <w:p w14:paraId="019265C6" w14:textId="77777777" w:rsidR="00B6049A" w:rsidRDefault="00B6049A">
      <w:pPr>
        <w:spacing w:line="240" w:lineRule="auto"/>
      </w:pPr>
    </w:p>
  </w:footnote>
  <w:footnote w:id="2">
    <w:p w14:paraId="3A84D1C7" w14:textId="601A6BE8" w:rsidR="009D2DEE" w:rsidRDefault="009D2DEE">
      <w:pPr>
        <w:pStyle w:val="FootnoteText"/>
      </w:pPr>
      <w:r>
        <w:rPr>
          <w:rStyle w:val="FootnoteReference"/>
        </w:rPr>
        <w:footnoteRef/>
      </w:r>
      <w:r>
        <w:t xml:space="preserve"> </w:t>
      </w:r>
      <w:r w:rsidRPr="00CA15EF">
        <w:t>ICRP, in its latest recommendations (ICRP Publication 103 [Ref 15]), has adopted the term ‘planned exposure situation’ rather than ‘practice’ in this context. However, the term practice will continue to be used in this document as this is referred to in current European and UK legislation. ICRP recommendations for planned exposure situations are substantially unchanged from those provide in ICRP Publication 60 [Ref 20] and subsequent publications for the normal operation of practices.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208C" w14:textId="24B4DB55" w:rsidR="008875AA" w:rsidRDefault="00C2078C">
    <w:pPr>
      <w:pStyle w:val="Header"/>
    </w:pPr>
    <w:r>
      <w:rPr>
        <w:noProof/>
      </w:rPr>
      <mc:AlternateContent>
        <mc:Choice Requires="wps">
          <w:drawing>
            <wp:anchor distT="0" distB="0" distL="0" distR="0" simplePos="0" relativeHeight="251666438" behindDoc="0" locked="0" layoutInCell="1" allowOverlap="1" wp14:anchorId="494F0653" wp14:editId="2BBF633E">
              <wp:simplePos x="635" y="635"/>
              <wp:positionH relativeFrom="page">
                <wp:align>center</wp:align>
              </wp:positionH>
              <wp:positionV relativeFrom="page">
                <wp:align>top</wp:align>
              </wp:positionV>
              <wp:extent cx="421005" cy="422910"/>
              <wp:effectExtent l="0" t="0" r="17145" b="15240"/>
              <wp:wrapNone/>
              <wp:docPr id="1840138235" name="Text Box 2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2DAB228" w14:textId="6AF17362"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4F0653" id="_x0000_t202" coordsize="21600,21600" o:spt="202" path="m,l,21600r21600,l21600,xe">
              <v:stroke joinstyle="miter"/>
              <v:path gradientshapeok="t" o:connecttype="rect"/>
            </v:shapetype>
            <v:shape id="Text Box 29" o:spid="_x0000_s1040" type="#_x0000_t202" alt="PUBLIC" style="position:absolute;margin-left:0;margin-top:0;width:33.15pt;height:33.3pt;z-index:2516664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12DAB228" w14:textId="6AF17362"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1FDA" w14:textId="3AD7331E" w:rsidR="008D113C" w:rsidRPr="00917BB1" w:rsidRDefault="00C2078C" w:rsidP="008875AA">
    <w:pPr>
      <w:pStyle w:val="Header"/>
      <w:rPr>
        <w:color w:val="6E7571" w:themeColor="text2"/>
      </w:rPr>
    </w:pPr>
    <w:r>
      <w:rPr>
        <w:noProof/>
        <w:color w:val="6E7571" w:themeColor="text2"/>
      </w:rPr>
      <mc:AlternateContent>
        <mc:Choice Requires="wps">
          <w:drawing>
            <wp:anchor distT="0" distB="0" distL="0" distR="0" simplePos="0" relativeHeight="251667462" behindDoc="0" locked="0" layoutInCell="1" allowOverlap="1" wp14:anchorId="6CD0D731" wp14:editId="745F1AF1">
              <wp:simplePos x="635" y="635"/>
              <wp:positionH relativeFrom="page">
                <wp:align>center</wp:align>
              </wp:positionH>
              <wp:positionV relativeFrom="page">
                <wp:align>top</wp:align>
              </wp:positionV>
              <wp:extent cx="421005" cy="422910"/>
              <wp:effectExtent l="0" t="0" r="17145" b="15240"/>
              <wp:wrapNone/>
              <wp:docPr id="180197270" name="Text Box 3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EAA99BB" w14:textId="71D88B2C"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0D731" id="_x0000_t202" coordsize="21600,21600" o:spt="202" path="m,l,21600r21600,l21600,xe">
              <v:stroke joinstyle="miter"/>
              <v:path gradientshapeok="t" o:connecttype="rect"/>
            </v:shapetype>
            <v:shape id="Text Box 30" o:spid="_x0000_s1041" type="#_x0000_t202" alt="PUBLIC" style="position:absolute;margin-left:0;margin-top:0;width:33.15pt;height:33.3pt;z-index:2516674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7EAA99BB" w14:textId="71D88B2C"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v:textbox>
              <w10:wrap anchorx="page" anchory="page"/>
            </v:shape>
          </w:pict>
        </mc:Fallback>
      </mc:AlternateContent>
    </w:r>
    <w:r w:rsidR="00CE7AD0">
      <w:rPr>
        <w:noProof/>
        <w:color w:val="6E7571" w:themeColor="text2"/>
      </w:rPr>
      <mc:AlternateContent>
        <mc:Choice Requires="wps">
          <w:drawing>
            <wp:anchor distT="0" distB="0" distL="114300" distR="114300" simplePos="0" relativeHeight="251658242" behindDoc="0" locked="0" layoutInCell="0" allowOverlap="1" wp14:anchorId="74257928" wp14:editId="0A8169BC">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D796BE" w14:textId="6369DEDA"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257928" id="Text Box 1" o:spid="_x0000_s1042"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3D796BE" w14:textId="6369DEDA"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r w:rsidR="0005317F" w:rsidRPr="006B64D0">
      <w:rPr>
        <w:color w:val="6E7571" w:themeColor="text2"/>
      </w:rPr>
      <w:t>Principles for the assessment of prospective public doses arising from authorised discharges of radioactive waste to the environment</w:t>
    </w:r>
    <w:r w:rsidR="00400CEB">
      <w:rPr>
        <w:color w:val="6E7571" w:themeColor="text2"/>
      </w:rPr>
      <w:t xml:space="preserve"> </w:t>
    </w:r>
    <w:r w:rsidR="00400CEB" w:rsidRPr="00400CEB">
      <w:rPr>
        <w:color w:val="6E7571" w:themeColor="text2"/>
      </w:rPr>
      <w:t>RS-G-046</w:t>
    </w:r>
  </w:p>
  <w:p w14:paraId="053C95C3"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EB90F9" wp14:editId="4F6F52F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722C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E43B" w14:textId="435C97B1" w:rsidR="006B64D0" w:rsidRDefault="00C2078C" w:rsidP="0097703C">
    <w:pPr>
      <w:pStyle w:val="Header"/>
      <w:jc w:val="right"/>
      <w:rPr>
        <w:color w:val="6E7571" w:themeColor="text2"/>
      </w:rPr>
    </w:pPr>
    <w:r>
      <w:rPr>
        <w:noProof/>
        <w:color w:val="6E7571" w:themeColor="text2"/>
      </w:rPr>
      <mc:AlternateContent>
        <mc:Choice Requires="wps">
          <w:drawing>
            <wp:anchor distT="0" distB="0" distL="0" distR="0" simplePos="0" relativeHeight="251665414" behindDoc="0" locked="0" layoutInCell="1" allowOverlap="1" wp14:anchorId="52344268" wp14:editId="54910F5E">
              <wp:simplePos x="635" y="635"/>
              <wp:positionH relativeFrom="page">
                <wp:align>center</wp:align>
              </wp:positionH>
              <wp:positionV relativeFrom="page">
                <wp:align>top</wp:align>
              </wp:positionV>
              <wp:extent cx="421005" cy="422910"/>
              <wp:effectExtent l="0" t="0" r="17145" b="15240"/>
              <wp:wrapNone/>
              <wp:docPr id="445174771" name="Text Box 2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D0AAF8A" w14:textId="6DFCE6F8"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344268" id="_x0000_t202" coordsize="21600,21600" o:spt="202" path="m,l,21600r21600,l21600,xe">
              <v:stroke joinstyle="miter"/>
              <v:path gradientshapeok="t" o:connecttype="rect"/>
            </v:shapetype>
            <v:shape id="Text Box 28" o:spid="_x0000_s1046" type="#_x0000_t202" alt="PUBLIC" style="position:absolute;left:0;text-align:left;margin-left:0;margin-top:0;width:33.15pt;height:33.3pt;z-index:2516654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zwzxhA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0D0AAF8A" w14:textId="6DFCE6F8" w:rsidR="00C2078C" w:rsidRPr="00C2078C" w:rsidRDefault="00C2078C" w:rsidP="00C2078C">
                    <w:pPr>
                      <w:rPr>
                        <w:rFonts w:ascii="Aptos" w:eastAsia="Aptos" w:hAnsi="Aptos" w:cs="Aptos"/>
                        <w:noProof/>
                        <w:color w:val="000000"/>
                        <w:sz w:val="20"/>
                        <w:szCs w:val="20"/>
                      </w:rPr>
                    </w:pPr>
                    <w:r w:rsidRPr="00C2078C">
                      <w:rPr>
                        <w:rFonts w:ascii="Aptos" w:eastAsia="Aptos" w:hAnsi="Aptos" w:cs="Aptos"/>
                        <w:noProof/>
                        <w:color w:val="000000"/>
                        <w:sz w:val="20"/>
                        <w:szCs w:val="20"/>
                      </w:rPr>
                      <w:t>PUBLIC</w:t>
                    </w:r>
                  </w:p>
                </w:txbxContent>
              </v:textbox>
              <w10:wrap anchorx="page" anchory="page"/>
            </v:shape>
          </w:pict>
        </mc:Fallback>
      </mc:AlternateContent>
    </w:r>
    <w:r w:rsidR="006B64D0" w:rsidRPr="006B64D0">
      <w:rPr>
        <w:color w:val="6E7571" w:themeColor="text2"/>
      </w:rPr>
      <w:t xml:space="preserve">Principles for the assessment of prospective public doses arising from </w:t>
    </w:r>
  </w:p>
  <w:p w14:paraId="0A731A62" w14:textId="7CC7DD04" w:rsidR="006B64D0" w:rsidRDefault="006B64D0" w:rsidP="0097703C">
    <w:pPr>
      <w:pStyle w:val="Header"/>
      <w:jc w:val="right"/>
      <w:rPr>
        <w:color w:val="6E7571" w:themeColor="text2"/>
      </w:rPr>
    </w:pPr>
    <w:r w:rsidRPr="006B64D0">
      <w:rPr>
        <w:color w:val="6E7571" w:themeColor="text2"/>
      </w:rPr>
      <w:t>authorised discharges of radioactive waste to the environment</w:t>
    </w:r>
  </w:p>
  <w:p w14:paraId="06DFA501" w14:textId="62163EC6" w:rsidR="00CE7AD0" w:rsidRDefault="0097703C" w:rsidP="0097703C">
    <w:pPr>
      <w:pStyle w:val="Header"/>
      <w:jc w:val="right"/>
    </w:pPr>
    <w:r>
      <w:rPr>
        <w:noProof/>
      </w:rPr>
      <mc:AlternateContent>
        <mc:Choice Requires="wps">
          <w:drawing>
            <wp:anchor distT="0" distB="0" distL="114300" distR="114300" simplePos="0" relativeHeight="251658245" behindDoc="0" locked="0" layoutInCell="1" allowOverlap="1" wp14:anchorId="46EDDA45" wp14:editId="2DDB6E25">
              <wp:simplePos x="0" y="0"/>
              <wp:positionH relativeFrom="column">
                <wp:posOffset>0</wp:posOffset>
              </wp:positionH>
              <wp:positionV relativeFrom="paragraph">
                <wp:posOffset>-635</wp:posOffset>
              </wp:positionV>
              <wp:extent cx="6467061" cy="0"/>
              <wp:effectExtent l="0" t="0" r="10160" b="12700"/>
              <wp:wrapNone/>
              <wp:docPr id="142384077" name="Straight Connector 1423840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93DE7" id="Straight Connector 142384077" o:spid="_x0000_s1026" alt="&quot;&quot;" style="position:absolute;flip:x;z-index:251658245;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" strokecolor="#016574 [3205]" strokeweight=".5pt">
              <v:stroke joinstyle="miter"/>
            </v:line>
          </w:pict>
        </mc:Fallback>
      </mc:AlternateContent>
    </w:r>
    <w:r w:rsidR="00CE7AD0">
      <w:rPr>
        <w:noProof/>
      </w:rPr>
      <mc:AlternateContent>
        <mc:Choice Requires="wps">
          <w:drawing>
            <wp:anchor distT="0" distB="0" distL="114300" distR="114300" simplePos="0" relativeHeight="251658243" behindDoc="0" locked="0" layoutInCell="0" allowOverlap="1" wp14:anchorId="523C743F" wp14:editId="2B71AF46">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5026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23C743F" id="Text Box 6" o:spid="_x0000_s1047" type="#_x0000_t202" alt="&quot;&quot;" style="position:absolute;left:0;text-align:left;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Q4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g/UOBcCAAArBAAADgAAAAAAAAAAAAAAAAAuAgAAZHJzL2Uyb0RvYy54bWxQSwECLQAUAAYACAAA&#10;ACEAjH9QWtsAAAAHAQAADwAAAAAAAAAAAAAAAABxBAAAZHJzL2Rvd25yZXYueG1sUEsFBgAAAAAE&#10;AAQA8wAAAHkFAAAAAA==&#10;" o:allowincell="f" filled="f" stroked="f" strokeweight=".5pt">
              <v:textbox inset=",0,,0">
                <w:txbxContent>
                  <w:p w14:paraId="2D15026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44251"/>
    <w:multiLevelType w:val="hybridMultilevel"/>
    <w:tmpl w:val="AC1071C4"/>
    <w:lvl w:ilvl="0" w:tplc="5FDE27B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0732B"/>
    <w:multiLevelType w:val="hybridMultilevel"/>
    <w:tmpl w:val="C6C4D796"/>
    <w:lvl w:ilvl="0" w:tplc="8C10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620320"/>
    <w:multiLevelType w:val="hybridMultilevel"/>
    <w:tmpl w:val="35CC5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C17B4D"/>
    <w:multiLevelType w:val="hybridMultilevel"/>
    <w:tmpl w:val="F7DE9FF6"/>
    <w:lvl w:ilvl="0" w:tplc="5FDE27B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47266"/>
    <w:multiLevelType w:val="hybridMultilevel"/>
    <w:tmpl w:val="FF06473E"/>
    <w:lvl w:ilvl="0" w:tplc="5FDE27B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76359"/>
    <w:multiLevelType w:val="hybridMultilevel"/>
    <w:tmpl w:val="CF127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182A7E"/>
    <w:multiLevelType w:val="hybridMultilevel"/>
    <w:tmpl w:val="346677D2"/>
    <w:lvl w:ilvl="0" w:tplc="A7FE43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B77C09"/>
    <w:multiLevelType w:val="hybridMultilevel"/>
    <w:tmpl w:val="44F4C6F8"/>
    <w:lvl w:ilvl="0" w:tplc="5FDE27B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25178D"/>
    <w:multiLevelType w:val="hybridMultilevel"/>
    <w:tmpl w:val="21621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6D757A"/>
    <w:multiLevelType w:val="hybridMultilevel"/>
    <w:tmpl w:val="83F4C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3409A2"/>
    <w:multiLevelType w:val="hybridMultilevel"/>
    <w:tmpl w:val="9960A822"/>
    <w:lvl w:ilvl="0" w:tplc="A11075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F54EB4"/>
    <w:multiLevelType w:val="hybridMultilevel"/>
    <w:tmpl w:val="0F78E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C94F6C"/>
    <w:multiLevelType w:val="hybridMultilevel"/>
    <w:tmpl w:val="3F562F82"/>
    <w:lvl w:ilvl="0" w:tplc="5FDE27B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14780"/>
    <w:multiLevelType w:val="hybridMultilevel"/>
    <w:tmpl w:val="1C126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1C0D45"/>
    <w:multiLevelType w:val="hybridMultilevel"/>
    <w:tmpl w:val="379A6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0F7C70"/>
    <w:multiLevelType w:val="hybridMultilevel"/>
    <w:tmpl w:val="58588322"/>
    <w:lvl w:ilvl="0" w:tplc="5FDE27B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D310B"/>
    <w:multiLevelType w:val="hybridMultilevel"/>
    <w:tmpl w:val="E6F6F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073FFF"/>
    <w:multiLevelType w:val="hybridMultilevel"/>
    <w:tmpl w:val="CB62E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C5239B"/>
    <w:multiLevelType w:val="hybridMultilevel"/>
    <w:tmpl w:val="5FB03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6F1AE9"/>
    <w:multiLevelType w:val="hybridMultilevel"/>
    <w:tmpl w:val="150E05DC"/>
    <w:lvl w:ilvl="0" w:tplc="5FDE27B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2567F"/>
    <w:multiLevelType w:val="hybridMultilevel"/>
    <w:tmpl w:val="96DAC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B74628"/>
    <w:multiLevelType w:val="hybridMultilevel"/>
    <w:tmpl w:val="4E30D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B1C4D"/>
    <w:multiLevelType w:val="hybridMultilevel"/>
    <w:tmpl w:val="BCF6A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34"/>
  </w:num>
  <w:num w:numId="12" w16cid:durableId="60641277">
    <w:abstractNumId w:val="26"/>
  </w:num>
  <w:num w:numId="13" w16cid:durableId="2002156795">
    <w:abstractNumId w:val="14"/>
  </w:num>
  <w:num w:numId="14" w16cid:durableId="1830947862">
    <w:abstractNumId w:val="17"/>
  </w:num>
  <w:num w:numId="15" w16cid:durableId="422528202">
    <w:abstractNumId w:val="11"/>
  </w:num>
  <w:num w:numId="16" w16cid:durableId="953243949">
    <w:abstractNumId w:val="21"/>
  </w:num>
  <w:num w:numId="17" w16cid:durableId="1812988385">
    <w:abstractNumId w:val="32"/>
  </w:num>
  <w:num w:numId="18" w16cid:durableId="1801411528">
    <w:abstractNumId w:val="30"/>
  </w:num>
  <w:num w:numId="19" w16cid:durableId="66147738">
    <w:abstractNumId w:val="18"/>
  </w:num>
  <w:num w:numId="20" w16cid:durableId="2089761383">
    <w:abstractNumId w:val="23"/>
  </w:num>
  <w:num w:numId="21" w16cid:durableId="1720396862">
    <w:abstractNumId w:val="13"/>
  </w:num>
  <w:num w:numId="22" w16cid:durableId="1050287">
    <w:abstractNumId w:val="15"/>
  </w:num>
  <w:num w:numId="23" w16cid:durableId="667444680">
    <w:abstractNumId w:val="10"/>
  </w:num>
  <w:num w:numId="24" w16cid:durableId="437412075">
    <w:abstractNumId w:val="31"/>
  </w:num>
  <w:num w:numId="25" w16cid:durableId="350883285">
    <w:abstractNumId w:val="27"/>
  </w:num>
  <w:num w:numId="26" w16cid:durableId="300114599">
    <w:abstractNumId w:val="16"/>
  </w:num>
  <w:num w:numId="27" w16cid:durableId="424233981">
    <w:abstractNumId w:val="25"/>
  </w:num>
  <w:num w:numId="28" w16cid:durableId="705570476">
    <w:abstractNumId w:val="19"/>
  </w:num>
  <w:num w:numId="29" w16cid:durableId="1024939768">
    <w:abstractNumId w:val="28"/>
  </w:num>
  <w:num w:numId="30" w16cid:durableId="88552755">
    <w:abstractNumId w:val="35"/>
  </w:num>
  <w:num w:numId="31" w16cid:durableId="1383366125">
    <w:abstractNumId w:val="24"/>
  </w:num>
  <w:num w:numId="32" w16cid:durableId="1319075665">
    <w:abstractNumId w:val="22"/>
  </w:num>
  <w:num w:numId="33" w16cid:durableId="1288438622">
    <w:abstractNumId w:val="33"/>
  </w:num>
  <w:num w:numId="34" w16cid:durableId="210116993">
    <w:abstractNumId w:val="12"/>
  </w:num>
  <w:num w:numId="35" w16cid:durableId="1787846316">
    <w:abstractNumId w:val="20"/>
  </w:num>
  <w:num w:numId="36" w16cid:durableId="3959325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F0"/>
    <w:rsid w:val="00006AFA"/>
    <w:rsid w:val="00011AE5"/>
    <w:rsid w:val="00014FDB"/>
    <w:rsid w:val="00022B7E"/>
    <w:rsid w:val="00032829"/>
    <w:rsid w:val="000335A2"/>
    <w:rsid w:val="0003471C"/>
    <w:rsid w:val="00040561"/>
    <w:rsid w:val="00044C78"/>
    <w:rsid w:val="0005317F"/>
    <w:rsid w:val="00055723"/>
    <w:rsid w:val="000652A8"/>
    <w:rsid w:val="00070937"/>
    <w:rsid w:val="000921A4"/>
    <w:rsid w:val="000A0080"/>
    <w:rsid w:val="000A7FAB"/>
    <w:rsid w:val="000B03C4"/>
    <w:rsid w:val="000B5B43"/>
    <w:rsid w:val="000B7559"/>
    <w:rsid w:val="000E0D15"/>
    <w:rsid w:val="000F7526"/>
    <w:rsid w:val="00105F31"/>
    <w:rsid w:val="001117FD"/>
    <w:rsid w:val="00111866"/>
    <w:rsid w:val="001138C7"/>
    <w:rsid w:val="00114E37"/>
    <w:rsid w:val="00117F35"/>
    <w:rsid w:val="0012185C"/>
    <w:rsid w:val="00132141"/>
    <w:rsid w:val="00135F2F"/>
    <w:rsid w:val="001553B3"/>
    <w:rsid w:val="00163E60"/>
    <w:rsid w:val="001771DD"/>
    <w:rsid w:val="001774CD"/>
    <w:rsid w:val="00181B64"/>
    <w:rsid w:val="00182E41"/>
    <w:rsid w:val="00183102"/>
    <w:rsid w:val="00183442"/>
    <w:rsid w:val="00185245"/>
    <w:rsid w:val="00190C7A"/>
    <w:rsid w:val="001940A7"/>
    <w:rsid w:val="001A324D"/>
    <w:rsid w:val="001A33FA"/>
    <w:rsid w:val="001B46F5"/>
    <w:rsid w:val="001C40C7"/>
    <w:rsid w:val="001C7DB2"/>
    <w:rsid w:val="001D1EA9"/>
    <w:rsid w:val="001E0040"/>
    <w:rsid w:val="001E02A5"/>
    <w:rsid w:val="001E1078"/>
    <w:rsid w:val="001F6112"/>
    <w:rsid w:val="001F6F26"/>
    <w:rsid w:val="001F7804"/>
    <w:rsid w:val="00207E04"/>
    <w:rsid w:val="0021061F"/>
    <w:rsid w:val="00225B15"/>
    <w:rsid w:val="00225D84"/>
    <w:rsid w:val="00230942"/>
    <w:rsid w:val="00231FBA"/>
    <w:rsid w:val="00232CB1"/>
    <w:rsid w:val="002333B3"/>
    <w:rsid w:val="00233B3B"/>
    <w:rsid w:val="00234BB4"/>
    <w:rsid w:val="00236552"/>
    <w:rsid w:val="00245D04"/>
    <w:rsid w:val="0024635F"/>
    <w:rsid w:val="00250320"/>
    <w:rsid w:val="00251C30"/>
    <w:rsid w:val="0025709E"/>
    <w:rsid w:val="0026731A"/>
    <w:rsid w:val="002746D8"/>
    <w:rsid w:val="0027496A"/>
    <w:rsid w:val="00276E85"/>
    <w:rsid w:val="00281BB1"/>
    <w:rsid w:val="0028609B"/>
    <w:rsid w:val="00290883"/>
    <w:rsid w:val="00290B1F"/>
    <w:rsid w:val="002970E2"/>
    <w:rsid w:val="002B37A4"/>
    <w:rsid w:val="002B5510"/>
    <w:rsid w:val="002B668A"/>
    <w:rsid w:val="002C1CA8"/>
    <w:rsid w:val="002C4457"/>
    <w:rsid w:val="002C60B2"/>
    <w:rsid w:val="002C73D3"/>
    <w:rsid w:val="002E203D"/>
    <w:rsid w:val="002E482D"/>
    <w:rsid w:val="002F2D79"/>
    <w:rsid w:val="002F44AB"/>
    <w:rsid w:val="002F5C5E"/>
    <w:rsid w:val="002F5DB4"/>
    <w:rsid w:val="002F729F"/>
    <w:rsid w:val="0030096D"/>
    <w:rsid w:val="00306C2A"/>
    <w:rsid w:val="003078D2"/>
    <w:rsid w:val="00313375"/>
    <w:rsid w:val="00317618"/>
    <w:rsid w:val="00317D1B"/>
    <w:rsid w:val="00320651"/>
    <w:rsid w:val="003236AA"/>
    <w:rsid w:val="00326A66"/>
    <w:rsid w:val="00326EA4"/>
    <w:rsid w:val="003273F4"/>
    <w:rsid w:val="003331A7"/>
    <w:rsid w:val="00342C55"/>
    <w:rsid w:val="00342DBC"/>
    <w:rsid w:val="003514B8"/>
    <w:rsid w:val="00356EE9"/>
    <w:rsid w:val="00363DBD"/>
    <w:rsid w:val="00370855"/>
    <w:rsid w:val="00371B89"/>
    <w:rsid w:val="00374FA1"/>
    <w:rsid w:val="00375100"/>
    <w:rsid w:val="00382A97"/>
    <w:rsid w:val="00385BF5"/>
    <w:rsid w:val="003936B7"/>
    <w:rsid w:val="003A32AB"/>
    <w:rsid w:val="003B3018"/>
    <w:rsid w:val="003B3AA8"/>
    <w:rsid w:val="003B6626"/>
    <w:rsid w:val="003B6A5E"/>
    <w:rsid w:val="003C2CA3"/>
    <w:rsid w:val="003D0175"/>
    <w:rsid w:val="003D1840"/>
    <w:rsid w:val="003D424E"/>
    <w:rsid w:val="003E20FE"/>
    <w:rsid w:val="003F5384"/>
    <w:rsid w:val="00400CEB"/>
    <w:rsid w:val="004073BC"/>
    <w:rsid w:val="0041075E"/>
    <w:rsid w:val="00417BE1"/>
    <w:rsid w:val="00440DB0"/>
    <w:rsid w:val="00444AA1"/>
    <w:rsid w:val="00451510"/>
    <w:rsid w:val="00461AE1"/>
    <w:rsid w:val="004635F4"/>
    <w:rsid w:val="00470FDD"/>
    <w:rsid w:val="00473691"/>
    <w:rsid w:val="00474913"/>
    <w:rsid w:val="004855C7"/>
    <w:rsid w:val="004A32BF"/>
    <w:rsid w:val="004B12E6"/>
    <w:rsid w:val="004C01FD"/>
    <w:rsid w:val="004C1767"/>
    <w:rsid w:val="004C392E"/>
    <w:rsid w:val="004D1CAC"/>
    <w:rsid w:val="004D3563"/>
    <w:rsid w:val="004E26F9"/>
    <w:rsid w:val="004E2749"/>
    <w:rsid w:val="00501937"/>
    <w:rsid w:val="005037EB"/>
    <w:rsid w:val="0050429C"/>
    <w:rsid w:val="0052425B"/>
    <w:rsid w:val="0052670E"/>
    <w:rsid w:val="00526E21"/>
    <w:rsid w:val="00551989"/>
    <w:rsid w:val="00562075"/>
    <w:rsid w:val="00567513"/>
    <w:rsid w:val="00570F4F"/>
    <w:rsid w:val="00583BD4"/>
    <w:rsid w:val="00586F5F"/>
    <w:rsid w:val="0059272C"/>
    <w:rsid w:val="005947A1"/>
    <w:rsid w:val="005A1B71"/>
    <w:rsid w:val="005A355E"/>
    <w:rsid w:val="005A3FF7"/>
    <w:rsid w:val="005C2521"/>
    <w:rsid w:val="005D1213"/>
    <w:rsid w:val="005D4C2F"/>
    <w:rsid w:val="005D6DE0"/>
    <w:rsid w:val="005E6786"/>
    <w:rsid w:val="005E7F1A"/>
    <w:rsid w:val="005F6715"/>
    <w:rsid w:val="0060114D"/>
    <w:rsid w:val="00604F59"/>
    <w:rsid w:val="00605A82"/>
    <w:rsid w:val="006062E8"/>
    <w:rsid w:val="006146A1"/>
    <w:rsid w:val="00615AB0"/>
    <w:rsid w:val="00617D06"/>
    <w:rsid w:val="0062156C"/>
    <w:rsid w:val="006243FF"/>
    <w:rsid w:val="00630860"/>
    <w:rsid w:val="00631FFC"/>
    <w:rsid w:val="00650B15"/>
    <w:rsid w:val="006609C3"/>
    <w:rsid w:val="00660C79"/>
    <w:rsid w:val="006774E3"/>
    <w:rsid w:val="00684B53"/>
    <w:rsid w:val="00686777"/>
    <w:rsid w:val="00695457"/>
    <w:rsid w:val="006A409A"/>
    <w:rsid w:val="006B64D0"/>
    <w:rsid w:val="006C024C"/>
    <w:rsid w:val="006D001A"/>
    <w:rsid w:val="006D07B1"/>
    <w:rsid w:val="006D16CE"/>
    <w:rsid w:val="006D6015"/>
    <w:rsid w:val="006E761A"/>
    <w:rsid w:val="006E7F2E"/>
    <w:rsid w:val="00702660"/>
    <w:rsid w:val="00711EB0"/>
    <w:rsid w:val="00716D62"/>
    <w:rsid w:val="00751594"/>
    <w:rsid w:val="00762A56"/>
    <w:rsid w:val="007867C3"/>
    <w:rsid w:val="00796646"/>
    <w:rsid w:val="007A398C"/>
    <w:rsid w:val="007B0B08"/>
    <w:rsid w:val="007B5F75"/>
    <w:rsid w:val="007C3F12"/>
    <w:rsid w:val="007C7738"/>
    <w:rsid w:val="007D29C8"/>
    <w:rsid w:val="007D441B"/>
    <w:rsid w:val="00800ABA"/>
    <w:rsid w:val="00801105"/>
    <w:rsid w:val="008017FD"/>
    <w:rsid w:val="00804E1D"/>
    <w:rsid w:val="00805574"/>
    <w:rsid w:val="0081362F"/>
    <w:rsid w:val="008328EF"/>
    <w:rsid w:val="00836BC4"/>
    <w:rsid w:val="00841791"/>
    <w:rsid w:val="008449E2"/>
    <w:rsid w:val="00847C7A"/>
    <w:rsid w:val="0085210C"/>
    <w:rsid w:val="00852E4A"/>
    <w:rsid w:val="008567F0"/>
    <w:rsid w:val="00857DF0"/>
    <w:rsid w:val="00861B46"/>
    <w:rsid w:val="008673D1"/>
    <w:rsid w:val="0087424F"/>
    <w:rsid w:val="00883931"/>
    <w:rsid w:val="008875AA"/>
    <w:rsid w:val="008971B9"/>
    <w:rsid w:val="008A1103"/>
    <w:rsid w:val="008B779F"/>
    <w:rsid w:val="008C1A73"/>
    <w:rsid w:val="008C5B94"/>
    <w:rsid w:val="008C7086"/>
    <w:rsid w:val="008D113C"/>
    <w:rsid w:val="008D376F"/>
    <w:rsid w:val="008E3C6F"/>
    <w:rsid w:val="008E69F4"/>
    <w:rsid w:val="009031D8"/>
    <w:rsid w:val="00910A33"/>
    <w:rsid w:val="00912552"/>
    <w:rsid w:val="00912D36"/>
    <w:rsid w:val="00917BB1"/>
    <w:rsid w:val="00933369"/>
    <w:rsid w:val="00964237"/>
    <w:rsid w:val="00975D21"/>
    <w:rsid w:val="0097703C"/>
    <w:rsid w:val="00980531"/>
    <w:rsid w:val="009839DC"/>
    <w:rsid w:val="00985449"/>
    <w:rsid w:val="00986D83"/>
    <w:rsid w:val="009970BD"/>
    <w:rsid w:val="009A240D"/>
    <w:rsid w:val="009A5FC8"/>
    <w:rsid w:val="009B393B"/>
    <w:rsid w:val="009B3D13"/>
    <w:rsid w:val="009B6B68"/>
    <w:rsid w:val="009C0EF9"/>
    <w:rsid w:val="009C659A"/>
    <w:rsid w:val="009C6D2F"/>
    <w:rsid w:val="009D2DEE"/>
    <w:rsid w:val="009D587D"/>
    <w:rsid w:val="009E17FD"/>
    <w:rsid w:val="009E47D8"/>
    <w:rsid w:val="009E5A0D"/>
    <w:rsid w:val="009F3450"/>
    <w:rsid w:val="009F46F9"/>
    <w:rsid w:val="00A15642"/>
    <w:rsid w:val="00A317CE"/>
    <w:rsid w:val="00A32095"/>
    <w:rsid w:val="00A340A1"/>
    <w:rsid w:val="00A41E5A"/>
    <w:rsid w:val="00A54616"/>
    <w:rsid w:val="00A62F65"/>
    <w:rsid w:val="00A65F39"/>
    <w:rsid w:val="00A7723E"/>
    <w:rsid w:val="00A81291"/>
    <w:rsid w:val="00A9349C"/>
    <w:rsid w:val="00AA7A0C"/>
    <w:rsid w:val="00AB01A7"/>
    <w:rsid w:val="00AB14E6"/>
    <w:rsid w:val="00AB47E4"/>
    <w:rsid w:val="00AC1A5B"/>
    <w:rsid w:val="00AC4DD4"/>
    <w:rsid w:val="00AD18A8"/>
    <w:rsid w:val="00AD321D"/>
    <w:rsid w:val="00AD66E1"/>
    <w:rsid w:val="00AD7263"/>
    <w:rsid w:val="00AE068C"/>
    <w:rsid w:val="00AE1DFE"/>
    <w:rsid w:val="00AE39EB"/>
    <w:rsid w:val="00AF557D"/>
    <w:rsid w:val="00AF5608"/>
    <w:rsid w:val="00AF73DF"/>
    <w:rsid w:val="00AF7807"/>
    <w:rsid w:val="00B006B1"/>
    <w:rsid w:val="00B27B06"/>
    <w:rsid w:val="00B33A7E"/>
    <w:rsid w:val="00B34386"/>
    <w:rsid w:val="00B37249"/>
    <w:rsid w:val="00B41425"/>
    <w:rsid w:val="00B43282"/>
    <w:rsid w:val="00B46E48"/>
    <w:rsid w:val="00B54CF4"/>
    <w:rsid w:val="00B6049A"/>
    <w:rsid w:val="00B71C9F"/>
    <w:rsid w:val="00B7304B"/>
    <w:rsid w:val="00B82475"/>
    <w:rsid w:val="00B84388"/>
    <w:rsid w:val="00B860EB"/>
    <w:rsid w:val="00BA2507"/>
    <w:rsid w:val="00BB205D"/>
    <w:rsid w:val="00BB2AB6"/>
    <w:rsid w:val="00BB3AD4"/>
    <w:rsid w:val="00BB675F"/>
    <w:rsid w:val="00BD5CBC"/>
    <w:rsid w:val="00BD75FF"/>
    <w:rsid w:val="00BE3D44"/>
    <w:rsid w:val="00BE3E77"/>
    <w:rsid w:val="00BF1754"/>
    <w:rsid w:val="00C134B0"/>
    <w:rsid w:val="00C14CB1"/>
    <w:rsid w:val="00C15BED"/>
    <w:rsid w:val="00C168F8"/>
    <w:rsid w:val="00C2078C"/>
    <w:rsid w:val="00C23D84"/>
    <w:rsid w:val="00C34C07"/>
    <w:rsid w:val="00C35091"/>
    <w:rsid w:val="00C55FFE"/>
    <w:rsid w:val="00C569B9"/>
    <w:rsid w:val="00C700CB"/>
    <w:rsid w:val="00C82C57"/>
    <w:rsid w:val="00C91087"/>
    <w:rsid w:val="00C9352C"/>
    <w:rsid w:val="00C958EB"/>
    <w:rsid w:val="00CA07DE"/>
    <w:rsid w:val="00CA3E90"/>
    <w:rsid w:val="00CA6D5A"/>
    <w:rsid w:val="00CB613C"/>
    <w:rsid w:val="00CC04F5"/>
    <w:rsid w:val="00CD0362"/>
    <w:rsid w:val="00CD356E"/>
    <w:rsid w:val="00CD52F9"/>
    <w:rsid w:val="00CD6AC0"/>
    <w:rsid w:val="00CE1F54"/>
    <w:rsid w:val="00CE571F"/>
    <w:rsid w:val="00CE7AD0"/>
    <w:rsid w:val="00CF132C"/>
    <w:rsid w:val="00CF7EFB"/>
    <w:rsid w:val="00D00FFB"/>
    <w:rsid w:val="00D0490E"/>
    <w:rsid w:val="00D07A2C"/>
    <w:rsid w:val="00D12B1C"/>
    <w:rsid w:val="00D33B92"/>
    <w:rsid w:val="00D35448"/>
    <w:rsid w:val="00D370EB"/>
    <w:rsid w:val="00D46594"/>
    <w:rsid w:val="00D5744F"/>
    <w:rsid w:val="00D65A6E"/>
    <w:rsid w:val="00D71D7F"/>
    <w:rsid w:val="00D72995"/>
    <w:rsid w:val="00DA23DA"/>
    <w:rsid w:val="00DA495A"/>
    <w:rsid w:val="00DA50A7"/>
    <w:rsid w:val="00DB2EDC"/>
    <w:rsid w:val="00DC0E2A"/>
    <w:rsid w:val="00DC39BF"/>
    <w:rsid w:val="00DC71FC"/>
    <w:rsid w:val="00DC74D0"/>
    <w:rsid w:val="00DD3D52"/>
    <w:rsid w:val="00DD5EAC"/>
    <w:rsid w:val="00DE7EF0"/>
    <w:rsid w:val="00E0699E"/>
    <w:rsid w:val="00E10899"/>
    <w:rsid w:val="00E11A56"/>
    <w:rsid w:val="00E221FD"/>
    <w:rsid w:val="00E46DB6"/>
    <w:rsid w:val="00E528F6"/>
    <w:rsid w:val="00E67C75"/>
    <w:rsid w:val="00E900E4"/>
    <w:rsid w:val="00E92EAF"/>
    <w:rsid w:val="00E96CAF"/>
    <w:rsid w:val="00E97344"/>
    <w:rsid w:val="00EA72BA"/>
    <w:rsid w:val="00EB2CDA"/>
    <w:rsid w:val="00EC20F6"/>
    <w:rsid w:val="00EC4A56"/>
    <w:rsid w:val="00EC4BF1"/>
    <w:rsid w:val="00EC6077"/>
    <w:rsid w:val="00EC6A73"/>
    <w:rsid w:val="00ED3F32"/>
    <w:rsid w:val="00EE38FE"/>
    <w:rsid w:val="00EE54FD"/>
    <w:rsid w:val="00EF218A"/>
    <w:rsid w:val="00EF7E47"/>
    <w:rsid w:val="00EF7F00"/>
    <w:rsid w:val="00F0686D"/>
    <w:rsid w:val="00F07048"/>
    <w:rsid w:val="00F34353"/>
    <w:rsid w:val="00F3749F"/>
    <w:rsid w:val="00F37C79"/>
    <w:rsid w:val="00F52B39"/>
    <w:rsid w:val="00F56AF2"/>
    <w:rsid w:val="00F612F3"/>
    <w:rsid w:val="00F630E6"/>
    <w:rsid w:val="00F72274"/>
    <w:rsid w:val="00F73B1F"/>
    <w:rsid w:val="00F766A5"/>
    <w:rsid w:val="00F9089F"/>
    <w:rsid w:val="00F96148"/>
    <w:rsid w:val="00F96875"/>
    <w:rsid w:val="00FA1B5F"/>
    <w:rsid w:val="00FA2D80"/>
    <w:rsid w:val="00FB57E8"/>
    <w:rsid w:val="00FC6CF2"/>
    <w:rsid w:val="00FC71E4"/>
    <w:rsid w:val="00FD286D"/>
    <w:rsid w:val="00FD5830"/>
    <w:rsid w:val="00FE2D54"/>
    <w:rsid w:val="00FF2DDA"/>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5C4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F3"/>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A65F39"/>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A65F39"/>
    <w:pPr>
      <w:spacing w:after="100"/>
    </w:pPr>
  </w:style>
  <w:style w:type="paragraph" w:styleId="TOC2">
    <w:name w:val="toc 2"/>
    <w:basedOn w:val="Normal"/>
    <w:next w:val="Normal"/>
    <w:autoRedefine/>
    <w:uiPriority w:val="39"/>
    <w:unhideWhenUsed/>
    <w:rsid w:val="00A65F39"/>
    <w:pPr>
      <w:spacing w:after="100"/>
      <w:ind w:left="240"/>
    </w:pPr>
  </w:style>
  <w:style w:type="paragraph" w:styleId="TOC3">
    <w:name w:val="toc 3"/>
    <w:basedOn w:val="Normal"/>
    <w:next w:val="Normal"/>
    <w:autoRedefine/>
    <w:uiPriority w:val="39"/>
    <w:unhideWhenUsed/>
    <w:rsid w:val="00A65F39"/>
    <w:pPr>
      <w:spacing w:after="100"/>
      <w:ind w:left="480"/>
    </w:pPr>
  </w:style>
  <w:style w:type="paragraph" w:styleId="ListParagraph">
    <w:name w:val="List Paragraph"/>
    <w:basedOn w:val="Normal"/>
    <w:uiPriority w:val="34"/>
    <w:qFormat/>
    <w:rsid w:val="00E221FD"/>
    <w:pPr>
      <w:overflowPunct w:val="0"/>
      <w:autoSpaceDE w:val="0"/>
      <w:autoSpaceDN w:val="0"/>
      <w:adjustRightInd w:val="0"/>
      <w:spacing w:after="200"/>
      <w:ind w:left="720" w:hanging="720"/>
      <w:contextualSpacing/>
      <w:textAlignment w:val="baseline"/>
    </w:pPr>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9D2DEE"/>
    <w:pPr>
      <w:spacing w:line="240" w:lineRule="auto"/>
    </w:pPr>
    <w:rPr>
      <w:sz w:val="20"/>
      <w:szCs w:val="20"/>
    </w:rPr>
  </w:style>
  <w:style w:type="character" w:customStyle="1" w:styleId="FootnoteTextChar">
    <w:name w:val="Footnote Text Char"/>
    <w:basedOn w:val="DefaultParagraphFont"/>
    <w:link w:val="FootnoteText"/>
    <w:uiPriority w:val="99"/>
    <w:semiHidden/>
    <w:rsid w:val="009D2DEE"/>
    <w:rPr>
      <w:rFonts w:eastAsiaTheme="minorEastAsia"/>
      <w:sz w:val="20"/>
      <w:szCs w:val="20"/>
    </w:rPr>
  </w:style>
  <w:style w:type="character" w:styleId="FootnoteReference">
    <w:name w:val="footnote reference"/>
    <w:basedOn w:val="DefaultParagraphFont"/>
    <w:uiPriority w:val="99"/>
    <w:semiHidden/>
    <w:unhideWhenUsed/>
    <w:rsid w:val="009D2DEE"/>
    <w:rPr>
      <w:vertAlign w:val="superscript"/>
    </w:rPr>
  </w:style>
  <w:style w:type="character" w:styleId="CommentReference">
    <w:name w:val="annotation reference"/>
    <w:basedOn w:val="DefaultParagraphFont"/>
    <w:uiPriority w:val="99"/>
    <w:semiHidden/>
    <w:unhideWhenUsed/>
    <w:rsid w:val="009F46F9"/>
    <w:rPr>
      <w:sz w:val="16"/>
      <w:szCs w:val="16"/>
    </w:rPr>
  </w:style>
  <w:style w:type="paragraph" w:styleId="CommentText">
    <w:name w:val="annotation text"/>
    <w:basedOn w:val="Normal"/>
    <w:link w:val="CommentTextChar"/>
    <w:uiPriority w:val="99"/>
    <w:unhideWhenUsed/>
    <w:rsid w:val="009F46F9"/>
    <w:pPr>
      <w:spacing w:line="240" w:lineRule="auto"/>
    </w:pPr>
    <w:rPr>
      <w:sz w:val="20"/>
      <w:szCs w:val="20"/>
    </w:rPr>
  </w:style>
  <w:style w:type="character" w:customStyle="1" w:styleId="CommentTextChar">
    <w:name w:val="Comment Text Char"/>
    <w:basedOn w:val="DefaultParagraphFont"/>
    <w:link w:val="CommentText"/>
    <w:uiPriority w:val="99"/>
    <w:rsid w:val="009F46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46F9"/>
    <w:rPr>
      <w:b/>
      <w:bCs/>
    </w:rPr>
  </w:style>
  <w:style w:type="character" w:customStyle="1" w:styleId="CommentSubjectChar">
    <w:name w:val="Comment Subject Char"/>
    <w:basedOn w:val="CommentTextChar"/>
    <w:link w:val="CommentSubject"/>
    <w:uiPriority w:val="99"/>
    <w:semiHidden/>
    <w:rsid w:val="009F46F9"/>
    <w:rPr>
      <w:rFonts w:eastAsiaTheme="minorEastAsia"/>
      <w:b/>
      <w:bCs/>
      <w:sz w:val="20"/>
      <w:szCs w:val="20"/>
    </w:rPr>
  </w:style>
  <w:style w:type="table" w:styleId="TableGrid">
    <w:name w:val="Table Grid"/>
    <w:basedOn w:val="TableNormal"/>
    <w:uiPriority w:val="39"/>
    <w:rsid w:val="003D18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507"/>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tm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ukhsa-protectionservices.org.uk%2Feras%2Fresources%2F&amp;data=05%7C02%7Celaine.moloney%40sepa.org.uk%7C280bc2a1d0724c77967508de8f0d8cfe%7C5cf26d65cf464c72ba827577d9c2d7ab%7C0%7C0%7C639105485801309236%7CUnknown%7CTWFpbGZsb3d8eyJFbXB0eU1hcGkiOnRydWUsIlYiOiIwLjAuMDAwMCIsIlAiOiJXaW4zMiIsIkFOIjoiTWFpbCIsIldUIjoyfQ%3D%3D%7C0%7C%7C%7C&amp;sdata=JMvWWp9Z84lMAdrZxjiNrLV4cyc3pXJXgm3zldB%2BVp4%3D&amp;reserved=0"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mailto:equalities@sepa.org.uk" TargetMode="External"/><Relationship Id="rId19" Type="http://schemas.openxmlformats.org/officeDocument/2006/relationships/image" Target="media/image5.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7" ma:contentTypeDescription="Create a new document." ma:contentTypeScope="" ma:versionID="36c3ebc394fae501c76e7456ef5f373e">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b2a5e6ce53691e0c35fc32e34a626dfa"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A4A66318-B4E1-48E9-9623-09DA15D51BB1}"/>
</file>

<file path=customXml/itemProps3.xml><?xml version="1.0" encoding="utf-8"?>
<ds:datastoreItem xmlns:ds="http://schemas.openxmlformats.org/officeDocument/2006/customXml" ds:itemID="{D35748ED-AAA3-449A-81DD-041AF9546FA7}"/>
</file>

<file path=customXml/itemProps4.xml><?xml version="1.0" encoding="utf-8"?>
<ds:datastoreItem xmlns:ds="http://schemas.openxmlformats.org/officeDocument/2006/customXml" ds:itemID="{E2BCC3F7-DD4D-4E38-9544-CC458BE23B50}"/>
</file>

<file path=docProps/app.xml><?xml version="1.0" encoding="utf-8"?>
<Properties xmlns="http://schemas.openxmlformats.org/officeDocument/2006/extended-properties" xmlns:vt="http://schemas.openxmlformats.org/officeDocument/2006/docPropsVTypes">
  <Template>Normal</Template>
  <TotalTime>0</TotalTime>
  <Pages>87</Pages>
  <Words>23727</Words>
  <Characters>135244</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Public_dose_assessment_principles RS-G-046</dc:title>
  <dc:subject/>
  <dc:creator/>
  <cp:keywords/>
  <dc:description/>
  <cp:lastModifiedBy/>
  <cp:revision>1</cp:revision>
  <dcterms:created xsi:type="dcterms:W3CDTF">2026-05-14T07:53:00Z</dcterms:created>
  <dcterms:modified xsi:type="dcterms:W3CDTF">2026-05-14T07:57:00Z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1a88d3f3,6dae47fb,abd9796</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61c7e765,3029d01e,79579059</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2026-05-14T07:54:10Z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5effba14-8eb0-4a86-988d-50b3d8ee19a0</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