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1F97BA9D" w:rsidR="0048711D" w:rsidRDefault="00661E10" w:rsidP="00D833B1">
      <w:pPr>
        <w:pStyle w:val="Title"/>
        <w:spacing w:line="360" w:lineRule="auto"/>
      </w:pPr>
      <w:r>
        <w:t xml:space="preserve">Reservoirs briefing note: </w:t>
      </w:r>
      <w:r w:rsidR="00156878">
        <w:t>o</w:t>
      </w:r>
      <w:r w:rsidR="003D6642">
        <w:t>verview</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8"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11354354" w14:textId="77777777" w:rsidR="00410E38" w:rsidRDefault="00410E38" w:rsidP="006C25B3">
      <w:pPr>
        <w:spacing w:line="360" w:lineRule="auto"/>
        <w:rPr>
          <w:rFonts w:eastAsiaTheme="majorEastAsia"/>
          <w:spacing w:val="-10"/>
          <w:kern w:val="28"/>
          <w:sz w:val="32"/>
          <w:szCs w:val="32"/>
        </w:rPr>
      </w:pPr>
    </w:p>
    <w:p w14:paraId="5237866C" w14:textId="77777777" w:rsidR="00410E38" w:rsidRDefault="00410E38" w:rsidP="006C25B3">
      <w:pPr>
        <w:spacing w:line="360" w:lineRule="auto"/>
        <w:rPr>
          <w:rFonts w:eastAsiaTheme="majorEastAsia"/>
          <w:spacing w:val="-10"/>
          <w:kern w:val="28"/>
          <w:sz w:val="32"/>
          <w:szCs w:val="32"/>
        </w:rPr>
      </w:pPr>
    </w:p>
    <w:p w14:paraId="4836340F" w14:textId="77777777" w:rsidR="00410E38" w:rsidRDefault="00410E38" w:rsidP="006C25B3">
      <w:pPr>
        <w:spacing w:line="360" w:lineRule="auto"/>
        <w:rPr>
          <w:rFonts w:eastAsiaTheme="majorEastAsia"/>
          <w:spacing w:val="-10"/>
          <w:kern w:val="28"/>
          <w:sz w:val="32"/>
          <w:szCs w:val="32"/>
        </w:rPr>
      </w:pPr>
    </w:p>
    <w:p w14:paraId="39D32BE9" w14:textId="77777777" w:rsidR="00410E38" w:rsidRDefault="00410E38" w:rsidP="00410E38">
      <w:pPr>
        <w:rPr>
          <w:rFonts w:eastAsiaTheme="majorEastAsia"/>
          <w:b/>
          <w:bCs/>
          <w:color w:val="016574"/>
          <w:sz w:val="28"/>
          <w:szCs w:val="28"/>
        </w:rPr>
      </w:pPr>
    </w:p>
    <w:p w14:paraId="72E9F710" w14:textId="77777777" w:rsidR="00410E38" w:rsidRDefault="00410E38" w:rsidP="00410E38">
      <w:pPr>
        <w:rPr>
          <w:rFonts w:eastAsiaTheme="majorEastAsia"/>
          <w:b/>
          <w:bCs/>
          <w:color w:val="016574"/>
          <w:sz w:val="28"/>
          <w:szCs w:val="28"/>
        </w:rPr>
      </w:pPr>
    </w:p>
    <w:p w14:paraId="771C6518" w14:textId="77777777" w:rsidR="00410E38" w:rsidRDefault="00410E38" w:rsidP="00410E38">
      <w:pPr>
        <w:rPr>
          <w:rFonts w:eastAsiaTheme="majorEastAsia"/>
          <w:b/>
          <w:bCs/>
          <w:color w:val="016574"/>
          <w:sz w:val="28"/>
          <w:szCs w:val="28"/>
        </w:rPr>
      </w:pPr>
    </w:p>
    <w:p w14:paraId="3B4AEF96" w14:textId="77777777" w:rsidR="00410E38" w:rsidRDefault="00410E38" w:rsidP="00410E38">
      <w:pPr>
        <w:rPr>
          <w:rFonts w:eastAsiaTheme="majorEastAsia"/>
          <w:b/>
          <w:bCs/>
          <w:color w:val="016574"/>
          <w:sz w:val="28"/>
          <w:szCs w:val="28"/>
        </w:rPr>
      </w:pPr>
    </w:p>
    <w:p w14:paraId="658D669C" w14:textId="77777777" w:rsidR="00410E38" w:rsidRDefault="00410E38" w:rsidP="00410E38">
      <w:pPr>
        <w:rPr>
          <w:rFonts w:eastAsiaTheme="majorEastAsia"/>
          <w:b/>
          <w:bCs/>
          <w:color w:val="016574"/>
          <w:sz w:val="28"/>
          <w:szCs w:val="28"/>
        </w:rPr>
      </w:pPr>
    </w:p>
    <w:p w14:paraId="1709C3C9" w14:textId="77777777" w:rsidR="00410E38" w:rsidRDefault="00410E38" w:rsidP="00410E38">
      <w:pPr>
        <w:rPr>
          <w:rFonts w:eastAsiaTheme="majorEastAsia"/>
          <w:b/>
          <w:bCs/>
          <w:color w:val="016574"/>
          <w:sz w:val="28"/>
          <w:szCs w:val="28"/>
        </w:rPr>
      </w:pPr>
    </w:p>
    <w:p w14:paraId="1CF14505" w14:textId="77777777" w:rsidR="00410E38" w:rsidRDefault="00410E38" w:rsidP="00410E38">
      <w:pPr>
        <w:rPr>
          <w:rFonts w:eastAsiaTheme="majorEastAsia"/>
          <w:b/>
          <w:bCs/>
          <w:color w:val="016574"/>
          <w:sz w:val="28"/>
          <w:szCs w:val="28"/>
        </w:rPr>
      </w:pPr>
    </w:p>
    <w:p w14:paraId="38BDF838" w14:textId="77777777" w:rsidR="00410E38" w:rsidRDefault="00410E38" w:rsidP="00410E38">
      <w:pPr>
        <w:rPr>
          <w:rFonts w:eastAsiaTheme="majorEastAsia"/>
          <w:b/>
          <w:bCs/>
          <w:color w:val="016574"/>
          <w:sz w:val="28"/>
          <w:szCs w:val="28"/>
        </w:rPr>
      </w:pPr>
    </w:p>
    <w:p w14:paraId="6B08FFBB" w14:textId="77777777" w:rsidR="00410E38" w:rsidRDefault="00410E38" w:rsidP="00410E38">
      <w:pPr>
        <w:rPr>
          <w:rFonts w:eastAsiaTheme="majorEastAsia"/>
          <w:b/>
          <w:bCs/>
          <w:color w:val="016574"/>
          <w:sz w:val="28"/>
          <w:szCs w:val="28"/>
        </w:rPr>
      </w:pPr>
    </w:p>
    <w:p w14:paraId="303E3C6C" w14:textId="6AE840C0" w:rsidR="00410E38" w:rsidRPr="00410E38" w:rsidRDefault="00410E38" w:rsidP="00410E38">
      <w:pPr>
        <w:rPr>
          <w:rFonts w:eastAsiaTheme="majorEastAsia"/>
          <w:b/>
          <w:bCs/>
          <w:color w:val="016574"/>
          <w:sz w:val="28"/>
          <w:szCs w:val="28"/>
        </w:rPr>
      </w:pPr>
      <w:r w:rsidRPr="00410E38">
        <w:rPr>
          <w:rFonts w:eastAsiaTheme="majorEastAsia"/>
          <w:b/>
          <w:bCs/>
          <w:color w:val="016574"/>
          <w:sz w:val="28"/>
          <w:szCs w:val="28"/>
        </w:rPr>
        <w:t>Version Control</w:t>
      </w:r>
    </w:p>
    <w:tbl>
      <w:tblPr>
        <w:tblStyle w:val="TableGrid"/>
        <w:tblW w:w="0" w:type="auto"/>
        <w:tblLook w:val="04A0" w:firstRow="1" w:lastRow="0" w:firstColumn="1" w:lastColumn="0" w:noHBand="0" w:noVBand="1"/>
      </w:tblPr>
      <w:tblGrid>
        <w:gridCol w:w="1413"/>
        <w:gridCol w:w="1701"/>
        <w:gridCol w:w="7104"/>
      </w:tblGrid>
      <w:tr w:rsidR="00410E38" w:rsidRPr="00410E38" w14:paraId="3C02DAF6" w14:textId="77777777">
        <w:tc>
          <w:tcPr>
            <w:tcW w:w="1413" w:type="dxa"/>
            <w:tcBorders>
              <w:top w:val="single" w:sz="4" w:space="0" w:color="auto"/>
              <w:left w:val="single" w:sz="4" w:space="0" w:color="auto"/>
              <w:bottom w:val="single" w:sz="4" w:space="0" w:color="auto"/>
              <w:right w:val="single" w:sz="4" w:space="0" w:color="auto"/>
            </w:tcBorders>
            <w:hideMark/>
          </w:tcPr>
          <w:p w14:paraId="5EA0DA3E" w14:textId="77777777" w:rsidR="00410E38" w:rsidRPr="00410E38" w:rsidRDefault="00410E38" w:rsidP="00410E38">
            <w:pPr>
              <w:rPr>
                <w:rFonts w:eastAsiaTheme="majorEastAsia"/>
                <w:b/>
                <w:bCs/>
              </w:rPr>
            </w:pPr>
            <w:r w:rsidRPr="00410E38">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5BE162A6" w14:textId="77777777" w:rsidR="00410E38" w:rsidRPr="00410E38" w:rsidRDefault="00410E38" w:rsidP="00410E38">
            <w:pPr>
              <w:rPr>
                <w:rFonts w:eastAsiaTheme="majorEastAsia"/>
                <w:b/>
                <w:bCs/>
              </w:rPr>
            </w:pPr>
            <w:r w:rsidRPr="00410E38">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70926A3F" w14:textId="77777777" w:rsidR="00410E38" w:rsidRPr="00410E38" w:rsidRDefault="00410E38" w:rsidP="00410E38">
            <w:pPr>
              <w:rPr>
                <w:rFonts w:eastAsiaTheme="majorEastAsia"/>
                <w:b/>
                <w:bCs/>
              </w:rPr>
            </w:pPr>
            <w:r w:rsidRPr="00410E38">
              <w:rPr>
                <w:rFonts w:eastAsiaTheme="majorEastAsia"/>
                <w:b/>
                <w:bCs/>
              </w:rPr>
              <w:t>Amendments</w:t>
            </w:r>
          </w:p>
        </w:tc>
      </w:tr>
      <w:tr w:rsidR="00410E38" w:rsidRPr="00410E38" w14:paraId="11E870DD" w14:textId="77777777">
        <w:tc>
          <w:tcPr>
            <w:tcW w:w="1413" w:type="dxa"/>
            <w:tcBorders>
              <w:top w:val="single" w:sz="4" w:space="0" w:color="auto"/>
              <w:left w:val="single" w:sz="4" w:space="0" w:color="auto"/>
              <w:bottom w:val="single" w:sz="4" w:space="0" w:color="auto"/>
              <w:right w:val="single" w:sz="4" w:space="0" w:color="auto"/>
            </w:tcBorders>
            <w:hideMark/>
          </w:tcPr>
          <w:p w14:paraId="5496F4BF" w14:textId="77777777" w:rsidR="00410E38" w:rsidRPr="00410E38" w:rsidRDefault="00410E38" w:rsidP="00410E38">
            <w:pPr>
              <w:rPr>
                <w:rFonts w:eastAsiaTheme="majorEastAsia"/>
              </w:rPr>
            </w:pPr>
            <w:r w:rsidRPr="00410E38">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3E381403" w14:textId="77777777" w:rsidR="00410E38" w:rsidRPr="00410E38" w:rsidRDefault="00410E38" w:rsidP="00410E38">
            <w:pPr>
              <w:rPr>
                <w:rFonts w:eastAsiaTheme="majorEastAsia"/>
              </w:rPr>
            </w:pPr>
            <w:r w:rsidRPr="00410E38">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08647BA7" w14:textId="77777777" w:rsidR="00410E38" w:rsidRPr="00410E38" w:rsidRDefault="00410E38" w:rsidP="00410E38">
            <w:pPr>
              <w:rPr>
                <w:rFonts w:eastAsiaTheme="majorEastAsia"/>
              </w:rPr>
            </w:pPr>
            <w:r w:rsidRPr="00410E38">
              <w:rPr>
                <w:rFonts w:eastAsiaTheme="majorEastAsia"/>
              </w:rPr>
              <w:t>Original document.</w:t>
            </w:r>
          </w:p>
        </w:tc>
      </w:tr>
      <w:tr w:rsidR="00410E38" w:rsidRPr="00410E38" w14:paraId="1B36AFEA" w14:textId="77777777">
        <w:tc>
          <w:tcPr>
            <w:tcW w:w="1413" w:type="dxa"/>
            <w:tcBorders>
              <w:top w:val="single" w:sz="4" w:space="0" w:color="auto"/>
              <w:left w:val="single" w:sz="4" w:space="0" w:color="auto"/>
              <w:bottom w:val="single" w:sz="4" w:space="0" w:color="auto"/>
              <w:right w:val="single" w:sz="4" w:space="0" w:color="auto"/>
            </w:tcBorders>
            <w:hideMark/>
          </w:tcPr>
          <w:p w14:paraId="1D3E94CC" w14:textId="77777777" w:rsidR="00410E38" w:rsidRPr="00410E38" w:rsidRDefault="00410E38" w:rsidP="00410E38">
            <w:pPr>
              <w:rPr>
                <w:rFonts w:eastAsiaTheme="majorEastAsia"/>
              </w:rPr>
            </w:pPr>
            <w:r w:rsidRPr="00410E38">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04DF06AB" w14:textId="77777777" w:rsidR="00410E38" w:rsidRPr="00410E38" w:rsidRDefault="00410E38" w:rsidP="00410E38">
            <w:pPr>
              <w:rPr>
                <w:rFonts w:eastAsiaTheme="majorEastAsia"/>
              </w:rPr>
            </w:pPr>
            <w:r w:rsidRPr="00410E38">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7B0F7634" w14:textId="77777777" w:rsidR="00410E38" w:rsidRPr="00410E38" w:rsidRDefault="00410E38" w:rsidP="00410E38">
            <w:pPr>
              <w:rPr>
                <w:rFonts w:eastAsiaTheme="majorEastAsia"/>
              </w:rPr>
            </w:pPr>
            <w:r w:rsidRPr="00410E38">
              <w:rPr>
                <w:rFonts w:eastAsiaTheme="majorEastAsia"/>
              </w:rPr>
              <w:t>Document re-formatted to meet the current accessibility policy. Noc text changes were made.</w:t>
            </w:r>
          </w:p>
        </w:tc>
      </w:tr>
    </w:tbl>
    <w:p w14:paraId="1C0763C6" w14:textId="77777777" w:rsidR="00410E38" w:rsidRPr="00410E38" w:rsidRDefault="00410E38" w:rsidP="00410E38">
      <w:pPr>
        <w:rPr>
          <w:rFonts w:eastAsiaTheme="majorEastAsia"/>
        </w:rPr>
      </w:pPr>
    </w:p>
    <w:p w14:paraId="30599043" w14:textId="77777777" w:rsidR="00410E38" w:rsidRPr="007B7A56" w:rsidRDefault="00410E38" w:rsidP="00410E38">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5C0596D6" w14:textId="77777777" w:rsidR="00487547" w:rsidRDefault="00487547" w:rsidP="00E32369">
      <w:pPr>
        <w:spacing w:line="360" w:lineRule="auto"/>
      </w:pPr>
      <w:r>
        <w:lastRenderedPageBreak/>
        <w:t xml:space="preserve">In this briefing you will find information about: </w:t>
      </w:r>
    </w:p>
    <w:p w14:paraId="5D787AE3" w14:textId="77777777" w:rsidR="00487547" w:rsidRDefault="00487547" w:rsidP="00E32369">
      <w:pPr>
        <w:spacing w:line="360" w:lineRule="auto"/>
      </w:pPr>
      <w:r>
        <w:t xml:space="preserve"> </w:t>
      </w:r>
    </w:p>
    <w:p w14:paraId="720F4CEC" w14:textId="77777777" w:rsidR="00487547" w:rsidRDefault="00487547">
      <w:pPr>
        <w:pStyle w:val="ListParagraph"/>
        <w:numPr>
          <w:ilvl w:val="0"/>
          <w:numId w:val="4"/>
        </w:numPr>
        <w:spacing w:line="360" w:lineRule="auto"/>
        <w:ind w:left="567" w:hanging="567"/>
      </w:pPr>
      <w:r>
        <w:t>The Reservoirs (Scotland) Act 2011.</w:t>
      </w:r>
    </w:p>
    <w:p w14:paraId="5007009B" w14:textId="77777777" w:rsidR="00487547" w:rsidRDefault="00487547">
      <w:pPr>
        <w:pStyle w:val="ListParagraph"/>
        <w:numPr>
          <w:ilvl w:val="0"/>
          <w:numId w:val="4"/>
        </w:numPr>
        <w:spacing w:line="360" w:lineRule="auto"/>
        <w:ind w:left="567" w:hanging="567"/>
      </w:pPr>
      <w:r>
        <w:t>Roles and responsibilities.</w:t>
      </w:r>
    </w:p>
    <w:p w14:paraId="37AF125A" w14:textId="77777777" w:rsidR="00487547" w:rsidRDefault="00487547">
      <w:pPr>
        <w:pStyle w:val="ListParagraph"/>
        <w:numPr>
          <w:ilvl w:val="0"/>
          <w:numId w:val="4"/>
        </w:numPr>
        <w:spacing w:line="360" w:lineRule="auto"/>
        <w:ind w:left="567" w:hanging="567"/>
      </w:pPr>
      <w:r>
        <w:t>Key changes from the previous (1975) Act.</w:t>
      </w:r>
    </w:p>
    <w:p w14:paraId="525FCA94" w14:textId="77777777" w:rsidR="00487547" w:rsidRDefault="00487547">
      <w:pPr>
        <w:pStyle w:val="ListParagraph"/>
        <w:numPr>
          <w:ilvl w:val="0"/>
          <w:numId w:val="4"/>
        </w:numPr>
        <w:tabs>
          <w:tab w:val="clear" w:pos="720"/>
          <w:tab w:val="left" w:pos="567"/>
        </w:tabs>
        <w:spacing w:line="360" w:lineRule="auto"/>
        <w:ind w:left="567" w:hanging="567"/>
      </w:pPr>
      <w:r>
        <w:t>Further information</w:t>
      </w:r>
      <w:r>
        <w:rPr>
          <w:b/>
        </w:rPr>
        <w:t>.</w:t>
      </w:r>
    </w:p>
    <w:p w14:paraId="3FEB7F56" w14:textId="77777777" w:rsidR="00487547" w:rsidRDefault="00487547" w:rsidP="00E32369">
      <w:pPr>
        <w:pStyle w:val="Heading1"/>
        <w:spacing w:line="360" w:lineRule="auto"/>
      </w:pPr>
      <w:r>
        <w:t xml:space="preserve">The Reservoirs (Scotland) Act 2011 </w:t>
      </w:r>
    </w:p>
    <w:p w14:paraId="100ADADE" w14:textId="1EDDF412" w:rsidR="00487547" w:rsidRDefault="00487547" w:rsidP="00E32369">
      <w:pPr>
        <w:spacing w:line="360" w:lineRule="auto"/>
      </w:pPr>
      <w:r>
        <w:rPr>
          <w:b/>
        </w:rPr>
        <w:t xml:space="preserve"> </w:t>
      </w:r>
      <w:r>
        <w:t xml:space="preserve">Scotland’s reservoirs are used for a variety of purposes, with a wide range of owners from large national companies to individuals. The continued safe operation and effective governance of reservoirs is important to manage the risk of an uncontrolled release of water (flooding) from these valuable assets.  </w:t>
      </w:r>
    </w:p>
    <w:p w14:paraId="0B7B3E6F" w14:textId="77777777" w:rsidR="00487547" w:rsidRDefault="00487547" w:rsidP="00E32369">
      <w:pPr>
        <w:spacing w:line="360" w:lineRule="auto"/>
      </w:pPr>
    </w:p>
    <w:p w14:paraId="1216DC41" w14:textId="77777777" w:rsidR="00487547" w:rsidRDefault="00487547" w:rsidP="00E32369">
      <w:pPr>
        <w:spacing w:line="360" w:lineRule="auto"/>
      </w:pPr>
      <w:r>
        <w:t xml:space="preserve">In 2011 the Scottish Parliament passed The </w:t>
      </w:r>
      <w:hyperlink r:id="rId9" w:history="1">
        <w:r w:rsidRPr="000D7AB8">
          <w:rPr>
            <w:rStyle w:val="Hyperlink"/>
          </w:rPr>
          <w:t>Reservoirs (Scotland) Act 2011</w:t>
        </w:r>
      </w:hyperlink>
      <w:r>
        <w:t xml:space="preserve"> (the 2011 Act), and on 1</w:t>
      </w:r>
      <w:r>
        <w:rPr>
          <w:vertAlign w:val="superscript"/>
        </w:rPr>
        <w:t>st</w:t>
      </w:r>
      <w:r>
        <w:t xml:space="preserve"> April 2016 the responsibility for regulating reservoir safety in Scotland was transferred from local authorities to the Scottish Environment Protection Agency (SEPA). </w:t>
      </w:r>
    </w:p>
    <w:p w14:paraId="120C585F" w14:textId="77777777" w:rsidR="00487547" w:rsidRDefault="00487547" w:rsidP="00E32369">
      <w:pPr>
        <w:spacing w:line="360" w:lineRule="auto"/>
      </w:pPr>
    </w:p>
    <w:p w14:paraId="7EA6F52C" w14:textId="77777777" w:rsidR="00487547" w:rsidRDefault="00487547" w:rsidP="00E32369">
      <w:pPr>
        <w:spacing w:line="360" w:lineRule="auto"/>
      </w:pPr>
      <w:r>
        <w:t xml:space="preserve">The 2011 Act takes a risk-based approach to the regulation of reservoirs by considering the consequences of an uncontrolled release of water. This approach aims to provide a more proportionate form of regulation for the industry and is consistent with how other sources of potential flooding are assessed. </w:t>
      </w:r>
    </w:p>
    <w:p w14:paraId="035A77C8" w14:textId="77777777" w:rsidR="00753DAB" w:rsidRDefault="00753DAB" w:rsidP="00E32369">
      <w:pPr>
        <w:spacing w:line="360" w:lineRule="auto"/>
      </w:pPr>
    </w:p>
    <w:p w14:paraId="06165CD8" w14:textId="22F47A20" w:rsidR="00753DAB" w:rsidRDefault="00753DAB" w:rsidP="00E32369">
      <w:pPr>
        <w:spacing w:line="360" w:lineRule="auto"/>
      </w:pPr>
      <w:r w:rsidRPr="00753DAB">
        <w:rPr>
          <w:b/>
          <w:bCs/>
        </w:rPr>
        <w:t>SEPA have become the regulatory authority for reservoir safety in Scotland, providing regulation, advice and guidance to the industry.</w:t>
      </w:r>
    </w:p>
    <w:p w14:paraId="681B262A" w14:textId="207BDC45" w:rsidR="00487547" w:rsidRDefault="00487547" w:rsidP="00E32369">
      <w:pPr>
        <w:spacing w:line="360" w:lineRule="auto"/>
      </w:pPr>
    </w:p>
    <w:p w14:paraId="749409DF" w14:textId="77777777" w:rsidR="00487547" w:rsidRDefault="00487547" w:rsidP="00E32369">
      <w:pPr>
        <w:spacing w:line="360" w:lineRule="auto"/>
      </w:pPr>
    </w:p>
    <w:p w14:paraId="3D58B219" w14:textId="77777777" w:rsidR="000544E4" w:rsidRDefault="000544E4" w:rsidP="00E32369">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68BC9F69" w14:textId="07205DE9" w:rsidR="00487547" w:rsidRDefault="00487547" w:rsidP="00E32369">
      <w:pPr>
        <w:pStyle w:val="Heading1"/>
        <w:spacing w:line="360" w:lineRule="auto"/>
      </w:pPr>
      <w:r>
        <w:lastRenderedPageBreak/>
        <w:t xml:space="preserve">New roles and responsibilities </w:t>
      </w:r>
    </w:p>
    <w:p w14:paraId="273C808C" w14:textId="77777777" w:rsidR="00487547" w:rsidRDefault="00487547" w:rsidP="00E32369">
      <w:pPr>
        <w:spacing w:line="360" w:lineRule="auto"/>
      </w:pPr>
      <w:r>
        <w:t xml:space="preserve">There has been a phased transition from regulation under the 1975 Act to the 2011 Act. </w:t>
      </w:r>
    </w:p>
    <w:p w14:paraId="7326DD00" w14:textId="12B9F18B" w:rsidR="00487547" w:rsidRDefault="00487547" w:rsidP="00E32369">
      <w:pPr>
        <w:spacing w:line="360" w:lineRule="auto"/>
      </w:pPr>
      <w:r>
        <w:t xml:space="preserve">SEPA started registering reservoirs in April 2015 and took on full regulatory function in 2016. SEPA are currently regulating reservoirs with a capacity of 25 000mᶟ or more however, at a later stage, regulation will also cover reservoirs with a capacity of 10 000mᶟ or more; the equivalent of four Olympic sized swimming pools. </w:t>
      </w:r>
    </w:p>
    <w:p w14:paraId="59A28B43" w14:textId="0697AF88" w:rsidR="00487547" w:rsidRPr="00AE43AE" w:rsidRDefault="00487547" w:rsidP="00E32369">
      <w:pPr>
        <w:pStyle w:val="Heading2"/>
        <w:tabs>
          <w:tab w:val="left" w:pos="567"/>
        </w:tabs>
        <w:rPr>
          <w:bCs w:val="0"/>
        </w:rPr>
      </w:pPr>
      <w:r w:rsidRPr="00DD1A7F">
        <w:t xml:space="preserve">2.1 </w:t>
      </w:r>
      <w:r w:rsidRPr="00DD1A7F">
        <w:tab/>
        <w:t xml:space="preserve">As the regulator, SEPA is required to: </w:t>
      </w:r>
    </w:p>
    <w:p w14:paraId="4BC564E7" w14:textId="77777777" w:rsidR="00487547" w:rsidRDefault="00487547">
      <w:pPr>
        <w:pStyle w:val="ListParagraph"/>
        <w:numPr>
          <w:ilvl w:val="0"/>
          <w:numId w:val="2"/>
        </w:numPr>
        <w:tabs>
          <w:tab w:val="clear" w:pos="720"/>
          <w:tab w:val="clear" w:pos="1440"/>
          <w:tab w:val="left" w:pos="567"/>
        </w:tabs>
        <w:spacing w:line="360" w:lineRule="auto"/>
        <w:ind w:left="567" w:hanging="567"/>
      </w:pPr>
      <w:r>
        <w:t xml:space="preserve">Develop and maintain a public register of all controlled reservoirs (those reservoirs that fall under regulation). </w:t>
      </w:r>
    </w:p>
    <w:p w14:paraId="6EBCCA68" w14:textId="77777777" w:rsidR="00487547" w:rsidRDefault="00487547">
      <w:pPr>
        <w:pStyle w:val="ListParagraph"/>
        <w:numPr>
          <w:ilvl w:val="0"/>
          <w:numId w:val="2"/>
        </w:numPr>
        <w:tabs>
          <w:tab w:val="clear" w:pos="720"/>
          <w:tab w:val="clear" w:pos="1440"/>
          <w:tab w:val="left" w:pos="567"/>
        </w:tabs>
        <w:spacing w:line="360" w:lineRule="auto"/>
        <w:ind w:left="567" w:hanging="567"/>
      </w:pPr>
      <w:r>
        <w:t xml:space="preserve">Assign a risk designation to all controlled reservoirs. </w:t>
      </w:r>
    </w:p>
    <w:p w14:paraId="3949502A" w14:textId="67A78F40" w:rsidR="00487547" w:rsidRDefault="00487547">
      <w:pPr>
        <w:pStyle w:val="ListParagraph"/>
        <w:numPr>
          <w:ilvl w:val="0"/>
          <w:numId w:val="2"/>
        </w:numPr>
        <w:tabs>
          <w:tab w:val="clear" w:pos="720"/>
          <w:tab w:val="clear" w:pos="1440"/>
          <w:tab w:val="left" w:pos="567"/>
        </w:tabs>
        <w:spacing w:line="360" w:lineRule="auto"/>
        <w:ind w:left="567" w:hanging="567"/>
      </w:pPr>
      <w:r>
        <w:t xml:space="preserve">Provide a regulatory regime which is proportionate and transparent for the reservoir industry. This includes ensuring compliance with the law and taking enforcement action where necessary. </w:t>
      </w:r>
    </w:p>
    <w:p w14:paraId="4C9522BD" w14:textId="77777777" w:rsidR="00487547" w:rsidRPr="00DD1A7F" w:rsidRDefault="00487547" w:rsidP="00E32369">
      <w:pPr>
        <w:pStyle w:val="Heading2"/>
        <w:tabs>
          <w:tab w:val="left" w:pos="567"/>
        </w:tabs>
        <w:rPr>
          <w:bCs w:val="0"/>
        </w:rPr>
      </w:pPr>
      <w:r w:rsidRPr="00DD1A7F">
        <w:t xml:space="preserve">2.2 </w:t>
      </w:r>
      <w:r w:rsidRPr="00DD1A7F">
        <w:tab/>
      </w:r>
      <w:r>
        <w:t>Reservoir Manager</w:t>
      </w:r>
      <w:r w:rsidRPr="00DD1A7F">
        <w:t xml:space="preserve">s </w:t>
      </w:r>
    </w:p>
    <w:p w14:paraId="10629171" w14:textId="77777777" w:rsidR="00487547" w:rsidRDefault="00487547" w:rsidP="00E32369">
      <w:pPr>
        <w:spacing w:line="360" w:lineRule="auto"/>
      </w:pPr>
      <w:r>
        <w:t xml:space="preserve">Reservoir Managers are the operators, users or owners of a reservoir and have ultimate responsibility for its safety. This role was previously known in the 1975 Act as the undertaker.  </w:t>
      </w:r>
    </w:p>
    <w:p w14:paraId="30725B4B" w14:textId="77777777" w:rsidR="00487547" w:rsidRDefault="00487547" w:rsidP="00E32369">
      <w:pPr>
        <w:pStyle w:val="Heading1"/>
        <w:spacing w:line="360" w:lineRule="auto"/>
      </w:pPr>
      <w:r>
        <w:t xml:space="preserve">Key changes </w:t>
      </w:r>
    </w:p>
    <w:p w14:paraId="5E3399B4" w14:textId="56D11004" w:rsidR="00487547" w:rsidRDefault="00487547" w:rsidP="00E32369">
      <w:pPr>
        <w:spacing w:line="360" w:lineRule="auto"/>
      </w:pPr>
      <w:r>
        <w:t xml:space="preserve">The 2011 Act has brought new features and responsibilities to the regulation of reservoir safety. The key changes include:  </w:t>
      </w:r>
    </w:p>
    <w:p w14:paraId="7C9C7111" w14:textId="77777777" w:rsidR="00487547" w:rsidRDefault="00487547" w:rsidP="00E32369">
      <w:pPr>
        <w:spacing w:line="360" w:lineRule="auto"/>
      </w:pPr>
      <w:r>
        <w:rPr>
          <w:sz w:val="16"/>
        </w:rPr>
        <w:t xml:space="preserve"> </w:t>
      </w:r>
    </w:p>
    <w:p w14:paraId="18AAA1D9" w14:textId="77777777" w:rsidR="00487547" w:rsidRDefault="00487547">
      <w:pPr>
        <w:pStyle w:val="ListParagraph"/>
        <w:numPr>
          <w:ilvl w:val="0"/>
          <w:numId w:val="3"/>
        </w:numPr>
        <w:tabs>
          <w:tab w:val="clear" w:pos="720"/>
          <w:tab w:val="left" w:pos="1134"/>
        </w:tabs>
        <w:spacing w:line="360" w:lineRule="auto"/>
        <w:ind w:left="567" w:hanging="567"/>
      </w:pPr>
      <w:r>
        <w:t xml:space="preserve">A single enforcement authority for Scotland, providing more consistent regulation. </w:t>
      </w:r>
    </w:p>
    <w:p w14:paraId="650FC14B" w14:textId="77777777" w:rsidR="00487547" w:rsidRDefault="00487547">
      <w:pPr>
        <w:pStyle w:val="ListParagraph"/>
        <w:numPr>
          <w:ilvl w:val="0"/>
          <w:numId w:val="3"/>
        </w:numPr>
        <w:tabs>
          <w:tab w:val="clear" w:pos="720"/>
          <w:tab w:val="left" w:pos="1134"/>
        </w:tabs>
        <w:spacing w:line="360" w:lineRule="auto"/>
        <w:ind w:left="567" w:hanging="567"/>
      </w:pPr>
      <w:r>
        <w:t xml:space="preserve">When fully implemented, the minimum reservoir volume considered by legislation will reduce from 25,000mᶟ to 10,000mᶟ. </w:t>
      </w:r>
    </w:p>
    <w:p w14:paraId="287754AE" w14:textId="77777777" w:rsidR="00487547" w:rsidRDefault="00487547">
      <w:pPr>
        <w:pStyle w:val="ListParagraph"/>
        <w:numPr>
          <w:ilvl w:val="0"/>
          <w:numId w:val="3"/>
        </w:numPr>
        <w:tabs>
          <w:tab w:val="clear" w:pos="720"/>
          <w:tab w:val="left" w:pos="1134"/>
        </w:tabs>
        <w:spacing w:line="360" w:lineRule="auto"/>
        <w:ind w:left="567" w:hanging="567"/>
      </w:pPr>
      <w:r>
        <w:t xml:space="preserve">The introduction of a risk-based approach to reservoir risk designation, based on the potential consequences of an uncontrolled release of water. This gives a designation of high, medium or low risk assigned to each registered reservoir. </w:t>
      </w:r>
    </w:p>
    <w:p w14:paraId="04F86969" w14:textId="77777777" w:rsidR="00487547" w:rsidRDefault="00487547">
      <w:pPr>
        <w:pStyle w:val="ListParagraph"/>
        <w:numPr>
          <w:ilvl w:val="0"/>
          <w:numId w:val="3"/>
        </w:numPr>
        <w:tabs>
          <w:tab w:val="clear" w:pos="720"/>
          <w:tab w:val="left" w:pos="0"/>
        </w:tabs>
        <w:spacing w:line="360" w:lineRule="auto"/>
        <w:ind w:left="567" w:hanging="567"/>
      </w:pPr>
      <w:r>
        <w:lastRenderedPageBreak/>
        <w:t xml:space="preserve">A proportionate regulatory system where low and medium risk reservoirs are subject to less regulation than those designated as high risk based on the consequences of an uncontrolled release of water. </w:t>
      </w:r>
    </w:p>
    <w:p w14:paraId="48F09E96" w14:textId="77777777" w:rsidR="00487547" w:rsidRDefault="00487547" w:rsidP="00E32369">
      <w:pPr>
        <w:pStyle w:val="Heading1"/>
        <w:spacing w:line="360" w:lineRule="auto"/>
      </w:pPr>
      <w:r>
        <w:t xml:space="preserve"> Further information </w:t>
      </w:r>
    </w:p>
    <w:p w14:paraId="5200B83C" w14:textId="78437049" w:rsidR="00487547" w:rsidRDefault="00487547" w:rsidP="00E32369">
      <w:pPr>
        <w:tabs>
          <w:tab w:val="clear" w:pos="720"/>
          <w:tab w:val="left" w:pos="0"/>
        </w:tabs>
        <w:spacing w:line="360" w:lineRule="auto"/>
      </w:pPr>
      <w:r>
        <w:t xml:space="preserve">For enquiries relating to the current regulation of your reservoir, please email </w:t>
      </w:r>
      <w:hyperlink r:id="rId10" w:history="1">
        <w:r w:rsidR="00171B97">
          <w:rPr>
            <w:rStyle w:val="Hyperlink"/>
          </w:rPr>
          <w:t>reservoirs@sepa.org.uk</w:t>
        </w:r>
      </w:hyperlink>
      <w:r>
        <w:t xml:space="preserve"> or call us on 03000 996699. </w:t>
      </w:r>
    </w:p>
    <w:p w14:paraId="00A8A42D" w14:textId="77777777" w:rsidR="00487547" w:rsidRDefault="00487547" w:rsidP="00E32369">
      <w:pPr>
        <w:tabs>
          <w:tab w:val="clear" w:pos="720"/>
          <w:tab w:val="left" w:pos="0"/>
        </w:tabs>
        <w:spacing w:line="360" w:lineRule="auto"/>
      </w:pPr>
    </w:p>
    <w:p w14:paraId="12A20048" w14:textId="706511C1" w:rsidR="00CC68AB" w:rsidRDefault="00487547" w:rsidP="001C5A3C">
      <w:pPr>
        <w:tabs>
          <w:tab w:val="clear" w:pos="720"/>
          <w:tab w:val="left" w:pos="0"/>
        </w:tabs>
        <w:spacing w:line="360" w:lineRule="auto"/>
      </w:pPr>
      <w:r>
        <w:t>For further information about the 2011 Act and its implementation visit</w:t>
      </w:r>
      <w:r w:rsidR="003B302F">
        <w:t xml:space="preserve"> SEPA’s website.</w:t>
      </w:r>
    </w:p>
    <w:sectPr w:rsidR="00CC68AB" w:rsidSect="00E37AA9">
      <w:headerReference w:type="even" r:id="rId11"/>
      <w:headerReference w:type="default" r:id="rId12"/>
      <w:footerReference w:type="even" r:id="rId13"/>
      <w:footerReference w:type="default" r:id="rId14"/>
      <w:headerReference w:type="first" r:id="rId15"/>
      <w:footerReference w:type="first" r:id="rId16"/>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8E10" w14:textId="77777777" w:rsidR="004101E5" w:rsidRDefault="004101E5" w:rsidP="001E5003">
      <w:pPr>
        <w:spacing w:line="240" w:lineRule="auto"/>
      </w:pPr>
      <w:r>
        <w:separator/>
      </w:r>
    </w:p>
  </w:endnote>
  <w:endnote w:type="continuationSeparator" w:id="0">
    <w:p w14:paraId="3D15957A" w14:textId="77777777" w:rsidR="004101E5" w:rsidRDefault="004101E5"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3C6F3932" w:rsidR="001E5003" w:rsidRDefault="00661E10">
    <w:pPr>
      <w:pStyle w:val="Footer"/>
    </w:pPr>
    <w:r>
      <w:rPr>
        <w:noProof/>
        <w14:ligatures w14:val="standardContextual"/>
      </w:rPr>
      <mc:AlternateContent>
        <mc:Choice Requires="wps">
          <w:drawing>
            <wp:anchor distT="0" distB="0" distL="0" distR="0" simplePos="0" relativeHeight="251671559" behindDoc="0" locked="0" layoutInCell="1" allowOverlap="1" wp14:anchorId="11F21194" wp14:editId="40840F1C">
              <wp:simplePos x="635" y="635"/>
              <wp:positionH relativeFrom="page">
                <wp:align>center</wp:align>
              </wp:positionH>
              <wp:positionV relativeFrom="page">
                <wp:align>bottom</wp:align>
              </wp:positionV>
              <wp:extent cx="421005" cy="345440"/>
              <wp:effectExtent l="0" t="0" r="17145" b="0"/>
              <wp:wrapNone/>
              <wp:docPr id="1978481560" name="Text Box 1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000BAFE" w14:textId="571260FD"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F21194" id="_x0000_t202" coordsize="21600,21600" o:spt="202" path="m,l,21600r21600,l21600,xe">
              <v:stroke joinstyle="miter"/>
              <v:path gradientshapeok="t" o:connecttype="rect"/>
            </v:shapetype>
            <v:shape id="Text Box 13" o:spid="_x0000_s1028" type="#_x0000_t202" alt="PUBLIC" style="position:absolute;margin-left:0;margin-top:0;width:33.15pt;height:27.2pt;z-index:2516715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fill o:detectmouseclick="t"/>
              <v:textbox style="mso-fit-shape-to-text:t" inset="0,0,0,15pt">
                <w:txbxContent>
                  <w:p w14:paraId="2000BAFE" w14:textId="571260FD"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E1A3B29" w:rsidR="007F415F" w:rsidRDefault="00661E10" w:rsidP="007F415F">
    <w:pPr>
      <w:pStyle w:val="Footer"/>
      <w:ind w:right="360"/>
    </w:pPr>
    <w:r>
      <w:rPr>
        <w:noProof/>
        <w:szCs w:val="24"/>
        <w14:ligatures w14:val="standardContextual"/>
      </w:rPr>
      <mc:AlternateContent>
        <mc:Choice Requires="wps">
          <w:drawing>
            <wp:anchor distT="0" distB="0" distL="0" distR="0" simplePos="0" relativeHeight="251672583" behindDoc="0" locked="0" layoutInCell="1" allowOverlap="1" wp14:anchorId="5F5C71A1" wp14:editId="1FC58614">
              <wp:simplePos x="533400" y="9768205"/>
              <wp:positionH relativeFrom="page">
                <wp:align>center</wp:align>
              </wp:positionH>
              <wp:positionV relativeFrom="page">
                <wp:align>bottom</wp:align>
              </wp:positionV>
              <wp:extent cx="421005" cy="345440"/>
              <wp:effectExtent l="0" t="0" r="17145" b="0"/>
              <wp:wrapNone/>
              <wp:docPr id="1828352798" name="Text Box 1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3FC03CC" w14:textId="562A8AE4"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5C71A1" id="_x0000_t202" coordsize="21600,21600" o:spt="202" path="m,l,21600r21600,l21600,xe">
              <v:stroke joinstyle="miter"/>
              <v:path gradientshapeok="t" o:connecttype="rect"/>
            </v:shapetype>
            <v:shape id="Text Box 14" o:spid="_x0000_s1029" type="#_x0000_t202" alt="PUBLIC" style="position:absolute;margin-left:0;margin-top:0;width:33.15pt;height:27.2pt;z-index:2516725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fill o:detectmouseclick="t"/>
              <v:textbox style="mso-fit-shape-to-text:t" inset="0,0,0,15pt">
                <w:txbxContent>
                  <w:p w14:paraId="63FC03CC" w14:textId="562A8AE4"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7DC1244D" w:rsidR="001E5003" w:rsidRDefault="00661E10">
    <w:pPr>
      <w:pStyle w:val="Footer"/>
    </w:pPr>
    <w:r>
      <w:rPr>
        <w:noProof/>
        <w14:ligatures w14:val="standardContextual"/>
      </w:rPr>
      <mc:AlternateContent>
        <mc:Choice Requires="wps">
          <w:drawing>
            <wp:anchor distT="0" distB="0" distL="0" distR="0" simplePos="0" relativeHeight="251670535" behindDoc="0" locked="0" layoutInCell="1" allowOverlap="1" wp14:anchorId="759A87D8" wp14:editId="684A6684">
              <wp:simplePos x="533400" y="10064750"/>
              <wp:positionH relativeFrom="page">
                <wp:align>center</wp:align>
              </wp:positionH>
              <wp:positionV relativeFrom="page">
                <wp:align>bottom</wp:align>
              </wp:positionV>
              <wp:extent cx="421005" cy="345440"/>
              <wp:effectExtent l="0" t="0" r="17145" b="0"/>
              <wp:wrapNone/>
              <wp:docPr id="2132150300"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9A093BC" w14:textId="005067D2"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9A87D8" id="_x0000_t202" coordsize="21600,21600" o:spt="202" path="m,l,21600r21600,l21600,xe">
              <v:stroke joinstyle="miter"/>
              <v:path gradientshapeok="t" o:connecttype="rect"/>
            </v:shapetype>
            <v:shape id="Text Box 12" o:spid="_x0000_s1031" type="#_x0000_t202" alt="PUBLIC" style="position:absolute;margin-left:0;margin-top:0;width:33.15pt;height:27.2pt;z-index:2516705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fill o:detectmouseclick="t"/>
              <v:textbox style="mso-fit-shape-to-text:t" inset="0,0,0,15pt">
                <w:txbxContent>
                  <w:p w14:paraId="59A093BC" w14:textId="005067D2"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CECF" w14:textId="77777777" w:rsidR="004101E5" w:rsidRDefault="004101E5" w:rsidP="001E5003">
      <w:pPr>
        <w:spacing w:line="240" w:lineRule="auto"/>
      </w:pPr>
      <w:r>
        <w:separator/>
      </w:r>
    </w:p>
  </w:footnote>
  <w:footnote w:type="continuationSeparator" w:id="0">
    <w:p w14:paraId="09068283" w14:textId="77777777" w:rsidR="004101E5" w:rsidRDefault="004101E5"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296E9456" w:rsidR="001E5003" w:rsidRDefault="00661E10">
    <w:pPr>
      <w:pStyle w:val="Header"/>
    </w:pPr>
    <w:r>
      <w:rPr>
        <w:noProof/>
        <w14:ligatures w14:val="standardContextual"/>
      </w:rPr>
      <mc:AlternateContent>
        <mc:Choice Requires="wps">
          <w:drawing>
            <wp:anchor distT="0" distB="0" distL="0" distR="0" simplePos="0" relativeHeight="251668487" behindDoc="0" locked="0" layoutInCell="1" allowOverlap="1" wp14:anchorId="123D747F" wp14:editId="7E642F14">
              <wp:simplePos x="635" y="635"/>
              <wp:positionH relativeFrom="page">
                <wp:align>center</wp:align>
              </wp:positionH>
              <wp:positionV relativeFrom="page">
                <wp:align>top</wp:align>
              </wp:positionV>
              <wp:extent cx="421005" cy="345440"/>
              <wp:effectExtent l="0" t="0" r="17145" b="16510"/>
              <wp:wrapNone/>
              <wp:docPr id="1484087285"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69E0E9BA" w14:textId="747386F1"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3D747F" id="_x0000_t202" coordsize="21600,21600" o:spt="202" path="m,l,21600r21600,l21600,xe">
              <v:stroke joinstyle="miter"/>
              <v:path gradientshapeok="t" o:connecttype="rect"/>
            </v:shapetype>
            <v:shape id="Text Box 10" o:spid="_x0000_s1026" type="#_x0000_t202" alt="PUBLIC" style="position:absolute;margin-left:0;margin-top:0;width:33.15pt;height:27.2pt;z-index:2516684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fill o:detectmouseclick="t"/>
              <v:textbox style="mso-fit-shape-to-text:t" inset="0,15pt,0,0">
                <w:txbxContent>
                  <w:p w14:paraId="69E0E9BA" w14:textId="747386F1"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13B71C42" w:rsidR="003B4E34" w:rsidRPr="000F4527" w:rsidRDefault="00661E10"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9511" behindDoc="0" locked="0" layoutInCell="1" allowOverlap="1" wp14:anchorId="72C3CD1E" wp14:editId="21951A50">
              <wp:simplePos x="533400" y="450850"/>
              <wp:positionH relativeFrom="page">
                <wp:align>center</wp:align>
              </wp:positionH>
              <wp:positionV relativeFrom="page">
                <wp:align>top</wp:align>
              </wp:positionV>
              <wp:extent cx="421005" cy="345440"/>
              <wp:effectExtent l="0" t="0" r="17145" b="16510"/>
              <wp:wrapNone/>
              <wp:docPr id="281979385"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21DD02ED" w14:textId="36C5F6E5"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3CD1E" id="_x0000_t202" coordsize="21600,21600" o:spt="202" path="m,l,21600r21600,l21600,xe">
              <v:stroke joinstyle="miter"/>
              <v:path gradientshapeok="t" o:connecttype="rect"/>
            </v:shapetype>
            <v:shape id="Text Box 11" o:spid="_x0000_s1027" type="#_x0000_t202" alt="PUBLIC" style="position:absolute;left:0;text-align:left;margin-left:0;margin-top:0;width:33.15pt;height:27.2pt;z-index:2516695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fill o:detectmouseclick="t"/>
              <v:textbox style="mso-fit-shape-to-text:t" inset="0,15pt,0,0">
                <w:txbxContent>
                  <w:p w14:paraId="21DD02ED" w14:textId="36C5F6E5"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r w:rsidR="00CA61AD">
      <w:rPr>
        <w:color w:val="0E2841" w:themeColor="text2"/>
      </w:rPr>
      <w:t>RES-BRIEFING NOTE-01:  Overview</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68CA15A6" w:rsidR="001E5003" w:rsidRDefault="00661E10">
    <w:pPr>
      <w:pStyle w:val="Header"/>
    </w:pPr>
    <w:r>
      <w:rPr>
        <w:noProof/>
        <w14:ligatures w14:val="standardContextual"/>
      </w:rPr>
      <mc:AlternateContent>
        <mc:Choice Requires="wps">
          <w:drawing>
            <wp:anchor distT="0" distB="0" distL="0" distR="0" simplePos="0" relativeHeight="251667463" behindDoc="0" locked="0" layoutInCell="1" allowOverlap="1" wp14:anchorId="2BAD633D" wp14:editId="02397AFB">
              <wp:simplePos x="533400" y="450850"/>
              <wp:positionH relativeFrom="page">
                <wp:align>center</wp:align>
              </wp:positionH>
              <wp:positionV relativeFrom="page">
                <wp:align>top</wp:align>
              </wp:positionV>
              <wp:extent cx="421005" cy="345440"/>
              <wp:effectExtent l="0" t="0" r="17145" b="16510"/>
              <wp:wrapNone/>
              <wp:docPr id="151359321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C8B1A1D" w14:textId="5F75C138"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D633D" id="_x0000_t202" coordsize="21600,21600" o:spt="202" path="m,l,21600r21600,l21600,xe">
              <v:stroke joinstyle="miter"/>
              <v:path gradientshapeok="t" o:connecttype="rect"/>
            </v:shapetype>
            <v:shape id="Text Box 9" o:spid="_x0000_s1030" type="#_x0000_t202" alt="PUBLIC" style="position:absolute;margin-left:0;margin-top:0;width:33.15pt;height:27.2pt;z-index:2516674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fill o:detectmouseclick="t"/>
              <v:textbox style="mso-fit-shape-to-text:t" inset="0,15pt,0,0">
                <w:txbxContent>
                  <w:p w14:paraId="5C8B1A1D" w14:textId="5F75C138" w:rsidR="00661E10" w:rsidRPr="00661E10" w:rsidRDefault="00661E10" w:rsidP="00661E10">
                    <w:pPr>
                      <w:rPr>
                        <w:rFonts w:ascii="Aptos" w:eastAsia="Aptos" w:hAnsi="Aptos" w:cs="Aptos"/>
                        <w:noProof/>
                        <w:color w:val="000000"/>
                        <w:sz w:val="20"/>
                      </w:rPr>
                    </w:pPr>
                    <w:r w:rsidRPr="00661E10">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97551"/>
    <w:multiLevelType w:val="hybridMultilevel"/>
    <w:tmpl w:val="DC7A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FE654E"/>
    <w:multiLevelType w:val="hybridMultilevel"/>
    <w:tmpl w:val="5ACC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02FC8"/>
    <w:multiLevelType w:val="hybridMultilevel"/>
    <w:tmpl w:val="D604064A"/>
    <w:lvl w:ilvl="0" w:tplc="0809000F">
      <w:start w:val="1"/>
      <w:numFmt w:val="decimal"/>
      <w:lvlText w:val="%1."/>
      <w:lvlJc w:val="left"/>
      <w:pPr>
        <w:ind w:left="-207" w:hanging="360"/>
      </w:pPr>
      <w:rPr>
        <w:rFonts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 w15:restartNumberingAfterBreak="0">
    <w:nsid w:val="4E042234"/>
    <w:multiLevelType w:val="multilevel"/>
    <w:tmpl w:val="42620FCC"/>
    <w:lvl w:ilvl="0">
      <w:start w:val="1"/>
      <w:numFmt w:val="decimal"/>
      <w:pStyle w:val="Heading1"/>
      <w:lvlText w:val="%1."/>
      <w:lvlJc w:val="left"/>
      <w:pPr>
        <w:ind w:left="360" w:hanging="360"/>
      </w:pPr>
    </w:lvl>
    <w:lvl w:ilvl="1">
      <w:start w:val="2"/>
      <w:numFmt w:val="decimal"/>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num w:numId="1" w16cid:durableId="210847413">
    <w:abstractNumId w:val="3"/>
  </w:num>
  <w:num w:numId="2" w16cid:durableId="2132552270">
    <w:abstractNumId w:val="1"/>
  </w:num>
  <w:num w:numId="3" w16cid:durableId="787312741">
    <w:abstractNumId w:val="0"/>
  </w:num>
  <w:num w:numId="4" w16cid:durableId="13022742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544E4"/>
    <w:rsid w:val="00065F9E"/>
    <w:rsid w:val="00074B07"/>
    <w:rsid w:val="00076BAF"/>
    <w:rsid w:val="00076D4E"/>
    <w:rsid w:val="000838E2"/>
    <w:rsid w:val="00092CD2"/>
    <w:rsid w:val="00093591"/>
    <w:rsid w:val="00094739"/>
    <w:rsid w:val="00094D8A"/>
    <w:rsid w:val="000B7C6B"/>
    <w:rsid w:val="000C1B1D"/>
    <w:rsid w:val="000C2800"/>
    <w:rsid w:val="000D4E65"/>
    <w:rsid w:val="000D5525"/>
    <w:rsid w:val="000E0A5C"/>
    <w:rsid w:val="000F2E6E"/>
    <w:rsid w:val="000F4527"/>
    <w:rsid w:val="0011499B"/>
    <w:rsid w:val="00122447"/>
    <w:rsid w:val="00124BBE"/>
    <w:rsid w:val="00124FE3"/>
    <w:rsid w:val="00127E71"/>
    <w:rsid w:val="0013178F"/>
    <w:rsid w:val="001340DB"/>
    <w:rsid w:val="00153D49"/>
    <w:rsid w:val="00156878"/>
    <w:rsid w:val="001659FA"/>
    <w:rsid w:val="00170372"/>
    <w:rsid w:val="00171B97"/>
    <w:rsid w:val="001735D2"/>
    <w:rsid w:val="00173AAA"/>
    <w:rsid w:val="001819EF"/>
    <w:rsid w:val="00186154"/>
    <w:rsid w:val="00193CDB"/>
    <w:rsid w:val="00193FCC"/>
    <w:rsid w:val="00194EB0"/>
    <w:rsid w:val="0019606F"/>
    <w:rsid w:val="001A0293"/>
    <w:rsid w:val="001A0312"/>
    <w:rsid w:val="001A7AD1"/>
    <w:rsid w:val="001B2DB6"/>
    <w:rsid w:val="001C512E"/>
    <w:rsid w:val="001C5A3C"/>
    <w:rsid w:val="001C66EC"/>
    <w:rsid w:val="001C7A4D"/>
    <w:rsid w:val="001C7D65"/>
    <w:rsid w:val="001E36A6"/>
    <w:rsid w:val="001E5003"/>
    <w:rsid w:val="001E637C"/>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F2495"/>
    <w:rsid w:val="002F303B"/>
    <w:rsid w:val="002F6C14"/>
    <w:rsid w:val="002F70D9"/>
    <w:rsid w:val="002F7EA3"/>
    <w:rsid w:val="0030278B"/>
    <w:rsid w:val="003077B5"/>
    <w:rsid w:val="00312F07"/>
    <w:rsid w:val="003177C4"/>
    <w:rsid w:val="003340D0"/>
    <w:rsid w:val="0034093C"/>
    <w:rsid w:val="00344CEF"/>
    <w:rsid w:val="00345C4C"/>
    <w:rsid w:val="00360F25"/>
    <w:rsid w:val="00362B4E"/>
    <w:rsid w:val="003637CC"/>
    <w:rsid w:val="00370C43"/>
    <w:rsid w:val="00376AEC"/>
    <w:rsid w:val="0038085F"/>
    <w:rsid w:val="0038749B"/>
    <w:rsid w:val="00392BF0"/>
    <w:rsid w:val="00396876"/>
    <w:rsid w:val="00396EE9"/>
    <w:rsid w:val="003A0FFF"/>
    <w:rsid w:val="003A4973"/>
    <w:rsid w:val="003B1438"/>
    <w:rsid w:val="003B302F"/>
    <w:rsid w:val="003B3136"/>
    <w:rsid w:val="003B4E34"/>
    <w:rsid w:val="003C1817"/>
    <w:rsid w:val="003D6642"/>
    <w:rsid w:val="003D707A"/>
    <w:rsid w:val="003E181B"/>
    <w:rsid w:val="003E490E"/>
    <w:rsid w:val="004003EB"/>
    <w:rsid w:val="004053BD"/>
    <w:rsid w:val="00406BDA"/>
    <w:rsid w:val="004101E5"/>
    <w:rsid w:val="00410C13"/>
    <w:rsid w:val="00410E38"/>
    <w:rsid w:val="00412830"/>
    <w:rsid w:val="00412CA9"/>
    <w:rsid w:val="00413CEF"/>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87547"/>
    <w:rsid w:val="004927F1"/>
    <w:rsid w:val="00494894"/>
    <w:rsid w:val="004A21F0"/>
    <w:rsid w:val="004A2B85"/>
    <w:rsid w:val="004A5BA0"/>
    <w:rsid w:val="004B0190"/>
    <w:rsid w:val="004B6999"/>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146E3"/>
    <w:rsid w:val="0052593E"/>
    <w:rsid w:val="00525F0F"/>
    <w:rsid w:val="00527D53"/>
    <w:rsid w:val="00533ACA"/>
    <w:rsid w:val="00534676"/>
    <w:rsid w:val="0053736D"/>
    <w:rsid w:val="00555943"/>
    <w:rsid w:val="005641D1"/>
    <w:rsid w:val="005739ED"/>
    <w:rsid w:val="005839D2"/>
    <w:rsid w:val="005956BF"/>
    <w:rsid w:val="005B031E"/>
    <w:rsid w:val="005B0AD1"/>
    <w:rsid w:val="005C1DE5"/>
    <w:rsid w:val="005D5971"/>
    <w:rsid w:val="005D62D7"/>
    <w:rsid w:val="005E3795"/>
    <w:rsid w:val="005F6474"/>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61E10"/>
    <w:rsid w:val="0067219E"/>
    <w:rsid w:val="00673290"/>
    <w:rsid w:val="006733A4"/>
    <w:rsid w:val="006736A9"/>
    <w:rsid w:val="00677A6A"/>
    <w:rsid w:val="00681087"/>
    <w:rsid w:val="00683D14"/>
    <w:rsid w:val="006A162E"/>
    <w:rsid w:val="006A2193"/>
    <w:rsid w:val="006A4E26"/>
    <w:rsid w:val="006B3FED"/>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3071D"/>
    <w:rsid w:val="00731B7F"/>
    <w:rsid w:val="0074219A"/>
    <w:rsid w:val="00745739"/>
    <w:rsid w:val="00746B8D"/>
    <w:rsid w:val="00753DAB"/>
    <w:rsid w:val="00754AD9"/>
    <w:rsid w:val="00757385"/>
    <w:rsid w:val="007653D4"/>
    <w:rsid w:val="00767080"/>
    <w:rsid w:val="0077082E"/>
    <w:rsid w:val="00770BAF"/>
    <w:rsid w:val="00774C39"/>
    <w:rsid w:val="007910CB"/>
    <w:rsid w:val="007A5BD4"/>
    <w:rsid w:val="007B6178"/>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42C78"/>
    <w:rsid w:val="0094479C"/>
    <w:rsid w:val="00952B36"/>
    <w:rsid w:val="00955EE1"/>
    <w:rsid w:val="0096017F"/>
    <w:rsid w:val="009629A6"/>
    <w:rsid w:val="0097536F"/>
    <w:rsid w:val="0097633D"/>
    <w:rsid w:val="009833E9"/>
    <w:rsid w:val="00986715"/>
    <w:rsid w:val="00991B84"/>
    <w:rsid w:val="00994163"/>
    <w:rsid w:val="00994C38"/>
    <w:rsid w:val="00994DE6"/>
    <w:rsid w:val="009A7F14"/>
    <w:rsid w:val="009B0357"/>
    <w:rsid w:val="009C227B"/>
    <w:rsid w:val="009D3A23"/>
    <w:rsid w:val="009D5792"/>
    <w:rsid w:val="009D57FC"/>
    <w:rsid w:val="009E11FB"/>
    <w:rsid w:val="009F1F40"/>
    <w:rsid w:val="009F7D00"/>
    <w:rsid w:val="00A140F5"/>
    <w:rsid w:val="00A15D50"/>
    <w:rsid w:val="00A22A5D"/>
    <w:rsid w:val="00A31C0E"/>
    <w:rsid w:val="00A31F6F"/>
    <w:rsid w:val="00A32E2E"/>
    <w:rsid w:val="00A35671"/>
    <w:rsid w:val="00A36DBE"/>
    <w:rsid w:val="00A44CCC"/>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43AE"/>
    <w:rsid w:val="00AE6341"/>
    <w:rsid w:val="00AF3207"/>
    <w:rsid w:val="00AF3763"/>
    <w:rsid w:val="00AF7DE4"/>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F23EC"/>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A61AD"/>
    <w:rsid w:val="00CB11A8"/>
    <w:rsid w:val="00CC284E"/>
    <w:rsid w:val="00CC43D2"/>
    <w:rsid w:val="00CC68AB"/>
    <w:rsid w:val="00CD0416"/>
    <w:rsid w:val="00CD58C0"/>
    <w:rsid w:val="00CE1736"/>
    <w:rsid w:val="00CE1B53"/>
    <w:rsid w:val="00CE3E52"/>
    <w:rsid w:val="00CF0D5D"/>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2369"/>
    <w:rsid w:val="00E33CC3"/>
    <w:rsid w:val="00E37AA9"/>
    <w:rsid w:val="00E565DB"/>
    <w:rsid w:val="00E57279"/>
    <w:rsid w:val="00E765A2"/>
    <w:rsid w:val="00E818D2"/>
    <w:rsid w:val="00E860E2"/>
    <w:rsid w:val="00E93AC9"/>
    <w:rsid w:val="00E9693B"/>
    <w:rsid w:val="00E9715F"/>
    <w:rsid w:val="00EA060B"/>
    <w:rsid w:val="00EA3B79"/>
    <w:rsid w:val="00EB2581"/>
    <w:rsid w:val="00EC1522"/>
    <w:rsid w:val="00EC76F0"/>
    <w:rsid w:val="00EF28A4"/>
    <w:rsid w:val="00EF36BE"/>
    <w:rsid w:val="00EF4532"/>
    <w:rsid w:val="00EF5F8B"/>
    <w:rsid w:val="00EF6065"/>
    <w:rsid w:val="00F0431E"/>
    <w:rsid w:val="00F055FD"/>
    <w:rsid w:val="00F10522"/>
    <w:rsid w:val="00F110CD"/>
    <w:rsid w:val="00F128DA"/>
    <w:rsid w:val="00F16F80"/>
    <w:rsid w:val="00F17787"/>
    <w:rsid w:val="00F21B84"/>
    <w:rsid w:val="00F251E9"/>
    <w:rsid w:val="00F25271"/>
    <w:rsid w:val="00F27CA9"/>
    <w:rsid w:val="00F458C3"/>
    <w:rsid w:val="00F5160E"/>
    <w:rsid w:val="00F54A51"/>
    <w:rsid w:val="00F55A48"/>
    <w:rsid w:val="00F7090D"/>
    <w:rsid w:val="00F746E0"/>
    <w:rsid w:val="00F77516"/>
    <w:rsid w:val="00F83952"/>
    <w:rsid w:val="00F84B48"/>
    <w:rsid w:val="00F86175"/>
    <w:rsid w:val="00F926F4"/>
    <w:rsid w:val="00F96E2E"/>
    <w:rsid w:val="00F970DD"/>
    <w:rsid w:val="00FA3768"/>
    <w:rsid w:val="00FB677C"/>
    <w:rsid w:val="00FC0BC9"/>
    <w:rsid w:val="00FC1311"/>
    <w:rsid w:val="00FC3697"/>
    <w:rsid w:val="00FC7A54"/>
    <w:rsid w:val="00FD0DE6"/>
    <w:rsid w:val="00FD21AA"/>
    <w:rsid w:val="00FD22D7"/>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AE43AE"/>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autoRedefine/>
    <w:uiPriority w:val="9"/>
    <w:unhideWhenUsed/>
    <w:qFormat/>
    <w:rsid w:val="0052593E"/>
    <w:pPr>
      <w:keepNext/>
      <w:keepLines/>
      <w:tabs>
        <w:tab w:val="clear" w:pos="720"/>
        <w:tab w:val="clear" w:pos="1440"/>
        <w:tab w:val="left" w:pos="1134"/>
      </w:tabs>
      <w:spacing w:before="160" w:after="80" w:line="360" w:lineRule="auto"/>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F458C3"/>
    <w:pPr>
      <w:keepNext/>
      <w:keepLines/>
      <w:spacing w:before="160" w:after="80"/>
      <w:outlineLvl w:val="2"/>
    </w:pPr>
    <w:rPr>
      <w:rFonts w:eastAsiaTheme="majorEastAsia" w:cstheme="majorBidi"/>
      <w:b/>
      <w:bCs/>
      <w:color w:val="FFFFFF" w:themeColor="background1"/>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AE"/>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2593E"/>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458C3"/>
    <w:rPr>
      <w:rFonts w:ascii="Arial" w:eastAsiaTheme="majorEastAsia" w:hAnsi="Arial" w:cstheme="majorBidi"/>
      <w:b/>
      <w:bCs/>
      <w:color w:val="FFFFFF" w:themeColor="background1"/>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ies@sepa.org.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eservoirs@sepa.org.uk" TargetMode="External"/><Relationship Id="rId4" Type="http://schemas.openxmlformats.org/officeDocument/2006/relationships/webSettings" Target="webSettings.xml"/><Relationship Id="rId9" Type="http://schemas.openxmlformats.org/officeDocument/2006/relationships/hyperlink" Target="https://www.legislation.gov.uk/asp/2011/9/enacte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3332</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Reservoirs briefing note 1</dc:title>
  <dc:subject/>
  <dc:creator/>
  <cp:keywords/>
  <dc:description/>
  <cp:lastModifiedBy/>
  <cp:revision>1</cp:revision>
  <dcterms:created xsi:type="dcterms:W3CDTF">2026-03-07T10:46:00Z</dcterms:created>
  <dcterms:modified xsi:type="dcterms:W3CDTF">2026-03-12T17:33:00Z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5a379983,58755ff5,10cea9f9</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7f16081c,75ed3b98,6cfa731e</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2026-03-07T10:49:30Z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9e997666-9151-431f-be14-5e1487fef12f</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