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FCEB279" w14:textId="77777777" w:rsidR="00ED3EE7" w:rsidRDefault="00CF7EFB" w:rsidP="00ED3EE7">
          <w:r>
            <w:rPr>
              <w:noProof/>
            </w:rPr>
            <w:drawing>
              <wp:inline distT="0" distB="0" distL="0" distR="0" wp14:anchorId="2F7215CD" wp14:editId="46BB3137">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7A192FD" w14:textId="4FA1B923" w:rsidR="00ED3EE7" w:rsidRDefault="78C70B40" w:rsidP="00ED3EE7">
          <w:pPr>
            <w:pStyle w:val="Heading1"/>
          </w:pPr>
          <w:r>
            <w:t>W</w:t>
          </w:r>
          <w:r w:rsidR="00DD1963">
            <w:t>AS</w:t>
          </w:r>
          <w:r>
            <w:t>-PS-0</w:t>
          </w:r>
          <w:r w:rsidR="00DD1963">
            <w:t>2</w:t>
          </w:r>
        </w:p>
        <w:p w14:paraId="511EA448" w14:textId="5E58F28C" w:rsidR="00F465CF" w:rsidRPr="00F465CF" w:rsidRDefault="78C70B40" w:rsidP="00F465CF">
          <w:pPr>
            <w:pStyle w:val="Reportheader"/>
            <w:rPr>
              <w:rFonts w:ascii="Arial" w:hAnsi="Arial" w:cs="Arial"/>
              <w:lang w:val="en-US"/>
            </w:rPr>
          </w:pPr>
          <w:r w:rsidRPr="49A2D625">
            <w:rPr>
              <w:rFonts w:ascii="Arial" w:hAnsi="Arial" w:cs="Arial"/>
              <w:lang w:val="en-US"/>
            </w:rPr>
            <w:t xml:space="preserve">Position statement: </w:t>
          </w:r>
          <w:r w:rsidR="00F465CF" w:rsidRPr="49A2D625">
            <w:rPr>
              <w:rFonts w:ascii="Arial" w:hAnsi="Arial" w:cs="Arial"/>
              <w:lang w:val="en-US"/>
            </w:rPr>
            <w:t xml:space="preserve">Emergency or </w:t>
          </w:r>
          <w:r w:rsidR="5DA6A4D1" w:rsidRPr="49A2D625">
            <w:rPr>
              <w:rFonts w:ascii="Arial" w:hAnsi="Arial" w:cs="Arial"/>
              <w:lang w:val="en-US"/>
            </w:rPr>
            <w:t>u</w:t>
          </w:r>
          <w:r w:rsidR="00F465CF" w:rsidRPr="49A2D625">
            <w:rPr>
              <w:rFonts w:ascii="Arial" w:hAnsi="Arial" w:cs="Arial"/>
              <w:lang w:val="en-US"/>
            </w:rPr>
            <w:t xml:space="preserve">nscheduled </w:t>
          </w:r>
          <w:r w:rsidR="05D8DE6C" w:rsidRPr="49A2D625">
            <w:rPr>
              <w:rFonts w:ascii="Arial" w:hAnsi="Arial" w:cs="Arial"/>
              <w:lang w:val="en-US"/>
            </w:rPr>
            <w:t>w</w:t>
          </w:r>
          <w:r w:rsidR="00F465CF" w:rsidRPr="49A2D625">
            <w:rPr>
              <w:rFonts w:ascii="Arial" w:hAnsi="Arial" w:cs="Arial"/>
              <w:lang w:val="en-US"/>
            </w:rPr>
            <w:t xml:space="preserve">ork to </w:t>
          </w:r>
          <w:r w:rsidR="6A62B177" w:rsidRPr="49A2D625">
            <w:rPr>
              <w:rFonts w:ascii="Arial" w:hAnsi="Arial" w:cs="Arial"/>
              <w:lang w:val="en-US"/>
            </w:rPr>
            <w:t>h</w:t>
          </w:r>
          <w:r w:rsidR="00F465CF" w:rsidRPr="49A2D625">
            <w:rPr>
              <w:rFonts w:ascii="Arial" w:hAnsi="Arial" w:cs="Arial"/>
              <w:lang w:val="en-US"/>
            </w:rPr>
            <w:t xml:space="preserve">eat </w:t>
          </w:r>
          <w:r w:rsidR="7108B464" w:rsidRPr="49A2D625">
            <w:rPr>
              <w:rFonts w:ascii="Arial" w:hAnsi="Arial" w:cs="Arial"/>
              <w:lang w:val="en-US"/>
            </w:rPr>
            <w:t>p</w:t>
          </w:r>
          <w:r w:rsidR="00F465CF" w:rsidRPr="49A2D625">
            <w:rPr>
              <w:rFonts w:ascii="Arial" w:hAnsi="Arial" w:cs="Arial"/>
              <w:lang w:val="en-US"/>
            </w:rPr>
            <w:t xml:space="preserve">ump </w:t>
          </w:r>
          <w:r w:rsidR="7EDC2895" w:rsidRPr="49A2D625">
            <w:rPr>
              <w:rFonts w:ascii="Arial" w:hAnsi="Arial" w:cs="Arial"/>
              <w:lang w:val="en-US"/>
            </w:rPr>
            <w:t>s</w:t>
          </w:r>
          <w:r w:rsidR="00F465CF" w:rsidRPr="49A2D625">
            <w:rPr>
              <w:rFonts w:ascii="Arial" w:hAnsi="Arial" w:cs="Arial"/>
              <w:lang w:val="en-US"/>
            </w:rPr>
            <w:t xml:space="preserve">ystems, </w:t>
          </w:r>
          <w:r w:rsidR="388D068F" w:rsidRPr="49A2D625">
            <w:rPr>
              <w:rFonts w:ascii="Arial" w:hAnsi="Arial" w:cs="Arial"/>
              <w:lang w:val="en-US"/>
            </w:rPr>
            <w:t>r</w:t>
          </w:r>
          <w:r w:rsidR="00F465CF" w:rsidRPr="49A2D625">
            <w:rPr>
              <w:rFonts w:ascii="Arial" w:hAnsi="Arial" w:cs="Arial"/>
              <w:lang w:val="en-US"/>
            </w:rPr>
            <w:t xml:space="preserve">efrigeration </w:t>
          </w:r>
          <w:r w:rsidR="0A8A50F4" w:rsidRPr="49A2D625">
            <w:rPr>
              <w:rFonts w:ascii="Arial" w:hAnsi="Arial" w:cs="Arial"/>
              <w:lang w:val="en-US"/>
            </w:rPr>
            <w:t>u</w:t>
          </w:r>
          <w:r w:rsidR="00F465CF" w:rsidRPr="49A2D625">
            <w:rPr>
              <w:rFonts w:ascii="Arial" w:hAnsi="Arial" w:cs="Arial"/>
              <w:lang w:val="en-US"/>
            </w:rPr>
            <w:t xml:space="preserve">nits and </w:t>
          </w:r>
          <w:r w:rsidR="223EC017" w:rsidRPr="49A2D625">
            <w:rPr>
              <w:rFonts w:ascii="Arial" w:hAnsi="Arial" w:cs="Arial"/>
              <w:lang w:val="en-US"/>
            </w:rPr>
            <w:t>a</w:t>
          </w:r>
          <w:r w:rsidR="00F465CF" w:rsidRPr="49A2D625">
            <w:rPr>
              <w:rFonts w:ascii="Arial" w:hAnsi="Arial" w:cs="Arial"/>
              <w:lang w:val="en-US"/>
            </w:rPr>
            <w:t xml:space="preserve">ir </w:t>
          </w:r>
          <w:r w:rsidR="5AEB9C85" w:rsidRPr="49A2D625">
            <w:rPr>
              <w:rFonts w:ascii="Arial" w:hAnsi="Arial" w:cs="Arial"/>
              <w:lang w:val="en-US"/>
            </w:rPr>
            <w:t>c</w:t>
          </w:r>
          <w:r w:rsidR="00F465CF" w:rsidRPr="49A2D625">
            <w:rPr>
              <w:rFonts w:ascii="Arial" w:hAnsi="Arial" w:cs="Arial"/>
              <w:lang w:val="en-US"/>
            </w:rPr>
            <w:t xml:space="preserve">onditioning </w:t>
          </w:r>
          <w:r w:rsidR="3FFC370B" w:rsidRPr="49A2D625">
            <w:rPr>
              <w:rFonts w:ascii="Arial" w:hAnsi="Arial" w:cs="Arial"/>
              <w:lang w:val="en-US"/>
            </w:rPr>
            <w:t>u</w:t>
          </w:r>
          <w:r w:rsidR="00F465CF" w:rsidRPr="49A2D625">
            <w:rPr>
              <w:rFonts w:ascii="Arial" w:hAnsi="Arial" w:cs="Arial"/>
              <w:lang w:val="en-US"/>
            </w:rPr>
            <w:t>nits</w:t>
          </w:r>
        </w:p>
        <w:p w14:paraId="60D09270" w14:textId="650CC4F5" w:rsidR="4E7EFCF9" w:rsidRDefault="4E7EFCF9" w:rsidP="49A2D625">
          <w:pPr>
            <w:pStyle w:val="Heading2"/>
          </w:pPr>
          <w:r>
            <w:t>Version 2.0 - August 2025</w:t>
          </w:r>
        </w:p>
        <w:p w14:paraId="512E35D7" w14:textId="77777777" w:rsidR="00ED3EE7" w:rsidRDefault="00ED3EE7" w:rsidP="00ED3EE7">
          <w:pPr>
            <w:pStyle w:val="Footer"/>
            <w:ind w:right="360"/>
          </w:pPr>
          <w:r>
            <w:rPr>
              <w:noProof/>
            </w:rPr>
            <mc:AlternateContent>
              <mc:Choice Requires="wps">
                <w:drawing>
                  <wp:anchor distT="0" distB="0" distL="114300" distR="114300" simplePos="0" relativeHeight="251658240" behindDoc="0" locked="0" layoutInCell="1" allowOverlap="1" wp14:anchorId="165BD95C" wp14:editId="5CAE51BF">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A044C73"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74D4545D" w14:textId="4EB9A9E4" w:rsidR="00ED3EE7" w:rsidRDefault="000F2B64" w:rsidP="00D10DF0">
          <w:pPr>
            <w:pStyle w:val="Heading2"/>
            <w:spacing w:line="360" w:lineRule="auto"/>
          </w:pPr>
          <w:r>
            <w:t>Purpose</w:t>
          </w:r>
        </w:p>
        <w:p w14:paraId="761B1CB7" w14:textId="120194B5" w:rsidR="00D7032D" w:rsidRDefault="00D7032D" w:rsidP="00D10DF0">
          <w:r>
            <w:t xml:space="preserve">This position statement is intended to provide guidance to SEPA staff and those involved in the maintenance of </w:t>
          </w:r>
          <w:r w:rsidR="0042099C">
            <w:t>h</w:t>
          </w:r>
          <w:r>
            <w:t xml:space="preserve">eat </w:t>
          </w:r>
          <w:r w:rsidR="0042099C">
            <w:t>p</w:t>
          </w:r>
          <w:r>
            <w:t xml:space="preserve">ump systems, </w:t>
          </w:r>
          <w:r w:rsidR="0042099C">
            <w:t>r</w:t>
          </w:r>
          <w:r>
            <w:t xml:space="preserve">efrigeration units and </w:t>
          </w:r>
          <w:r w:rsidR="0042099C">
            <w:t>a</w:t>
          </w:r>
          <w:r>
            <w:t xml:space="preserve">ir </w:t>
          </w:r>
          <w:r w:rsidR="0042099C">
            <w:t>c</w:t>
          </w:r>
          <w:r>
            <w:t xml:space="preserve">onditioning units. </w:t>
          </w:r>
        </w:p>
        <w:p w14:paraId="527771BD" w14:textId="65289845" w:rsidR="00D7032D" w:rsidRDefault="0042099C" w:rsidP="00D10DF0">
          <w:r>
            <w:t>It</w:t>
          </w:r>
          <w:r w:rsidR="00D7032D">
            <w:t xml:space="preserve"> details </w:t>
          </w:r>
          <w:r>
            <w:t>our</w:t>
          </w:r>
          <w:r w:rsidR="00D7032D">
            <w:t xml:space="preserve"> enforcement approach to the application of the Special Waste Regulations 1996 (“the Regulations”) to the management of wastes resulting from emergency or unscheduled work on stationary heat pump systems, refrigeration units and air conditioning units.</w:t>
          </w:r>
        </w:p>
        <w:p w14:paraId="52DD34A7" w14:textId="4219B1B9" w:rsidR="00D7032D" w:rsidRDefault="00895779" w:rsidP="00D10DF0">
          <w:r>
            <w:t>For</w:t>
          </w:r>
          <w:r w:rsidR="00D7032D">
            <w:t xml:space="preserve"> special wastes arising from </w:t>
          </w:r>
          <w:r w:rsidR="00D7032D" w:rsidRPr="00D10DF0">
            <w:t>emergency or unscheduled work</w:t>
          </w:r>
          <w:r w:rsidR="00D7032D">
            <w:t xml:space="preserve"> on stationary heat pump systems, refrigeration units and air conditioning units (“emergency or unscheduled work)</w:t>
          </w:r>
          <w:r>
            <w:t>,</w:t>
          </w:r>
          <w:r w:rsidR="00D7032D">
            <w:t xml:space="preserve"> a Special Waste Consignment Note (“SWCN”) will not be </w:t>
          </w:r>
          <w:r>
            <w:t>need</w:t>
          </w:r>
          <w:r w:rsidR="00D7032D">
            <w:t xml:space="preserve">ed when the following wastes are produced </w:t>
          </w:r>
          <w:r w:rsidR="0076310B">
            <w:t>because of</w:t>
          </w:r>
          <w:r w:rsidR="00D7032D">
            <w:t xml:space="preserve"> such work and are transported to an appropriately </w:t>
          </w:r>
          <w:r w:rsidR="00AD5F7C">
            <w:t>authorised</w:t>
          </w:r>
          <w:r w:rsidR="00D7032D">
            <w:t xml:space="preserve"> site</w:t>
          </w:r>
          <w:r w:rsidR="001A3FDD">
            <w:t>:</w:t>
          </w:r>
        </w:p>
        <w:p w14:paraId="0B39D9F1" w14:textId="229EE5A9" w:rsidR="00D7032D" w:rsidRPr="00B832D5" w:rsidRDefault="00383E0F" w:rsidP="00D10DF0">
          <w:pPr>
            <w:pStyle w:val="ListParagraph"/>
            <w:numPr>
              <w:ilvl w:val="0"/>
              <w:numId w:val="13"/>
            </w:numPr>
            <w:contextualSpacing w:val="0"/>
          </w:pPr>
          <w:r>
            <w:t>L</w:t>
          </w:r>
          <w:r w:rsidR="00D7032D" w:rsidRPr="00B832D5">
            <w:t>ess than 3kg of waste refrigerants contained in a recovery cylinder</w:t>
          </w:r>
          <w:r>
            <w:t>.</w:t>
          </w:r>
        </w:p>
        <w:p w14:paraId="75D3C4F6" w14:textId="4B5F5078" w:rsidR="000F2B64" w:rsidRDefault="00383E0F" w:rsidP="00D10DF0">
          <w:pPr>
            <w:pStyle w:val="ListParagraph"/>
            <w:numPr>
              <w:ilvl w:val="0"/>
              <w:numId w:val="13"/>
            </w:numPr>
            <w:contextualSpacing w:val="0"/>
          </w:pPr>
          <w:r>
            <w:t>O</w:t>
          </w:r>
          <w:r w:rsidR="00D7032D" w:rsidRPr="00B832D5">
            <w:t>ily wastes or oil contaminated waste compressors with residual contamination (compressor, waste oil, etc.).</w:t>
          </w:r>
        </w:p>
        <w:p w14:paraId="4F2F74D1" w14:textId="1E8B7099" w:rsidR="00B832D5" w:rsidRDefault="00B832D5" w:rsidP="00D10DF0">
          <w:pPr>
            <w:pStyle w:val="Heading2"/>
            <w:spacing w:line="360" w:lineRule="auto"/>
          </w:pPr>
          <w:r>
            <w:lastRenderedPageBreak/>
            <w:t>B</w:t>
          </w:r>
          <w:r w:rsidR="000A575F">
            <w:t>ackground</w:t>
          </w:r>
        </w:p>
        <w:p w14:paraId="75DE5D26" w14:textId="017FAD67" w:rsidR="00A736D8" w:rsidRDefault="00A736D8" w:rsidP="00D10DF0">
          <w:r>
            <w:t xml:space="preserve">Refrigerants, such as fluorinated (F) gases or ozone depleting substances (ODS), found in various industrial and commercial settings, and </w:t>
          </w:r>
          <w:r w:rsidR="00AE2027">
            <w:t>o</w:t>
          </w:r>
          <w:r>
            <w:t>ils, are a working component in various pieces of equipment</w:t>
          </w:r>
          <w:r w:rsidR="00A70C87">
            <w:t>, e.g.</w:t>
          </w:r>
          <w:r>
            <w:t xml:space="preserve"> stationary heat pump systems, refrigeration units and air conditioning units.</w:t>
          </w:r>
        </w:p>
        <w:p w14:paraId="6EA87097" w14:textId="688AA53F" w:rsidR="00A736D8" w:rsidRDefault="00A736D8" w:rsidP="00D10DF0">
          <w:r>
            <w:t>In most circumstances, this equipment will be subject to regular servicing or planned maintenance carried out by approved technicians</w:t>
          </w:r>
          <w:r w:rsidR="005C69A5">
            <w:t>,</w:t>
          </w:r>
          <w:r>
            <w:t xml:space="preserve"> with the movement of any wastes produced, waste refrigerant, waste oil and oily contaminated compressors etc., being carried out in accordance with the Special Waste Regulations 1996 (as amended).</w:t>
          </w:r>
        </w:p>
        <w:p w14:paraId="3C9A9B4F" w14:textId="29F26277" w:rsidR="000A575F" w:rsidRDefault="00A736D8" w:rsidP="00D10DF0">
          <w:r>
            <w:t xml:space="preserve">Technicians will however carry out work or repairs </w:t>
          </w:r>
          <w:r w:rsidR="0076310B">
            <w:t>out with</w:t>
          </w:r>
          <w:r>
            <w:t xml:space="preserve"> a regular planned programme and the emergency nature of such call outs mean that there are practical issues in managing any special waste</w:t>
          </w:r>
          <w:r w:rsidR="0076310B">
            <w:t xml:space="preserve"> </w:t>
          </w:r>
          <w:r>
            <w:t>produced in compliance with the Regulations.</w:t>
          </w:r>
        </w:p>
        <w:p w14:paraId="1EA7C6DB" w14:textId="77777777" w:rsidR="00F55EC1" w:rsidRDefault="00F55EC1" w:rsidP="00D10DF0">
          <w:pPr>
            <w:pStyle w:val="Heading2"/>
            <w:spacing w:line="360" w:lineRule="auto"/>
          </w:pPr>
          <w:r>
            <w:t>Waste arising as result of unscheduled or emergency work</w:t>
          </w:r>
        </w:p>
        <w:p w14:paraId="25849534" w14:textId="64C5F4AD" w:rsidR="00F55EC1" w:rsidRDefault="00F55EC1" w:rsidP="00D10DF0">
          <w:r>
            <w:t xml:space="preserve">Special Wastes produced from emergency or unscheduled work provide producers with a challenge in terms of managing that waste in accordance with the Regulations. The scenarios listed below are commonplace within this </w:t>
          </w:r>
          <w:r w:rsidR="00A036E2">
            <w:t>sector</w:t>
          </w:r>
          <w:r>
            <w:t>.</w:t>
          </w:r>
        </w:p>
        <w:p w14:paraId="6A5CB6F7" w14:textId="29C6E02D" w:rsidR="00F55EC1" w:rsidRDefault="00F55EC1" w:rsidP="00D10DF0">
          <w:pPr>
            <w:pStyle w:val="Heading3"/>
            <w:spacing w:line="360" w:lineRule="auto"/>
          </w:pPr>
          <w:r>
            <w:t>Use of Receiver Cylinders</w:t>
          </w:r>
        </w:p>
        <w:p w14:paraId="01E42216" w14:textId="77F8104A" w:rsidR="00F55EC1" w:rsidRDefault="00F55EC1" w:rsidP="00D10DF0">
          <w:r>
            <w:t>During maintenance work</w:t>
          </w:r>
          <w:r w:rsidR="00661302">
            <w:t>,</w:t>
          </w:r>
          <w:r>
            <w:t xml:space="preserve"> technicians </w:t>
          </w:r>
          <w:r w:rsidR="00A036E2">
            <w:t>might need</w:t>
          </w:r>
          <w:r>
            <w:t xml:space="preserve"> to decant refrigerant, temporarily, into a </w:t>
          </w:r>
          <w:r w:rsidR="00661302">
            <w:t>r</w:t>
          </w:r>
          <w:r>
            <w:t>eceiver cylinder</w:t>
          </w:r>
          <w:r w:rsidR="00661302">
            <w:t>,</w:t>
          </w:r>
          <w:r>
            <w:t xml:space="preserve"> allowing maintenance work to be undertaken. On completion of the task, the technician will return the refrigerant to the system leaving the</w:t>
          </w:r>
          <w:r w:rsidR="00661302">
            <w:t xml:space="preserve"> </w:t>
          </w:r>
          <w:r>
            <w:t xml:space="preserve">receiving cylinder in a </w:t>
          </w:r>
          <w:r w:rsidR="00661302">
            <w:t>p</w:t>
          </w:r>
          <w:r>
            <w:t>artial vacuum retaining only trace quantities of refrigerant. The near empty or empty cylinders can then be taken to a distribution centre for cleaning and re-use.</w:t>
          </w:r>
        </w:p>
        <w:p w14:paraId="27FC5F3D" w14:textId="17BAFC88" w:rsidR="00F55EC1" w:rsidRDefault="00F55EC1" w:rsidP="00D10DF0">
          <w:pPr>
            <w:pStyle w:val="Heading3"/>
            <w:spacing w:line="360" w:lineRule="auto"/>
          </w:pPr>
          <w:r>
            <w:t>Use of Recovery Cylinders</w:t>
          </w:r>
        </w:p>
        <w:p w14:paraId="1C100167" w14:textId="19823AC3" w:rsidR="00F55EC1" w:rsidRPr="000A575F" w:rsidRDefault="004D499C" w:rsidP="00A736D8">
          <w:r>
            <w:t>Sometimes</w:t>
          </w:r>
          <w:r w:rsidR="00F55EC1">
            <w:t xml:space="preserve"> the refrigerant will not be returned to the system and is decanted into a recovery cylinder for onward transportation to another location for storage, processing or disposal.</w:t>
          </w:r>
        </w:p>
      </w:sdtContent>
    </w:sdt>
    <w:p w14:paraId="248D3CE4" w14:textId="70CB9DD7" w:rsidR="4AE72290" w:rsidRDefault="4AE72290" w:rsidP="49A2D625">
      <w:r w:rsidRPr="49A2D625">
        <w:rPr>
          <w:rFonts w:ascii="Arial" w:eastAsia="Arial" w:hAnsi="Arial" w:cs="Arial"/>
          <w:color w:val="000000"/>
          <w:sz w:val="32"/>
          <w:szCs w:val="32"/>
        </w:rPr>
        <w:lastRenderedPageBreak/>
        <w:t xml:space="preserve">If you would like this document in an accessible format, such as large print, audio recording or braille, please contact SEPA by emailing </w:t>
      </w:r>
      <w:hyperlink r:id="rId12">
        <w:r w:rsidRPr="49A2D625">
          <w:rPr>
            <w:rStyle w:val="Hyperlink"/>
            <w:rFonts w:ascii="Arial" w:eastAsia="Arial" w:hAnsi="Arial" w:cs="Arial"/>
            <w:sz w:val="32"/>
            <w:szCs w:val="32"/>
          </w:rPr>
          <w:t>equalities@sepa.org.uk</w:t>
        </w:r>
      </w:hyperlink>
    </w:p>
    <w:p w14:paraId="7F20FC0A" w14:textId="77777777" w:rsidR="006243FF" w:rsidRPr="00E245AC" w:rsidRDefault="006243FF" w:rsidP="3B4611E9">
      <w:pPr>
        <w:pStyle w:val="BodyText1"/>
        <w:rPr>
          <w:color w:val="016473"/>
          <w:sz w:val="32"/>
          <w:szCs w:val="32"/>
        </w:rPr>
      </w:pPr>
    </w:p>
    <w:sectPr w:rsidR="006243FF" w:rsidRPr="00E245AC" w:rsidSect="00DA294B">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9D9E" w14:textId="77777777" w:rsidR="00F15014" w:rsidRDefault="00F15014" w:rsidP="00660C79">
      <w:pPr>
        <w:spacing w:line="240" w:lineRule="auto"/>
      </w:pPr>
      <w:r>
        <w:separator/>
      </w:r>
    </w:p>
  </w:endnote>
  <w:endnote w:type="continuationSeparator" w:id="0">
    <w:p w14:paraId="6DE7692D" w14:textId="77777777" w:rsidR="00F15014" w:rsidRDefault="00F15014" w:rsidP="00660C79">
      <w:pPr>
        <w:spacing w:line="240" w:lineRule="auto"/>
      </w:pPr>
      <w:r>
        <w:continuationSeparator/>
      </w:r>
    </w:p>
  </w:endnote>
  <w:endnote w:type="continuationNotice" w:id="1">
    <w:p w14:paraId="5776A40A" w14:textId="77777777" w:rsidR="00F15014" w:rsidRDefault="00F15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1B53FA9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FC16438"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EB1B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594607"/>
      <w:docPartObj>
        <w:docPartGallery w:val="Page Numbers (Bottom of Page)"/>
        <w:docPartUnique/>
      </w:docPartObj>
    </w:sdtPr>
    <w:sdtEndPr>
      <w:rPr>
        <w:noProof/>
      </w:rPr>
    </w:sdtEndPr>
    <w:sdtContent>
      <w:p w14:paraId="48747630" w14:textId="7D19EB2D" w:rsidR="00A86D3D" w:rsidRDefault="00A86D3D">
        <w:pPr>
          <w:pStyle w:val="Footer"/>
          <w:jc w:val="right"/>
        </w:pPr>
        <w:r>
          <w:t>3</w:t>
        </w:r>
      </w:p>
    </w:sdtContent>
  </w:sdt>
  <w:p w14:paraId="5BF4B612" w14:textId="0AFDDF84" w:rsidR="00917BB1" w:rsidRDefault="00917BB1" w:rsidP="00917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64533"/>
      <w:docPartObj>
        <w:docPartGallery w:val="Page Numbers (Bottom of Page)"/>
        <w:docPartUnique/>
      </w:docPartObj>
    </w:sdtPr>
    <w:sdtEndPr>
      <w:rPr>
        <w:noProof/>
      </w:rPr>
    </w:sdtEndPr>
    <w:sdtContent>
      <w:p w14:paraId="3FB8C94F" w14:textId="3BE1DB83" w:rsidR="00A86D3D" w:rsidRDefault="00A86D3D">
        <w:pPr>
          <w:pStyle w:val="Footer"/>
          <w:jc w:val="right"/>
        </w:pPr>
        <w:r>
          <w:t>1</w:t>
        </w:r>
      </w:p>
    </w:sdtContent>
  </w:sdt>
  <w:p w14:paraId="6A6AFC0C" w14:textId="341FB6E9" w:rsidR="002369CA" w:rsidRDefault="0023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EC0A" w14:textId="77777777" w:rsidR="00F15014" w:rsidRDefault="00F15014" w:rsidP="00660C79">
      <w:pPr>
        <w:spacing w:line="240" w:lineRule="auto"/>
      </w:pPr>
      <w:r>
        <w:separator/>
      </w:r>
    </w:p>
  </w:footnote>
  <w:footnote w:type="continuationSeparator" w:id="0">
    <w:p w14:paraId="2CE9B2B1" w14:textId="77777777" w:rsidR="00F15014" w:rsidRDefault="00F15014" w:rsidP="00660C79">
      <w:pPr>
        <w:spacing w:line="240" w:lineRule="auto"/>
      </w:pPr>
      <w:r>
        <w:continuationSeparator/>
      </w:r>
    </w:p>
  </w:footnote>
  <w:footnote w:type="continuationNotice" w:id="1">
    <w:p w14:paraId="66F1E201" w14:textId="77777777" w:rsidR="00F15014" w:rsidRDefault="00F15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208D" w14:textId="5C6F3AD9"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38D57C21" wp14:editId="7107C34B">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6D65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D57C21"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926D65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4D499C" w:rsidRPr="004D499C">
      <w:rPr>
        <w:color w:val="6E7571" w:themeColor="text2"/>
      </w:rPr>
      <w:t xml:space="preserve">Emergency or unscheduled work to heat pump systems, refrigeration </w:t>
    </w:r>
    <w:r w:rsidR="004D499C">
      <w:rPr>
        <w:color w:val="6E7571" w:themeColor="text2"/>
      </w:rPr>
      <w:t>and</w:t>
    </w:r>
    <w:r w:rsidR="004D499C" w:rsidRPr="004D499C">
      <w:rPr>
        <w:color w:val="6E7571" w:themeColor="text2"/>
      </w:rPr>
      <w:t xml:space="preserve"> air conditioning units</w:t>
    </w:r>
  </w:p>
  <w:p w14:paraId="6657B91B"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1DC151F" wp14:editId="0323304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5ECC41D" id="Straight Connector 7" o:spid="_x0000_s1026" alt="&quot;&quot;" style="position:absolute;flip:x;z-index:25165568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C6FB" w14:textId="77777777" w:rsidR="002369CA" w:rsidRDefault="002369CA">
    <w:pPr>
      <w:pStyle w:val="Header"/>
    </w:pPr>
    <w:r>
      <w:rPr>
        <w:noProof/>
      </w:rPr>
      <mc:AlternateContent>
        <mc:Choice Requires="wps">
          <w:drawing>
            <wp:anchor distT="0" distB="0" distL="114300" distR="114300" simplePos="0" relativeHeight="251658241" behindDoc="0" locked="0" layoutInCell="0" allowOverlap="1" wp14:anchorId="71D8E314" wp14:editId="288C6F47">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AA6E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D8E314" id="_x0000_t202" coordsize="21600,21600" o:spt="202" path="m,l,21600r21600,l21600,xe">
              <v:stroke joinstyle="miter"/>
              <v:path gradientshapeok="t" o:connecttype="rect"/>
            </v:shapetype>
            <v:shape id="MSIPCMa3a54bf5b0225d2ae74b3b10" o:spid="_x0000_s1027"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0FDAA6E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20004"/>
    <w:multiLevelType w:val="hybridMultilevel"/>
    <w:tmpl w:val="AD5E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2"/>
  </w:num>
  <w:num w:numId="12" w16cid:durableId="903875781">
    <w:abstractNumId w:val="10"/>
  </w:num>
  <w:num w:numId="13" w16cid:durableId="1535269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62"/>
    <w:rsid w:val="000040E0"/>
    <w:rsid w:val="00021066"/>
    <w:rsid w:val="00032829"/>
    <w:rsid w:val="00040561"/>
    <w:rsid w:val="00070937"/>
    <w:rsid w:val="000A575F"/>
    <w:rsid w:val="000A5BAE"/>
    <w:rsid w:val="000B7559"/>
    <w:rsid w:val="000E0D15"/>
    <w:rsid w:val="000F08F1"/>
    <w:rsid w:val="000F2B64"/>
    <w:rsid w:val="00105F31"/>
    <w:rsid w:val="001759A8"/>
    <w:rsid w:val="00180D6D"/>
    <w:rsid w:val="001A3FDD"/>
    <w:rsid w:val="001C1ABD"/>
    <w:rsid w:val="00231A01"/>
    <w:rsid w:val="00236552"/>
    <w:rsid w:val="002369CA"/>
    <w:rsid w:val="00247DD3"/>
    <w:rsid w:val="00281BB1"/>
    <w:rsid w:val="0030096D"/>
    <w:rsid w:val="0030479F"/>
    <w:rsid w:val="00317618"/>
    <w:rsid w:val="0036312D"/>
    <w:rsid w:val="00383E0F"/>
    <w:rsid w:val="00392E8C"/>
    <w:rsid w:val="00396A53"/>
    <w:rsid w:val="003D5D7B"/>
    <w:rsid w:val="003F5384"/>
    <w:rsid w:val="004073BC"/>
    <w:rsid w:val="00412609"/>
    <w:rsid w:val="0042099C"/>
    <w:rsid w:val="00444AA1"/>
    <w:rsid w:val="00446BE9"/>
    <w:rsid w:val="004573C5"/>
    <w:rsid w:val="00462BEF"/>
    <w:rsid w:val="00466D27"/>
    <w:rsid w:val="004C44DC"/>
    <w:rsid w:val="004D499C"/>
    <w:rsid w:val="004D6DB1"/>
    <w:rsid w:val="005037E7"/>
    <w:rsid w:val="005625F5"/>
    <w:rsid w:val="00566D9D"/>
    <w:rsid w:val="005759EF"/>
    <w:rsid w:val="00587B5D"/>
    <w:rsid w:val="005900AA"/>
    <w:rsid w:val="005A355E"/>
    <w:rsid w:val="005B34F1"/>
    <w:rsid w:val="005C69A5"/>
    <w:rsid w:val="005D1213"/>
    <w:rsid w:val="005D7437"/>
    <w:rsid w:val="00622C21"/>
    <w:rsid w:val="006243FF"/>
    <w:rsid w:val="00654772"/>
    <w:rsid w:val="00660C79"/>
    <w:rsid w:val="00661302"/>
    <w:rsid w:val="00696CE0"/>
    <w:rsid w:val="006A6B13"/>
    <w:rsid w:val="006B210F"/>
    <w:rsid w:val="006D16CE"/>
    <w:rsid w:val="00760F9A"/>
    <w:rsid w:val="0076310B"/>
    <w:rsid w:val="007C3F12"/>
    <w:rsid w:val="007D441B"/>
    <w:rsid w:val="00801105"/>
    <w:rsid w:val="008519E9"/>
    <w:rsid w:val="00861B46"/>
    <w:rsid w:val="00864EC7"/>
    <w:rsid w:val="00895779"/>
    <w:rsid w:val="008A5426"/>
    <w:rsid w:val="008C1A73"/>
    <w:rsid w:val="008D113C"/>
    <w:rsid w:val="008D376F"/>
    <w:rsid w:val="008D661D"/>
    <w:rsid w:val="00917BB1"/>
    <w:rsid w:val="0096745E"/>
    <w:rsid w:val="00975D21"/>
    <w:rsid w:val="00980531"/>
    <w:rsid w:val="00990510"/>
    <w:rsid w:val="009A240D"/>
    <w:rsid w:val="009E45C9"/>
    <w:rsid w:val="00A036E2"/>
    <w:rsid w:val="00A049F7"/>
    <w:rsid w:val="00A2480F"/>
    <w:rsid w:val="00A4691F"/>
    <w:rsid w:val="00A5212E"/>
    <w:rsid w:val="00A54F09"/>
    <w:rsid w:val="00A70C87"/>
    <w:rsid w:val="00A736D8"/>
    <w:rsid w:val="00A86D3D"/>
    <w:rsid w:val="00A9349C"/>
    <w:rsid w:val="00AB415B"/>
    <w:rsid w:val="00AD5F7C"/>
    <w:rsid w:val="00AE068C"/>
    <w:rsid w:val="00AE2027"/>
    <w:rsid w:val="00AE2C62"/>
    <w:rsid w:val="00B155CF"/>
    <w:rsid w:val="00B21D76"/>
    <w:rsid w:val="00B26B28"/>
    <w:rsid w:val="00B40B82"/>
    <w:rsid w:val="00B4672F"/>
    <w:rsid w:val="00B46E48"/>
    <w:rsid w:val="00B54CF4"/>
    <w:rsid w:val="00B56FC1"/>
    <w:rsid w:val="00B758D5"/>
    <w:rsid w:val="00B832D5"/>
    <w:rsid w:val="00BC47C2"/>
    <w:rsid w:val="00BE60E1"/>
    <w:rsid w:val="00C06ECF"/>
    <w:rsid w:val="00C079C8"/>
    <w:rsid w:val="00C569B9"/>
    <w:rsid w:val="00C63AF5"/>
    <w:rsid w:val="00C77D00"/>
    <w:rsid w:val="00C825E4"/>
    <w:rsid w:val="00CA6BBC"/>
    <w:rsid w:val="00CE293F"/>
    <w:rsid w:val="00CF7EFB"/>
    <w:rsid w:val="00D10DF0"/>
    <w:rsid w:val="00D321B3"/>
    <w:rsid w:val="00D35448"/>
    <w:rsid w:val="00D661AD"/>
    <w:rsid w:val="00D7032D"/>
    <w:rsid w:val="00DA294B"/>
    <w:rsid w:val="00DC1FC5"/>
    <w:rsid w:val="00DD1963"/>
    <w:rsid w:val="00E245AC"/>
    <w:rsid w:val="00E37840"/>
    <w:rsid w:val="00E62524"/>
    <w:rsid w:val="00E67C75"/>
    <w:rsid w:val="00E93356"/>
    <w:rsid w:val="00EA297B"/>
    <w:rsid w:val="00EC6A73"/>
    <w:rsid w:val="00ED3EE7"/>
    <w:rsid w:val="00F07048"/>
    <w:rsid w:val="00F147F0"/>
    <w:rsid w:val="00F15014"/>
    <w:rsid w:val="00F15CC3"/>
    <w:rsid w:val="00F417D5"/>
    <w:rsid w:val="00F465CF"/>
    <w:rsid w:val="00F55EC1"/>
    <w:rsid w:val="00F60DD8"/>
    <w:rsid w:val="00F61BFF"/>
    <w:rsid w:val="00F72274"/>
    <w:rsid w:val="00F746D0"/>
    <w:rsid w:val="00F97DFD"/>
    <w:rsid w:val="00FF5D5A"/>
    <w:rsid w:val="00FF669F"/>
    <w:rsid w:val="05D8DE6C"/>
    <w:rsid w:val="0A8A50F4"/>
    <w:rsid w:val="15E950CC"/>
    <w:rsid w:val="1D7ACA51"/>
    <w:rsid w:val="223EC017"/>
    <w:rsid w:val="26AE4097"/>
    <w:rsid w:val="33154BFA"/>
    <w:rsid w:val="388D068F"/>
    <w:rsid w:val="3B4611E9"/>
    <w:rsid w:val="3DBD184C"/>
    <w:rsid w:val="3FFC370B"/>
    <w:rsid w:val="49A2D625"/>
    <w:rsid w:val="4AE72290"/>
    <w:rsid w:val="4E7EFCF9"/>
    <w:rsid w:val="5AEB9C85"/>
    <w:rsid w:val="5DA6A4D1"/>
    <w:rsid w:val="606CC08E"/>
    <w:rsid w:val="6A62B177"/>
    <w:rsid w:val="7108B464"/>
    <w:rsid w:val="7236DAD6"/>
    <w:rsid w:val="75320EBF"/>
    <w:rsid w:val="78C70B40"/>
    <w:rsid w:val="7EDC28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11F80"/>
  <w15:chartTrackingRefBased/>
  <w15:docId w15:val="{F393405C-5E08-430E-98EC-6214706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B64"/>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B83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 w:id="203950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SharedWithUsers xmlns="ce5b52f7-9556-48ad-bf4f-1238de82834a">
      <UserInfo>
        <DisplayName/>
        <AccountId xsi:nil="true"/>
        <AccountType/>
      </UserInfo>
    </SharedWithUsers>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documentManagement>
</p:properties>
</file>

<file path=customXml/itemProps1.xml><?xml version="1.0" encoding="utf-8"?>
<ds:datastoreItem xmlns:ds="http://schemas.openxmlformats.org/officeDocument/2006/customXml" ds:itemID="{4B35BBAE-2C6A-4672-88AE-DA9A5537E936}"/>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3B009F55-0F92-4F4E-971B-CDD33E9869C7}">
  <ds:schemaRefs>
    <ds:schemaRef ds:uri="http://schemas.microsoft.com/sharepoint/v3/contenttype/forms"/>
  </ds:schemaRefs>
</ds:datastoreItem>
</file>

<file path=customXml/itemProps4.xml><?xml version="1.0" encoding="utf-8"?>
<ds:datastoreItem xmlns:ds="http://schemas.openxmlformats.org/officeDocument/2006/customXml" ds:itemID="{181B3BF0-CAC7-41EE-906E-AD4867EF22FB}">
  <ds:schemaRefs>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ce5b52f7-9556-48ad-bf4f-1238de82834a"/>
    <ds:schemaRef ds:uri="7dd4d6b0-2bd1-40f7-94aa-8d4785e7902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13</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Links>
    <vt:vector size="6" baseType="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6</cp:revision>
  <cp:lastPrinted>2023-03-23T21:44:00Z</cp:lastPrinted>
  <dcterms:created xsi:type="dcterms:W3CDTF">2025-02-26T19:59:00Z</dcterms:created>
  <dcterms:modified xsi:type="dcterms:W3CDTF">2025-04-15T13:34:00Z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MediaServiceImageTags">
    <vt:lpwstr/>
  </property>
  <property fmtid="{D5CDD505-2E9C-101B-9397-08002B2CF9AE}" pid="10" name="ContentTypeId">
    <vt:lpwstr>0x01010004C80374B95F7240955C67127CD440EB</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LocationCode">
    <vt:lpwstr/>
  </property>
  <property fmtid="{D5CDD505-2E9C-101B-9397-08002B2CF9AE}" pid="17" name="sepaIAODept">
    <vt:lpwstr/>
  </property>
  <property fmtid="{D5CDD505-2E9C-101B-9397-08002B2CF9AE}" pid="18" name="sepaSector">
    <vt:lpwstr/>
  </property>
  <property fmtid="{D5CDD505-2E9C-101B-9397-08002B2CF9AE}" pid="19" name="sepaRegime">
    <vt:lpwstr/>
  </property>
  <property fmtid="{D5CDD505-2E9C-101B-9397-08002B2CF9AE}" pid="20" name="oef38a18042f4301907f28c0522602c2">
    <vt:lpwstr/>
  </property>
  <property fmtid="{D5CDD505-2E9C-101B-9397-08002B2CF9AE}" pid="21" name="ee9e47817d504c689218031fd5e96151">
    <vt:lpwstr/>
  </property>
  <property fmtid="{D5CDD505-2E9C-101B-9397-08002B2CF9AE}" pid="22" name="sepaWaterbody">
    <vt:lpwstr/>
  </property>
  <property fmtid="{D5CDD505-2E9C-101B-9397-08002B2CF9AE}" pid="23" name="ne0f48cd5d0346faa88fbe934056f480">
    <vt:lpwstr/>
  </property>
  <property fmtid="{D5CDD505-2E9C-101B-9397-08002B2CF9AE}" pid="24" name="k30a802c90584b64ac3ae896c6a1ef3a">
    <vt:lpwstr/>
  </property>
  <property fmtid="{D5CDD505-2E9C-101B-9397-08002B2CF9AE}" pid="25" name="Order">
    <vt:r8>295700</vt:r8>
  </property>
  <property fmtid="{D5CDD505-2E9C-101B-9397-08002B2CF9AE}" pid="26" name="ComplianceAssetId">
    <vt:lpwstr/>
  </property>
  <property fmtid="{D5CDD505-2E9C-101B-9397-08002B2CF9AE}" pid="27" name="_ExtendedDescription">
    <vt:lpwstr/>
  </property>
  <property fmtid="{D5CDD505-2E9C-101B-9397-08002B2CF9AE}" pid="28" name="TriggerFlowInfo">
    <vt:lpwstr/>
  </property>
</Properties>
</file>