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53F9346" w14:textId="77777777" w:rsidR="004073BC" w:rsidRDefault="00F72274" w:rsidP="00F72274">
          <w:r>
            <w:rPr>
              <w:noProof/>
            </w:rPr>
            <w:drawing>
              <wp:anchor distT="0" distB="0" distL="114300" distR="114300" simplePos="0" relativeHeight="251658241" behindDoc="1" locked="0" layoutInCell="1" allowOverlap="1" wp14:anchorId="18AF77A4" wp14:editId="1E8D7A6A">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49DF1F3" wp14:editId="2A57CF0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301DAAB" w14:textId="77777777" w:rsidR="004073BC" w:rsidRDefault="004073BC" w:rsidP="008C1A73"/>
        <w:p w14:paraId="192E9DE0" w14:textId="77777777" w:rsidR="004073BC" w:rsidRDefault="004073BC" w:rsidP="008C1A73"/>
        <w:p w14:paraId="2C6B665B" w14:textId="57F3DD21" w:rsidR="004073BC" w:rsidRPr="00181F77" w:rsidRDefault="00181F77" w:rsidP="008C1A73">
          <w:pPr>
            <w:rPr>
              <w:b/>
              <w:bCs/>
              <w:color w:val="FFFFFF" w:themeColor="background1"/>
              <w:sz w:val="32"/>
              <w:szCs w:val="32"/>
            </w:rPr>
          </w:pPr>
          <w:r w:rsidRPr="102766E3">
            <w:rPr>
              <w:b/>
              <w:bCs/>
              <w:color w:val="FFFFFF" w:themeColor="background1"/>
              <w:sz w:val="32"/>
              <w:szCs w:val="32"/>
            </w:rPr>
            <w:t>W</w:t>
          </w:r>
          <w:r w:rsidR="5E680245" w:rsidRPr="102766E3">
            <w:rPr>
              <w:b/>
              <w:bCs/>
              <w:color w:val="FFFFFF" w:themeColor="background1"/>
              <w:sz w:val="32"/>
              <w:szCs w:val="32"/>
            </w:rPr>
            <w:t>AS</w:t>
          </w:r>
          <w:r w:rsidR="000E12E0" w:rsidRPr="102766E3">
            <w:rPr>
              <w:b/>
              <w:bCs/>
              <w:color w:val="FFFFFF" w:themeColor="background1"/>
              <w:sz w:val="32"/>
              <w:szCs w:val="32"/>
            </w:rPr>
            <w:t>-G-</w:t>
          </w:r>
          <w:r w:rsidR="285A74F5" w:rsidRPr="102766E3">
            <w:rPr>
              <w:b/>
              <w:bCs/>
              <w:color w:val="FFFFFF" w:themeColor="background1"/>
              <w:sz w:val="32"/>
              <w:szCs w:val="32"/>
            </w:rPr>
            <w:t>POPS-01</w:t>
          </w:r>
        </w:p>
        <w:p w14:paraId="2F426B94" w14:textId="77777777" w:rsidR="004073BC" w:rsidRDefault="004073BC" w:rsidP="008C1A73"/>
        <w:p w14:paraId="2225E149" w14:textId="77777777" w:rsidR="004073BC" w:rsidRDefault="004073BC" w:rsidP="008C1A73"/>
        <w:p w14:paraId="2240832A" w14:textId="77777777" w:rsidR="00281BB1" w:rsidRDefault="00281BB1" w:rsidP="00281BB1">
          <w:pPr>
            <w:rPr>
              <w:b/>
              <w:bCs/>
              <w:color w:val="FFFFFF" w:themeColor="background1"/>
              <w:sz w:val="84"/>
              <w:szCs w:val="84"/>
            </w:rPr>
          </w:pPr>
        </w:p>
        <w:p w14:paraId="1FF4AD57" w14:textId="0349E546"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5ADC132" wp14:editId="7FA1614E">
                    <wp:simplePos x="0" y="0"/>
                    <wp:positionH relativeFrom="column">
                      <wp:posOffset>86360</wp:posOffset>
                    </wp:positionH>
                    <wp:positionV relativeFrom="paragraph">
                      <wp:posOffset>5481320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1CAC13F" w14:textId="75A54CBB" w:rsidR="00281BB1" w:rsidRPr="009A240D" w:rsidRDefault="00181F77" w:rsidP="00281BB1">
                                <w:pPr>
                                  <w:pStyle w:val="BodyText1"/>
                                  <w:rPr>
                                    <w:color w:val="FFFFFF" w:themeColor="background1"/>
                                  </w:rPr>
                                </w:pPr>
                                <w:r>
                                  <w:rPr>
                                    <w:color w:val="FFFFFF" w:themeColor="background1"/>
                                  </w:rPr>
                                  <w:t>Version 2.0 –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DC132" id="_x0000_t202" coordsize="21600,21600" o:spt="202" path="m,l,21600r21600,l21600,xe">
                    <v:stroke joinstyle="miter"/>
                    <v:path gradientshapeok="t" o:connecttype="rect"/>
                  </v:shapetype>
                  <v:shape id="Text Box 3" o:spid="_x0000_s1026" type="#_x0000_t202" alt="&quot;&quot;" style="position:absolute;margin-left:6.8pt;margin-top:431.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" filled="f" stroked="f" strokeweight=".5pt">
                    <v:textbox inset="0,0,0,0">
                      <w:txbxContent>
                        <w:p w14:paraId="51CAC13F" w14:textId="75A54CBB" w:rsidR="00281BB1" w:rsidRPr="009A240D" w:rsidRDefault="00181F77" w:rsidP="00281BB1">
                          <w:pPr>
                            <w:pStyle w:val="BodyText1"/>
                            <w:rPr>
                              <w:color w:val="FFFFFF" w:themeColor="background1"/>
                            </w:rPr>
                          </w:pPr>
                          <w:r>
                            <w:rPr>
                              <w:color w:val="FFFFFF" w:themeColor="background1"/>
                            </w:rPr>
                            <w:t>Version 2.0 – August 2025</w:t>
                          </w:r>
                        </w:p>
                      </w:txbxContent>
                    </v:textbox>
                    <w10:anchorlock/>
                  </v:shape>
                </w:pict>
              </mc:Fallback>
            </mc:AlternateContent>
          </w:r>
          <w:r w:rsidR="00181F77">
            <w:rPr>
              <w:b/>
              <w:bCs/>
              <w:color w:val="FFFFFF" w:themeColor="background1"/>
              <w:sz w:val="84"/>
              <w:szCs w:val="84"/>
            </w:rPr>
            <w:t xml:space="preserve">SEPA guidance: </w:t>
          </w:r>
          <w:r w:rsidR="00746A0A" w:rsidRPr="00746A0A">
            <w:rPr>
              <w:b/>
              <w:bCs/>
              <w:color w:val="FFFFFF" w:themeColor="background1"/>
              <w:sz w:val="84"/>
              <w:szCs w:val="84"/>
            </w:rPr>
            <w:t xml:space="preserve">Persistent </w:t>
          </w:r>
          <w:r w:rsidR="00746A0A">
            <w:rPr>
              <w:b/>
              <w:bCs/>
              <w:color w:val="FFFFFF" w:themeColor="background1"/>
              <w:sz w:val="84"/>
              <w:szCs w:val="84"/>
            </w:rPr>
            <w:t>o</w:t>
          </w:r>
          <w:r w:rsidR="00746A0A" w:rsidRPr="00746A0A">
            <w:rPr>
              <w:b/>
              <w:bCs/>
              <w:color w:val="FFFFFF" w:themeColor="background1"/>
              <w:sz w:val="84"/>
              <w:szCs w:val="84"/>
            </w:rPr>
            <w:t xml:space="preserve">rganic </w:t>
          </w:r>
          <w:r w:rsidR="00746A0A">
            <w:rPr>
              <w:b/>
              <w:bCs/>
              <w:color w:val="FFFFFF" w:themeColor="background1"/>
              <w:sz w:val="84"/>
              <w:szCs w:val="84"/>
            </w:rPr>
            <w:t>p</w:t>
          </w:r>
          <w:r w:rsidR="00746A0A" w:rsidRPr="00746A0A">
            <w:rPr>
              <w:b/>
              <w:bCs/>
              <w:color w:val="FFFFFF" w:themeColor="background1"/>
              <w:sz w:val="84"/>
              <w:szCs w:val="84"/>
            </w:rPr>
            <w:t>ollutants</w:t>
          </w:r>
        </w:p>
        <w:p w14:paraId="08AA963C" w14:textId="77777777" w:rsidR="008C1A73" w:rsidRPr="00CF7EFB" w:rsidRDefault="008C1A73" w:rsidP="00CF7EFB">
          <w:pPr>
            <w:rPr>
              <w:b/>
              <w:bCs/>
              <w:color w:val="FFFFFF" w:themeColor="background1"/>
              <w:sz w:val="84"/>
              <w:szCs w:val="84"/>
            </w:rPr>
          </w:pPr>
          <w:r>
            <w:br w:type="page"/>
          </w:r>
        </w:p>
      </w:sdtContent>
    </w:sdt>
    <w:sdt>
      <w:sdtPr>
        <w:rPr>
          <w:rFonts w:asciiTheme="majorHAnsi" w:eastAsiaTheme="majorEastAsia" w:hAnsiTheme="majorHAnsi" w:cstheme="majorBidi"/>
          <w:b/>
          <w:bCs/>
          <w:color w:val="016574" w:themeColor="accent2"/>
          <w:sz w:val="40"/>
          <w:szCs w:val="40"/>
        </w:rPr>
        <w:id w:val="1292030047"/>
        <w:docPartObj>
          <w:docPartGallery w:val="Table of Contents"/>
          <w:docPartUnique/>
        </w:docPartObj>
      </w:sdtPr>
      <w:sdtEndPr>
        <w:rPr>
          <w:color w:val="016574" w:themeColor="accent6"/>
        </w:rPr>
      </w:sdtEndPr>
      <w:sdtContent>
        <w:p w14:paraId="28C6192A" w14:textId="77777777" w:rsidR="003548CA" w:rsidRPr="00636826" w:rsidRDefault="003548CA" w:rsidP="003548CA">
          <w:pPr>
            <w:spacing w:after="240"/>
            <w:rPr>
              <w:rStyle w:val="Heading2Char"/>
              <w:rFonts w:eastAsiaTheme="minorEastAsia"/>
              <w:b w:val="0"/>
              <w:color w:val="auto"/>
              <w:sz w:val="24"/>
              <w:szCs w:val="24"/>
            </w:rPr>
          </w:pPr>
          <w:r w:rsidRPr="004B05C0">
            <w:rPr>
              <w:rStyle w:val="Heading2Char"/>
            </w:rPr>
            <w:t>Contents</w:t>
          </w:r>
        </w:p>
        <w:p w14:paraId="0DAFC0AA" w14:textId="25EBD1D2" w:rsidR="001703E5" w:rsidRPr="001703E5" w:rsidRDefault="003548CA">
          <w:pPr>
            <w:pStyle w:val="TOC1"/>
            <w:rPr>
              <w:b w:val="0"/>
              <w:bCs w:val="0"/>
              <w:kern w:val="2"/>
              <w:sz w:val="24"/>
              <w:szCs w:val="24"/>
              <w:lang w:eastAsia="en-GB"/>
              <w14:ligatures w14:val="standardContextual"/>
            </w:rPr>
          </w:pPr>
          <w:r>
            <w:fldChar w:fldCharType="begin"/>
          </w:r>
          <w:r>
            <w:instrText>TOC \o "1-3" \z \u \h</w:instrText>
          </w:r>
          <w:r>
            <w:fldChar w:fldCharType="separate"/>
          </w:r>
          <w:hyperlink w:anchor="_Toc191993222" w:history="1">
            <w:r w:rsidR="001703E5" w:rsidRPr="001703E5">
              <w:rPr>
                <w:rStyle w:val="Hyperlink"/>
                <w:rFonts w:asciiTheme="majorHAnsi" w:eastAsiaTheme="majorEastAsia" w:hAnsiTheme="majorHAnsi" w:cstheme="majorBidi"/>
                <w:b w:val="0"/>
                <w:bCs w:val="0"/>
                <w:sz w:val="24"/>
                <w:szCs w:val="24"/>
              </w:rPr>
              <w:t>Background</w:t>
            </w:r>
            <w:r w:rsidR="001703E5" w:rsidRPr="001703E5">
              <w:rPr>
                <w:b w:val="0"/>
                <w:bCs w:val="0"/>
                <w:webHidden/>
                <w:sz w:val="24"/>
                <w:szCs w:val="24"/>
              </w:rPr>
              <w:tab/>
            </w:r>
            <w:r w:rsidR="001703E5" w:rsidRPr="001703E5">
              <w:rPr>
                <w:b w:val="0"/>
                <w:bCs w:val="0"/>
                <w:webHidden/>
                <w:sz w:val="24"/>
                <w:szCs w:val="24"/>
              </w:rPr>
              <w:fldChar w:fldCharType="begin"/>
            </w:r>
            <w:r w:rsidR="001703E5" w:rsidRPr="001703E5">
              <w:rPr>
                <w:b w:val="0"/>
                <w:bCs w:val="0"/>
                <w:webHidden/>
                <w:sz w:val="24"/>
                <w:szCs w:val="24"/>
              </w:rPr>
              <w:instrText xml:space="preserve"> PAGEREF _Toc191993222 \h </w:instrText>
            </w:r>
            <w:r w:rsidR="001703E5" w:rsidRPr="001703E5">
              <w:rPr>
                <w:b w:val="0"/>
                <w:bCs w:val="0"/>
                <w:webHidden/>
                <w:sz w:val="24"/>
                <w:szCs w:val="24"/>
              </w:rPr>
            </w:r>
            <w:r w:rsidR="001703E5" w:rsidRPr="001703E5">
              <w:rPr>
                <w:b w:val="0"/>
                <w:bCs w:val="0"/>
                <w:webHidden/>
                <w:sz w:val="24"/>
                <w:szCs w:val="24"/>
              </w:rPr>
              <w:fldChar w:fldCharType="separate"/>
            </w:r>
            <w:r w:rsidR="001703E5" w:rsidRPr="001703E5">
              <w:rPr>
                <w:b w:val="0"/>
                <w:bCs w:val="0"/>
                <w:webHidden/>
                <w:sz w:val="24"/>
                <w:szCs w:val="24"/>
              </w:rPr>
              <w:t>1</w:t>
            </w:r>
            <w:r w:rsidR="001703E5" w:rsidRPr="001703E5">
              <w:rPr>
                <w:b w:val="0"/>
                <w:bCs w:val="0"/>
                <w:webHidden/>
                <w:sz w:val="24"/>
                <w:szCs w:val="24"/>
              </w:rPr>
              <w:fldChar w:fldCharType="end"/>
            </w:r>
          </w:hyperlink>
        </w:p>
        <w:p w14:paraId="2A7EF986" w14:textId="11D77E4D" w:rsidR="001703E5" w:rsidRPr="001703E5" w:rsidRDefault="001703E5">
          <w:pPr>
            <w:pStyle w:val="TOC1"/>
            <w:rPr>
              <w:b w:val="0"/>
              <w:bCs w:val="0"/>
              <w:kern w:val="2"/>
              <w:sz w:val="24"/>
              <w:szCs w:val="24"/>
              <w:lang w:eastAsia="en-GB"/>
              <w14:ligatures w14:val="standardContextual"/>
            </w:rPr>
          </w:pPr>
          <w:hyperlink w:anchor="_Toc191993223" w:history="1">
            <w:r w:rsidRPr="001703E5">
              <w:rPr>
                <w:rStyle w:val="Hyperlink"/>
                <w:rFonts w:asciiTheme="majorHAnsi" w:eastAsiaTheme="majorEastAsia" w:hAnsiTheme="majorHAnsi" w:cstheme="majorBidi"/>
                <w:b w:val="0"/>
                <w:bCs w:val="0"/>
                <w:sz w:val="24"/>
                <w:szCs w:val="24"/>
                <w:lang w:val="en-US"/>
              </w:rPr>
              <w:t>Overview of the POPs Regulation</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_Toc191993223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3</w:t>
            </w:r>
            <w:r w:rsidRPr="001703E5">
              <w:rPr>
                <w:b w:val="0"/>
                <w:bCs w:val="0"/>
                <w:webHidden/>
                <w:sz w:val="24"/>
                <w:szCs w:val="24"/>
              </w:rPr>
              <w:fldChar w:fldCharType="end"/>
            </w:r>
          </w:hyperlink>
        </w:p>
        <w:p w14:paraId="64375342" w14:textId="0D38E5B3" w:rsidR="001703E5" w:rsidRPr="001703E5" w:rsidRDefault="001703E5">
          <w:pPr>
            <w:pStyle w:val="TOC1"/>
            <w:rPr>
              <w:b w:val="0"/>
              <w:bCs w:val="0"/>
              <w:kern w:val="2"/>
              <w:sz w:val="24"/>
              <w:szCs w:val="24"/>
              <w:lang w:eastAsia="en-GB"/>
              <w14:ligatures w14:val="standardContextual"/>
            </w:rPr>
          </w:pPr>
          <w:hyperlink w:anchor="_Toc191993224" w:history="1">
            <w:r w:rsidRPr="001703E5">
              <w:rPr>
                <w:rStyle w:val="Hyperlink"/>
                <w:rFonts w:asciiTheme="majorHAnsi" w:eastAsiaTheme="majorEastAsia" w:hAnsiTheme="majorHAnsi" w:cstheme="majorBidi"/>
                <w:b w:val="0"/>
                <w:bCs w:val="0"/>
                <w:sz w:val="24"/>
                <w:szCs w:val="24"/>
                <w:lang w:val="en-US"/>
              </w:rPr>
              <w:t>Who is affected by the Regulation?</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_Toc191993224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4</w:t>
            </w:r>
            <w:r w:rsidRPr="001703E5">
              <w:rPr>
                <w:b w:val="0"/>
                <w:bCs w:val="0"/>
                <w:webHidden/>
                <w:sz w:val="24"/>
                <w:szCs w:val="24"/>
              </w:rPr>
              <w:fldChar w:fldCharType="end"/>
            </w:r>
          </w:hyperlink>
        </w:p>
        <w:p w14:paraId="3981F30D" w14:textId="725A37C4" w:rsidR="001703E5" w:rsidRPr="001703E5" w:rsidRDefault="001703E5">
          <w:pPr>
            <w:pStyle w:val="TOC1"/>
            <w:rPr>
              <w:b w:val="0"/>
              <w:bCs w:val="0"/>
              <w:kern w:val="2"/>
              <w:sz w:val="24"/>
              <w:szCs w:val="24"/>
              <w:lang w:eastAsia="en-GB"/>
              <w14:ligatures w14:val="standardContextual"/>
            </w:rPr>
          </w:pPr>
          <w:hyperlink w:anchor="_Toc191993225" w:history="1">
            <w:r w:rsidRPr="001703E5">
              <w:rPr>
                <w:rStyle w:val="Hyperlink"/>
                <w:rFonts w:asciiTheme="majorHAnsi" w:eastAsiaTheme="majorEastAsia" w:hAnsiTheme="majorHAnsi" w:cstheme="majorBidi"/>
                <w:b w:val="0"/>
                <w:bCs w:val="0"/>
                <w:sz w:val="24"/>
                <w:szCs w:val="24"/>
                <w:lang w:val="en-US"/>
              </w:rPr>
              <w:t>The banning of Production, Placing on the Market and Use of Some Chemicals</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_Toc191993225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4</w:t>
            </w:r>
            <w:r w:rsidRPr="001703E5">
              <w:rPr>
                <w:b w:val="0"/>
                <w:bCs w:val="0"/>
                <w:webHidden/>
                <w:sz w:val="24"/>
                <w:szCs w:val="24"/>
              </w:rPr>
              <w:fldChar w:fldCharType="end"/>
            </w:r>
          </w:hyperlink>
        </w:p>
        <w:p w14:paraId="49561F07" w14:textId="5CDAD363" w:rsidR="001703E5" w:rsidRPr="001703E5" w:rsidRDefault="001703E5">
          <w:pPr>
            <w:pStyle w:val="TOC1"/>
            <w:rPr>
              <w:b w:val="0"/>
              <w:bCs w:val="0"/>
              <w:kern w:val="2"/>
              <w:sz w:val="24"/>
              <w:szCs w:val="24"/>
              <w:lang w:eastAsia="en-GB"/>
              <w14:ligatures w14:val="standardContextual"/>
            </w:rPr>
          </w:pPr>
          <w:hyperlink w:anchor="_Toc191993226" w:history="1">
            <w:r w:rsidRPr="001703E5">
              <w:rPr>
                <w:rStyle w:val="Hyperlink"/>
                <w:rFonts w:asciiTheme="majorHAnsi" w:eastAsiaTheme="majorEastAsia" w:hAnsiTheme="majorHAnsi" w:cstheme="majorBidi"/>
                <w:b w:val="0"/>
                <w:bCs w:val="0"/>
                <w:sz w:val="24"/>
                <w:szCs w:val="24"/>
                <w:lang w:val="en-US"/>
              </w:rPr>
              <w:t>Controls on Stockpiles of POP Chemicals</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_Toc191993226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4</w:t>
            </w:r>
            <w:r w:rsidRPr="001703E5">
              <w:rPr>
                <w:b w:val="0"/>
                <w:bCs w:val="0"/>
                <w:webHidden/>
                <w:sz w:val="24"/>
                <w:szCs w:val="24"/>
              </w:rPr>
              <w:fldChar w:fldCharType="end"/>
            </w:r>
          </w:hyperlink>
        </w:p>
        <w:p w14:paraId="07F11934" w14:textId="73A33C97" w:rsidR="001703E5" w:rsidRPr="001703E5" w:rsidRDefault="001703E5">
          <w:pPr>
            <w:pStyle w:val="TOC1"/>
            <w:rPr>
              <w:b w:val="0"/>
              <w:bCs w:val="0"/>
              <w:kern w:val="2"/>
              <w:sz w:val="24"/>
              <w:szCs w:val="24"/>
              <w:lang w:eastAsia="en-GB"/>
              <w14:ligatures w14:val="standardContextual"/>
            </w:rPr>
          </w:pPr>
          <w:hyperlink w:anchor="_Toc191993227" w:history="1">
            <w:r w:rsidRPr="001703E5">
              <w:rPr>
                <w:rStyle w:val="Hyperlink"/>
                <w:rFonts w:asciiTheme="majorHAnsi" w:eastAsiaTheme="majorEastAsia" w:hAnsiTheme="majorHAnsi" w:cstheme="majorBidi"/>
                <w:b w:val="0"/>
                <w:bCs w:val="0"/>
                <w:sz w:val="24"/>
                <w:szCs w:val="24"/>
                <w:lang w:val="en-US"/>
              </w:rPr>
              <w:t>Requirements to Reduce, Minimise and Eliminate Releases</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_Toc191993227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5</w:t>
            </w:r>
            <w:r w:rsidRPr="001703E5">
              <w:rPr>
                <w:b w:val="0"/>
                <w:bCs w:val="0"/>
                <w:webHidden/>
                <w:sz w:val="24"/>
                <w:szCs w:val="24"/>
              </w:rPr>
              <w:fldChar w:fldCharType="end"/>
            </w:r>
          </w:hyperlink>
        </w:p>
        <w:p w14:paraId="47608235" w14:textId="50471736" w:rsidR="001703E5" w:rsidRPr="001703E5" w:rsidRDefault="001703E5">
          <w:pPr>
            <w:pStyle w:val="TOC1"/>
            <w:rPr>
              <w:b w:val="0"/>
              <w:bCs w:val="0"/>
              <w:kern w:val="2"/>
              <w:sz w:val="24"/>
              <w:szCs w:val="24"/>
              <w:lang w:eastAsia="en-GB"/>
              <w14:ligatures w14:val="standardContextual"/>
            </w:rPr>
          </w:pPr>
          <w:hyperlink w:anchor="_Toc191993228" w:history="1">
            <w:r w:rsidRPr="001703E5">
              <w:rPr>
                <w:rStyle w:val="Hyperlink"/>
                <w:rFonts w:asciiTheme="majorHAnsi" w:eastAsiaTheme="majorEastAsia" w:hAnsiTheme="majorHAnsi" w:cstheme="majorBidi"/>
                <w:b w:val="0"/>
                <w:bCs w:val="0"/>
                <w:sz w:val="24"/>
                <w:szCs w:val="24"/>
                <w:lang w:val="en-US"/>
              </w:rPr>
              <w:t>Destruction of the POP Content of Waste</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_Toc191993228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5</w:t>
            </w:r>
            <w:r w:rsidRPr="001703E5">
              <w:rPr>
                <w:b w:val="0"/>
                <w:bCs w:val="0"/>
                <w:webHidden/>
                <w:sz w:val="24"/>
                <w:szCs w:val="24"/>
              </w:rPr>
              <w:fldChar w:fldCharType="end"/>
            </w:r>
          </w:hyperlink>
        </w:p>
        <w:p w14:paraId="5C700C6F" w14:textId="71EDEA23" w:rsidR="001703E5" w:rsidRPr="001703E5" w:rsidRDefault="001703E5">
          <w:pPr>
            <w:pStyle w:val="TOC1"/>
            <w:rPr>
              <w:b w:val="0"/>
              <w:bCs w:val="0"/>
              <w:kern w:val="2"/>
              <w:sz w:val="24"/>
              <w:szCs w:val="24"/>
              <w:lang w:eastAsia="en-GB"/>
              <w14:ligatures w14:val="standardContextual"/>
            </w:rPr>
          </w:pPr>
          <w:hyperlink w:anchor="_Toc191993229" w:history="1">
            <w:r w:rsidRPr="001703E5">
              <w:rPr>
                <w:rStyle w:val="Hyperlink"/>
                <w:rFonts w:asciiTheme="majorHAnsi" w:eastAsiaTheme="majorEastAsia" w:hAnsiTheme="majorHAnsi" w:cstheme="majorBidi"/>
                <w:b w:val="0"/>
                <w:bCs w:val="0"/>
                <w:sz w:val="24"/>
                <w:szCs w:val="24"/>
                <w:lang w:val="en-US"/>
              </w:rPr>
              <w:t>References</w:t>
            </w:r>
            <w:r w:rsidRPr="001703E5">
              <w:rPr>
                <w:b w:val="0"/>
                <w:bCs w:val="0"/>
                <w:webHidden/>
                <w:sz w:val="24"/>
                <w:szCs w:val="24"/>
              </w:rPr>
              <w:tab/>
            </w:r>
            <w:r w:rsidRPr="001703E5">
              <w:rPr>
                <w:b w:val="0"/>
                <w:bCs w:val="0"/>
                <w:webHidden/>
                <w:sz w:val="24"/>
                <w:szCs w:val="24"/>
              </w:rPr>
              <w:fldChar w:fldCharType="begin"/>
            </w:r>
            <w:r w:rsidRPr="001703E5">
              <w:rPr>
                <w:b w:val="0"/>
                <w:bCs w:val="0"/>
                <w:webHidden/>
                <w:sz w:val="24"/>
                <w:szCs w:val="24"/>
              </w:rPr>
              <w:instrText xml:space="preserve"> PAGEREF _Toc191993229 \h </w:instrText>
            </w:r>
            <w:r w:rsidRPr="001703E5">
              <w:rPr>
                <w:b w:val="0"/>
                <w:bCs w:val="0"/>
                <w:webHidden/>
                <w:sz w:val="24"/>
                <w:szCs w:val="24"/>
              </w:rPr>
            </w:r>
            <w:r w:rsidRPr="001703E5">
              <w:rPr>
                <w:b w:val="0"/>
                <w:bCs w:val="0"/>
                <w:webHidden/>
                <w:sz w:val="24"/>
                <w:szCs w:val="24"/>
              </w:rPr>
              <w:fldChar w:fldCharType="separate"/>
            </w:r>
            <w:r w:rsidRPr="001703E5">
              <w:rPr>
                <w:b w:val="0"/>
                <w:bCs w:val="0"/>
                <w:webHidden/>
                <w:sz w:val="24"/>
                <w:szCs w:val="24"/>
              </w:rPr>
              <w:t>8</w:t>
            </w:r>
            <w:r w:rsidRPr="001703E5">
              <w:rPr>
                <w:b w:val="0"/>
                <w:bCs w:val="0"/>
                <w:webHidden/>
                <w:sz w:val="24"/>
                <w:szCs w:val="24"/>
              </w:rPr>
              <w:fldChar w:fldCharType="end"/>
            </w:r>
          </w:hyperlink>
        </w:p>
        <w:p w14:paraId="784B0027" w14:textId="5199EEB7" w:rsidR="003548CA" w:rsidRDefault="003548CA" w:rsidP="003548CA">
          <w:pPr>
            <w:pStyle w:val="Heading1"/>
          </w:pPr>
          <w:r>
            <w:fldChar w:fldCharType="end"/>
          </w:r>
        </w:p>
      </w:sdtContent>
    </w:sdt>
    <w:p w14:paraId="72293427" w14:textId="77777777" w:rsidR="00181F77" w:rsidRDefault="00181F77" w:rsidP="00181F77">
      <w:pPr>
        <w:spacing w:after="240"/>
      </w:pPr>
    </w:p>
    <w:p w14:paraId="7E3F0D06" w14:textId="77777777" w:rsidR="00857ED3" w:rsidRDefault="00857ED3" w:rsidP="00857ED3">
      <w:pPr>
        <w:pStyle w:val="BodyText1"/>
        <w:rPr>
          <w:rFonts w:eastAsia="Times New Roman"/>
          <w:sz w:val="32"/>
          <w:szCs w:val="32"/>
        </w:rPr>
      </w:pPr>
    </w:p>
    <w:p w14:paraId="5C8ED98E" w14:textId="77777777" w:rsidR="00857ED3" w:rsidRDefault="00857ED3" w:rsidP="00857ED3">
      <w:pPr>
        <w:pStyle w:val="BodyText1"/>
        <w:rPr>
          <w:rFonts w:eastAsia="Times New Roman"/>
          <w:sz w:val="32"/>
          <w:szCs w:val="32"/>
        </w:rPr>
      </w:pPr>
    </w:p>
    <w:p w14:paraId="154CF127" w14:textId="77777777" w:rsidR="00857ED3" w:rsidRDefault="00857ED3" w:rsidP="00857ED3">
      <w:pPr>
        <w:pStyle w:val="BodyText1"/>
        <w:rPr>
          <w:rFonts w:eastAsia="Times New Roman"/>
          <w:sz w:val="32"/>
          <w:szCs w:val="32"/>
        </w:rPr>
      </w:pPr>
    </w:p>
    <w:p w14:paraId="770CF622" w14:textId="77777777" w:rsidR="001703E5" w:rsidRDefault="001703E5" w:rsidP="00857ED3">
      <w:pPr>
        <w:pStyle w:val="BodyText1"/>
        <w:rPr>
          <w:rFonts w:eastAsia="Times New Roman"/>
          <w:sz w:val="32"/>
          <w:szCs w:val="32"/>
        </w:rPr>
      </w:pPr>
    </w:p>
    <w:p w14:paraId="2CE350BC" w14:textId="77777777" w:rsidR="001703E5" w:rsidRDefault="001703E5" w:rsidP="00857ED3">
      <w:pPr>
        <w:pStyle w:val="BodyText1"/>
        <w:rPr>
          <w:rFonts w:eastAsia="Times New Roman"/>
          <w:sz w:val="32"/>
          <w:szCs w:val="32"/>
        </w:rPr>
      </w:pPr>
    </w:p>
    <w:p w14:paraId="60547580" w14:textId="77777777" w:rsidR="00E8447E" w:rsidRDefault="00E8447E" w:rsidP="00857ED3">
      <w:pPr>
        <w:pStyle w:val="BodyText1"/>
        <w:rPr>
          <w:rFonts w:eastAsia="Times New Roman"/>
          <w:sz w:val="32"/>
          <w:szCs w:val="32"/>
        </w:rPr>
      </w:pPr>
    </w:p>
    <w:p w14:paraId="1289790D" w14:textId="77777777" w:rsidR="00E8447E" w:rsidRDefault="00E8447E" w:rsidP="00857ED3">
      <w:pPr>
        <w:pStyle w:val="BodyText1"/>
        <w:rPr>
          <w:rFonts w:eastAsia="Times New Roman"/>
          <w:sz w:val="32"/>
          <w:szCs w:val="32"/>
        </w:rPr>
      </w:pPr>
    </w:p>
    <w:p w14:paraId="509DABEE" w14:textId="5A49C789" w:rsidR="001703E5" w:rsidRPr="0020743F" w:rsidRDefault="00857ED3" w:rsidP="00857ED3">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5C404CB2" w14:textId="77777777" w:rsidR="001A6EF7" w:rsidRPr="001A6EF7" w:rsidRDefault="001A6EF7" w:rsidP="00E8447E">
      <w:pPr>
        <w:pStyle w:val="Heading2"/>
        <w:rPr>
          <w:sz w:val="40"/>
          <w:szCs w:val="32"/>
        </w:rPr>
      </w:pPr>
      <w:bookmarkStart w:id="0" w:name="_Toc191993222"/>
      <w:r w:rsidRPr="001A6EF7">
        <w:lastRenderedPageBreak/>
        <w:t>Background</w:t>
      </w:r>
      <w:bookmarkEnd w:id="0"/>
    </w:p>
    <w:p w14:paraId="29CB3370" w14:textId="77777777" w:rsidR="001A6EF7" w:rsidRPr="001A6EF7" w:rsidRDefault="001A6EF7" w:rsidP="001703E5">
      <w:pPr>
        <w:spacing w:after="240"/>
        <w:rPr>
          <w:lang w:val="en-US"/>
        </w:rPr>
      </w:pPr>
      <w:r w:rsidRPr="001A6EF7">
        <w:rPr>
          <w:lang w:val="en-US"/>
        </w:rPr>
        <w:t>Worldwide there is concern at the continuing release of persistent organic pollutants (POPs) into the environment. These chemical substances are transported across international boundaries far from their sources and they persist in the environment, bio-accumulate through the food web, and pose a risk to human health and the environment.</w:t>
      </w:r>
    </w:p>
    <w:p w14:paraId="7381234E" w14:textId="77777777" w:rsidR="001A6EF7" w:rsidRPr="001A6EF7" w:rsidRDefault="001A6EF7" w:rsidP="001703E5">
      <w:pPr>
        <w:spacing w:after="240"/>
        <w:rPr>
          <w:lang w:val="en-US"/>
        </w:rPr>
      </w:pPr>
      <w:r w:rsidRPr="001A6EF7">
        <w:rPr>
          <w:lang w:val="en-US"/>
        </w:rPr>
        <w:t>International action has therefore been taken to protect the environment from POPs. This action has taken the form of two international agreements:</w:t>
      </w:r>
    </w:p>
    <w:p w14:paraId="3C345C73" w14:textId="77777777" w:rsidR="001A6EF7" w:rsidRPr="001A6EF7" w:rsidRDefault="001A6EF7" w:rsidP="001703E5">
      <w:pPr>
        <w:numPr>
          <w:ilvl w:val="0"/>
          <w:numId w:val="14"/>
        </w:numPr>
        <w:spacing w:after="240"/>
        <w:rPr>
          <w:lang w:val="en-US"/>
        </w:rPr>
      </w:pPr>
      <w:r w:rsidRPr="001A6EF7">
        <w:rPr>
          <w:lang w:val="en-US"/>
        </w:rPr>
        <w:t>The Protocol to the 1979 Convention on Long-Range Transboundary Air Pollution on Persistent Organic Pollutants (signed on 24 June 1998) (the ‘Protocol), and</w:t>
      </w:r>
    </w:p>
    <w:p w14:paraId="3FCB7E05" w14:textId="77777777" w:rsidR="001A6EF7" w:rsidRPr="001A6EF7" w:rsidRDefault="001A6EF7" w:rsidP="001703E5">
      <w:pPr>
        <w:numPr>
          <w:ilvl w:val="0"/>
          <w:numId w:val="14"/>
        </w:numPr>
        <w:spacing w:after="240"/>
        <w:rPr>
          <w:lang w:val="en-US"/>
        </w:rPr>
      </w:pPr>
      <w:r w:rsidRPr="001A6EF7">
        <w:rPr>
          <w:lang w:val="en-US"/>
        </w:rPr>
        <w:t>The Stockholm Convention on Persistent Organic Pollutants (entered on 22 May 2001) (the ‘Convention).</w:t>
      </w:r>
    </w:p>
    <w:p w14:paraId="7CAE6246" w14:textId="1036260D" w:rsidR="001A6EF7" w:rsidRPr="001A6EF7" w:rsidRDefault="001A6EF7" w:rsidP="001703E5">
      <w:pPr>
        <w:spacing w:after="240"/>
        <w:rPr>
          <w:lang w:val="en-US"/>
        </w:rPr>
      </w:pPr>
      <w:r w:rsidRPr="001A6EF7">
        <w:rPr>
          <w:lang w:val="en-US"/>
        </w:rPr>
        <w:t>Regulation (EC) No 850/2004 of the European Parliament and the Council of 29 April 2004 on persistent organic pollutants</w:t>
      </w:r>
      <w:r w:rsidRPr="001A6EF7">
        <w:rPr>
          <w:vertAlign w:val="superscript"/>
          <w:lang w:val="en-US"/>
        </w:rPr>
        <w:footnoteReference w:id="2"/>
      </w:r>
      <w:r w:rsidRPr="001A6EF7">
        <w:rPr>
          <w:lang w:val="en-US"/>
        </w:rPr>
        <w:t xml:space="preserve"> (referred to in this document as ‘the Regulation’) implements both agreements in the European Union. </w:t>
      </w:r>
    </w:p>
    <w:p w14:paraId="48FD1D2D" w14:textId="77777777" w:rsidR="001A6EF7" w:rsidRPr="001A6EF7" w:rsidRDefault="001A6EF7" w:rsidP="001703E5">
      <w:pPr>
        <w:spacing w:after="240"/>
        <w:rPr>
          <w:lang w:val="en-US"/>
        </w:rPr>
      </w:pPr>
      <w:r w:rsidRPr="001A6EF7">
        <w:rPr>
          <w:lang w:val="en-US"/>
        </w:rPr>
        <w:t xml:space="preserve">The Regulation’s objective is to protect human health and the environment from POPs. It does this by: </w:t>
      </w:r>
    </w:p>
    <w:p w14:paraId="31552A08" w14:textId="75A556FD" w:rsidR="001A6EF7" w:rsidRPr="001A6EF7" w:rsidRDefault="007B5494" w:rsidP="001703E5">
      <w:pPr>
        <w:numPr>
          <w:ilvl w:val="0"/>
          <w:numId w:val="20"/>
        </w:numPr>
        <w:spacing w:after="240"/>
        <w:rPr>
          <w:lang w:val="en-US"/>
        </w:rPr>
      </w:pPr>
      <w:r>
        <w:rPr>
          <w:lang w:val="en-US"/>
        </w:rPr>
        <w:t>P</w:t>
      </w:r>
      <w:r w:rsidR="001A6EF7" w:rsidRPr="7CA2E205">
        <w:rPr>
          <w:lang w:val="en-US"/>
        </w:rPr>
        <w:t xml:space="preserve">rohibiting, phasing out as soon as possible, or restricting </w:t>
      </w:r>
      <w:proofErr w:type="gramStart"/>
      <w:r w:rsidR="001A6EF7" w:rsidRPr="7CA2E205">
        <w:rPr>
          <w:lang w:val="en-US"/>
        </w:rPr>
        <w:t>the production</w:t>
      </w:r>
      <w:proofErr w:type="gramEnd"/>
      <w:r w:rsidR="001A6EF7" w:rsidRPr="7CA2E205">
        <w:rPr>
          <w:lang w:val="en-US"/>
        </w:rPr>
        <w:t>, placing on the market and use of substances subject to the Protocol or the Convention (i.e</w:t>
      </w:r>
      <w:r w:rsidR="00B5135F" w:rsidRPr="7CA2E205">
        <w:rPr>
          <w:lang w:val="en-US"/>
        </w:rPr>
        <w:t>.,</w:t>
      </w:r>
      <w:r w:rsidR="001A6EF7" w:rsidRPr="7CA2E205">
        <w:rPr>
          <w:lang w:val="en-US"/>
        </w:rPr>
        <w:t xml:space="preserve"> POPs)</w:t>
      </w:r>
      <w:r>
        <w:rPr>
          <w:lang w:val="en-US"/>
        </w:rPr>
        <w:t>.</w:t>
      </w:r>
      <w:r w:rsidR="001A6EF7" w:rsidRPr="7CA2E205">
        <w:rPr>
          <w:lang w:val="en-US"/>
        </w:rPr>
        <w:t xml:space="preserve"> </w:t>
      </w:r>
    </w:p>
    <w:p w14:paraId="2B3A30DA" w14:textId="63EF0F64" w:rsidR="001A6EF7" w:rsidRPr="001A6EF7" w:rsidRDefault="007B5494" w:rsidP="001703E5">
      <w:pPr>
        <w:numPr>
          <w:ilvl w:val="0"/>
          <w:numId w:val="20"/>
        </w:numPr>
        <w:spacing w:after="240"/>
        <w:rPr>
          <w:lang w:val="en-US"/>
        </w:rPr>
      </w:pPr>
      <w:proofErr w:type="spellStart"/>
      <w:r>
        <w:rPr>
          <w:lang w:val="en-US"/>
        </w:rPr>
        <w:t>M</w:t>
      </w:r>
      <w:r w:rsidR="001A6EF7" w:rsidRPr="7CA2E205">
        <w:rPr>
          <w:lang w:val="en-US"/>
        </w:rPr>
        <w:t>inimising</w:t>
      </w:r>
      <w:proofErr w:type="spellEnd"/>
      <w:r w:rsidR="001A6EF7" w:rsidRPr="7CA2E205">
        <w:rPr>
          <w:lang w:val="en-US"/>
        </w:rPr>
        <w:t xml:space="preserve">, with a view to eliminating where feasible as soon as possible, </w:t>
      </w:r>
      <w:proofErr w:type="gramStart"/>
      <w:r w:rsidR="001A6EF7" w:rsidRPr="7CA2E205">
        <w:rPr>
          <w:lang w:val="en-US"/>
        </w:rPr>
        <w:t>releases</w:t>
      </w:r>
      <w:proofErr w:type="gramEnd"/>
      <w:r w:rsidR="001A6EF7" w:rsidRPr="7CA2E205">
        <w:rPr>
          <w:lang w:val="en-US"/>
        </w:rPr>
        <w:t xml:space="preserve"> of such substances</w:t>
      </w:r>
      <w:r>
        <w:rPr>
          <w:lang w:val="en-US"/>
        </w:rPr>
        <w:t>.</w:t>
      </w:r>
    </w:p>
    <w:p w14:paraId="7270DAA8" w14:textId="27B948DC" w:rsidR="001A6EF7" w:rsidRPr="001A6EF7" w:rsidRDefault="007B5494" w:rsidP="001703E5">
      <w:pPr>
        <w:numPr>
          <w:ilvl w:val="0"/>
          <w:numId w:val="20"/>
        </w:numPr>
        <w:spacing w:after="240"/>
        <w:rPr>
          <w:lang w:val="en-US"/>
        </w:rPr>
      </w:pPr>
      <w:r>
        <w:rPr>
          <w:lang w:val="en-US"/>
        </w:rPr>
        <w:t>E</w:t>
      </w:r>
      <w:r w:rsidR="001A6EF7" w:rsidRPr="001A6EF7">
        <w:rPr>
          <w:lang w:val="en-US"/>
        </w:rPr>
        <w:t>stablishing provisions regarding waste consisting of, containing</w:t>
      </w:r>
      <w:r w:rsidR="00EC3B49" w:rsidRPr="001A6EF7">
        <w:rPr>
          <w:lang w:val="en-US"/>
        </w:rPr>
        <w:t>,</w:t>
      </w:r>
      <w:r w:rsidR="001A6EF7" w:rsidRPr="001A6EF7">
        <w:rPr>
          <w:lang w:val="en-US"/>
        </w:rPr>
        <w:t xml:space="preserve"> or contaminated by these substances</w:t>
      </w:r>
      <w:r w:rsidR="001A6EF7" w:rsidRPr="001A6EF7">
        <w:rPr>
          <w:vertAlign w:val="superscript"/>
          <w:lang w:val="en-US"/>
        </w:rPr>
        <w:footnoteReference w:id="3"/>
      </w:r>
      <w:r w:rsidR="001A6EF7" w:rsidRPr="001A6EF7">
        <w:rPr>
          <w:lang w:val="en-US"/>
        </w:rPr>
        <w:t xml:space="preserve">. </w:t>
      </w:r>
    </w:p>
    <w:p w14:paraId="6E815976" w14:textId="478B5AED" w:rsidR="001A6EF7" w:rsidRPr="001A6EF7" w:rsidRDefault="001A6EF7" w:rsidP="001703E5">
      <w:pPr>
        <w:spacing w:after="240"/>
        <w:rPr>
          <w:lang w:val="en-US"/>
        </w:rPr>
      </w:pPr>
      <w:r w:rsidRPr="001A6EF7">
        <w:rPr>
          <w:lang w:val="en-US"/>
        </w:rPr>
        <w:lastRenderedPageBreak/>
        <w:t>Annexes I to IV to the Regulation list the substances contained in the Protocol and the Convention, and so which are subject to the controls of the Regulation; unless specified otherwise such substances are described simply as ‘POPs</w:t>
      </w:r>
      <w:r w:rsidR="00EC3B49" w:rsidRPr="001A6EF7">
        <w:rPr>
          <w:lang w:val="en-US"/>
        </w:rPr>
        <w:t>.’</w:t>
      </w:r>
      <w:r w:rsidRPr="001A6EF7">
        <w:rPr>
          <w:lang w:val="en-US"/>
        </w:rPr>
        <w:t xml:space="preserve"> </w:t>
      </w:r>
    </w:p>
    <w:p w14:paraId="7351FC93" w14:textId="77777777" w:rsidR="001A6EF7" w:rsidRPr="001A6EF7" w:rsidRDefault="001A6EF7" w:rsidP="001703E5">
      <w:pPr>
        <w:spacing w:after="240"/>
        <w:rPr>
          <w:lang w:val="en-US"/>
        </w:rPr>
      </w:pPr>
      <w:r w:rsidRPr="001A6EF7">
        <w:rPr>
          <w:lang w:val="en-US"/>
        </w:rPr>
        <w:t>The Regulation was implemented in the UK by The Persistent Organic Pollutants Regulations 2007</w:t>
      </w:r>
      <w:r w:rsidRPr="001A6EF7">
        <w:rPr>
          <w:vertAlign w:val="superscript"/>
          <w:lang w:val="en-US"/>
        </w:rPr>
        <w:footnoteReference w:id="4"/>
      </w:r>
      <w:r w:rsidRPr="001A6EF7">
        <w:rPr>
          <w:lang w:val="en-US"/>
        </w:rPr>
        <w:t xml:space="preserve"> (the ‘UK Regulations’). The UK Regulations set out the offences for not complying with the Regulation, penalties attached to these offences and the appeals procedure. The UK Regulations designate SEPA as the competent authority in Scotland for the purposes of the Regulation and detail the fees that SEPA may charge for applications.</w:t>
      </w:r>
    </w:p>
    <w:p w14:paraId="2B538538" w14:textId="74B8B845" w:rsidR="001A6EF7" w:rsidRPr="001A6EF7" w:rsidRDefault="001A6EF7" w:rsidP="00E8447E">
      <w:pPr>
        <w:pStyle w:val="Heading2"/>
        <w:rPr>
          <w:sz w:val="40"/>
          <w:szCs w:val="32"/>
          <w:lang w:val="en-US"/>
        </w:rPr>
      </w:pPr>
      <w:bookmarkStart w:id="1" w:name="_Toc191993223"/>
      <w:r w:rsidRPr="001A6EF7">
        <w:rPr>
          <w:lang w:val="en-US"/>
        </w:rPr>
        <w:t xml:space="preserve">Overview of the POPs </w:t>
      </w:r>
      <w:bookmarkEnd w:id="1"/>
      <w:r w:rsidR="00626398">
        <w:rPr>
          <w:lang w:val="en-US"/>
        </w:rPr>
        <w:t>r</w:t>
      </w:r>
      <w:r w:rsidRPr="001A6EF7">
        <w:rPr>
          <w:lang w:val="en-US"/>
        </w:rPr>
        <w:t>egulation</w:t>
      </w:r>
    </w:p>
    <w:p w14:paraId="3E2A8BE3" w14:textId="77777777" w:rsidR="001A6EF7" w:rsidRPr="001A6EF7" w:rsidRDefault="001A6EF7" w:rsidP="001703E5">
      <w:pPr>
        <w:spacing w:after="240"/>
        <w:rPr>
          <w:lang w:val="en-US"/>
        </w:rPr>
      </w:pPr>
      <w:r w:rsidRPr="001A6EF7">
        <w:rPr>
          <w:lang w:val="en-US"/>
        </w:rPr>
        <w:t>The principal requirements of the Regulation are:</w:t>
      </w:r>
    </w:p>
    <w:p w14:paraId="01455571" w14:textId="77777777" w:rsidR="001A6EF7" w:rsidRPr="001A6EF7" w:rsidRDefault="001A6EF7" w:rsidP="001703E5">
      <w:pPr>
        <w:numPr>
          <w:ilvl w:val="0"/>
          <w:numId w:val="15"/>
        </w:numPr>
        <w:spacing w:after="240"/>
        <w:rPr>
          <w:lang w:val="en-US"/>
        </w:rPr>
      </w:pPr>
      <w:r w:rsidRPr="001A6EF7">
        <w:rPr>
          <w:lang w:val="en-US"/>
        </w:rPr>
        <w:t>The UK is required to prepare a national plan (National Implementation Plan or NIP) for the implementation of its obligations under the convention. DEFRA has prepared the UK’s NIP</w:t>
      </w:r>
      <w:r w:rsidRPr="001A6EF7">
        <w:rPr>
          <w:vertAlign w:val="superscript"/>
          <w:lang w:val="en-US"/>
        </w:rPr>
        <w:footnoteReference w:id="5"/>
      </w:r>
      <w:r w:rsidRPr="001A6EF7">
        <w:rPr>
          <w:lang w:val="en-US"/>
        </w:rPr>
        <w:t>.</w:t>
      </w:r>
    </w:p>
    <w:p w14:paraId="5BEB7896" w14:textId="77777777" w:rsidR="001A6EF7" w:rsidRPr="001A6EF7" w:rsidRDefault="001A6EF7" w:rsidP="001703E5">
      <w:pPr>
        <w:numPr>
          <w:ilvl w:val="0"/>
          <w:numId w:val="21"/>
        </w:numPr>
        <w:spacing w:after="240"/>
      </w:pPr>
      <w:r w:rsidRPr="001A6EF7">
        <w:rPr>
          <w:lang w:val="en-US"/>
        </w:rPr>
        <w:t>There is a complete ban on the marketing and use of certain chemicals, namely:</w:t>
      </w:r>
    </w:p>
    <w:p w14:paraId="737DF698" w14:textId="652E48CA" w:rsidR="001A6EF7" w:rsidRPr="001A6EF7" w:rsidRDefault="001A6EF7" w:rsidP="001703E5">
      <w:pPr>
        <w:numPr>
          <w:ilvl w:val="1"/>
          <w:numId w:val="21"/>
        </w:numPr>
        <w:spacing w:after="240"/>
      </w:pPr>
      <w:r w:rsidRPr="001A6EF7">
        <w:t xml:space="preserve">Pesticides – for ex. DDT, Aldrin and </w:t>
      </w:r>
      <w:proofErr w:type="spellStart"/>
      <w:r w:rsidRPr="001A6EF7">
        <w:t>Mirex</w:t>
      </w:r>
      <w:proofErr w:type="spellEnd"/>
      <w:r w:rsidRPr="001A6EF7">
        <w:t>​</w:t>
      </w:r>
      <w:r w:rsidR="007B5494">
        <w:t>.</w:t>
      </w:r>
    </w:p>
    <w:p w14:paraId="426A244C" w14:textId="7C4A22F4" w:rsidR="001A6EF7" w:rsidRPr="001A6EF7" w:rsidRDefault="001A6EF7" w:rsidP="001703E5">
      <w:pPr>
        <w:numPr>
          <w:ilvl w:val="1"/>
          <w:numId w:val="21"/>
        </w:numPr>
        <w:spacing w:after="240"/>
      </w:pPr>
      <w:r w:rsidRPr="001A6EF7">
        <w:t>Industrial Chemicals – for ex. Polychlorinated Biphenyls (PCBs), Short-chained chlorinated paraffins (SCCPs) and UV-328</w:t>
      </w:r>
      <w:r w:rsidR="007B5494">
        <w:t>.</w:t>
      </w:r>
    </w:p>
    <w:p w14:paraId="7CFF53D8" w14:textId="432BF748" w:rsidR="001A6EF7" w:rsidRPr="001A6EF7" w:rsidRDefault="001A6EF7" w:rsidP="001703E5">
      <w:pPr>
        <w:numPr>
          <w:ilvl w:val="1"/>
          <w:numId w:val="21"/>
        </w:numPr>
        <w:spacing w:after="240"/>
      </w:pPr>
      <w:r w:rsidRPr="001A6EF7">
        <w:t>Unintentional by-products of combustion and some industrial/non-industrial processes – for ex. polychlorinated dibenzo-</w:t>
      </w:r>
      <w:r w:rsidRPr="001A6EF7">
        <w:rPr>
          <w:i/>
          <w:iCs/>
        </w:rPr>
        <w:t>p</w:t>
      </w:r>
      <w:r w:rsidRPr="001A6EF7">
        <w:t>-dioxins and polychlorinated dibenzofurans</w:t>
      </w:r>
      <w:r w:rsidR="007B5494">
        <w:t>.</w:t>
      </w:r>
    </w:p>
    <w:p w14:paraId="6A40764F" w14:textId="607738CF" w:rsidR="001A6EF7" w:rsidRPr="001A6EF7" w:rsidRDefault="001A6EF7" w:rsidP="001703E5">
      <w:pPr>
        <w:numPr>
          <w:ilvl w:val="0"/>
          <w:numId w:val="15"/>
        </w:numPr>
        <w:spacing w:after="240"/>
        <w:rPr>
          <w:lang w:val="en-US"/>
        </w:rPr>
      </w:pPr>
      <w:r w:rsidRPr="001A6EF7">
        <w:rPr>
          <w:lang w:val="en-US"/>
        </w:rPr>
        <w:t>There is a requirement to destroy the POP content of waste if the POP level of the waste is above a threshold value.</w:t>
      </w:r>
    </w:p>
    <w:p w14:paraId="19839F75" w14:textId="08BA5CC0" w:rsidR="00250AE6" w:rsidRDefault="001A6EF7" w:rsidP="00250AE6">
      <w:pPr>
        <w:numPr>
          <w:ilvl w:val="0"/>
          <w:numId w:val="15"/>
        </w:numPr>
        <w:spacing w:after="240"/>
        <w:rPr>
          <w:lang w:val="en-US"/>
        </w:rPr>
      </w:pPr>
      <w:r w:rsidRPr="001A6EF7">
        <w:rPr>
          <w:lang w:val="en-US"/>
        </w:rPr>
        <w:t xml:space="preserve">There are additional controls on waste that </w:t>
      </w:r>
      <w:proofErr w:type="gramStart"/>
      <w:r w:rsidRPr="001A6EF7">
        <w:rPr>
          <w:lang w:val="en-US"/>
        </w:rPr>
        <w:t>contains</w:t>
      </w:r>
      <w:proofErr w:type="gramEnd"/>
      <w:r w:rsidRPr="001A6EF7">
        <w:rPr>
          <w:lang w:val="en-US"/>
        </w:rPr>
        <w:t xml:space="preserve"> POPs</w:t>
      </w:r>
      <w:r w:rsidR="007B5494">
        <w:rPr>
          <w:lang w:val="en-US"/>
        </w:rPr>
        <w:t>.</w:t>
      </w:r>
    </w:p>
    <w:p w14:paraId="0A5ED652" w14:textId="77777777" w:rsidR="00884FFB" w:rsidRDefault="001A6EF7" w:rsidP="00250AE6">
      <w:pPr>
        <w:numPr>
          <w:ilvl w:val="0"/>
          <w:numId w:val="15"/>
        </w:numPr>
        <w:spacing w:after="240"/>
        <w:rPr>
          <w:lang w:val="en-US"/>
        </w:rPr>
      </w:pPr>
      <w:r w:rsidRPr="00250AE6">
        <w:rPr>
          <w:lang w:val="en-US"/>
        </w:rPr>
        <w:lastRenderedPageBreak/>
        <w:t xml:space="preserve">When constructing new facilities, or significantly modifying existing facilities, which release dioxins, hexachlorobenzene, PCB or polycyclic aromatic hydrocarbons (PAHs), there is a requirement to give priority consideration to alternative processes, techniques or practices that have similar usefulness which avoid the formation and release of these chemicals. </w:t>
      </w:r>
      <w:bookmarkStart w:id="2" w:name="_Toc191993224"/>
    </w:p>
    <w:p w14:paraId="4712D22C" w14:textId="12D82DB9" w:rsidR="001A6EF7" w:rsidRPr="00884FFB" w:rsidRDefault="001A6EF7" w:rsidP="00884FFB">
      <w:pPr>
        <w:spacing w:after="240"/>
        <w:rPr>
          <w:b/>
          <w:bCs/>
          <w:lang w:val="en-US"/>
        </w:rPr>
      </w:pPr>
      <w:r w:rsidRPr="00884FFB">
        <w:rPr>
          <w:b/>
          <w:bCs/>
          <w:lang w:val="en-US"/>
        </w:rPr>
        <w:t xml:space="preserve">Who is affected by the </w:t>
      </w:r>
      <w:r w:rsidR="00626398" w:rsidRPr="00884FFB">
        <w:rPr>
          <w:b/>
          <w:bCs/>
          <w:lang w:val="en-US"/>
        </w:rPr>
        <w:t>r</w:t>
      </w:r>
      <w:r w:rsidRPr="00884FFB">
        <w:rPr>
          <w:b/>
          <w:bCs/>
          <w:lang w:val="en-US"/>
        </w:rPr>
        <w:t>egulation?</w:t>
      </w:r>
      <w:bookmarkEnd w:id="2"/>
    </w:p>
    <w:p w14:paraId="3815CDE2" w14:textId="77777777" w:rsidR="001A6EF7" w:rsidRPr="001A6EF7" w:rsidRDefault="001A6EF7" w:rsidP="00253CBC">
      <w:pPr>
        <w:spacing w:after="240"/>
        <w:rPr>
          <w:lang w:val="en-US"/>
        </w:rPr>
      </w:pPr>
      <w:r w:rsidRPr="001A6EF7">
        <w:rPr>
          <w:lang w:val="en-US"/>
        </w:rPr>
        <w:t>The Regulation impacts on:</w:t>
      </w:r>
    </w:p>
    <w:p w14:paraId="37882028" w14:textId="15A98C63" w:rsidR="001A6EF7" w:rsidRPr="001A6EF7" w:rsidRDefault="001A6EF7" w:rsidP="00253CBC">
      <w:pPr>
        <w:numPr>
          <w:ilvl w:val="0"/>
          <w:numId w:val="16"/>
        </w:numPr>
        <w:spacing w:after="240"/>
        <w:rPr>
          <w:lang w:val="en-US"/>
        </w:rPr>
      </w:pPr>
      <w:r w:rsidRPr="001A6EF7">
        <w:rPr>
          <w:lang w:val="en-US"/>
        </w:rPr>
        <w:t>Any person producing, placing on the market</w:t>
      </w:r>
      <w:r w:rsidR="00EC3B49" w:rsidRPr="001A6EF7">
        <w:rPr>
          <w:lang w:val="en-US"/>
        </w:rPr>
        <w:t>,</w:t>
      </w:r>
      <w:r w:rsidRPr="001A6EF7">
        <w:rPr>
          <w:lang w:val="en-US"/>
        </w:rPr>
        <w:t xml:space="preserve"> or using any substance listed in its Annex I (substances listed in Stockholm Convention and Aarhus Protocol i.e</w:t>
      </w:r>
      <w:r w:rsidR="00EC3B49" w:rsidRPr="001A6EF7">
        <w:rPr>
          <w:lang w:val="en-US"/>
        </w:rPr>
        <w:t>.,</w:t>
      </w:r>
      <w:r w:rsidRPr="001A6EF7">
        <w:rPr>
          <w:lang w:val="en-US"/>
        </w:rPr>
        <w:t xml:space="preserve"> list of POPs) or Annex II</w:t>
      </w:r>
      <w:r w:rsidRPr="001A6EF7">
        <w:rPr>
          <w:vertAlign w:val="superscript"/>
          <w:lang w:val="en-US"/>
        </w:rPr>
        <w:t xml:space="preserve"> </w:t>
      </w:r>
      <w:r w:rsidRPr="001A6EF7">
        <w:rPr>
          <w:lang w:val="en-US"/>
        </w:rPr>
        <w:t>(substances subject to restrictions)</w:t>
      </w:r>
      <w:r w:rsidR="00884FFB">
        <w:rPr>
          <w:lang w:val="en-US"/>
        </w:rPr>
        <w:t>.</w:t>
      </w:r>
    </w:p>
    <w:p w14:paraId="7C467C30" w14:textId="247B78A0" w:rsidR="001A6EF7" w:rsidRPr="001A6EF7" w:rsidRDefault="001A6EF7" w:rsidP="00253CBC">
      <w:pPr>
        <w:numPr>
          <w:ilvl w:val="0"/>
          <w:numId w:val="16"/>
        </w:numPr>
        <w:spacing w:after="240"/>
        <w:rPr>
          <w:lang w:val="en-US"/>
        </w:rPr>
      </w:pPr>
      <w:r w:rsidRPr="001A6EF7">
        <w:rPr>
          <w:lang w:val="en-US"/>
        </w:rPr>
        <w:t xml:space="preserve">Any holder of a stockpile of any substance listed in </w:t>
      </w:r>
      <w:proofErr w:type="gramStart"/>
      <w:r w:rsidRPr="001A6EF7">
        <w:rPr>
          <w:lang w:val="en-US"/>
        </w:rPr>
        <w:t>its Annex</w:t>
      </w:r>
      <w:proofErr w:type="gramEnd"/>
      <w:r w:rsidRPr="001A6EF7">
        <w:rPr>
          <w:lang w:val="en-US"/>
        </w:rPr>
        <w:t xml:space="preserve"> I or II</w:t>
      </w:r>
      <w:r w:rsidR="00884FFB">
        <w:rPr>
          <w:lang w:val="en-US"/>
        </w:rPr>
        <w:t>.</w:t>
      </w:r>
    </w:p>
    <w:p w14:paraId="37173F97" w14:textId="3F54839B" w:rsidR="001A6EF7" w:rsidRPr="001A6EF7" w:rsidRDefault="001A6EF7" w:rsidP="00253CBC">
      <w:pPr>
        <w:numPr>
          <w:ilvl w:val="0"/>
          <w:numId w:val="16"/>
        </w:numPr>
        <w:spacing w:after="240"/>
        <w:rPr>
          <w:lang w:val="en-US"/>
        </w:rPr>
      </w:pPr>
      <w:r w:rsidRPr="001A6EF7">
        <w:rPr>
          <w:lang w:val="en-US"/>
        </w:rPr>
        <w:t xml:space="preserve">Any person applying for a permit, or a </w:t>
      </w:r>
      <w:r w:rsidR="00250AE6">
        <w:rPr>
          <w:lang w:val="en-US"/>
        </w:rPr>
        <w:t>variation</w:t>
      </w:r>
      <w:r w:rsidRPr="001A6EF7">
        <w:rPr>
          <w:lang w:val="en-US"/>
        </w:rPr>
        <w:t xml:space="preserve"> to a permit under </w:t>
      </w:r>
      <w:r w:rsidR="00250AE6">
        <w:rPr>
          <w:lang w:val="en-US"/>
        </w:rPr>
        <w:t>EASR</w:t>
      </w:r>
      <w:r w:rsidRPr="001A6EF7">
        <w:rPr>
          <w:lang w:val="en-US"/>
        </w:rPr>
        <w:t xml:space="preserve"> using processes that release chemicals listed in its Annex III</w:t>
      </w:r>
      <w:r w:rsidR="00884FFB">
        <w:rPr>
          <w:lang w:val="en-US"/>
        </w:rPr>
        <w:t>.</w:t>
      </w:r>
    </w:p>
    <w:p w14:paraId="11EF4AF7" w14:textId="77777777" w:rsidR="001A6EF7" w:rsidRPr="001A6EF7" w:rsidRDefault="001A6EF7" w:rsidP="00253CBC">
      <w:pPr>
        <w:numPr>
          <w:ilvl w:val="0"/>
          <w:numId w:val="16"/>
        </w:numPr>
        <w:spacing w:after="240"/>
        <w:rPr>
          <w:lang w:val="en-US"/>
        </w:rPr>
      </w:pPr>
      <w:r w:rsidRPr="001A6EF7">
        <w:rPr>
          <w:lang w:val="en-US"/>
        </w:rPr>
        <w:t xml:space="preserve">Any person producing or receiving </w:t>
      </w:r>
      <w:proofErr w:type="gramStart"/>
      <w:r w:rsidRPr="001A6EF7">
        <w:rPr>
          <w:lang w:val="en-US"/>
        </w:rPr>
        <w:t>a waste</w:t>
      </w:r>
      <w:proofErr w:type="gramEnd"/>
      <w:r w:rsidRPr="001A6EF7">
        <w:rPr>
          <w:lang w:val="en-US"/>
        </w:rPr>
        <w:t xml:space="preserve"> containing any of the substances specified in its Annex IV above the Annex IV threshold.</w:t>
      </w:r>
    </w:p>
    <w:p w14:paraId="241BA7AB" w14:textId="41035887" w:rsidR="001A6EF7" w:rsidRPr="001A6EF7" w:rsidRDefault="001A6EF7" w:rsidP="00E8447E">
      <w:pPr>
        <w:pStyle w:val="Heading2"/>
        <w:rPr>
          <w:sz w:val="40"/>
          <w:szCs w:val="32"/>
          <w:lang w:val="en-US"/>
        </w:rPr>
      </w:pPr>
      <w:bookmarkStart w:id="3" w:name="_Toc191993225"/>
      <w:r w:rsidRPr="001A6EF7">
        <w:rPr>
          <w:lang w:val="en-US"/>
        </w:rPr>
        <w:t xml:space="preserve">The banning of </w:t>
      </w:r>
      <w:r w:rsidR="00626398">
        <w:rPr>
          <w:lang w:val="en-US"/>
        </w:rPr>
        <w:t>p</w:t>
      </w:r>
      <w:r w:rsidRPr="001A6EF7">
        <w:rPr>
          <w:lang w:val="en-US"/>
        </w:rPr>
        <w:t xml:space="preserve">roduction, </w:t>
      </w:r>
      <w:r w:rsidR="00626398">
        <w:rPr>
          <w:lang w:val="en-US"/>
        </w:rPr>
        <w:t>p</w:t>
      </w:r>
      <w:r w:rsidRPr="001A6EF7">
        <w:rPr>
          <w:lang w:val="en-US"/>
        </w:rPr>
        <w:t xml:space="preserve">lacing on the </w:t>
      </w:r>
      <w:r w:rsidR="00626398">
        <w:rPr>
          <w:lang w:val="en-US"/>
        </w:rPr>
        <w:t>m</w:t>
      </w:r>
      <w:r w:rsidRPr="001A6EF7">
        <w:rPr>
          <w:lang w:val="en-US"/>
        </w:rPr>
        <w:t xml:space="preserve">arket and </w:t>
      </w:r>
      <w:r w:rsidR="00626398">
        <w:rPr>
          <w:lang w:val="en-US"/>
        </w:rPr>
        <w:t>u</w:t>
      </w:r>
      <w:r w:rsidRPr="001A6EF7">
        <w:rPr>
          <w:lang w:val="en-US"/>
        </w:rPr>
        <w:t xml:space="preserve">se of </w:t>
      </w:r>
      <w:bookmarkEnd w:id="3"/>
      <w:r w:rsidR="00626398">
        <w:rPr>
          <w:lang w:val="en-US"/>
        </w:rPr>
        <w:t>s</w:t>
      </w:r>
      <w:r w:rsidRPr="001A6EF7">
        <w:rPr>
          <w:lang w:val="en-US"/>
        </w:rPr>
        <w:t xml:space="preserve">ome </w:t>
      </w:r>
      <w:r w:rsidR="00626398">
        <w:rPr>
          <w:lang w:val="en-US"/>
        </w:rPr>
        <w:t>c</w:t>
      </w:r>
      <w:r w:rsidRPr="001A6EF7">
        <w:rPr>
          <w:lang w:val="en-US"/>
        </w:rPr>
        <w:t>hemicals</w:t>
      </w:r>
    </w:p>
    <w:p w14:paraId="53FC1EF7" w14:textId="77777777" w:rsidR="001A6EF7" w:rsidRPr="001A6EF7" w:rsidRDefault="001A6EF7" w:rsidP="001A6EF7">
      <w:pPr>
        <w:spacing w:after="240"/>
        <w:rPr>
          <w:lang w:val="en-US"/>
        </w:rPr>
      </w:pPr>
      <w:r w:rsidRPr="001A6EF7">
        <w:rPr>
          <w:lang w:val="en-US"/>
        </w:rPr>
        <w:t xml:space="preserve">The production, placing on the market and use of any of the POPs listed in Annex 1, whether on their own, in mixtures or in an article, is banned unless exempt. </w:t>
      </w:r>
    </w:p>
    <w:p w14:paraId="0A3CCD64" w14:textId="3C109A41" w:rsidR="001A6EF7" w:rsidRPr="001A6EF7" w:rsidRDefault="001A6EF7" w:rsidP="001A6EF7">
      <w:pPr>
        <w:spacing w:after="240"/>
        <w:rPr>
          <w:lang w:val="en-US"/>
        </w:rPr>
      </w:pPr>
      <w:r w:rsidRPr="001A6EF7">
        <w:rPr>
          <w:lang w:val="en-US"/>
        </w:rPr>
        <w:t xml:space="preserve">The restrictions do not apply to substances used on </w:t>
      </w:r>
      <w:r w:rsidR="00641CAD" w:rsidRPr="001A6EF7">
        <w:rPr>
          <w:lang w:val="en-US"/>
        </w:rPr>
        <w:t>laboratory scale research</w:t>
      </w:r>
      <w:r w:rsidRPr="001A6EF7">
        <w:rPr>
          <w:lang w:val="en-US"/>
        </w:rPr>
        <w:t>, as a reference standard, or occurring as an unintentional trace contamination in substances, preparations</w:t>
      </w:r>
      <w:r w:rsidR="00EC3B49" w:rsidRPr="001A6EF7">
        <w:rPr>
          <w:lang w:val="en-US"/>
        </w:rPr>
        <w:t>,</w:t>
      </w:r>
      <w:r w:rsidRPr="001A6EF7">
        <w:rPr>
          <w:lang w:val="en-US"/>
        </w:rPr>
        <w:t xml:space="preserve"> or articles.</w:t>
      </w:r>
    </w:p>
    <w:p w14:paraId="59A018C5" w14:textId="414A7206" w:rsidR="001A6EF7" w:rsidRPr="001A6EF7" w:rsidRDefault="001A6EF7" w:rsidP="00E8447E">
      <w:pPr>
        <w:pStyle w:val="Heading2"/>
        <w:rPr>
          <w:sz w:val="40"/>
          <w:szCs w:val="32"/>
          <w:lang w:val="en-US"/>
        </w:rPr>
      </w:pPr>
      <w:bookmarkStart w:id="4" w:name="_Toc191993226"/>
      <w:r w:rsidRPr="001A6EF7">
        <w:rPr>
          <w:lang w:val="en-US"/>
        </w:rPr>
        <w:t xml:space="preserve">Controls on </w:t>
      </w:r>
      <w:r w:rsidR="00626398">
        <w:rPr>
          <w:lang w:val="en-US"/>
        </w:rPr>
        <w:t>s</w:t>
      </w:r>
      <w:r w:rsidRPr="001A6EF7">
        <w:rPr>
          <w:lang w:val="en-US"/>
        </w:rPr>
        <w:t xml:space="preserve">tockpiles of POP </w:t>
      </w:r>
      <w:bookmarkEnd w:id="4"/>
      <w:r w:rsidR="00626398">
        <w:rPr>
          <w:lang w:val="en-US"/>
        </w:rPr>
        <w:t>c</w:t>
      </w:r>
      <w:r w:rsidRPr="001A6EF7">
        <w:rPr>
          <w:lang w:val="en-US"/>
        </w:rPr>
        <w:t>hemicals</w:t>
      </w:r>
    </w:p>
    <w:p w14:paraId="6DE3142E" w14:textId="77777777" w:rsidR="001A6EF7" w:rsidRPr="001A6EF7" w:rsidRDefault="001A6EF7" w:rsidP="00253CBC">
      <w:pPr>
        <w:spacing w:after="240"/>
        <w:rPr>
          <w:lang w:val="en-US"/>
        </w:rPr>
      </w:pPr>
      <w:r w:rsidRPr="001A6EF7">
        <w:rPr>
          <w:lang w:val="en-US"/>
        </w:rPr>
        <w:t xml:space="preserve">Article 5 of the EU Regulation imposes conditions on the holders of any stockpiles of the substances listed in Annex I or II. If the stockpile consists of substances for which no use is </w:t>
      </w:r>
      <w:r w:rsidRPr="001A6EF7">
        <w:rPr>
          <w:lang w:val="en-US"/>
        </w:rPr>
        <w:lastRenderedPageBreak/>
        <w:t>permitted, then the holder of the stockpile must manage it as waste and in accordance with Article 7 (see section 7).</w:t>
      </w:r>
    </w:p>
    <w:p w14:paraId="3B8A2804" w14:textId="77777777" w:rsidR="001A6EF7" w:rsidRPr="001A6EF7" w:rsidRDefault="001A6EF7" w:rsidP="00253CBC">
      <w:pPr>
        <w:spacing w:after="240"/>
        <w:rPr>
          <w:lang w:val="en-US"/>
        </w:rPr>
      </w:pPr>
      <w:r w:rsidRPr="001A6EF7">
        <w:rPr>
          <w:lang w:val="en-US"/>
        </w:rPr>
        <w:t>If the stockpile is greater than 50kg and consists of, or contains, any substance listed in Annex I or II for which use is permitted then the holder is required to notify SEPA with information as to the nature and size of the stockpile. This information is to be supplied within 12 months of the entry into force of the Regulation, or of any amendments to Annex II or I, and annually thereafter.</w:t>
      </w:r>
    </w:p>
    <w:p w14:paraId="3E2DEC4F" w14:textId="4FB1DCF0" w:rsidR="001A6EF7" w:rsidRPr="001A6EF7" w:rsidRDefault="001A6EF7" w:rsidP="00253CBC">
      <w:pPr>
        <w:spacing w:after="240"/>
        <w:rPr>
          <w:lang w:val="en-US"/>
        </w:rPr>
      </w:pPr>
      <w:r w:rsidRPr="001A6EF7">
        <w:rPr>
          <w:lang w:val="en-US"/>
        </w:rPr>
        <w:t>The holder of the stockpile is also required to manage the stockpile in a safe, efficient</w:t>
      </w:r>
      <w:r w:rsidR="00EC3B49" w:rsidRPr="001A6EF7">
        <w:rPr>
          <w:lang w:val="en-US"/>
        </w:rPr>
        <w:t>,</w:t>
      </w:r>
      <w:r w:rsidRPr="001A6EF7">
        <w:rPr>
          <w:lang w:val="en-US"/>
        </w:rPr>
        <w:t xml:space="preserve"> and environmentally sound manner.</w:t>
      </w:r>
    </w:p>
    <w:p w14:paraId="02CF57CA" w14:textId="085C468D" w:rsidR="001A6EF7" w:rsidRPr="001A6EF7" w:rsidRDefault="001A6EF7" w:rsidP="00E8447E">
      <w:pPr>
        <w:pStyle w:val="Heading2"/>
        <w:rPr>
          <w:sz w:val="40"/>
          <w:szCs w:val="32"/>
          <w:lang w:val="en-US"/>
        </w:rPr>
      </w:pPr>
      <w:bookmarkStart w:id="5" w:name="_Toc191993227"/>
      <w:r w:rsidRPr="001A6EF7">
        <w:rPr>
          <w:lang w:val="en-US"/>
        </w:rPr>
        <w:t xml:space="preserve">Requirements to </w:t>
      </w:r>
      <w:r w:rsidR="00626398">
        <w:rPr>
          <w:lang w:val="en-US"/>
        </w:rPr>
        <w:t>r</w:t>
      </w:r>
      <w:r w:rsidRPr="001A6EF7">
        <w:rPr>
          <w:lang w:val="en-US"/>
        </w:rPr>
        <w:t xml:space="preserve">educe, </w:t>
      </w:r>
      <w:proofErr w:type="spellStart"/>
      <w:r w:rsidR="00626398">
        <w:rPr>
          <w:lang w:val="en-US"/>
        </w:rPr>
        <w:t>m</w:t>
      </w:r>
      <w:r w:rsidRPr="001A6EF7">
        <w:rPr>
          <w:lang w:val="en-US"/>
        </w:rPr>
        <w:t>inimise</w:t>
      </w:r>
      <w:proofErr w:type="spellEnd"/>
      <w:r w:rsidRPr="001A6EF7">
        <w:rPr>
          <w:lang w:val="en-US"/>
        </w:rPr>
        <w:t xml:space="preserve"> and </w:t>
      </w:r>
      <w:r w:rsidR="00626398">
        <w:rPr>
          <w:lang w:val="en-US"/>
        </w:rPr>
        <w:t>e</w:t>
      </w:r>
      <w:r w:rsidRPr="001A6EF7">
        <w:rPr>
          <w:lang w:val="en-US"/>
        </w:rPr>
        <w:t xml:space="preserve">liminate </w:t>
      </w:r>
      <w:r w:rsidR="00626398">
        <w:rPr>
          <w:lang w:val="en-US"/>
        </w:rPr>
        <w:t>r</w:t>
      </w:r>
      <w:r w:rsidRPr="001A6EF7">
        <w:rPr>
          <w:lang w:val="en-US"/>
        </w:rPr>
        <w:t>eleases</w:t>
      </w:r>
      <w:bookmarkEnd w:id="5"/>
    </w:p>
    <w:p w14:paraId="67677FA0" w14:textId="79F8BEC4" w:rsidR="001A6EF7" w:rsidRPr="001A6EF7" w:rsidRDefault="001A6EF7" w:rsidP="00253CBC">
      <w:pPr>
        <w:spacing w:after="240"/>
        <w:rPr>
          <w:lang w:val="en-US"/>
        </w:rPr>
      </w:pPr>
      <w:r w:rsidRPr="001A6EF7">
        <w:rPr>
          <w:lang w:val="en-US"/>
        </w:rPr>
        <w:t xml:space="preserve">When considering an application for a permit, or a </w:t>
      </w:r>
      <w:r w:rsidR="00250AE6">
        <w:rPr>
          <w:lang w:val="en-US"/>
        </w:rPr>
        <w:t>variation</w:t>
      </w:r>
      <w:r w:rsidRPr="001A6EF7">
        <w:rPr>
          <w:lang w:val="en-US"/>
        </w:rPr>
        <w:t xml:space="preserve"> to a permit, under the </w:t>
      </w:r>
      <w:r w:rsidR="00250AE6">
        <w:rPr>
          <w:lang w:val="en-US"/>
        </w:rPr>
        <w:t>EASR</w:t>
      </w:r>
      <w:r w:rsidRPr="001A6EF7">
        <w:rPr>
          <w:lang w:val="en-US"/>
        </w:rPr>
        <w:t xml:space="preserve"> for activities using processes that release chemicals listed in Annex III, to the EU POPs Regulations, SEPA must give priority consideration to alternative processes, techniques or practices that have similar </w:t>
      </w:r>
      <w:proofErr w:type="gramStart"/>
      <w:r w:rsidRPr="001A6EF7">
        <w:rPr>
          <w:lang w:val="en-US"/>
        </w:rPr>
        <w:t>usefulness</w:t>
      </w:r>
      <w:proofErr w:type="gramEnd"/>
      <w:r w:rsidRPr="001A6EF7">
        <w:rPr>
          <w:lang w:val="en-US"/>
        </w:rPr>
        <w:t xml:space="preserve"> but which avoid the formation and release of these substances. In such circumstances SEPA should be consulted at the earliest opportunity.</w:t>
      </w:r>
    </w:p>
    <w:p w14:paraId="08981385" w14:textId="2A65E04E" w:rsidR="001A6EF7" w:rsidRPr="001A6EF7" w:rsidRDefault="001A6EF7" w:rsidP="00E8447E">
      <w:pPr>
        <w:pStyle w:val="Heading2"/>
        <w:rPr>
          <w:sz w:val="40"/>
          <w:szCs w:val="32"/>
          <w:lang w:val="en-US"/>
        </w:rPr>
      </w:pPr>
      <w:bookmarkStart w:id="6" w:name="_Toc191993228"/>
      <w:r w:rsidRPr="001A6EF7">
        <w:rPr>
          <w:lang w:val="en-US"/>
        </w:rPr>
        <w:t xml:space="preserve">Destruction of the POP </w:t>
      </w:r>
      <w:r w:rsidR="00626398">
        <w:rPr>
          <w:lang w:val="en-US"/>
        </w:rPr>
        <w:t>c</w:t>
      </w:r>
      <w:r w:rsidRPr="001A6EF7">
        <w:rPr>
          <w:lang w:val="en-US"/>
        </w:rPr>
        <w:t xml:space="preserve">ontent of </w:t>
      </w:r>
      <w:bookmarkEnd w:id="6"/>
      <w:r w:rsidR="00626398">
        <w:rPr>
          <w:lang w:val="en-US"/>
        </w:rPr>
        <w:t>w</w:t>
      </w:r>
      <w:r w:rsidRPr="001A6EF7">
        <w:rPr>
          <w:lang w:val="en-US"/>
        </w:rPr>
        <w:t>aste</w:t>
      </w:r>
    </w:p>
    <w:p w14:paraId="4D317922" w14:textId="77777777" w:rsidR="001A6EF7" w:rsidRPr="001A6EF7" w:rsidRDefault="001A6EF7" w:rsidP="00253CBC">
      <w:pPr>
        <w:spacing w:after="240"/>
        <w:rPr>
          <w:lang w:val="en-US"/>
        </w:rPr>
      </w:pPr>
      <w:r w:rsidRPr="001A6EF7">
        <w:rPr>
          <w:lang w:val="en-US"/>
        </w:rPr>
        <w:t>All producers and holders of wastes are required to take all reasonable efforts to avoid, where feasible, contamination of this waste with substances listed in Annex IV, to the EU POPs Regulations.</w:t>
      </w:r>
    </w:p>
    <w:p w14:paraId="7E00E072" w14:textId="423A77B2" w:rsidR="001A6EF7" w:rsidRPr="001A6EF7" w:rsidRDefault="001A6EF7" w:rsidP="00253CBC">
      <w:pPr>
        <w:spacing w:after="240"/>
        <w:rPr>
          <w:lang w:val="en-US"/>
        </w:rPr>
      </w:pPr>
      <w:r w:rsidRPr="001A6EF7">
        <w:rPr>
          <w:lang w:val="en-US"/>
        </w:rPr>
        <w:t>There is no definition in the Regulation of threshold levels for “contamination</w:t>
      </w:r>
      <w:r w:rsidR="00EC3B49" w:rsidRPr="001A6EF7">
        <w:rPr>
          <w:lang w:val="en-US"/>
        </w:rPr>
        <w:t>.”</w:t>
      </w:r>
      <w:r w:rsidRPr="001A6EF7">
        <w:rPr>
          <w:lang w:val="en-US"/>
        </w:rPr>
        <w:t xml:space="preserve"> Practically it could be assumed that contamination would result from the addition of any waste stream containing one or more of the substances listed in Annex IV, at a concentration above the threshold in Annex IV, to any waste stream where the concentration of the same substance or substances is below the threshold listed in Annex IV.</w:t>
      </w:r>
    </w:p>
    <w:p w14:paraId="02AF601E" w14:textId="77777777" w:rsidR="001A6EF7" w:rsidRPr="001A6EF7" w:rsidRDefault="001A6EF7" w:rsidP="00253CBC">
      <w:pPr>
        <w:spacing w:after="240"/>
        <w:rPr>
          <w:lang w:val="en-US"/>
        </w:rPr>
      </w:pPr>
      <w:r w:rsidRPr="001A6EF7">
        <w:rPr>
          <w:lang w:val="en-US"/>
        </w:rPr>
        <w:t xml:space="preserve">Waste consisting of, containing or contaminated by any substance listed in Annex IV, must be disposed of or recovered, without undue delay by any of the following treatment methods set out in annexes I and II to the Waste Framework Directive, in such a way as to ensure that the POP </w:t>
      </w:r>
      <w:r w:rsidRPr="001A6EF7">
        <w:rPr>
          <w:lang w:val="en-US"/>
        </w:rPr>
        <w:lastRenderedPageBreak/>
        <w:t>content is destroyed or irreversibly transformed so that the remaining waste and releases do not exhibit the characteristics of POPs:</w:t>
      </w:r>
    </w:p>
    <w:p w14:paraId="1D070530" w14:textId="112D189E" w:rsidR="001A6EF7" w:rsidRPr="001A6EF7" w:rsidRDefault="001A6EF7" w:rsidP="00253CBC">
      <w:pPr>
        <w:numPr>
          <w:ilvl w:val="0"/>
          <w:numId w:val="22"/>
        </w:numPr>
        <w:spacing w:after="240"/>
        <w:rPr>
          <w:lang w:val="en-US"/>
        </w:rPr>
      </w:pPr>
      <w:r w:rsidRPr="001A6EF7">
        <w:rPr>
          <w:lang w:val="en-US"/>
        </w:rPr>
        <w:t xml:space="preserve">D9 – </w:t>
      </w:r>
      <w:proofErr w:type="spellStart"/>
      <w:r w:rsidRPr="001A6EF7">
        <w:rPr>
          <w:lang w:val="en-US"/>
        </w:rPr>
        <w:t>Physico</w:t>
      </w:r>
      <w:proofErr w:type="spellEnd"/>
      <w:r w:rsidRPr="001A6EF7">
        <w:rPr>
          <w:lang w:val="en-US"/>
        </w:rPr>
        <w:t>-chemical treatment</w:t>
      </w:r>
      <w:r w:rsidR="00EE02DD">
        <w:rPr>
          <w:lang w:val="en-US"/>
        </w:rPr>
        <w:t>.</w:t>
      </w:r>
    </w:p>
    <w:p w14:paraId="315ED550" w14:textId="30142DC8" w:rsidR="001A6EF7" w:rsidRPr="001A6EF7" w:rsidRDefault="001A6EF7" w:rsidP="00253CBC">
      <w:pPr>
        <w:numPr>
          <w:ilvl w:val="0"/>
          <w:numId w:val="22"/>
        </w:numPr>
        <w:spacing w:after="240"/>
        <w:rPr>
          <w:lang w:val="en-US"/>
        </w:rPr>
      </w:pPr>
      <w:r w:rsidRPr="001A6EF7">
        <w:rPr>
          <w:lang w:val="en-US"/>
        </w:rPr>
        <w:t>D10 – Incineration on land</w:t>
      </w:r>
      <w:r w:rsidR="00EE02DD">
        <w:rPr>
          <w:lang w:val="en-US"/>
        </w:rPr>
        <w:t>.</w:t>
      </w:r>
    </w:p>
    <w:p w14:paraId="1E2A247F" w14:textId="0D91DE92" w:rsidR="001A6EF7" w:rsidRPr="001A6EF7" w:rsidRDefault="001A6EF7" w:rsidP="00253CBC">
      <w:pPr>
        <w:numPr>
          <w:ilvl w:val="0"/>
          <w:numId w:val="22"/>
        </w:numPr>
        <w:spacing w:after="240"/>
        <w:rPr>
          <w:lang w:val="en-US"/>
        </w:rPr>
      </w:pPr>
      <w:r w:rsidRPr="001A6EF7">
        <w:rPr>
          <w:lang w:val="en-US"/>
        </w:rPr>
        <w:t>R1 - Use Principally as a fuel or other means to generate energy, excluding waste containing PCBs</w:t>
      </w:r>
      <w:r w:rsidR="00EE02DD">
        <w:rPr>
          <w:lang w:val="en-US"/>
        </w:rPr>
        <w:t>.</w:t>
      </w:r>
    </w:p>
    <w:p w14:paraId="51C6EC16" w14:textId="6F64F420" w:rsidR="001A6EF7" w:rsidRPr="001A6EF7" w:rsidRDefault="001A6EF7" w:rsidP="00253CBC">
      <w:pPr>
        <w:spacing w:after="240"/>
        <w:rPr>
          <w:lang w:val="en-US"/>
        </w:rPr>
      </w:pPr>
      <w:r w:rsidRPr="001A6EF7">
        <w:rPr>
          <w:lang w:val="en-US"/>
        </w:rPr>
        <w:t xml:space="preserve">Pre-treatment operations prior to the treatment above may be performed. A substance listed in Annex IV may be isolated from the waste </w:t>
      </w:r>
      <w:r w:rsidR="00B5135F" w:rsidRPr="001A6EF7">
        <w:rPr>
          <w:lang w:val="en-US"/>
        </w:rPr>
        <w:t>if</w:t>
      </w:r>
      <w:r w:rsidRPr="001A6EF7">
        <w:rPr>
          <w:lang w:val="en-US"/>
        </w:rPr>
        <w:t xml:space="preserve"> it is subsequently disposed of by one of the methods given above. In addition, repackaging and temporary storage operations may be performed prior to such pre-treatment or prior to destruction or irreversible transformation.</w:t>
      </w:r>
    </w:p>
    <w:p w14:paraId="575BDA90" w14:textId="291ECA97" w:rsidR="001A6EF7" w:rsidRPr="001A6EF7" w:rsidRDefault="001A6EF7" w:rsidP="00253CBC">
      <w:pPr>
        <w:spacing w:after="240"/>
        <w:rPr>
          <w:lang w:val="en-US"/>
        </w:rPr>
      </w:pPr>
      <w:r w:rsidRPr="001A6EF7">
        <w:rPr>
          <w:lang w:val="en-US"/>
        </w:rPr>
        <w:t>Disposal or recovery operations that may lead to recovery, recycling, reclamation</w:t>
      </w:r>
      <w:r w:rsidR="00B5135F" w:rsidRPr="001A6EF7">
        <w:rPr>
          <w:lang w:val="en-US"/>
        </w:rPr>
        <w:t>,</w:t>
      </w:r>
      <w:r w:rsidRPr="001A6EF7">
        <w:rPr>
          <w:lang w:val="en-US"/>
        </w:rPr>
        <w:t xml:space="preserve"> or re-use of Annex IV substances are banned.</w:t>
      </w:r>
    </w:p>
    <w:p w14:paraId="79DCA698" w14:textId="77777777" w:rsidR="001A6EF7" w:rsidRPr="001A6EF7" w:rsidRDefault="001A6EF7" w:rsidP="00253CBC">
      <w:pPr>
        <w:spacing w:after="240"/>
        <w:rPr>
          <w:lang w:val="en-US"/>
        </w:rPr>
      </w:pPr>
      <w:r w:rsidRPr="001A6EF7">
        <w:rPr>
          <w:lang w:val="en-US"/>
        </w:rPr>
        <w:t>There are, however, derogations from the requirement to dispose of or recover wastes in this way, as follows:</w:t>
      </w:r>
    </w:p>
    <w:p w14:paraId="20EFFEB8" w14:textId="77777777" w:rsidR="001A6EF7" w:rsidRPr="001A6EF7" w:rsidRDefault="001A6EF7" w:rsidP="00253CBC">
      <w:pPr>
        <w:spacing w:after="240"/>
        <w:rPr>
          <w:lang w:val="en-US"/>
        </w:rPr>
      </w:pPr>
      <w:r w:rsidRPr="001A6EF7">
        <w:rPr>
          <w:lang w:val="en-US"/>
        </w:rPr>
        <w:t>Firstly, waste which contains the POPs listed in Annex IV at a concentration below the limits in Annex IV can be disposed of or recovered in accordance with normal waste regulatory practices.</w:t>
      </w:r>
    </w:p>
    <w:p w14:paraId="320BA918" w14:textId="77777777" w:rsidR="001A6EF7" w:rsidRPr="001A6EF7" w:rsidRDefault="001A6EF7" w:rsidP="00253CBC">
      <w:pPr>
        <w:spacing w:after="240"/>
        <w:rPr>
          <w:lang w:val="en-US"/>
        </w:rPr>
      </w:pPr>
      <w:r w:rsidRPr="001A6EF7">
        <w:rPr>
          <w:lang w:val="en-US"/>
        </w:rPr>
        <w:t>Secondly, in exceptional cases wastes listed in Annex V, part 2, containing or contaminated by any substance listed in Annex IV up to concentration limits specified in Annex V, part 2, can be otherwise dealt with in accordance with a method listed in Annex V, part 2. This means that a derogation to the requirement to destroy the POP content of any waste, where the concentration is above the limits in Annex IV exists where:</w:t>
      </w:r>
    </w:p>
    <w:p w14:paraId="0462C5CE" w14:textId="049859FD" w:rsidR="001A6EF7" w:rsidRPr="001A6EF7" w:rsidRDefault="001A6EF7" w:rsidP="00253CBC">
      <w:pPr>
        <w:numPr>
          <w:ilvl w:val="0"/>
          <w:numId w:val="17"/>
        </w:numPr>
        <w:spacing w:after="240"/>
        <w:rPr>
          <w:lang w:val="en-US"/>
        </w:rPr>
      </w:pPr>
      <w:r w:rsidRPr="001A6EF7">
        <w:rPr>
          <w:lang w:val="en-US"/>
        </w:rPr>
        <w:t>It is an exceptional case</w:t>
      </w:r>
      <w:r w:rsidR="00EE02DD" w:rsidRPr="001A6EF7">
        <w:rPr>
          <w:lang w:val="en-US"/>
        </w:rPr>
        <w:t>.</w:t>
      </w:r>
    </w:p>
    <w:p w14:paraId="5C4B1945" w14:textId="4D0386E5" w:rsidR="001A6EF7" w:rsidRPr="001A6EF7" w:rsidRDefault="001A6EF7" w:rsidP="00253CBC">
      <w:pPr>
        <w:numPr>
          <w:ilvl w:val="0"/>
          <w:numId w:val="17"/>
        </w:numPr>
        <w:spacing w:after="240"/>
        <w:rPr>
          <w:lang w:val="en-US"/>
        </w:rPr>
      </w:pPr>
      <w:r w:rsidRPr="001A6EF7">
        <w:rPr>
          <w:lang w:val="en-US"/>
        </w:rPr>
        <w:t>The waste stream is listed in Annex V Part 2, for example waste 17 01, concrete, bricks, tiles</w:t>
      </w:r>
      <w:r w:rsidR="00B5135F" w:rsidRPr="001A6EF7">
        <w:rPr>
          <w:lang w:val="en-US"/>
        </w:rPr>
        <w:t>,</w:t>
      </w:r>
      <w:r w:rsidRPr="001A6EF7">
        <w:rPr>
          <w:lang w:val="en-US"/>
        </w:rPr>
        <w:t xml:space="preserve"> and ceramics</w:t>
      </w:r>
      <w:r w:rsidR="00EE02DD" w:rsidRPr="001A6EF7">
        <w:rPr>
          <w:lang w:val="en-US"/>
        </w:rPr>
        <w:t>.</w:t>
      </w:r>
    </w:p>
    <w:p w14:paraId="48155710" w14:textId="2849B2B8" w:rsidR="001A6EF7" w:rsidRPr="001A6EF7" w:rsidRDefault="001A6EF7" w:rsidP="00253CBC">
      <w:pPr>
        <w:numPr>
          <w:ilvl w:val="0"/>
          <w:numId w:val="17"/>
        </w:numPr>
        <w:spacing w:after="240"/>
        <w:rPr>
          <w:lang w:val="en-US"/>
        </w:rPr>
      </w:pPr>
      <w:r w:rsidRPr="001A6EF7">
        <w:rPr>
          <w:lang w:val="en-US"/>
        </w:rPr>
        <w:lastRenderedPageBreak/>
        <w:t>The concentration is below the limit specified in Annex V</w:t>
      </w:r>
      <w:r w:rsidR="00884FFB">
        <w:rPr>
          <w:lang w:val="en-US"/>
        </w:rPr>
        <w:t>.</w:t>
      </w:r>
    </w:p>
    <w:p w14:paraId="75B9E956" w14:textId="2E59F56B" w:rsidR="001A6EF7" w:rsidRPr="001A6EF7" w:rsidRDefault="001A6EF7" w:rsidP="00253CBC">
      <w:pPr>
        <w:numPr>
          <w:ilvl w:val="0"/>
          <w:numId w:val="17"/>
        </w:numPr>
        <w:spacing w:after="240"/>
        <w:rPr>
          <w:lang w:val="en-US"/>
        </w:rPr>
      </w:pPr>
      <w:r w:rsidRPr="001A6EF7">
        <w:rPr>
          <w:lang w:val="en-US"/>
        </w:rPr>
        <w:t>The method of disposal is listed in Annex V Part 2</w:t>
      </w:r>
      <w:r w:rsidR="00884FFB">
        <w:rPr>
          <w:lang w:val="en-US"/>
        </w:rPr>
        <w:t>.</w:t>
      </w:r>
    </w:p>
    <w:p w14:paraId="783970FD" w14:textId="499E1BC6" w:rsidR="001A6EF7" w:rsidRPr="001A6EF7" w:rsidRDefault="001A6EF7" w:rsidP="00253CBC">
      <w:pPr>
        <w:numPr>
          <w:ilvl w:val="0"/>
          <w:numId w:val="17"/>
        </w:numPr>
        <w:spacing w:after="240"/>
        <w:rPr>
          <w:lang w:val="en-US"/>
        </w:rPr>
      </w:pPr>
      <w:r w:rsidRPr="001A6EF7">
        <w:rPr>
          <w:lang w:val="en-US"/>
        </w:rPr>
        <w:t xml:space="preserve">The provisions of </w:t>
      </w:r>
      <w:proofErr w:type="gramStart"/>
      <w:r w:rsidRPr="001A6EF7">
        <w:rPr>
          <w:lang w:val="en-US"/>
        </w:rPr>
        <w:t>the Landfill</w:t>
      </w:r>
      <w:proofErr w:type="gramEnd"/>
      <w:r w:rsidRPr="001A6EF7">
        <w:rPr>
          <w:lang w:val="en-US"/>
        </w:rPr>
        <w:t xml:space="preserve"> Directive</w:t>
      </w:r>
      <w:r w:rsidRPr="001A6EF7">
        <w:rPr>
          <w:vertAlign w:val="superscript"/>
          <w:lang w:val="en-US"/>
        </w:rPr>
        <w:t>12</w:t>
      </w:r>
      <w:r w:rsidRPr="001A6EF7">
        <w:rPr>
          <w:lang w:val="en-US"/>
        </w:rPr>
        <w:t xml:space="preserve"> have been adhered to</w:t>
      </w:r>
      <w:r w:rsidR="00EE02DD" w:rsidRPr="001A6EF7">
        <w:rPr>
          <w:lang w:val="en-US"/>
        </w:rPr>
        <w:t>,</w:t>
      </w:r>
      <w:r w:rsidRPr="001A6EF7">
        <w:rPr>
          <w:lang w:val="en-US"/>
        </w:rPr>
        <w:t xml:space="preserve"> and it has been demonstrated that the selected operation is environmentally preferable.</w:t>
      </w:r>
    </w:p>
    <w:p w14:paraId="4EB097B7" w14:textId="77777777" w:rsidR="001A6EF7" w:rsidRPr="001A6EF7" w:rsidRDefault="001A6EF7" w:rsidP="00253CBC">
      <w:pPr>
        <w:spacing w:after="240"/>
        <w:rPr>
          <w:lang w:val="en-US"/>
        </w:rPr>
      </w:pPr>
      <w:r w:rsidRPr="001A6EF7">
        <w:rPr>
          <w:lang w:val="en-US"/>
        </w:rPr>
        <w:t>The methods of disposal specified in Annex V Part 2 are permanent storage only in:</w:t>
      </w:r>
    </w:p>
    <w:p w14:paraId="67B9206B" w14:textId="0510A0F7" w:rsidR="001A6EF7" w:rsidRPr="001A6EF7" w:rsidRDefault="001A6EF7" w:rsidP="00253CBC">
      <w:pPr>
        <w:numPr>
          <w:ilvl w:val="0"/>
          <w:numId w:val="18"/>
        </w:numPr>
        <w:spacing w:after="240"/>
        <w:rPr>
          <w:lang w:val="en-US"/>
        </w:rPr>
      </w:pPr>
      <w:r w:rsidRPr="001A6EF7">
        <w:rPr>
          <w:lang w:val="en-US"/>
        </w:rPr>
        <w:t>Safe, deep, underground, hard rock formations,</w:t>
      </w:r>
    </w:p>
    <w:p w14:paraId="441D9A03" w14:textId="77777777" w:rsidR="001A6EF7" w:rsidRPr="001A6EF7" w:rsidRDefault="001A6EF7" w:rsidP="00253CBC">
      <w:pPr>
        <w:numPr>
          <w:ilvl w:val="0"/>
          <w:numId w:val="18"/>
        </w:numPr>
        <w:spacing w:after="240"/>
        <w:rPr>
          <w:lang w:val="en-US"/>
        </w:rPr>
      </w:pPr>
      <w:r w:rsidRPr="001A6EF7">
        <w:rPr>
          <w:lang w:val="en-US"/>
        </w:rPr>
        <w:t>Salt mines or</w:t>
      </w:r>
    </w:p>
    <w:p w14:paraId="3EAA4992" w14:textId="69FBD7A7" w:rsidR="001A6EF7" w:rsidRPr="001A6EF7" w:rsidRDefault="001A6EF7" w:rsidP="00253CBC">
      <w:pPr>
        <w:numPr>
          <w:ilvl w:val="0"/>
          <w:numId w:val="18"/>
        </w:numPr>
        <w:spacing w:after="240"/>
        <w:rPr>
          <w:lang w:val="en-US"/>
        </w:rPr>
      </w:pPr>
      <w:r w:rsidRPr="001A6EF7">
        <w:rPr>
          <w:lang w:val="en-US"/>
        </w:rPr>
        <w:t xml:space="preserve">A landfill site for hazardous waste (provided that the waste is solidified or partly </w:t>
      </w:r>
      <w:proofErr w:type="spellStart"/>
      <w:r w:rsidRPr="001A6EF7">
        <w:rPr>
          <w:lang w:val="en-US"/>
        </w:rPr>
        <w:t>stabilised</w:t>
      </w:r>
      <w:proofErr w:type="spellEnd"/>
      <w:r w:rsidRPr="001A6EF7">
        <w:rPr>
          <w:lang w:val="en-US"/>
        </w:rPr>
        <w:t xml:space="preserve"> where technically feasible as required for classification of the waste in subchapter 19 03 of Decision 2000/532/EC)</w:t>
      </w:r>
      <w:r w:rsidR="005D706E">
        <w:rPr>
          <w:lang w:val="en-US"/>
        </w:rPr>
        <w:t>.</w:t>
      </w:r>
    </w:p>
    <w:p w14:paraId="25D52FC5" w14:textId="5BC27A68" w:rsidR="001A6EF7" w:rsidRPr="001A6EF7" w:rsidRDefault="001A6EF7" w:rsidP="00253CBC">
      <w:pPr>
        <w:spacing w:after="240"/>
        <w:rPr>
          <w:lang w:val="en-US"/>
        </w:rPr>
      </w:pPr>
      <w:r w:rsidRPr="001A6EF7">
        <w:rPr>
          <w:lang w:val="en-US"/>
        </w:rPr>
        <w:t>There is a further condition that the maximum concentration limits in Annex V only apply to a landfill site for hazardous waste (i.e</w:t>
      </w:r>
      <w:r w:rsidR="00B5135F" w:rsidRPr="001A6EF7">
        <w:rPr>
          <w:lang w:val="en-US"/>
        </w:rPr>
        <w:t>.,</w:t>
      </w:r>
      <w:r w:rsidRPr="001A6EF7">
        <w:rPr>
          <w:lang w:val="en-US"/>
        </w:rPr>
        <w:t xml:space="preserve"> special waste in Scotland). This means that provided the other derogation conditions are met, then there is no concentration limit for the disposal of waste to safe, deep, underground, hard rock formations, or salt mines. Currently the UK has only one such facility that could qualify under this derogation: the </w:t>
      </w:r>
      <w:proofErr w:type="spellStart"/>
      <w:r w:rsidRPr="001A6EF7">
        <w:rPr>
          <w:lang w:val="en-US"/>
        </w:rPr>
        <w:t>Minosus</w:t>
      </w:r>
      <w:proofErr w:type="spellEnd"/>
      <w:r w:rsidRPr="001A6EF7">
        <w:rPr>
          <w:lang w:val="en-US"/>
        </w:rPr>
        <w:t xml:space="preserve"> salt mine disposal site in </w:t>
      </w:r>
      <w:r w:rsidR="00DE2856" w:rsidRPr="001A6EF7">
        <w:rPr>
          <w:lang w:val="en-US"/>
        </w:rPr>
        <w:t>Northwest</w:t>
      </w:r>
      <w:r w:rsidRPr="001A6EF7">
        <w:rPr>
          <w:lang w:val="en-US"/>
        </w:rPr>
        <w:t xml:space="preserve"> England.</w:t>
      </w:r>
    </w:p>
    <w:p w14:paraId="7E966836" w14:textId="5AE2F044" w:rsidR="001A6EF7" w:rsidRPr="001A6EF7" w:rsidRDefault="00816123" w:rsidP="00253CBC">
      <w:pPr>
        <w:spacing w:after="240"/>
        <w:rPr>
          <w:lang w:val="en-US"/>
        </w:rPr>
      </w:pPr>
      <w:r>
        <w:rPr>
          <w:lang w:val="en-US"/>
        </w:rPr>
        <w:t>F</w:t>
      </w:r>
      <w:r w:rsidR="001A6EF7" w:rsidRPr="001A6EF7">
        <w:rPr>
          <w:lang w:val="en-US"/>
        </w:rPr>
        <w:t>urther criteria must be fulfilled to satisfy the conditions for this derogation</w:t>
      </w:r>
      <w:r>
        <w:rPr>
          <w:lang w:val="en-US"/>
        </w:rPr>
        <w:t>;</w:t>
      </w:r>
      <w:r w:rsidR="001A6EF7" w:rsidRPr="001A6EF7">
        <w:rPr>
          <w:lang w:val="en-US"/>
        </w:rPr>
        <w:t xml:space="preserve"> namely that:</w:t>
      </w:r>
    </w:p>
    <w:p w14:paraId="6B28E30A" w14:textId="43AB47BF" w:rsidR="001A6EF7" w:rsidRPr="001A6EF7" w:rsidRDefault="001A6EF7" w:rsidP="00253CBC">
      <w:pPr>
        <w:numPr>
          <w:ilvl w:val="0"/>
          <w:numId w:val="19"/>
        </w:numPr>
        <w:spacing w:after="240"/>
        <w:rPr>
          <w:lang w:val="en-US"/>
        </w:rPr>
      </w:pPr>
      <w:r w:rsidRPr="001A6EF7">
        <w:rPr>
          <w:lang w:val="en-US"/>
        </w:rPr>
        <w:t xml:space="preserve">The holder of the waste must </w:t>
      </w:r>
      <w:r w:rsidR="00DE2856" w:rsidRPr="001A6EF7">
        <w:rPr>
          <w:lang w:val="en-US"/>
        </w:rPr>
        <w:t>demonstrate</w:t>
      </w:r>
      <w:r w:rsidRPr="001A6EF7">
        <w:rPr>
          <w:lang w:val="en-US"/>
        </w:rPr>
        <w:t xml:space="preserve"> that decontamination of the waste in relation to the substances listed in Annex IV was not feasible</w:t>
      </w:r>
      <w:r w:rsidR="00DE2856">
        <w:rPr>
          <w:lang w:val="en-US"/>
        </w:rPr>
        <w:t>,</w:t>
      </w:r>
    </w:p>
    <w:p w14:paraId="1A9AE78D" w14:textId="302D294B" w:rsidR="001A6EF7" w:rsidRPr="001A6EF7" w:rsidRDefault="001A6EF7" w:rsidP="00253CBC">
      <w:pPr>
        <w:numPr>
          <w:ilvl w:val="0"/>
          <w:numId w:val="19"/>
        </w:numPr>
        <w:spacing w:after="240"/>
        <w:rPr>
          <w:lang w:val="en-US"/>
        </w:rPr>
      </w:pPr>
      <w:r w:rsidRPr="001A6EF7">
        <w:rPr>
          <w:lang w:val="en-US"/>
        </w:rPr>
        <w:t>Destruction or irreversible transformation of the persistent organic pollutant content of the waste, performed in accordance with best environmental practice, or best available techniques, does not represent the environmentally preferable option</w:t>
      </w:r>
      <w:r w:rsidR="00DE2856">
        <w:rPr>
          <w:lang w:val="en-US"/>
        </w:rPr>
        <w:t>,</w:t>
      </w:r>
      <w:r w:rsidRPr="001A6EF7">
        <w:rPr>
          <w:lang w:val="en-US"/>
        </w:rPr>
        <w:t xml:space="preserve"> and</w:t>
      </w:r>
    </w:p>
    <w:p w14:paraId="43B1DBDF" w14:textId="77777777" w:rsidR="001A6EF7" w:rsidRPr="001A6EF7" w:rsidRDefault="001A6EF7" w:rsidP="00253CBC">
      <w:pPr>
        <w:numPr>
          <w:ilvl w:val="0"/>
          <w:numId w:val="19"/>
        </w:numPr>
        <w:spacing w:after="240"/>
        <w:rPr>
          <w:lang w:val="en-US"/>
        </w:rPr>
      </w:pPr>
      <w:r w:rsidRPr="001A6EF7">
        <w:rPr>
          <w:lang w:val="en-US"/>
        </w:rPr>
        <w:t>The operation should be in accordance with relevant Community legislation.</w:t>
      </w:r>
    </w:p>
    <w:p w14:paraId="194CD713" w14:textId="77777777" w:rsidR="001A6EF7" w:rsidRPr="001A6EF7" w:rsidRDefault="001A6EF7" w:rsidP="00253CBC">
      <w:pPr>
        <w:spacing w:after="240"/>
        <w:rPr>
          <w:lang w:val="en-US"/>
        </w:rPr>
      </w:pPr>
      <w:r w:rsidRPr="001A6EF7">
        <w:rPr>
          <w:lang w:val="en-US"/>
        </w:rPr>
        <w:lastRenderedPageBreak/>
        <w:t xml:space="preserve">It must be </w:t>
      </w:r>
      <w:proofErr w:type="spellStart"/>
      <w:r w:rsidRPr="001A6EF7">
        <w:rPr>
          <w:lang w:val="en-US"/>
        </w:rPr>
        <w:t>emphasised</w:t>
      </w:r>
      <w:proofErr w:type="spellEnd"/>
      <w:r w:rsidRPr="001A6EF7">
        <w:rPr>
          <w:lang w:val="en-US"/>
        </w:rPr>
        <w:t xml:space="preserve"> that the procedure for exemption is for exceptional cases and should not be used on a routine basis. Nearly all UK waste streams should not contain concentrations of POPs above the levels specified in Annex IV.</w:t>
      </w:r>
    </w:p>
    <w:p w14:paraId="33E3BE4F" w14:textId="77777777" w:rsidR="001A6EF7" w:rsidRPr="001A6EF7" w:rsidRDefault="001A6EF7" w:rsidP="00253CBC">
      <w:pPr>
        <w:spacing w:after="240"/>
        <w:rPr>
          <w:lang w:val="en-US"/>
        </w:rPr>
      </w:pPr>
      <w:r w:rsidRPr="001A6EF7">
        <w:rPr>
          <w:lang w:val="en-US"/>
        </w:rPr>
        <w:t>You can use the form at</w:t>
      </w:r>
      <w:r w:rsidRPr="001A6EF7">
        <w:rPr>
          <w:u w:val="single"/>
          <w:lang w:val="en-US"/>
        </w:rPr>
        <w:t xml:space="preserve"> </w:t>
      </w:r>
      <w:hyperlink r:id="rId14">
        <w:r w:rsidRPr="001A6EF7">
          <w:rPr>
            <w:color w:val="016574" w:themeColor="hyperlink"/>
            <w:u w:val="single"/>
            <w:lang w:val="en-US"/>
          </w:rPr>
          <w:t>www.sepa.org.uk/chemicals</w:t>
        </w:r>
      </w:hyperlink>
      <w:r w:rsidRPr="001A6EF7">
        <w:rPr>
          <w:lang w:val="en-US"/>
        </w:rPr>
        <w:t xml:space="preserve"> to apply for a derogation. SEPA will also accept applications for derogations by letter. Please note that derogation applications will not be processed unless accompanied by the required fee of £2000.</w:t>
      </w:r>
    </w:p>
    <w:p w14:paraId="43089E56" w14:textId="77777777" w:rsidR="001A6EF7" w:rsidRPr="001A6EF7" w:rsidRDefault="001A6EF7" w:rsidP="00E8447E">
      <w:pPr>
        <w:pStyle w:val="Heading2"/>
        <w:rPr>
          <w:sz w:val="40"/>
          <w:szCs w:val="32"/>
          <w:lang w:val="en-US"/>
        </w:rPr>
      </w:pPr>
      <w:bookmarkStart w:id="7" w:name="_Toc191993229"/>
      <w:r w:rsidRPr="001A6EF7">
        <w:rPr>
          <w:lang w:val="en-US"/>
        </w:rPr>
        <w:t>References</w:t>
      </w:r>
      <w:bookmarkEnd w:id="7"/>
    </w:p>
    <w:p w14:paraId="3CAF2794" w14:textId="77777777" w:rsidR="001A6EF7" w:rsidRPr="001A6EF7" w:rsidRDefault="001A6EF7" w:rsidP="001703E5">
      <w:pPr>
        <w:spacing w:after="240"/>
        <w:rPr>
          <w:lang w:val="en-US"/>
        </w:rPr>
      </w:pPr>
      <w:r w:rsidRPr="001A6EF7">
        <w:rPr>
          <w:lang w:val="en-US"/>
        </w:rPr>
        <w:t>Useful Internet Sites</w:t>
      </w:r>
    </w:p>
    <w:p w14:paraId="268E268B" w14:textId="6F94FE88" w:rsidR="001A6EF7" w:rsidRPr="00902BA2" w:rsidRDefault="001A6EF7" w:rsidP="001703E5">
      <w:pPr>
        <w:pStyle w:val="ListParagraph"/>
        <w:numPr>
          <w:ilvl w:val="0"/>
          <w:numId w:val="23"/>
        </w:numPr>
        <w:spacing w:after="240"/>
        <w:contextualSpacing w:val="0"/>
        <w:rPr>
          <w:lang w:val="en-US"/>
        </w:rPr>
      </w:pPr>
      <w:r w:rsidRPr="00902BA2">
        <w:rPr>
          <w:lang w:val="en-US"/>
        </w:rPr>
        <w:t>The EU Regulation can be viewed at:</w:t>
      </w:r>
      <w:r w:rsidR="00902BA2">
        <w:rPr>
          <w:lang w:val="en-US"/>
        </w:rPr>
        <w:t xml:space="preserve"> </w:t>
      </w:r>
      <w:hyperlink r:id="rId15">
        <w:r w:rsidRPr="00902BA2">
          <w:rPr>
            <w:color w:val="016574" w:themeColor="hyperlink"/>
            <w:u w:val="single"/>
            <w:lang w:val="en-US"/>
          </w:rPr>
          <w:t>http://eur-</w:t>
        </w:r>
      </w:hyperlink>
      <w:r w:rsidRPr="00902BA2">
        <w:rPr>
          <w:lang w:val="en-US"/>
        </w:rPr>
        <w:t xml:space="preserve"> </w:t>
      </w:r>
    </w:p>
    <w:p w14:paraId="36696ACE" w14:textId="493F1866" w:rsidR="001A6EF7" w:rsidRPr="00902BA2" w:rsidRDefault="001A6EF7" w:rsidP="001703E5">
      <w:pPr>
        <w:pStyle w:val="ListParagraph"/>
        <w:spacing w:after="240"/>
        <w:contextualSpacing w:val="0"/>
        <w:rPr>
          <w:u w:val="single"/>
          <w:lang w:val="en-US"/>
        </w:rPr>
      </w:pPr>
      <w:hyperlink r:id="rId16">
        <w:r w:rsidRPr="00902BA2">
          <w:rPr>
            <w:color w:val="016574" w:themeColor="hyperlink"/>
            <w:u w:val="single"/>
            <w:lang w:val="en-US"/>
          </w:rPr>
          <w:t>lex.europa.eu/LexUriServ/LexUriServ.do?uri=</w:t>
        </w:r>
        <w:proofErr w:type="gramStart"/>
        <w:r w:rsidRPr="00902BA2">
          <w:rPr>
            <w:color w:val="016574" w:themeColor="hyperlink"/>
            <w:u w:val="single"/>
            <w:lang w:val="en-US"/>
          </w:rPr>
          <w:t>OJ:L</w:t>
        </w:r>
        <w:proofErr w:type="gramEnd"/>
        <w:r w:rsidRPr="00902BA2">
          <w:rPr>
            <w:color w:val="016574" w:themeColor="hyperlink"/>
            <w:u w:val="single"/>
            <w:lang w:val="en-US"/>
          </w:rPr>
          <w:t>:2004:158:0007:</w:t>
        </w:r>
        <w:proofErr w:type="gramStart"/>
        <w:r w:rsidRPr="00902BA2">
          <w:rPr>
            <w:color w:val="016574" w:themeColor="hyperlink"/>
            <w:u w:val="single"/>
            <w:lang w:val="en-US"/>
          </w:rPr>
          <w:t>0049:EN</w:t>
        </w:r>
        <w:proofErr w:type="gramEnd"/>
        <w:r w:rsidRPr="00902BA2">
          <w:rPr>
            <w:color w:val="016574" w:themeColor="hyperlink"/>
            <w:u w:val="single"/>
            <w:lang w:val="en-US"/>
          </w:rPr>
          <w:t>:PDF</w:t>
        </w:r>
      </w:hyperlink>
      <w:r w:rsidR="005D706E">
        <w:t>.</w:t>
      </w:r>
      <w:r w:rsidRPr="00902BA2">
        <w:rPr>
          <w:lang w:val="en-US"/>
        </w:rPr>
        <w:t xml:space="preserve"> </w:t>
      </w:r>
    </w:p>
    <w:p w14:paraId="153FDFFC" w14:textId="1B6D400E" w:rsidR="001A6EF7" w:rsidRPr="00902BA2" w:rsidRDefault="001A6EF7" w:rsidP="001703E5">
      <w:pPr>
        <w:pStyle w:val="ListParagraph"/>
        <w:numPr>
          <w:ilvl w:val="0"/>
          <w:numId w:val="23"/>
        </w:numPr>
        <w:spacing w:after="240"/>
        <w:contextualSpacing w:val="0"/>
        <w:rPr>
          <w:lang w:val="en-US"/>
        </w:rPr>
      </w:pPr>
      <w:r w:rsidRPr="00902BA2">
        <w:rPr>
          <w:lang w:val="en-US"/>
        </w:rPr>
        <w:t>Amendment Regulation:</w:t>
      </w:r>
      <w:r w:rsidRPr="00902BA2">
        <w:rPr>
          <w:u w:val="single"/>
          <w:lang w:val="en-US"/>
        </w:rPr>
        <w:t xml:space="preserve"> </w:t>
      </w:r>
      <w:hyperlink r:id="rId17">
        <w:r w:rsidRPr="00902BA2">
          <w:rPr>
            <w:color w:val="016574" w:themeColor="hyperlink"/>
            <w:u w:val="single"/>
            <w:lang w:val="en-US"/>
          </w:rPr>
          <w:t>http://eur-</w:t>
        </w:r>
      </w:hyperlink>
      <w:r w:rsidRPr="00902BA2">
        <w:rPr>
          <w:lang w:val="en-US"/>
        </w:rPr>
        <w:t xml:space="preserve"> </w:t>
      </w:r>
      <w:hyperlink r:id="rId18">
        <w:r w:rsidRPr="00902BA2">
          <w:rPr>
            <w:color w:val="016574" w:themeColor="hyperlink"/>
            <w:u w:val="single"/>
            <w:lang w:val="en-US"/>
          </w:rPr>
          <w:t>lex.europa.eu/LexUriServ/LexUriServ.do?uri=OJ:L:2007:055:0001:0006:EN:PDF</w:t>
        </w:r>
      </w:hyperlink>
      <w:r w:rsidR="005D706E">
        <w:t>.</w:t>
      </w:r>
      <w:r w:rsidRPr="00902BA2">
        <w:rPr>
          <w:lang w:val="en-US"/>
        </w:rPr>
        <w:t xml:space="preserve"> </w:t>
      </w:r>
    </w:p>
    <w:p w14:paraId="34348E91" w14:textId="18B2B8EE" w:rsidR="001A6EF7" w:rsidRPr="00474C6C" w:rsidRDefault="001A6EF7" w:rsidP="001703E5">
      <w:pPr>
        <w:pStyle w:val="ListParagraph"/>
        <w:numPr>
          <w:ilvl w:val="0"/>
          <w:numId w:val="23"/>
        </w:numPr>
        <w:spacing w:after="240"/>
        <w:contextualSpacing w:val="0"/>
        <w:rPr>
          <w:lang w:val="en-US"/>
        </w:rPr>
      </w:pPr>
      <w:r w:rsidRPr="00902BA2">
        <w:rPr>
          <w:lang w:val="en-US"/>
        </w:rPr>
        <w:t>The Stockholm Convention web site can be viewed at:</w:t>
      </w:r>
      <w:r w:rsidR="00474C6C">
        <w:rPr>
          <w:lang w:val="en-US"/>
        </w:rPr>
        <w:t xml:space="preserve"> </w:t>
      </w:r>
      <w:r w:rsidRPr="00474C6C">
        <w:rPr>
          <w:u w:val="single"/>
          <w:lang w:val="en-US"/>
        </w:rPr>
        <w:t>http://chm.pops.int/</w:t>
      </w:r>
      <w:r w:rsidR="005D706E">
        <w:rPr>
          <w:u w:val="single"/>
          <w:lang w:val="en-US"/>
        </w:rPr>
        <w:t>.</w:t>
      </w:r>
      <w:r w:rsidRPr="00474C6C">
        <w:rPr>
          <w:lang w:val="en-US"/>
        </w:rPr>
        <w:t xml:space="preserve"> </w:t>
      </w:r>
    </w:p>
    <w:p w14:paraId="50DC6880" w14:textId="29A421D5" w:rsidR="001A6EF7" w:rsidRPr="00474C6C" w:rsidRDefault="001A6EF7" w:rsidP="001703E5">
      <w:pPr>
        <w:pStyle w:val="ListParagraph"/>
        <w:numPr>
          <w:ilvl w:val="0"/>
          <w:numId w:val="23"/>
        </w:numPr>
        <w:spacing w:after="240"/>
        <w:contextualSpacing w:val="0"/>
        <w:rPr>
          <w:lang w:val="en-US"/>
        </w:rPr>
      </w:pPr>
      <w:r w:rsidRPr="00902BA2">
        <w:rPr>
          <w:lang w:val="en-US"/>
        </w:rPr>
        <w:t>The Convention on Long-range Transboundary Air Pollution web site can be viewed at:</w:t>
      </w:r>
      <w:r w:rsidR="00474C6C">
        <w:rPr>
          <w:lang w:val="en-US"/>
        </w:rPr>
        <w:t xml:space="preserve"> </w:t>
      </w:r>
      <w:hyperlink r:id="rId19" w:history="1">
        <w:r w:rsidR="00474C6C" w:rsidRPr="00474C6C">
          <w:rPr>
            <w:rStyle w:val="Hyperlink"/>
            <w:lang w:val="en-US"/>
          </w:rPr>
          <w:t>http://www.unece.org/env/lrtap/</w:t>
        </w:r>
      </w:hyperlink>
      <w:r w:rsidR="005D706E">
        <w:t>.</w:t>
      </w:r>
      <w:r w:rsidRPr="00474C6C">
        <w:rPr>
          <w:lang w:val="en-US"/>
        </w:rPr>
        <w:t xml:space="preserve"> </w:t>
      </w:r>
    </w:p>
    <w:p w14:paraId="064679D2" w14:textId="7D8D1D25" w:rsidR="001A6EF7" w:rsidRPr="00474C6C" w:rsidRDefault="001A6EF7" w:rsidP="001703E5">
      <w:pPr>
        <w:pStyle w:val="ListParagraph"/>
        <w:numPr>
          <w:ilvl w:val="0"/>
          <w:numId w:val="23"/>
        </w:numPr>
        <w:spacing w:after="240"/>
        <w:contextualSpacing w:val="0"/>
        <w:rPr>
          <w:lang w:val="en-US"/>
        </w:rPr>
      </w:pPr>
      <w:r w:rsidRPr="00902BA2">
        <w:rPr>
          <w:lang w:val="en-US"/>
        </w:rPr>
        <w:t>The Statutory Instrument can be viewed at</w:t>
      </w:r>
      <w:r w:rsidR="00474C6C">
        <w:rPr>
          <w:lang w:val="en-US"/>
        </w:rPr>
        <w:t xml:space="preserve">: </w:t>
      </w:r>
      <w:hyperlink r:id="rId20" w:history="1">
        <w:r w:rsidR="00253CBC" w:rsidRPr="009071B1">
          <w:rPr>
            <w:rStyle w:val="Hyperlink"/>
            <w:lang w:val="en-US"/>
          </w:rPr>
          <w:t>http://www.opsi.gov.uk/si/si2007/uksi_20073106_en_1</w:t>
        </w:r>
      </w:hyperlink>
      <w:r w:rsidR="005D706E">
        <w:t>.</w:t>
      </w:r>
      <w:r w:rsidRPr="00474C6C">
        <w:rPr>
          <w:lang w:val="en-US"/>
        </w:rPr>
        <w:t xml:space="preserve"> </w:t>
      </w:r>
    </w:p>
    <w:p w14:paraId="2EB3A470" w14:textId="77777777" w:rsidR="000B649E" w:rsidRPr="004C2196" w:rsidRDefault="000B649E" w:rsidP="000B649E">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345692D0" w14:textId="77777777" w:rsidR="00627129" w:rsidRPr="00627129" w:rsidRDefault="00627129" w:rsidP="00627129">
      <w:pPr>
        <w:spacing w:after="240"/>
        <w:rPr>
          <w:rFonts w:ascii="Arial" w:eastAsia="Times New Roman" w:hAnsi="Arial" w:cs="Arial"/>
        </w:rPr>
      </w:pPr>
      <w:r w:rsidRPr="00627129">
        <w:rPr>
          <w:rFonts w:ascii="Arial" w:eastAsia="Times New Roman" w:hAnsi="Arial" w:cs="Arial"/>
        </w:rPr>
        <w:t xml:space="preserve">This guidance is based on the law as it stood when the guidance was published. </w:t>
      </w:r>
    </w:p>
    <w:p w14:paraId="784AFBD8" w14:textId="77777777" w:rsidR="00627129" w:rsidRPr="00627129" w:rsidRDefault="00627129" w:rsidP="00627129">
      <w:pPr>
        <w:spacing w:after="240"/>
        <w:rPr>
          <w:rFonts w:ascii="Arial" w:eastAsia="Times New Roman" w:hAnsi="Arial" w:cs="Arial"/>
        </w:rPr>
      </w:pPr>
      <w:r w:rsidRPr="00627129">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FAC75D7" w14:textId="77777777" w:rsidR="00627129" w:rsidRPr="00627129" w:rsidRDefault="00627129" w:rsidP="00627129">
      <w:pPr>
        <w:numPr>
          <w:ilvl w:val="0"/>
          <w:numId w:val="24"/>
        </w:numPr>
        <w:spacing w:after="240"/>
        <w:rPr>
          <w:rFonts w:ascii="Arial" w:eastAsia="Times New Roman" w:hAnsi="Arial" w:cs="Arial"/>
        </w:rPr>
      </w:pPr>
      <w:r w:rsidRPr="00627129">
        <w:rPr>
          <w:rFonts w:ascii="Arial" w:eastAsia="Times New Roman" w:hAnsi="Arial" w:cs="Arial"/>
        </w:rPr>
        <w:t>any direct, indirect and consequential losses</w:t>
      </w:r>
    </w:p>
    <w:p w14:paraId="4631BA5B" w14:textId="77777777" w:rsidR="00627129" w:rsidRPr="00627129" w:rsidRDefault="00627129" w:rsidP="00627129">
      <w:pPr>
        <w:numPr>
          <w:ilvl w:val="0"/>
          <w:numId w:val="24"/>
        </w:numPr>
        <w:spacing w:after="240"/>
        <w:rPr>
          <w:rFonts w:ascii="Arial" w:eastAsia="Times New Roman" w:hAnsi="Arial" w:cs="Arial"/>
        </w:rPr>
      </w:pPr>
      <w:r w:rsidRPr="00627129">
        <w:rPr>
          <w:rFonts w:ascii="Arial" w:eastAsia="Times New Roman" w:hAnsi="Arial" w:cs="Arial"/>
        </w:rPr>
        <w:lastRenderedPageBreak/>
        <w:t>any loss or damage caused by civil wrongs, breach of contract or otherwise</w:t>
      </w:r>
    </w:p>
    <w:p w14:paraId="2FEFADD0" w14:textId="35A32ADA" w:rsidR="00B364E6" w:rsidRPr="000B649E" w:rsidRDefault="00627129" w:rsidP="00627129">
      <w:pPr>
        <w:spacing w:after="240"/>
        <w:rPr>
          <w:rFonts w:ascii="Arial" w:eastAsia="Times New Roman" w:hAnsi="Arial" w:cs="Arial"/>
        </w:rPr>
      </w:pPr>
      <w:r w:rsidRPr="00627129">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B364E6" w:rsidRPr="000B649E" w:rsidSect="00F13324">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6B9D" w14:textId="77777777" w:rsidR="00665EAD" w:rsidRDefault="00665EAD" w:rsidP="00660C79">
      <w:pPr>
        <w:spacing w:line="240" w:lineRule="auto"/>
      </w:pPr>
      <w:r>
        <w:separator/>
      </w:r>
    </w:p>
  </w:endnote>
  <w:endnote w:type="continuationSeparator" w:id="0">
    <w:p w14:paraId="4A8CC8A2" w14:textId="77777777" w:rsidR="00665EAD" w:rsidRDefault="00665EAD" w:rsidP="00660C79">
      <w:pPr>
        <w:spacing w:line="240" w:lineRule="auto"/>
      </w:pPr>
      <w:r>
        <w:continuationSeparator/>
      </w:r>
    </w:p>
  </w:endnote>
  <w:endnote w:type="continuationNotice" w:id="1">
    <w:p w14:paraId="2B5E36EC" w14:textId="77777777" w:rsidR="00665EAD" w:rsidRDefault="00665E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6A7"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8B8FFFB" wp14:editId="5C40F62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0F87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8FFF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90F87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6CE5A03"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55FFAA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FE98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4AB2"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432F47CC" wp14:editId="07E247F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1CFE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F47C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61CFE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E353CF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EEF5C98" wp14:editId="0FBFFDD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DC4D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B70D9A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5B84C3" w14:textId="77777777" w:rsidR="00917BB1" w:rsidRDefault="00917BB1" w:rsidP="00917BB1">
    <w:pPr>
      <w:pStyle w:val="Footer"/>
      <w:ind w:right="360"/>
    </w:pPr>
    <w:r>
      <w:rPr>
        <w:noProof/>
      </w:rPr>
      <w:drawing>
        <wp:inline distT="0" distB="0" distL="0" distR="0" wp14:anchorId="537A4460" wp14:editId="149DE8D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CA7A"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1DA01E2" wp14:editId="63871F5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381F5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A01E2"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7381F5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54EF" w14:textId="77777777" w:rsidR="00665EAD" w:rsidRDefault="00665EAD" w:rsidP="00660C79">
      <w:pPr>
        <w:spacing w:line="240" w:lineRule="auto"/>
      </w:pPr>
      <w:r>
        <w:separator/>
      </w:r>
    </w:p>
  </w:footnote>
  <w:footnote w:type="continuationSeparator" w:id="0">
    <w:p w14:paraId="01607DDF" w14:textId="77777777" w:rsidR="00665EAD" w:rsidRDefault="00665EAD" w:rsidP="00660C79">
      <w:pPr>
        <w:spacing w:line="240" w:lineRule="auto"/>
      </w:pPr>
      <w:r>
        <w:continuationSeparator/>
      </w:r>
    </w:p>
  </w:footnote>
  <w:footnote w:type="continuationNotice" w:id="1">
    <w:p w14:paraId="64321CAE" w14:textId="77777777" w:rsidR="00665EAD" w:rsidRDefault="00665EAD">
      <w:pPr>
        <w:spacing w:line="240" w:lineRule="auto"/>
      </w:pPr>
    </w:p>
  </w:footnote>
  <w:footnote w:id="2">
    <w:p w14:paraId="58BC336C" w14:textId="77777777" w:rsidR="001A6EF7" w:rsidRPr="001D2998" w:rsidRDefault="001A6EF7" w:rsidP="001A6EF7">
      <w:pPr>
        <w:pStyle w:val="FootnoteText"/>
        <w:rPr>
          <w:lang w:val="en-US"/>
        </w:rPr>
      </w:pPr>
      <w:r>
        <w:rPr>
          <w:rStyle w:val="FootnoteReference"/>
        </w:rPr>
        <w:footnoteRef/>
      </w:r>
      <w:r>
        <w:rPr>
          <w:lang w:val="en-US"/>
        </w:rPr>
        <w:t xml:space="preserve"> </w:t>
      </w:r>
      <w:hyperlink r:id="rId1" w:history="1">
        <w:r w:rsidRPr="00BF5E24">
          <w:rPr>
            <w:rStyle w:val="Hyperlink"/>
            <w:lang w:val="en-US"/>
          </w:rPr>
          <w:t>http://eur-</w:t>
        </w:r>
      </w:hyperlink>
      <w:r w:rsidRPr="001D2998">
        <w:rPr>
          <w:lang w:val="en-US"/>
        </w:rPr>
        <w:t xml:space="preserve"> </w:t>
      </w:r>
    </w:p>
    <w:p w14:paraId="470D90AC" w14:textId="77777777" w:rsidR="001A6EF7" w:rsidRPr="001D2998" w:rsidRDefault="001A6EF7" w:rsidP="001A6EF7">
      <w:pPr>
        <w:pStyle w:val="FootnoteText"/>
      </w:pPr>
      <w:hyperlink r:id="rId2">
        <w:r w:rsidRPr="001D2998">
          <w:rPr>
            <w:rStyle w:val="Hyperlink"/>
            <w:lang w:val="en-US"/>
          </w:rPr>
          <w:t>lex.europa.eu/LexUriServ/site/en/oj/2004/l_229/l_22920040629en00050022.pdf</w:t>
        </w:r>
      </w:hyperlink>
      <w:r w:rsidRPr="001D2998">
        <w:t xml:space="preserve"> </w:t>
      </w:r>
    </w:p>
  </w:footnote>
  <w:footnote w:id="3">
    <w:p w14:paraId="6E73F989" w14:textId="77777777" w:rsidR="001A6EF7" w:rsidRDefault="001A6EF7" w:rsidP="001A6EF7">
      <w:pPr>
        <w:pStyle w:val="FootnoteText"/>
      </w:pPr>
      <w:r w:rsidRPr="001D2998">
        <w:rPr>
          <w:rStyle w:val="FootnoteReference"/>
        </w:rPr>
        <w:footnoteRef/>
      </w:r>
      <w:r w:rsidRPr="001D2998">
        <w:t xml:space="preserve"> </w:t>
      </w:r>
      <w:r w:rsidRPr="001D2998">
        <w:rPr>
          <w:lang w:val="en-US"/>
        </w:rPr>
        <w:t>Article 1 of the Regulation</w:t>
      </w:r>
    </w:p>
  </w:footnote>
  <w:footnote w:id="4">
    <w:p w14:paraId="723901EA" w14:textId="77777777" w:rsidR="001A6EF7" w:rsidRDefault="001A6EF7" w:rsidP="001A6EF7">
      <w:pPr>
        <w:pStyle w:val="FootnoteText"/>
      </w:pPr>
      <w:r>
        <w:rPr>
          <w:rStyle w:val="FootnoteReference"/>
        </w:rPr>
        <w:footnoteRef/>
      </w:r>
      <w:r>
        <w:t xml:space="preserve"> </w:t>
      </w:r>
      <w:hyperlink r:id="rId3">
        <w:r w:rsidRPr="0027321C">
          <w:rPr>
            <w:rStyle w:val="Hyperlink"/>
            <w:lang w:val="en-US"/>
          </w:rPr>
          <w:t>http://www.opsi.gov.uk/si/si2007/uksi_20073106_en_1</w:t>
        </w:r>
      </w:hyperlink>
    </w:p>
  </w:footnote>
  <w:footnote w:id="5">
    <w:p w14:paraId="100B65AC" w14:textId="77777777" w:rsidR="001A6EF7" w:rsidRDefault="001A6EF7" w:rsidP="001A6EF7">
      <w:pPr>
        <w:pStyle w:val="FootnoteText"/>
      </w:pPr>
      <w:r>
        <w:rPr>
          <w:rStyle w:val="FootnoteReference"/>
        </w:rPr>
        <w:footnoteRef/>
      </w:r>
      <w:r>
        <w:rPr>
          <w:u w:val="single"/>
          <w:lang w:val="en-US"/>
        </w:rPr>
        <w:t xml:space="preserve"> </w:t>
      </w:r>
      <w:r>
        <w:t xml:space="preserve">2022 version available from </w:t>
      </w:r>
      <w:r w:rsidRPr="0054369B">
        <w:t>https://chm.pops.int/Implementation/NIPs/NIPTransmission/tabid/253/Default.aspx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0839"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34C29060" wp14:editId="2729802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9660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2906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59660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4E9D" w14:textId="1AC1AC2A"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E252FE0" wp14:editId="73AAA5EC">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576F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52FE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EB576F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2B7A3C">
      <w:rPr>
        <w:color w:val="6E7571" w:themeColor="text2"/>
      </w:rPr>
      <w:t>Persistent organic pollutants</w:t>
    </w:r>
  </w:p>
  <w:p w14:paraId="21D191F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4AC512F" wp14:editId="11B35B0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dec="http://schemas.microsoft.com/office/drawing/2017/decorative" xmlns:a="http://schemas.openxmlformats.org/drawingml/2006/main"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8B20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2784"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8FA9BBC" wp14:editId="1135390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5C7F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A9BB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A15C7F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p+/JqdSwcQDaM" int2:id="0PvJPO4o">
      <int2:state int2:value="Rejected" int2:type="AugLoop_Text_Critique"/>
    </int2:textHash>
    <int2:textHash int2:hashCode="2buPyLb0zlZNNn" int2:id="817ZD4z1">
      <int2:state int2:value="Rejected" int2:type="AugLoop_Text_Critique"/>
    </int2:textHash>
    <int2:textHash int2:hashCode="XFJwN5uqCaAbRl" int2:id="NexIMVJE">
      <int2:state int2:value="Rejected" int2:type="AugLoop_Text_Critique"/>
    </int2:textHash>
    <int2:textHash int2:hashCode="F4Rgw1/I+FVMF2" int2:id="odRI9Ty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A0F28"/>
    <w:multiLevelType w:val="hybridMultilevel"/>
    <w:tmpl w:val="2EE2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44E92"/>
    <w:multiLevelType w:val="hybridMultilevel"/>
    <w:tmpl w:val="ECC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26B31"/>
    <w:multiLevelType w:val="hybridMultilevel"/>
    <w:tmpl w:val="181C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D159F"/>
    <w:multiLevelType w:val="hybridMultilevel"/>
    <w:tmpl w:val="58A6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82F46"/>
    <w:multiLevelType w:val="hybridMultilevel"/>
    <w:tmpl w:val="753C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94130"/>
    <w:multiLevelType w:val="hybridMultilevel"/>
    <w:tmpl w:val="1676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C2DD7"/>
    <w:multiLevelType w:val="hybridMultilevel"/>
    <w:tmpl w:val="AE92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A03BCC"/>
    <w:multiLevelType w:val="hybridMultilevel"/>
    <w:tmpl w:val="A568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36226"/>
    <w:multiLevelType w:val="hybridMultilevel"/>
    <w:tmpl w:val="3014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3761B"/>
    <w:multiLevelType w:val="hybridMultilevel"/>
    <w:tmpl w:val="65AA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22"/>
  </w:num>
  <w:num w:numId="12" w16cid:durableId="1700204152">
    <w:abstractNumId w:val="20"/>
  </w:num>
  <w:num w:numId="13" w16cid:durableId="781656532">
    <w:abstractNumId w:val="17"/>
  </w:num>
  <w:num w:numId="14" w16cid:durableId="885872419">
    <w:abstractNumId w:val="14"/>
  </w:num>
  <w:num w:numId="15" w16cid:durableId="89394303">
    <w:abstractNumId w:val="10"/>
  </w:num>
  <w:num w:numId="16" w16cid:durableId="1858040803">
    <w:abstractNumId w:val="12"/>
  </w:num>
  <w:num w:numId="17" w16cid:durableId="319893841">
    <w:abstractNumId w:val="15"/>
  </w:num>
  <w:num w:numId="18" w16cid:durableId="782456902">
    <w:abstractNumId w:val="16"/>
  </w:num>
  <w:num w:numId="19" w16cid:durableId="1119838025">
    <w:abstractNumId w:val="19"/>
  </w:num>
  <w:num w:numId="20" w16cid:durableId="436219468">
    <w:abstractNumId w:val="18"/>
  </w:num>
  <w:num w:numId="21" w16cid:durableId="226652930">
    <w:abstractNumId w:val="23"/>
  </w:num>
  <w:num w:numId="22" w16cid:durableId="821779308">
    <w:abstractNumId w:val="11"/>
  </w:num>
  <w:num w:numId="23" w16cid:durableId="1184199942">
    <w:abstractNumId w:val="13"/>
  </w:num>
  <w:num w:numId="24" w16cid:durableId="135075447">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77"/>
    <w:rsid w:val="00032829"/>
    <w:rsid w:val="000329AF"/>
    <w:rsid w:val="00032FEA"/>
    <w:rsid w:val="00040561"/>
    <w:rsid w:val="000435A9"/>
    <w:rsid w:val="00044230"/>
    <w:rsid w:val="0006649D"/>
    <w:rsid w:val="00070937"/>
    <w:rsid w:val="00076449"/>
    <w:rsid w:val="000770FA"/>
    <w:rsid w:val="000855FD"/>
    <w:rsid w:val="00090CBA"/>
    <w:rsid w:val="000A2730"/>
    <w:rsid w:val="000A659D"/>
    <w:rsid w:val="000B4A35"/>
    <w:rsid w:val="000B649E"/>
    <w:rsid w:val="000B7559"/>
    <w:rsid w:val="000C6E62"/>
    <w:rsid w:val="000D5B20"/>
    <w:rsid w:val="000E0D15"/>
    <w:rsid w:val="000E12E0"/>
    <w:rsid w:val="000E134F"/>
    <w:rsid w:val="00102506"/>
    <w:rsid w:val="00105F31"/>
    <w:rsid w:val="00135D26"/>
    <w:rsid w:val="001416CC"/>
    <w:rsid w:val="0014484C"/>
    <w:rsid w:val="00145EB6"/>
    <w:rsid w:val="00153C94"/>
    <w:rsid w:val="001703E5"/>
    <w:rsid w:val="00181F77"/>
    <w:rsid w:val="00184B64"/>
    <w:rsid w:val="00194E44"/>
    <w:rsid w:val="001965E4"/>
    <w:rsid w:val="001A23D1"/>
    <w:rsid w:val="001A2CE3"/>
    <w:rsid w:val="001A6EF7"/>
    <w:rsid w:val="001B2CE4"/>
    <w:rsid w:val="001C7474"/>
    <w:rsid w:val="00204271"/>
    <w:rsid w:val="0020743F"/>
    <w:rsid w:val="00214189"/>
    <w:rsid w:val="00221247"/>
    <w:rsid w:val="00226505"/>
    <w:rsid w:val="00227587"/>
    <w:rsid w:val="00227CBA"/>
    <w:rsid w:val="002313EA"/>
    <w:rsid w:val="00232626"/>
    <w:rsid w:val="00236378"/>
    <w:rsid w:val="00236552"/>
    <w:rsid w:val="00250AE6"/>
    <w:rsid w:val="00253CBC"/>
    <w:rsid w:val="00266116"/>
    <w:rsid w:val="00281BB1"/>
    <w:rsid w:val="00290B1F"/>
    <w:rsid w:val="00296F99"/>
    <w:rsid w:val="002A3116"/>
    <w:rsid w:val="002B375A"/>
    <w:rsid w:val="002B4F98"/>
    <w:rsid w:val="002B7A3C"/>
    <w:rsid w:val="002C3181"/>
    <w:rsid w:val="002C7008"/>
    <w:rsid w:val="002D27F2"/>
    <w:rsid w:val="002D63DE"/>
    <w:rsid w:val="002D7D7E"/>
    <w:rsid w:val="002F34B6"/>
    <w:rsid w:val="0030096D"/>
    <w:rsid w:val="00305F5E"/>
    <w:rsid w:val="00310792"/>
    <w:rsid w:val="00317618"/>
    <w:rsid w:val="00323CAF"/>
    <w:rsid w:val="00324473"/>
    <w:rsid w:val="0033450C"/>
    <w:rsid w:val="003469F9"/>
    <w:rsid w:val="003509ED"/>
    <w:rsid w:val="003548CA"/>
    <w:rsid w:val="00380D2D"/>
    <w:rsid w:val="00391F4D"/>
    <w:rsid w:val="00394E0E"/>
    <w:rsid w:val="003A0B7A"/>
    <w:rsid w:val="003A4EE2"/>
    <w:rsid w:val="003C4765"/>
    <w:rsid w:val="003C7A88"/>
    <w:rsid w:val="003D04DA"/>
    <w:rsid w:val="003E3A4D"/>
    <w:rsid w:val="003E68A7"/>
    <w:rsid w:val="003F5384"/>
    <w:rsid w:val="003F7659"/>
    <w:rsid w:val="00401CAD"/>
    <w:rsid w:val="004073BC"/>
    <w:rsid w:val="004108CE"/>
    <w:rsid w:val="00413B6D"/>
    <w:rsid w:val="00420C6B"/>
    <w:rsid w:val="0042100E"/>
    <w:rsid w:val="00421A2D"/>
    <w:rsid w:val="00426E3C"/>
    <w:rsid w:val="00444AA1"/>
    <w:rsid w:val="00453AE2"/>
    <w:rsid w:val="00474C6C"/>
    <w:rsid w:val="004774C5"/>
    <w:rsid w:val="0049256D"/>
    <w:rsid w:val="0049534F"/>
    <w:rsid w:val="00495A7F"/>
    <w:rsid w:val="004A20FC"/>
    <w:rsid w:val="004B3448"/>
    <w:rsid w:val="004B3C2D"/>
    <w:rsid w:val="00516A75"/>
    <w:rsid w:val="00536E64"/>
    <w:rsid w:val="00540C78"/>
    <w:rsid w:val="00543CAF"/>
    <w:rsid w:val="005448AA"/>
    <w:rsid w:val="00551989"/>
    <w:rsid w:val="00554C99"/>
    <w:rsid w:val="005613EB"/>
    <w:rsid w:val="005A355E"/>
    <w:rsid w:val="005A3F51"/>
    <w:rsid w:val="005A6E19"/>
    <w:rsid w:val="005A7A00"/>
    <w:rsid w:val="005B4C7D"/>
    <w:rsid w:val="005D1213"/>
    <w:rsid w:val="005D388F"/>
    <w:rsid w:val="005D706E"/>
    <w:rsid w:val="005F0005"/>
    <w:rsid w:val="005F06D2"/>
    <w:rsid w:val="00600DFC"/>
    <w:rsid w:val="006151C3"/>
    <w:rsid w:val="00621C28"/>
    <w:rsid w:val="006243FF"/>
    <w:rsid w:val="00626398"/>
    <w:rsid w:val="00627129"/>
    <w:rsid w:val="00633074"/>
    <w:rsid w:val="00641CAD"/>
    <w:rsid w:val="00660C79"/>
    <w:rsid w:val="00660F74"/>
    <w:rsid w:val="00661CD2"/>
    <w:rsid w:val="00665EAD"/>
    <w:rsid w:val="00666F0D"/>
    <w:rsid w:val="006706EF"/>
    <w:rsid w:val="00671CAD"/>
    <w:rsid w:val="00673BC5"/>
    <w:rsid w:val="00684775"/>
    <w:rsid w:val="00696CE0"/>
    <w:rsid w:val="006A40C3"/>
    <w:rsid w:val="006A4D02"/>
    <w:rsid w:val="006A53EB"/>
    <w:rsid w:val="006B210F"/>
    <w:rsid w:val="006B41B8"/>
    <w:rsid w:val="006D16CE"/>
    <w:rsid w:val="006D6084"/>
    <w:rsid w:val="00746A0A"/>
    <w:rsid w:val="00760BCB"/>
    <w:rsid w:val="00762629"/>
    <w:rsid w:val="0076284B"/>
    <w:rsid w:val="007719D6"/>
    <w:rsid w:val="007A16C6"/>
    <w:rsid w:val="007A1C6B"/>
    <w:rsid w:val="007A7249"/>
    <w:rsid w:val="007A7A47"/>
    <w:rsid w:val="007B5494"/>
    <w:rsid w:val="007C3F12"/>
    <w:rsid w:val="007D0AFD"/>
    <w:rsid w:val="007D3678"/>
    <w:rsid w:val="007D441B"/>
    <w:rsid w:val="00801105"/>
    <w:rsid w:val="00805B2F"/>
    <w:rsid w:val="00816123"/>
    <w:rsid w:val="0081798F"/>
    <w:rsid w:val="00823109"/>
    <w:rsid w:val="0083233F"/>
    <w:rsid w:val="008371C4"/>
    <w:rsid w:val="00857ED3"/>
    <w:rsid w:val="008604EB"/>
    <w:rsid w:val="00861B46"/>
    <w:rsid w:val="00872EF0"/>
    <w:rsid w:val="00880727"/>
    <w:rsid w:val="00884C97"/>
    <w:rsid w:val="00884FFB"/>
    <w:rsid w:val="008929DF"/>
    <w:rsid w:val="008A16C4"/>
    <w:rsid w:val="008A7AD1"/>
    <w:rsid w:val="008C1A73"/>
    <w:rsid w:val="008D113C"/>
    <w:rsid w:val="008D376F"/>
    <w:rsid w:val="008D6FDE"/>
    <w:rsid w:val="008E7795"/>
    <w:rsid w:val="008F189D"/>
    <w:rsid w:val="00901D4B"/>
    <w:rsid w:val="00902BA2"/>
    <w:rsid w:val="00916B68"/>
    <w:rsid w:val="00917BB1"/>
    <w:rsid w:val="00920E03"/>
    <w:rsid w:val="00933823"/>
    <w:rsid w:val="00933A14"/>
    <w:rsid w:val="00934526"/>
    <w:rsid w:val="009457E2"/>
    <w:rsid w:val="009634E0"/>
    <w:rsid w:val="00970389"/>
    <w:rsid w:val="0097190F"/>
    <w:rsid w:val="00975D21"/>
    <w:rsid w:val="00980531"/>
    <w:rsid w:val="00990510"/>
    <w:rsid w:val="009974A0"/>
    <w:rsid w:val="009A1AD1"/>
    <w:rsid w:val="009A240D"/>
    <w:rsid w:val="009A7801"/>
    <w:rsid w:val="009B6A1C"/>
    <w:rsid w:val="009F2AD3"/>
    <w:rsid w:val="009F3B5B"/>
    <w:rsid w:val="00A0569D"/>
    <w:rsid w:val="00A07A8B"/>
    <w:rsid w:val="00A4253D"/>
    <w:rsid w:val="00A542B5"/>
    <w:rsid w:val="00A77159"/>
    <w:rsid w:val="00A866EE"/>
    <w:rsid w:val="00A9349C"/>
    <w:rsid w:val="00AA7CD8"/>
    <w:rsid w:val="00AB099F"/>
    <w:rsid w:val="00AC6889"/>
    <w:rsid w:val="00AD4AD2"/>
    <w:rsid w:val="00AE068C"/>
    <w:rsid w:val="00AE14A6"/>
    <w:rsid w:val="00AE25B8"/>
    <w:rsid w:val="00AE2654"/>
    <w:rsid w:val="00B0689F"/>
    <w:rsid w:val="00B142B8"/>
    <w:rsid w:val="00B20652"/>
    <w:rsid w:val="00B30661"/>
    <w:rsid w:val="00B364E6"/>
    <w:rsid w:val="00B42845"/>
    <w:rsid w:val="00B46E48"/>
    <w:rsid w:val="00B5135F"/>
    <w:rsid w:val="00B53034"/>
    <w:rsid w:val="00B54CF4"/>
    <w:rsid w:val="00B64834"/>
    <w:rsid w:val="00B72DB4"/>
    <w:rsid w:val="00B76CBF"/>
    <w:rsid w:val="00B81672"/>
    <w:rsid w:val="00B838EA"/>
    <w:rsid w:val="00B93546"/>
    <w:rsid w:val="00B97628"/>
    <w:rsid w:val="00BA0669"/>
    <w:rsid w:val="00BE7D59"/>
    <w:rsid w:val="00BF0314"/>
    <w:rsid w:val="00BF2672"/>
    <w:rsid w:val="00C06D34"/>
    <w:rsid w:val="00C569B9"/>
    <w:rsid w:val="00C669AC"/>
    <w:rsid w:val="00C70980"/>
    <w:rsid w:val="00C81482"/>
    <w:rsid w:val="00C946B6"/>
    <w:rsid w:val="00CA08B6"/>
    <w:rsid w:val="00CA6EFE"/>
    <w:rsid w:val="00CD6AC0"/>
    <w:rsid w:val="00CF4AC5"/>
    <w:rsid w:val="00CF7EFB"/>
    <w:rsid w:val="00D02DB9"/>
    <w:rsid w:val="00D16789"/>
    <w:rsid w:val="00D35448"/>
    <w:rsid w:val="00D3587E"/>
    <w:rsid w:val="00D4086C"/>
    <w:rsid w:val="00D51C39"/>
    <w:rsid w:val="00D529C2"/>
    <w:rsid w:val="00D66215"/>
    <w:rsid w:val="00D67600"/>
    <w:rsid w:val="00D905A9"/>
    <w:rsid w:val="00D91326"/>
    <w:rsid w:val="00DA0183"/>
    <w:rsid w:val="00DA5DC2"/>
    <w:rsid w:val="00DB7440"/>
    <w:rsid w:val="00DD77F4"/>
    <w:rsid w:val="00DE2856"/>
    <w:rsid w:val="00DE55FB"/>
    <w:rsid w:val="00DF0EC2"/>
    <w:rsid w:val="00DF737E"/>
    <w:rsid w:val="00DF77BB"/>
    <w:rsid w:val="00E10AA9"/>
    <w:rsid w:val="00E118F8"/>
    <w:rsid w:val="00E11A56"/>
    <w:rsid w:val="00E15464"/>
    <w:rsid w:val="00E22FE7"/>
    <w:rsid w:val="00E23361"/>
    <w:rsid w:val="00E60556"/>
    <w:rsid w:val="00E62E55"/>
    <w:rsid w:val="00E65993"/>
    <w:rsid w:val="00E65D04"/>
    <w:rsid w:val="00E67C75"/>
    <w:rsid w:val="00E8447E"/>
    <w:rsid w:val="00EB4CA3"/>
    <w:rsid w:val="00EC3B49"/>
    <w:rsid w:val="00EC6A73"/>
    <w:rsid w:val="00EE02DD"/>
    <w:rsid w:val="00EF581E"/>
    <w:rsid w:val="00F0226E"/>
    <w:rsid w:val="00F07048"/>
    <w:rsid w:val="00F11438"/>
    <w:rsid w:val="00F13324"/>
    <w:rsid w:val="00F35A28"/>
    <w:rsid w:val="00F546AF"/>
    <w:rsid w:val="00F62096"/>
    <w:rsid w:val="00F62BD4"/>
    <w:rsid w:val="00F62E76"/>
    <w:rsid w:val="00F66585"/>
    <w:rsid w:val="00F70D7B"/>
    <w:rsid w:val="00F7169F"/>
    <w:rsid w:val="00F72274"/>
    <w:rsid w:val="00F74FFC"/>
    <w:rsid w:val="00F81D56"/>
    <w:rsid w:val="00F91E89"/>
    <w:rsid w:val="00FD2272"/>
    <w:rsid w:val="00FD2F37"/>
    <w:rsid w:val="00FE7030"/>
    <w:rsid w:val="00FE7D14"/>
    <w:rsid w:val="00FF571C"/>
    <w:rsid w:val="00FF5D5A"/>
    <w:rsid w:val="07646365"/>
    <w:rsid w:val="092BF983"/>
    <w:rsid w:val="099E6D9E"/>
    <w:rsid w:val="0EC11894"/>
    <w:rsid w:val="102766E3"/>
    <w:rsid w:val="10586279"/>
    <w:rsid w:val="105DAFFC"/>
    <w:rsid w:val="1463E8F0"/>
    <w:rsid w:val="155E95DC"/>
    <w:rsid w:val="205F132D"/>
    <w:rsid w:val="213BE1E8"/>
    <w:rsid w:val="24D8A8B1"/>
    <w:rsid w:val="25472537"/>
    <w:rsid w:val="272359F2"/>
    <w:rsid w:val="275C34C9"/>
    <w:rsid w:val="285A74F5"/>
    <w:rsid w:val="2CBD39E1"/>
    <w:rsid w:val="3293F53D"/>
    <w:rsid w:val="37B68E07"/>
    <w:rsid w:val="38FE9A2D"/>
    <w:rsid w:val="3A437012"/>
    <w:rsid w:val="3BAACFC6"/>
    <w:rsid w:val="3C2BDD8E"/>
    <w:rsid w:val="3D918062"/>
    <w:rsid w:val="42D5AABC"/>
    <w:rsid w:val="447FA83A"/>
    <w:rsid w:val="4834243E"/>
    <w:rsid w:val="488B09DD"/>
    <w:rsid w:val="4B80FF6B"/>
    <w:rsid w:val="4CD87B86"/>
    <w:rsid w:val="516F598B"/>
    <w:rsid w:val="51D2D06E"/>
    <w:rsid w:val="56CF186E"/>
    <w:rsid w:val="5BF62271"/>
    <w:rsid w:val="5E680245"/>
    <w:rsid w:val="5F82A945"/>
    <w:rsid w:val="614A84EA"/>
    <w:rsid w:val="64070548"/>
    <w:rsid w:val="64293A9B"/>
    <w:rsid w:val="6B6C9333"/>
    <w:rsid w:val="6B8E6D19"/>
    <w:rsid w:val="6D2CD372"/>
    <w:rsid w:val="6F043F67"/>
    <w:rsid w:val="79DFBB93"/>
    <w:rsid w:val="7C9CFE79"/>
    <w:rsid w:val="7CA2E2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B3E2"/>
  <w15:chartTrackingRefBased/>
  <w15:docId w15:val="{7E80AD2B-68B3-4F50-B811-A059470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rsid w:val="00181F77"/>
    <w:pPr>
      <w:tabs>
        <w:tab w:val="right" w:leader="dot" w:pos="10212"/>
      </w:tabs>
      <w:spacing w:after="100"/>
    </w:pPr>
    <w:rPr>
      <w:b/>
      <w:bCs/>
      <w:noProof/>
      <w:sz w:val="28"/>
      <w:szCs w:val="28"/>
    </w:rPr>
  </w:style>
  <w:style w:type="paragraph" w:styleId="TOC2">
    <w:name w:val="toc 2"/>
    <w:basedOn w:val="Normal"/>
    <w:next w:val="Normal"/>
    <w:autoRedefine/>
    <w:uiPriority w:val="39"/>
    <w:unhideWhenUsed/>
    <w:rsid w:val="00181F77"/>
    <w:pPr>
      <w:tabs>
        <w:tab w:val="right" w:leader="dot" w:pos="10212"/>
      </w:tabs>
      <w:spacing w:after="100"/>
    </w:pPr>
  </w:style>
  <w:style w:type="paragraph" w:styleId="TOC3">
    <w:name w:val="toc 3"/>
    <w:basedOn w:val="Normal"/>
    <w:next w:val="Normal"/>
    <w:autoRedefine/>
    <w:uiPriority w:val="39"/>
    <w:unhideWhenUsed/>
    <w:rsid w:val="00181F77"/>
    <w:pPr>
      <w:spacing w:after="100"/>
      <w:ind w:left="480"/>
    </w:pPr>
  </w:style>
  <w:style w:type="character" w:styleId="CommentReference">
    <w:name w:val="annotation reference"/>
    <w:basedOn w:val="DefaultParagraphFont"/>
    <w:uiPriority w:val="99"/>
    <w:semiHidden/>
    <w:unhideWhenUsed/>
    <w:rsid w:val="000C6E62"/>
    <w:rPr>
      <w:sz w:val="16"/>
      <w:szCs w:val="16"/>
    </w:rPr>
  </w:style>
  <w:style w:type="paragraph" w:styleId="CommentText">
    <w:name w:val="annotation text"/>
    <w:basedOn w:val="Normal"/>
    <w:link w:val="CommentTextChar"/>
    <w:uiPriority w:val="99"/>
    <w:unhideWhenUsed/>
    <w:rsid w:val="000C6E62"/>
    <w:pPr>
      <w:spacing w:line="240" w:lineRule="auto"/>
    </w:pPr>
    <w:rPr>
      <w:sz w:val="20"/>
      <w:szCs w:val="20"/>
    </w:rPr>
  </w:style>
  <w:style w:type="character" w:customStyle="1" w:styleId="CommentTextChar">
    <w:name w:val="Comment Text Char"/>
    <w:basedOn w:val="DefaultParagraphFont"/>
    <w:link w:val="CommentText"/>
    <w:uiPriority w:val="99"/>
    <w:rsid w:val="000C6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C6E62"/>
    <w:rPr>
      <w:b/>
      <w:bCs/>
    </w:rPr>
  </w:style>
  <w:style w:type="character" w:customStyle="1" w:styleId="CommentSubjectChar">
    <w:name w:val="Comment Subject Char"/>
    <w:basedOn w:val="CommentTextChar"/>
    <w:link w:val="CommentSubject"/>
    <w:uiPriority w:val="99"/>
    <w:semiHidden/>
    <w:rsid w:val="000C6E62"/>
    <w:rPr>
      <w:rFonts w:eastAsiaTheme="minorEastAsia"/>
      <w:b/>
      <w:bCs/>
      <w:sz w:val="20"/>
      <w:szCs w:val="20"/>
    </w:rPr>
  </w:style>
  <w:style w:type="character" w:styleId="Mention">
    <w:name w:val="Mention"/>
    <w:basedOn w:val="DefaultParagraphFont"/>
    <w:uiPriority w:val="99"/>
    <w:unhideWhenUsed/>
    <w:rsid w:val="000C6E62"/>
    <w:rPr>
      <w:color w:val="2B579A"/>
      <w:shd w:val="clear" w:color="auto" w:fill="E1DFDD"/>
    </w:rPr>
  </w:style>
  <w:style w:type="paragraph" w:styleId="FootnoteText">
    <w:name w:val="footnote text"/>
    <w:basedOn w:val="Normal"/>
    <w:link w:val="FootnoteTextChar"/>
    <w:uiPriority w:val="99"/>
    <w:semiHidden/>
    <w:unhideWhenUsed/>
    <w:rsid w:val="001A6EF7"/>
    <w:pPr>
      <w:spacing w:line="240" w:lineRule="auto"/>
    </w:pPr>
    <w:rPr>
      <w:sz w:val="20"/>
      <w:szCs w:val="20"/>
    </w:rPr>
  </w:style>
  <w:style w:type="character" w:customStyle="1" w:styleId="FootnoteTextChar">
    <w:name w:val="Footnote Text Char"/>
    <w:basedOn w:val="DefaultParagraphFont"/>
    <w:link w:val="FootnoteText"/>
    <w:uiPriority w:val="99"/>
    <w:semiHidden/>
    <w:rsid w:val="001A6EF7"/>
    <w:rPr>
      <w:rFonts w:eastAsiaTheme="minorEastAsia"/>
      <w:sz w:val="20"/>
      <w:szCs w:val="20"/>
    </w:rPr>
  </w:style>
  <w:style w:type="character" w:styleId="FootnoteReference">
    <w:name w:val="footnote reference"/>
    <w:basedOn w:val="DefaultParagraphFont"/>
    <w:uiPriority w:val="99"/>
    <w:semiHidden/>
    <w:unhideWhenUsed/>
    <w:rsid w:val="001A6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6844">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17968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lex.europa.eu/LexUriServ/LexUriServ.do?uri=OJ:L:2007:055:0001:0006:E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u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lex.europa.eu/LexUriServ/LexUriServ.do?uri=OJ:L:2004:158:0007:0049:EN:PDF" TargetMode="External"/><Relationship Id="rId20" Type="http://schemas.openxmlformats.org/officeDocument/2006/relationships/hyperlink" Target="http://www.opsi.gov.uk/si/si2007/uksi_20073106_en_1"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u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nece.org/env/lrt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chemical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opsi.gov.uk/si/si2007/uksi_20073106_en_1" TargetMode="External"/><Relationship Id="rId2" Type="http://schemas.openxmlformats.org/officeDocument/2006/relationships/hyperlink" Target="http://lex.europa.eu/LexUriServ/site/en/oj/2004/l_229/l_22920040629en00050022.pdf" TargetMode="External"/><Relationship Id="rId1" Type="http://schemas.openxmlformats.org/officeDocument/2006/relationships/hyperlink" Target="http://e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16898-C939-47D2-A4B3-A42BF1E3B413}">
  <ds:schemaRefs>
    <ds:schemaRef ds:uri="http://purl.org/dc/dcmitype/"/>
    <ds:schemaRef ds:uri="ce5b52f7-9556-48ad-bf4f-1238de82834a"/>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7dd4d6b0-2bd1-40f7-94aa-8d4785e79023"/>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4.xml><?xml version="1.0" encoding="utf-8"?>
<ds:datastoreItem xmlns:ds="http://schemas.openxmlformats.org/officeDocument/2006/customXml" ds:itemID="{59EFE44C-0513-4CB8-900A-03F16BCDB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4</TotalTime>
  <Pages>10</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130</cp:revision>
  <cp:lastPrinted>2023-03-24T04:44:00Z</cp:lastPrinted>
  <dcterms:created xsi:type="dcterms:W3CDTF">2025-01-30T23:35:00Z</dcterms:created>
  <dcterms:modified xsi:type="dcterms:W3CDTF">2025-05-01T14:39:00Z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