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EndPr/>
      <w:sdtContent>
        <w:p w14:paraId="7F29CED2" w14:textId="77777777" w:rsidR="004073BC" w:rsidRDefault="00F72274" w:rsidP="00F72274"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088D8018" wp14:editId="3777C467">
                <wp:simplePos x="0" y="0"/>
                <wp:positionH relativeFrom="column">
                  <wp:posOffset>-532765</wp:posOffset>
                </wp:positionH>
                <wp:positionV relativeFrom="paragraph">
                  <wp:posOffset>-730250</wp:posOffset>
                </wp:positionV>
                <wp:extent cx="7559645" cy="10888345"/>
                <wp:effectExtent l="0" t="0" r="3810" b="8255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700" cy="10892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7EFB">
            <w:rPr>
              <w:noProof/>
            </w:rPr>
            <w:drawing>
              <wp:inline distT="0" distB="0" distL="0" distR="0" wp14:anchorId="08B6794A" wp14:editId="5B57C580">
                <wp:extent cx="3194973" cy="803275"/>
                <wp:effectExtent l="0" t="0" r="5715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380" cy="844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1F03E03" w14:textId="77777777" w:rsidR="004073BC" w:rsidRDefault="004073BC" w:rsidP="008C1A73"/>
        <w:p w14:paraId="7887A5F8" w14:textId="77777777" w:rsidR="004073BC" w:rsidRDefault="004073BC" w:rsidP="008C1A73"/>
        <w:p w14:paraId="06F713BC" w14:textId="77777777" w:rsidR="004073BC" w:rsidRDefault="004073BC" w:rsidP="008C1A73"/>
        <w:p w14:paraId="4FBCC86C" w14:textId="77777777" w:rsidR="004073BC" w:rsidRDefault="004073BC" w:rsidP="008C1A73"/>
        <w:p w14:paraId="1861A8C2" w14:textId="77777777" w:rsidR="004073BC" w:rsidRDefault="004073BC" w:rsidP="008C1A73"/>
        <w:p w14:paraId="45E8B1EE" w14:textId="537849A0" w:rsidR="00801105" w:rsidRDefault="00E06A4C" w:rsidP="00801105">
          <w:pPr>
            <w:rPr>
              <w:b/>
              <w:bCs/>
              <w:color w:val="FFFFFF" w:themeColor="background1"/>
              <w:sz w:val="84"/>
              <w:szCs w:val="84"/>
            </w:rPr>
          </w:pPr>
          <w:r>
            <w:rPr>
              <w:b/>
              <w:bCs/>
              <w:color w:val="FFFFFF" w:themeColor="background1"/>
              <w:sz w:val="84"/>
              <w:szCs w:val="84"/>
            </w:rPr>
            <w:t>EASR Charging Definitions Guidance for Radioactive Substances</w:t>
          </w:r>
        </w:p>
        <w:p w14:paraId="313A926C" w14:textId="2152A1BB" w:rsidR="00E06A4C" w:rsidRDefault="009B2F46" w:rsidP="00E06A4C">
          <w:pPr>
            <w:jc w:val="both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8480" behindDoc="0" locked="0" layoutInCell="1" allowOverlap="1" wp14:anchorId="7A1352BB" wp14:editId="11DA91CA">
                    <wp:simplePos x="0" y="0"/>
                    <wp:positionH relativeFrom="column">
                      <wp:posOffset>107315</wp:posOffset>
                    </wp:positionH>
                    <wp:positionV relativeFrom="paragraph">
                      <wp:posOffset>3051810</wp:posOffset>
                    </wp:positionV>
                    <wp:extent cx="3343275" cy="34290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43275" cy="342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0F7D75" w14:textId="2AE7A2EC" w:rsidR="009B2F46" w:rsidRPr="00703E20" w:rsidRDefault="009B2F46" w:rsidP="009B2F46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Version 4 – </w:t>
                                </w:r>
                                <w:r w:rsidR="003D3369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January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 202</w:t>
                                </w:r>
                                <w:r w:rsidR="003D3369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6</w:t>
                                </w:r>
                              </w:p>
                              <w:p w14:paraId="453A5A36" w14:textId="10D98130" w:rsidR="009B2F46" w:rsidRDefault="009B2F46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1352B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8.45pt;margin-top:240.3pt;width:263.25pt;height:2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" filled="f" stroked="f">
                    <v:textbox>
                      <w:txbxContent>
                        <w:p w14:paraId="280F7D75" w14:textId="2AE7A2EC" w:rsidR="009B2F46" w:rsidRPr="00703E20" w:rsidRDefault="009B2F46" w:rsidP="009B2F46">
                          <w:p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Version 4 – </w:t>
                          </w:r>
                          <w:r w:rsidR="003D3369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January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 202</w:t>
                          </w:r>
                          <w:r w:rsidR="003D3369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6</w:t>
                          </w:r>
                        </w:p>
                        <w:p w14:paraId="453A5A36" w14:textId="10D98130" w:rsidR="009B2F46" w:rsidRDefault="009B2F46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8C1A73">
            <w:br w:type="page"/>
          </w:r>
        </w:p>
      </w:sdtContent>
    </w:sdt>
    <w:p w14:paraId="362AC55A" w14:textId="19151692" w:rsidR="00E06A4C" w:rsidRPr="00714D05" w:rsidRDefault="00E06A4C" w:rsidP="00034B82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Paragraph 8 and Table 1 of the Environmental Regulation (Scotland) Charging Scheme 2018 (the Charging Scheme) sets out </w:t>
      </w:r>
      <w:r w:rsidRPr="00714D05">
        <w:rPr>
          <w:rFonts w:ascii="Arial" w:hAnsi="Arial" w:cs="Arial"/>
        </w:rPr>
        <w:t>a graded approach to</w:t>
      </w:r>
      <w:r>
        <w:rPr>
          <w:rFonts w:ascii="Arial" w:hAnsi="Arial" w:cs="Arial"/>
        </w:rPr>
        <w:t xml:space="preserve"> application fees for</w:t>
      </w:r>
      <w:r w:rsidRPr="00714D05">
        <w:rPr>
          <w:rFonts w:ascii="Arial" w:hAnsi="Arial" w:cs="Arial"/>
        </w:rPr>
        <w:t xml:space="preserve"> variations and surrenders of</w:t>
      </w:r>
      <w:r>
        <w:rPr>
          <w:rFonts w:ascii="Arial" w:hAnsi="Arial" w:cs="Arial"/>
        </w:rPr>
        <w:t xml:space="preserve"> authorisations which includes the categories of “substantial”, “standard” and “administrative”. The purpose of this document is to define what these categories mean in relation to applications for permits</w:t>
      </w:r>
      <w:r w:rsidR="001A708B">
        <w:rPr>
          <w:rFonts w:ascii="Arial" w:hAnsi="Arial" w:cs="Arial"/>
        </w:rPr>
        <w:t xml:space="preserve"> and registrations</w:t>
      </w:r>
      <w:r>
        <w:rPr>
          <w:rFonts w:ascii="Arial" w:hAnsi="Arial" w:cs="Arial"/>
        </w:rPr>
        <w:t xml:space="preserve"> for radioactive substances activities under the Environmental Authorisations (Scotland) Regulations 2018 (EASR)</w:t>
      </w:r>
      <w:r w:rsidRPr="00714D05">
        <w:rPr>
          <w:rFonts w:ascii="Arial" w:hAnsi="Arial" w:cs="Arial"/>
        </w:rPr>
        <w:t xml:space="preserve">. </w:t>
      </w:r>
    </w:p>
    <w:p w14:paraId="21E1E0F1" w14:textId="697DB999" w:rsidR="00E06A4C" w:rsidRPr="00714D05" w:rsidRDefault="00E06A4C" w:rsidP="00034B82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The full application fee and the appropriate percentage for the different categories are set out fully in the Charging Scheme; however, for ease of reference, the suite of fees has been reproduced in the </w:t>
      </w:r>
      <w:r w:rsidR="00703E20">
        <w:rPr>
          <w:rFonts w:ascii="Arial" w:hAnsi="Arial" w:cs="Arial"/>
        </w:rPr>
        <w:t xml:space="preserve">Application </w:t>
      </w:r>
      <w:r>
        <w:rPr>
          <w:rFonts w:ascii="Arial" w:hAnsi="Arial" w:cs="Arial"/>
        </w:rPr>
        <w:t xml:space="preserve">Information Note, available from the SEPA website. </w:t>
      </w:r>
      <w:r w:rsidRPr="00714D05">
        <w:rPr>
          <w:rFonts w:ascii="Arial" w:hAnsi="Arial" w:cs="Arial"/>
        </w:rPr>
        <w:t>All applications</w:t>
      </w:r>
      <w:r>
        <w:rPr>
          <w:rFonts w:ascii="Arial" w:hAnsi="Arial" w:cs="Arial"/>
        </w:rPr>
        <w:t xml:space="preserve"> relating to nuclear sites</w:t>
      </w:r>
      <w:r w:rsidRPr="00714D05">
        <w:rPr>
          <w:rFonts w:ascii="Arial" w:hAnsi="Arial" w:cs="Arial"/>
        </w:rPr>
        <w:t xml:space="preserve"> will continue to be directly charged.</w:t>
      </w:r>
    </w:p>
    <w:p w14:paraId="717F4FD2" w14:textId="77777777" w:rsidR="00E06A4C" w:rsidRPr="00714D05" w:rsidRDefault="00E06A4C" w:rsidP="00034B82">
      <w:pPr>
        <w:spacing w:before="240" w:after="240"/>
        <w:rPr>
          <w:rFonts w:ascii="Arial" w:hAnsi="Arial" w:cs="Arial"/>
        </w:rPr>
      </w:pPr>
      <w:r w:rsidRPr="00714D05">
        <w:rPr>
          <w:rFonts w:ascii="Arial" w:hAnsi="Arial" w:cs="Arial"/>
        </w:rPr>
        <w:t xml:space="preserve">It is strongly recommended that the applicant discusses the proposed </w:t>
      </w:r>
      <w:r>
        <w:rPr>
          <w:rFonts w:ascii="Arial" w:hAnsi="Arial" w:cs="Arial"/>
        </w:rPr>
        <w:t>application</w:t>
      </w:r>
      <w:r w:rsidRPr="00714D05">
        <w:rPr>
          <w:rFonts w:ascii="Arial" w:hAnsi="Arial" w:cs="Arial"/>
        </w:rPr>
        <w:t xml:space="preserve"> with SEPA at the earliest opportunity and that the category of variation or </w:t>
      </w:r>
      <w:r>
        <w:rPr>
          <w:rFonts w:ascii="Arial" w:hAnsi="Arial" w:cs="Arial"/>
        </w:rPr>
        <w:t xml:space="preserve">surrender </w:t>
      </w:r>
      <w:r w:rsidRPr="00714D05">
        <w:rPr>
          <w:rFonts w:ascii="Arial" w:hAnsi="Arial" w:cs="Arial"/>
        </w:rPr>
        <w:t>is determined prior to making the application.</w:t>
      </w:r>
    </w:p>
    <w:p w14:paraId="3C261610" w14:textId="53C7CB16" w:rsidR="00E06A4C" w:rsidRDefault="00E06A4C" w:rsidP="00034B82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The presumption is that applications for surrenders, including partial surrenders, are “substantial”. The </w:t>
      </w:r>
      <w:r w:rsidR="001D201A">
        <w:rPr>
          <w:rFonts w:ascii="Arial" w:hAnsi="Arial" w:cs="Arial"/>
        </w:rPr>
        <w:t xml:space="preserve">two </w:t>
      </w:r>
      <w:r>
        <w:rPr>
          <w:rFonts w:ascii="Arial" w:hAnsi="Arial" w:cs="Arial"/>
        </w:rPr>
        <w:t>exception</w:t>
      </w:r>
      <w:r w:rsidR="001D201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this </w:t>
      </w:r>
      <w:r w:rsidR="001D201A">
        <w:rPr>
          <w:rFonts w:ascii="Arial" w:hAnsi="Arial" w:cs="Arial"/>
        </w:rPr>
        <w:t>are</w:t>
      </w:r>
      <w:r w:rsidR="00523C56">
        <w:rPr>
          <w:rFonts w:ascii="Arial" w:hAnsi="Arial" w:cs="Arial"/>
        </w:rPr>
        <w:t>: 1.</w:t>
      </w:r>
      <w:r>
        <w:rPr>
          <w:rFonts w:ascii="Arial" w:hAnsi="Arial" w:cs="Arial"/>
        </w:rPr>
        <w:t xml:space="preserve"> where you </w:t>
      </w:r>
      <w:r w:rsidR="00CC792F">
        <w:rPr>
          <w:rFonts w:ascii="Arial" w:hAnsi="Arial" w:cs="Arial"/>
        </w:rPr>
        <w:t xml:space="preserve">change authorisation tier, such as </w:t>
      </w:r>
      <w:r>
        <w:rPr>
          <w:rFonts w:ascii="Arial" w:hAnsi="Arial" w:cs="Arial"/>
        </w:rPr>
        <w:t>mov</w:t>
      </w:r>
      <w:r w:rsidR="00CC792F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from</w:t>
      </w:r>
      <w:r w:rsidR="001A5AE3">
        <w:rPr>
          <w:rFonts w:ascii="Arial" w:hAnsi="Arial" w:cs="Arial"/>
        </w:rPr>
        <w:t xml:space="preserve"> a non-nuclear permit to a non-nuclear registration, or vice versa</w:t>
      </w:r>
      <w:r w:rsidR="004E71B5">
        <w:rPr>
          <w:rFonts w:ascii="Arial" w:hAnsi="Arial" w:cs="Arial"/>
        </w:rPr>
        <w:t xml:space="preserve">; or </w:t>
      </w:r>
      <w:r w:rsidR="00523C56">
        <w:rPr>
          <w:rFonts w:ascii="Arial" w:hAnsi="Arial" w:cs="Arial"/>
        </w:rPr>
        <w:t xml:space="preserve">2. </w:t>
      </w:r>
      <w:r w:rsidR="004E71B5">
        <w:rPr>
          <w:rFonts w:ascii="Arial" w:hAnsi="Arial" w:cs="Arial"/>
        </w:rPr>
        <w:t>if you need to move from</w:t>
      </w:r>
      <w:r>
        <w:rPr>
          <w:rFonts w:ascii="Arial" w:hAnsi="Arial" w:cs="Arial"/>
        </w:rPr>
        <w:t xml:space="preserve"> a HASS to a Non-HASS permit, or vice versa. The application for the new </w:t>
      </w:r>
      <w:r w:rsidR="00552506">
        <w:rPr>
          <w:rFonts w:ascii="Arial" w:hAnsi="Arial" w:cs="Arial"/>
        </w:rPr>
        <w:t xml:space="preserve">authorisation </w:t>
      </w:r>
      <w:r>
        <w:rPr>
          <w:rFonts w:ascii="Arial" w:hAnsi="Arial" w:cs="Arial"/>
        </w:rPr>
        <w:t>will attract the full application fee, but th</w:t>
      </w:r>
      <w:r w:rsidR="00057BD3">
        <w:rPr>
          <w:rFonts w:ascii="Arial" w:hAnsi="Arial" w:cs="Arial"/>
        </w:rPr>
        <w:t>ere will be no requirement to submit and pay for a surrender application for</w:t>
      </w:r>
      <w:r w:rsidR="00DD11F7">
        <w:rPr>
          <w:rFonts w:ascii="Arial" w:hAnsi="Arial" w:cs="Arial"/>
        </w:rPr>
        <w:t xml:space="preserve"> the existing authorisation as SEPA will revoke it </w:t>
      </w:r>
      <w:r w:rsidR="00164025">
        <w:rPr>
          <w:rFonts w:ascii="Arial" w:hAnsi="Arial" w:cs="Arial"/>
        </w:rPr>
        <w:t xml:space="preserve">free of charge </w:t>
      </w:r>
      <w:r w:rsidR="00DD11F7">
        <w:rPr>
          <w:rFonts w:ascii="Arial" w:hAnsi="Arial" w:cs="Arial"/>
        </w:rPr>
        <w:t>as part of the</w:t>
      </w:r>
      <w:r w:rsidR="00D71998">
        <w:rPr>
          <w:rFonts w:ascii="Arial" w:hAnsi="Arial" w:cs="Arial"/>
        </w:rPr>
        <w:t xml:space="preserve"> determination process</w:t>
      </w:r>
      <w:r>
        <w:rPr>
          <w:rFonts w:ascii="Arial" w:hAnsi="Arial" w:cs="Arial"/>
        </w:rPr>
        <w:t>.</w:t>
      </w:r>
    </w:p>
    <w:p w14:paraId="1C293783" w14:textId="77777777" w:rsidR="00E06A4C" w:rsidRPr="006B1A1D" w:rsidRDefault="00E06A4C" w:rsidP="00034B82">
      <w:pPr>
        <w:spacing w:before="240" w:after="240"/>
        <w:rPr>
          <w:rFonts w:ascii="Arial" w:hAnsi="Arial" w:cs="Arial"/>
        </w:rPr>
      </w:pPr>
      <w:r w:rsidRPr="00714D05">
        <w:rPr>
          <w:rFonts w:ascii="Arial" w:hAnsi="Arial" w:cs="Arial"/>
        </w:rPr>
        <w:t xml:space="preserve">Every application for variation will </w:t>
      </w:r>
      <w:r>
        <w:rPr>
          <w:rFonts w:ascii="Arial" w:hAnsi="Arial" w:cs="Arial"/>
        </w:rPr>
        <w:t xml:space="preserve">also </w:t>
      </w:r>
      <w:r w:rsidRPr="00714D05">
        <w:rPr>
          <w:rFonts w:ascii="Arial" w:hAnsi="Arial" w:cs="Arial"/>
        </w:rPr>
        <w:t>be assumed to be “substantial” unless it appears on the list for “standard” or “administrative”. The list provided for “substantial” is indicative only.</w:t>
      </w:r>
      <w:r>
        <w:rPr>
          <w:rFonts w:ascii="Arial" w:hAnsi="Arial" w:cs="Arial"/>
        </w:rPr>
        <w:t xml:space="preserve"> Should </w:t>
      </w:r>
      <w:r w:rsidRPr="006B1A1D">
        <w:rPr>
          <w:rFonts w:ascii="Arial" w:hAnsi="Arial" w:cs="Arial"/>
        </w:rPr>
        <w:t>an application fall into more than one category, the higher category will take precedence.</w:t>
      </w:r>
    </w:p>
    <w:p w14:paraId="74434BF1" w14:textId="27061BB0" w:rsidR="00E06A4C" w:rsidRPr="006B1A1D" w:rsidRDefault="00E06A4C" w:rsidP="00DC7C8B">
      <w:pPr>
        <w:pStyle w:val="Heading2"/>
      </w:pPr>
      <w:r w:rsidRPr="006B1A1D">
        <w:t>Substantial Variation</w:t>
      </w:r>
    </w:p>
    <w:p w14:paraId="54C554F6" w14:textId="77777777" w:rsidR="00E06A4C" w:rsidRPr="006B1A1D" w:rsidRDefault="00E06A4C" w:rsidP="00034B82">
      <w:pPr>
        <w:spacing w:before="240" w:after="240"/>
        <w:rPr>
          <w:rFonts w:ascii="Arial" w:hAnsi="Arial" w:cs="Arial"/>
        </w:rPr>
      </w:pPr>
      <w:r w:rsidRPr="006B1A1D">
        <w:rPr>
          <w:rFonts w:ascii="Arial" w:hAnsi="Arial" w:cs="Arial"/>
        </w:rPr>
        <w:t>For all types of permit:</w:t>
      </w:r>
    </w:p>
    <w:p w14:paraId="31593750" w14:textId="77777777" w:rsidR="00E06A4C" w:rsidRPr="006B1A1D" w:rsidRDefault="00E06A4C" w:rsidP="00034B82">
      <w:pPr>
        <w:pStyle w:val="ListParagraph"/>
        <w:numPr>
          <w:ilvl w:val="0"/>
          <w:numId w:val="15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6B1A1D">
        <w:rPr>
          <w:rFonts w:ascii="Arial" w:hAnsi="Arial" w:cs="Arial"/>
          <w:sz w:val="24"/>
          <w:szCs w:val="24"/>
        </w:rPr>
        <w:t>Increasing the geographical extent of the authorised place.</w:t>
      </w:r>
    </w:p>
    <w:p w14:paraId="46ABB8A7" w14:textId="77777777" w:rsidR="00E06A4C" w:rsidRPr="006B1A1D" w:rsidRDefault="00E06A4C" w:rsidP="00034B82">
      <w:pPr>
        <w:pStyle w:val="ListParagraph"/>
        <w:numPr>
          <w:ilvl w:val="0"/>
          <w:numId w:val="15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6B1A1D">
        <w:rPr>
          <w:rFonts w:ascii="Arial" w:hAnsi="Arial" w:cs="Arial"/>
          <w:sz w:val="24"/>
          <w:szCs w:val="24"/>
        </w:rPr>
        <w:t>Any change to a bespoke condition.</w:t>
      </w:r>
    </w:p>
    <w:p w14:paraId="44D7A82C" w14:textId="77777777" w:rsidR="00E06A4C" w:rsidRPr="006B1A1D" w:rsidRDefault="00E06A4C" w:rsidP="00034B82">
      <w:pPr>
        <w:spacing w:before="240" w:after="240"/>
        <w:rPr>
          <w:rFonts w:ascii="Arial" w:hAnsi="Arial" w:cs="Arial"/>
        </w:rPr>
      </w:pPr>
      <w:r w:rsidRPr="006B1A1D">
        <w:rPr>
          <w:rFonts w:ascii="Arial" w:hAnsi="Arial" w:cs="Arial"/>
        </w:rPr>
        <w:lastRenderedPageBreak/>
        <w:t>For HASS permits:</w:t>
      </w:r>
    </w:p>
    <w:p w14:paraId="205B8118" w14:textId="77777777" w:rsidR="00E06A4C" w:rsidRPr="006B1A1D" w:rsidRDefault="00E06A4C" w:rsidP="00034B82">
      <w:pPr>
        <w:pStyle w:val="ListParagraph"/>
        <w:numPr>
          <w:ilvl w:val="0"/>
          <w:numId w:val="1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6B1A1D">
        <w:rPr>
          <w:rFonts w:ascii="Arial" w:hAnsi="Arial" w:cs="Arial"/>
          <w:sz w:val="24"/>
          <w:szCs w:val="24"/>
        </w:rPr>
        <w:t>Any change to the table of authorised HASS (activity, radionuclides).</w:t>
      </w:r>
    </w:p>
    <w:p w14:paraId="717438C7" w14:textId="1AC198EF" w:rsidR="00E06A4C" w:rsidRPr="006B1A1D" w:rsidRDefault="00E06A4C" w:rsidP="00034B82">
      <w:pPr>
        <w:spacing w:before="240" w:after="240"/>
        <w:rPr>
          <w:rFonts w:ascii="Arial" w:hAnsi="Arial" w:cs="Arial"/>
        </w:rPr>
      </w:pPr>
      <w:r w:rsidRPr="006B1A1D">
        <w:rPr>
          <w:rFonts w:ascii="Arial" w:hAnsi="Arial" w:cs="Arial"/>
        </w:rPr>
        <w:t xml:space="preserve">For </w:t>
      </w:r>
      <w:r w:rsidR="00703E20" w:rsidRPr="006B1A1D">
        <w:rPr>
          <w:rFonts w:ascii="Arial" w:hAnsi="Arial" w:cs="Arial"/>
        </w:rPr>
        <w:t>non-nuclear</w:t>
      </w:r>
      <w:r w:rsidRPr="006B1A1D">
        <w:rPr>
          <w:rFonts w:ascii="Arial" w:hAnsi="Arial" w:cs="Arial"/>
        </w:rPr>
        <w:t xml:space="preserve"> permits:</w:t>
      </w:r>
    </w:p>
    <w:p w14:paraId="12B319F0" w14:textId="77777777" w:rsidR="00E06A4C" w:rsidRPr="006B1A1D" w:rsidRDefault="00E06A4C" w:rsidP="00034B82">
      <w:pPr>
        <w:pStyle w:val="ListParagraph"/>
        <w:numPr>
          <w:ilvl w:val="0"/>
          <w:numId w:val="1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6B1A1D">
        <w:rPr>
          <w:rFonts w:ascii="Arial" w:hAnsi="Arial" w:cs="Arial"/>
          <w:sz w:val="24"/>
          <w:szCs w:val="24"/>
        </w:rPr>
        <w:t>The addition of either or both of the following to the authorised activities:</w:t>
      </w:r>
    </w:p>
    <w:p w14:paraId="7BF6D889" w14:textId="77777777" w:rsidR="00E06A4C" w:rsidRPr="006B1A1D" w:rsidRDefault="00E06A4C" w:rsidP="00034B82">
      <w:pPr>
        <w:pStyle w:val="ListParagraph"/>
        <w:numPr>
          <w:ilvl w:val="1"/>
          <w:numId w:val="1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6B1A1D">
        <w:rPr>
          <w:rFonts w:ascii="Arial" w:hAnsi="Arial" w:cs="Arial"/>
          <w:sz w:val="24"/>
          <w:szCs w:val="24"/>
        </w:rPr>
        <w:t>the production of radionuclides</w:t>
      </w:r>
    </w:p>
    <w:p w14:paraId="47DE037E" w14:textId="77777777" w:rsidR="00E06A4C" w:rsidRPr="006B1A1D" w:rsidRDefault="00E06A4C" w:rsidP="00034B82">
      <w:pPr>
        <w:pStyle w:val="ListParagraph"/>
        <w:numPr>
          <w:ilvl w:val="1"/>
          <w:numId w:val="1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6B1A1D">
        <w:rPr>
          <w:rFonts w:ascii="Arial" w:hAnsi="Arial" w:cs="Arial"/>
          <w:sz w:val="24"/>
          <w:szCs w:val="24"/>
        </w:rPr>
        <w:t>the manufacture of radioactive sources</w:t>
      </w:r>
    </w:p>
    <w:p w14:paraId="2B38DF34" w14:textId="77777777" w:rsidR="00E06A4C" w:rsidRPr="006B1A1D" w:rsidRDefault="00E06A4C" w:rsidP="00034B82">
      <w:pPr>
        <w:pStyle w:val="ListParagraph"/>
        <w:numPr>
          <w:ilvl w:val="0"/>
          <w:numId w:val="15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6B1A1D">
        <w:rPr>
          <w:rFonts w:ascii="Arial" w:hAnsi="Arial" w:cs="Arial"/>
          <w:sz w:val="24"/>
          <w:szCs w:val="24"/>
        </w:rPr>
        <w:t>Any addition or increase to the contents of a table of authorised limits (holdings, disposals, etc.).</w:t>
      </w:r>
    </w:p>
    <w:p w14:paraId="3FD78CFB" w14:textId="61482025" w:rsidR="00E06A4C" w:rsidRPr="006B1A1D" w:rsidRDefault="00E06A4C" w:rsidP="00DC7C8B">
      <w:pPr>
        <w:pStyle w:val="Heading2"/>
      </w:pPr>
      <w:r w:rsidRPr="006B1A1D">
        <w:t>Standard Variation</w:t>
      </w:r>
    </w:p>
    <w:p w14:paraId="4B4850C6" w14:textId="77777777" w:rsidR="00E06A4C" w:rsidRDefault="00E06A4C" w:rsidP="00034B82">
      <w:pPr>
        <w:spacing w:before="240" w:after="240"/>
        <w:rPr>
          <w:rFonts w:ascii="Arial" w:hAnsi="Arial" w:cs="Arial"/>
        </w:rPr>
      </w:pPr>
      <w:r w:rsidRPr="006B1A1D">
        <w:rPr>
          <w:rFonts w:ascii="Arial" w:hAnsi="Arial" w:cs="Arial"/>
        </w:rPr>
        <w:t>For HASS permits:</w:t>
      </w:r>
    </w:p>
    <w:p w14:paraId="0054869C" w14:textId="5E64BE51" w:rsidR="00315782" w:rsidRPr="009D0E04" w:rsidRDefault="00315782" w:rsidP="00315782">
      <w:pPr>
        <w:pStyle w:val="ListParagraph"/>
        <w:numPr>
          <w:ilvl w:val="0"/>
          <w:numId w:val="15"/>
        </w:numPr>
        <w:spacing w:before="240" w:after="240"/>
        <w:rPr>
          <w:rFonts w:ascii="Arial" w:hAnsi="Arial" w:cs="Arial"/>
        </w:rPr>
      </w:pPr>
      <w:r w:rsidRPr="009D0E04">
        <w:rPr>
          <w:rFonts w:ascii="Arial" w:hAnsi="Arial" w:cs="Arial"/>
          <w:sz w:val="24"/>
          <w:szCs w:val="24"/>
        </w:rPr>
        <w:t>The removal of all HASS from the permit (i.e. becoming a non-HASS permit</w:t>
      </w:r>
      <w:r w:rsidRPr="009D0E04">
        <w:rPr>
          <w:rFonts w:ascii="Arial" w:hAnsi="Arial" w:cs="Arial"/>
        </w:rPr>
        <w:t>)</w:t>
      </w:r>
    </w:p>
    <w:p w14:paraId="304FA2BC" w14:textId="3832C03F" w:rsidR="00E06A4C" w:rsidRPr="006B1A1D" w:rsidRDefault="00E06A4C" w:rsidP="00034B82">
      <w:pPr>
        <w:spacing w:before="240" w:after="240"/>
        <w:rPr>
          <w:rFonts w:ascii="Arial" w:hAnsi="Arial" w:cs="Arial"/>
        </w:rPr>
      </w:pPr>
      <w:r w:rsidRPr="006B1A1D">
        <w:rPr>
          <w:rFonts w:ascii="Arial" w:hAnsi="Arial" w:cs="Arial"/>
        </w:rPr>
        <w:t xml:space="preserve">For </w:t>
      </w:r>
      <w:r w:rsidR="00703E20" w:rsidRPr="006B1A1D">
        <w:rPr>
          <w:rFonts w:ascii="Arial" w:hAnsi="Arial" w:cs="Arial"/>
        </w:rPr>
        <w:t>non-nuclear</w:t>
      </w:r>
      <w:r w:rsidRPr="006B1A1D">
        <w:rPr>
          <w:rFonts w:ascii="Arial" w:hAnsi="Arial" w:cs="Arial"/>
        </w:rPr>
        <w:t xml:space="preserve"> permits:</w:t>
      </w:r>
    </w:p>
    <w:p w14:paraId="7A22C1DD" w14:textId="77777777" w:rsidR="00E06A4C" w:rsidRPr="006B1A1D" w:rsidRDefault="00E06A4C" w:rsidP="00034B82">
      <w:pPr>
        <w:pStyle w:val="ListParagraph"/>
        <w:numPr>
          <w:ilvl w:val="0"/>
          <w:numId w:val="13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6B1A1D">
        <w:rPr>
          <w:rFonts w:ascii="Arial" w:hAnsi="Arial" w:cs="Arial"/>
          <w:sz w:val="24"/>
          <w:szCs w:val="24"/>
        </w:rPr>
        <w:t>Any removal of or decrease in the contents of a table of authorised limits (holdings, disposals, etc.) that does not require technical assessment.</w:t>
      </w:r>
    </w:p>
    <w:p w14:paraId="227424A3" w14:textId="01D19B86" w:rsidR="00E06A4C" w:rsidRPr="006B1A1D" w:rsidRDefault="00E06A4C" w:rsidP="00DC7C8B">
      <w:pPr>
        <w:pStyle w:val="Heading2"/>
      </w:pPr>
      <w:r w:rsidRPr="006B1A1D">
        <w:t>Administrative Variation</w:t>
      </w:r>
    </w:p>
    <w:p w14:paraId="5CAE43AD" w14:textId="77777777" w:rsidR="00E06A4C" w:rsidRPr="006B1A1D" w:rsidRDefault="00E06A4C" w:rsidP="00034B82">
      <w:pPr>
        <w:pStyle w:val="ListParagraph"/>
        <w:numPr>
          <w:ilvl w:val="0"/>
          <w:numId w:val="14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6B1A1D">
        <w:rPr>
          <w:rFonts w:ascii="Arial" w:hAnsi="Arial" w:cs="Arial"/>
          <w:sz w:val="24"/>
          <w:szCs w:val="24"/>
        </w:rPr>
        <w:t>Correct an error made by SEPA.</w:t>
      </w:r>
    </w:p>
    <w:p w14:paraId="2467221C" w14:textId="77777777" w:rsidR="00E06A4C" w:rsidRPr="006B1A1D" w:rsidRDefault="00E06A4C" w:rsidP="00034B82">
      <w:pPr>
        <w:pStyle w:val="ListParagraph"/>
        <w:numPr>
          <w:ilvl w:val="0"/>
          <w:numId w:val="14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6B1A1D">
        <w:rPr>
          <w:rFonts w:ascii="Arial" w:hAnsi="Arial" w:cs="Arial"/>
          <w:sz w:val="24"/>
          <w:szCs w:val="24"/>
        </w:rPr>
        <w:t>Changing the name or address of the authorised person where there has been no change in legal entity.</w:t>
      </w:r>
    </w:p>
    <w:p w14:paraId="239452FB" w14:textId="3A413A34" w:rsidR="00E06A4C" w:rsidRPr="006B1A1D" w:rsidRDefault="00703E20" w:rsidP="00DC7C8B">
      <w:pPr>
        <w:pStyle w:val="Heading2"/>
      </w:pPr>
      <w:r w:rsidRPr="006B1A1D">
        <w:t>Partial Surrender</w:t>
      </w:r>
    </w:p>
    <w:p w14:paraId="1D42341E" w14:textId="7CC3A20D" w:rsidR="00703E20" w:rsidRPr="006B1A1D" w:rsidRDefault="00703E20" w:rsidP="00034B82">
      <w:pPr>
        <w:spacing w:before="240" w:after="240"/>
        <w:rPr>
          <w:rFonts w:ascii="Arial" w:hAnsi="Arial" w:cs="Arial"/>
        </w:rPr>
      </w:pPr>
      <w:r w:rsidRPr="006B1A1D">
        <w:rPr>
          <w:rFonts w:ascii="Arial" w:hAnsi="Arial" w:cs="Arial"/>
        </w:rPr>
        <w:t xml:space="preserve">For all types of </w:t>
      </w:r>
      <w:r w:rsidR="00420268" w:rsidRPr="006B1A1D">
        <w:rPr>
          <w:rFonts w:ascii="Arial" w:hAnsi="Arial" w:cs="Arial"/>
        </w:rPr>
        <w:t>permit</w:t>
      </w:r>
      <w:r w:rsidR="00F405A5">
        <w:rPr>
          <w:rFonts w:ascii="Arial" w:hAnsi="Arial" w:cs="Arial"/>
        </w:rPr>
        <w:t xml:space="preserve"> and re</w:t>
      </w:r>
      <w:r w:rsidR="00380DA7">
        <w:rPr>
          <w:rFonts w:ascii="Arial" w:hAnsi="Arial" w:cs="Arial"/>
        </w:rPr>
        <w:t>gistration</w:t>
      </w:r>
      <w:r w:rsidRPr="006B1A1D">
        <w:rPr>
          <w:rFonts w:ascii="Arial" w:hAnsi="Arial" w:cs="Arial"/>
        </w:rPr>
        <w:t>:</w:t>
      </w:r>
    </w:p>
    <w:p w14:paraId="18AC4AD1" w14:textId="02C43D6F" w:rsidR="00776D71" w:rsidRDefault="00703E20" w:rsidP="000A3BD6">
      <w:pPr>
        <w:pStyle w:val="ListParagraph"/>
        <w:numPr>
          <w:ilvl w:val="0"/>
          <w:numId w:val="15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6B1A1D">
        <w:rPr>
          <w:rFonts w:ascii="Arial" w:hAnsi="Arial" w:cs="Arial"/>
          <w:sz w:val="24"/>
          <w:szCs w:val="24"/>
        </w:rPr>
        <w:t>Decreasing the geographical extent of the authorised place.</w:t>
      </w:r>
    </w:p>
    <w:p w14:paraId="26F0CA70" w14:textId="06501407" w:rsidR="000A3BD6" w:rsidRDefault="00F238C4" w:rsidP="00DC7C8B">
      <w:pPr>
        <w:pStyle w:val="Heading2"/>
      </w:pPr>
      <w:r>
        <w:lastRenderedPageBreak/>
        <w:t>Registrations</w:t>
      </w:r>
    </w:p>
    <w:p w14:paraId="71AE6238" w14:textId="4AB41115" w:rsidR="00F238C4" w:rsidRDefault="00F238C4" w:rsidP="000A3BD6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For non-nuclear registration:</w:t>
      </w:r>
    </w:p>
    <w:p w14:paraId="2FF73192" w14:textId="057C11FF" w:rsidR="00F238C4" w:rsidRPr="00F238C4" w:rsidRDefault="00C538E1" w:rsidP="00F238C4">
      <w:pPr>
        <w:pStyle w:val="ListParagraph"/>
        <w:numPr>
          <w:ilvl w:val="0"/>
          <w:numId w:val="15"/>
        </w:numPr>
        <w:spacing w:before="240" w:after="240"/>
        <w:rPr>
          <w:rFonts w:ascii="Arial" w:hAnsi="Arial" w:cs="Arial"/>
        </w:rPr>
      </w:pPr>
      <w:r w:rsidRPr="006B1A1D">
        <w:rPr>
          <w:rFonts w:ascii="Arial" w:hAnsi="Arial" w:cs="Arial"/>
          <w:sz w:val="24"/>
          <w:szCs w:val="24"/>
        </w:rPr>
        <w:t>Increasing the geographical extent of the authorised place</w:t>
      </w:r>
      <w:r>
        <w:rPr>
          <w:rFonts w:ascii="Arial" w:hAnsi="Arial" w:cs="Arial"/>
          <w:sz w:val="24"/>
          <w:szCs w:val="24"/>
        </w:rPr>
        <w:t xml:space="preserve"> would be a substantial variation</w:t>
      </w:r>
      <w:r w:rsidR="009D0E04">
        <w:rPr>
          <w:rFonts w:ascii="Arial" w:hAnsi="Arial" w:cs="Arial"/>
          <w:sz w:val="24"/>
          <w:szCs w:val="24"/>
        </w:rPr>
        <w:t>.</w:t>
      </w:r>
    </w:p>
    <w:p w14:paraId="65AD11EC" w14:textId="6BF7EA02" w:rsidR="0016144C" w:rsidRDefault="0016144C" w:rsidP="006362BB">
      <w:pPr>
        <w:spacing w:after="240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br w:type="page"/>
      </w:r>
    </w:p>
    <w:p w14:paraId="20D92DF6" w14:textId="77777777" w:rsidR="000B2CF0" w:rsidRDefault="000B2CF0" w:rsidP="006362BB">
      <w:pPr>
        <w:spacing w:after="240"/>
        <w:rPr>
          <w:rFonts w:ascii="Arial" w:eastAsia="Times New Roman" w:hAnsi="Arial" w:cs="Arial"/>
          <w:sz w:val="32"/>
          <w:szCs w:val="32"/>
        </w:rPr>
      </w:pPr>
    </w:p>
    <w:p w14:paraId="04040BA7" w14:textId="6F994305" w:rsidR="006362BB" w:rsidRPr="001C57F1" w:rsidRDefault="006362BB" w:rsidP="006362BB">
      <w:pPr>
        <w:spacing w:after="240"/>
        <w:rPr>
          <w:rFonts w:ascii="Arial" w:eastAsia="Times New Roman" w:hAnsi="Arial" w:cs="Arial"/>
          <w:sz w:val="32"/>
          <w:szCs w:val="32"/>
        </w:rPr>
      </w:pPr>
      <w:r w:rsidRPr="001C57F1">
        <w:rPr>
          <w:rFonts w:ascii="Arial" w:eastAsia="Times New Roman" w:hAnsi="Arial" w:cs="Arial"/>
          <w:sz w:val="32"/>
          <w:szCs w:val="32"/>
        </w:rPr>
        <w:t>If you would like this document in an accessible format, such as large print, audio recording or braille, please contact SEPA by emailing </w:t>
      </w:r>
      <w:hyperlink r:id="rId13" w:tgtFrame="_blank" w:tooltip="mailto:equalities@sepa.org.uk" w:history="1">
        <w:r w:rsidRPr="001C57F1">
          <w:rPr>
            <w:rFonts w:ascii="Arial" w:eastAsia="Times New Roman" w:hAnsi="Arial" w:cs="Arial"/>
            <w:color w:val="016574" w:themeColor="hyperlink"/>
            <w:sz w:val="32"/>
            <w:szCs w:val="32"/>
            <w:u w:val="single"/>
          </w:rPr>
          <w:t>equalities@sepa.org.uk</w:t>
        </w:r>
      </w:hyperlink>
      <w:r w:rsidRPr="001C57F1">
        <w:rPr>
          <w:rFonts w:ascii="Arial" w:eastAsia="Times New Roman" w:hAnsi="Arial" w:cs="Arial"/>
          <w:sz w:val="32"/>
          <w:szCs w:val="32"/>
        </w:rPr>
        <w:t xml:space="preserve"> </w:t>
      </w:r>
    </w:p>
    <w:p w14:paraId="0C45DFD1" w14:textId="77777777" w:rsidR="006362BB" w:rsidRPr="006362BB" w:rsidRDefault="006362BB" w:rsidP="006362BB">
      <w:pPr>
        <w:spacing w:before="240" w:after="240"/>
        <w:rPr>
          <w:rFonts w:ascii="Arial" w:hAnsi="Arial" w:cs="Arial"/>
        </w:rPr>
      </w:pPr>
    </w:p>
    <w:sectPr w:rsidR="006362BB" w:rsidRPr="006362BB" w:rsidSect="008069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4B421" w14:textId="77777777" w:rsidR="00A429FC" w:rsidRDefault="00A429FC" w:rsidP="00660C79">
      <w:pPr>
        <w:spacing w:line="240" w:lineRule="auto"/>
      </w:pPr>
      <w:r>
        <w:separator/>
      </w:r>
    </w:p>
  </w:endnote>
  <w:endnote w:type="continuationSeparator" w:id="0">
    <w:p w14:paraId="3B53BB93" w14:textId="77777777" w:rsidR="00A429FC" w:rsidRDefault="00A429FC" w:rsidP="00660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3663" w14:textId="0EF4267E" w:rsidR="00EC6A73" w:rsidRDefault="00D05A38" w:rsidP="006F44FD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47755BAE" wp14:editId="20A7CD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478577145" name="Text Box 1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DF32A" w14:textId="71A6875E" w:rsidR="00D05A38" w:rsidRPr="00D05A38" w:rsidRDefault="00D05A38" w:rsidP="00D05A3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5A3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55BA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PUBLIC" style="position:absolute;margin-left:0;margin-top:0;width:33.15pt;height:33.3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U2asYOAgAAHAQA&#10;AA4AAAAAAAAAAAAAAAAALgIAAGRycy9lMm9Eb2MueG1sUEsBAi0AFAAGAAgAAAAhAGvw7dH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63DF32A" w14:textId="71A6875E" w:rsidR="00D05A38" w:rsidRPr="00D05A38" w:rsidRDefault="00D05A38" w:rsidP="00D05A3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5A3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0E250B" w14:textId="2B99F903" w:rsidR="00EC6A73" w:rsidRDefault="00EC6A73" w:rsidP="006F44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6416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AFEFDD" w14:textId="148171AE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6416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91B518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0D24" w14:textId="08DB16DF" w:rsidR="00EC6A73" w:rsidRDefault="00D05A38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58090BC7" wp14:editId="394CD801">
              <wp:simplePos x="533400" y="9715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982169183" name="Text Box 1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0F666" w14:textId="242994FA" w:rsidR="00D05A38" w:rsidRPr="00D05A38" w:rsidRDefault="00D05A38" w:rsidP="00D05A3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5A3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90B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alt="PUBLIC" style="position:absolute;margin-left:0;margin-top:0;width:33.15pt;height:33.3pt;z-index:25167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CIidj7DwIAABwE&#10;AAAOAAAAAAAAAAAAAAAAAC4CAABkcnMvZTJvRG9jLnhtbFBLAQItABQABgAIAAAAIQBr8O3R2QAA&#10;AAMBAAAPAAAAAAAAAAAAAAAAAGk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1F0F666" w14:textId="242994FA" w:rsidR="00D05A38" w:rsidRPr="00D05A38" w:rsidRDefault="00D05A38" w:rsidP="00D05A3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5A3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73179D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62D0AE" wp14:editId="2AEC624E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FF99E6" id="Straight Connector 10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5DAD7D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D56AE1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49841291" wp14:editId="6AC92269">
          <wp:extent cx="1007167" cy="265044"/>
          <wp:effectExtent l="0" t="0" r="0" b="1905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3558" w14:textId="10831F96" w:rsidR="00EF03D8" w:rsidRDefault="00D05A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115F7A7D" wp14:editId="6B7E2E25">
              <wp:simplePos x="533400" y="10163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1358259" name="Text Box 1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1DFB5" w14:textId="1C8FFA33" w:rsidR="00D05A38" w:rsidRPr="00D05A38" w:rsidRDefault="00D05A38" w:rsidP="00D05A3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5A3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F7A7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PUBLIC" style="position:absolute;margin-left:0;margin-top:0;width:33.15pt;height:33.3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YKd3YOAgAAHAQA&#10;AA4AAAAAAAAAAAAAAAAALgIAAGRycy9lMm9Eb2MueG1sUEsBAi0AFAAGAAgAAAAhAGvw7dH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621DFB5" w14:textId="1C8FFA33" w:rsidR="00D05A38" w:rsidRPr="00D05A38" w:rsidRDefault="00D05A38" w:rsidP="00D05A3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5A3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2604" w14:textId="77777777" w:rsidR="00A429FC" w:rsidRDefault="00A429FC" w:rsidP="00660C79">
      <w:pPr>
        <w:spacing w:line="240" w:lineRule="auto"/>
      </w:pPr>
      <w:r>
        <w:separator/>
      </w:r>
    </w:p>
  </w:footnote>
  <w:footnote w:type="continuationSeparator" w:id="0">
    <w:p w14:paraId="7004C6EE" w14:textId="77777777" w:rsidR="00A429FC" w:rsidRDefault="00A429FC" w:rsidP="00660C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62BB" w14:textId="54F0C253" w:rsidR="00EF03D8" w:rsidRDefault="00D05A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335BD1B4" wp14:editId="213B45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866947468" name="Text Box 1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BA74B" w14:textId="55FDD4AB" w:rsidR="00D05A38" w:rsidRPr="00D05A38" w:rsidRDefault="00D05A38" w:rsidP="00D05A3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5A3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BD1B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PUBLIC" style="position:absolute;margin-left:0;margin-top:0;width:33.15pt;height:33.3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6D6BA74B" w14:textId="55FDD4AB" w:rsidR="00D05A38" w:rsidRPr="00D05A38" w:rsidRDefault="00D05A38" w:rsidP="00D05A3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5A3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C050" w14:textId="271E6ECA" w:rsidR="008D113C" w:rsidRPr="00917BB1" w:rsidRDefault="00D05A38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558CF90C" wp14:editId="12FA36C2">
              <wp:simplePos x="533400" y="50482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235847272" name="Text Box 1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0C4BE" w14:textId="0C68617A" w:rsidR="00D05A38" w:rsidRPr="00D05A38" w:rsidRDefault="00D05A38" w:rsidP="00D05A3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5A3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CF90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PUBLIC" style="position:absolute;left:0;text-align:left;margin-left:0;margin-top:0;width:33.15pt;height:33.3pt;z-index:2516756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w0DA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" filled="f" stroked="f">
              <v:fill o:detectmouseclick="t"/>
              <v:textbox style="mso-fit-shape-to-text:t" inset="0,15pt,0,0">
                <w:txbxContent>
                  <w:p w14:paraId="2560C4BE" w14:textId="0C68617A" w:rsidR="00D05A38" w:rsidRPr="00D05A38" w:rsidRDefault="00D05A38" w:rsidP="00D05A3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5A3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3E20">
      <w:rPr>
        <w:color w:val="6E7571" w:themeColor="text2"/>
      </w:rPr>
      <w:t>Charging Definitions Guidance for Radioactive Substances</w:t>
    </w:r>
  </w:p>
  <w:p w14:paraId="7B977EEC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2BF754" wp14:editId="0CBBFEED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305E14" id="Straight Connector 7" o:spid="_x0000_s1026" alt="&quot;&quot;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 strokecolor="#016574 [3205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C00B" w14:textId="6518E8B7" w:rsidR="00EF03D8" w:rsidRDefault="00D05A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07A49F2F" wp14:editId="1BBA0D77">
              <wp:simplePos x="533400" y="50482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516801857" name="Text Box 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2BE6A9" w14:textId="173C90D4" w:rsidR="00D05A38" w:rsidRPr="00D05A38" w:rsidRDefault="00D05A38" w:rsidP="00D05A3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5A3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49F2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PUBLIC" style="position:absolute;margin-left:0;margin-top:0;width:33.15pt;height:33.3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T/DQ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1HycfgP1gZbycOQ7OLlsqfVKBHwSngimPUi0&#10;+EiHNtBXHE4WZw343//zx3zCnaKc9SSYiltSNGfmpyU+oraSUdzk1znd/OjejIbddXdAMizoRTiZ&#10;zJiHZjS1h+6F5LyIjSgkrKR2FcfRvMOjcuk5SLVYpCSSkRO4smsnY+kIV8TyeXgR3p0AR2LqAUY1&#10;ifIN7sfc+Gdwix0S+omUCO0RyBPiJMHE1em5RI2/vqesy6Oe/wE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AVcpT/DQIAABwEAAAO&#10;AAAAAAAAAAAAAAAAAC4CAABkcnMvZTJvRG9jLnhtbFBLAQItABQABgAIAAAAIQCIAzFu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082BE6A9" w14:textId="173C90D4" w:rsidR="00D05A38" w:rsidRPr="00D05A38" w:rsidRDefault="00D05A38" w:rsidP="00D05A3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5A3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32A94"/>
    <w:multiLevelType w:val="hybridMultilevel"/>
    <w:tmpl w:val="3E048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66615"/>
    <w:multiLevelType w:val="hybridMultilevel"/>
    <w:tmpl w:val="1A069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E52AC"/>
    <w:multiLevelType w:val="hybridMultilevel"/>
    <w:tmpl w:val="AC387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446AD"/>
    <w:multiLevelType w:val="hybridMultilevel"/>
    <w:tmpl w:val="C7BC1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F3381"/>
    <w:multiLevelType w:val="hybridMultilevel"/>
    <w:tmpl w:val="3C6EB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998923060">
    <w:abstractNumId w:val="14"/>
  </w:num>
  <w:num w:numId="12" w16cid:durableId="381441349">
    <w:abstractNumId w:val="10"/>
  </w:num>
  <w:num w:numId="13" w16cid:durableId="747927063">
    <w:abstractNumId w:val="12"/>
  </w:num>
  <w:num w:numId="14" w16cid:durableId="554243141">
    <w:abstractNumId w:val="11"/>
  </w:num>
  <w:num w:numId="15" w16cid:durableId="1751998007">
    <w:abstractNumId w:val="15"/>
  </w:num>
  <w:num w:numId="16" w16cid:durableId="4750725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4C"/>
    <w:rsid w:val="00022582"/>
    <w:rsid w:val="000323F9"/>
    <w:rsid w:val="00032829"/>
    <w:rsid w:val="00034B82"/>
    <w:rsid w:val="00040561"/>
    <w:rsid w:val="00052D55"/>
    <w:rsid w:val="00057BD3"/>
    <w:rsid w:val="00070937"/>
    <w:rsid w:val="000A3BD6"/>
    <w:rsid w:val="000B2CF0"/>
    <w:rsid w:val="000B7559"/>
    <w:rsid w:val="000E0D15"/>
    <w:rsid w:val="000E55C1"/>
    <w:rsid w:val="00105F31"/>
    <w:rsid w:val="00136E79"/>
    <w:rsid w:val="00157636"/>
    <w:rsid w:val="0016144C"/>
    <w:rsid w:val="00164025"/>
    <w:rsid w:val="00164166"/>
    <w:rsid w:val="001805C9"/>
    <w:rsid w:val="001A5AE3"/>
    <w:rsid w:val="001A708B"/>
    <w:rsid w:val="001D201A"/>
    <w:rsid w:val="00212B43"/>
    <w:rsid w:val="00236552"/>
    <w:rsid w:val="002768DD"/>
    <w:rsid w:val="00281BB1"/>
    <w:rsid w:val="00290B1F"/>
    <w:rsid w:val="00295366"/>
    <w:rsid w:val="002F2CF2"/>
    <w:rsid w:val="0030096D"/>
    <w:rsid w:val="003154B6"/>
    <w:rsid w:val="00315782"/>
    <w:rsid w:val="00317618"/>
    <w:rsid w:val="0037278D"/>
    <w:rsid w:val="00380DA7"/>
    <w:rsid w:val="00382BF8"/>
    <w:rsid w:val="003D3369"/>
    <w:rsid w:val="003F5384"/>
    <w:rsid w:val="004073BC"/>
    <w:rsid w:val="0041560E"/>
    <w:rsid w:val="00420268"/>
    <w:rsid w:val="00421CBF"/>
    <w:rsid w:val="00435DDD"/>
    <w:rsid w:val="00444AA1"/>
    <w:rsid w:val="004E71B5"/>
    <w:rsid w:val="00523C56"/>
    <w:rsid w:val="00532A71"/>
    <w:rsid w:val="00551989"/>
    <w:rsid w:val="00552506"/>
    <w:rsid w:val="00562914"/>
    <w:rsid w:val="005A355E"/>
    <w:rsid w:val="005D1213"/>
    <w:rsid w:val="00612B21"/>
    <w:rsid w:val="006243FF"/>
    <w:rsid w:val="006362BB"/>
    <w:rsid w:val="00644225"/>
    <w:rsid w:val="00660C79"/>
    <w:rsid w:val="006717AB"/>
    <w:rsid w:val="006B1A1D"/>
    <w:rsid w:val="006B2314"/>
    <w:rsid w:val="006D16CE"/>
    <w:rsid w:val="00703E20"/>
    <w:rsid w:val="00707500"/>
    <w:rsid w:val="00721748"/>
    <w:rsid w:val="0075163E"/>
    <w:rsid w:val="00776D71"/>
    <w:rsid w:val="007C3F12"/>
    <w:rsid w:val="007D441B"/>
    <w:rsid w:val="007F7F9E"/>
    <w:rsid w:val="00801105"/>
    <w:rsid w:val="0080697F"/>
    <w:rsid w:val="008164F2"/>
    <w:rsid w:val="008170B9"/>
    <w:rsid w:val="00861B46"/>
    <w:rsid w:val="00863C4B"/>
    <w:rsid w:val="008C1A73"/>
    <w:rsid w:val="008D113C"/>
    <w:rsid w:val="008D376F"/>
    <w:rsid w:val="00917BB1"/>
    <w:rsid w:val="009453A8"/>
    <w:rsid w:val="00961D82"/>
    <w:rsid w:val="00963F38"/>
    <w:rsid w:val="00975D21"/>
    <w:rsid w:val="00980531"/>
    <w:rsid w:val="009819F8"/>
    <w:rsid w:val="009A240D"/>
    <w:rsid w:val="009B2F46"/>
    <w:rsid w:val="009D0E04"/>
    <w:rsid w:val="00A429FC"/>
    <w:rsid w:val="00A668A1"/>
    <w:rsid w:val="00A9349C"/>
    <w:rsid w:val="00AA12AE"/>
    <w:rsid w:val="00AE068C"/>
    <w:rsid w:val="00B46E48"/>
    <w:rsid w:val="00B54CF4"/>
    <w:rsid w:val="00BD1C3D"/>
    <w:rsid w:val="00C22359"/>
    <w:rsid w:val="00C538E1"/>
    <w:rsid w:val="00C569B9"/>
    <w:rsid w:val="00C828EB"/>
    <w:rsid w:val="00CB17BC"/>
    <w:rsid w:val="00CC792F"/>
    <w:rsid w:val="00CD6AC0"/>
    <w:rsid w:val="00CF4895"/>
    <w:rsid w:val="00CF7EFB"/>
    <w:rsid w:val="00D029AA"/>
    <w:rsid w:val="00D05A38"/>
    <w:rsid w:val="00D35448"/>
    <w:rsid w:val="00D71998"/>
    <w:rsid w:val="00D90E64"/>
    <w:rsid w:val="00DA2185"/>
    <w:rsid w:val="00DC7C8B"/>
    <w:rsid w:val="00DD11F7"/>
    <w:rsid w:val="00E06A4C"/>
    <w:rsid w:val="00E11A56"/>
    <w:rsid w:val="00E54110"/>
    <w:rsid w:val="00E67C75"/>
    <w:rsid w:val="00EB1D8B"/>
    <w:rsid w:val="00EC6A73"/>
    <w:rsid w:val="00ED31BA"/>
    <w:rsid w:val="00EF03D8"/>
    <w:rsid w:val="00EF7190"/>
    <w:rsid w:val="00F07048"/>
    <w:rsid w:val="00F11A44"/>
    <w:rsid w:val="00F238C4"/>
    <w:rsid w:val="00F34ACD"/>
    <w:rsid w:val="00F405A5"/>
    <w:rsid w:val="00F6363C"/>
    <w:rsid w:val="00F72274"/>
    <w:rsid w:val="00F756F0"/>
    <w:rsid w:val="00F82E06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D80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552"/>
    <w:pPr>
      <w:spacing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225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225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225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4225"/>
    <w:pPr>
      <w:keepNext/>
      <w:keepLines/>
      <w:spacing w:after="240" w:line="240" w:lineRule="auto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44225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4225"/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4225"/>
    <w:rPr>
      <w:rFonts w:asciiTheme="majorHAnsi" w:eastAsiaTheme="majorEastAsia" w:hAnsiTheme="majorHAnsi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44225"/>
    <w:rPr>
      <w:rFonts w:asciiTheme="majorHAnsi" w:eastAsiaTheme="majorEastAsia" w:hAnsiTheme="majorHAnsi" w:cstheme="majorBidi"/>
      <w:b/>
      <w:iCs/>
    </w:rPr>
  </w:style>
  <w:style w:type="paragraph" w:customStyle="1" w:styleId="BodyText1">
    <w:name w:val="Body Text1"/>
    <w:basedOn w:val="Normal"/>
    <w:qFormat/>
    <w:rsid w:val="00212B43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06A4C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53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8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8E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8E1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ualities@sepa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9E780EB2ED742B39BDE5618E83D27" ma:contentTypeVersion="16" ma:contentTypeDescription="Create a new document." ma:contentTypeScope="" ma:versionID="00b632d5dce2b1cdcf85a3db1b22a344">
  <xsd:schema xmlns:xsd="http://www.w3.org/2001/XMLSchema" xmlns:xs="http://www.w3.org/2001/XMLSchema" xmlns:p="http://schemas.microsoft.com/office/2006/metadata/properties" xmlns:ns2="d317a873-e10a-49fd-a824-4b33cac9d5e0" xmlns:ns3="a5938255-f470-4ef2-bd11-5c82450bd812" targetNamespace="http://schemas.microsoft.com/office/2006/metadata/properties" ma:root="true" ma:fieldsID="e9a087d8b8710d65a4ba5b35a47c44cf" ns2:_="" ns3:_="">
    <xsd:import namespace="d317a873-e10a-49fd-a824-4b33cac9d5e0"/>
    <xsd:import namespace="a5938255-f470-4ef2-bd11-5c82450bd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7a873-e10a-49fd-a824-4b33cac9d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8255-f470-4ef2-bd11-5c82450bd8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bd1e8a-61c0-4411-b6b1-f1f41fd8b51b}" ma:internalName="TaxCatchAll" ma:showField="CatchAllData" ma:web="a5938255-f470-4ef2-bd11-5c82450bd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17a873-e10a-49fd-a824-4b33cac9d5e0">
      <Terms xmlns="http://schemas.microsoft.com/office/infopath/2007/PartnerControls"/>
    </lcf76f155ced4ddcb4097134ff3c332f>
    <TaxCatchAll xmlns="a5938255-f470-4ef2-bd11-5c82450bd8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ADEC26-75AA-4F66-84FA-0977EE82E093}"/>
</file>

<file path=customXml/itemProps2.xml><?xml version="1.0" encoding="utf-8"?>
<ds:datastoreItem xmlns:ds="http://schemas.openxmlformats.org/officeDocument/2006/customXml" ds:itemID="{EC76DF6B-575C-4C9E-8EF6-BF7C06F43DAB}">
  <ds:schemaRefs>
    <ds:schemaRef ds:uri="http://schemas.microsoft.com/office/2006/metadata/properties"/>
    <ds:schemaRef ds:uri="http://schemas.microsoft.com/office/infopath/2007/PartnerControls"/>
    <ds:schemaRef ds:uri="d317a873-e10a-49fd-a824-4b33cac9d5e0"/>
    <ds:schemaRef ds:uri="a5938255-f470-4ef2-bd11-5c82450bd812"/>
  </ds:schemaRefs>
</ds:datastoreItem>
</file>

<file path=customXml/itemProps3.xml><?xml version="1.0" encoding="utf-8"?>
<ds:datastoreItem xmlns:ds="http://schemas.openxmlformats.org/officeDocument/2006/customXml" ds:itemID="{A3E6D6A3-9AB1-4A5F-A739-6FDA3577ED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2026-01-05T17:19:00Z</dcterms:created>
  <dcterms:modified xsi:type="dcterms:W3CDTF">2026-01-14T16:50:00Z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5a688f41,33ac918c,e0ebe68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ad5033,58214bf9,7625805f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2026-01-05T17:19:32Z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073ffa6a-2ca5-446b-8ce0-e29458756a45</vt:lpwstr>
  </property>
  <property fmtid="{D5CDD505-2E9C-101B-9397-08002B2CF9AE}" pid="14" name="MSIP_Label_020c9faf-63bf-4a31-9cd9-de783d5c392c_ContentBits">
    <vt:lpwstr>3</vt:lpwstr>
  </property>
  <property fmtid="{D5CDD505-2E9C-101B-9397-08002B2CF9AE}" pid="15" name="MSIP_Label_020c9faf-63bf-4a31-9cd9-de783d5c392c_Tag">
    <vt:lpwstr>10, 0, 1, 1</vt:lpwstr>
  </property>
  <property fmtid="{D5CDD505-2E9C-101B-9397-08002B2CF9AE}" pid="16" name="MediaServiceImageTags">
    <vt:lpwstr/>
  </property>
  <property fmtid="{D5CDD505-2E9C-101B-9397-08002B2CF9AE}" pid="17" name="ContentTypeId">
    <vt:lpwstr>0x0101001649E780EB2ED742B39BDE5618E83D27</vt:lpwstr>
  </property>
</Properties>
</file>