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626943"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Content>
        <w:p w14:paraId="409FF0C4" w14:textId="77777777" w:rsidR="004073BC" w:rsidRDefault="00F72274" w:rsidP="00DA536F">
          <w:pPr>
            <w:pStyle w:val="Heading1"/>
            <w:jc w:val="both"/>
          </w:pPr>
          <w:r>
            <w:rPr>
              <w:noProof/>
            </w:rPr>
            <w:drawing>
              <wp:anchor distT="0" distB="0" distL="114300" distR="114300" simplePos="0" relativeHeight="251658241" behindDoc="1" locked="0" layoutInCell="1" allowOverlap="1" wp14:anchorId="1ADF6EA9" wp14:editId="38BF8245">
                <wp:simplePos x="0" y="0"/>
                <wp:positionH relativeFrom="column">
                  <wp:posOffset>-532765</wp:posOffset>
                </wp:positionH>
                <wp:positionV relativeFrom="paragraph">
                  <wp:posOffset>-711200</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6929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D717E14" wp14:editId="45FEA5F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p>
        <w:p w14:paraId="77A2C272" w14:textId="77777777" w:rsidR="00281BB1" w:rsidRDefault="00281BB1" w:rsidP="00DA536F">
          <w:pPr>
            <w:jc w:val="both"/>
            <w:rPr>
              <w:b/>
              <w:bCs/>
              <w:color w:val="FFFFFF" w:themeColor="background1"/>
              <w:sz w:val="84"/>
              <w:szCs w:val="84"/>
            </w:rPr>
          </w:pPr>
        </w:p>
        <w:p w14:paraId="052EC0D8" w14:textId="0E347C53" w:rsidR="00F07AC3" w:rsidRPr="002F2B73" w:rsidRDefault="00281BB1" w:rsidP="00DA536F">
          <w:pPr>
            <w:jc w:val="both"/>
            <w:rPr>
              <w:b/>
              <w:bCs/>
              <w:color w:val="FFFFFF" w:themeColor="background1"/>
              <w:sz w:val="96"/>
              <w:szCs w:val="96"/>
            </w:rPr>
          </w:pPr>
          <w:r w:rsidRPr="002F2B73">
            <w:rPr>
              <w:noProof/>
              <w:sz w:val="96"/>
              <w:szCs w:val="96"/>
            </w:rPr>
            <mc:AlternateContent>
              <mc:Choice Requires="wps">
                <w:drawing>
                  <wp:anchor distT="0" distB="0" distL="114300" distR="114300" simplePos="0" relativeHeight="251658240" behindDoc="0" locked="1" layoutInCell="1" allowOverlap="1" wp14:anchorId="55331495" wp14:editId="2E9FCA07">
                    <wp:simplePos x="0" y="0"/>
                    <wp:positionH relativeFrom="margin">
                      <wp:align>left</wp:align>
                    </wp:positionH>
                    <wp:positionV relativeFrom="paragraph">
                      <wp:posOffset>6959600</wp:posOffset>
                    </wp:positionV>
                    <wp:extent cx="4308475" cy="61912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619125"/>
                            </a:xfrm>
                            <a:prstGeom prst="rect">
                              <a:avLst/>
                            </a:prstGeom>
                            <a:noFill/>
                            <a:ln w="6350">
                              <a:noFill/>
                            </a:ln>
                          </wps:spPr>
                          <wps:txbx>
                            <w:txbxContent>
                              <w:p w14:paraId="719E117C" w14:textId="44645720" w:rsidR="00281BB1" w:rsidRDefault="002F2B73" w:rsidP="00281BB1">
                                <w:pPr>
                                  <w:pStyle w:val="BodyText1"/>
                                  <w:rPr>
                                    <w:color w:val="FFFFFF" w:themeColor="background1"/>
                                  </w:rPr>
                                </w:pPr>
                                <w:r>
                                  <w:rPr>
                                    <w:color w:val="FFFFFF" w:themeColor="background1"/>
                                  </w:rPr>
                                  <w:t>Version 2.0 August</w:t>
                                </w:r>
                                <w:r w:rsidR="00F46168">
                                  <w:rPr>
                                    <w:color w:val="FFFFFF" w:themeColor="background1"/>
                                  </w:rPr>
                                  <w:t xml:space="preserve"> 2025</w:t>
                                </w:r>
                              </w:p>
                              <w:p w14:paraId="38EAFE63" w14:textId="721F404D" w:rsidR="002F2B73" w:rsidRPr="009A240D" w:rsidRDefault="002F2B73" w:rsidP="00281BB1">
                                <w:pPr>
                                  <w:pStyle w:val="BodyText1"/>
                                  <w:rPr>
                                    <w:color w:val="FFFFFF" w:themeColor="background1"/>
                                  </w:rPr>
                                </w:pPr>
                                <w:r>
                                  <w:rPr>
                                    <w:color w:val="FFFFFF" w:themeColor="background1"/>
                                  </w:rPr>
                                  <w:t>IND-G-015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31495" id="_x0000_t202" coordsize="21600,21600" o:spt="202" path="m,l,21600r21600,l21600,xe">
                    <v:stroke joinstyle="miter"/>
                    <v:path gradientshapeok="t" o:connecttype="rect"/>
                  </v:shapetype>
                  <v:shape id="Text Box 3" o:spid="_x0000_s1026" type="#_x0000_t202" alt="&quot;&quot;" style="position:absolute;left:0;text-align:left;margin-left:0;margin-top:548pt;width:339.25pt;height:4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" filled="f" stroked="f" strokeweight=".5pt">
                    <v:textbox inset="0,0,0,0">
                      <w:txbxContent>
                        <w:p w14:paraId="719E117C" w14:textId="44645720" w:rsidR="00281BB1" w:rsidRDefault="002F2B73" w:rsidP="00281BB1">
                          <w:pPr>
                            <w:pStyle w:val="BodyText1"/>
                            <w:rPr>
                              <w:color w:val="FFFFFF" w:themeColor="background1"/>
                            </w:rPr>
                          </w:pPr>
                          <w:r>
                            <w:rPr>
                              <w:color w:val="FFFFFF" w:themeColor="background1"/>
                            </w:rPr>
                            <w:t>Version 2.0 August</w:t>
                          </w:r>
                          <w:r w:rsidR="00F46168">
                            <w:rPr>
                              <w:color w:val="FFFFFF" w:themeColor="background1"/>
                            </w:rPr>
                            <w:t xml:space="preserve"> 2025</w:t>
                          </w:r>
                        </w:p>
                        <w:p w14:paraId="38EAFE63" w14:textId="721F404D" w:rsidR="002F2B73" w:rsidRPr="009A240D" w:rsidRDefault="002F2B73" w:rsidP="00281BB1">
                          <w:pPr>
                            <w:pStyle w:val="BodyText1"/>
                            <w:rPr>
                              <w:color w:val="FFFFFF" w:themeColor="background1"/>
                            </w:rPr>
                          </w:pPr>
                          <w:r>
                            <w:rPr>
                              <w:color w:val="FFFFFF" w:themeColor="background1"/>
                            </w:rPr>
                            <w:t>IND-G-015</w:t>
                          </w:r>
                        </w:p>
                      </w:txbxContent>
                    </v:textbox>
                    <w10:wrap anchorx="margin"/>
                    <w10:anchorlock/>
                  </v:shape>
                </w:pict>
              </mc:Fallback>
            </mc:AlternateContent>
          </w:r>
          <w:r w:rsidR="00F07AC3" w:rsidRPr="002F2B73">
            <w:rPr>
              <w:b/>
              <w:bCs/>
              <w:color w:val="FFFFFF" w:themeColor="background1"/>
              <w:sz w:val="96"/>
              <w:szCs w:val="96"/>
            </w:rPr>
            <w:t>SEPA Guidance</w:t>
          </w:r>
          <w:r w:rsidR="002F2B73" w:rsidRPr="002F2B73">
            <w:rPr>
              <w:b/>
              <w:bCs/>
              <w:color w:val="FFFFFF" w:themeColor="background1"/>
              <w:sz w:val="96"/>
              <w:szCs w:val="96"/>
            </w:rPr>
            <w:t>:</w:t>
          </w:r>
        </w:p>
        <w:p w14:paraId="460D1363" w14:textId="2D72474E" w:rsidR="00F07AC3" w:rsidRPr="002F2B73" w:rsidRDefault="00F07AC3" w:rsidP="00DA536F">
          <w:pPr>
            <w:jc w:val="both"/>
            <w:rPr>
              <w:b/>
              <w:bCs/>
              <w:color w:val="FFFFFF" w:themeColor="background1"/>
              <w:sz w:val="72"/>
              <w:szCs w:val="72"/>
            </w:rPr>
          </w:pPr>
          <w:r w:rsidRPr="002F2B73">
            <w:rPr>
              <w:b/>
              <w:bCs/>
              <w:color w:val="FFFFFF" w:themeColor="background1"/>
              <w:sz w:val="72"/>
              <w:szCs w:val="72"/>
            </w:rPr>
            <w:t>EASR Schedule</w:t>
          </w:r>
          <w:r w:rsidR="002F2B73" w:rsidRPr="002F2B73">
            <w:rPr>
              <w:b/>
              <w:bCs/>
              <w:color w:val="FFFFFF" w:themeColor="background1"/>
              <w:sz w:val="72"/>
              <w:szCs w:val="72"/>
            </w:rPr>
            <w:t>s</w:t>
          </w:r>
          <w:r w:rsidRPr="002F2B73">
            <w:rPr>
              <w:b/>
              <w:bCs/>
              <w:color w:val="FFFFFF" w:themeColor="background1"/>
              <w:sz w:val="72"/>
              <w:szCs w:val="72"/>
            </w:rPr>
            <w:t xml:space="preserve"> 20 &amp; 26 </w:t>
          </w:r>
          <w:r w:rsidR="00E87A9D">
            <w:rPr>
              <w:b/>
              <w:bCs/>
              <w:color w:val="FFFFFF" w:themeColor="background1"/>
              <w:sz w:val="72"/>
              <w:szCs w:val="72"/>
            </w:rPr>
            <w:t>p</w:t>
          </w:r>
          <w:r w:rsidRPr="002F2B73">
            <w:rPr>
              <w:b/>
              <w:bCs/>
              <w:color w:val="FFFFFF" w:themeColor="background1"/>
              <w:sz w:val="72"/>
              <w:szCs w:val="72"/>
            </w:rPr>
            <w:t xml:space="preserve">ermit </w:t>
          </w:r>
          <w:r w:rsidR="00E87A9D">
            <w:rPr>
              <w:b/>
              <w:bCs/>
              <w:color w:val="FFFFFF" w:themeColor="background1"/>
              <w:sz w:val="72"/>
              <w:szCs w:val="72"/>
            </w:rPr>
            <w:t>r</w:t>
          </w:r>
          <w:r w:rsidRPr="002F2B73">
            <w:rPr>
              <w:b/>
              <w:bCs/>
              <w:color w:val="FFFFFF" w:themeColor="background1"/>
              <w:sz w:val="72"/>
              <w:szCs w:val="72"/>
            </w:rPr>
            <w:t xml:space="preserve">eviews following the publication of </w:t>
          </w:r>
          <w:r w:rsidR="002F2B73" w:rsidRPr="002F2B73">
            <w:rPr>
              <w:b/>
              <w:bCs/>
              <w:color w:val="FFFFFF" w:themeColor="background1"/>
              <w:sz w:val="72"/>
              <w:szCs w:val="72"/>
            </w:rPr>
            <w:t xml:space="preserve">a </w:t>
          </w:r>
          <w:r w:rsidRPr="002F2B73">
            <w:rPr>
              <w:b/>
              <w:bCs/>
              <w:color w:val="FFFFFF" w:themeColor="background1"/>
              <w:sz w:val="72"/>
              <w:szCs w:val="72"/>
            </w:rPr>
            <w:t>BAT</w:t>
          </w:r>
          <w:r w:rsidRPr="002F2B73">
            <w:rPr>
              <w:b/>
              <w:bCs/>
              <w:color w:val="FFFFFF" w:themeColor="background1"/>
              <w:sz w:val="200"/>
              <w:szCs w:val="200"/>
            </w:rPr>
            <w:t xml:space="preserve"> </w:t>
          </w:r>
          <w:r w:rsidRPr="002F2B73">
            <w:rPr>
              <w:b/>
              <w:bCs/>
              <w:color w:val="FFFFFF" w:themeColor="background1"/>
              <w:sz w:val="72"/>
              <w:szCs w:val="72"/>
            </w:rPr>
            <w:t xml:space="preserve">Conclusions </w:t>
          </w:r>
          <w:r w:rsidR="002F2B73" w:rsidRPr="002F2B73">
            <w:rPr>
              <w:b/>
              <w:bCs/>
              <w:color w:val="FFFFFF" w:themeColor="background1"/>
              <w:sz w:val="72"/>
              <w:szCs w:val="72"/>
            </w:rPr>
            <w:t>document</w:t>
          </w:r>
        </w:p>
        <w:p w14:paraId="625A2735" w14:textId="77777777" w:rsidR="00F07AC3" w:rsidRDefault="00F07AC3" w:rsidP="00DA536F">
          <w:pPr>
            <w:jc w:val="both"/>
            <w:rPr>
              <w:b/>
              <w:bCs/>
              <w:color w:val="FFFFFF" w:themeColor="background1"/>
              <w:sz w:val="40"/>
              <w:szCs w:val="40"/>
            </w:rPr>
          </w:pPr>
        </w:p>
        <w:p w14:paraId="6BD43EDC" w14:textId="77777777" w:rsidR="00F07AC3" w:rsidRDefault="00F07AC3" w:rsidP="00DA536F">
          <w:pPr>
            <w:jc w:val="both"/>
            <w:rPr>
              <w:b/>
              <w:bCs/>
              <w:color w:val="FFFFFF" w:themeColor="background1"/>
              <w:sz w:val="40"/>
              <w:szCs w:val="40"/>
            </w:rPr>
          </w:pPr>
        </w:p>
        <w:p w14:paraId="6AB4A6BB" w14:textId="77777777" w:rsidR="00F07AC3" w:rsidRDefault="00F07AC3" w:rsidP="00DA536F">
          <w:pPr>
            <w:jc w:val="both"/>
            <w:rPr>
              <w:b/>
              <w:bCs/>
              <w:color w:val="FFFFFF" w:themeColor="background1"/>
              <w:sz w:val="40"/>
              <w:szCs w:val="40"/>
            </w:rPr>
          </w:pPr>
        </w:p>
        <w:p w14:paraId="100AF6D9" w14:textId="77777777" w:rsidR="00F07AC3" w:rsidRDefault="00F07AC3" w:rsidP="00DA536F">
          <w:pPr>
            <w:jc w:val="both"/>
            <w:rPr>
              <w:b/>
              <w:bCs/>
              <w:color w:val="FFFFFF" w:themeColor="background1"/>
              <w:sz w:val="40"/>
              <w:szCs w:val="40"/>
            </w:rPr>
          </w:pPr>
        </w:p>
        <w:p w14:paraId="6B3A446E" w14:textId="77777777" w:rsidR="00F07AC3" w:rsidRDefault="00F07AC3" w:rsidP="00DA536F">
          <w:pPr>
            <w:jc w:val="both"/>
            <w:rPr>
              <w:b/>
              <w:bCs/>
              <w:color w:val="FFFFFF" w:themeColor="background1"/>
              <w:sz w:val="40"/>
              <w:szCs w:val="40"/>
            </w:rPr>
          </w:pPr>
        </w:p>
        <w:p w14:paraId="428F962F" w14:textId="77777777" w:rsidR="00F07AC3" w:rsidRDefault="00F07AC3" w:rsidP="00DA536F">
          <w:pPr>
            <w:jc w:val="both"/>
            <w:rPr>
              <w:b/>
              <w:bCs/>
              <w:color w:val="FFFFFF" w:themeColor="background1"/>
              <w:sz w:val="40"/>
              <w:szCs w:val="40"/>
            </w:rPr>
          </w:pPr>
        </w:p>
        <w:p w14:paraId="15350BBE" w14:textId="77777777" w:rsidR="00F07AC3" w:rsidRDefault="00F07AC3" w:rsidP="00DA536F">
          <w:pPr>
            <w:jc w:val="both"/>
            <w:rPr>
              <w:b/>
              <w:bCs/>
              <w:color w:val="FFFFFF" w:themeColor="background1"/>
              <w:sz w:val="40"/>
              <w:szCs w:val="40"/>
            </w:rPr>
          </w:pPr>
        </w:p>
        <w:p w14:paraId="19E604BC" w14:textId="77777777" w:rsidR="00F07AC3" w:rsidRDefault="00F07AC3" w:rsidP="00DA536F">
          <w:pPr>
            <w:jc w:val="both"/>
            <w:rPr>
              <w:b/>
              <w:bCs/>
              <w:color w:val="FFFFFF" w:themeColor="background1"/>
              <w:sz w:val="40"/>
              <w:szCs w:val="40"/>
            </w:rPr>
          </w:pPr>
        </w:p>
        <w:sdt>
          <w:sdtPr>
            <w:rPr>
              <w:rFonts w:asciiTheme="minorHAnsi" w:eastAsiaTheme="minorEastAsia" w:hAnsiTheme="minorHAnsi" w:cstheme="minorBidi"/>
              <w:b w:val="0"/>
              <w:color w:val="auto"/>
              <w:sz w:val="24"/>
              <w:szCs w:val="24"/>
            </w:rPr>
            <w:id w:val="187572122"/>
            <w:docPartObj>
              <w:docPartGallery w:val="Table of Contents"/>
              <w:docPartUnique/>
            </w:docPartObj>
          </w:sdtPr>
          <w:sdtEndPr>
            <w:rPr>
              <w:noProof/>
            </w:rPr>
          </w:sdtEndPr>
          <w:sdtContent>
            <w:p w14:paraId="1E2AC200" w14:textId="6358FF31" w:rsidR="00A029DB" w:rsidRPr="00C41C2B" w:rsidRDefault="00895877" w:rsidP="00C41C2B">
              <w:pPr>
                <w:pStyle w:val="Heading1"/>
                <w:spacing w:after="120"/>
                <w:rPr>
                  <w:noProof/>
                </w:rPr>
              </w:pPr>
              <w:r>
                <w:t>Table of Contents</w:t>
              </w:r>
              <w:r>
                <w:rPr>
                  <w:b w:val="0"/>
                </w:rPr>
                <w:fldChar w:fldCharType="begin"/>
              </w:r>
              <w:r>
                <w:instrText xml:space="preserve"> TOC \o "1-3" \h \z \u </w:instrText>
              </w:r>
              <w:r>
                <w:rPr>
                  <w:b w:val="0"/>
                </w:rPr>
                <w:fldChar w:fldCharType="separate"/>
              </w:r>
            </w:p>
            <w:p w14:paraId="6961333E" w14:textId="1B740964" w:rsidR="00A029DB" w:rsidRDefault="00A029DB" w:rsidP="00C41C2B">
              <w:pPr>
                <w:pStyle w:val="TOC1"/>
                <w:tabs>
                  <w:tab w:val="right" w:leader="dot" w:pos="10212"/>
                </w:tabs>
                <w:spacing w:after="240"/>
                <w:jc w:val="both"/>
                <w:rPr>
                  <w:noProof/>
                  <w:kern w:val="2"/>
                  <w:lang w:eastAsia="en-GB"/>
                  <w14:ligatures w14:val="standardContextual"/>
                </w:rPr>
              </w:pPr>
              <w:hyperlink w:anchor="_Toc195626944" w:history="1">
                <w:r w:rsidRPr="00FE784E">
                  <w:rPr>
                    <w:rStyle w:val="Hyperlink"/>
                    <w:noProof/>
                  </w:rPr>
                  <w:t>Introduction</w:t>
                </w:r>
                <w:r>
                  <w:rPr>
                    <w:noProof/>
                    <w:webHidden/>
                  </w:rPr>
                  <w:tab/>
                </w:r>
                <w:r>
                  <w:rPr>
                    <w:noProof/>
                    <w:webHidden/>
                  </w:rPr>
                  <w:fldChar w:fldCharType="begin"/>
                </w:r>
                <w:r>
                  <w:rPr>
                    <w:noProof/>
                    <w:webHidden/>
                  </w:rPr>
                  <w:instrText xml:space="preserve"> PAGEREF _Toc195626944 \h </w:instrText>
                </w:r>
                <w:r>
                  <w:rPr>
                    <w:noProof/>
                    <w:webHidden/>
                  </w:rPr>
                </w:r>
                <w:r>
                  <w:rPr>
                    <w:noProof/>
                    <w:webHidden/>
                  </w:rPr>
                  <w:fldChar w:fldCharType="separate"/>
                </w:r>
                <w:r w:rsidR="001A256E">
                  <w:rPr>
                    <w:noProof/>
                    <w:webHidden/>
                  </w:rPr>
                  <w:t>5</w:t>
                </w:r>
                <w:r>
                  <w:rPr>
                    <w:noProof/>
                    <w:webHidden/>
                  </w:rPr>
                  <w:fldChar w:fldCharType="end"/>
                </w:r>
              </w:hyperlink>
            </w:p>
            <w:p w14:paraId="50F7C909" w14:textId="63A355A1" w:rsidR="00A029DB" w:rsidRDefault="00A029DB" w:rsidP="00C41C2B">
              <w:pPr>
                <w:pStyle w:val="TOC1"/>
                <w:tabs>
                  <w:tab w:val="right" w:leader="dot" w:pos="10212"/>
                </w:tabs>
                <w:spacing w:after="240"/>
                <w:jc w:val="both"/>
                <w:rPr>
                  <w:noProof/>
                  <w:kern w:val="2"/>
                  <w:lang w:eastAsia="en-GB"/>
                  <w14:ligatures w14:val="standardContextual"/>
                </w:rPr>
              </w:pPr>
              <w:hyperlink w:anchor="_Toc195626945" w:history="1">
                <w:r w:rsidRPr="00FE784E">
                  <w:rPr>
                    <w:rStyle w:val="Hyperlink"/>
                    <w:noProof/>
                  </w:rPr>
                  <w:t>What is a BATc Permit Review?</w:t>
                </w:r>
                <w:r>
                  <w:rPr>
                    <w:noProof/>
                    <w:webHidden/>
                  </w:rPr>
                  <w:tab/>
                </w:r>
                <w:r>
                  <w:rPr>
                    <w:noProof/>
                    <w:webHidden/>
                  </w:rPr>
                  <w:fldChar w:fldCharType="begin"/>
                </w:r>
                <w:r>
                  <w:rPr>
                    <w:noProof/>
                    <w:webHidden/>
                  </w:rPr>
                  <w:instrText xml:space="preserve"> PAGEREF _Toc195626945 \h </w:instrText>
                </w:r>
                <w:r>
                  <w:rPr>
                    <w:noProof/>
                    <w:webHidden/>
                  </w:rPr>
                </w:r>
                <w:r>
                  <w:rPr>
                    <w:noProof/>
                    <w:webHidden/>
                  </w:rPr>
                  <w:fldChar w:fldCharType="separate"/>
                </w:r>
                <w:r w:rsidR="001A256E">
                  <w:rPr>
                    <w:noProof/>
                    <w:webHidden/>
                  </w:rPr>
                  <w:t>7</w:t>
                </w:r>
                <w:r>
                  <w:rPr>
                    <w:noProof/>
                    <w:webHidden/>
                  </w:rPr>
                  <w:fldChar w:fldCharType="end"/>
                </w:r>
              </w:hyperlink>
            </w:p>
            <w:p w14:paraId="4CE82D3E" w14:textId="14CE389D" w:rsidR="00A029DB" w:rsidRDefault="00A029DB" w:rsidP="00C41C2B">
              <w:pPr>
                <w:pStyle w:val="TOC1"/>
                <w:tabs>
                  <w:tab w:val="right" w:leader="dot" w:pos="10212"/>
                </w:tabs>
                <w:spacing w:after="240"/>
                <w:jc w:val="both"/>
                <w:rPr>
                  <w:noProof/>
                  <w:kern w:val="2"/>
                  <w:lang w:eastAsia="en-GB"/>
                  <w14:ligatures w14:val="standardContextual"/>
                </w:rPr>
              </w:pPr>
              <w:hyperlink w:anchor="_Toc195626946" w:history="1">
                <w:r w:rsidRPr="00FE784E">
                  <w:rPr>
                    <w:rStyle w:val="Hyperlink"/>
                    <w:noProof/>
                  </w:rPr>
                  <w:t>Objectives &amp; Outcomes</w:t>
                </w:r>
                <w:r>
                  <w:rPr>
                    <w:noProof/>
                    <w:webHidden/>
                  </w:rPr>
                  <w:tab/>
                </w:r>
                <w:r>
                  <w:rPr>
                    <w:noProof/>
                    <w:webHidden/>
                  </w:rPr>
                  <w:fldChar w:fldCharType="begin"/>
                </w:r>
                <w:r>
                  <w:rPr>
                    <w:noProof/>
                    <w:webHidden/>
                  </w:rPr>
                  <w:instrText xml:space="preserve"> PAGEREF _Toc195626946 \h </w:instrText>
                </w:r>
                <w:r>
                  <w:rPr>
                    <w:noProof/>
                    <w:webHidden/>
                  </w:rPr>
                </w:r>
                <w:r>
                  <w:rPr>
                    <w:noProof/>
                    <w:webHidden/>
                  </w:rPr>
                  <w:fldChar w:fldCharType="separate"/>
                </w:r>
                <w:r w:rsidR="001A256E">
                  <w:rPr>
                    <w:noProof/>
                    <w:webHidden/>
                  </w:rPr>
                  <w:t>7</w:t>
                </w:r>
                <w:r>
                  <w:rPr>
                    <w:noProof/>
                    <w:webHidden/>
                  </w:rPr>
                  <w:fldChar w:fldCharType="end"/>
                </w:r>
              </w:hyperlink>
            </w:p>
            <w:p w14:paraId="021C8E9A" w14:textId="44F8743C" w:rsidR="00A029DB" w:rsidRDefault="00A029DB" w:rsidP="00C41C2B">
              <w:pPr>
                <w:pStyle w:val="TOC2"/>
                <w:tabs>
                  <w:tab w:val="right" w:leader="dot" w:pos="10212"/>
                </w:tabs>
                <w:spacing w:after="240"/>
                <w:jc w:val="both"/>
                <w:rPr>
                  <w:noProof/>
                  <w:kern w:val="2"/>
                  <w:lang w:eastAsia="en-GB"/>
                  <w14:ligatures w14:val="standardContextual"/>
                </w:rPr>
              </w:pPr>
              <w:hyperlink w:anchor="_Toc195626947" w:history="1">
                <w:r w:rsidRPr="00FE784E">
                  <w:rPr>
                    <w:rStyle w:val="Hyperlink"/>
                    <w:noProof/>
                  </w:rPr>
                  <w:t>Outcomes</w:t>
                </w:r>
                <w:r>
                  <w:rPr>
                    <w:noProof/>
                    <w:webHidden/>
                  </w:rPr>
                  <w:tab/>
                </w:r>
                <w:r>
                  <w:rPr>
                    <w:noProof/>
                    <w:webHidden/>
                  </w:rPr>
                  <w:fldChar w:fldCharType="begin"/>
                </w:r>
                <w:r>
                  <w:rPr>
                    <w:noProof/>
                    <w:webHidden/>
                  </w:rPr>
                  <w:instrText xml:space="preserve"> PAGEREF _Toc195626947 \h </w:instrText>
                </w:r>
                <w:r>
                  <w:rPr>
                    <w:noProof/>
                    <w:webHidden/>
                  </w:rPr>
                </w:r>
                <w:r>
                  <w:rPr>
                    <w:noProof/>
                    <w:webHidden/>
                  </w:rPr>
                  <w:fldChar w:fldCharType="separate"/>
                </w:r>
                <w:r w:rsidR="001A256E">
                  <w:rPr>
                    <w:noProof/>
                    <w:webHidden/>
                  </w:rPr>
                  <w:t>9</w:t>
                </w:r>
                <w:r>
                  <w:rPr>
                    <w:noProof/>
                    <w:webHidden/>
                  </w:rPr>
                  <w:fldChar w:fldCharType="end"/>
                </w:r>
              </w:hyperlink>
            </w:p>
            <w:p w14:paraId="1C974CB7" w14:textId="15C4CEBF" w:rsidR="00A029DB" w:rsidRDefault="00A029DB" w:rsidP="00C41C2B">
              <w:pPr>
                <w:pStyle w:val="TOC1"/>
                <w:tabs>
                  <w:tab w:val="right" w:leader="dot" w:pos="10212"/>
                </w:tabs>
                <w:spacing w:after="240"/>
                <w:jc w:val="both"/>
                <w:rPr>
                  <w:noProof/>
                  <w:kern w:val="2"/>
                  <w:lang w:eastAsia="en-GB"/>
                  <w14:ligatures w14:val="standardContextual"/>
                </w:rPr>
              </w:pPr>
              <w:hyperlink w:anchor="_Toc195626948" w:history="1">
                <w:r w:rsidRPr="00FE784E">
                  <w:rPr>
                    <w:rStyle w:val="Hyperlink"/>
                    <w:noProof/>
                  </w:rPr>
                  <w:t>BAT Conclusions Documents</w:t>
                </w:r>
                <w:r>
                  <w:rPr>
                    <w:noProof/>
                    <w:webHidden/>
                  </w:rPr>
                  <w:tab/>
                </w:r>
                <w:r>
                  <w:rPr>
                    <w:noProof/>
                    <w:webHidden/>
                  </w:rPr>
                  <w:fldChar w:fldCharType="begin"/>
                </w:r>
                <w:r>
                  <w:rPr>
                    <w:noProof/>
                    <w:webHidden/>
                  </w:rPr>
                  <w:instrText xml:space="preserve"> PAGEREF _Toc195626948 \h </w:instrText>
                </w:r>
                <w:r>
                  <w:rPr>
                    <w:noProof/>
                    <w:webHidden/>
                  </w:rPr>
                </w:r>
                <w:r>
                  <w:rPr>
                    <w:noProof/>
                    <w:webHidden/>
                  </w:rPr>
                  <w:fldChar w:fldCharType="separate"/>
                </w:r>
                <w:r w:rsidR="001A256E">
                  <w:rPr>
                    <w:noProof/>
                    <w:webHidden/>
                  </w:rPr>
                  <w:t>10</w:t>
                </w:r>
                <w:r>
                  <w:rPr>
                    <w:noProof/>
                    <w:webHidden/>
                  </w:rPr>
                  <w:fldChar w:fldCharType="end"/>
                </w:r>
              </w:hyperlink>
            </w:p>
            <w:p w14:paraId="7366C6BF" w14:textId="0CB2689F" w:rsidR="00A029DB" w:rsidRDefault="00A029DB" w:rsidP="00C41C2B">
              <w:pPr>
                <w:pStyle w:val="TOC2"/>
                <w:tabs>
                  <w:tab w:val="right" w:leader="dot" w:pos="10212"/>
                </w:tabs>
                <w:spacing w:after="240"/>
                <w:jc w:val="both"/>
                <w:rPr>
                  <w:noProof/>
                  <w:kern w:val="2"/>
                  <w:lang w:eastAsia="en-GB"/>
                  <w14:ligatures w14:val="standardContextual"/>
                </w:rPr>
              </w:pPr>
              <w:hyperlink w:anchor="_Toc195626949" w:history="1">
                <w:r w:rsidRPr="00FE784E">
                  <w:rPr>
                    <w:rStyle w:val="Hyperlink"/>
                    <w:noProof/>
                  </w:rPr>
                  <w:t>Scope &amp; purpose</w:t>
                </w:r>
                <w:r>
                  <w:rPr>
                    <w:noProof/>
                    <w:webHidden/>
                  </w:rPr>
                  <w:tab/>
                </w:r>
                <w:r>
                  <w:rPr>
                    <w:noProof/>
                    <w:webHidden/>
                  </w:rPr>
                  <w:fldChar w:fldCharType="begin"/>
                </w:r>
                <w:r>
                  <w:rPr>
                    <w:noProof/>
                    <w:webHidden/>
                  </w:rPr>
                  <w:instrText xml:space="preserve"> PAGEREF _Toc195626949 \h </w:instrText>
                </w:r>
                <w:r>
                  <w:rPr>
                    <w:noProof/>
                    <w:webHidden/>
                  </w:rPr>
                </w:r>
                <w:r>
                  <w:rPr>
                    <w:noProof/>
                    <w:webHidden/>
                  </w:rPr>
                  <w:fldChar w:fldCharType="separate"/>
                </w:r>
                <w:r w:rsidR="001A256E">
                  <w:rPr>
                    <w:noProof/>
                    <w:webHidden/>
                  </w:rPr>
                  <w:t>10</w:t>
                </w:r>
                <w:r>
                  <w:rPr>
                    <w:noProof/>
                    <w:webHidden/>
                  </w:rPr>
                  <w:fldChar w:fldCharType="end"/>
                </w:r>
              </w:hyperlink>
            </w:p>
            <w:p w14:paraId="48E37C0E" w14:textId="76C7694D" w:rsidR="00A029DB" w:rsidRDefault="00A029DB" w:rsidP="00C41C2B">
              <w:pPr>
                <w:pStyle w:val="TOC2"/>
                <w:tabs>
                  <w:tab w:val="right" w:leader="dot" w:pos="10212"/>
                </w:tabs>
                <w:spacing w:after="240"/>
                <w:jc w:val="both"/>
                <w:rPr>
                  <w:noProof/>
                  <w:kern w:val="2"/>
                  <w:lang w:eastAsia="en-GB"/>
                  <w14:ligatures w14:val="standardContextual"/>
                </w:rPr>
              </w:pPr>
              <w:hyperlink w:anchor="_Toc195626950" w:history="1">
                <w:r w:rsidRPr="00FE784E">
                  <w:rPr>
                    <w:rStyle w:val="Hyperlink"/>
                    <w:noProof/>
                  </w:rPr>
                  <w:t>Structure &amp; Content</w:t>
                </w:r>
                <w:r>
                  <w:rPr>
                    <w:noProof/>
                    <w:webHidden/>
                  </w:rPr>
                  <w:tab/>
                </w:r>
                <w:r>
                  <w:rPr>
                    <w:noProof/>
                    <w:webHidden/>
                  </w:rPr>
                  <w:fldChar w:fldCharType="begin"/>
                </w:r>
                <w:r>
                  <w:rPr>
                    <w:noProof/>
                    <w:webHidden/>
                  </w:rPr>
                  <w:instrText xml:space="preserve"> PAGEREF _Toc195626950 \h </w:instrText>
                </w:r>
                <w:r>
                  <w:rPr>
                    <w:noProof/>
                    <w:webHidden/>
                  </w:rPr>
                </w:r>
                <w:r>
                  <w:rPr>
                    <w:noProof/>
                    <w:webHidden/>
                  </w:rPr>
                  <w:fldChar w:fldCharType="separate"/>
                </w:r>
                <w:r w:rsidR="001A256E">
                  <w:rPr>
                    <w:noProof/>
                    <w:webHidden/>
                  </w:rPr>
                  <w:t>12</w:t>
                </w:r>
                <w:r>
                  <w:rPr>
                    <w:noProof/>
                    <w:webHidden/>
                  </w:rPr>
                  <w:fldChar w:fldCharType="end"/>
                </w:r>
              </w:hyperlink>
            </w:p>
            <w:p w14:paraId="5A1B09DD" w14:textId="756F4CC2" w:rsidR="00A029DB" w:rsidRDefault="00A029DB" w:rsidP="00C41C2B">
              <w:pPr>
                <w:pStyle w:val="TOC1"/>
                <w:tabs>
                  <w:tab w:val="right" w:leader="dot" w:pos="10212"/>
                </w:tabs>
                <w:spacing w:after="240"/>
                <w:jc w:val="both"/>
                <w:rPr>
                  <w:noProof/>
                  <w:kern w:val="2"/>
                  <w:lang w:eastAsia="en-GB"/>
                  <w14:ligatures w14:val="standardContextual"/>
                </w:rPr>
              </w:pPr>
              <w:hyperlink w:anchor="_Toc195626951" w:history="1">
                <w:r w:rsidRPr="00FE784E">
                  <w:rPr>
                    <w:rStyle w:val="Hyperlink"/>
                    <w:noProof/>
                  </w:rPr>
                  <w:t>Timescales</w:t>
                </w:r>
                <w:r>
                  <w:rPr>
                    <w:noProof/>
                    <w:webHidden/>
                  </w:rPr>
                  <w:tab/>
                </w:r>
                <w:r>
                  <w:rPr>
                    <w:noProof/>
                    <w:webHidden/>
                  </w:rPr>
                  <w:fldChar w:fldCharType="begin"/>
                </w:r>
                <w:r>
                  <w:rPr>
                    <w:noProof/>
                    <w:webHidden/>
                  </w:rPr>
                  <w:instrText xml:space="preserve"> PAGEREF _Toc195626951 \h </w:instrText>
                </w:r>
                <w:r>
                  <w:rPr>
                    <w:noProof/>
                    <w:webHidden/>
                  </w:rPr>
                </w:r>
                <w:r>
                  <w:rPr>
                    <w:noProof/>
                    <w:webHidden/>
                  </w:rPr>
                  <w:fldChar w:fldCharType="separate"/>
                </w:r>
                <w:r w:rsidR="001A256E">
                  <w:rPr>
                    <w:noProof/>
                    <w:webHidden/>
                  </w:rPr>
                  <w:t>13</w:t>
                </w:r>
                <w:r>
                  <w:rPr>
                    <w:noProof/>
                    <w:webHidden/>
                  </w:rPr>
                  <w:fldChar w:fldCharType="end"/>
                </w:r>
              </w:hyperlink>
            </w:p>
            <w:p w14:paraId="5A5648E3" w14:textId="5FB4942B" w:rsidR="00A029DB" w:rsidRDefault="00A029DB" w:rsidP="00C41C2B">
              <w:pPr>
                <w:pStyle w:val="TOC1"/>
                <w:tabs>
                  <w:tab w:val="right" w:leader="dot" w:pos="10212"/>
                </w:tabs>
                <w:spacing w:after="240"/>
                <w:jc w:val="both"/>
                <w:rPr>
                  <w:noProof/>
                  <w:kern w:val="2"/>
                  <w:lang w:eastAsia="en-GB"/>
                  <w14:ligatures w14:val="standardContextual"/>
                </w:rPr>
              </w:pPr>
              <w:hyperlink w:anchor="_Toc195626952" w:history="1">
                <w:r w:rsidRPr="00FE784E">
                  <w:rPr>
                    <w:rStyle w:val="Hyperlink"/>
                    <w:noProof/>
                  </w:rPr>
                  <w:t>Step 1 – Commencement of Review</w:t>
                </w:r>
                <w:r>
                  <w:rPr>
                    <w:noProof/>
                    <w:webHidden/>
                  </w:rPr>
                  <w:tab/>
                </w:r>
                <w:r>
                  <w:rPr>
                    <w:noProof/>
                    <w:webHidden/>
                  </w:rPr>
                  <w:fldChar w:fldCharType="begin"/>
                </w:r>
                <w:r>
                  <w:rPr>
                    <w:noProof/>
                    <w:webHidden/>
                  </w:rPr>
                  <w:instrText xml:space="preserve"> PAGEREF _Toc195626952 \h </w:instrText>
                </w:r>
                <w:r>
                  <w:rPr>
                    <w:noProof/>
                    <w:webHidden/>
                  </w:rPr>
                </w:r>
                <w:r>
                  <w:rPr>
                    <w:noProof/>
                    <w:webHidden/>
                  </w:rPr>
                  <w:fldChar w:fldCharType="separate"/>
                </w:r>
                <w:r w:rsidR="001A256E">
                  <w:rPr>
                    <w:noProof/>
                    <w:webHidden/>
                  </w:rPr>
                  <w:t>14</w:t>
                </w:r>
                <w:r>
                  <w:rPr>
                    <w:noProof/>
                    <w:webHidden/>
                  </w:rPr>
                  <w:fldChar w:fldCharType="end"/>
                </w:r>
              </w:hyperlink>
            </w:p>
            <w:p w14:paraId="3B3711FE" w14:textId="1E312310" w:rsidR="00A029DB" w:rsidRDefault="00A029DB" w:rsidP="00C41C2B">
              <w:pPr>
                <w:pStyle w:val="TOC2"/>
                <w:tabs>
                  <w:tab w:val="right" w:leader="dot" w:pos="10212"/>
                </w:tabs>
                <w:spacing w:after="240"/>
                <w:jc w:val="both"/>
                <w:rPr>
                  <w:noProof/>
                  <w:kern w:val="2"/>
                  <w:lang w:eastAsia="en-GB"/>
                  <w14:ligatures w14:val="standardContextual"/>
                </w:rPr>
              </w:pPr>
              <w:hyperlink w:anchor="_Toc195626953" w:history="1">
                <w:r w:rsidRPr="00FE784E">
                  <w:rPr>
                    <w:rStyle w:val="Hyperlink"/>
                    <w:noProof/>
                  </w:rPr>
                  <w:t>Scope of a review</w:t>
                </w:r>
                <w:r>
                  <w:rPr>
                    <w:noProof/>
                    <w:webHidden/>
                  </w:rPr>
                  <w:tab/>
                </w:r>
                <w:r>
                  <w:rPr>
                    <w:noProof/>
                    <w:webHidden/>
                  </w:rPr>
                  <w:fldChar w:fldCharType="begin"/>
                </w:r>
                <w:r>
                  <w:rPr>
                    <w:noProof/>
                    <w:webHidden/>
                  </w:rPr>
                  <w:instrText xml:space="preserve"> PAGEREF _Toc195626953 \h </w:instrText>
                </w:r>
                <w:r>
                  <w:rPr>
                    <w:noProof/>
                    <w:webHidden/>
                  </w:rPr>
                </w:r>
                <w:r>
                  <w:rPr>
                    <w:noProof/>
                    <w:webHidden/>
                  </w:rPr>
                  <w:fldChar w:fldCharType="separate"/>
                </w:r>
                <w:r w:rsidR="001A256E">
                  <w:rPr>
                    <w:noProof/>
                    <w:webHidden/>
                  </w:rPr>
                  <w:t>14</w:t>
                </w:r>
                <w:r>
                  <w:rPr>
                    <w:noProof/>
                    <w:webHidden/>
                  </w:rPr>
                  <w:fldChar w:fldCharType="end"/>
                </w:r>
              </w:hyperlink>
            </w:p>
            <w:p w14:paraId="4ABA1BD5" w14:textId="7F724F5D" w:rsidR="00A029DB" w:rsidRDefault="00A029DB" w:rsidP="00C41C2B">
              <w:pPr>
                <w:pStyle w:val="TOC2"/>
                <w:tabs>
                  <w:tab w:val="right" w:leader="dot" w:pos="10212"/>
                </w:tabs>
                <w:spacing w:after="240"/>
                <w:jc w:val="both"/>
                <w:rPr>
                  <w:noProof/>
                  <w:kern w:val="2"/>
                  <w:lang w:eastAsia="en-GB"/>
                  <w14:ligatures w14:val="standardContextual"/>
                </w:rPr>
              </w:pPr>
              <w:hyperlink w:anchor="_Toc195626954" w:history="1">
                <w:r w:rsidRPr="00FE784E">
                  <w:rPr>
                    <w:rStyle w:val="Hyperlink"/>
                    <w:noProof/>
                  </w:rPr>
                  <w:t>Determining main activity</w:t>
                </w:r>
                <w:r>
                  <w:rPr>
                    <w:noProof/>
                    <w:webHidden/>
                  </w:rPr>
                  <w:tab/>
                </w:r>
                <w:r>
                  <w:rPr>
                    <w:noProof/>
                    <w:webHidden/>
                  </w:rPr>
                  <w:fldChar w:fldCharType="begin"/>
                </w:r>
                <w:r>
                  <w:rPr>
                    <w:noProof/>
                    <w:webHidden/>
                  </w:rPr>
                  <w:instrText xml:space="preserve"> PAGEREF _Toc195626954 \h </w:instrText>
                </w:r>
                <w:r>
                  <w:rPr>
                    <w:noProof/>
                    <w:webHidden/>
                  </w:rPr>
                </w:r>
                <w:r>
                  <w:rPr>
                    <w:noProof/>
                    <w:webHidden/>
                  </w:rPr>
                  <w:fldChar w:fldCharType="separate"/>
                </w:r>
                <w:r w:rsidR="001A256E">
                  <w:rPr>
                    <w:noProof/>
                    <w:webHidden/>
                  </w:rPr>
                  <w:t>16</w:t>
                </w:r>
                <w:r>
                  <w:rPr>
                    <w:noProof/>
                    <w:webHidden/>
                  </w:rPr>
                  <w:fldChar w:fldCharType="end"/>
                </w:r>
              </w:hyperlink>
            </w:p>
            <w:p w14:paraId="60CA9D0F" w14:textId="508CC225" w:rsidR="00A029DB" w:rsidRDefault="00A029DB" w:rsidP="00C41C2B">
              <w:pPr>
                <w:pStyle w:val="TOC2"/>
                <w:tabs>
                  <w:tab w:val="right" w:leader="dot" w:pos="10212"/>
                </w:tabs>
                <w:spacing w:after="240"/>
                <w:jc w:val="both"/>
                <w:rPr>
                  <w:noProof/>
                  <w:kern w:val="2"/>
                  <w:lang w:eastAsia="en-GB"/>
                  <w14:ligatures w14:val="standardContextual"/>
                </w:rPr>
              </w:pPr>
              <w:hyperlink w:anchor="_Toc195626955" w:history="1">
                <w:r w:rsidRPr="00FE784E">
                  <w:rPr>
                    <w:rStyle w:val="Hyperlink"/>
                    <w:noProof/>
                  </w:rPr>
                  <w:t>Mechanism for reviews</w:t>
                </w:r>
                <w:r>
                  <w:rPr>
                    <w:noProof/>
                    <w:webHidden/>
                  </w:rPr>
                  <w:tab/>
                </w:r>
                <w:r>
                  <w:rPr>
                    <w:noProof/>
                    <w:webHidden/>
                  </w:rPr>
                  <w:fldChar w:fldCharType="begin"/>
                </w:r>
                <w:r>
                  <w:rPr>
                    <w:noProof/>
                    <w:webHidden/>
                  </w:rPr>
                  <w:instrText xml:space="preserve"> PAGEREF _Toc195626955 \h </w:instrText>
                </w:r>
                <w:r>
                  <w:rPr>
                    <w:noProof/>
                    <w:webHidden/>
                  </w:rPr>
                </w:r>
                <w:r>
                  <w:rPr>
                    <w:noProof/>
                    <w:webHidden/>
                  </w:rPr>
                  <w:fldChar w:fldCharType="separate"/>
                </w:r>
                <w:r w:rsidR="001A256E">
                  <w:rPr>
                    <w:noProof/>
                    <w:webHidden/>
                  </w:rPr>
                  <w:t>16</w:t>
                </w:r>
                <w:r>
                  <w:rPr>
                    <w:noProof/>
                    <w:webHidden/>
                  </w:rPr>
                  <w:fldChar w:fldCharType="end"/>
                </w:r>
              </w:hyperlink>
            </w:p>
            <w:p w14:paraId="57F82AC1" w14:textId="7BB90302" w:rsidR="00A029DB" w:rsidRDefault="00A029DB" w:rsidP="00C41C2B">
              <w:pPr>
                <w:pStyle w:val="TOC1"/>
                <w:tabs>
                  <w:tab w:val="right" w:leader="dot" w:pos="10212"/>
                </w:tabs>
                <w:spacing w:after="240"/>
                <w:jc w:val="both"/>
                <w:rPr>
                  <w:noProof/>
                  <w:kern w:val="2"/>
                  <w:lang w:eastAsia="en-GB"/>
                  <w14:ligatures w14:val="standardContextual"/>
                </w:rPr>
              </w:pPr>
              <w:hyperlink w:anchor="_Toc195626956" w:history="1">
                <w:r w:rsidRPr="00FE784E">
                  <w:rPr>
                    <w:rStyle w:val="Hyperlink"/>
                    <w:noProof/>
                  </w:rPr>
                  <w:t>Step 2 – Stage 1 BAT Assessment – review existing information</w:t>
                </w:r>
                <w:r>
                  <w:rPr>
                    <w:noProof/>
                    <w:webHidden/>
                  </w:rPr>
                  <w:tab/>
                </w:r>
                <w:r>
                  <w:rPr>
                    <w:noProof/>
                    <w:webHidden/>
                  </w:rPr>
                  <w:fldChar w:fldCharType="begin"/>
                </w:r>
                <w:r>
                  <w:rPr>
                    <w:noProof/>
                    <w:webHidden/>
                  </w:rPr>
                  <w:instrText xml:space="preserve"> PAGEREF _Toc195626956 \h </w:instrText>
                </w:r>
                <w:r>
                  <w:rPr>
                    <w:noProof/>
                    <w:webHidden/>
                  </w:rPr>
                </w:r>
                <w:r>
                  <w:rPr>
                    <w:noProof/>
                    <w:webHidden/>
                  </w:rPr>
                  <w:fldChar w:fldCharType="separate"/>
                </w:r>
                <w:r w:rsidR="001A256E">
                  <w:rPr>
                    <w:noProof/>
                    <w:webHidden/>
                  </w:rPr>
                  <w:t>17</w:t>
                </w:r>
                <w:r>
                  <w:rPr>
                    <w:noProof/>
                    <w:webHidden/>
                  </w:rPr>
                  <w:fldChar w:fldCharType="end"/>
                </w:r>
              </w:hyperlink>
            </w:p>
            <w:p w14:paraId="668D13F0" w14:textId="0E4E0108" w:rsidR="00A029DB" w:rsidRDefault="00A029DB" w:rsidP="00C41C2B">
              <w:pPr>
                <w:pStyle w:val="TOC2"/>
                <w:tabs>
                  <w:tab w:val="right" w:leader="dot" w:pos="10212"/>
                </w:tabs>
                <w:spacing w:after="240"/>
                <w:jc w:val="both"/>
                <w:rPr>
                  <w:noProof/>
                  <w:kern w:val="2"/>
                  <w:lang w:eastAsia="en-GB"/>
                  <w14:ligatures w14:val="standardContextual"/>
                </w:rPr>
              </w:pPr>
              <w:hyperlink w:anchor="_Toc195626957" w:history="1">
                <w:r w:rsidRPr="00FE784E">
                  <w:rPr>
                    <w:rStyle w:val="Hyperlink"/>
                    <w:noProof/>
                  </w:rPr>
                  <w:t>Best Available Techniques</w:t>
                </w:r>
                <w:r>
                  <w:rPr>
                    <w:noProof/>
                    <w:webHidden/>
                  </w:rPr>
                  <w:tab/>
                </w:r>
                <w:r>
                  <w:rPr>
                    <w:noProof/>
                    <w:webHidden/>
                  </w:rPr>
                  <w:fldChar w:fldCharType="begin"/>
                </w:r>
                <w:r>
                  <w:rPr>
                    <w:noProof/>
                    <w:webHidden/>
                  </w:rPr>
                  <w:instrText xml:space="preserve"> PAGEREF _Toc195626957 \h </w:instrText>
                </w:r>
                <w:r>
                  <w:rPr>
                    <w:noProof/>
                    <w:webHidden/>
                  </w:rPr>
                </w:r>
                <w:r>
                  <w:rPr>
                    <w:noProof/>
                    <w:webHidden/>
                  </w:rPr>
                  <w:fldChar w:fldCharType="separate"/>
                </w:r>
                <w:r w:rsidR="001A256E">
                  <w:rPr>
                    <w:noProof/>
                    <w:webHidden/>
                  </w:rPr>
                  <w:t>17</w:t>
                </w:r>
                <w:r>
                  <w:rPr>
                    <w:noProof/>
                    <w:webHidden/>
                  </w:rPr>
                  <w:fldChar w:fldCharType="end"/>
                </w:r>
              </w:hyperlink>
            </w:p>
            <w:p w14:paraId="4D42D89F" w14:textId="77498D28" w:rsidR="00A029DB" w:rsidRDefault="00A029DB" w:rsidP="00C41C2B">
              <w:pPr>
                <w:pStyle w:val="TOC2"/>
                <w:tabs>
                  <w:tab w:val="right" w:leader="dot" w:pos="10212"/>
                </w:tabs>
                <w:spacing w:after="240"/>
                <w:jc w:val="both"/>
                <w:rPr>
                  <w:noProof/>
                  <w:kern w:val="2"/>
                  <w:lang w:eastAsia="en-GB"/>
                  <w14:ligatures w14:val="standardContextual"/>
                </w:rPr>
              </w:pPr>
              <w:hyperlink w:anchor="_Toc195626958" w:history="1">
                <w:r w:rsidRPr="00FE784E">
                  <w:rPr>
                    <w:rStyle w:val="Hyperlink"/>
                    <w:noProof/>
                  </w:rPr>
                  <w:t>Baseline Reports</w:t>
                </w:r>
                <w:r>
                  <w:rPr>
                    <w:noProof/>
                    <w:webHidden/>
                  </w:rPr>
                  <w:tab/>
                </w:r>
                <w:r>
                  <w:rPr>
                    <w:noProof/>
                    <w:webHidden/>
                  </w:rPr>
                  <w:fldChar w:fldCharType="begin"/>
                </w:r>
                <w:r>
                  <w:rPr>
                    <w:noProof/>
                    <w:webHidden/>
                  </w:rPr>
                  <w:instrText xml:space="preserve"> PAGEREF _Toc195626958 \h </w:instrText>
                </w:r>
                <w:r>
                  <w:rPr>
                    <w:noProof/>
                    <w:webHidden/>
                  </w:rPr>
                </w:r>
                <w:r>
                  <w:rPr>
                    <w:noProof/>
                    <w:webHidden/>
                  </w:rPr>
                  <w:fldChar w:fldCharType="separate"/>
                </w:r>
                <w:r w:rsidR="001A256E">
                  <w:rPr>
                    <w:noProof/>
                    <w:webHidden/>
                  </w:rPr>
                  <w:t>17</w:t>
                </w:r>
                <w:r>
                  <w:rPr>
                    <w:noProof/>
                    <w:webHidden/>
                  </w:rPr>
                  <w:fldChar w:fldCharType="end"/>
                </w:r>
              </w:hyperlink>
            </w:p>
            <w:p w14:paraId="187D1DF6" w14:textId="1CEEB311" w:rsidR="00A029DB" w:rsidRDefault="00A029DB" w:rsidP="00C41C2B">
              <w:pPr>
                <w:pStyle w:val="TOC2"/>
                <w:tabs>
                  <w:tab w:val="right" w:leader="dot" w:pos="10212"/>
                </w:tabs>
                <w:spacing w:after="240"/>
                <w:jc w:val="both"/>
                <w:rPr>
                  <w:noProof/>
                  <w:kern w:val="2"/>
                  <w:lang w:eastAsia="en-GB"/>
                  <w14:ligatures w14:val="standardContextual"/>
                </w:rPr>
              </w:pPr>
              <w:hyperlink w:anchor="_Toc195626959" w:history="1">
                <w:r w:rsidRPr="00FE784E">
                  <w:rPr>
                    <w:rStyle w:val="Hyperlink"/>
                    <w:noProof/>
                  </w:rPr>
                  <w:t>Compliant Permit Conditions</w:t>
                </w:r>
                <w:r>
                  <w:rPr>
                    <w:noProof/>
                    <w:webHidden/>
                  </w:rPr>
                  <w:tab/>
                </w:r>
                <w:r>
                  <w:rPr>
                    <w:noProof/>
                    <w:webHidden/>
                  </w:rPr>
                  <w:fldChar w:fldCharType="begin"/>
                </w:r>
                <w:r>
                  <w:rPr>
                    <w:noProof/>
                    <w:webHidden/>
                  </w:rPr>
                  <w:instrText xml:space="preserve"> PAGEREF _Toc195626959 \h </w:instrText>
                </w:r>
                <w:r>
                  <w:rPr>
                    <w:noProof/>
                    <w:webHidden/>
                  </w:rPr>
                </w:r>
                <w:r>
                  <w:rPr>
                    <w:noProof/>
                    <w:webHidden/>
                  </w:rPr>
                  <w:fldChar w:fldCharType="separate"/>
                </w:r>
                <w:r w:rsidR="001A256E">
                  <w:rPr>
                    <w:noProof/>
                    <w:webHidden/>
                  </w:rPr>
                  <w:t>18</w:t>
                </w:r>
                <w:r>
                  <w:rPr>
                    <w:noProof/>
                    <w:webHidden/>
                  </w:rPr>
                  <w:fldChar w:fldCharType="end"/>
                </w:r>
              </w:hyperlink>
            </w:p>
            <w:p w14:paraId="12F323D0" w14:textId="04BD1A99" w:rsidR="00A029DB" w:rsidRDefault="00A029DB" w:rsidP="00C41C2B">
              <w:pPr>
                <w:pStyle w:val="TOC2"/>
                <w:tabs>
                  <w:tab w:val="right" w:leader="dot" w:pos="10212"/>
                </w:tabs>
                <w:spacing w:after="240"/>
                <w:jc w:val="both"/>
                <w:rPr>
                  <w:noProof/>
                  <w:kern w:val="2"/>
                  <w:lang w:eastAsia="en-GB"/>
                  <w14:ligatures w14:val="standardContextual"/>
                </w:rPr>
              </w:pPr>
              <w:hyperlink w:anchor="_Toc195626960" w:history="1">
                <w:r w:rsidRPr="00FE784E">
                  <w:rPr>
                    <w:rStyle w:val="Hyperlink"/>
                    <w:noProof/>
                  </w:rPr>
                  <w:t>BATc Reviews and Medium Combustion Plant on Installations</w:t>
                </w:r>
                <w:r>
                  <w:rPr>
                    <w:noProof/>
                    <w:webHidden/>
                  </w:rPr>
                  <w:tab/>
                </w:r>
                <w:r>
                  <w:rPr>
                    <w:noProof/>
                    <w:webHidden/>
                  </w:rPr>
                  <w:fldChar w:fldCharType="begin"/>
                </w:r>
                <w:r>
                  <w:rPr>
                    <w:noProof/>
                    <w:webHidden/>
                  </w:rPr>
                  <w:instrText xml:space="preserve"> PAGEREF _Toc195626960 \h </w:instrText>
                </w:r>
                <w:r>
                  <w:rPr>
                    <w:noProof/>
                    <w:webHidden/>
                  </w:rPr>
                </w:r>
                <w:r>
                  <w:rPr>
                    <w:noProof/>
                    <w:webHidden/>
                  </w:rPr>
                  <w:fldChar w:fldCharType="separate"/>
                </w:r>
                <w:r w:rsidR="001A256E">
                  <w:rPr>
                    <w:noProof/>
                    <w:webHidden/>
                  </w:rPr>
                  <w:t>18</w:t>
                </w:r>
                <w:r>
                  <w:rPr>
                    <w:noProof/>
                    <w:webHidden/>
                  </w:rPr>
                  <w:fldChar w:fldCharType="end"/>
                </w:r>
              </w:hyperlink>
            </w:p>
            <w:p w14:paraId="14B193F1" w14:textId="60B582E0" w:rsidR="00A029DB" w:rsidRDefault="00A029DB" w:rsidP="00C41C2B">
              <w:pPr>
                <w:pStyle w:val="TOC1"/>
                <w:tabs>
                  <w:tab w:val="right" w:leader="dot" w:pos="10212"/>
                </w:tabs>
                <w:spacing w:after="240"/>
                <w:jc w:val="both"/>
                <w:rPr>
                  <w:noProof/>
                  <w:kern w:val="2"/>
                  <w:lang w:eastAsia="en-GB"/>
                  <w14:ligatures w14:val="standardContextual"/>
                </w:rPr>
              </w:pPr>
              <w:hyperlink w:anchor="_Toc195626961" w:history="1">
                <w:r w:rsidRPr="00FE784E">
                  <w:rPr>
                    <w:rStyle w:val="Hyperlink"/>
                    <w:noProof/>
                  </w:rPr>
                  <w:t>Step 3 – Stage 1 BAT Assessment – gathering additional information</w:t>
                </w:r>
                <w:r>
                  <w:rPr>
                    <w:noProof/>
                    <w:webHidden/>
                  </w:rPr>
                  <w:tab/>
                </w:r>
                <w:r>
                  <w:rPr>
                    <w:noProof/>
                    <w:webHidden/>
                  </w:rPr>
                  <w:fldChar w:fldCharType="begin"/>
                </w:r>
                <w:r>
                  <w:rPr>
                    <w:noProof/>
                    <w:webHidden/>
                  </w:rPr>
                  <w:instrText xml:space="preserve"> PAGEREF _Toc195626961 \h </w:instrText>
                </w:r>
                <w:r>
                  <w:rPr>
                    <w:noProof/>
                    <w:webHidden/>
                  </w:rPr>
                </w:r>
                <w:r>
                  <w:rPr>
                    <w:noProof/>
                    <w:webHidden/>
                  </w:rPr>
                  <w:fldChar w:fldCharType="separate"/>
                </w:r>
                <w:r w:rsidR="001A256E">
                  <w:rPr>
                    <w:noProof/>
                    <w:webHidden/>
                  </w:rPr>
                  <w:t>20</w:t>
                </w:r>
                <w:r>
                  <w:rPr>
                    <w:noProof/>
                    <w:webHidden/>
                  </w:rPr>
                  <w:fldChar w:fldCharType="end"/>
                </w:r>
              </w:hyperlink>
            </w:p>
            <w:p w14:paraId="7B8552EC" w14:textId="29CC1A4E" w:rsidR="00A029DB" w:rsidRDefault="00A029DB" w:rsidP="00C41C2B">
              <w:pPr>
                <w:pStyle w:val="TOC2"/>
                <w:tabs>
                  <w:tab w:val="right" w:leader="dot" w:pos="10212"/>
                </w:tabs>
                <w:spacing w:after="240"/>
                <w:jc w:val="both"/>
                <w:rPr>
                  <w:noProof/>
                  <w:kern w:val="2"/>
                  <w:lang w:eastAsia="en-GB"/>
                  <w14:ligatures w14:val="standardContextual"/>
                </w:rPr>
              </w:pPr>
              <w:hyperlink w:anchor="_Toc195626962" w:history="1">
                <w:r w:rsidRPr="00FE784E">
                  <w:rPr>
                    <w:rStyle w:val="Hyperlink"/>
                    <w:noProof/>
                  </w:rPr>
                  <w:t>Duty of the Operator</w:t>
                </w:r>
                <w:r>
                  <w:rPr>
                    <w:noProof/>
                    <w:webHidden/>
                  </w:rPr>
                  <w:tab/>
                </w:r>
                <w:r>
                  <w:rPr>
                    <w:noProof/>
                    <w:webHidden/>
                  </w:rPr>
                  <w:fldChar w:fldCharType="begin"/>
                </w:r>
                <w:r>
                  <w:rPr>
                    <w:noProof/>
                    <w:webHidden/>
                  </w:rPr>
                  <w:instrText xml:space="preserve"> PAGEREF _Toc195626962 \h </w:instrText>
                </w:r>
                <w:r>
                  <w:rPr>
                    <w:noProof/>
                    <w:webHidden/>
                  </w:rPr>
                </w:r>
                <w:r>
                  <w:rPr>
                    <w:noProof/>
                    <w:webHidden/>
                  </w:rPr>
                  <w:fldChar w:fldCharType="separate"/>
                </w:r>
                <w:r w:rsidR="001A256E">
                  <w:rPr>
                    <w:noProof/>
                    <w:webHidden/>
                  </w:rPr>
                  <w:t>20</w:t>
                </w:r>
                <w:r>
                  <w:rPr>
                    <w:noProof/>
                    <w:webHidden/>
                  </w:rPr>
                  <w:fldChar w:fldCharType="end"/>
                </w:r>
              </w:hyperlink>
            </w:p>
            <w:p w14:paraId="44CB27C9" w14:textId="277AABED" w:rsidR="00A029DB" w:rsidRDefault="00A029DB" w:rsidP="00C41C2B">
              <w:pPr>
                <w:pStyle w:val="TOC2"/>
                <w:tabs>
                  <w:tab w:val="right" w:leader="dot" w:pos="10212"/>
                </w:tabs>
                <w:spacing w:after="240"/>
                <w:jc w:val="both"/>
                <w:rPr>
                  <w:noProof/>
                  <w:kern w:val="2"/>
                  <w:lang w:eastAsia="en-GB"/>
                  <w14:ligatures w14:val="standardContextual"/>
                </w:rPr>
              </w:pPr>
              <w:hyperlink w:anchor="_Toc195626963" w:history="1">
                <w:r w:rsidRPr="00FE784E">
                  <w:rPr>
                    <w:rStyle w:val="Hyperlink"/>
                    <w:noProof/>
                  </w:rPr>
                  <w:t>Duty of SEPA</w:t>
                </w:r>
                <w:r>
                  <w:rPr>
                    <w:noProof/>
                    <w:webHidden/>
                  </w:rPr>
                  <w:tab/>
                </w:r>
                <w:r>
                  <w:rPr>
                    <w:noProof/>
                    <w:webHidden/>
                  </w:rPr>
                  <w:fldChar w:fldCharType="begin"/>
                </w:r>
                <w:r>
                  <w:rPr>
                    <w:noProof/>
                    <w:webHidden/>
                  </w:rPr>
                  <w:instrText xml:space="preserve"> PAGEREF _Toc195626963 \h </w:instrText>
                </w:r>
                <w:r>
                  <w:rPr>
                    <w:noProof/>
                    <w:webHidden/>
                  </w:rPr>
                </w:r>
                <w:r>
                  <w:rPr>
                    <w:noProof/>
                    <w:webHidden/>
                  </w:rPr>
                  <w:fldChar w:fldCharType="separate"/>
                </w:r>
                <w:r w:rsidR="001A256E">
                  <w:rPr>
                    <w:noProof/>
                    <w:webHidden/>
                  </w:rPr>
                  <w:t>21</w:t>
                </w:r>
                <w:r>
                  <w:rPr>
                    <w:noProof/>
                    <w:webHidden/>
                  </w:rPr>
                  <w:fldChar w:fldCharType="end"/>
                </w:r>
              </w:hyperlink>
            </w:p>
            <w:p w14:paraId="40C23431" w14:textId="35DB132A" w:rsidR="00A029DB" w:rsidRDefault="00A029DB" w:rsidP="00C41C2B">
              <w:pPr>
                <w:pStyle w:val="TOC2"/>
                <w:tabs>
                  <w:tab w:val="right" w:leader="dot" w:pos="10212"/>
                </w:tabs>
                <w:spacing w:after="240"/>
                <w:jc w:val="both"/>
                <w:rPr>
                  <w:noProof/>
                  <w:kern w:val="2"/>
                  <w:lang w:eastAsia="en-GB"/>
                  <w14:ligatures w14:val="standardContextual"/>
                </w:rPr>
              </w:pPr>
              <w:hyperlink w:anchor="_Toc195626964" w:history="1">
                <w:r w:rsidRPr="00FE784E">
                  <w:rPr>
                    <w:rStyle w:val="Hyperlink"/>
                    <w:noProof/>
                  </w:rPr>
                  <w:t>Information Requests</w:t>
                </w:r>
                <w:r>
                  <w:rPr>
                    <w:noProof/>
                    <w:webHidden/>
                  </w:rPr>
                  <w:tab/>
                </w:r>
                <w:r>
                  <w:rPr>
                    <w:noProof/>
                    <w:webHidden/>
                  </w:rPr>
                  <w:fldChar w:fldCharType="begin"/>
                </w:r>
                <w:r>
                  <w:rPr>
                    <w:noProof/>
                    <w:webHidden/>
                  </w:rPr>
                  <w:instrText xml:space="preserve"> PAGEREF _Toc195626964 \h </w:instrText>
                </w:r>
                <w:r>
                  <w:rPr>
                    <w:noProof/>
                    <w:webHidden/>
                  </w:rPr>
                </w:r>
                <w:r>
                  <w:rPr>
                    <w:noProof/>
                    <w:webHidden/>
                  </w:rPr>
                  <w:fldChar w:fldCharType="separate"/>
                </w:r>
                <w:r w:rsidR="001A256E">
                  <w:rPr>
                    <w:noProof/>
                    <w:webHidden/>
                  </w:rPr>
                  <w:t>22</w:t>
                </w:r>
                <w:r>
                  <w:rPr>
                    <w:noProof/>
                    <w:webHidden/>
                  </w:rPr>
                  <w:fldChar w:fldCharType="end"/>
                </w:r>
              </w:hyperlink>
            </w:p>
            <w:p w14:paraId="75592466" w14:textId="7F91178D" w:rsidR="00A029DB" w:rsidRDefault="00A029DB" w:rsidP="00C41C2B">
              <w:pPr>
                <w:pStyle w:val="TOC1"/>
                <w:tabs>
                  <w:tab w:val="right" w:leader="dot" w:pos="10212"/>
                </w:tabs>
                <w:spacing w:after="240"/>
                <w:jc w:val="both"/>
                <w:rPr>
                  <w:noProof/>
                  <w:kern w:val="2"/>
                  <w:lang w:eastAsia="en-GB"/>
                  <w14:ligatures w14:val="standardContextual"/>
                </w:rPr>
              </w:pPr>
              <w:hyperlink w:anchor="_Toc195626965" w:history="1">
                <w:r w:rsidRPr="00FE784E">
                  <w:rPr>
                    <w:rStyle w:val="Hyperlink"/>
                    <w:noProof/>
                  </w:rPr>
                  <w:t>Step 4 – Stage 2 BAT Assessment – BAT Assessment &amp; Optioneering</w:t>
                </w:r>
                <w:r>
                  <w:rPr>
                    <w:noProof/>
                    <w:webHidden/>
                  </w:rPr>
                  <w:tab/>
                </w:r>
                <w:r>
                  <w:rPr>
                    <w:noProof/>
                    <w:webHidden/>
                  </w:rPr>
                  <w:fldChar w:fldCharType="begin"/>
                </w:r>
                <w:r>
                  <w:rPr>
                    <w:noProof/>
                    <w:webHidden/>
                  </w:rPr>
                  <w:instrText xml:space="preserve"> PAGEREF _Toc195626965 \h </w:instrText>
                </w:r>
                <w:r>
                  <w:rPr>
                    <w:noProof/>
                    <w:webHidden/>
                  </w:rPr>
                </w:r>
                <w:r>
                  <w:rPr>
                    <w:noProof/>
                    <w:webHidden/>
                  </w:rPr>
                  <w:fldChar w:fldCharType="separate"/>
                </w:r>
                <w:r w:rsidR="001A256E">
                  <w:rPr>
                    <w:noProof/>
                    <w:webHidden/>
                  </w:rPr>
                  <w:t>23</w:t>
                </w:r>
                <w:r>
                  <w:rPr>
                    <w:noProof/>
                    <w:webHidden/>
                  </w:rPr>
                  <w:fldChar w:fldCharType="end"/>
                </w:r>
              </w:hyperlink>
            </w:p>
            <w:p w14:paraId="77D64CC5" w14:textId="3C6ADA7D" w:rsidR="00A029DB" w:rsidRDefault="00A029DB" w:rsidP="00C41C2B">
              <w:pPr>
                <w:pStyle w:val="TOC2"/>
                <w:tabs>
                  <w:tab w:val="right" w:leader="dot" w:pos="10212"/>
                </w:tabs>
                <w:spacing w:after="240"/>
                <w:jc w:val="both"/>
                <w:rPr>
                  <w:noProof/>
                  <w:kern w:val="2"/>
                  <w:lang w:eastAsia="en-GB"/>
                  <w14:ligatures w14:val="standardContextual"/>
                </w:rPr>
              </w:pPr>
              <w:hyperlink w:anchor="_Toc195626966" w:history="1">
                <w:r w:rsidRPr="00FE784E">
                  <w:rPr>
                    <w:rStyle w:val="Hyperlink"/>
                    <w:noProof/>
                  </w:rPr>
                  <w:t>What is BAT?</w:t>
                </w:r>
                <w:r>
                  <w:rPr>
                    <w:noProof/>
                    <w:webHidden/>
                  </w:rPr>
                  <w:tab/>
                </w:r>
                <w:r>
                  <w:rPr>
                    <w:noProof/>
                    <w:webHidden/>
                  </w:rPr>
                  <w:fldChar w:fldCharType="begin"/>
                </w:r>
                <w:r>
                  <w:rPr>
                    <w:noProof/>
                    <w:webHidden/>
                  </w:rPr>
                  <w:instrText xml:space="preserve"> PAGEREF _Toc195626966 \h </w:instrText>
                </w:r>
                <w:r>
                  <w:rPr>
                    <w:noProof/>
                    <w:webHidden/>
                  </w:rPr>
                </w:r>
                <w:r>
                  <w:rPr>
                    <w:noProof/>
                    <w:webHidden/>
                  </w:rPr>
                  <w:fldChar w:fldCharType="separate"/>
                </w:r>
                <w:r w:rsidR="001A256E">
                  <w:rPr>
                    <w:noProof/>
                    <w:webHidden/>
                  </w:rPr>
                  <w:t>23</w:t>
                </w:r>
                <w:r>
                  <w:rPr>
                    <w:noProof/>
                    <w:webHidden/>
                  </w:rPr>
                  <w:fldChar w:fldCharType="end"/>
                </w:r>
              </w:hyperlink>
            </w:p>
            <w:p w14:paraId="734C1B2C" w14:textId="3240C929" w:rsidR="00A029DB" w:rsidRDefault="00A029DB" w:rsidP="00C41C2B">
              <w:pPr>
                <w:pStyle w:val="TOC2"/>
                <w:tabs>
                  <w:tab w:val="right" w:leader="dot" w:pos="10212"/>
                </w:tabs>
                <w:spacing w:after="240"/>
                <w:jc w:val="both"/>
                <w:rPr>
                  <w:noProof/>
                  <w:kern w:val="2"/>
                  <w:lang w:eastAsia="en-GB"/>
                  <w14:ligatures w14:val="standardContextual"/>
                </w:rPr>
              </w:pPr>
              <w:hyperlink w:anchor="_Toc195626967" w:history="1">
                <w:r w:rsidRPr="00FE784E">
                  <w:rPr>
                    <w:rStyle w:val="Hyperlink"/>
                    <w:noProof/>
                  </w:rPr>
                  <w:t>BAT Assessment</w:t>
                </w:r>
                <w:r>
                  <w:rPr>
                    <w:noProof/>
                    <w:webHidden/>
                  </w:rPr>
                  <w:tab/>
                </w:r>
                <w:r>
                  <w:rPr>
                    <w:noProof/>
                    <w:webHidden/>
                  </w:rPr>
                  <w:fldChar w:fldCharType="begin"/>
                </w:r>
                <w:r>
                  <w:rPr>
                    <w:noProof/>
                    <w:webHidden/>
                  </w:rPr>
                  <w:instrText xml:space="preserve"> PAGEREF _Toc195626967 \h </w:instrText>
                </w:r>
                <w:r>
                  <w:rPr>
                    <w:noProof/>
                    <w:webHidden/>
                  </w:rPr>
                </w:r>
                <w:r>
                  <w:rPr>
                    <w:noProof/>
                    <w:webHidden/>
                  </w:rPr>
                  <w:fldChar w:fldCharType="separate"/>
                </w:r>
                <w:r w:rsidR="001A256E">
                  <w:rPr>
                    <w:noProof/>
                    <w:webHidden/>
                  </w:rPr>
                  <w:t>24</w:t>
                </w:r>
                <w:r>
                  <w:rPr>
                    <w:noProof/>
                    <w:webHidden/>
                  </w:rPr>
                  <w:fldChar w:fldCharType="end"/>
                </w:r>
              </w:hyperlink>
            </w:p>
            <w:p w14:paraId="49BB5FB2" w14:textId="76B6DB10" w:rsidR="00A029DB" w:rsidRDefault="00A029DB" w:rsidP="00C41C2B">
              <w:pPr>
                <w:pStyle w:val="TOC2"/>
                <w:tabs>
                  <w:tab w:val="right" w:leader="dot" w:pos="10212"/>
                </w:tabs>
                <w:spacing w:after="240"/>
                <w:jc w:val="both"/>
                <w:rPr>
                  <w:noProof/>
                  <w:kern w:val="2"/>
                  <w:lang w:eastAsia="en-GB"/>
                  <w14:ligatures w14:val="standardContextual"/>
                </w:rPr>
              </w:pPr>
              <w:hyperlink w:anchor="_Toc195626968" w:history="1">
                <w:r w:rsidRPr="00FE784E">
                  <w:rPr>
                    <w:rStyle w:val="Hyperlink"/>
                    <w:noProof/>
                  </w:rPr>
                  <w:t>BAT Assessment Tools</w:t>
                </w:r>
                <w:r>
                  <w:rPr>
                    <w:noProof/>
                    <w:webHidden/>
                  </w:rPr>
                  <w:tab/>
                </w:r>
                <w:r>
                  <w:rPr>
                    <w:noProof/>
                    <w:webHidden/>
                  </w:rPr>
                  <w:fldChar w:fldCharType="begin"/>
                </w:r>
                <w:r>
                  <w:rPr>
                    <w:noProof/>
                    <w:webHidden/>
                  </w:rPr>
                  <w:instrText xml:space="preserve"> PAGEREF _Toc195626968 \h </w:instrText>
                </w:r>
                <w:r>
                  <w:rPr>
                    <w:noProof/>
                    <w:webHidden/>
                  </w:rPr>
                </w:r>
                <w:r>
                  <w:rPr>
                    <w:noProof/>
                    <w:webHidden/>
                  </w:rPr>
                  <w:fldChar w:fldCharType="separate"/>
                </w:r>
                <w:r w:rsidR="001A256E">
                  <w:rPr>
                    <w:noProof/>
                    <w:webHidden/>
                  </w:rPr>
                  <w:t>26</w:t>
                </w:r>
                <w:r>
                  <w:rPr>
                    <w:noProof/>
                    <w:webHidden/>
                  </w:rPr>
                  <w:fldChar w:fldCharType="end"/>
                </w:r>
              </w:hyperlink>
            </w:p>
            <w:p w14:paraId="3452FB1E" w14:textId="7CEB9CFF" w:rsidR="00A029DB" w:rsidRDefault="00A029DB" w:rsidP="00C41C2B">
              <w:pPr>
                <w:pStyle w:val="TOC2"/>
                <w:tabs>
                  <w:tab w:val="right" w:leader="dot" w:pos="10212"/>
                </w:tabs>
                <w:spacing w:after="240"/>
                <w:jc w:val="both"/>
                <w:rPr>
                  <w:noProof/>
                  <w:kern w:val="2"/>
                  <w:lang w:eastAsia="en-GB"/>
                  <w14:ligatures w14:val="standardContextual"/>
                </w:rPr>
              </w:pPr>
              <w:hyperlink w:anchor="_Toc195626969" w:history="1">
                <w:r w:rsidRPr="00FE784E">
                  <w:rPr>
                    <w:rStyle w:val="Hyperlink"/>
                    <w:noProof/>
                  </w:rPr>
                  <w:t>Considering a Range of Options</w:t>
                </w:r>
                <w:r>
                  <w:rPr>
                    <w:noProof/>
                    <w:webHidden/>
                  </w:rPr>
                  <w:tab/>
                </w:r>
                <w:r>
                  <w:rPr>
                    <w:noProof/>
                    <w:webHidden/>
                  </w:rPr>
                  <w:fldChar w:fldCharType="begin"/>
                </w:r>
                <w:r>
                  <w:rPr>
                    <w:noProof/>
                    <w:webHidden/>
                  </w:rPr>
                  <w:instrText xml:space="preserve"> PAGEREF _Toc195626969 \h </w:instrText>
                </w:r>
                <w:r>
                  <w:rPr>
                    <w:noProof/>
                    <w:webHidden/>
                  </w:rPr>
                </w:r>
                <w:r>
                  <w:rPr>
                    <w:noProof/>
                    <w:webHidden/>
                  </w:rPr>
                  <w:fldChar w:fldCharType="separate"/>
                </w:r>
                <w:r w:rsidR="001A256E">
                  <w:rPr>
                    <w:noProof/>
                    <w:webHidden/>
                  </w:rPr>
                  <w:t>26</w:t>
                </w:r>
                <w:r>
                  <w:rPr>
                    <w:noProof/>
                    <w:webHidden/>
                  </w:rPr>
                  <w:fldChar w:fldCharType="end"/>
                </w:r>
              </w:hyperlink>
            </w:p>
            <w:p w14:paraId="6E78845D" w14:textId="56F41414" w:rsidR="00A029DB" w:rsidRDefault="00A029DB" w:rsidP="00C41C2B">
              <w:pPr>
                <w:pStyle w:val="TOC2"/>
                <w:tabs>
                  <w:tab w:val="right" w:leader="dot" w:pos="10212"/>
                </w:tabs>
                <w:spacing w:after="240"/>
                <w:jc w:val="both"/>
                <w:rPr>
                  <w:noProof/>
                  <w:kern w:val="2"/>
                  <w:lang w:eastAsia="en-GB"/>
                  <w14:ligatures w14:val="standardContextual"/>
                </w:rPr>
              </w:pPr>
              <w:hyperlink w:anchor="_Toc195626970" w:history="1">
                <w:r w:rsidRPr="00FE784E">
                  <w:rPr>
                    <w:rStyle w:val="Hyperlink"/>
                    <w:noProof/>
                  </w:rPr>
                  <w:t>Optioneering, Costs and Benefits</w:t>
                </w:r>
                <w:r>
                  <w:rPr>
                    <w:noProof/>
                    <w:webHidden/>
                  </w:rPr>
                  <w:tab/>
                </w:r>
                <w:r>
                  <w:rPr>
                    <w:noProof/>
                    <w:webHidden/>
                  </w:rPr>
                  <w:fldChar w:fldCharType="begin"/>
                </w:r>
                <w:r>
                  <w:rPr>
                    <w:noProof/>
                    <w:webHidden/>
                  </w:rPr>
                  <w:instrText xml:space="preserve"> PAGEREF _Toc195626970 \h </w:instrText>
                </w:r>
                <w:r>
                  <w:rPr>
                    <w:noProof/>
                    <w:webHidden/>
                  </w:rPr>
                </w:r>
                <w:r>
                  <w:rPr>
                    <w:noProof/>
                    <w:webHidden/>
                  </w:rPr>
                  <w:fldChar w:fldCharType="separate"/>
                </w:r>
                <w:r w:rsidR="001A256E">
                  <w:rPr>
                    <w:noProof/>
                    <w:webHidden/>
                  </w:rPr>
                  <w:t>27</w:t>
                </w:r>
                <w:r>
                  <w:rPr>
                    <w:noProof/>
                    <w:webHidden/>
                  </w:rPr>
                  <w:fldChar w:fldCharType="end"/>
                </w:r>
              </w:hyperlink>
            </w:p>
            <w:p w14:paraId="207AD527" w14:textId="48B4C76A" w:rsidR="00A029DB" w:rsidRDefault="00A029DB" w:rsidP="00C41C2B">
              <w:pPr>
                <w:pStyle w:val="TOC2"/>
                <w:tabs>
                  <w:tab w:val="right" w:leader="dot" w:pos="10212"/>
                </w:tabs>
                <w:spacing w:after="240"/>
                <w:jc w:val="both"/>
                <w:rPr>
                  <w:noProof/>
                  <w:kern w:val="2"/>
                  <w:lang w:eastAsia="en-GB"/>
                  <w14:ligatures w14:val="standardContextual"/>
                </w:rPr>
              </w:pPr>
              <w:hyperlink w:anchor="_Toc195626971" w:history="1">
                <w:r w:rsidRPr="00FE784E">
                  <w:rPr>
                    <w:rStyle w:val="Hyperlink"/>
                    <w:noProof/>
                  </w:rPr>
                  <w:t>Justification for Preferred Option</w:t>
                </w:r>
                <w:r>
                  <w:rPr>
                    <w:noProof/>
                    <w:webHidden/>
                  </w:rPr>
                  <w:tab/>
                </w:r>
                <w:r>
                  <w:rPr>
                    <w:noProof/>
                    <w:webHidden/>
                  </w:rPr>
                  <w:fldChar w:fldCharType="begin"/>
                </w:r>
                <w:r>
                  <w:rPr>
                    <w:noProof/>
                    <w:webHidden/>
                  </w:rPr>
                  <w:instrText xml:space="preserve"> PAGEREF _Toc195626971 \h </w:instrText>
                </w:r>
                <w:r>
                  <w:rPr>
                    <w:noProof/>
                    <w:webHidden/>
                  </w:rPr>
                </w:r>
                <w:r>
                  <w:rPr>
                    <w:noProof/>
                    <w:webHidden/>
                  </w:rPr>
                  <w:fldChar w:fldCharType="separate"/>
                </w:r>
                <w:r w:rsidR="001A256E">
                  <w:rPr>
                    <w:noProof/>
                    <w:webHidden/>
                  </w:rPr>
                  <w:t>28</w:t>
                </w:r>
                <w:r>
                  <w:rPr>
                    <w:noProof/>
                    <w:webHidden/>
                  </w:rPr>
                  <w:fldChar w:fldCharType="end"/>
                </w:r>
              </w:hyperlink>
            </w:p>
            <w:p w14:paraId="23500C44" w14:textId="0E68E6AF" w:rsidR="00A029DB" w:rsidRDefault="00A029DB" w:rsidP="00C41C2B">
              <w:pPr>
                <w:pStyle w:val="TOC1"/>
                <w:tabs>
                  <w:tab w:val="right" w:leader="dot" w:pos="10212"/>
                </w:tabs>
                <w:spacing w:after="240"/>
                <w:jc w:val="both"/>
                <w:rPr>
                  <w:noProof/>
                  <w:kern w:val="2"/>
                  <w:lang w:eastAsia="en-GB"/>
                  <w14:ligatures w14:val="standardContextual"/>
                </w:rPr>
              </w:pPr>
              <w:hyperlink w:anchor="_Toc195626972" w:history="1">
                <w:r w:rsidRPr="00FE784E">
                  <w:rPr>
                    <w:rStyle w:val="Hyperlink"/>
                    <w:noProof/>
                  </w:rPr>
                  <w:t>Step 5 – Stage 2 BAT Assessment – Derogation Appraisal</w:t>
                </w:r>
                <w:r>
                  <w:rPr>
                    <w:noProof/>
                    <w:webHidden/>
                  </w:rPr>
                  <w:tab/>
                </w:r>
                <w:r>
                  <w:rPr>
                    <w:noProof/>
                    <w:webHidden/>
                  </w:rPr>
                  <w:fldChar w:fldCharType="begin"/>
                </w:r>
                <w:r>
                  <w:rPr>
                    <w:noProof/>
                    <w:webHidden/>
                  </w:rPr>
                  <w:instrText xml:space="preserve"> PAGEREF _Toc195626972 \h </w:instrText>
                </w:r>
                <w:r>
                  <w:rPr>
                    <w:noProof/>
                    <w:webHidden/>
                  </w:rPr>
                </w:r>
                <w:r>
                  <w:rPr>
                    <w:noProof/>
                    <w:webHidden/>
                  </w:rPr>
                  <w:fldChar w:fldCharType="separate"/>
                </w:r>
                <w:r w:rsidR="001A256E">
                  <w:rPr>
                    <w:noProof/>
                    <w:webHidden/>
                  </w:rPr>
                  <w:t>29</w:t>
                </w:r>
                <w:r>
                  <w:rPr>
                    <w:noProof/>
                    <w:webHidden/>
                  </w:rPr>
                  <w:fldChar w:fldCharType="end"/>
                </w:r>
              </w:hyperlink>
            </w:p>
            <w:p w14:paraId="50F35109" w14:textId="235A1D79" w:rsidR="00A029DB" w:rsidRDefault="00A029DB" w:rsidP="00C41C2B">
              <w:pPr>
                <w:pStyle w:val="TOC1"/>
                <w:tabs>
                  <w:tab w:val="right" w:leader="dot" w:pos="10212"/>
                </w:tabs>
                <w:spacing w:after="240"/>
                <w:jc w:val="both"/>
                <w:rPr>
                  <w:noProof/>
                  <w:kern w:val="2"/>
                  <w:lang w:eastAsia="en-GB"/>
                  <w14:ligatures w14:val="standardContextual"/>
                </w:rPr>
              </w:pPr>
              <w:hyperlink w:anchor="_Toc195626973" w:history="1">
                <w:r w:rsidRPr="00FE784E">
                  <w:rPr>
                    <w:rStyle w:val="Hyperlink"/>
                    <w:noProof/>
                  </w:rPr>
                  <w:t>Step 6 – Stage 3 BAT Assessment – BAT Confirmation</w:t>
                </w:r>
                <w:r>
                  <w:rPr>
                    <w:noProof/>
                    <w:webHidden/>
                  </w:rPr>
                  <w:tab/>
                </w:r>
                <w:r>
                  <w:rPr>
                    <w:noProof/>
                    <w:webHidden/>
                  </w:rPr>
                  <w:fldChar w:fldCharType="begin"/>
                </w:r>
                <w:r>
                  <w:rPr>
                    <w:noProof/>
                    <w:webHidden/>
                  </w:rPr>
                  <w:instrText xml:space="preserve"> PAGEREF _Toc195626973 \h </w:instrText>
                </w:r>
                <w:r>
                  <w:rPr>
                    <w:noProof/>
                    <w:webHidden/>
                  </w:rPr>
                </w:r>
                <w:r>
                  <w:rPr>
                    <w:noProof/>
                    <w:webHidden/>
                  </w:rPr>
                  <w:fldChar w:fldCharType="separate"/>
                </w:r>
                <w:r w:rsidR="001A256E">
                  <w:rPr>
                    <w:noProof/>
                    <w:webHidden/>
                  </w:rPr>
                  <w:t>30</w:t>
                </w:r>
                <w:r>
                  <w:rPr>
                    <w:noProof/>
                    <w:webHidden/>
                  </w:rPr>
                  <w:fldChar w:fldCharType="end"/>
                </w:r>
              </w:hyperlink>
            </w:p>
            <w:p w14:paraId="2178B949" w14:textId="60C6B39F" w:rsidR="00A029DB" w:rsidRDefault="00A029DB" w:rsidP="00C41C2B">
              <w:pPr>
                <w:pStyle w:val="TOC1"/>
                <w:tabs>
                  <w:tab w:val="right" w:leader="dot" w:pos="10212"/>
                </w:tabs>
                <w:spacing w:after="240"/>
                <w:jc w:val="both"/>
                <w:rPr>
                  <w:noProof/>
                  <w:kern w:val="2"/>
                  <w:lang w:eastAsia="en-GB"/>
                  <w14:ligatures w14:val="standardContextual"/>
                </w:rPr>
              </w:pPr>
              <w:hyperlink w:anchor="_Toc195626974" w:history="1">
                <w:r w:rsidRPr="00FE784E">
                  <w:rPr>
                    <w:rStyle w:val="Hyperlink"/>
                    <w:noProof/>
                  </w:rPr>
                  <w:t>SEPA Approach to BAT</w:t>
                </w:r>
                <w:r>
                  <w:rPr>
                    <w:noProof/>
                    <w:webHidden/>
                  </w:rPr>
                  <w:tab/>
                </w:r>
                <w:r>
                  <w:rPr>
                    <w:noProof/>
                    <w:webHidden/>
                  </w:rPr>
                  <w:fldChar w:fldCharType="begin"/>
                </w:r>
                <w:r>
                  <w:rPr>
                    <w:noProof/>
                    <w:webHidden/>
                  </w:rPr>
                  <w:instrText xml:space="preserve"> PAGEREF _Toc195626974 \h </w:instrText>
                </w:r>
                <w:r>
                  <w:rPr>
                    <w:noProof/>
                    <w:webHidden/>
                  </w:rPr>
                </w:r>
                <w:r>
                  <w:rPr>
                    <w:noProof/>
                    <w:webHidden/>
                  </w:rPr>
                  <w:fldChar w:fldCharType="separate"/>
                </w:r>
                <w:r w:rsidR="001A256E">
                  <w:rPr>
                    <w:noProof/>
                    <w:webHidden/>
                  </w:rPr>
                  <w:t>30</w:t>
                </w:r>
                <w:r>
                  <w:rPr>
                    <w:noProof/>
                    <w:webHidden/>
                  </w:rPr>
                  <w:fldChar w:fldCharType="end"/>
                </w:r>
              </w:hyperlink>
            </w:p>
            <w:p w14:paraId="2F68F864" w14:textId="414723A9" w:rsidR="00A029DB" w:rsidRDefault="00A029DB" w:rsidP="00C41C2B">
              <w:pPr>
                <w:pStyle w:val="TOC2"/>
                <w:tabs>
                  <w:tab w:val="right" w:leader="dot" w:pos="10212"/>
                </w:tabs>
                <w:spacing w:after="240"/>
                <w:jc w:val="both"/>
                <w:rPr>
                  <w:noProof/>
                  <w:kern w:val="2"/>
                  <w:lang w:eastAsia="en-GB"/>
                  <w14:ligatures w14:val="standardContextual"/>
                </w:rPr>
              </w:pPr>
              <w:hyperlink w:anchor="_Toc195626975" w:history="1">
                <w:r w:rsidRPr="00FE784E">
                  <w:rPr>
                    <w:rStyle w:val="Hyperlink"/>
                    <w:noProof/>
                  </w:rPr>
                  <w:t>BAT and Inspections</w:t>
                </w:r>
                <w:r>
                  <w:rPr>
                    <w:noProof/>
                    <w:webHidden/>
                  </w:rPr>
                  <w:tab/>
                </w:r>
                <w:r>
                  <w:rPr>
                    <w:noProof/>
                    <w:webHidden/>
                  </w:rPr>
                  <w:fldChar w:fldCharType="begin"/>
                </w:r>
                <w:r>
                  <w:rPr>
                    <w:noProof/>
                    <w:webHidden/>
                  </w:rPr>
                  <w:instrText xml:space="preserve"> PAGEREF _Toc195626975 \h </w:instrText>
                </w:r>
                <w:r>
                  <w:rPr>
                    <w:noProof/>
                    <w:webHidden/>
                  </w:rPr>
                </w:r>
                <w:r>
                  <w:rPr>
                    <w:noProof/>
                    <w:webHidden/>
                  </w:rPr>
                  <w:fldChar w:fldCharType="separate"/>
                </w:r>
                <w:r w:rsidR="001A256E">
                  <w:rPr>
                    <w:noProof/>
                    <w:webHidden/>
                  </w:rPr>
                  <w:t>30</w:t>
                </w:r>
                <w:r>
                  <w:rPr>
                    <w:noProof/>
                    <w:webHidden/>
                  </w:rPr>
                  <w:fldChar w:fldCharType="end"/>
                </w:r>
              </w:hyperlink>
            </w:p>
            <w:p w14:paraId="690DEA1E" w14:textId="667E9E81" w:rsidR="00A029DB" w:rsidRDefault="00A029DB" w:rsidP="00C41C2B">
              <w:pPr>
                <w:pStyle w:val="TOC1"/>
                <w:tabs>
                  <w:tab w:val="right" w:leader="dot" w:pos="10212"/>
                </w:tabs>
                <w:spacing w:after="240"/>
                <w:jc w:val="both"/>
                <w:rPr>
                  <w:noProof/>
                  <w:kern w:val="2"/>
                  <w:lang w:eastAsia="en-GB"/>
                  <w14:ligatures w14:val="standardContextual"/>
                </w:rPr>
              </w:pPr>
              <w:hyperlink w:anchor="_Toc195626976" w:history="1">
                <w:r w:rsidRPr="00FE784E">
                  <w:rPr>
                    <w:rStyle w:val="Hyperlink"/>
                    <w:noProof/>
                  </w:rPr>
                  <w:t>Consultation and Public Access to Information</w:t>
                </w:r>
                <w:r>
                  <w:rPr>
                    <w:noProof/>
                    <w:webHidden/>
                  </w:rPr>
                  <w:tab/>
                </w:r>
                <w:r>
                  <w:rPr>
                    <w:noProof/>
                    <w:webHidden/>
                  </w:rPr>
                  <w:fldChar w:fldCharType="begin"/>
                </w:r>
                <w:r>
                  <w:rPr>
                    <w:noProof/>
                    <w:webHidden/>
                  </w:rPr>
                  <w:instrText xml:space="preserve"> PAGEREF _Toc195626976 \h </w:instrText>
                </w:r>
                <w:r>
                  <w:rPr>
                    <w:noProof/>
                    <w:webHidden/>
                  </w:rPr>
                </w:r>
                <w:r>
                  <w:rPr>
                    <w:noProof/>
                    <w:webHidden/>
                  </w:rPr>
                  <w:fldChar w:fldCharType="separate"/>
                </w:r>
                <w:r w:rsidR="001A256E">
                  <w:rPr>
                    <w:noProof/>
                    <w:webHidden/>
                  </w:rPr>
                  <w:t>31</w:t>
                </w:r>
                <w:r>
                  <w:rPr>
                    <w:noProof/>
                    <w:webHidden/>
                  </w:rPr>
                  <w:fldChar w:fldCharType="end"/>
                </w:r>
              </w:hyperlink>
            </w:p>
            <w:p w14:paraId="55DB8047" w14:textId="46F34253" w:rsidR="00A029DB" w:rsidRDefault="00A029DB" w:rsidP="00C41C2B">
              <w:pPr>
                <w:pStyle w:val="TOC2"/>
                <w:tabs>
                  <w:tab w:val="right" w:leader="dot" w:pos="10212"/>
                </w:tabs>
                <w:spacing w:after="240"/>
                <w:jc w:val="both"/>
                <w:rPr>
                  <w:noProof/>
                  <w:kern w:val="2"/>
                  <w:lang w:eastAsia="en-GB"/>
                  <w14:ligatures w14:val="standardContextual"/>
                </w:rPr>
              </w:pPr>
              <w:hyperlink w:anchor="_Toc195626977" w:history="1">
                <w:r w:rsidRPr="00FE784E">
                  <w:rPr>
                    <w:rStyle w:val="Hyperlink"/>
                    <w:noProof/>
                  </w:rPr>
                  <w:t>Consultation</w:t>
                </w:r>
                <w:r>
                  <w:rPr>
                    <w:noProof/>
                    <w:webHidden/>
                  </w:rPr>
                  <w:tab/>
                </w:r>
                <w:r>
                  <w:rPr>
                    <w:noProof/>
                    <w:webHidden/>
                  </w:rPr>
                  <w:fldChar w:fldCharType="begin"/>
                </w:r>
                <w:r>
                  <w:rPr>
                    <w:noProof/>
                    <w:webHidden/>
                  </w:rPr>
                  <w:instrText xml:space="preserve"> PAGEREF _Toc195626977 \h </w:instrText>
                </w:r>
                <w:r>
                  <w:rPr>
                    <w:noProof/>
                    <w:webHidden/>
                  </w:rPr>
                </w:r>
                <w:r>
                  <w:rPr>
                    <w:noProof/>
                    <w:webHidden/>
                  </w:rPr>
                  <w:fldChar w:fldCharType="separate"/>
                </w:r>
                <w:r w:rsidR="001A256E">
                  <w:rPr>
                    <w:noProof/>
                    <w:webHidden/>
                  </w:rPr>
                  <w:t>31</w:t>
                </w:r>
                <w:r>
                  <w:rPr>
                    <w:noProof/>
                    <w:webHidden/>
                  </w:rPr>
                  <w:fldChar w:fldCharType="end"/>
                </w:r>
              </w:hyperlink>
            </w:p>
            <w:p w14:paraId="60D4F58A" w14:textId="66897546" w:rsidR="00A029DB" w:rsidRDefault="00A029DB" w:rsidP="00C41C2B">
              <w:pPr>
                <w:pStyle w:val="TOC2"/>
                <w:tabs>
                  <w:tab w:val="right" w:leader="dot" w:pos="10212"/>
                </w:tabs>
                <w:spacing w:after="240"/>
                <w:jc w:val="both"/>
                <w:rPr>
                  <w:noProof/>
                  <w:kern w:val="2"/>
                  <w:lang w:eastAsia="en-GB"/>
                  <w14:ligatures w14:val="standardContextual"/>
                </w:rPr>
              </w:pPr>
              <w:hyperlink w:anchor="_Toc195626978" w:history="1">
                <w:r w:rsidRPr="00FE784E">
                  <w:rPr>
                    <w:rStyle w:val="Hyperlink"/>
                    <w:noProof/>
                  </w:rPr>
                  <w:t>Public Access to Information</w:t>
                </w:r>
                <w:r>
                  <w:rPr>
                    <w:noProof/>
                    <w:webHidden/>
                  </w:rPr>
                  <w:tab/>
                </w:r>
                <w:r>
                  <w:rPr>
                    <w:noProof/>
                    <w:webHidden/>
                  </w:rPr>
                  <w:fldChar w:fldCharType="begin"/>
                </w:r>
                <w:r>
                  <w:rPr>
                    <w:noProof/>
                    <w:webHidden/>
                  </w:rPr>
                  <w:instrText xml:space="preserve"> PAGEREF _Toc195626978 \h </w:instrText>
                </w:r>
                <w:r>
                  <w:rPr>
                    <w:noProof/>
                    <w:webHidden/>
                  </w:rPr>
                </w:r>
                <w:r>
                  <w:rPr>
                    <w:noProof/>
                    <w:webHidden/>
                  </w:rPr>
                  <w:fldChar w:fldCharType="separate"/>
                </w:r>
                <w:r w:rsidR="001A256E">
                  <w:rPr>
                    <w:noProof/>
                    <w:webHidden/>
                  </w:rPr>
                  <w:t>31</w:t>
                </w:r>
                <w:r>
                  <w:rPr>
                    <w:noProof/>
                    <w:webHidden/>
                  </w:rPr>
                  <w:fldChar w:fldCharType="end"/>
                </w:r>
              </w:hyperlink>
            </w:p>
            <w:p w14:paraId="64DC8F7D" w14:textId="54054311" w:rsidR="00A029DB" w:rsidRDefault="00A029DB" w:rsidP="00C41C2B">
              <w:pPr>
                <w:pStyle w:val="TOC1"/>
                <w:tabs>
                  <w:tab w:val="right" w:leader="dot" w:pos="10212"/>
                </w:tabs>
                <w:spacing w:after="240"/>
                <w:jc w:val="both"/>
                <w:rPr>
                  <w:noProof/>
                  <w:kern w:val="2"/>
                  <w:lang w:eastAsia="en-GB"/>
                  <w14:ligatures w14:val="standardContextual"/>
                </w:rPr>
              </w:pPr>
              <w:hyperlink w:anchor="_Toc195626979" w:history="1">
                <w:r w:rsidRPr="00FE784E">
                  <w:rPr>
                    <w:rStyle w:val="Hyperlink"/>
                    <w:noProof/>
                  </w:rPr>
                  <w:t>Charging</w:t>
                </w:r>
                <w:r>
                  <w:rPr>
                    <w:noProof/>
                    <w:webHidden/>
                  </w:rPr>
                  <w:tab/>
                </w:r>
                <w:r>
                  <w:rPr>
                    <w:noProof/>
                    <w:webHidden/>
                  </w:rPr>
                  <w:fldChar w:fldCharType="begin"/>
                </w:r>
                <w:r>
                  <w:rPr>
                    <w:noProof/>
                    <w:webHidden/>
                  </w:rPr>
                  <w:instrText xml:space="preserve"> PAGEREF _Toc195626979 \h </w:instrText>
                </w:r>
                <w:r>
                  <w:rPr>
                    <w:noProof/>
                    <w:webHidden/>
                  </w:rPr>
                </w:r>
                <w:r>
                  <w:rPr>
                    <w:noProof/>
                    <w:webHidden/>
                  </w:rPr>
                  <w:fldChar w:fldCharType="separate"/>
                </w:r>
                <w:r w:rsidR="001A256E">
                  <w:rPr>
                    <w:noProof/>
                    <w:webHidden/>
                  </w:rPr>
                  <w:t>32</w:t>
                </w:r>
                <w:r>
                  <w:rPr>
                    <w:noProof/>
                    <w:webHidden/>
                  </w:rPr>
                  <w:fldChar w:fldCharType="end"/>
                </w:r>
              </w:hyperlink>
            </w:p>
            <w:p w14:paraId="7C799EE0" w14:textId="39F6339C" w:rsidR="00A029DB" w:rsidRDefault="00A029DB" w:rsidP="00C41C2B">
              <w:pPr>
                <w:pStyle w:val="TOC1"/>
                <w:tabs>
                  <w:tab w:val="right" w:leader="dot" w:pos="10212"/>
                </w:tabs>
                <w:spacing w:after="240"/>
                <w:jc w:val="both"/>
                <w:rPr>
                  <w:noProof/>
                  <w:kern w:val="2"/>
                  <w:lang w:eastAsia="en-GB"/>
                  <w14:ligatures w14:val="standardContextual"/>
                </w:rPr>
              </w:pPr>
              <w:hyperlink w:anchor="_Toc195626980" w:history="1">
                <w:r w:rsidRPr="00FE784E">
                  <w:rPr>
                    <w:rStyle w:val="Hyperlink"/>
                    <w:noProof/>
                  </w:rPr>
                  <w:t>Enforcement Position</w:t>
                </w:r>
                <w:r>
                  <w:rPr>
                    <w:noProof/>
                    <w:webHidden/>
                  </w:rPr>
                  <w:tab/>
                </w:r>
                <w:r>
                  <w:rPr>
                    <w:noProof/>
                    <w:webHidden/>
                  </w:rPr>
                  <w:fldChar w:fldCharType="begin"/>
                </w:r>
                <w:r>
                  <w:rPr>
                    <w:noProof/>
                    <w:webHidden/>
                  </w:rPr>
                  <w:instrText xml:space="preserve"> PAGEREF _Toc195626980 \h </w:instrText>
                </w:r>
                <w:r>
                  <w:rPr>
                    <w:noProof/>
                    <w:webHidden/>
                  </w:rPr>
                </w:r>
                <w:r>
                  <w:rPr>
                    <w:noProof/>
                    <w:webHidden/>
                  </w:rPr>
                  <w:fldChar w:fldCharType="separate"/>
                </w:r>
                <w:r w:rsidR="001A256E">
                  <w:rPr>
                    <w:noProof/>
                    <w:webHidden/>
                  </w:rPr>
                  <w:t>33</w:t>
                </w:r>
                <w:r>
                  <w:rPr>
                    <w:noProof/>
                    <w:webHidden/>
                  </w:rPr>
                  <w:fldChar w:fldCharType="end"/>
                </w:r>
              </w:hyperlink>
            </w:p>
            <w:p w14:paraId="60D0E9DD" w14:textId="57479BF8" w:rsidR="00A029DB" w:rsidRDefault="00A029DB" w:rsidP="00C41C2B">
              <w:pPr>
                <w:pStyle w:val="TOC1"/>
                <w:tabs>
                  <w:tab w:val="right" w:leader="dot" w:pos="10212"/>
                </w:tabs>
                <w:spacing w:after="240"/>
                <w:jc w:val="both"/>
                <w:rPr>
                  <w:noProof/>
                  <w:kern w:val="2"/>
                  <w:lang w:eastAsia="en-GB"/>
                  <w14:ligatures w14:val="standardContextual"/>
                </w:rPr>
              </w:pPr>
              <w:hyperlink w:anchor="_Toc195626981" w:history="1">
                <w:r w:rsidRPr="00FE784E">
                  <w:rPr>
                    <w:rStyle w:val="Hyperlink"/>
                    <w:noProof/>
                  </w:rPr>
                  <w:t>Summary</w:t>
                </w:r>
                <w:r>
                  <w:rPr>
                    <w:noProof/>
                    <w:webHidden/>
                  </w:rPr>
                  <w:tab/>
                </w:r>
                <w:r>
                  <w:rPr>
                    <w:noProof/>
                    <w:webHidden/>
                  </w:rPr>
                  <w:fldChar w:fldCharType="begin"/>
                </w:r>
                <w:r>
                  <w:rPr>
                    <w:noProof/>
                    <w:webHidden/>
                  </w:rPr>
                  <w:instrText xml:space="preserve"> PAGEREF _Toc195626981 \h </w:instrText>
                </w:r>
                <w:r>
                  <w:rPr>
                    <w:noProof/>
                    <w:webHidden/>
                  </w:rPr>
                </w:r>
                <w:r>
                  <w:rPr>
                    <w:noProof/>
                    <w:webHidden/>
                  </w:rPr>
                  <w:fldChar w:fldCharType="separate"/>
                </w:r>
                <w:r w:rsidR="001A256E">
                  <w:rPr>
                    <w:noProof/>
                    <w:webHidden/>
                  </w:rPr>
                  <w:t>33</w:t>
                </w:r>
                <w:r>
                  <w:rPr>
                    <w:noProof/>
                    <w:webHidden/>
                  </w:rPr>
                  <w:fldChar w:fldCharType="end"/>
                </w:r>
              </w:hyperlink>
            </w:p>
            <w:p w14:paraId="49A8B21B" w14:textId="1499EDAA" w:rsidR="00A029DB" w:rsidRDefault="00A029DB" w:rsidP="00C41C2B">
              <w:pPr>
                <w:pStyle w:val="TOC1"/>
                <w:tabs>
                  <w:tab w:val="right" w:leader="dot" w:pos="10212"/>
                </w:tabs>
                <w:spacing w:after="240"/>
                <w:jc w:val="both"/>
                <w:rPr>
                  <w:noProof/>
                  <w:kern w:val="2"/>
                  <w:lang w:eastAsia="en-GB"/>
                  <w14:ligatures w14:val="standardContextual"/>
                </w:rPr>
              </w:pPr>
              <w:hyperlink w:anchor="_Toc195626982" w:history="1">
                <w:r w:rsidRPr="00FE784E">
                  <w:rPr>
                    <w:rStyle w:val="Hyperlink"/>
                    <w:noProof/>
                  </w:rPr>
                  <w:t>Frequently Asked Questions</w:t>
                </w:r>
                <w:r>
                  <w:rPr>
                    <w:noProof/>
                    <w:webHidden/>
                  </w:rPr>
                  <w:tab/>
                </w:r>
                <w:r>
                  <w:rPr>
                    <w:noProof/>
                    <w:webHidden/>
                  </w:rPr>
                  <w:fldChar w:fldCharType="begin"/>
                </w:r>
                <w:r>
                  <w:rPr>
                    <w:noProof/>
                    <w:webHidden/>
                  </w:rPr>
                  <w:instrText xml:space="preserve"> PAGEREF _Toc195626982 \h </w:instrText>
                </w:r>
                <w:r>
                  <w:rPr>
                    <w:noProof/>
                    <w:webHidden/>
                  </w:rPr>
                </w:r>
                <w:r>
                  <w:rPr>
                    <w:noProof/>
                    <w:webHidden/>
                  </w:rPr>
                  <w:fldChar w:fldCharType="separate"/>
                </w:r>
                <w:r w:rsidR="001A256E">
                  <w:rPr>
                    <w:noProof/>
                    <w:webHidden/>
                  </w:rPr>
                  <w:t>34</w:t>
                </w:r>
                <w:r>
                  <w:rPr>
                    <w:noProof/>
                    <w:webHidden/>
                  </w:rPr>
                  <w:fldChar w:fldCharType="end"/>
                </w:r>
              </w:hyperlink>
            </w:p>
            <w:p w14:paraId="67C58215" w14:textId="6C55D69B" w:rsidR="00A029DB" w:rsidRDefault="00A029DB" w:rsidP="00C41C2B">
              <w:pPr>
                <w:pStyle w:val="TOC1"/>
                <w:tabs>
                  <w:tab w:val="right" w:leader="dot" w:pos="10212"/>
                </w:tabs>
                <w:spacing w:after="240"/>
                <w:jc w:val="both"/>
                <w:rPr>
                  <w:noProof/>
                  <w:kern w:val="2"/>
                  <w:lang w:eastAsia="en-GB"/>
                  <w14:ligatures w14:val="standardContextual"/>
                </w:rPr>
              </w:pPr>
              <w:hyperlink w:anchor="_Toc195626983" w:history="1">
                <w:r w:rsidRPr="00FE784E">
                  <w:rPr>
                    <w:rStyle w:val="Hyperlink"/>
                    <w:noProof/>
                  </w:rPr>
                  <w:t>Appendix 1 – Site Condition and Baseline Reports</w:t>
                </w:r>
                <w:r>
                  <w:rPr>
                    <w:noProof/>
                    <w:webHidden/>
                  </w:rPr>
                  <w:tab/>
                </w:r>
                <w:r>
                  <w:rPr>
                    <w:noProof/>
                    <w:webHidden/>
                  </w:rPr>
                  <w:fldChar w:fldCharType="begin"/>
                </w:r>
                <w:r>
                  <w:rPr>
                    <w:noProof/>
                    <w:webHidden/>
                  </w:rPr>
                  <w:instrText xml:space="preserve"> PAGEREF _Toc195626983 \h </w:instrText>
                </w:r>
                <w:r>
                  <w:rPr>
                    <w:noProof/>
                    <w:webHidden/>
                  </w:rPr>
                </w:r>
                <w:r>
                  <w:rPr>
                    <w:noProof/>
                    <w:webHidden/>
                  </w:rPr>
                  <w:fldChar w:fldCharType="separate"/>
                </w:r>
                <w:r w:rsidR="001A256E">
                  <w:rPr>
                    <w:noProof/>
                    <w:webHidden/>
                  </w:rPr>
                  <w:t>36</w:t>
                </w:r>
                <w:r>
                  <w:rPr>
                    <w:noProof/>
                    <w:webHidden/>
                  </w:rPr>
                  <w:fldChar w:fldCharType="end"/>
                </w:r>
              </w:hyperlink>
            </w:p>
            <w:p w14:paraId="1F1C5C63" w14:textId="5316FBBD" w:rsidR="00A029DB" w:rsidRDefault="00A029DB" w:rsidP="00C41C2B">
              <w:pPr>
                <w:pStyle w:val="TOC2"/>
                <w:tabs>
                  <w:tab w:val="right" w:leader="dot" w:pos="10212"/>
                </w:tabs>
                <w:spacing w:after="240"/>
                <w:jc w:val="both"/>
                <w:rPr>
                  <w:noProof/>
                  <w:kern w:val="2"/>
                  <w:lang w:eastAsia="en-GB"/>
                  <w14:ligatures w14:val="standardContextual"/>
                </w:rPr>
              </w:pPr>
              <w:hyperlink w:anchor="_Toc195626984" w:history="1">
                <w:r w:rsidRPr="00FE784E">
                  <w:rPr>
                    <w:rStyle w:val="Hyperlink"/>
                    <w:noProof/>
                  </w:rPr>
                  <w:t>Identification of relevant hazardous substances (RHS)</w:t>
                </w:r>
                <w:r>
                  <w:rPr>
                    <w:noProof/>
                    <w:webHidden/>
                  </w:rPr>
                  <w:tab/>
                </w:r>
                <w:r>
                  <w:rPr>
                    <w:noProof/>
                    <w:webHidden/>
                  </w:rPr>
                  <w:fldChar w:fldCharType="begin"/>
                </w:r>
                <w:r>
                  <w:rPr>
                    <w:noProof/>
                    <w:webHidden/>
                  </w:rPr>
                  <w:instrText xml:space="preserve"> PAGEREF _Toc195626984 \h </w:instrText>
                </w:r>
                <w:r>
                  <w:rPr>
                    <w:noProof/>
                    <w:webHidden/>
                  </w:rPr>
                </w:r>
                <w:r>
                  <w:rPr>
                    <w:noProof/>
                    <w:webHidden/>
                  </w:rPr>
                  <w:fldChar w:fldCharType="separate"/>
                </w:r>
                <w:r w:rsidR="001A256E">
                  <w:rPr>
                    <w:noProof/>
                    <w:webHidden/>
                  </w:rPr>
                  <w:t>36</w:t>
                </w:r>
                <w:r>
                  <w:rPr>
                    <w:noProof/>
                    <w:webHidden/>
                  </w:rPr>
                  <w:fldChar w:fldCharType="end"/>
                </w:r>
              </w:hyperlink>
            </w:p>
            <w:p w14:paraId="1E110601" w14:textId="476D671C" w:rsidR="00A029DB" w:rsidRDefault="00A029DB" w:rsidP="00C41C2B">
              <w:pPr>
                <w:pStyle w:val="TOC2"/>
                <w:tabs>
                  <w:tab w:val="right" w:leader="dot" w:pos="10212"/>
                </w:tabs>
                <w:spacing w:after="240"/>
                <w:jc w:val="both"/>
                <w:rPr>
                  <w:noProof/>
                  <w:kern w:val="2"/>
                  <w:lang w:eastAsia="en-GB"/>
                  <w14:ligatures w14:val="standardContextual"/>
                </w:rPr>
              </w:pPr>
              <w:hyperlink w:anchor="_Toc195626985" w:history="1">
                <w:r w:rsidRPr="00FE784E">
                  <w:rPr>
                    <w:rStyle w:val="Hyperlink"/>
                    <w:noProof/>
                  </w:rPr>
                  <w:t>Baseline Reports</w:t>
                </w:r>
                <w:r>
                  <w:rPr>
                    <w:noProof/>
                    <w:webHidden/>
                  </w:rPr>
                  <w:tab/>
                </w:r>
                <w:r>
                  <w:rPr>
                    <w:noProof/>
                    <w:webHidden/>
                  </w:rPr>
                  <w:fldChar w:fldCharType="begin"/>
                </w:r>
                <w:r>
                  <w:rPr>
                    <w:noProof/>
                    <w:webHidden/>
                  </w:rPr>
                  <w:instrText xml:space="preserve"> PAGEREF _Toc195626985 \h </w:instrText>
                </w:r>
                <w:r>
                  <w:rPr>
                    <w:noProof/>
                    <w:webHidden/>
                  </w:rPr>
                </w:r>
                <w:r>
                  <w:rPr>
                    <w:noProof/>
                    <w:webHidden/>
                  </w:rPr>
                  <w:fldChar w:fldCharType="separate"/>
                </w:r>
                <w:r w:rsidR="001A256E">
                  <w:rPr>
                    <w:noProof/>
                    <w:webHidden/>
                  </w:rPr>
                  <w:t>37</w:t>
                </w:r>
                <w:r>
                  <w:rPr>
                    <w:noProof/>
                    <w:webHidden/>
                  </w:rPr>
                  <w:fldChar w:fldCharType="end"/>
                </w:r>
              </w:hyperlink>
            </w:p>
            <w:p w14:paraId="0E200525" w14:textId="395AE36A" w:rsidR="00A029DB" w:rsidRDefault="00A029DB" w:rsidP="00C41C2B">
              <w:pPr>
                <w:pStyle w:val="TOC1"/>
                <w:tabs>
                  <w:tab w:val="right" w:leader="dot" w:pos="10212"/>
                </w:tabs>
                <w:spacing w:after="240"/>
                <w:jc w:val="both"/>
                <w:rPr>
                  <w:noProof/>
                  <w:kern w:val="2"/>
                  <w:lang w:eastAsia="en-GB"/>
                  <w14:ligatures w14:val="standardContextual"/>
                </w:rPr>
              </w:pPr>
              <w:hyperlink w:anchor="_Toc195626986" w:history="1">
                <w:r w:rsidRPr="00FE784E">
                  <w:rPr>
                    <w:rStyle w:val="Hyperlink"/>
                    <w:noProof/>
                  </w:rPr>
                  <w:t>Appendix 2 – Protection of Soil and Groundwater</w:t>
                </w:r>
                <w:r>
                  <w:rPr>
                    <w:noProof/>
                    <w:webHidden/>
                  </w:rPr>
                  <w:tab/>
                </w:r>
                <w:r>
                  <w:rPr>
                    <w:noProof/>
                    <w:webHidden/>
                  </w:rPr>
                  <w:fldChar w:fldCharType="begin"/>
                </w:r>
                <w:r>
                  <w:rPr>
                    <w:noProof/>
                    <w:webHidden/>
                  </w:rPr>
                  <w:instrText xml:space="preserve"> PAGEREF _Toc195626986 \h </w:instrText>
                </w:r>
                <w:r>
                  <w:rPr>
                    <w:noProof/>
                    <w:webHidden/>
                  </w:rPr>
                </w:r>
                <w:r>
                  <w:rPr>
                    <w:noProof/>
                    <w:webHidden/>
                  </w:rPr>
                  <w:fldChar w:fldCharType="separate"/>
                </w:r>
                <w:r w:rsidR="001A256E">
                  <w:rPr>
                    <w:noProof/>
                    <w:webHidden/>
                  </w:rPr>
                  <w:t>39</w:t>
                </w:r>
                <w:r>
                  <w:rPr>
                    <w:noProof/>
                    <w:webHidden/>
                  </w:rPr>
                  <w:fldChar w:fldCharType="end"/>
                </w:r>
              </w:hyperlink>
            </w:p>
            <w:p w14:paraId="7D72196E" w14:textId="2A4BCEA0" w:rsidR="00A029DB" w:rsidRDefault="00A029DB" w:rsidP="00C41C2B">
              <w:pPr>
                <w:pStyle w:val="TOC2"/>
                <w:tabs>
                  <w:tab w:val="right" w:leader="dot" w:pos="10212"/>
                </w:tabs>
                <w:spacing w:after="240"/>
                <w:jc w:val="both"/>
                <w:rPr>
                  <w:noProof/>
                  <w:kern w:val="2"/>
                  <w:lang w:eastAsia="en-GB"/>
                  <w14:ligatures w14:val="standardContextual"/>
                </w:rPr>
              </w:pPr>
              <w:hyperlink w:anchor="_Toc195626987" w:history="1">
                <w:r w:rsidRPr="00FE784E">
                  <w:rPr>
                    <w:rStyle w:val="Hyperlink"/>
                    <w:noProof/>
                  </w:rPr>
                  <w:t>Periodic monitoring of soil &amp; groundwater</w:t>
                </w:r>
                <w:r>
                  <w:rPr>
                    <w:noProof/>
                    <w:webHidden/>
                  </w:rPr>
                  <w:tab/>
                </w:r>
                <w:r>
                  <w:rPr>
                    <w:noProof/>
                    <w:webHidden/>
                  </w:rPr>
                  <w:fldChar w:fldCharType="begin"/>
                </w:r>
                <w:r>
                  <w:rPr>
                    <w:noProof/>
                    <w:webHidden/>
                  </w:rPr>
                  <w:instrText xml:space="preserve"> PAGEREF _Toc195626987 \h </w:instrText>
                </w:r>
                <w:r>
                  <w:rPr>
                    <w:noProof/>
                    <w:webHidden/>
                  </w:rPr>
                </w:r>
                <w:r>
                  <w:rPr>
                    <w:noProof/>
                    <w:webHidden/>
                  </w:rPr>
                  <w:fldChar w:fldCharType="separate"/>
                </w:r>
                <w:r w:rsidR="001A256E">
                  <w:rPr>
                    <w:noProof/>
                    <w:webHidden/>
                  </w:rPr>
                  <w:t>39</w:t>
                </w:r>
                <w:r>
                  <w:rPr>
                    <w:noProof/>
                    <w:webHidden/>
                  </w:rPr>
                  <w:fldChar w:fldCharType="end"/>
                </w:r>
              </w:hyperlink>
            </w:p>
            <w:p w14:paraId="1D468B9F" w14:textId="5B978085" w:rsidR="00A029DB" w:rsidRDefault="00A029DB" w:rsidP="00C41C2B">
              <w:pPr>
                <w:pStyle w:val="TOC1"/>
                <w:tabs>
                  <w:tab w:val="right" w:leader="dot" w:pos="10212"/>
                </w:tabs>
                <w:spacing w:after="240"/>
                <w:jc w:val="both"/>
                <w:rPr>
                  <w:noProof/>
                  <w:kern w:val="2"/>
                  <w:lang w:eastAsia="en-GB"/>
                  <w14:ligatures w14:val="standardContextual"/>
                </w:rPr>
              </w:pPr>
              <w:hyperlink w:anchor="_Toc195626988" w:history="1">
                <w:r w:rsidRPr="00FE784E">
                  <w:rPr>
                    <w:rStyle w:val="Hyperlink"/>
                    <w:noProof/>
                  </w:rPr>
                  <w:t>Appendix 3 – Emissions and Emission Limit Values</w:t>
                </w:r>
                <w:r>
                  <w:rPr>
                    <w:noProof/>
                    <w:webHidden/>
                  </w:rPr>
                  <w:tab/>
                </w:r>
                <w:r>
                  <w:rPr>
                    <w:noProof/>
                    <w:webHidden/>
                  </w:rPr>
                  <w:fldChar w:fldCharType="begin"/>
                </w:r>
                <w:r>
                  <w:rPr>
                    <w:noProof/>
                    <w:webHidden/>
                  </w:rPr>
                  <w:instrText xml:space="preserve"> PAGEREF _Toc195626988 \h </w:instrText>
                </w:r>
                <w:r>
                  <w:rPr>
                    <w:noProof/>
                    <w:webHidden/>
                  </w:rPr>
                </w:r>
                <w:r>
                  <w:rPr>
                    <w:noProof/>
                    <w:webHidden/>
                  </w:rPr>
                  <w:fldChar w:fldCharType="separate"/>
                </w:r>
                <w:r w:rsidR="001A256E">
                  <w:rPr>
                    <w:noProof/>
                    <w:webHidden/>
                  </w:rPr>
                  <w:t>41</w:t>
                </w:r>
                <w:r>
                  <w:rPr>
                    <w:noProof/>
                    <w:webHidden/>
                  </w:rPr>
                  <w:fldChar w:fldCharType="end"/>
                </w:r>
              </w:hyperlink>
            </w:p>
            <w:p w14:paraId="36671393" w14:textId="4C3667AA" w:rsidR="00A029DB" w:rsidRDefault="00A029DB" w:rsidP="00C41C2B">
              <w:pPr>
                <w:pStyle w:val="TOC2"/>
                <w:tabs>
                  <w:tab w:val="right" w:leader="dot" w:pos="10212"/>
                </w:tabs>
                <w:spacing w:after="240"/>
                <w:jc w:val="both"/>
                <w:rPr>
                  <w:noProof/>
                  <w:kern w:val="2"/>
                  <w:lang w:eastAsia="en-GB"/>
                  <w14:ligatures w14:val="standardContextual"/>
                </w:rPr>
              </w:pPr>
              <w:hyperlink w:anchor="_Toc195626989" w:history="1">
                <w:r w:rsidRPr="00FE784E">
                  <w:rPr>
                    <w:rStyle w:val="Hyperlink"/>
                    <w:noProof/>
                  </w:rPr>
                  <w:t>BAT Associated Emission Levels (BAT-AELs)</w:t>
                </w:r>
                <w:r>
                  <w:rPr>
                    <w:noProof/>
                    <w:webHidden/>
                  </w:rPr>
                  <w:tab/>
                </w:r>
                <w:r>
                  <w:rPr>
                    <w:noProof/>
                    <w:webHidden/>
                  </w:rPr>
                  <w:fldChar w:fldCharType="begin"/>
                </w:r>
                <w:r>
                  <w:rPr>
                    <w:noProof/>
                    <w:webHidden/>
                  </w:rPr>
                  <w:instrText xml:space="preserve"> PAGEREF _Toc195626989 \h </w:instrText>
                </w:r>
                <w:r>
                  <w:rPr>
                    <w:noProof/>
                    <w:webHidden/>
                  </w:rPr>
                </w:r>
                <w:r>
                  <w:rPr>
                    <w:noProof/>
                    <w:webHidden/>
                  </w:rPr>
                  <w:fldChar w:fldCharType="separate"/>
                </w:r>
                <w:r w:rsidR="001A256E">
                  <w:rPr>
                    <w:noProof/>
                    <w:webHidden/>
                  </w:rPr>
                  <w:t>41</w:t>
                </w:r>
                <w:r>
                  <w:rPr>
                    <w:noProof/>
                    <w:webHidden/>
                  </w:rPr>
                  <w:fldChar w:fldCharType="end"/>
                </w:r>
              </w:hyperlink>
            </w:p>
            <w:p w14:paraId="2B66CCD0" w14:textId="2053F950" w:rsidR="00A029DB" w:rsidRDefault="00A029DB" w:rsidP="00C41C2B">
              <w:pPr>
                <w:pStyle w:val="TOC1"/>
                <w:tabs>
                  <w:tab w:val="right" w:leader="dot" w:pos="10212"/>
                </w:tabs>
                <w:spacing w:after="240"/>
                <w:jc w:val="both"/>
                <w:rPr>
                  <w:noProof/>
                  <w:kern w:val="2"/>
                  <w:lang w:eastAsia="en-GB"/>
                  <w14:ligatures w14:val="standardContextual"/>
                </w:rPr>
              </w:pPr>
              <w:hyperlink w:anchor="_Toc195626990" w:history="1">
                <w:r w:rsidRPr="00FE784E">
                  <w:rPr>
                    <w:rStyle w:val="Hyperlink"/>
                    <w:noProof/>
                  </w:rPr>
                  <w:t>Appendix 4 – Waste Generation and management</w:t>
                </w:r>
                <w:r>
                  <w:rPr>
                    <w:noProof/>
                    <w:webHidden/>
                  </w:rPr>
                  <w:tab/>
                </w:r>
                <w:r>
                  <w:rPr>
                    <w:noProof/>
                    <w:webHidden/>
                  </w:rPr>
                  <w:fldChar w:fldCharType="begin"/>
                </w:r>
                <w:r>
                  <w:rPr>
                    <w:noProof/>
                    <w:webHidden/>
                  </w:rPr>
                  <w:instrText xml:space="preserve"> PAGEREF _Toc195626990 \h </w:instrText>
                </w:r>
                <w:r>
                  <w:rPr>
                    <w:noProof/>
                    <w:webHidden/>
                  </w:rPr>
                </w:r>
                <w:r>
                  <w:rPr>
                    <w:noProof/>
                    <w:webHidden/>
                  </w:rPr>
                  <w:fldChar w:fldCharType="separate"/>
                </w:r>
                <w:r w:rsidR="001A256E">
                  <w:rPr>
                    <w:noProof/>
                    <w:webHidden/>
                  </w:rPr>
                  <w:t>42</w:t>
                </w:r>
                <w:r>
                  <w:rPr>
                    <w:noProof/>
                    <w:webHidden/>
                  </w:rPr>
                  <w:fldChar w:fldCharType="end"/>
                </w:r>
              </w:hyperlink>
            </w:p>
            <w:p w14:paraId="21CC1C4F" w14:textId="4E14A544" w:rsidR="00A029DB" w:rsidRDefault="00A029DB" w:rsidP="00C41C2B">
              <w:pPr>
                <w:pStyle w:val="TOC1"/>
                <w:tabs>
                  <w:tab w:val="right" w:leader="dot" w:pos="10212"/>
                </w:tabs>
                <w:spacing w:after="240"/>
                <w:jc w:val="both"/>
                <w:rPr>
                  <w:noProof/>
                  <w:kern w:val="2"/>
                  <w:lang w:eastAsia="en-GB"/>
                  <w14:ligatures w14:val="standardContextual"/>
                </w:rPr>
              </w:pPr>
              <w:hyperlink w:anchor="_Toc195626991" w:history="1">
                <w:r w:rsidRPr="00FE784E">
                  <w:rPr>
                    <w:rStyle w:val="Hyperlink"/>
                    <w:noProof/>
                  </w:rPr>
                  <w:t>Appendix 5 – Other than Normal Operating Conditions (OTNOC) and Accidents</w:t>
                </w:r>
                <w:r>
                  <w:rPr>
                    <w:noProof/>
                    <w:webHidden/>
                  </w:rPr>
                  <w:tab/>
                </w:r>
                <w:r>
                  <w:rPr>
                    <w:noProof/>
                    <w:webHidden/>
                  </w:rPr>
                  <w:fldChar w:fldCharType="begin"/>
                </w:r>
                <w:r>
                  <w:rPr>
                    <w:noProof/>
                    <w:webHidden/>
                  </w:rPr>
                  <w:instrText xml:space="preserve"> PAGEREF _Toc195626991 \h </w:instrText>
                </w:r>
                <w:r>
                  <w:rPr>
                    <w:noProof/>
                    <w:webHidden/>
                  </w:rPr>
                </w:r>
                <w:r>
                  <w:rPr>
                    <w:noProof/>
                    <w:webHidden/>
                  </w:rPr>
                  <w:fldChar w:fldCharType="separate"/>
                </w:r>
                <w:r w:rsidR="001A256E">
                  <w:rPr>
                    <w:noProof/>
                    <w:webHidden/>
                  </w:rPr>
                  <w:t>43</w:t>
                </w:r>
                <w:r>
                  <w:rPr>
                    <w:noProof/>
                    <w:webHidden/>
                  </w:rPr>
                  <w:fldChar w:fldCharType="end"/>
                </w:r>
              </w:hyperlink>
            </w:p>
            <w:p w14:paraId="2E66C6E3" w14:textId="61BC167E" w:rsidR="00A029DB" w:rsidRDefault="00A029DB" w:rsidP="00C41C2B">
              <w:pPr>
                <w:pStyle w:val="TOC1"/>
                <w:tabs>
                  <w:tab w:val="right" w:leader="dot" w:pos="10212"/>
                </w:tabs>
                <w:spacing w:after="240"/>
                <w:jc w:val="both"/>
                <w:rPr>
                  <w:noProof/>
                  <w:kern w:val="2"/>
                  <w:lang w:eastAsia="en-GB"/>
                  <w14:ligatures w14:val="standardContextual"/>
                </w:rPr>
              </w:pPr>
              <w:hyperlink w:anchor="_Toc195626992" w:history="1">
                <w:r w:rsidRPr="00FE784E">
                  <w:rPr>
                    <w:rStyle w:val="Hyperlink"/>
                    <w:noProof/>
                  </w:rPr>
                  <w:t>Appendix 6 – Commencement and Cessation of Operations</w:t>
                </w:r>
                <w:r>
                  <w:rPr>
                    <w:noProof/>
                    <w:webHidden/>
                  </w:rPr>
                  <w:tab/>
                </w:r>
                <w:r>
                  <w:rPr>
                    <w:noProof/>
                    <w:webHidden/>
                  </w:rPr>
                  <w:fldChar w:fldCharType="begin"/>
                </w:r>
                <w:r>
                  <w:rPr>
                    <w:noProof/>
                    <w:webHidden/>
                  </w:rPr>
                  <w:instrText xml:space="preserve"> PAGEREF _Toc195626992 \h </w:instrText>
                </w:r>
                <w:r>
                  <w:rPr>
                    <w:noProof/>
                    <w:webHidden/>
                  </w:rPr>
                </w:r>
                <w:r>
                  <w:rPr>
                    <w:noProof/>
                    <w:webHidden/>
                  </w:rPr>
                  <w:fldChar w:fldCharType="separate"/>
                </w:r>
                <w:r w:rsidR="001A256E">
                  <w:rPr>
                    <w:noProof/>
                    <w:webHidden/>
                  </w:rPr>
                  <w:t>44</w:t>
                </w:r>
                <w:r>
                  <w:rPr>
                    <w:noProof/>
                    <w:webHidden/>
                  </w:rPr>
                  <w:fldChar w:fldCharType="end"/>
                </w:r>
              </w:hyperlink>
            </w:p>
            <w:p w14:paraId="37E8B12E" w14:textId="4A0D311F" w:rsidR="00A029DB" w:rsidRDefault="00A029DB" w:rsidP="00C41C2B">
              <w:pPr>
                <w:pStyle w:val="TOC1"/>
                <w:tabs>
                  <w:tab w:val="right" w:leader="dot" w:pos="10212"/>
                </w:tabs>
                <w:spacing w:after="240"/>
                <w:jc w:val="both"/>
                <w:rPr>
                  <w:noProof/>
                  <w:kern w:val="2"/>
                  <w:lang w:eastAsia="en-GB"/>
                  <w14:ligatures w14:val="standardContextual"/>
                </w:rPr>
              </w:pPr>
              <w:hyperlink w:anchor="_Toc195626993" w:history="1">
                <w:r w:rsidRPr="00FE784E">
                  <w:rPr>
                    <w:rStyle w:val="Hyperlink"/>
                    <w:noProof/>
                  </w:rPr>
                  <w:t>Appendix 7 – Energy Efficiency</w:t>
                </w:r>
                <w:r>
                  <w:rPr>
                    <w:noProof/>
                    <w:webHidden/>
                  </w:rPr>
                  <w:tab/>
                </w:r>
                <w:r>
                  <w:rPr>
                    <w:noProof/>
                    <w:webHidden/>
                  </w:rPr>
                  <w:fldChar w:fldCharType="begin"/>
                </w:r>
                <w:r>
                  <w:rPr>
                    <w:noProof/>
                    <w:webHidden/>
                  </w:rPr>
                  <w:instrText xml:space="preserve"> PAGEREF _Toc195626993 \h </w:instrText>
                </w:r>
                <w:r>
                  <w:rPr>
                    <w:noProof/>
                    <w:webHidden/>
                  </w:rPr>
                </w:r>
                <w:r>
                  <w:rPr>
                    <w:noProof/>
                    <w:webHidden/>
                  </w:rPr>
                  <w:fldChar w:fldCharType="separate"/>
                </w:r>
                <w:r w:rsidR="001A256E">
                  <w:rPr>
                    <w:noProof/>
                    <w:webHidden/>
                  </w:rPr>
                  <w:t>45</w:t>
                </w:r>
                <w:r>
                  <w:rPr>
                    <w:noProof/>
                    <w:webHidden/>
                  </w:rPr>
                  <w:fldChar w:fldCharType="end"/>
                </w:r>
              </w:hyperlink>
            </w:p>
            <w:p w14:paraId="74E20CD2" w14:textId="232DE2FD" w:rsidR="00A029DB" w:rsidRDefault="00A029DB" w:rsidP="00C41C2B">
              <w:pPr>
                <w:pStyle w:val="TOC1"/>
                <w:tabs>
                  <w:tab w:val="right" w:leader="dot" w:pos="10212"/>
                </w:tabs>
                <w:spacing w:after="240"/>
                <w:jc w:val="both"/>
                <w:rPr>
                  <w:noProof/>
                  <w:kern w:val="2"/>
                  <w:lang w:eastAsia="en-GB"/>
                  <w14:ligatures w14:val="standardContextual"/>
                </w:rPr>
              </w:pPr>
              <w:hyperlink w:anchor="_Toc195626994" w:history="1">
                <w:r w:rsidRPr="00FE784E">
                  <w:rPr>
                    <w:rStyle w:val="Hyperlink"/>
                    <w:noProof/>
                  </w:rPr>
                  <w:t>Appendix 8 – Noise and Vibration</w:t>
                </w:r>
                <w:r>
                  <w:rPr>
                    <w:noProof/>
                    <w:webHidden/>
                  </w:rPr>
                  <w:tab/>
                </w:r>
                <w:r>
                  <w:rPr>
                    <w:noProof/>
                    <w:webHidden/>
                  </w:rPr>
                  <w:fldChar w:fldCharType="begin"/>
                </w:r>
                <w:r>
                  <w:rPr>
                    <w:noProof/>
                    <w:webHidden/>
                  </w:rPr>
                  <w:instrText xml:space="preserve"> PAGEREF _Toc195626994 \h </w:instrText>
                </w:r>
                <w:r>
                  <w:rPr>
                    <w:noProof/>
                    <w:webHidden/>
                  </w:rPr>
                </w:r>
                <w:r>
                  <w:rPr>
                    <w:noProof/>
                    <w:webHidden/>
                  </w:rPr>
                  <w:fldChar w:fldCharType="separate"/>
                </w:r>
                <w:r w:rsidR="001A256E">
                  <w:rPr>
                    <w:noProof/>
                    <w:webHidden/>
                  </w:rPr>
                  <w:t>46</w:t>
                </w:r>
                <w:r>
                  <w:rPr>
                    <w:noProof/>
                    <w:webHidden/>
                  </w:rPr>
                  <w:fldChar w:fldCharType="end"/>
                </w:r>
              </w:hyperlink>
            </w:p>
            <w:p w14:paraId="1F12CFB3" w14:textId="7A9F2C9B" w:rsidR="00A029DB" w:rsidRDefault="00A029DB" w:rsidP="00C41C2B">
              <w:pPr>
                <w:pStyle w:val="TOC1"/>
                <w:tabs>
                  <w:tab w:val="right" w:leader="dot" w:pos="10212"/>
                </w:tabs>
                <w:spacing w:after="240"/>
                <w:jc w:val="both"/>
                <w:rPr>
                  <w:noProof/>
                  <w:kern w:val="2"/>
                  <w:lang w:eastAsia="en-GB"/>
                  <w14:ligatures w14:val="standardContextual"/>
                </w:rPr>
              </w:pPr>
              <w:hyperlink w:anchor="_Toc195626995" w:history="1">
                <w:r w:rsidRPr="00FE784E">
                  <w:rPr>
                    <w:rStyle w:val="Hyperlink"/>
                    <w:noProof/>
                  </w:rPr>
                  <w:t>Appendix 9 – Odour</w:t>
                </w:r>
                <w:r>
                  <w:rPr>
                    <w:noProof/>
                    <w:webHidden/>
                  </w:rPr>
                  <w:tab/>
                </w:r>
                <w:r>
                  <w:rPr>
                    <w:noProof/>
                    <w:webHidden/>
                  </w:rPr>
                  <w:fldChar w:fldCharType="begin"/>
                </w:r>
                <w:r>
                  <w:rPr>
                    <w:noProof/>
                    <w:webHidden/>
                  </w:rPr>
                  <w:instrText xml:space="preserve"> PAGEREF _Toc195626995 \h </w:instrText>
                </w:r>
                <w:r>
                  <w:rPr>
                    <w:noProof/>
                    <w:webHidden/>
                  </w:rPr>
                </w:r>
                <w:r>
                  <w:rPr>
                    <w:noProof/>
                    <w:webHidden/>
                  </w:rPr>
                  <w:fldChar w:fldCharType="separate"/>
                </w:r>
                <w:r w:rsidR="001A256E">
                  <w:rPr>
                    <w:noProof/>
                    <w:webHidden/>
                  </w:rPr>
                  <w:t>47</w:t>
                </w:r>
                <w:r>
                  <w:rPr>
                    <w:noProof/>
                    <w:webHidden/>
                  </w:rPr>
                  <w:fldChar w:fldCharType="end"/>
                </w:r>
              </w:hyperlink>
            </w:p>
            <w:p w14:paraId="2FB6BFCC" w14:textId="0C5078D9" w:rsidR="00A029DB" w:rsidRDefault="00A029DB" w:rsidP="00C41C2B">
              <w:pPr>
                <w:pStyle w:val="TOC1"/>
                <w:tabs>
                  <w:tab w:val="right" w:leader="dot" w:pos="10212"/>
                </w:tabs>
                <w:spacing w:after="240"/>
                <w:jc w:val="both"/>
                <w:rPr>
                  <w:noProof/>
                  <w:kern w:val="2"/>
                  <w:lang w:eastAsia="en-GB"/>
                  <w14:ligatures w14:val="standardContextual"/>
                </w:rPr>
              </w:pPr>
              <w:hyperlink w:anchor="_Toc195626996" w:history="1">
                <w:r w:rsidRPr="00FE784E">
                  <w:rPr>
                    <w:rStyle w:val="Hyperlink"/>
                    <w:noProof/>
                  </w:rPr>
                  <w:t>Appendix 10 – Raw Material and Water Consumption</w:t>
                </w:r>
                <w:r>
                  <w:rPr>
                    <w:noProof/>
                    <w:webHidden/>
                  </w:rPr>
                  <w:tab/>
                </w:r>
                <w:r>
                  <w:rPr>
                    <w:noProof/>
                    <w:webHidden/>
                  </w:rPr>
                  <w:fldChar w:fldCharType="begin"/>
                </w:r>
                <w:r>
                  <w:rPr>
                    <w:noProof/>
                    <w:webHidden/>
                  </w:rPr>
                  <w:instrText xml:space="preserve"> PAGEREF _Toc195626996 \h </w:instrText>
                </w:r>
                <w:r>
                  <w:rPr>
                    <w:noProof/>
                    <w:webHidden/>
                  </w:rPr>
                </w:r>
                <w:r>
                  <w:rPr>
                    <w:noProof/>
                    <w:webHidden/>
                  </w:rPr>
                  <w:fldChar w:fldCharType="separate"/>
                </w:r>
                <w:r w:rsidR="001A256E">
                  <w:rPr>
                    <w:noProof/>
                    <w:webHidden/>
                  </w:rPr>
                  <w:t>48</w:t>
                </w:r>
                <w:r>
                  <w:rPr>
                    <w:noProof/>
                    <w:webHidden/>
                  </w:rPr>
                  <w:fldChar w:fldCharType="end"/>
                </w:r>
              </w:hyperlink>
            </w:p>
            <w:p w14:paraId="10E8D0AD" w14:textId="67D8DF1D" w:rsidR="00A029DB" w:rsidRDefault="00A029DB" w:rsidP="00C41C2B">
              <w:pPr>
                <w:pStyle w:val="TOC1"/>
                <w:tabs>
                  <w:tab w:val="right" w:leader="dot" w:pos="10212"/>
                </w:tabs>
                <w:spacing w:after="240"/>
                <w:jc w:val="both"/>
                <w:rPr>
                  <w:noProof/>
                  <w:kern w:val="2"/>
                  <w:lang w:eastAsia="en-GB"/>
                  <w14:ligatures w14:val="standardContextual"/>
                </w:rPr>
              </w:pPr>
              <w:hyperlink w:anchor="_Toc195626997" w:history="1">
                <w:r w:rsidRPr="00FE784E">
                  <w:rPr>
                    <w:rStyle w:val="Hyperlink"/>
                    <w:noProof/>
                  </w:rPr>
                  <w:t>Appendix 11 – Management</w:t>
                </w:r>
                <w:r>
                  <w:rPr>
                    <w:noProof/>
                    <w:webHidden/>
                  </w:rPr>
                  <w:tab/>
                </w:r>
                <w:r>
                  <w:rPr>
                    <w:noProof/>
                    <w:webHidden/>
                  </w:rPr>
                  <w:fldChar w:fldCharType="begin"/>
                </w:r>
                <w:r>
                  <w:rPr>
                    <w:noProof/>
                    <w:webHidden/>
                  </w:rPr>
                  <w:instrText xml:space="preserve"> PAGEREF _Toc195626997 \h </w:instrText>
                </w:r>
                <w:r>
                  <w:rPr>
                    <w:noProof/>
                    <w:webHidden/>
                  </w:rPr>
                </w:r>
                <w:r>
                  <w:rPr>
                    <w:noProof/>
                    <w:webHidden/>
                  </w:rPr>
                  <w:fldChar w:fldCharType="separate"/>
                </w:r>
                <w:r w:rsidR="001A256E">
                  <w:rPr>
                    <w:noProof/>
                    <w:webHidden/>
                  </w:rPr>
                  <w:t>49</w:t>
                </w:r>
                <w:r>
                  <w:rPr>
                    <w:noProof/>
                    <w:webHidden/>
                  </w:rPr>
                  <w:fldChar w:fldCharType="end"/>
                </w:r>
              </w:hyperlink>
            </w:p>
            <w:p w14:paraId="4E9A2EF9" w14:textId="650E77F7" w:rsidR="00A029DB" w:rsidRDefault="00A029DB" w:rsidP="00C41C2B">
              <w:pPr>
                <w:pStyle w:val="TOC1"/>
                <w:tabs>
                  <w:tab w:val="right" w:leader="dot" w:pos="10212"/>
                </w:tabs>
                <w:spacing w:after="240"/>
                <w:jc w:val="both"/>
                <w:rPr>
                  <w:noProof/>
                  <w:kern w:val="2"/>
                  <w:lang w:eastAsia="en-GB"/>
                  <w14:ligatures w14:val="standardContextual"/>
                </w:rPr>
              </w:pPr>
              <w:hyperlink w:anchor="_Toc195626998" w:history="1">
                <w:r w:rsidRPr="00FE784E">
                  <w:rPr>
                    <w:rStyle w:val="Hyperlink"/>
                    <w:noProof/>
                  </w:rPr>
                  <w:t>Appendix 12 –Costs and Benefits</w:t>
                </w:r>
                <w:r>
                  <w:rPr>
                    <w:noProof/>
                    <w:webHidden/>
                  </w:rPr>
                  <w:tab/>
                </w:r>
                <w:r>
                  <w:rPr>
                    <w:noProof/>
                    <w:webHidden/>
                  </w:rPr>
                  <w:fldChar w:fldCharType="begin"/>
                </w:r>
                <w:r>
                  <w:rPr>
                    <w:noProof/>
                    <w:webHidden/>
                  </w:rPr>
                  <w:instrText xml:space="preserve"> PAGEREF _Toc195626998 \h </w:instrText>
                </w:r>
                <w:r>
                  <w:rPr>
                    <w:noProof/>
                    <w:webHidden/>
                  </w:rPr>
                </w:r>
                <w:r>
                  <w:rPr>
                    <w:noProof/>
                    <w:webHidden/>
                  </w:rPr>
                  <w:fldChar w:fldCharType="separate"/>
                </w:r>
                <w:r w:rsidR="001A256E">
                  <w:rPr>
                    <w:noProof/>
                    <w:webHidden/>
                  </w:rPr>
                  <w:t>50</w:t>
                </w:r>
                <w:r>
                  <w:rPr>
                    <w:noProof/>
                    <w:webHidden/>
                  </w:rPr>
                  <w:fldChar w:fldCharType="end"/>
                </w:r>
              </w:hyperlink>
            </w:p>
            <w:p w14:paraId="0C08F428" w14:textId="783B3C50" w:rsidR="00A029DB" w:rsidRDefault="00A029DB" w:rsidP="00C41C2B">
              <w:pPr>
                <w:pStyle w:val="TOC2"/>
                <w:tabs>
                  <w:tab w:val="right" w:leader="dot" w:pos="10212"/>
                </w:tabs>
                <w:spacing w:after="240"/>
                <w:jc w:val="both"/>
                <w:rPr>
                  <w:noProof/>
                  <w:kern w:val="2"/>
                  <w:lang w:eastAsia="en-GB"/>
                  <w14:ligatures w14:val="standardContextual"/>
                </w:rPr>
              </w:pPr>
              <w:hyperlink w:anchor="_Toc195626999" w:history="1">
                <w:r w:rsidRPr="00FE784E">
                  <w:rPr>
                    <w:rStyle w:val="Hyperlink"/>
                    <w:noProof/>
                  </w:rPr>
                  <w:t>Costs</w:t>
                </w:r>
                <w:r>
                  <w:rPr>
                    <w:noProof/>
                    <w:webHidden/>
                  </w:rPr>
                  <w:tab/>
                </w:r>
                <w:r>
                  <w:rPr>
                    <w:noProof/>
                    <w:webHidden/>
                  </w:rPr>
                  <w:fldChar w:fldCharType="begin"/>
                </w:r>
                <w:r>
                  <w:rPr>
                    <w:noProof/>
                    <w:webHidden/>
                  </w:rPr>
                  <w:instrText xml:space="preserve"> PAGEREF _Toc195626999 \h </w:instrText>
                </w:r>
                <w:r>
                  <w:rPr>
                    <w:noProof/>
                    <w:webHidden/>
                  </w:rPr>
                </w:r>
                <w:r>
                  <w:rPr>
                    <w:noProof/>
                    <w:webHidden/>
                  </w:rPr>
                  <w:fldChar w:fldCharType="separate"/>
                </w:r>
                <w:r w:rsidR="001A256E">
                  <w:rPr>
                    <w:noProof/>
                    <w:webHidden/>
                  </w:rPr>
                  <w:t>50</w:t>
                </w:r>
                <w:r>
                  <w:rPr>
                    <w:noProof/>
                    <w:webHidden/>
                  </w:rPr>
                  <w:fldChar w:fldCharType="end"/>
                </w:r>
              </w:hyperlink>
            </w:p>
            <w:p w14:paraId="4E8B5302" w14:textId="7761B07F" w:rsidR="00A029DB" w:rsidRDefault="00A029DB" w:rsidP="00C41C2B">
              <w:pPr>
                <w:pStyle w:val="TOC2"/>
                <w:tabs>
                  <w:tab w:val="right" w:leader="dot" w:pos="10212"/>
                </w:tabs>
                <w:spacing w:after="240"/>
                <w:jc w:val="both"/>
                <w:rPr>
                  <w:noProof/>
                  <w:kern w:val="2"/>
                  <w:lang w:eastAsia="en-GB"/>
                  <w14:ligatures w14:val="standardContextual"/>
                </w:rPr>
              </w:pPr>
              <w:hyperlink w:anchor="_Toc195627000" w:history="1">
                <w:r w:rsidRPr="00FE784E">
                  <w:rPr>
                    <w:rStyle w:val="Hyperlink"/>
                    <w:noProof/>
                  </w:rPr>
                  <w:t>Benefits</w:t>
                </w:r>
                <w:r>
                  <w:rPr>
                    <w:noProof/>
                    <w:webHidden/>
                  </w:rPr>
                  <w:tab/>
                </w:r>
                <w:r>
                  <w:rPr>
                    <w:noProof/>
                    <w:webHidden/>
                  </w:rPr>
                  <w:fldChar w:fldCharType="begin"/>
                </w:r>
                <w:r>
                  <w:rPr>
                    <w:noProof/>
                    <w:webHidden/>
                  </w:rPr>
                  <w:instrText xml:space="preserve"> PAGEREF _Toc195627000 \h </w:instrText>
                </w:r>
                <w:r>
                  <w:rPr>
                    <w:noProof/>
                    <w:webHidden/>
                  </w:rPr>
                </w:r>
                <w:r>
                  <w:rPr>
                    <w:noProof/>
                    <w:webHidden/>
                  </w:rPr>
                  <w:fldChar w:fldCharType="separate"/>
                </w:r>
                <w:r w:rsidR="001A256E">
                  <w:rPr>
                    <w:noProof/>
                    <w:webHidden/>
                  </w:rPr>
                  <w:t>51</w:t>
                </w:r>
                <w:r>
                  <w:rPr>
                    <w:noProof/>
                    <w:webHidden/>
                  </w:rPr>
                  <w:fldChar w:fldCharType="end"/>
                </w:r>
              </w:hyperlink>
            </w:p>
            <w:p w14:paraId="7AC0CB73" w14:textId="77777777" w:rsidR="002F2B73" w:rsidRDefault="00895877" w:rsidP="00C41C2B">
              <w:pPr>
                <w:spacing w:after="240"/>
                <w:rPr>
                  <w:b/>
                  <w:bCs/>
                  <w:noProof/>
                </w:rPr>
              </w:pPr>
              <w:r>
                <w:rPr>
                  <w:b/>
                  <w:bCs/>
                  <w:noProof/>
                </w:rPr>
                <w:fldChar w:fldCharType="end"/>
              </w:r>
            </w:p>
            <w:p w14:paraId="15ECF21C" w14:textId="77777777" w:rsidR="002F2B73" w:rsidRDefault="002F2B73" w:rsidP="00C41C2B">
              <w:pPr>
                <w:spacing w:after="240"/>
                <w:rPr>
                  <w:b/>
                  <w:bCs/>
                  <w:noProof/>
                </w:rPr>
              </w:pPr>
            </w:p>
            <w:p w14:paraId="7F19AA66" w14:textId="1B4735F0" w:rsidR="002F2B73" w:rsidRPr="002F2B73" w:rsidRDefault="002F2B73" w:rsidP="00C41C2B">
              <w:pPr>
                <w:spacing w:after="240"/>
                <w:rPr>
                  <w:rFonts w:ascii="Arial" w:hAnsi="Arial" w:cs="Arial"/>
                  <w:sz w:val="32"/>
                  <w:szCs w:val="32"/>
                </w:rPr>
              </w:pPr>
              <w:r w:rsidRPr="002F2B73">
                <w:rPr>
                  <w:rFonts w:ascii="Arial" w:hAnsi="Arial" w:cs="Arial"/>
                  <w:sz w:val="32"/>
                  <w:szCs w:val="32"/>
                </w:rPr>
                <w:t>If you would like this document in an accessible format, such as large print, audio recording or braille, please contact SEPA by emailing </w:t>
              </w:r>
              <w:hyperlink r:id="rId13" w:tgtFrame="_blank" w:history="1">
                <w:r w:rsidRPr="002F2B73">
                  <w:rPr>
                    <w:rStyle w:val="Hyperlink"/>
                    <w:rFonts w:ascii="Arial" w:hAnsi="Arial" w:cs="Arial"/>
                    <w:sz w:val="32"/>
                    <w:szCs w:val="32"/>
                  </w:rPr>
                  <w:t>equalities@sepa.org.uk</w:t>
                </w:r>
              </w:hyperlink>
              <w:r w:rsidRPr="002F2B73">
                <w:rPr>
                  <w:rFonts w:ascii="Arial" w:hAnsi="Arial" w:cs="Arial"/>
                  <w:sz w:val="32"/>
                  <w:szCs w:val="32"/>
                </w:rPr>
                <w:t> </w:t>
              </w:r>
            </w:p>
            <w:p w14:paraId="1C294507" w14:textId="16AB0411" w:rsidR="006C2962" w:rsidRDefault="006C2962" w:rsidP="00DA536F">
              <w:pPr>
                <w:jc w:val="both"/>
                <w:rPr>
                  <w:b/>
                  <w:bCs/>
                  <w:noProof/>
                </w:rPr>
              </w:pPr>
            </w:p>
            <w:p w14:paraId="4E13C74B" w14:textId="4C4F76D4" w:rsidR="001D575E" w:rsidRPr="001D575E" w:rsidRDefault="001D575E" w:rsidP="001D575E">
              <w:pPr>
                <w:pStyle w:val="TOCHeading"/>
                <w:spacing w:after="240" w:line="360" w:lineRule="auto"/>
                <w:jc w:val="both"/>
                <w:rPr>
                  <w:rFonts w:ascii="Arial" w:hAnsi="Arial" w:cs="Arial"/>
                  <w:color w:val="auto"/>
                  <w:sz w:val="20"/>
                  <w:szCs w:val="20"/>
                </w:rPr>
              </w:pPr>
              <w:r w:rsidRPr="001D575E">
                <w:rPr>
                  <w:rFonts w:ascii="Arial" w:hAnsi="Arial" w:cs="Arial"/>
                  <w:b/>
                  <w:bCs/>
                  <w:color w:val="auto"/>
                  <w:sz w:val="24"/>
                  <w:szCs w:val="24"/>
                </w:rPr>
                <w:t>This guidance has been updated to meet accessibility standards and to replace certain references to legislation with references to the Environmental Authorisations (Scotland) Regulations 2018.</w:t>
              </w:r>
              <w:r w:rsidR="00212EDE">
                <w:rPr>
                  <w:rFonts w:ascii="Arial" w:hAnsi="Arial" w:cs="Arial"/>
                  <w:b/>
                  <w:bCs/>
                  <w:color w:val="auto"/>
                  <w:sz w:val="24"/>
                  <w:szCs w:val="24"/>
                </w:rPr>
                <w:t xml:space="preserve"> </w:t>
              </w:r>
              <w:r w:rsidRPr="001D575E">
                <w:rPr>
                  <w:rFonts w:ascii="Arial" w:hAnsi="Arial" w:cs="Arial"/>
                  <w:b/>
                  <w:bCs/>
                  <w:color w:val="auto"/>
                  <w:sz w:val="24"/>
                  <w:szCs w:val="24"/>
                </w:rPr>
                <w:t>It has not been reviewed beyond this.</w:t>
              </w:r>
              <w:r w:rsidR="00212EDE">
                <w:rPr>
                  <w:rFonts w:ascii="Arial" w:hAnsi="Arial" w:cs="Arial"/>
                  <w:b/>
                  <w:bCs/>
                  <w:color w:val="auto"/>
                  <w:sz w:val="24"/>
                  <w:szCs w:val="24"/>
                </w:rPr>
                <w:t xml:space="preserve"> </w:t>
              </w:r>
              <w:r w:rsidRPr="001D575E">
                <w:rPr>
                  <w:rFonts w:ascii="Arial" w:hAnsi="Arial" w:cs="Arial"/>
                  <w:b/>
                  <w:bCs/>
                  <w:color w:val="auto"/>
                  <w:sz w:val="24"/>
                  <w:szCs w:val="24"/>
                </w:rPr>
                <w:t>We are aware that sections of this guidance may need to be updated, and this work will be completed in due course.</w:t>
              </w:r>
            </w:p>
            <w:p w14:paraId="7AECCEA6" w14:textId="0B642698" w:rsidR="00895877" w:rsidRDefault="008A4A3C" w:rsidP="00DA536F">
              <w:pPr>
                <w:jc w:val="both"/>
              </w:pPr>
            </w:p>
          </w:sdtContent>
        </w:sdt>
        <w:p w14:paraId="04733B68" w14:textId="77777777" w:rsidR="00C41C2B" w:rsidRDefault="00C41C2B" w:rsidP="002F2B73">
          <w:pPr>
            <w:pStyle w:val="Heading1"/>
          </w:pPr>
          <w:bookmarkStart w:id="1" w:name="_Toc195626944"/>
        </w:p>
        <w:p w14:paraId="3A924C4D" w14:textId="77777777" w:rsidR="00C41C2B" w:rsidRDefault="00C41C2B" w:rsidP="002F2B73">
          <w:pPr>
            <w:pStyle w:val="Heading1"/>
          </w:pPr>
        </w:p>
        <w:p w14:paraId="418624D5" w14:textId="77777777" w:rsidR="00C41C2B" w:rsidRDefault="00C41C2B" w:rsidP="002F2B73">
          <w:pPr>
            <w:pStyle w:val="Heading1"/>
          </w:pPr>
        </w:p>
        <w:p w14:paraId="78B91147" w14:textId="77777777" w:rsidR="00C41C2B" w:rsidRDefault="00C41C2B" w:rsidP="002F2B73">
          <w:pPr>
            <w:pStyle w:val="Heading1"/>
          </w:pPr>
        </w:p>
        <w:p w14:paraId="0C9A920C" w14:textId="77777777" w:rsidR="00C41C2B" w:rsidRDefault="00C41C2B" w:rsidP="002F2B73">
          <w:pPr>
            <w:pStyle w:val="Heading1"/>
          </w:pPr>
        </w:p>
        <w:p w14:paraId="098E101B" w14:textId="77777777" w:rsidR="00C41C2B" w:rsidRDefault="00C41C2B" w:rsidP="002F2B73">
          <w:pPr>
            <w:pStyle w:val="Heading1"/>
          </w:pPr>
        </w:p>
        <w:p w14:paraId="5F28A01B" w14:textId="77777777" w:rsidR="007C1D32" w:rsidRDefault="007C1D32" w:rsidP="007C1D32"/>
        <w:p w14:paraId="0882F503" w14:textId="77777777" w:rsidR="007C1D32" w:rsidRDefault="007C1D32" w:rsidP="007C1D32"/>
        <w:p w14:paraId="0D79DDBF" w14:textId="77777777" w:rsidR="007C1D32" w:rsidRDefault="007C1D32" w:rsidP="007C1D32"/>
        <w:p w14:paraId="09965195" w14:textId="77777777" w:rsidR="007C1D32" w:rsidRPr="007C1D32" w:rsidRDefault="007C1D32" w:rsidP="007C1D32"/>
        <w:p w14:paraId="3E28D500" w14:textId="77777777" w:rsidR="00C41C2B" w:rsidRDefault="00C41C2B" w:rsidP="00C41C2B"/>
        <w:p w14:paraId="4A617B65" w14:textId="77777777" w:rsidR="001D575E" w:rsidRDefault="001D575E" w:rsidP="00C41C2B"/>
        <w:p w14:paraId="3FA78B18" w14:textId="77777777" w:rsidR="001D575E" w:rsidRPr="00C41C2B" w:rsidRDefault="001D575E" w:rsidP="00C41C2B"/>
        <w:p w14:paraId="3DB102E6" w14:textId="77777777" w:rsidR="00C41C2B" w:rsidRPr="00C41C2B" w:rsidRDefault="00C41C2B" w:rsidP="00C41C2B"/>
        <w:p w14:paraId="2C33BE45" w14:textId="20E197ED" w:rsidR="002C37C7" w:rsidRDefault="002C37C7" w:rsidP="00C41C2B">
          <w:pPr>
            <w:pStyle w:val="Heading1"/>
            <w:spacing w:after="120"/>
          </w:pPr>
          <w:r w:rsidRPr="002F2B73">
            <w:t>Introduction</w:t>
          </w:r>
          <w:bookmarkEnd w:id="1"/>
        </w:p>
        <w:p w14:paraId="054C2748" w14:textId="26B8F922" w:rsidR="002D5A6C" w:rsidRDefault="002D5A6C" w:rsidP="00DA536F">
          <w:pPr>
            <w:ind w:right="361"/>
            <w:jc w:val="both"/>
          </w:pPr>
        </w:p>
        <w:p w14:paraId="420AC2AA" w14:textId="11EE8AEA" w:rsidR="003353F6" w:rsidRDefault="003353F6" w:rsidP="001D575E">
          <w:pPr>
            <w:spacing w:after="240"/>
            <w:ind w:right="363"/>
            <w:jc w:val="both"/>
          </w:pPr>
          <w:r>
            <w:t xml:space="preserve">This document sets out SEPA’s guidance for the review of </w:t>
          </w:r>
          <w:r w:rsidR="00900AF9">
            <w:t xml:space="preserve">EASR </w:t>
          </w:r>
          <w:r w:rsidR="000B6FA9">
            <w:t>s</w:t>
          </w:r>
          <w:r w:rsidR="00900AF9">
            <w:t xml:space="preserve">chedule 20 and relevant </w:t>
          </w:r>
          <w:r w:rsidR="000B6FA9">
            <w:t>s</w:t>
          </w:r>
          <w:r w:rsidR="00900AF9">
            <w:t xml:space="preserve">chedule 26 </w:t>
          </w:r>
          <w:r>
            <w:t>permits following the publication of Best Available Techniques (BAT) Conclusions documents, or where significant developments in BAT may need to be reflected in a permit.</w:t>
          </w:r>
        </w:p>
        <w:p w14:paraId="1871B179" w14:textId="34BC93F9" w:rsidR="00900AF9" w:rsidRDefault="00900AF9" w:rsidP="001D575E">
          <w:pPr>
            <w:spacing w:after="240"/>
            <w:ind w:right="363"/>
            <w:jc w:val="both"/>
          </w:pPr>
          <w:r>
            <w:t xml:space="preserve">We used to refer to these activities as ‘PPC Part A’ installations before the Environment Authorisations (Scotland) Regulations 2018 (known as EASR) superseded the Pollution Prevention and Control (Scotland) Regulations 2012 (known as PPC). These activities have been transposed into EASR in </w:t>
          </w:r>
          <w:r w:rsidR="000B6FA9">
            <w:t>s</w:t>
          </w:r>
          <w:r>
            <w:t xml:space="preserve">chedule 20 (activities cited in the Industrial Emissions Directive known as IED) and into </w:t>
          </w:r>
          <w:r w:rsidR="000B6FA9">
            <w:t>s</w:t>
          </w:r>
          <w:r>
            <w:t xml:space="preserve">chedule 26 (former ‘domestic’ PPC Part A installations – these were activities that were provided nearly identical regulation to IED activities but were cited in the regulations through UK (domestic) regimes and not European). Not all EASR </w:t>
          </w:r>
          <w:r w:rsidR="000B6FA9">
            <w:t>s</w:t>
          </w:r>
          <w:r>
            <w:t xml:space="preserve">chedule 26 permit-level activities fall into the former ‘domestic’ PPC Part A category and </w:t>
          </w:r>
          <w:r w:rsidR="002D2199">
            <w:t>you can find out on each activity SEPA webpage if an activity applies</w:t>
          </w:r>
          <w:r w:rsidR="00827DEF">
            <w:t xml:space="preserve"> to this guidance</w:t>
          </w:r>
          <w:r w:rsidR="002D2199">
            <w:t xml:space="preserve">. </w:t>
          </w:r>
        </w:p>
        <w:p w14:paraId="31DADDB5" w14:textId="3D65D3CC" w:rsidR="003353F6" w:rsidRDefault="003353F6" w:rsidP="001D575E">
          <w:pPr>
            <w:spacing w:after="240"/>
            <w:ind w:right="363"/>
            <w:jc w:val="both"/>
          </w:pPr>
          <w:r>
            <w:rPr>
              <w:b/>
            </w:rPr>
            <w:t xml:space="preserve">All </w:t>
          </w:r>
          <w:r w:rsidR="002D2199">
            <w:t xml:space="preserve">Schedule 20 activities and relevant </w:t>
          </w:r>
          <w:r w:rsidR="000B6FA9">
            <w:t>s</w:t>
          </w:r>
          <w:r w:rsidR="002D2199">
            <w:t>chedule 26 permit-level activities</w:t>
          </w:r>
          <w:r>
            <w:t xml:space="preserve"> must be reviewed:</w:t>
          </w:r>
        </w:p>
        <w:p w14:paraId="34783C73" w14:textId="14088505" w:rsidR="003353F6" w:rsidRDefault="4003F3B6" w:rsidP="001D575E">
          <w:pPr>
            <w:numPr>
              <w:ilvl w:val="0"/>
              <w:numId w:val="28"/>
            </w:numPr>
            <w:spacing w:after="240"/>
            <w:ind w:right="363" w:hanging="567"/>
            <w:jc w:val="both"/>
          </w:pPr>
          <w:r>
            <w:t>F</w:t>
          </w:r>
          <w:r w:rsidR="5C8610A3">
            <w:t>ollowing the publication by the European Commission under Article 13 of the Industrial Emissions Directive (IED) of the BAT Conclusions</w:t>
          </w:r>
          <w:r w:rsidR="324FE3C5">
            <w:t xml:space="preserve"> (BATc)</w:t>
          </w:r>
          <w:r w:rsidR="5C8610A3">
            <w:t xml:space="preserve"> document that covers the main activity of the installation</w:t>
          </w:r>
          <w:r>
            <w:t xml:space="preserve">. </w:t>
          </w:r>
        </w:p>
        <w:p w14:paraId="03B3DD80" w14:textId="3A5388CC" w:rsidR="003353F6" w:rsidRDefault="4003F3B6" w:rsidP="001D575E">
          <w:pPr>
            <w:numPr>
              <w:ilvl w:val="0"/>
              <w:numId w:val="28"/>
            </w:numPr>
            <w:spacing w:after="240"/>
            <w:ind w:right="363" w:hanging="567"/>
            <w:jc w:val="both"/>
          </w:pPr>
          <w:r>
            <w:t>F</w:t>
          </w:r>
          <w:r w:rsidR="5C8610A3">
            <w:t xml:space="preserve">ollowing the publication of a UK Statutory Instrument (SI) detailing the BAT Conclusions relating to an industrial sector as described in </w:t>
          </w:r>
          <w:r w:rsidR="000F43E2">
            <w:t xml:space="preserve">schedule </w:t>
          </w:r>
          <w:r w:rsidR="5C8610A3">
            <w:t xml:space="preserve">20 or </w:t>
          </w:r>
          <w:r w:rsidR="6C949CCA">
            <w:t xml:space="preserve">relevant </w:t>
          </w:r>
          <w:r w:rsidR="000B6FA9">
            <w:t>s</w:t>
          </w:r>
          <w:r w:rsidR="6C949CCA">
            <w:t xml:space="preserve">chedule </w:t>
          </w:r>
          <w:r w:rsidR="5C8610A3">
            <w:t>26</w:t>
          </w:r>
          <w:r w:rsidR="12E1EDD4">
            <w:t xml:space="preserve"> permit-level activities</w:t>
          </w:r>
          <w:r w:rsidR="5C8610A3">
            <w:t xml:space="preserve"> of the EASR.</w:t>
          </w:r>
        </w:p>
        <w:p w14:paraId="2645232F" w14:textId="0EF07D10" w:rsidR="003353F6" w:rsidRDefault="00DB17E3" w:rsidP="001D575E">
          <w:pPr>
            <w:numPr>
              <w:ilvl w:val="0"/>
              <w:numId w:val="28"/>
            </w:numPr>
            <w:spacing w:after="240"/>
            <w:ind w:right="363" w:hanging="567"/>
            <w:jc w:val="both"/>
          </w:pPr>
          <w:r>
            <w:t>W</w:t>
          </w:r>
          <w:r w:rsidR="003353F6">
            <w:t>here there is no BATc for the main activity at an installation, it is known that there have been developments in BAT that would allow a significant reduction in emissions from the installation – SEPA will determine whether there have been developments in BAT that would require a permit to be reviewed.</w:t>
          </w:r>
        </w:p>
        <w:p w14:paraId="456397F1" w14:textId="3C00FDDE" w:rsidR="003353F6" w:rsidRDefault="5C8610A3" w:rsidP="001D575E">
          <w:pPr>
            <w:spacing w:after="240"/>
            <w:ind w:right="363"/>
            <w:jc w:val="both"/>
          </w:pPr>
          <w:r>
            <w:t>BAT Conclusions documents (BATc) are the reference for SEPA when setting permit conditions. They have the purpose of identifying the relevant issues for consideration in determining whether BAT is being employed. They should influence SEPA’s view of and allow an informed judgement in determining site specific BAT to be made. The BATc are not exhaustive or prescriptive, therefore if a technique is not explicitly mentioned this does not mean that an installation is not BAT. Site specific BAT should result in emission levels that are within the BATAEL range</w:t>
          </w:r>
          <w:r w:rsidR="00130473">
            <w:t xml:space="preserve"> (AEL is the acronym for Associated Emission Limit values)</w:t>
          </w:r>
          <w:r>
            <w:t>.</w:t>
          </w:r>
        </w:p>
        <w:p w14:paraId="52EAB529" w14:textId="77777777" w:rsidR="002D2199" w:rsidRDefault="003353F6" w:rsidP="001D575E">
          <w:pPr>
            <w:spacing w:after="240"/>
            <w:ind w:right="363"/>
            <w:jc w:val="both"/>
          </w:pPr>
          <w:r>
            <w:t>Permit reviews triggered by the publication of the BATc differ materially from other permit reviews as information collection and assessment is required prior to the commencement of the BATc permit review and any subsequent variation. Prior to commencing the permit review an installation specific BAT assessment must be completed. This will include assessment of what is considered to be BAT for that installation against any relevant BATc.</w:t>
          </w:r>
        </w:p>
        <w:p w14:paraId="6C27CD65" w14:textId="7A8264EC" w:rsidR="003353F6" w:rsidRDefault="5C8610A3" w:rsidP="001D575E">
          <w:pPr>
            <w:spacing w:after="240"/>
            <w:ind w:right="363"/>
            <w:jc w:val="both"/>
          </w:pPr>
          <w:r>
            <w:t>This guidance should be used in conjunction with the procedure</w:t>
          </w:r>
          <w:r w:rsidRPr="61371739">
            <w:rPr>
              <w:i/>
              <w:iCs/>
            </w:rPr>
            <w:t xml:space="preserve"> </w:t>
          </w:r>
          <w:r w:rsidRPr="61371739">
            <w:rPr>
              <w:b/>
              <w:bCs/>
            </w:rPr>
            <w:t>Permit Reviews following the publication of BAT Conclusions Documents or developments in BAT</w:t>
          </w:r>
          <w:r>
            <w:t xml:space="preserve"> and is intended to provide clarity and explanatory guidance for each of the procedural steps related to the BAT assessment. The BAT assessment and conclusions of a permit review triggered by the publication of the BATc should be recorded </w:t>
          </w:r>
          <w:r w:rsidR="4821C06A">
            <w:t xml:space="preserve">in the relevant decision document. </w:t>
          </w:r>
        </w:p>
        <w:p w14:paraId="365E1D0C" w14:textId="77777777" w:rsidR="002D2199" w:rsidRDefault="002D2199" w:rsidP="00DA536F">
          <w:pPr>
            <w:ind w:right="361"/>
            <w:jc w:val="both"/>
          </w:pPr>
        </w:p>
        <w:p w14:paraId="67B227B8" w14:textId="77777777" w:rsidR="002D2199" w:rsidRDefault="002D2199" w:rsidP="00DA536F">
          <w:pPr>
            <w:ind w:right="361"/>
            <w:jc w:val="both"/>
          </w:pPr>
        </w:p>
        <w:p w14:paraId="057E0FBF" w14:textId="77777777" w:rsidR="002D2199" w:rsidRDefault="002D2199" w:rsidP="00DA536F">
          <w:pPr>
            <w:ind w:right="361"/>
            <w:jc w:val="both"/>
          </w:pPr>
        </w:p>
        <w:p w14:paraId="2F1E6D4D" w14:textId="77777777" w:rsidR="002D2199" w:rsidRDefault="002D2199" w:rsidP="00DA536F">
          <w:pPr>
            <w:ind w:right="361"/>
            <w:jc w:val="both"/>
          </w:pPr>
        </w:p>
        <w:p w14:paraId="58225FBC" w14:textId="77777777" w:rsidR="002D2199" w:rsidRDefault="002D2199" w:rsidP="00DA536F">
          <w:pPr>
            <w:ind w:right="361"/>
            <w:jc w:val="both"/>
          </w:pPr>
        </w:p>
        <w:p w14:paraId="07E52863" w14:textId="77777777" w:rsidR="002D2199" w:rsidRDefault="002D2199" w:rsidP="00DA536F">
          <w:pPr>
            <w:ind w:right="361"/>
            <w:jc w:val="both"/>
          </w:pPr>
        </w:p>
        <w:p w14:paraId="41A447D9" w14:textId="77777777" w:rsidR="002D2199" w:rsidRDefault="002D2199" w:rsidP="00DA536F">
          <w:pPr>
            <w:ind w:right="361"/>
            <w:jc w:val="both"/>
          </w:pPr>
        </w:p>
        <w:p w14:paraId="003091DA" w14:textId="77777777" w:rsidR="002D2199" w:rsidRDefault="002D2199" w:rsidP="00DA536F">
          <w:pPr>
            <w:ind w:right="361"/>
            <w:jc w:val="both"/>
          </w:pPr>
        </w:p>
        <w:p w14:paraId="67C74B84" w14:textId="77777777" w:rsidR="002D2199" w:rsidRDefault="002D2199" w:rsidP="00DA536F">
          <w:pPr>
            <w:ind w:right="361"/>
            <w:jc w:val="both"/>
          </w:pPr>
        </w:p>
        <w:p w14:paraId="64C3EF60" w14:textId="77777777" w:rsidR="002D2199" w:rsidRDefault="002D2199" w:rsidP="00DA536F">
          <w:pPr>
            <w:ind w:right="361"/>
            <w:jc w:val="both"/>
          </w:pPr>
        </w:p>
        <w:p w14:paraId="4708FCF2" w14:textId="77777777" w:rsidR="00904C45" w:rsidRDefault="00904C45" w:rsidP="00DA536F">
          <w:pPr>
            <w:ind w:right="361"/>
            <w:jc w:val="both"/>
          </w:pPr>
        </w:p>
        <w:p w14:paraId="1C3BED05" w14:textId="77777777" w:rsidR="003353F6" w:rsidRDefault="003353F6" w:rsidP="00DA536F">
          <w:pPr>
            <w:ind w:right="361"/>
            <w:jc w:val="both"/>
          </w:pPr>
        </w:p>
        <w:p w14:paraId="4DFF7C6C" w14:textId="77777777" w:rsidR="003353F6" w:rsidRDefault="003353F6" w:rsidP="001D575E">
          <w:pPr>
            <w:pStyle w:val="Heading1"/>
            <w:spacing w:after="120"/>
          </w:pPr>
          <w:bookmarkStart w:id="2" w:name="_Toc195626945"/>
          <w:r>
            <w:t xml:space="preserve">What is a BATc </w:t>
          </w:r>
          <w:r w:rsidRPr="002D2199">
            <w:t>Permit</w:t>
          </w:r>
          <w:r>
            <w:t xml:space="preserve"> Review?</w:t>
          </w:r>
          <w:bookmarkEnd w:id="2"/>
        </w:p>
        <w:p w14:paraId="0A4E4568" w14:textId="519AFBE1" w:rsidR="003353F6" w:rsidRPr="001D575E" w:rsidRDefault="003353F6" w:rsidP="001D575E">
          <w:pPr>
            <w:spacing w:after="240"/>
            <w:ind w:right="363"/>
            <w:jc w:val="both"/>
            <w:rPr>
              <w:rFonts w:ascii="Arial" w:hAnsi="Arial" w:cs="Arial"/>
            </w:rPr>
          </w:pPr>
          <w:r w:rsidRPr="001D575E">
            <w:rPr>
              <w:rFonts w:ascii="Arial" w:hAnsi="Arial" w:cs="Arial"/>
            </w:rPr>
            <w:t xml:space="preserve">The IED specifies that a BATc review is considered to be a process whereby </w:t>
          </w:r>
          <w:r w:rsidR="005B2CA8" w:rsidRPr="001D575E">
            <w:rPr>
              <w:rFonts w:ascii="Arial" w:hAnsi="Arial" w:cs="Arial"/>
            </w:rPr>
            <w:t>site-specific</w:t>
          </w:r>
          <w:r w:rsidRPr="001D575E">
            <w:rPr>
              <w:rFonts w:ascii="Arial" w:hAnsi="Arial" w:cs="Arial"/>
            </w:rPr>
            <w:t xml:space="preserve"> BAT is determined with reference to relevant BATc and all the conditions of a permit are reconsidered.</w:t>
          </w:r>
        </w:p>
        <w:p w14:paraId="01FD2EA3" w14:textId="41BDB9E9" w:rsidR="003353F6" w:rsidRPr="001D575E" w:rsidRDefault="003353F6" w:rsidP="001D575E">
          <w:pPr>
            <w:spacing w:after="240"/>
            <w:ind w:right="363"/>
            <w:jc w:val="both"/>
            <w:rPr>
              <w:rFonts w:ascii="Arial" w:hAnsi="Arial" w:cs="Arial"/>
            </w:rPr>
          </w:pPr>
          <w:r w:rsidRPr="001D575E">
            <w:rPr>
              <w:rFonts w:ascii="Arial" w:hAnsi="Arial" w:cs="Arial"/>
            </w:rPr>
            <w:t xml:space="preserve">Following the completion of the review actions may be required, including the amendment of some or all permit conditions through a permit variation. Any consequential actions such as permit variations must be completed within any statutory timescales – i.e. within the </w:t>
          </w:r>
          <w:r w:rsidR="005B2CA8" w:rsidRPr="001D575E">
            <w:rPr>
              <w:rFonts w:ascii="Arial" w:hAnsi="Arial" w:cs="Arial"/>
            </w:rPr>
            <w:t>4-year</w:t>
          </w:r>
          <w:r w:rsidRPr="001D575E">
            <w:rPr>
              <w:rFonts w:ascii="Arial" w:hAnsi="Arial" w:cs="Arial"/>
            </w:rPr>
            <w:t xml:space="preserve"> BATc review period. This is because the operator(s) must meet BAT and comply with any revised permit conditions by the end of the BATc review period.</w:t>
          </w:r>
        </w:p>
        <w:p w14:paraId="4CC803CD" w14:textId="1A973408" w:rsidR="003353F6" w:rsidRPr="001D575E" w:rsidRDefault="5C8610A3" w:rsidP="001D575E">
          <w:pPr>
            <w:spacing w:after="240"/>
            <w:ind w:right="363"/>
            <w:jc w:val="both"/>
            <w:rPr>
              <w:rFonts w:ascii="Arial" w:hAnsi="Arial" w:cs="Arial"/>
            </w:rPr>
          </w:pPr>
          <w:r w:rsidRPr="61371739">
            <w:rPr>
              <w:rFonts w:ascii="Arial" w:hAnsi="Arial" w:cs="Arial"/>
            </w:rPr>
            <w:t>The review and subsequent variation of permit conditions should ordinarily be completed as soon as possible after the publication of the BATc for the main activity of the installation</w:t>
          </w:r>
          <w:r w:rsidR="1970CBB2" w:rsidRPr="61371739">
            <w:rPr>
              <w:rFonts w:ascii="Arial" w:hAnsi="Arial" w:cs="Arial"/>
            </w:rPr>
            <w:t>.</w:t>
          </w:r>
          <w:r w:rsidR="362BF659" w:rsidRPr="61371739">
            <w:rPr>
              <w:rFonts w:ascii="Arial" w:hAnsi="Arial" w:cs="Arial"/>
            </w:rPr>
            <w:t xml:space="preserve"> </w:t>
          </w:r>
          <w:r w:rsidRPr="61371739">
            <w:rPr>
              <w:rFonts w:ascii="Arial" w:hAnsi="Arial" w:cs="Arial"/>
            </w:rPr>
            <w:t>This is desirable in order for operators to have sufficient time to be able to respond to the revised conditions, particularly as significant investments may be necessary.</w:t>
          </w:r>
          <w:r w:rsidR="4003F3B6" w:rsidRPr="61371739">
            <w:rPr>
              <w:rFonts w:ascii="Arial" w:hAnsi="Arial" w:cs="Arial"/>
            </w:rPr>
            <w:t xml:space="preserve"> In </w:t>
          </w:r>
          <w:r w:rsidR="000B6FA9">
            <w:rPr>
              <w:rFonts w:ascii="Arial" w:hAnsi="Arial" w:cs="Arial"/>
            </w:rPr>
            <w:t>s</w:t>
          </w:r>
          <w:r w:rsidR="4003F3B6" w:rsidRPr="61371739">
            <w:rPr>
              <w:rFonts w:ascii="Arial" w:hAnsi="Arial" w:cs="Arial"/>
            </w:rPr>
            <w:t xml:space="preserve">chedule 26 ‘installations’ are referred to as ‘authorised places’ and ‘operators’ as ‘authorised person[s]’ and this guidance will use ‘installation’ and ‘operator’ to apply to activities in both </w:t>
          </w:r>
          <w:r w:rsidR="000B6FA9">
            <w:rPr>
              <w:rFonts w:ascii="Arial" w:hAnsi="Arial" w:cs="Arial"/>
            </w:rPr>
            <w:t>s</w:t>
          </w:r>
          <w:r w:rsidR="4003F3B6" w:rsidRPr="61371739">
            <w:rPr>
              <w:rFonts w:ascii="Arial" w:hAnsi="Arial" w:cs="Arial"/>
            </w:rPr>
            <w:t>chedules 20 and 26 to reduce complications.</w:t>
          </w:r>
        </w:p>
        <w:p w14:paraId="7C855560" w14:textId="77777777" w:rsidR="004A7C48" w:rsidRDefault="004A7C48" w:rsidP="001D575E">
          <w:pPr>
            <w:pStyle w:val="Heading2"/>
            <w:spacing w:after="120"/>
          </w:pPr>
          <w:bookmarkStart w:id="3" w:name="_Toc195626946"/>
          <w:r>
            <w:t>Objectives &amp; Outcomes</w:t>
          </w:r>
          <w:bookmarkEnd w:id="3"/>
        </w:p>
        <w:p w14:paraId="304A7D33" w14:textId="3EDCA269" w:rsidR="002D2199" w:rsidRDefault="004A7C48" w:rsidP="001D575E">
          <w:pPr>
            <w:spacing w:after="240"/>
            <w:ind w:right="363"/>
            <w:jc w:val="both"/>
          </w:pPr>
          <w:r>
            <w:t xml:space="preserve">EASR </w:t>
          </w:r>
          <w:r w:rsidRPr="00B13AD2">
            <w:t>specifies objectives and outcome criteria that must be fully assessed as part of any review</w:t>
          </w:r>
          <w:r>
            <w:t xml:space="preserve">ed </w:t>
          </w:r>
          <w:r w:rsidRPr="00B13AD2">
            <w:t>BATc.</w:t>
          </w:r>
          <w:r>
            <w:t xml:space="preserve"> These objectives and outcomes are described in further detail below.</w:t>
          </w:r>
        </w:p>
        <w:p w14:paraId="45E2226F" w14:textId="4F58635B" w:rsidR="004A7C48" w:rsidRDefault="004A7C48" w:rsidP="001D575E">
          <w:pPr>
            <w:spacing w:after="240"/>
            <w:ind w:right="363"/>
            <w:jc w:val="both"/>
            <w:rPr>
              <w:lang w:val="en-US"/>
            </w:rPr>
          </w:pPr>
          <w:r w:rsidRPr="00CE5606">
            <w:rPr>
              <w:lang w:val="en-US"/>
            </w:rPr>
            <w:t xml:space="preserve">The main aim of EASR is to achieve a high level of protection of the environment taken as a whole by measures designed to prevent or, where that is not practicable, reduce emissions to air, </w:t>
          </w:r>
          <w:r w:rsidR="00FB6CE3" w:rsidRPr="00CE5606">
            <w:rPr>
              <w:lang w:val="en-US"/>
            </w:rPr>
            <w:t>water,</w:t>
          </w:r>
          <w:r w:rsidRPr="00CE5606">
            <w:rPr>
              <w:lang w:val="en-US"/>
            </w:rPr>
            <w:t xml:space="preserve"> and land. EASR requires an integrated approach to the operation of the installation using the BAT for the whole installation, rather than assessing individual emissions or unit operations in isolation. For the purpose of </w:t>
          </w:r>
          <w:r w:rsidR="002D2199">
            <w:rPr>
              <w:lang w:val="en-US"/>
            </w:rPr>
            <w:t>these</w:t>
          </w:r>
          <w:r w:rsidRPr="00CE5606">
            <w:rPr>
              <w:lang w:val="en-US"/>
            </w:rPr>
            <w:t xml:space="preserve"> activities, EASR </w:t>
          </w:r>
          <w:r w:rsidR="00A74594" w:rsidRPr="00CE5606">
            <w:rPr>
              <w:lang w:val="en-US"/>
            </w:rPr>
            <w:t>defines</w:t>
          </w:r>
          <w:r w:rsidRPr="00CE5606">
            <w:rPr>
              <w:lang w:val="en-US"/>
            </w:rPr>
            <w:t xml:space="preserve"> emission as meaning the direct or indirect release of a substance, a vibration, heat, </w:t>
          </w:r>
          <w:r w:rsidR="00FB6CE3" w:rsidRPr="00CE5606">
            <w:rPr>
              <w:lang w:val="en-US"/>
            </w:rPr>
            <w:t>odour,</w:t>
          </w:r>
          <w:r w:rsidRPr="00CE5606">
            <w:rPr>
              <w:lang w:val="en-US"/>
            </w:rPr>
            <w:t xml:space="preserve"> or noise from individual or diffuse sources in an installation into the air, </w:t>
          </w:r>
          <w:r w:rsidR="00FB6CE3" w:rsidRPr="00CE5606">
            <w:rPr>
              <w:lang w:val="en-US"/>
            </w:rPr>
            <w:t>water,</w:t>
          </w:r>
          <w:r w:rsidRPr="00CE5606">
            <w:rPr>
              <w:lang w:val="en-US"/>
            </w:rPr>
            <w:t xml:space="preserve"> or land.</w:t>
          </w:r>
        </w:p>
        <w:p w14:paraId="4C81188E" w14:textId="77777777" w:rsidR="00DB17E3" w:rsidRDefault="00DB17E3" w:rsidP="001D575E">
          <w:pPr>
            <w:spacing w:after="240"/>
            <w:ind w:right="363"/>
            <w:jc w:val="both"/>
            <w:rPr>
              <w:lang w:val="en-US"/>
            </w:rPr>
          </w:pPr>
        </w:p>
        <w:p w14:paraId="0F4FD438" w14:textId="77777777" w:rsidR="004A7C48" w:rsidRPr="00CE5606" w:rsidRDefault="004A7C48" w:rsidP="001D575E">
          <w:pPr>
            <w:spacing w:after="240"/>
            <w:ind w:right="363"/>
            <w:jc w:val="both"/>
            <w:rPr>
              <w:lang w:val="en-US"/>
            </w:rPr>
          </w:pPr>
          <w:r w:rsidRPr="00CE5606">
            <w:rPr>
              <w:lang w:val="en-US"/>
            </w:rPr>
            <w:t>Within this overall aim, EASR has a number of specific objectives:</w:t>
          </w:r>
        </w:p>
        <w:p w14:paraId="048D1E4C" w14:textId="0AA61C73" w:rsidR="004A7C48" w:rsidRDefault="001D575E" w:rsidP="001D575E">
          <w:pPr>
            <w:numPr>
              <w:ilvl w:val="0"/>
              <w:numId w:val="15"/>
            </w:numPr>
            <w:tabs>
              <w:tab w:val="clear" w:pos="360"/>
            </w:tabs>
            <w:spacing w:after="240"/>
            <w:ind w:left="567" w:right="363" w:hanging="577"/>
            <w:jc w:val="both"/>
            <w:rPr>
              <w:lang w:val="en-US"/>
            </w:rPr>
          </w:pPr>
          <w:r>
            <w:rPr>
              <w:lang w:val="en-US"/>
            </w:rPr>
            <w:t>T</w:t>
          </w:r>
          <w:r w:rsidR="004A7C48" w:rsidRPr="00CE5606">
            <w:rPr>
              <w:lang w:val="en-US"/>
            </w:rPr>
            <w:t>hat no significant pollution is caused</w:t>
          </w:r>
          <w:r>
            <w:rPr>
              <w:lang w:val="en-US"/>
            </w:rPr>
            <w:t>.</w:t>
          </w:r>
        </w:p>
        <w:p w14:paraId="102EF6C6" w14:textId="478015B1" w:rsidR="004A7C48" w:rsidRPr="00CE5606" w:rsidRDefault="001D575E" w:rsidP="001D575E">
          <w:pPr>
            <w:numPr>
              <w:ilvl w:val="0"/>
              <w:numId w:val="15"/>
            </w:numPr>
            <w:tabs>
              <w:tab w:val="clear" w:pos="360"/>
            </w:tabs>
            <w:spacing w:after="240"/>
            <w:ind w:left="567" w:right="363" w:hanging="567"/>
            <w:jc w:val="both"/>
            <w:rPr>
              <w:lang w:val="en-US"/>
            </w:rPr>
          </w:pPr>
          <w:r>
            <w:rPr>
              <w:lang w:val="en-US"/>
            </w:rPr>
            <w:t>T</w:t>
          </w:r>
          <w:r w:rsidR="004A7C48" w:rsidRPr="00CE5606">
            <w:rPr>
              <w:lang w:val="en-US"/>
            </w:rPr>
            <w:t>o prevent or reduce emissions from installations by applying BAT</w:t>
          </w:r>
          <w:r>
            <w:rPr>
              <w:lang w:val="en-US"/>
            </w:rPr>
            <w:t>.</w:t>
          </w:r>
        </w:p>
        <w:p w14:paraId="74BDD6CE" w14:textId="312CD72C" w:rsidR="004A7C48" w:rsidRPr="00CE5606" w:rsidRDefault="001D575E" w:rsidP="001D575E">
          <w:pPr>
            <w:numPr>
              <w:ilvl w:val="0"/>
              <w:numId w:val="15"/>
            </w:numPr>
            <w:tabs>
              <w:tab w:val="clear" w:pos="360"/>
            </w:tabs>
            <w:spacing w:after="240"/>
            <w:ind w:left="567" w:right="363" w:hanging="567"/>
            <w:jc w:val="both"/>
            <w:rPr>
              <w:lang w:val="en-US"/>
            </w:rPr>
          </w:pPr>
          <w:r>
            <w:rPr>
              <w:lang w:val="en-US"/>
            </w:rPr>
            <w:t>T</w:t>
          </w:r>
          <w:r w:rsidR="004A7C48" w:rsidRPr="00CE5606">
            <w:rPr>
              <w:lang w:val="en-US"/>
            </w:rPr>
            <w:t>o encourage the development of emerging techniques</w:t>
          </w:r>
          <w:r>
            <w:rPr>
              <w:lang w:val="en-US"/>
            </w:rPr>
            <w:t>.</w:t>
          </w:r>
        </w:p>
        <w:p w14:paraId="31E6849D" w14:textId="6F9F9E1D" w:rsidR="004A7C48" w:rsidRPr="00CE5606" w:rsidRDefault="001D575E" w:rsidP="001D575E">
          <w:pPr>
            <w:numPr>
              <w:ilvl w:val="0"/>
              <w:numId w:val="15"/>
            </w:numPr>
            <w:tabs>
              <w:tab w:val="clear" w:pos="360"/>
            </w:tabs>
            <w:spacing w:after="240"/>
            <w:ind w:left="567" w:right="363" w:hanging="567"/>
            <w:jc w:val="both"/>
            <w:rPr>
              <w:lang w:val="en-US"/>
            </w:rPr>
          </w:pPr>
          <w:r>
            <w:rPr>
              <w:lang w:val="en-US"/>
            </w:rPr>
            <w:t>T</w:t>
          </w:r>
          <w:r w:rsidR="004A7C48" w:rsidRPr="00CE5606">
            <w:rPr>
              <w:lang w:val="en-US"/>
            </w:rPr>
            <w:t xml:space="preserve">o minimise waste generated and overall emissions, whether solid, </w:t>
          </w:r>
          <w:r w:rsidR="00FB6CE3" w:rsidRPr="00CE5606">
            <w:rPr>
              <w:lang w:val="en-US"/>
            </w:rPr>
            <w:t>liquid,</w:t>
          </w:r>
          <w:r w:rsidR="004A7C48" w:rsidRPr="00CE5606">
            <w:rPr>
              <w:lang w:val="en-US"/>
            </w:rPr>
            <w:t xml:space="preserve"> or gaseous, with the emphasis on developing clean technologies rather than relying on end-of-pipe solutions</w:t>
          </w:r>
          <w:r>
            <w:rPr>
              <w:lang w:val="en-US"/>
            </w:rPr>
            <w:t>.</w:t>
          </w:r>
        </w:p>
        <w:p w14:paraId="737A4489" w14:textId="5DBC35A8" w:rsidR="004A7C48" w:rsidRPr="00CE5606" w:rsidRDefault="001D575E" w:rsidP="001D575E">
          <w:pPr>
            <w:numPr>
              <w:ilvl w:val="0"/>
              <w:numId w:val="15"/>
            </w:numPr>
            <w:tabs>
              <w:tab w:val="clear" w:pos="360"/>
            </w:tabs>
            <w:spacing w:after="240"/>
            <w:ind w:left="567" w:right="363" w:hanging="567"/>
            <w:jc w:val="both"/>
            <w:rPr>
              <w:lang w:val="en-US"/>
            </w:rPr>
          </w:pPr>
          <w:r>
            <w:rPr>
              <w:lang w:val="en-US"/>
            </w:rPr>
            <w:t>T</w:t>
          </w:r>
          <w:r w:rsidR="004A7C48" w:rsidRPr="00CE5606">
            <w:rPr>
              <w:lang w:val="en-US"/>
            </w:rPr>
            <w:t>o minimise energy and raw material (including water) consumption</w:t>
          </w:r>
          <w:r>
            <w:rPr>
              <w:lang w:val="en-US"/>
            </w:rPr>
            <w:t>.</w:t>
          </w:r>
        </w:p>
        <w:p w14:paraId="34A4433E" w14:textId="186346E6" w:rsidR="004A7C48" w:rsidRPr="00CE5606" w:rsidRDefault="001D575E" w:rsidP="001D575E">
          <w:pPr>
            <w:numPr>
              <w:ilvl w:val="0"/>
              <w:numId w:val="15"/>
            </w:numPr>
            <w:tabs>
              <w:tab w:val="clear" w:pos="360"/>
            </w:tabs>
            <w:spacing w:after="240"/>
            <w:ind w:left="567" w:right="363" w:hanging="567"/>
            <w:jc w:val="both"/>
            <w:rPr>
              <w:lang w:val="en-US"/>
            </w:rPr>
          </w:pPr>
          <w:r>
            <w:rPr>
              <w:lang w:val="en-US"/>
            </w:rPr>
            <w:t>T</w:t>
          </w:r>
          <w:r w:rsidR="004A7C48" w:rsidRPr="00CE5606">
            <w:rPr>
              <w:lang w:val="en-US"/>
            </w:rPr>
            <w:t>o prevent accidents that could have an environmental impact and minimise the consequences of any accidents that do occur and</w:t>
          </w:r>
        </w:p>
        <w:p w14:paraId="1CB46496" w14:textId="79CB3421" w:rsidR="004A7C48" w:rsidRDefault="001D575E" w:rsidP="001D575E">
          <w:pPr>
            <w:numPr>
              <w:ilvl w:val="0"/>
              <w:numId w:val="15"/>
            </w:numPr>
            <w:tabs>
              <w:tab w:val="clear" w:pos="360"/>
            </w:tabs>
            <w:spacing w:after="240"/>
            <w:ind w:left="567" w:right="363" w:hanging="567"/>
            <w:jc w:val="both"/>
            <w:rPr>
              <w:lang w:val="en-US"/>
            </w:rPr>
          </w:pPr>
          <w:r>
            <w:rPr>
              <w:lang w:val="en-US"/>
            </w:rPr>
            <w:t>E</w:t>
          </w:r>
          <w:r w:rsidR="004A7C48" w:rsidRPr="00CE5606">
            <w:rPr>
              <w:lang w:val="en-US"/>
            </w:rPr>
            <w:t>nsure that on cessation of the activity the site is returned to satisfactory state.</w:t>
          </w:r>
        </w:p>
        <w:p w14:paraId="0CCB2B44" w14:textId="77777777" w:rsidR="004A7C48" w:rsidRDefault="004A7C48" w:rsidP="001D575E">
          <w:pPr>
            <w:spacing w:after="240"/>
            <w:ind w:right="363"/>
            <w:jc w:val="both"/>
          </w:pPr>
          <w:r>
            <w:t>Regulation 9 of EASR requires SEPA to perform a comparison between the performance of the techniques employed at an installation and BAT whenever it conducts a review.</w:t>
          </w:r>
        </w:p>
        <w:p w14:paraId="69478533" w14:textId="0D02C75F" w:rsidR="004A7C48" w:rsidRDefault="004A7C48" w:rsidP="001D575E">
          <w:pPr>
            <w:spacing w:after="240"/>
            <w:ind w:right="363"/>
            <w:jc w:val="both"/>
          </w:pPr>
          <w:r>
            <w:t xml:space="preserve">Therefore, in performing a BAT assessment SEPA must consider the techniques in the BATc where they are considered applicable, and specifically that account is taken of whether the installation is </w:t>
          </w:r>
          <w:r w:rsidR="00973258">
            <w:t>BAT,</w:t>
          </w:r>
          <w:r>
            <w:t xml:space="preserve"> and the emissions are within the BAT-AEL ranges.</w:t>
          </w:r>
        </w:p>
        <w:p w14:paraId="59E05D1F" w14:textId="77777777" w:rsidR="00DB17E3" w:rsidRDefault="005662D1" w:rsidP="001D575E">
          <w:pPr>
            <w:spacing w:after="240"/>
            <w:ind w:right="363"/>
            <w:jc w:val="both"/>
          </w:pPr>
          <w:r>
            <w:t>This doesn’t mean that techniques described in the BATc always need to be considered by SEPA and flexibility is provided for SEPA in how it uses BATc in general. It is anticipated that UK interpretational documents will be provided for each BATc that will provide further clarity on how individual BATc are to be interpreted; particularly where there are ambiguities.</w:t>
          </w:r>
        </w:p>
        <w:p w14:paraId="1743430F" w14:textId="77777777" w:rsidR="005662D1" w:rsidRDefault="005662D1" w:rsidP="001D575E">
          <w:pPr>
            <w:spacing w:after="240"/>
            <w:ind w:right="361"/>
            <w:jc w:val="both"/>
          </w:pPr>
          <w:r>
            <w:t>Furthermore, where SEPA considers that BAT is already being employed this does not need to be reassessed; appraisal of BAT should be targeted to only those areas where potential gaps or shortfalls exist.</w:t>
          </w:r>
        </w:p>
        <w:p w14:paraId="36EB0AF7" w14:textId="77777777" w:rsidR="005662D1" w:rsidRDefault="005662D1" w:rsidP="001D575E">
          <w:pPr>
            <w:pStyle w:val="Heading2"/>
            <w:spacing w:after="120"/>
            <w:jc w:val="both"/>
          </w:pPr>
          <w:bookmarkStart w:id="4" w:name="_Toc195626947"/>
          <w:r>
            <w:t>Outcomes</w:t>
          </w:r>
          <w:bookmarkEnd w:id="4"/>
        </w:p>
        <w:p w14:paraId="5E019DD4" w14:textId="77777777" w:rsidR="005662D1" w:rsidRPr="00DB17E3" w:rsidRDefault="005662D1" w:rsidP="001D575E">
          <w:pPr>
            <w:spacing w:after="240"/>
            <w:ind w:right="363"/>
            <w:jc w:val="both"/>
          </w:pPr>
          <w:r w:rsidRPr="00DB17E3">
            <w:t>There are 3 possible outcomes following the review of the permit(s) at the installation.</w:t>
          </w:r>
        </w:p>
        <w:p w14:paraId="1B8B885B" w14:textId="77777777" w:rsidR="005662D1" w:rsidRPr="00DB17E3" w:rsidRDefault="005662D1" w:rsidP="001D575E">
          <w:pPr>
            <w:spacing w:after="240"/>
            <w:ind w:left="567" w:right="363"/>
            <w:jc w:val="both"/>
          </w:pPr>
          <w:r w:rsidRPr="00DB17E3">
            <w:rPr>
              <w:rFonts w:ascii="Arial" w:eastAsia="Arial" w:hAnsi="Arial" w:cs="Arial"/>
              <w:b/>
              <w:color w:val="006666"/>
            </w:rPr>
            <w:t xml:space="preserve">Outcome 1 </w:t>
          </w:r>
          <w:r w:rsidRPr="00DB17E3">
            <w:rPr>
              <w:rFonts w:ascii="Arial" w:eastAsia="Arial" w:hAnsi="Arial" w:cs="Arial"/>
              <w:b/>
              <w:color w:val="093843"/>
            </w:rPr>
            <w:t xml:space="preserve">– </w:t>
          </w:r>
          <w:r w:rsidRPr="00DB17E3">
            <w:rPr>
              <w:u w:val="single" w:color="000000"/>
            </w:rPr>
            <w:t xml:space="preserve">No change to the permit required </w:t>
          </w:r>
          <w:r w:rsidRPr="00DB17E3">
            <w:t>– where the Installation is BAT and all aspects of the permit are fit for purpose, sufficiently comprehensive and reflect the most recent permit template.</w:t>
          </w:r>
        </w:p>
        <w:p w14:paraId="52FABA1D" w14:textId="77777777" w:rsidR="005662D1" w:rsidRPr="00DB17E3" w:rsidRDefault="005662D1" w:rsidP="001D575E">
          <w:pPr>
            <w:spacing w:after="240"/>
            <w:ind w:left="567" w:right="363"/>
            <w:jc w:val="both"/>
          </w:pPr>
          <w:r w:rsidRPr="00DB17E3">
            <w:rPr>
              <w:rFonts w:ascii="Arial" w:eastAsia="Arial" w:hAnsi="Arial" w:cs="Arial"/>
              <w:b/>
              <w:color w:val="006666"/>
            </w:rPr>
            <w:t xml:space="preserve">Outcome 2 </w:t>
          </w:r>
          <w:r w:rsidRPr="00DB17E3">
            <w:rPr>
              <w:rFonts w:ascii="Arial" w:eastAsia="Arial" w:hAnsi="Arial" w:cs="Arial"/>
              <w:b/>
              <w:color w:val="093843"/>
            </w:rPr>
            <w:t xml:space="preserve">– </w:t>
          </w:r>
          <w:r w:rsidRPr="00DB17E3">
            <w:rPr>
              <w:u w:val="single" w:color="000000"/>
            </w:rPr>
            <w:t xml:space="preserve">Variation to the permit required </w:t>
          </w:r>
          <w:r w:rsidRPr="00DB17E3">
            <w:t>– in order to ensure that it complies with EASR and reflects BAT.</w:t>
          </w:r>
        </w:p>
        <w:p w14:paraId="71A6ABD9" w14:textId="33F9433D" w:rsidR="005662D1" w:rsidRPr="00DB17E3" w:rsidRDefault="005662D1" w:rsidP="001D575E">
          <w:pPr>
            <w:spacing w:after="240"/>
            <w:ind w:left="567" w:right="363"/>
            <w:jc w:val="both"/>
          </w:pPr>
          <w:r w:rsidRPr="00DB17E3">
            <w:rPr>
              <w:rFonts w:ascii="Arial" w:eastAsia="Arial" w:hAnsi="Arial" w:cs="Arial"/>
              <w:b/>
              <w:color w:val="006666"/>
            </w:rPr>
            <w:t xml:space="preserve">Outcome 3 </w:t>
          </w:r>
          <w:r w:rsidRPr="00DB17E3">
            <w:rPr>
              <w:rFonts w:ascii="Arial" w:eastAsia="Arial" w:hAnsi="Arial" w:cs="Arial"/>
              <w:b/>
              <w:color w:val="093843"/>
            </w:rPr>
            <w:t xml:space="preserve">– </w:t>
          </w:r>
          <w:r w:rsidRPr="00DB17E3">
            <w:rPr>
              <w:u w:val="single" w:color="000000"/>
            </w:rPr>
            <w:t xml:space="preserve">Enforcement action commenced </w:t>
          </w:r>
          <w:r w:rsidRPr="00DB17E3">
            <w:t>– if the holder of the permit cannot comply with EASR or meet BAT.</w:t>
          </w:r>
        </w:p>
        <w:p w14:paraId="2BBE2819" w14:textId="2A3AFC99" w:rsidR="005662D1" w:rsidRPr="00DB17E3" w:rsidRDefault="005662D1" w:rsidP="001D575E">
          <w:pPr>
            <w:spacing w:after="240"/>
            <w:ind w:right="363"/>
            <w:jc w:val="both"/>
          </w:pPr>
          <w:r w:rsidRPr="00DB17E3">
            <w:t xml:space="preserve">There is no need to issue a complete set of revised schedules in order to deliver an EASR compliant </w:t>
          </w:r>
          <w:r w:rsidR="00DB17E3">
            <w:t>p</w:t>
          </w:r>
          <w:r w:rsidRPr="00DB17E3">
            <w:t xml:space="preserve">ermit, although a consolidated permit may be served if it is sensible or practicable, e.g. to achieve greater consistency across a sector, or where the permit has already been subject to many variations. </w:t>
          </w:r>
        </w:p>
        <w:p w14:paraId="1A90F166" w14:textId="77777777" w:rsidR="00DB17E3" w:rsidRDefault="00DB17E3" w:rsidP="00DA536F">
          <w:pPr>
            <w:ind w:right="361"/>
            <w:jc w:val="both"/>
          </w:pPr>
        </w:p>
        <w:p w14:paraId="4C61CA8E" w14:textId="77777777" w:rsidR="00DB17E3" w:rsidRDefault="00DB17E3" w:rsidP="00DA536F">
          <w:pPr>
            <w:ind w:right="361"/>
            <w:jc w:val="both"/>
          </w:pPr>
        </w:p>
        <w:p w14:paraId="695572A1" w14:textId="77777777" w:rsidR="00DB17E3" w:rsidRDefault="00DB17E3" w:rsidP="00DA536F">
          <w:pPr>
            <w:ind w:right="361"/>
            <w:jc w:val="both"/>
          </w:pPr>
        </w:p>
        <w:p w14:paraId="4DBC26FA" w14:textId="77777777" w:rsidR="00DB17E3" w:rsidRDefault="00DB17E3" w:rsidP="00DA536F">
          <w:pPr>
            <w:ind w:right="361"/>
            <w:jc w:val="both"/>
          </w:pPr>
        </w:p>
        <w:p w14:paraId="4137327F" w14:textId="77777777" w:rsidR="00DB17E3" w:rsidRDefault="00DB17E3" w:rsidP="00DA536F">
          <w:pPr>
            <w:ind w:right="361"/>
            <w:jc w:val="both"/>
          </w:pPr>
        </w:p>
        <w:p w14:paraId="7100636D" w14:textId="77777777" w:rsidR="00DB17E3" w:rsidRDefault="00DB17E3" w:rsidP="00DA536F">
          <w:pPr>
            <w:ind w:right="361"/>
            <w:jc w:val="both"/>
          </w:pPr>
        </w:p>
        <w:p w14:paraId="2A35DB81" w14:textId="77777777" w:rsidR="00DB17E3" w:rsidRDefault="00DB17E3" w:rsidP="00DA536F">
          <w:pPr>
            <w:ind w:right="361"/>
            <w:jc w:val="both"/>
          </w:pPr>
        </w:p>
        <w:p w14:paraId="055A39F5" w14:textId="77777777" w:rsidR="00DB17E3" w:rsidRDefault="00DB17E3" w:rsidP="00DA536F">
          <w:pPr>
            <w:ind w:right="361"/>
            <w:jc w:val="both"/>
          </w:pPr>
        </w:p>
        <w:p w14:paraId="2B66A494" w14:textId="77777777" w:rsidR="00DB17E3" w:rsidRDefault="00DB17E3" w:rsidP="00DA536F">
          <w:pPr>
            <w:ind w:right="361"/>
            <w:jc w:val="both"/>
          </w:pPr>
        </w:p>
        <w:p w14:paraId="5D3F8142" w14:textId="77777777" w:rsidR="00DB17E3" w:rsidRDefault="00DB17E3" w:rsidP="00DA536F">
          <w:pPr>
            <w:ind w:right="361"/>
            <w:jc w:val="both"/>
          </w:pPr>
        </w:p>
        <w:p w14:paraId="262D1CFF" w14:textId="77777777" w:rsidR="005662D1" w:rsidRDefault="005662D1" w:rsidP="00DA536F">
          <w:pPr>
            <w:ind w:left="567" w:right="361"/>
            <w:jc w:val="both"/>
          </w:pPr>
        </w:p>
        <w:p w14:paraId="7025061E" w14:textId="77777777" w:rsidR="00FB2A11" w:rsidRDefault="00FB2A11" w:rsidP="00DB17E3">
          <w:pPr>
            <w:pStyle w:val="Heading1"/>
            <w:spacing w:after="120"/>
            <w:jc w:val="both"/>
          </w:pPr>
          <w:bookmarkStart w:id="5" w:name="_Toc195626948"/>
          <w:r>
            <w:t>BAT Conclusions Documents</w:t>
          </w:r>
          <w:bookmarkEnd w:id="5"/>
        </w:p>
        <w:p w14:paraId="57688E87" w14:textId="77777777" w:rsidR="00FB2A11" w:rsidRDefault="00FB2A11" w:rsidP="00DB17E3">
          <w:pPr>
            <w:pStyle w:val="Heading2"/>
            <w:spacing w:after="120"/>
            <w:jc w:val="both"/>
          </w:pPr>
          <w:bookmarkStart w:id="6" w:name="_Toc195626949"/>
          <w:r>
            <w:t>Scope &amp; purpose</w:t>
          </w:r>
          <w:bookmarkEnd w:id="6"/>
        </w:p>
        <w:p w14:paraId="63DA1CA1" w14:textId="77777777" w:rsidR="00DB17E3" w:rsidRDefault="00FB2A11" w:rsidP="001D575E">
          <w:pPr>
            <w:spacing w:after="240"/>
            <w:ind w:right="363"/>
            <w:jc w:val="both"/>
          </w:pPr>
          <w:r>
            <w:t>A BATc document is defined in the IED as a document containing the parts of a BAT reference document (BRef) laying down the conclusions on best available techniques, their description, information to assess their applicability, the emission levels associated with the best available techniques, associated monitoring, associated consumption levels and, where appropriate, relevant site remediation measures.</w:t>
          </w:r>
        </w:p>
        <w:p w14:paraId="10C45FBF" w14:textId="4E08DC08" w:rsidR="00FB2A11" w:rsidRDefault="2E5F4F6F" w:rsidP="001D575E">
          <w:pPr>
            <w:spacing w:after="240"/>
            <w:ind w:right="363"/>
            <w:jc w:val="both"/>
          </w:pPr>
          <w:r>
            <w:t xml:space="preserve">Each BATc has a scope in terms of which activities it covers. The BATc will be derived from a parent </w:t>
          </w:r>
          <w:r w:rsidR="740237FA">
            <w:t>BRef,</w:t>
          </w:r>
          <w:r>
            <w:t xml:space="preserve"> and each will focus on a single activity, or a closely related collection of activities. </w:t>
          </w:r>
          <w:r w:rsidR="000B6FA9">
            <w:t>s</w:t>
          </w:r>
          <w:r w:rsidR="362BF659">
            <w:t>chedule 26 permit-level</w:t>
          </w:r>
          <w:r>
            <w:t xml:space="preserve"> activities are not included within the scope of any BAT Conclusions document.</w:t>
          </w:r>
        </w:p>
        <w:p w14:paraId="32F39061" w14:textId="722CFC75" w:rsidR="00FB2A11" w:rsidRDefault="00FB2A11" w:rsidP="001D575E">
          <w:pPr>
            <w:spacing w:after="240"/>
            <w:ind w:right="363"/>
            <w:jc w:val="both"/>
          </w:pPr>
          <w:r>
            <w:t>It should be noted that Article 13(7) of the IED stipulates that prior to the publication of BATc the conclusions on Best Available Techniques from BAT reference documents adopted prior to the entry into force of the IED shall be considered to be BAT Conclusions. This means pre-existing BAT reference documents are considered to be BATc and therefore BATc already exist for most activities related to the IED.</w:t>
          </w:r>
        </w:p>
        <w:p w14:paraId="6A8C2008" w14:textId="77777777" w:rsidR="00FB2A11" w:rsidRDefault="00FB2A11" w:rsidP="001D575E">
          <w:pPr>
            <w:spacing w:after="240"/>
            <w:ind w:right="363"/>
            <w:jc w:val="both"/>
            <w:rPr>
              <w:lang w:val="en-US"/>
            </w:rPr>
          </w:pPr>
          <w:r w:rsidRPr="004655F9">
            <w:rPr>
              <w:lang w:val="en-US"/>
            </w:rPr>
            <w:t>In the UK the Environment and Wildlife (Legislative Functions) (EU Exit) Regulations 2019 defined in the European Union (Withdrawal) Act 2018 allows for an appropriate authority to specify BAT Conclusions for the purposes of provisions that have transposed Directive 2010/75/EU of the European Parliament and of the Council on industrial emissions (integrated pollution prevention and control) into domestic law.</w:t>
          </w:r>
        </w:p>
        <w:p w14:paraId="614A37BC" w14:textId="160128E8" w:rsidR="00FB2A11" w:rsidRDefault="2E5F4F6F" w:rsidP="001D575E">
          <w:pPr>
            <w:spacing w:after="240"/>
            <w:ind w:right="363"/>
            <w:jc w:val="both"/>
            <w:rPr>
              <w:lang w:val="en-US"/>
            </w:rPr>
          </w:pPr>
          <w:r w:rsidRPr="61371739">
            <w:rPr>
              <w:lang w:val="en-US"/>
            </w:rPr>
            <w:t xml:space="preserve"> The development of future BAT</w:t>
          </w:r>
          <w:r w:rsidR="6A756E33" w:rsidRPr="61371739">
            <w:rPr>
              <w:lang w:val="en-US"/>
            </w:rPr>
            <w:t>c</w:t>
          </w:r>
          <w:r w:rsidRPr="61371739">
            <w:rPr>
              <w:lang w:val="en-US"/>
            </w:rPr>
            <w:t xml:space="preserve"> separately from the EU will be based on the common origin of the legislation to ensure BAT continues to be based on the same principles. The definition of BAT in UK law remains unchanged following EU exit and forms part of our retained EU law alongside all existing BAT</w:t>
          </w:r>
          <w:r w:rsidR="247B841D" w:rsidRPr="61371739">
            <w:rPr>
              <w:lang w:val="en-US"/>
            </w:rPr>
            <w:t>c</w:t>
          </w:r>
          <w:r w:rsidRPr="61371739">
            <w:rPr>
              <w:lang w:val="en-US"/>
            </w:rPr>
            <w:t xml:space="preserve"> that were developed at the EU level (largely on a sector-by-sector basis).</w:t>
          </w:r>
        </w:p>
        <w:p w14:paraId="47DEF0D3" w14:textId="421601A7" w:rsidR="00FB2A11" w:rsidRPr="004655F9" w:rsidRDefault="00FB2A11" w:rsidP="001D575E">
          <w:pPr>
            <w:spacing w:after="240"/>
            <w:ind w:right="363"/>
            <w:jc w:val="both"/>
            <w:rPr>
              <w:lang w:val="en-US"/>
            </w:rPr>
          </w:pPr>
          <w:r w:rsidRPr="004655F9">
            <w:rPr>
              <w:lang w:val="en-US"/>
            </w:rPr>
            <w:t xml:space="preserve"> </w:t>
          </w:r>
        </w:p>
        <w:p w14:paraId="0D64EF46" w14:textId="458AFAF6" w:rsidR="00DB17E3" w:rsidRDefault="2E5F4F6F" w:rsidP="001D575E">
          <w:pPr>
            <w:spacing w:after="240"/>
            <w:ind w:right="363"/>
            <w:jc w:val="both"/>
            <w:rPr>
              <w:lang w:val="en-US"/>
            </w:rPr>
          </w:pPr>
          <w:r w:rsidRPr="61371739">
            <w:rPr>
              <w:lang w:val="en-US"/>
            </w:rPr>
            <w:t>This function now rests independently with the UK Government, Scottish Government, Welsh Government, Department for Agriculture, Environment and Rural Affairs (Defra) and Northern Ireland (DAERA) who have executive power to adopt BAT</w:t>
          </w:r>
          <w:r w:rsidR="5FA88F07" w:rsidRPr="61371739">
            <w:rPr>
              <w:lang w:val="en-US"/>
            </w:rPr>
            <w:t>c</w:t>
          </w:r>
          <w:r w:rsidRPr="61371739">
            <w:rPr>
              <w:lang w:val="en-US"/>
            </w:rPr>
            <w:t>. The BAT process will operate using a transparent, collaborative, flexible, data and evidence led process, that safeguards and builds on the high levels of environmental protection already in place across the UK.</w:t>
          </w:r>
        </w:p>
        <w:p w14:paraId="60C09082" w14:textId="34C33256" w:rsidR="00FB2A11" w:rsidRDefault="2E5F4F6F" w:rsidP="001D575E">
          <w:pPr>
            <w:spacing w:after="240"/>
            <w:ind w:right="361"/>
            <w:jc w:val="both"/>
            <w:rPr>
              <w:lang w:val="en-US"/>
            </w:rPr>
          </w:pPr>
          <w:r w:rsidRPr="61371739">
            <w:rPr>
              <w:lang w:val="en-US"/>
            </w:rPr>
            <w:t>Technical Working Groups (TWG) are formed for each sector under review. They work in a collaborative forum to discuss and develop BAT Conclusions (BAT</w:t>
          </w:r>
          <w:r w:rsidR="143883C4" w:rsidRPr="61371739">
            <w:rPr>
              <w:lang w:val="en-US"/>
            </w:rPr>
            <w:t>c</w:t>
          </w:r>
          <w:r w:rsidRPr="61371739">
            <w:rPr>
              <w:lang w:val="en-US"/>
            </w:rPr>
            <w:t>) for the sector in the United Kingdom. The BAT</w:t>
          </w:r>
          <w:r w:rsidR="5A736FDE" w:rsidRPr="61371739">
            <w:rPr>
              <w:lang w:val="en-US"/>
            </w:rPr>
            <w:t>c</w:t>
          </w:r>
          <w:r w:rsidRPr="61371739">
            <w:rPr>
              <w:lang w:val="en-US"/>
            </w:rPr>
            <w:t xml:space="preserve"> are based on the collected evidence for the sector and through benchmarking of the techniques and associated emission limit values (BAT-AELs) against internationally sourced evidence. The BAT</w:t>
          </w:r>
          <w:r w:rsidR="3325DAB6" w:rsidRPr="61371739">
            <w:rPr>
              <w:lang w:val="en-US"/>
            </w:rPr>
            <w:t>c</w:t>
          </w:r>
          <w:r w:rsidRPr="61371739">
            <w:rPr>
              <w:lang w:val="en-US"/>
            </w:rPr>
            <w:t xml:space="preserve"> will comprise of a short description of each best available technique identified, its applicability and where appropriate, an associated emission, </w:t>
          </w:r>
          <w:r w:rsidR="5E448205" w:rsidRPr="61371739">
            <w:rPr>
              <w:lang w:val="en-US"/>
            </w:rPr>
            <w:t>consumption,</w:t>
          </w:r>
          <w:r w:rsidRPr="61371739">
            <w:rPr>
              <w:lang w:val="en-US"/>
            </w:rPr>
            <w:t xml:space="preserve"> or performance level. A formal draft UK BAT</w:t>
          </w:r>
          <w:r w:rsidR="73F6D8CF" w:rsidRPr="61371739">
            <w:rPr>
              <w:lang w:val="en-US"/>
            </w:rPr>
            <w:t>c</w:t>
          </w:r>
          <w:r w:rsidRPr="61371739">
            <w:rPr>
              <w:lang w:val="en-US"/>
            </w:rPr>
            <w:t xml:space="preserve"> will be published for comment and public consultation. When approved they will be published as a Statutory Instrument and used as a basis for setting environmental permit conditions.</w:t>
          </w:r>
        </w:p>
        <w:p w14:paraId="5674BC84" w14:textId="5A055C9D" w:rsidR="00FB2A11" w:rsidRDefault="00FB2A11" w:rsidP="001D575E">
          <w:pPr>
            <w:spacing w:after="240"/>
            <w:ind w:right="361"/>
            <w:jc w:val="both"/>
            <w:rPr>
              <w:lang w:val="en-US"/>
            </w:rPr>
          </w:pPr>
          <w:r w:rsidRPr="004655F9">
            <w:rPr>
              <w:lang w:val="en-US"/>
            </w:rPr>
            <w:t>The UK process consists of three separate tranches as follows</w:t>
          </w:r>
          <w:r w:rsidR="00DB17E3">
            <w:rPr>
              <w:lang w:val="en-US"/>
            </w:rPr>
            <w:t>:</w:t>
          </w:r>
        </w:p>
        <w:p w14:paraId="5771065E" w14:textId="77777777" w:rsidR="00FB2A11" w:rsidRPr="00DB17E3" w:rsidRDefault="00FB2A11" w:rsidP="001D575E">
          <w:pPr>
            <w:pStyle w:val="ListParagraph"/>
            <w:numPr>
              <w:ilvl w:val="0"/>
              <w:numId w:val="29"/>
            </w:numPr>
            <w:spacing w:after="240"/>
            <w:ind w:right="361"/>
            <w:jc w:val="both"/>
            <w:rPr>
              <w:lang w:val="en-US"/>
            </w:rPr>
          </w:pPr>
          <w:r w:rsidRPr="00DB17E3">
            <w:rPr>
              <w:lang w:val="en-US"/>
            </w:rPr>
            <w:t>Tranche 1 consists of UK Guidance notes covering sectors where the UK had fully contributed to the development of the relevant EU BRef note and consequently had completed data assessment which included UK sites.</w:t>
          </w:r>
        </w:p>
        <w:p w14:paraId="0FAD87B7" w14:textId="41FD236B" w:rsidR="00FB2A11" w:rsidRPr="00DB17E3" w:rsidRDefault="00FB2A11" w:rsidP="001D575E">
          <w:pPr>
            <w:pStyle w:val="ListParagraph"/>
            <w:numPr>
              <w:ilvl w:val="0"/>
              <w:numId w:val="29"/>
            </w:numPr>
            <w:spacing w:after="240"/>
            <w:ind w:right="361"/>
            <w:jc w:val="both"/>
            <w:rPr>
              <w:lang w:val="en-US"/>
            </w:rPr>
          </w:pPr>
          <w:r w:rsidRPr="00DB17E3">
            <w:rPr>
              <w:lang w:val="en-US"/>
            </w:rPr>
            <w:t>Tranche 2 consists of the remaining IED sectors to be reviewed to complete the BRef series. These UK BAT Guidance notes will require data collection and assessment to facilitate the determ</w:t>
          </w:r>
          <w:r w:rsidR="00DB17E3" w:rsidRPr="00DB17E3">
            <w:rPr>
              <w:lang w:val="en-US"/>
            </w:rPr>
            <w:t>i</w:t>
          </w:r>
          <w:r w:rsidRPr="00DB17E3">
            <w:rPr>
              <w:lang w:val="en-US"/>
            </w:rPr>
            <w:t>nation of UK BAT conditions.</w:t>
          </w:r>
        </w:p>
        <w:p w14:paraId="607F6A97" w14:textId="77777777" w:rsidR="00FB2A11" w:rsidRPr="00DB17E3" w:rsidRDefault="00FB2A11" w:rsidP="001D575E">
          <w:pPr>
            <w:pStyle w:val="ListParagraph"/>
            <w:numPr>
              <w:ilvl w:val="0"/>
              <w:numId w:val="29"/>
            </w:numPr>
            <w:spacing w:after="240"/>
            <w:ind w:right="361"/>
            <w:jc w:val="both"/>
            <w:rPr>
              <w:lang w:val="en-US"/>
            </w:rPr>
          </w:pPr>
          <w:r w:rsidRPr="00DB17E3">
            <w:rPr>
              <w:lang w:val="en-US"/>
            </w:rPr>
            <w:t>Tranche 3 will be the start of a new series of UK BAT Guidance notes which will replace the EU BRef note series in full.</w:t>
          </w:r>
        </w:p>
        <w:p w14:paraId="229C0580" w14:textId="77777777" w:rsidR="00DB17E3" w:rsidRDefault="00FB2A11" w:rsidP="001D575E">
          <w:pPr>
            <w:spacing w:after="240"/>
            <w:ind w:right="361"/>
            <w:jc w:val="both"/>
          </w:pPr>
          <w:r>
            <w:t xml:space="preserve">BATc have a key role in the review process as their publication will be the main prompt for SEPA to conduct a BATc </w:t>
          </w:r>
          <w:r w:rsidR="000622F2">
            <w:t>review,</w:t>
          </w:r>
          <w:r>
            <w:t xml:space="preserve"> and they must be the reference for setting permit conditions. In basic terms the BATc will describe the issues to be considered and the expected performance levels of an installation; it is then for the operator to demonstrate and ensure that the installation can meet these performance levels.</w:t>
          </w:r>
        </w:p>
        <w:p w14:paraId="24E6740E" w14:textId="4D1DDBC9" w:rsidR="00F766AB" w:rsidRDefault="00F766AB" w:rsidP="001D575E">
          <w:pPr>
            <w:spacing w:after="240"/>
            <w:ind w:right="361"/>
            <w:jc w:val="both"/>
          </w:pPr>
          <w:r>
            <w:t>Despite this, it is important to note that the BATc include a statement declaring that they are not prescriptive regarding the particular techniques that should be used, and that other techniques can also be used. This means that they are not exhaustive in describing techniques but rather provide the focus on the areas to pay attention to and performance expectations for SEPA to reference when reviewing a permit – and not the means of achieving those outcomes.</w:t>
          </w:r>
        </w:p>
        <w:p w14:paraId="37FF0E89" w14:textId="2C70FFBD" w:rsidR="00F766AB" w:rsidRDefault="43CD0EC6" w:rsidP="001D575E">
          <w:pPr>
            <w:spacing w:after="240"/>
            <w:ind w:right="361"/>
            <w:jc w:val="both"/>
          </w:pPr>
          <w:r>
            <w:t>Furthermore, it should be noted that a permit condition is not necessarily required to address each individual BAT conclusion, although all relevant BAT conclusions should be addressed in SEPA’s decision document for the review. It is the decision document that will document SEPA’s BAT assessment.</w:t>
          </w:r>
        </w:p>
        <w:p w14:paraId="6CEF36DB" w14:textId="640D7299" w:rsidR="00F766AB" w:rsidRDefault="00F766AB" w:rsidP="00DB17E3">
          <w:pPr>
            <w:pStyle w:val="Heading2"/>
            <w:spacing w:after="120"/>
            <w:jc w:val="both"/>
          </w:pPr>
          <w:bookmarkStart w:id="7" w:name="_Toc195626950"/>
          <w:r>
            <w:t>Structure &amp; Content</w:t>
          </w:r>
          <w:bookmarkEnd w:id="7"/>
        </w:p>
        <w:p w14:paraId="5D7B85E5" w14:textId="4F01B3B2" w:rsidR="00F766AB" w:rsidRPr="00C41C2B" w:rsidRDefault="00F766AB" w:rsidP="00DB17E3">
          <w:pPr>
            <w:spacing w:after="240"/>
            <w:ind w:right="363"/>
            <w:jc w:val="both"/>
          </w:pPr>
          <w:r w:rsidRPr="00C41C2B">
            <w:t>A BATc document contains a list of what is considered to be BAT in terms of performance for a specific activity, or related group of activities. Each individual BAT conclusion is numbered to facilitate referencing and they are organised in such a way that several individual conclusions are grouped according to common features.</w:t>
          </w:r>
        </w:p>
        <w:p w14:paraId="66CC9C79" w14:textId="77777777" w:rsidR="00F766AB" w:rsidRPr="00C41C2B" w:rsidRDefault="00F766AB" w:rsidP="00DB17E3">
          <w:pPr>
            <w:spacing w:after="240"/>
            <w:ind w:right="363"/>
            <w:jc w:val="both"/>
          </w:pPr>
          <w:r w:rsidRPr="00C41C2B">
            <w:t>In addition, each individual BAT conclusion is presented using the following standard structure:</w:t>
          </w:r>
        </w:p>
        <w:p w14:paraId="15F9DA53" w14:textId="0C524828" w:rsidR="00DB17E3" w:rsidRPr="00DB17E3" w:rsidRDefault="00F766AB" w:rsidP="00DB17E3">
          <w:pPr>
            <w:numPr>
              <w:ilvl w:val="0"/>
              <w:numId w:val="30"/>
            </w:numPr>
            <w:spacing w:after="240"/>
            <w:ind w:right="363" w:hanging="567"/>
            <w:jc w:val="both"/>
          </w:pPr>
          <w:r w:rsidRPr="00DB17E3">
            <w:rPr>
              <w:rFonts w:ascii="Arial" w:eastAsia="Arial" w:hAnsi="Arial" w:cs="Arial"/>
              <w:b/>
              <w:color w:val="006666"/>
            </w:rPr>
            <w:t xml:space="preserve">Environmental objective </w:t>
          </w:r>
          <w:r w:rsidRPr="00DB17E3">
            <w:t>– This will be a statement of the environmental objective that the BAT conclusion is pursuing – i.e. prevent or reduce dust emission, water consumption or the generation of waste.</w:t>
          </w:r>
        </w:p>
        <w:p w14:paraId="06E699D8" w14:textId="7672A140" w:rsidR="00F766AB" w:rsidRPr="00DB17E3" w:rsidRDefault="00F766AB" w:rsidP="00DB17E3">
          <w:pPr>
            <w:numPr>
              <w:ilvl w:val="0"/>
              <w:numId w:val="30"/>
            </w:numPr>
            <w:spacing w:after="240"/>
            <w:ind w:right="361" w:hanging="567"/>
            <w:jc w:val="both"/>
          </w:pPr>
          <w:r w:rsidRPr="00DB17E3">
            <w:rPr>
              <w:rFonts w:ascii="Arial" w:eastAsia="Arial" w:hAnsi="Arial" w:cs="Arial"/>
              <w:b/>
              <w:color w:val="006666"/>
            </w:rPr>
            <w:t xml:space="preserve">Techniques </w:t>
          </w:r>
          <w:r w:rsidRPr="00DB17E3">
            <w:t xml:space="preserve">– A list of the techniques or combination of techniques that can be used to achieve the objective. Unless otherwise stated the BAT conclusions are generally applicable for the activity concerned – where there are restrictions on applicability this is explicitly detailed (this may be in the form of restricting the BATc to specific processes or </w:t>
          </w:r>
          <w:r w:rsidR="00E6048A" w:rsidRPr="00DB17E3">
            <w:t>activities or</w:t>
          </w:r>
          <w:r w:rsidRPr="00DB17E3">
            <w:t xml:space="preserve"> may relate to the characteristics of the emission). As mentioned previously, this list is not exhaustive in describing </w:t>
          </w:r>
          <w:r w:rsidR="00E6048A" w:rsidRPr="00DB17E3">
            <w:t>techniques but</w:t>
          </w:r>
          <w:r w:rsidRPr="00DB17E3">
            <w:t xml:space="preserve"> rather provides details of the areas to pay attention to and performance expectations for SEPA to reference when reviewing a permit – and not the means of achieving those outcomes.</w:t>
          </w:r>
        </w:p>
        <w:p w14:paraId="57A8A18C" w14:textId="0CCF70B6" w:rsidR="00F766AB" w:rsidRPr="00DB17E3" w:rsidRDefault="00F766AB" w:rsidP="00DB17E3">
          <w:pPr>
            <w:numPr>
              <w:ilvl w:val="0"/>
              <w:numId w:val="30"/>
            </w:numPr>
            <w:spacing w:after="240"/>
            <w:ind w:right="363" w:hanging="567"/>
            <w:jc w:val="both"/>
          </w:pPr>
          <w:r w:rsidRPr="00DB17E3">
            <w:rPr>
              <w:rFonts w:ascii="Arial" w:eastAsia="Arial" w:hAnsi="Arial" w:cs="Arial"/>
              <w:b/>
              <w:color w:val="006666"/>
            </w:rPr>
            <w:t xml:space="preserve">Environmental performance level associated with BAT </w:t>
          </w:r>
          <w:r w:rsidRPr="00DB17E3">
            <w:t xml:space="preserve">– This is a quantitative measure of performance that can be achieved in pursuit of the environmental objective if BAT is employed. It will not be present in every BAT conclusion. Any BAT conclusion that doesn’t contain an environmental performance level is termed a “narrative” BAT conclusion. A narrative BAT conclusion usually arises as it addresses a matter where a performance level is not </w:t>
          </w:r>
          <w:r w:rsidR="008268F2" w:rsidRPr="00DB17E3">
            <w:t>appropriate,</w:t>
          </w:r>
          <w:r w:rsidRPr="00DB17E3">
            <w:t xml:space="preserve"> or it has been impossible to define a performance level.</w:t>
          </w:r>
        </w:p>
        <w:p w14:paraId="3C67FB17" w14:textId="10DA0540" w:rsidR="00453942" w:rsidRDefault="00453942" w:rsidP="00DB17E3">
          <w:pPr>
            <w:pStyle w:val="Heading2"/>
            <w:spacing w:after="120"/>
          </w:pPr>
          <w:bookmarkStart w:id="8" w:name="_Toc195626951"/>
          <w:r>
            <w:t>Timescales</w:t>
          </w:r>
          <w:bookmarkEnd w:id="8"/>
        </w:p>
        <w:p w14:paraId="4726462B" w14:textId="77777777" w:rsidR="00453942" w:rsidRPr="00DB17E3" w:rsidRDefault="00453942" w:rsidP="00DB17E3">
          <w:pPr>
            <w:spacing w:after="240"/>
            <w:ind w:right="363"/>
            <w:jc w:val="both"/>
          </w:pPr>
          <w:r w:rsidRPr="00DB17E3">
            <w:t>This procedure recommends as an indicative aspirational timescale that BATc Reviews should be completed within 1 year from the date of publication of the BATc Document for the main activity of the Installation. While this timescale is non-binding, due to the significant workload associated with a BATc review it is strongly recommended that staff adheres to them. It is intended that this will allow SEPA to expedite simpler BATc reviews freeing resource in the longer term to focus on the more complex BATc reviews.</w:t>
          </w:r>
        </w:p>
        <w:p w14:paraId="3FA87BDF" w14:textId="77777777" w:rsidR="00DB17E3" w:rsidRDefault="00480A42" w:rsidP="00DB17E3">
          <w:pPr>
            <w:spacing w:after="240"/>
            <w:ind w:right="363"/>
            <w:jc w:val="both"/>
          </w:pPr>
          <w:r w:rsidRPr="00DB17E3">
            <w:t>Where a review is being undertaken as a consequence of the publication of a BAT conclusions document relating to the main activity of an installation this review and any subsequent variation of the permit must be completed within 4 years from the date of publication.</w:t>
          </w:r>
        </w:p>
        <w:p w14:paraId="0EE3978D" w14:textId="2DD76AC0" w:rsidR="00480A42" w:rsidRDefault="00480A42" w:rsidP="00DB17E3">
          <w:pPr>
            <w:spacing w:after="240"/>
            <w:ind w:right="361"/>
            <w:jc w:val="both"/>
          </w:pPr>
          <w:r>
            <w:t xml:space="preserve">Failure to complete a BATc Review within the </w:t>
          </w:r>
          <w:r w:rsidR="008268F2">
            <w:t>4-year</w:t>
          </w:r>
          <w:r>
            <w:t xml:space="preserve"> review period could result in infraction against the UK. Furthermore as a consequence of the BATc review operators may be required to undertake significant investment and upgrade of site operations.</w:t>
          </w:r>
        </w:p>
        <w:p w14:paraId="35189768" w14:textId="77777777" w:rsidR="00DB17E3" w:rsidRDefault="00DB17E3" w:rsidP="00DB17E3">
          <w:pPr>
            <w:spacing w:after="240"/>
            <w:ind w:right="361"/>
            <w:jc w:val="both"/>
          </w:pPr>
        </w:p>
        <w:p w14:paraId="5A3FA0F0" w14:textId="77777777" w:rsidR="00DB17E3" w:rsidRDefault="00DB17E3" w:rsidP="00DB17E3">
          <w:pPr>
            <w:spacing w:after="240"/>
            <w:ind w:right="361"/>
            <w:jc w:val="both"/>
          </w:pPr>
        </w:p>
        <w:p w14:paraId="67F5AA15" w14:textId="77777777" w:rsidR="00DB17E3" w:rsidRDefault="00DB17E3" w:rsidP="00DB17E3">
          <w:pPr>
            <w:spacing w:after="240"/>
            <w:ind w:right="361"/>
            <w:jc w:val="both"/>
          </w:pPr>
        </w:p>
        <w:p w14:paraId="7C5BDB6B" w14:textId="77777777" w:rsidR="00DB17E3" w:rsidRDefault="00DB17E3" w:rsidP="00DB17E3">
          <w:pPr>
            <w:spacing w:after="240"/>
            <w:ind w:right="361"/>
            <w:jc w:val="both"/>
          </w:pPr>
        </w:p>
        <w:p w14:paraId="5CD2DD66" w14:textId="77777777" w:rsidR="00480A42" w:rsidRDefault="00480A42" w:rsidP="00DB17E3">
          <w:pPr>
            <w:pStyle w:val="Heading1"/>
            <w:spacing w:after="120"/>
            <w:jc w:val="both"/>
          </w:pPr>
          <w:bookmarkStart w:id="9" w:name="_Toc195626952"/>
          <w:r>
            <w:t>Step 1 – Commencement of Review</w:t>
          </w:r>
          <w:bookmarkEnd w:id="9"/>
        </w:p>
        <w:p w14:paraId="536B49E3" w14:textId="77777777" w:rsidR="00480A42" w:rsidRDefault="00480A42" w:rsidP="00DB17E3">
          <w:pPr>
            <w:spacing w:after="240"/>
            <w:ind w:right="363"/>
            <w:jc w:val="both"/>
          </w:pPr>
          <w:r>
            <w:t>The first step of the BATc review process is to confirm with the operator(s) the scope of the review, which BAT conclusions will be considered, and the relevant timescales. SEPA will have written to all operators in advance to confirm the activities carried on at the installation and the main activity, which BATc are applicable, and the anticipated timing of the review for each installation.</w:t>
          </w:r>
        </w:p>
        <w:p w14:paraId="138B5785" w14:textId="77777777" w:rsidR="00480A42" w:rsidRDefault="00480A42" w:rsidP="00DB17E3">
          <w:pPr>
            <w:pStyle w:val="Heading2"/>
            <w:spacing w:after="120"/>
            <w:jc w:val="both"/>
          </w:pPr>
          <w:bookmarkStart w:id="10" w:name="_Toc195626953"/>
          <w:r>
            <w:t>Scope of a review</w:t>
          </w:r>
          <w:bookmarkEnd w:id="10"/>
        </w:p>
        <w:p w14:paraId="63A93EE3" w14:textId="77777777" w:rsidR="00480A42" w:rsidRDefault="00480A42" w:rsidP="00DA536F">
          <w:pPr>
            <w:spacing w:after="191"/>
            <w:ind w:right="358"/>
            <w:jc w:val="both"/>
          </w:pPr>
          <w:r>
            <w:t xml:space="preserve">SEPA </w:t>
          </w:r>
          <w:r>
            <w:rPr>
              <w:b/>
            </w:rPr>
            <w:t xml:space="preserve">must </w:t>
          </w:r>
          <w:r>
            <w:t xml:space="preserve">review </w:t>
          </w:r>
          <w:r>
            <w:rPr>
              <w:b/>
            </w:rPr>
            <w:t xml:space="preserve">all </w:t>
          </w:r>
          <w:r>
            <w:t xml:space="preserve">of the permits at an installation, irrespective of the number of operators involved and whether a permit relates to a non-IED activity. Where a permit is to be reviewed, SEPA must also reconsider </w:t>
          </w:r>
          <w:r>
            <w:rPr>
              <w:b/>
            </w:rPr>
            <w:t xml:space="preserve">every condition </w:t>
          </w:r>
          <w:r>
            <w:t>that is contained within those permits.</w:t>
          </w:r>
        </w:p>
        <w:p w14:paraId="5F6968A9" w14:textId="77777777" w:rsidR="00732123" w:rsidRDefault="00732123" w:rsidP="00DA536F">
          <w:pPr>
            <w:ind w:right="361"/>
            <w:jc w:val="both"/>
          </w:pPr>
          <w:r>
            <w:t>While the trigger for the review period will be the publication of the BAT conclusions document for the main activity of the installation, this does not mean that the review is limited to just those BAT conclusions – it is possible that other BATc will also be applicable.</w:t>
          </w:r>
        </w:p>
        <w:p w14:paraId="75B14579" w14:textId="77777777" w:rsidR="00732123" w:rsidRDefault="00732123" w:rsidP="00DA536F">
          <w:pPr>
            <w:ind w:right="361"/>
            <w:jc w:val="both"/>
          </w:pPr>
        </w:p>
        <w:p w14:paraId="69E100D8" w14:textId="77777777" w:rsidR="00732123" w:rsidRDefault="00732123" w:rsidP="00DA536F">
          <w:pPr>
            <w:ind w:right="361"/>
            <w:jc w:val="both"/>
          </w:pPr>
          <w:r>
            <w:t>It is likely that the BATc covering the main activity of the installation will be within the scope of a vertical BATc where at least one vertical BATc document applies to the activities at the installation. Vertical BATc are those apply only to a discrete activity, group of activities, or an industrial sector.</w:t>
          </w:r>
        </w:p>
        <w:p w14:paraId="589411F2" w14:textId="77777777" w:rsidR="00732123" w:rsidRDefault="00732123" w:rsidP="00DA536F">
          <w:pPr>
            <w:ind w:right="361"/>
            <w:jc w:val="both"/>
          </w:pPr>
        </w:p>
        <w:p w14:paraId="7F79EA66" w14:textId="77777777" w:rsidR="00DB17E3" w:rsidRDefault="00732123" w:rsidP="00DA536F">
          <w:pPr>
            <w:spacing w:after="172" w:line="321" w:lineRule="auto"/>
            <w:ind w:right="361"/>
            <w:jc w:val="both"/>
          </w:pPr>
          <w:r>
            <w:t xml:space="preserve">Horizontal BATc (such as those addressing energy efficiency, industrial cooling systems etc.) cannot cover the main activity at an installation and consequently any review may also need to consider one or more horizontal BATc document, but publication of horizontal BATc will not be the trigger for a permit review at the installation. </w:t>
          </w:r>
        </w:p>
        <w:p w14:paraId="7ACE64CA" w14:textId="77777777" w:rsidR="00DB17E3" w:rsidRDefault="00DB17E3" w:rsidP="00DB17E3">
          <w:pPr>
            <w:pStyle w:val="Heading2"/>
          </w:pPr>
        </w:p>
        <w:p w14:paraId="00EC0A16" w14:textId="77777777" w:rsidR="00DB17E3" w:rsidRDefault="00DB17E3" w:rsidP="00DB17E3"/>
        <w:p w14:paraId="44F3CDF2" w14:textId="77777777" w:rsidR="00DB17E3" w:rsidRPr="00DB17E3" w:rsidRDefault="00DB17E3" w:rsidP="00DB17E3"/>
        <w:p w14:paraId="1159B4CA" w14:textId="77777777" w:rsidR="00DB17E3" w:rsidRDefault="00DB17E3" w:rsidP="00DB17E3">
          <w:pPr>
            <w:pStyle w:val="Heading2"/>
          </w:pPr>
        </w:p>
        <w:p w14:paraId="59BB4B4E" w14:textId="77777777" w:rsidR="00DB17E3" w:rsidRPr="00DB17E3" w:rsidRDefault="00DB17E3" w:rsidP="00DB17E3"/>
        <w:p w14:paraId="46345D0A" w14:textId="77777777" w:rsidR="00DB17E3" w:rsidRDefault="00732123" w:rsidP="005076F8">
          <w:pPr>
            <w:pStyle w:val="Heading2"/>
            <w:spacing w:after="120"/>
          </w:pPr>
          <w:r>
            <w:t>Timing of reviews</w:t>
          </w:r>
        </w:p>
        <w:p w14:paraId="201DE530" w14:textId="16CF424D" w:rsidR="00732123" w:rsidRDefault="00732123" w:rsidP="005076F8">
          <w:pPr>
            <w:spacing w:after="240"/>
            <w:ind w:right="363"/>
            <w:jc w:val="both"/>
          </w:pPr>
          <w:r>
            <w:t>A permit review would be required where the main activity of the installation is covered by a BATc. It is expected that this will be the main reason for SEPA reviewing permits and may result in each permit being reviewed roughly once every 8 years. This is the frequency at which the IED suggests BATc should be reviewed and republished.</w:t>
          </w:r>
        </w:p>
        <w:p w14:paraId="0CF8FF15" w14:textId="282F3E6B" w:rsidR="00732123" w:rsidRDefault="00732123" w:rsidP="005076F8">
          <w:pPr>
            <w:spacing w:after="240"/>
            <w:ind w:right="363"/>
            <w:jc w:val="both"/>
          </w:pPr>
          <w:r>
            <w:t xml:space="preserve">Where a review is being undertaken as a consequence of the publication of BATc relating to the main activity of an installation, this review and any subsequent variation of the permit(s) must be completed within a period of up to 4 years from the date of BATc publication. Failure to complete a BATc Review within the </w:t>
          </w:r>
          <w:r w:rsidR="008268F2">
            <w:t>4-year</w:t>
          </w:r>
          <w:r>
            <w:t xml:space="preserve"> review period could result in infraction against the UK.</w:t>
          </w:r>
        </w:p>
        <w:p w14:paraId="122D228E" w14:textId="377A5C6C" w:rsidR="00732123" w:rsidRDefault="00732123" w:rsidP="005076F8">
          <w:pPr>
            <w:spacing w:after="240"/>
            <w:ind w:right="363"/>
            <w:jc w:val="both"/>
          </w:pPr>
          <w:r>
            <w:t xml:space="preserve">Furthermore, as a consequence of the BATc review, operators may be required to undertake significant investment and upgrade of site operations. The Operator must employ BAT by the end of the </w:t>
          </w:r>
          <w:r w:rsidR="008268F2">
            <w:t>4-year</w:t>
          </w:r>
          <w:r>
            <w:t xml:space="preserve"> review period and have made any necessary upgrades by this time.</w:t>
          </w:r>
        </w:p>
        <w:p w14:paraId="611242DF" w14:textId="6C3874FF" w:rsidR="005A142B" w:rsidRDefault="00732123" w:rsidP="005076F8">
          <w:pPr>
            <w:spacing w:after="240"/>
            <w:ind w:right="363"/>
            <w:jc w:val="both"/>
          </w:pPr>
          <w:r>
            <w:t>When a BATc covering an activity that is not the main activity at the installation is published there is no requirement to review the permit(s) as a consequence. The installation wide review of all permits would be prompted only by the publication of the BATc for the main activity at the installation. At this stage SEPA is required to take all relevant BATc into account.</w:t>
          </w:r>
        </w:p>
        <w:p w14:paraId="467E15FA" w14:textId="77777777" w:rsidR="005076F8" w:rsidRDefault="00732123" w:rsidP="005076F8">
          <w:pPr>
            <w:spacing w:after="240"/>
            <w:ind w:right="363"/>
            <w:jc w:val="both"/>
          </w:pPr>
          <w:r>
            <w:t xml:space="preserve">However, whenever a relevant BATc is published for an activity that is </w:t>
          </w:r>
          <w:r>
            <w:rPr>
              <w:b/>
            </w:rPr>
            <w:t xml:space="preserve">not </w:t>
          </w:r>
          <w:r>
            <w:t>the main activity, it is good practice for SEPA and the operator to consider the potential consequences of this BATc for the next installation wide review.</w:t>
          </w:r>
        </w:p>
        <w:p w14:paraId="24E1925B" w14:textId="78444ADE" w:rsidR="00732123" w:rsidRDefault="00732123" w:rsidP="00DA536F">
          <w:pPr>
            <w:spacing w:after="186"/>
            <w:ind w:right="361"/>
            <w:jc w:val="both"/>
          </w:pPr>
          <w:r>
            <w:t xml:space="preserve">Where no BAT conclusions document covers an installation’s main activity, but it is known that there have been developments in BAT that would allow a significant reduction in emissions a review must be carried out. </w:t>
          </w:r>
          <w:r w:rsidR="000B6FA9">
            <w:t>S</w:t>
          </w:r>
          <w:r>
            <w:t xml:space="preserve">chedule 26 </w:t>
          </w:r>
          <w:r w:rsidR="00827DEF">
            <w:t>permit-level</w:t>
          </w:r>
          <w:r>
            <w:t xml:space="preserve"> activities may not fall within the scope of a BATc but it is possible there may be grounds for permit reviews. However, sufficient developments in BAT that would allow a significant reduction in emissions would need to be demonstrated. The relevant SEPA sector delivery group will determine whether there have been developments in BAT that would require a permit to be reviewed.</w:t>
          </w:r>
        </w:p>
        <w:p w14:paraId="36C960F5" w14:textId="77777777" w:rsidR="00732123" w:rsidRDefault="00732123" w:rsidP="005076F8">
          <w:pPr>
            <w:pStyle w:val="Heading2"/>
            <w:spacing w:after="120"/>
            <w:jc w:val="both"/>
          </w:pPr>
          <w:bookmarkStart w:id="11" w:name="_Toc195626954"/>
          <w:r>
            <w:t>Determining main activity</w:t>
          </w:r>
          <w:bookmarkEnd w:id="11"/>
        </w:p>
        <w:p w14:paraId="2958261E" w14:textId="141A5489" w:rsidR="00F53243" w:rsidRDefault="00732123" w:rsidP="005076F8">
          <w:pPr>
            <w:spacing w:after="240"/>
            <w:ind w:right="363"/>
            <w:jc w:val="both"/>
          </w:pPr>
          <w:r>
            <w:t>The main activity at an installation should almost always be judged in the context of vertical BATc documents only, as horizontal BATc by definition cannot ordinarily cover the main activity at an installation.</w:t>
          </w:r>
        </w:p>
        <w:p w14:paraId="676276FC" w14:textId="5129C7A3" w:rsidR="00F53243" w:rsidRDefault="00732123" w:rsidP="005076F8">
          <w:pPr>
            <w:spacing w:after="240"/>
            <w:ind w:right="363"/>
            <w:jc w:val="both"/>
          </w:pPr>
          <w:r>
            <w:t>Many installations will involve activities that are covered by just a single vertical BATc document, in which case there is no need to determine which activity is the main activity at the installation; the activity that is covered by the single relevant BATc document is considered to be the main activity.</w:t>
          </w:r>
        </w:p>
        <w:p w14:paraId="06DE0705" w14:textId="5DB0D378" w:rsidR="00732123" w:rsidRDefault="00732123" w:rsidP="005076F8">
          <w:pPr>
            <w:spacing w:after="240"/>
            <w:ind w:right="363"/>
            <w:jc w:val="both"/>
          </w:pPr>
          <w:r>
            <w:t xml:space="preserve">However, at a relatively small number of installations, two or more vertical BATc apply, and the ‘main activity’ must be determined. SEPA uses consideration of the “primary activity” of the installation - consequently, at an installation for the manufacture of chemicals with steam raising boilers and a </w:t>
          </w:r>
          <w:r w:rsidR="008268F2">
            <w:t>wastewater</w:t>
          </w:r>
          <w:r>
            <w:t xml:space="preserve"> treatment plant, the main activity is the manufacture of chemicals rather, than the combustion of fuels or </w:t>
          </w:r>
          <w:r w:rsidR="00BD422E">
            <w:t>wastewater</w:t>
          </w:r>
          <w:r>
            <w:t xml:space="preserve"> treatment. This approach is fully consistent with one of the European Commission’s suggestions in its FAQs.</w:t>
          </w:r>
        </w:p>
        <w:p w14:paraId="2F26356C" w14:textId="506F91A0" w:rsidR="00F53243" w:rsidRDefault="00F53243" w:rsidP="005076F8">
          <w:pPr>
            <w:pStyle w:val="Heading2"/>
            <w:spacing w:after="120"/>
            <w:jc w:val="both"/>
          </w:pPr>
          <w:bookmarkStart w:id="12" w:name="_Toc195626955"/>
          <w:r>
            <w:t>Mechanism for reviews</w:t>
          </w:r>
          <w:bookmarkEnd w:id="12"/>
        </w:p>
        <w:p w14:paraId="051A0376" w14:textId="71A3FCD4" w:rsidR="005076F8" w:rsidRDefault="2480B4C0" w:rsidP="005076F8">
          <w:pPr>
            <w:spacing w:after="240"/>
            <w:ind w:right="363"/>
            <w:jc w:val="both"/>
          </w:pPr>
          <w:r>
            <w:t xml:space="preserve">Where the installation has only a single permit the review should be carried out under </w:t>
          </w:r>
          <w:r w:rsidR="008A4A3C">
            <w:t xml:space="preserve">schedule 20 paragraph 13 </w:t>
          </w:r>
          <w:r>
            <w:t>of EASR.</w:t>
          </w:r>
        </w:p>
        <w:p w14:paraId="680F6496" w14:textId="16B88E6A" w:rsidR="00F53243" w:rsidRDefault="00F53243" w:rsidP="005076F8">
          <w:pPr>
            <w:spacing w:after="240"/>
            <w:ind w:right="363"/>
            <w:jc w:val="both"/>
          </w:pPr>
          <w:r>
            <w:t>Where the installation has multiple permits, reviews of “additional” permits at the installation (i.e. those that aren’t for the main activity) may need to be carried out at the same time. The IED requires that reviews must be conducted on an installation wide basis.</w:t>
          </w:r>
        </w:p>
        <w:p w14:paraId="6D18F6B2" w14:textId="77777777" w:rsidR="005076F8" w:rsidRDefault="005076F8" w:rsidP="00DA536F">
          <w:pPr>
            <w:ind w:right="361"/>
            <w:jc w:val="both"/>
          </w:pPr>
        </w:p>
        <w:p w14:paraId="7934BC66" w14:textId="77777777" w:rsidR="005076F8" w:rsidRDefault="005076F8" w:rsidP="00DA536F">
          <w:pPr>
            <w:ind w:right="361"/>
            <w:jc w:val="both"/>
          </w:pPr>
        </w:p>
        <w:p w14:paraId="042D5950" w14:textId="77777777" w:rsidR="005076F8" w:rsidRDefault="005076F8" w:rsidP="00DA536F">
          <w:pPr>
            <w:ind w:right="361"/>
            <w:jc w:val="both"/>
          </w:pPr>
        </w:p>
        <w:p w14:paraId="4860BB98" w14:textId="77777777" w:rsidR="005076F8" w:rsidRDefault="005076F8" w:rsidP="00DA536F">
          <w:pPr>
            <w:ind w:right="361"/>
            <w:jc w:val="both"/>
          </w:pPr>
        </w:p>
        <w:p w14:paraId="2E10D4A6" w14:textId="77777777" w:rsidR="00F53243" w:rsidRDefault="00F53243" w:rsidP="00DA536F">
          <w:pPr>
            <w:ind w:right="361"/>
            <w:jc w:val="both"/>
          </w:pPr>
        </w:p>
        <w:p w14:paraId="3192C46E" w14:textId="77777777" w:rsidR="00F53243" w:rsidRDefault="00F53243" w:rsidP="005076F8">
          <w:pPr>
            <w:pStyle w:val="Heading1"/>
            <w:spacing w:after="120"/>
            <w:jc w:val="both"/>
          </w:pPr>
          <w:bookmarkStart w:id="13" w:name="_Toc195626956"/>
          <w:r>
            <w:t>Step 2 – Stage 1 BAT Assessment – review existing information</w:t>
          </w:r>
          <w:bookmarkEnd w:id="13"/>
        </w:p>
        <w:p w14:paraId="6686860D" w14:textId="77777777" w:rsidR="00F53243" w:rsidRDefault="00F53243" w:rsidP="005076F8">
          <w:pPr>
            <w:spacing w:after="240"/>
            <w:ind w:right="363"/>
            <w:jc w:val="both"/>
          </w:pPr>
          <w:r>
            <w:t xml:space="preserve">The next stage in the BATc Review is to assess any compliance gaps which may require the submission of further information. </w:t>
          </w:r>
        </w:p>
        <w:p w14:paraId="51D1959C" w14:textId="77777777" w:rsidR="00F53243" w:rsidRDefault="00F53243" w:rsidP="005076F8">
          <w:pPr>
            <w:pStyle w:val="Heading2"/>
            <w:spacing w:after="120"/>
            <w:jc w:val="both"/>
          </w:pPr>
          <w:bookmarkStart w:id="14" w:name="_Toc195626957"/>
          <w:r>
            <w:t>Best Available Techniques</w:t>
          </w:r>
          <w:bookmarkEnd w:id="14"/>
        </w:p>
        <w:p w14:paraId="7065694C" w14:textId="77777777" w:rsidR="00F53243" w:rsidRDefault="00F53243" w:rsidP="005076F8">
          <w:pPr>
            <w:spacing w:after="240"/>
            <w:ind w:right="363"/>
            <w:jc w:val="both"/>
          </w:pPr>
          <w:r>
            <w:t>Any relevant changes to site-specific BAT since the permit was granted should be examined, and then the scope of relevant BATc must be assessed. SEPA will undertake this assessment based in its understanding of the installation from: on the ground knowledge; permit and variation applications; previous decision documents; reports; and inspections.</w:t>
          </w:r>
        </w:p>
        <w:p w14:paraId="7D856A76" w14:textId="77777777" w:rsidR="00F53243" w:rsidRDefault="00F53243" w:rsidP="005076F8">
          <w:pPr>
            <w:spacing w:after="240"/>
            <w:ind w:right="363"/>
            <w:jc w:val="both"/>
          </w:pPr>
          <w:r>
            <w:t>In order to ensure the BATc review process is as efficient as possible and not overly onerous for SEPA or the operator(s), it is crucial any areas already known to be compliant or that employ BAT are identified. Aspects already known to be compliant or BAT do not need to be reappraised. The SEPA inspector should determine if it is necessary to collect other information from the operator(s) and ensure that any additional information that needs to be requested is targeted.</w:t>
          </w:r>
        </w:p>
        <w:p w14:paraId="025239C4" w14:textId="77777777" w:rsidR="00F53243" w:rsidRDefault="00F53243" w:rsidP="005076F8">
          <w:pPr>
            <w:pStyle w:val="Heading2"/>
            <w:spacing w:after="120"/>
            <w:jc w:val="both"/>
          </w:pPr>
          <w:bookmarkStart w:id="15" w:name="_Toc195626958"/>
          <w:r>
            <w:t>Baseline Reports</w:t>
          </w:r>
          <w:bookmarkEnd w:id="15"/>
        </w:p>
        <w:p w14:paraId="29068B6C" w14:textId="77777777" w:rsidR="005076F8" w:rsidRDefault="00F53243" w:rsidP="005076F8">
          <w:pPr>
            <w:spacing w:after="240"/>
            <w:ind w:right="363"/>
            <w:jc w:val="both"/>
          </w:pPr>
          <w:r>
            <w:t>The IED introduced additional site condition requirements for installations, namely a requirement to quantify baseline site condition for relevant hazardous substances (RHS) and to undertake periodic monitoring of soil and groundwater. Installations permitted prior to implementation of the IED were previously exempt from the requirement to submit a baseline report for relevant hazardous substances (RHS).</w:t>
          </w:r>
        </w:p>
        <w:p w14:paraId="44F03932" w14:textId="13C03361" w:rsidR="00F53243" w:rsidRDefault="00F53243" w:rsidP="00DA536F">
          <w:pPr>
            <w:spacing w:after="183"/>
            <w:ind w:right="361"/>
            <w:jc w:val="both"/>
          </w:pPr>
          <w:r>
            <w:t>The commencement of the first permit review (since</w:t>
          </w:r>
          <w:r w:rsidR="002D2199">
            <w:t xml:space="preserve"> the now superseded</w:t>
          </w:r>
          <w:r>
            <w:t xml:space="preserve"> PPC 2012 came into force) acts as trigger for the requirement to submit a baseline report. It is likely that RHS will be present at most installations; it is therefore recommended that operators are asked to carry out an assessment of the RHS present at the installation and to review the existing site report at the </w:t>
          </w:r>
          <w:r>
            <w:rPr>
              <w:u w:val="single" w:color="000000"/>
            </w:rPr>
            <w:t xml:space="preserve">start </w:t>
          </w:r>
          <w:r>
            <w:t>of the first permit review process. Further information can be found in Appendix 1.</w:t>
          </w:r>
        </w:p>
        <w:p w14:paraId="4ECF195E" w14:textId="7B629BB8" w:rsidR="00F53243" w:rsidRDefault="00F53243" w:rsidP="005076F8">
          <w:pPr>
            <w:pStyle w:val="Heading2"/>
            <w:spacing w:after="120"/>
            <w:jc w:val="both"/>
          </w:pPr>
          <w:bookmarkStart w:id="16" w:name="_Toc195626959"/>
          <w:r>
            <w:t>Compliant Permit Conditions</w:t>
          </w:r>
          <w:bookmarkEnd w:id="16"/>
        </w:p>
        <w:p w14:paraId="7A0CFBB1" w14:textId="0E124FD9" w:rsidR="00F53243" w:rsidRPr="00423D83" w:rsidRDefault="00F53243" w:rsidP="005076F8">
          <w:pPr>
            <w:spacing w:after="240"/>
            <w:jc w:val="both"/>
            <w:rPr>
              <w:lang w:val="en-US"/>
            </w:rPr>
          </w:pPr>
          <w:r w:rsidRPr="00423D83">
            <w:rPr>
              <w:lang w:val="en-US"/>
            </w:rPr>
            <w:t>EASR has a number of specific objectives</w:t>
          </w:r>
          <w:r>
            <w:rPr>
              <w:lang w:val="en-US"/>
            </w:rPr>
            <w:t xml:space="preserve"> which must be addressed by the Permit </w:t>
          </w:r>
          <w:r w:rsidR="00D81EDE">
            <w:rPr>
              <w:lang w:val="en-US"/>
            </w:rPr>
            <w:t>conditions:-</w:t>
          </w:r>
        </w:p>
        <w:p w14:paraId="5F20BF9E" w14:textId="220319D2" w:rsidR="00F53243" w:rsidRDefault="005076F8" w:rsidP="005076F8">
          <w:pPr>
            <w:numPr>
              <w:ilvl w:val="4"/>
              <w:numId w:val="32"/>
            </w:numPr>
            <w:spacing w:after="240"/>
            <w:ind w:right="375"/>
            <w:jc w:val="both"/>
            <w:rPr>
              <w:lang w:val="en-US"/>
            </w:rPr>
          </w:pPr>
          <w:r>
            <w:rPr>
              <w:lang w:val="en-US"/>
            </w:rPr>
            <w:t>T</w:t>
          </w:r>
          <w:r w:rsidR="00F53243" w:rsidRPr="00423D83">
            <w:rPr>
              <w:lang w:val="en-US"/>
            </w:rPr>
            <w:t>hat no significant pollution is caused</w:t>
          </w:r>
          <w:r>
            <w:rPr>
              <w:lang w:val="en-US"/>
            </w:rPr>
            <w:t>.</w:t>
          </w:r>
        </w:p>
        <w:p w14:paraId="0F49B754" w14:textId="2D6751C8" w:rsidR="000B122E" w:rsidRPr="00423D83" w:rsidRDefault="005076F8" w:rsidP="005076F8">
          <w:pPr>
            <w:numPr>
              <w:ilvl w:val="4"/>
              <w:numId w:val="32"/>
            </w:numPr>
            <w:spacing w:after="240"/>
            <w:ind w:right="375"/>
            <w:jc w:val="both"/>
            <w:rPr>
              <w:lang w:val="en-US"/>
            </w:rPr>
          </w:pPr>
          <w:r>
            <w:rPr>
              <w:lang w:val="en-US"/>
            </w:rPr>
            <w:t>T</w:t>
          </w:r>
          <w:r w:rsidR="000B122E" w:rsidRPr="00423D83">
            <w:rPr>
              <w:lang w:val="en-US"/>
            </w:rPr>
            <w:t>o prevent or reduce emissions from installations by applying BAT</w:t>
          </w:r>
          <w:r>
            <w:rPr>
              <w:lang w:val="en-US"/>
            </w:rPr>
            <w:t>.</w:t>
          </w:r>
        </w:p>
        <w:p w14:paraId="1A0ACCC9" w14:textId="2F4A4DE2" w:rsidR="000B122E" w:rsidRPr="00423D83" w:rsidRDefault="005076F8" w:rsidP="005076F8">
          <w:pPr>
            <w:numPr>
              <w:ilvl w:val="4"/>
              <w:numId w:val="32"/>
            </w:numPr>
            <w:spacing w:after="240"/>
            <w:ind w:right="375"/>
            <w:jc w:val="both"/>
            <w:rPr>
              <w:lang w:val="en-US"/>
            </w:rPr>
          </w:pPr>
          <w:r>
            <w:rPr>
              <w:lang w:val="en-US"/>
            </w:rPr>
            <w:t>T</w:t>
          </w:r>
          <w:r w:rsidR="000B122E" w:rsidRPr="00423D83">
            <w:rPr>
              <w:lang w:val="en-US"/>
            </w:rPr>
            <w:t>o encourage the development of emerging techniques</w:t>
          </w:r>
          <w:r>
            <w:rPr>
              <w:lang w:val="en-US"/>
            </w:rPr>
            <w:t>.</w:t>
          </w:r>
        </w:p>
        <w:p w14:paraId="2B5F087F" w14:textId="54C0160E" w:rsidR="000B122E" w:rsidRPr="00423D83" w:rsidRDefault="005076F8" w:rsidP="005076F8">
          <w:pPr>
            <w:numPr>
              <w:ilvl w:val="4"/>
              <w:numId w:val="32"/>
            </w:numPr>
            <w:spacing w:after="240"/>
            <w:ind w:right="375"/>
            <w:jc w:val="both"/>
            <w:rPr>
              <w:lang w:val="en-US"/>
            </w:rPr>
          </w:pPr>
          <w:r>
            <w:rPr>
              <w:lang w:val="en-US"/>
            </w:rPr>
            <w:t>T</w:t>
          </w:r>
          <w:r w:rsidR="000B122E" w:rsidRPr="00423D83">
            <w:rPr>
              <w:lang w:val="en-US"/>
            </w:rPr>
            <w:t xml:space="preserve">o minimise waste generated and overall emissions, whether solid, </w:t>
          </w:r>
          <w:r w:rsidR="00FB6CE3" w:rsidRPr="00423D83">
            <w:rPr>
              <w:lang w:val="en-US"/>
            </w:rPr>
            <w:t>liquid,</w:t>
          </w:r>
          <w:r w:rsidR="000B122E" w:rsidRPr="00423D83">
            <w:rPr>
              <w:lang w:val="en-US"/>
            </w:rPr>
            <w:t xml:space="preserve"> or gaseous, with the emphasis on developing clean technologies rather than relying on end-of-pipe solutions</w:t>
          </w:r>
          <w:r>
            <w:rPr>
              <w:lang w:val="en-US"/>
            </w:rPr>
            <w:t>.</w:t>
          </w:r>
        </w:p>
        <w:p w14:paraId="77D5C2EE" w14:textId="6FAD2255" w:rsidR="000B122E" w:rsidRPr="00423D83" w:rsidRDefault="005076F8" w:rsidP="005076F8">
          <w:pPr>
            <w:numPr>
              <w:ilvl w:val="4"/>
              <w:numId w:val="32"/>
            </w:numPr>
            <w:spacing w:after="240"/>
            <w:ind w:right="375"/>
            <w:jc w:val="both"/>
            <w:rPr>
              <w:lang w:val="en-US"/>
            </w:rPr>
          </w:pPr>
          <w:r>
            <w:rPr>
              <w:lang w:val="en-US"/>
            </w:rPr>
            <w:t>T</w:t>
          </w:r>
          <w:r w:rsidR="000B122E" w:rsidRPr="00423D83">
            <w:rPr>
              <w:lang w:val="en-US"/>
            </w:rPr>
            <w:t>o minimise energy and raw material (including water) consumption</w:t>
          </w:r>
          <w:r>
            <w:rPr>
              <w:lang w:val="en-US"/>
            </w:rPr>
            <w:t>.</w:t>
          </w:r>
        </w:p>
        <w:p w14:paraId="5EA419A6" w14:textId="598BBE29" w:rsidR="000B122E" w:rsidRPr="00423D83" w:rsidRDefault="005076F8" w:rsidP="005076F8">
          <w:pPr>
            <w:numPr>
              <w:ilvl w:val="4"/>
              <w:numId w:val="32"/>
            </w:numPr>
            <w:spacing w:after="240"/>
            <w:ind w:right="375"/>
            <w:jc w:val="both"/>
            <w:rPr>
              <w:lang w:val="en-US"/>
            </w:rPr>
          </w:pPr>
          <w:r>
            <w:rPr>
              <w:lang w:val="en-US"/>
            </w:rPr>
            <w:t>T</w:t>
          </w:r>
          <w:r w:rsidR="000B122E" w:rsidRPr="00423D83">
            <w:rPr>
              <w:lang w:val="en-US"/>
            </w:rPr>
            <w:t>o prevent accidents that could have an environmental impact and minimise the consequences of any accidents that do occur and</w:t>
          </w:r>
        </w:p>
        <w:p w14:paraId="5878D270" w14:textId="2CF69244" w:rsidR="000B122E" w:rsidRPr="00423D83" w:rsidRDefault="005076F8" w:rsidP="005076F8">
          <w:pPr>
            <w:numPr>
              <w:ilvl w:val="4"/>
              <w:numId w:val="32"/>
            </w:numPr>
            <w:spacing w:after="240"/>
            <w:ind w:right="375"/>
            <w:jc w:val="both"/>
            <w:rPr>
              <w:lang w:val="en-US"/>
            </w:rPr>
          </w:pPr>
          <w:r>
            <w:rPr>
              <w:lang w:val="en-US"/>
            </w:rPr>
            <w:t xml:space="preserve">To ensure </w:t>
          </w:r>
          <w:r w:rsidR="000B122E" w:rsidRPr="00423D83">
            <w:rPr>
              <w:lang w:val="en-US"/>
            </w:rPr>
            <w:t>that on cessation of the activity the site is returned to satisfactory state.</w:t>
          </w:r>
        </w:p>
        <w:p w14:paraId="611A7114" w14:textId="77777777" w:rsidR="009D1818" w:rsidRDefault="009D1818" w:rsidP="005076F8">
          <w:pPr>
            <w:pStyle w:val="Heading2"/>
            <w:spacing w:after="120"/>
            <w:jc w:val="both"/>
          </w:pPr>
          <w:bookmarkStart w:id="17" w:name="_Toc195626960"/>
          <w:r>
            <w:t>BATc Reviews and Medium Combustion Plant on Installations</w:t>
          </w:r>
          <w:bookmarkEnd w:id="17"/>
        </w:p>
        <w:p w14:paraId="1425BBEE" w14:textId="2C2BEA28" w:rsidR="009D1818" w:rsidRDefault="009D1818" w:rsidP="005076F8">
          <w:pPr>
            <w:spacing w:after="240"/>
            <w:ind w:right="361"/>
            <w:jc w:val="both"/>
          </w:pPr>
          <w:r>
            <w:t xml:space="preserve">Medium Combustion Plant (MCP) are sized between 1-50MW. “New” medium combustion plant are defined as plant which are “put into operation” after 20 December 2018. Existing plant are the converse i.e. they were already operating prior to 20.12.18. Existing plant require to be registered and meet ELVs based on their size </w:t>
          </w:r>
          <w:r w:rsidR="005076F8">
            <w:t xml:space="preserve">in Table 1 </w:t>
          </w:r>
          <w:r>
            <w:t>as follows:</w:t>
          </w:r>
        </w:p>
        <w:p w14:paraId="6D238179" w14:textId="05E7F96B" w:rsidR="005076F8" w:rsidRPr="005076F8" w:rsidRDefault="005076F8" w:rsidP="005076F8">
          <w:pPr>
            <w:spacing w:after="240"/>
            <w:ind w:right="361"/>
            <w:jc w:val="both"/>
            <w:rPr>
              <w:b/>
              <w:bCs/>
            </w:rPr>
          </w:pPr>
          <w:r w:rsidRPr="005076F8">
            <w:rPr>
              <w:b/>
              <w:bCs/>
            </w:rPr>
            <w:t>Table 1</w:t>
          </w:r>
          <w:r>
            <w:rPr>
              <w:b/>
              <w:bCs/>
            </w:rPr>
            <w:t xml:space="preserve"> MCP ELV compliance dates</w:t>
          </w:r>
        </w:p>
        <w:tbl>
          <w:tblPr>
            <w:tblStyle w:val="TableGrid"/>
            <w:tblW w:w="8930" w:type="dxa"/>
            <w:tblInd w:w="416" w:type="dxa"/>
            <w:tblCellMar>
              <w:top w:w="117" w:type="dxa"/>
              <w:left w:w="105" w:type="dxa"/>
              <w:right w:w="115" w:type="dxa"/>
            </w:tblCellMar>
            <w:tblLook w:val="04A0" w:firstRow="1" w:lastRow="0" w:firstColumn="1" w:lastColumn="0" w:noHBand="0" w:noVBand="1"/>
            <w:tblDescription w:val="This tale splits MCP capacity in 1 to 5 MW and 5 - 50MW and gives their ELV compliance dates as 1 January 2025 and 1 January 2030 respectively. "/>
          </w:tblPr>
          <w:tblGrid>
            <w:gridCol w:w="2587"/>
            <w:gridCol w:w="3182"/>
            <w:gridCol w:w="3161"/>
          </w:tblGrid>
          <w:tr w:rsidR="009D1818" w14:paraId="0AD3739C" w14:textId="77777777" w:rsidTr="00E6048A">
            <w:trPr>
              <w:trHeight w:val="457"/>
            </w:trPr>
            <w:tc>
              <w:tcPr>
                <w:tcW w:w="2587" w:type="dxa"/>
                <w:tcBorders>
                  <w:top w:val="single" w:sz="8" w:space="0" w:color="CCCCCC"/>
                  <w:left w:val="single" w:sz="8" w:space="0" w:color="CCCCCC"/>
                  <w:bottom w:val="single" w:sz="22" w:space="0" w:color="FFFFFF"/>
                  <w:right w:val="single" w:sz="8" w:space="0" w:color="CCCCCC"/>
                </w:tcBorders>
                <w:shd w:val="clear" w:color="auto" w:fill="DFE9EE"/>
                <w:vAlign w:val="center"/>
              </w:tcPr>
              <w:p w14:paraId="325738D9" w14:textId="77777777" w:rsidR="009D1818" w:rsidRDefault="009D1818" w:rsidP="005076F8">
                <w:pPr>
                  <w:spacing w:after="120" w:line="240" w:lineRule="auto"/>
                  <w:ind w:left="64"/>
                  <w:jc w:val="both"/>
                </w:pPr>
                <w:r>
                  <w:t>Size</w:t>
                </w:r>
              </w:p>
            </w:tc>
            <w:tc>
              <w:tcPr>
                <w:tcW w:w="3182" w:type="dxa"/>
                <w:tcBorders>
                  <w:top w:val="single" w:sz="8" w:space="0" w:color="CCCCCC"/>
                  <w:left w:val="single" w:sz="8" w:space="0" w:color="CCCCCC"/>
                  <w:bottom w:val="single" w:sz="22" w:space="0" w:color="FFFFFF"/>
                  <w:right w:val="single" w:sz="8" w:space="0" w:color="CCCCCC"/>
                </w:tcBorders>
                <w:shd w:val="clear" w:color="auto" w:fill="DFE9EE"/>
                <w:vAlign w:val="center"/>
              </w:tcPr>
              <w:p w14:paraId="572CB2C6" w14:textId="77777777" w:rsidR="009D1818" w:rsidRDefault="009D1818" w:rsidP="005076F8">
                <w:pPr>
                  <w:spacing w:after="120" w:line="240" w:lineRule="auto"/>
                  <w:ind w:left="70"/>
                  <w:jc w:val="both"/>
                </w:pPr>
                <w:r>
                  <w:t>Register/permit</w:t>
                </w:r>
              </w:p>
            </w:tc>
            <w:tc>
              <w:tcPr>
                <w:tcW w:w="3161" w:type="dxa"/>
                <w:tcBorders>
                  <w:top w:val="single" w:sz="8" w:space="0" w:color="CCCCCC"/>
                  <w:left w:val="single" w:sz="8" w:space="0" w:color="CCCCCC"/>
                  <w:bottom w:val="single" w:sz="22" w:space="0" w:color="FFFFFF"/>
                  <w:right w:val="single" w:sz="8" w:space="0" w:color="CCCCCC"/>
                </w:tcBorders>
                <w:shd w:val="clear" w:color="auto" w:fill="DFE9EE"/>
                <w:vAlign w:val="center"/>
              </w:tcPr>
              <w:p w14:paraId="68D33CE1" w14:textId="77777777" w:rsidR="009D1818" w:rsidRDefault="009D1818" w:rsidP="005076F8">
                <w:pPr>
                  <w:spacing w:after="120" w:line="240" w:lineRule="auto"/>
                  <w:ind w:left="73"/>
                  <w:jc w:val="both"/>
                </w:pPr>
                <w:r>
                  <w:t>Comply with ELVs</w:t>
                </w:r>
              </w:p>
            </w:tc>
          </w:tr>
          <w:tr w:rsidR="009D1818" w14:paraId="7AC476E1" w14:textId="77777777" w:rsidTr="00E6048A">
            <w:trPr>
              <w:trHeight w:val="508"/>
            </w:trPr>
            <w:tc>
              <w:tcPr>
                <w:tcW w:w="2587" w:type="dxa"/>
                <w:tcBorders>
                  <w:top w:val="single" w:sz="22" w:space="0" w:color="FFFFFF"/>
                  <w:left w:val="single" w:sz="8" w:space="0" w:color="CCCCCC"/>
                  <w:bottom w:val="single" w:sz="8" w:space="0" w:color="CCCCCC"/>
                  <w:right w:val="single" w:sz="8" w:space="0" w:color="CCCCCC"/>
                </w:tcBorders>
                <w:vAlign w:val="center"/>
              </w:tcPr>
              <w:p w14:paraId="6D06E26A" w14:textId="77777777" w:rsidR="009D1818" w:rsidRDefault="009D1818" w:rsidP="005076F8">
                <w:pPr>
                  <w:spacing w:after="240"/>
                  <w:jc w:val="both"/>
                </w:pPr>
                <w:r>
                  <w:t>5-50MW</w:t>
                </w:r>
              </w:p>
            </w:tc>
            <w:tc>
              <w:tcPr>
                <w:tcW w:w="3182" w:type="dxa"/>
                <w:tcBorders>
                  <w:top w:val="single" w:sz="22" w:space="0" w:color="FFFFFF"/>
                  <w:left w:val="single" w:sz="8" w:space="0" w:color="CCCCCC"/>
                  <w:bottom w:val="single" w:sz="8" w:space="0" w:color="CCCCCC"/>
                  <w:right w:val="single" w:sz="8" w:space="0" w:color="CCCCCC"/>
                </w:tcBorders>
                <w:vAlign w:val="center"/>
              </w:tcPr>
              <w:p w14:paraId="3C28E5EF" w14:textId="77777777" w:rsidR="009D1818" w:rsidRDefault="009D1818" w:rsidP="005076F8">
                <w:pPr>
                  <w:spacing w:after="240"/>
                  <w:ind w:left="6"/>
                  <w:jc w:val="both"/>
                </w:pPr>
                <w:r>
                  <w:t>1 Jan 2024</w:t>
                </w:r>
              </w:p>
            </w:tc>
            <w:tc>
              <w:tcPr>
                <w:tcW w:w="3161" w:type="dxa"/>
                <w:tcBorders>
                  <w:top w:val="single" w:sz="22" w:space="0" w:color="FFFFFF"/>
                  <w:left w:val="single" w:sz="8" w:space="0" w:color="CCCCCC"/>
                  <w:bottom w:val="single" w:sz="8" w:space="0" w:color="CCCCCC"/>
                  <w:right w:val="single" w:sz="8" w:space="0" w:color="CCCCCC"/>
                </w:tcBorders>
                <w:vAlign w:val="center"/>
              </w:tcPr>
              <w:p w14:paraId="0809CB2F" w14:textId="77777777" w:rsidR="009D1818" w:rsidRDefault="009D1818" w:rsidP="005076F8">
                <w:pPr>
                  <w:spacing w:after="240"/>
                  <w:ind w:left="6"/>
                  <w:jc w:val="both"/>
                </w:pPr>
                <w:r>
                  <w:t>1 Jan 2025</w:t>
                </w:r>
              </w:p>
            </w:tc>
          </w:tr>
          <w:tr w:rsidR="009D1818" w14:paraId="39BE13DD" w14:textId="77777777" w:rsidTr="00E6048A">
            <w:trPr>
              <w:trHeight w:val="426"/>
            </w:trPr>
            <w:tc>
              <w:tcPr>
                <w:tcW w:w="2587" w:type="dxa"/>
                <w:tcBorders>
                  <w:top w:val="single" w:sz="8" w:space="0" w:color="CCCCCC"/>
                  <w:left w:val="single" w:sz="8" w:space="0" w:color="CCCCCC"/>
                  <w:bottom w:val="single" w:sz="8" w:space="0" w:color="CCCCCC"/>
                  <w:right w:val="single" w:sz="8" w:space="0" w:color="CCCCCC"/>
                </w:tcBorders>
                <w:shd w:val="clear" w:color="auto" w:fill="FFFFFF"/>
              </w:tcPr>
              <w:p w14:paraId="5E118767" w14:textId="77777777" w:rsidR="009D1818" w:rsidRDefault="009D1818" w:rsidP="005076F8">
                <w:pPr>
                  <w:spacing w:after="240"/>
                  <w:jc w:val="both"/>
                </w:pPr>
                <w:r>
                  <w:t>1-5MW</w:t>
                </w:r>
              </w:p>
            </w:tc>
            <w:tc>
              <w:tcPr>
                <w:tcW w:w="3182" w:type="dxa"/>
                <w:tcBorders>
                  <w:top w:val="single" w:sz="8" w:space="0" w:color="CCCCCC"/>
                  <w:left w:val="single" w:sz="8" w:space="0" w:color="CCCCCC"/>
                  <w:bottom w:val="single" w:sz="8" w:space="0" w:color="CCCCCC"/>
                  <w:right w:val="single" w:sz="8" w:space="0" w:color="CCCCCC"/>
                </w:tcBorders>
                <w:shd w:val="clear" w:color="auto" w:fill="FFFFFF"/>
              </w:tcPr>
              <w:p w14:paraId="61846963" w14:textId="77777777" w:rsidR="009D1818" w:rsidRDefault="009D1818" w:rsidP="005076F8">
                <w:pPr>
                  <w:spacing w:after="240"/>
                  <w:ind w:left="6"/>
                  <w:jc w:val="both"/>
                </w:pPr>
                <w:r>
                  <w:t>1 Jan 2029</w:t>
                </w:r>
              </w:p>
            </w:tc>
            <w:tc>
              <w:tcPr>
                <w:tcW w:w="3161" w:type="dxa"/>
                <w:tcBorders>
                  <w:top w:val="single" w:sz="8" w:space="0" w:color="CCCCCC"/>
                  <w:left w:val="single" w:sz="8" w:space="0" w:color="CCCCCC"/>
                  <w:bottom w:val="single" w:sz="8" w:space="0" w:color="CCCCCC"/>
                  <w:right w:val="single" w:sz="8" w:space="0" w:color="CCCCCC"/>
                </w:tcBorders>
                <w:shd w:val="clear" w:color="auto" w:fill="FFFFFF"/>
              </w:tcPr>
              <w:p w14:paraId="2FCBD52E" w14:textId="77777777" w:rsidR="009D1818" w:rsidRDefault="009D1818" w:rsidP="005076F8">
                <w:pPr>
                  <w:spacing w:after="240"/>
                  <w:ind w:left="6"/>
                  <w:jc w:val="both"/>
                </w:pPr>
                <w:r>
                  <w:t>1 Jan 2030</w:t>
                </w:r>
              </w:p>
            </w:tc>
          </w:tr>
        </w:tbl>
        <w:p w14:paraId="79450041" w14:textId="22B0F563" w:rsidR="009D1818" w:rsidRDefault="009D1818" w:rsidP="005076F8">
          <w:pPr>
            <w:spacing w:after="240"/>
            <w:ind w:right="361"/>
            <w:jc w:val="both"/>
          </w:pPr>
          <w:r>
            <w:t>Any combustion plant, that form a part of the Installation, which would be Medium Combustion Plant in their own right will require as a minimum to meet the ELVs listed in the Medium Combustion Plant Directive (MCPD) regulations by the appropriate compliance date in the above table. The MCPD states that where these MCP are part of an installation covered by Chapter II of the IED we can put appropriate conditions in the IED Permit</w:t>
          </w:r>
          <w:r w:rsidR="00827DEF">
            <w:t>.</w:t>
          </w:r>
        </w:p>
        <w:p w14:paraId="6727B7E5" w14:textId="5FF7E4EF" w:rsidR="009D1818" w:rsidRDefault="009D1818" w:rsidP="005076F8">
          <w:pPr>
            <w:spacing w:after="240"/>
            <w:ind w:right="361"/>
            <w:jc w:val="both"/>
          </w:pPr>
          <w:r>
            <w:t>It should be noted that there may be occasions where BAT requires that stricter emission levels should be imposed, when compared with MCPD ELVs. This is an acceptable position with appropriate justification. Please note, BAT does NOT apply to standalone MCPs.</w:t>
          </w:r>
          <w:r w:rsidR="00212EDE">
            <w:t xml:space="preserve"> </w:t>
          </w:r>
          <w:r>
            <w:t>As a minimum as part of the BATc review, the operator should be advised in writing of the MCPD requirements and encouraged to take measures to ensure compliance by the appropriate date.</w:t>
          </w:r>
        </w:p>
        <w:p w14:paraId="33475E6C" w14:textId="77777777" w:rsidR="00106D48" w:rsidRDefault="00106D48" w:rsidP="00DA536F">
          <w:pPr>
            <w:pStyle w:val="Heading1"/>
            <w:jc w:val="both"/>
          </w:pPr>
          <w:bookmarkStart w:id="18" w:name="_Toc195626961"/>
        </w:p>
        <w:p w14:paraId="51B97E5D" w14:textId="77777777" w:rsidR="00106D48" w:rsidRPr="00106D48" w:rsidRDefault="00106D48" w:rsidP="00106D48"/>
        <w:p w14:paraId="40D46ECA" w14:textId="77777777" w:rsidR="00106D48" w:rsidRDefault="00106D48" w:rsidP="00DA536F">
          <w:pPr>
            <w:pStyle w:val="Heading1"/>
            <w:jc w:val="both"/>
          </w:pPr>
        </w:p>
        <w:p w14:paraId="2B51E04C" w14:textId="77777777" w:rsidR="00106D48" w:rsidRDefault="00106D48" w:rsidP="00DA536F">
          <w:pPr>
            <w:pStyle w:val="Heading1"/>
            <w:jc w:val="both"/>
          </w:pPr>
        </w:p>
        <w:p w14:paraId="219796F8" w14:textId="77777777" w:rsidR="00106D48" w:rsidRDefault="00106D48" w:rsidP="00DA536F">
          <w:pPr>
            <w:pStyle w:val="Heading1"/>
            <w:jc w:val="both"/>
          </w:pPr>
        </w:p>
        <w:p w14:paraId="3D15C140" w14:textId="77777777" w:rsidR="00106D48" w:rsidRDefault="00106D48" w:rsidP="00DA536F">
          <w:pPr>
            <w:pStyle w:val="Heading1"/>
            <w:jc w:val="both"/>
          </w:pPr>
        </w:p>
        <w:p w14:paraId="59F19D3A" w14:textId="77777777" w:rsidR="00106D48" w:rsidRDefault="00106D48" w:rsidP="00106D48"/>
        <w:p w14:paraId="48EDCE5E" w14:textId="77777777" w:rsidR="00106D48" w:rsidRPr="00106D48" w:rsidRDefault="00106D48" w:rsidP="00106D48"/>
        <w:p w14:paraId="0F39DDF4" w14:textId="77777777" w:rsidR="00106D48" w:rsidRDefault="00106D48" w:rsidP="00DA536F">
          <w:pPr>
            <w:pStyle w:val="Heading1"/>
            <w:jc w:val="both"/>
          </w:pPr>
        </w:p>
        <w:p w14:paraId="76E0E7FF" w14:textId="77777777" w:rsidR="00106D48" w:rsidRDefault="00106D48" w:rsidP="00106D48"/>
        <w:p w14:paraId="4F8D56A1" w14:textId="77777777" w:rsidR="00106D48" w:rsidRPr="00106D48" w:rsidRDefault="00106D48" w:rsidP="00106D48"/>
        <w:p w14:paraId="79C6B6D0" w14:textId="5431A2A8" w:rsidR="009D1818" w:rsidRDefault="009D1818" w:rsidP="00DA536F">
          <w:pPr>
            <w:pStyle w:val="Heading1"/>
            <w:jc w:val="both"/>
          </w:pPr>
          <w:r>
            <w:t>Step 3 – Stage 1 BAT Assessment – gathering additional information</w:t>
          </w:r>
          <w:bookmarkEnd w:id="18"/>
        </w:p>
        <w:p w14:paraId="5760359C" w14:textId="77777777" w:rsidR="009D1818" w:rsidRDefault="009D1818" w:rsidP="00DA536F">
          <w:pPr>
            <w:ind w:right="361"/>
            <w:jc w:val="both"/>
          </w:pPr>
          <w:r>
            <w:t>It is likely that as part of the BATc review additional information will need to be gathered from the operator. It is SEPA’s policy in relation to all BATc reviews that any additional information that is required should be targeted only to areas where the collection of information is merited.</w:t>
          </w:r>
        </w:p>
        <w:p w14:paraId="32452133" w14:textId="77777777" w:rsidR="00016BE0" w:rsidRDefault="00016BE0" w:rsidP="00DA536F">
          <w:pPr>
            <w:ind w:right="361"/>
            <w:jc w:val="both"/>
          </w:pPr>
        </w:p>
        <w:p w14:paraId="6EB00DF3" w14:textId="77777777" w:rsidR="00106D48" w:rsidRDefault="009D1818" w:rsidP="00DA536F">
          <w:pPr>
            <w:spacing w:after="184"/>
            <w:ind w:right="361"/>
            <w:jc w:val="both"/>
          </w:pPr>
          <w:r>
            <w:t xml:space="preserve">As such SEPA officers should ensure that prior to requesting any additional information that a screening assessment is made as to whether the pertinent information is already </w:t>
          </w:r>
          <w:r w:rsidR="00BD0957">
            <w:t>held,</w:t>
          </w:r>
          <w:r>
            <w:t xml:space="preserve"> or information can be more efficiently accessed through other means (i.e. a targeted inspection). Requests for further information should be made only where there are genuine gaps in knowledge. In many cases BAT may be adequately demonstrated by pre-existing decisions, permit conditions, monitoring or inspections.</w:t>
          </w:r>
        </w:p>
        <w:p w14:paraId="0428A6EC" w14:textId="77777777" w:rsidR="009D1818" w:rsidRDefault="009D1818" w:rsidP="00DA536F">
          <w:pPr>
            <w:pStyle w:val="Heading2"/>
            <w:jc w:val="both"/>
          </w:pPr>
          <w:bookmarkStart w:id="19" w:name="_Toc195626962"/>
          <w:r>
            <w:t>Duty of the Operator</w:t>
          </w:r>
          <w:bookmarkEnd w:id="19"/>
        </w:p>
        <w:p w14:paraId="269859AB" w14:textId="77777777" w:rsidR="009D1818" w:rsidRDefault="43612D33" w:rsidP="00DA536F">
          <w:pPr>
            <w:ind w:right="361"/>
            <w:jc w:val="both"/>
          </w:pPr>
          <w:r>
            <w:t>Article 21(2) of the IED, states that, at the request of SEPA, the operator shall submit all information necessary for the purposes of reconsidering permit conditions. This can include, in particular, results of emissions monitoring and other data that enables a comparison of the operation of the installation with the best available techniques (BAT).</w:t>
          </w:r>
        </w:p>
        <w:p w14:paraId="1AAE504D" w14:textId="77777777" w:rsidR="00016BE0" w:rsidRDefault="00016BE0" w:rsidP="00DA536F">
          <w:pPr>
            <w:ind w:right="361"/>
            <w:jc w:val="both"/>
          </w:pPr>
        </w:p>
        <w:p w14:paraId="3DB4B5DC" w14:textId="77777777" w:rsidR="009D1818" w:rsidRDefault="009D1818" w:rsidP="00DA536F">
          <w:pPr>
            <w:ind w:right="361"/>
            <w:jc w:val="both"/>
          </w:pPr>
          <w:r>
            <w:t>This means that the operator has a duty to demonstrate BAT and how the emission levels associated with the best available techniques will be achieved (however note comments above regarding gathering information and use of existing information).</w:t>
          </w:r>
        </w:p>
        <w:p w14:paraId="60C45C7D" w14:textId="77777777" w:rsidR="00016BE0" w:rsidRDefault="00016BE0" w:rsidP="00DA536F">
          <w:pPr>
            <w:ind w:right="361"/>
            <w:jc w:val="both"/>
          </w:pPr>
        </w:p>
        <w:p w14:paraId="58B1905D" w14:textId="77777777" w:rsidR="009D1818" w:rsidRDefault="009D1818" w:rsidP="00DA536F">
          <w:pPr>
            <w:spacing w:after="186"/>
            <w:ind w:right="361"/>
            <w:jc w:val="both"/>
          </w:pPr>
          <w:r>
            <w:t>It is in the operator’s best interest to provide any required information as this will allow SEPA to complete the BATc review as soon as possible. The quicker a BATc review is completed the sooner any necessary investment decisions or upgrades can be made.</w:t>
          </w:r>
        </w:p>
        <w:p w14:paraId="789D0023" w14:textId="77777777" w:rsidR="00106D48" w:rsidRDefault="00106D48" w:rsidP="00DA536F">
          <w:pPr>
            <w:spacing w:after="186"/>
            <w:ind w:right="361"/>
            <w:jc w:val="both"/>
          </w:pPr>
        </w:p>
        <w:p w14:paraId="2EFC18A7" w14:textId="77777777" w:rsidR="009D1818" w:rsidRDefault="009D1818" w:rsidP="00106D48">
          <w:pPr>
            <w:pStyle w:val="Heading2"/>
            <w:spacing w:after="120"/>
            <w:jc w:val="both"/>
          </w:pPr>
          <w:bookmarkStart w:id="20" w:name="_Toc195626963"/>
          <w:r>
            <w:t>Duty of SEPA</w:t>
          </w:r>
          <w:bookmarkEnd w:id="20"/>
        </w:p>
        <w:p w14:paraId="184A827B" w14:textId="451A3619" w:rsidR="009D1818" w:rsidRDefault="43612D33" w:rsidP="00106D48">
          <w:pPr>
            <w:spacing w:after="240"/>
            <w:ind w:right="363"/>
            <w:jc w:val="both"/>
          </w:pPr>
          <w:r>
            <w:t xml:space="preserve">Article 21(2) </w:t>
          </w:r>
          <w:r w:rsidR="08D0DB11">
            <w:t xml:space="preserve">of IED </w:t>
          </w:r>
          <w:r>
            <w:t>also states that when reconsidering permit conditions, SEPA shall use any information resulting from monitoring or inspections. This means that any data SEPA holds as part of day-to-day regulatory effort may be is pertinent to a BATc review. SEPA should exhaust existing records before any additional information is requested and ensure that any request for information is focussed on gathering the information actually needed.</w:t>
          </w:r>
        </w:p>
        <w:p w14:paraId="7D7C6AEB" w14:textId="77777777" w:rsidR="009D1818" w:rsidRDefault="009D1818" w:rsidP="00106D48">
          <w:pPr>
            <w:spacing w:after="240"/>
            <w:ind w:right="363"/>
            <w:jc w:val="both"/>
          </w:pPr>
          <w:r>
            <w:t>Furthermore, it should be noted that this places a duty on SEPA not only to inspect and regulate compliance with the permit conditions, but also to assess an installation’s ongoing “compliance” with BAT. This could include an assessment of an operator’s ability to optimise the performance of an installation to meet emission limit values.</w:t>
          </w:r>
        </w:p>
        <w:p w14:paraId="291EA917" w14:textId="29B17C30" w:rsidR="00F63032" w:rsidRDefault="009D1818" w:rsidP="00106D48">
          <w:pPr>
            <w:spacing w:after="240"/>
            <w:ind w:right="363"/>
            <w:jc w:val="both"/>
          </w:pPr>
          <w:r>
            <w:t>A targeted inspection may be necessary to assess whether the installation can meet BAT, has undergone changes since the permit was granted or last reviewed, or the permit is providing an appropriate level of environmental protection. Undertaking a site inspection may be a suitable and efficient way of clarifying the use of BAT, or gaps in knowledge.</w:t>
          </w:r>
          <w:r w:rsidR="00F63032">
            <w:br w:type="page"/>
          </w:r>
        </w:p>
        <w:p w14:paraId="1849AA9B" w14:textId="77777777" w:rsidR="009D1818" w:rsidRDefault="009D1818" w:rsidP="00106D48">
          <w:pPr>
            <w:pStyle w:val="Heading2"/>
            <w:spacing w:after="120"/>
            <w:jc w:val="both"/>
          </w:pPr>
          <w:bookmarkStart w:id="21" w:name="_Toc195626964"/>
          <w:r>
            <w:t>Information Requests</w:t>
          </w:r>
          <w:bookmarkEnd w:id="21"/>
        </w:p>
        <w:p w14:paraId="5D22A837" w14:textId="77777777" w:rsidR="009D1818" w:rsidRDefault="009D1818" w:rsidP="00106D48">
          <w:pPr>
            <w:spacing w:after="240"/>
            <w:ind w:right="361"/>
            <w:jc w:val="both"/>
          </w:pPr>
          <w:r>
            <w:t>Where it is determined that further information is required, where appropriate, the operator could be asked to submit this information formally. EASR Regulation 37(1) provides SEPA with a legal mechanism to serve a notice that can require any person to provide such information as is specified in the notice.</w:t>
          </w:r>
        </w:p>
        <w:p w14:paraId="159C30C2" w14:textId="77777777" w:rsidR="009D1818" w:rsidRDefault="009D1818" w:rsidP="00106D48">
          <w:pPr>
            <w:spacing w:after="240"/>
            <w:ind w:right="361"/>
            <w:jc w:val="both"/>
          </w:pPr>
          <w:r>
            <w:t>Regular and open discussion with the operator is seen as the most effective way making the BATc review as efficient as possible.</w:t>
          </w:r>
        </w:p>
        <w:p w14:paraId="24072FBC" w14:textId="77777777" w:rsidR="009D1818" w:rsidRDefault="009D1818" w:rsidP="00106D48">
          <w:pPr>
            <w:spacing w:after="240"/>
            <w:ind w:right="361"/>
            <w:jc w:val="both"/>
          </w:pPr>
          <w:r>
            <w:t>SEPA staff must ensure that any information request is:</w:t>
          </w:r>
        </w:p>
        <w:p w14:paraId="42BF0E0C" w14:textId="73026A09" w:rsidR="009D1818" w:rsidRDefault="00106D48" w:rsidP="00106D48">
          <w:pPr>
            <w:numPr>
              <w:ilvl w:val="0"/>
              <w:numId w:val="33"/>
            </w:numPr>
            <w:spacing w:after="240"/>
            <w:ind w:right="361" w:hanging="567"/>
            <w:jc w:val="both"/>
          </w:pPr>
          <w:r>
            <w:t>F</w:t>
          </w:r>
          <w:r w:rsidR="009D1818">
            <w:t>ocussed on clarifying a particular issue</w:t>
          </w:r>
          <w:r>
            <w:t>.</w:t>
          </w:r>
        </w:p>
        <w:p w14:paraId="368AB887" w14:textId="3C78D9B5" w:rsidR="009D1818" w:rsidRDefault="00106D48" w:rsidP="00106D48">
          <w:pPr>
            <w:numPr>
              <w:ilvl w:val="0"/>
              <w:numId w:val="33"/>
            </w:numPr>
            <w:spacing w:after="240"/>
            <w:ind w:right="361" w:hanging="567"/>
            <w:jc w:val="both"/>
          </w:pPr>
          <w:r>
            <w:t>C</w:t>
          </w:r>
          <w:r w:rsidR="009D1818">
            <w:t>lear and understandable as to which information is being requested and in what format</w:t>
          </w:r>
          <w:r>
            <w:t>.</w:t>
          </w:r>
        </w:p>
        <w:p w14:paraId="02D5E88A" w14:textId="7F46AAF3" w:rsidR="009D1818" w:rsidRDefault="00106D48" w:rsidP="00106D48">
          <w:pPr>
            <w:numPr>
              <w:ilvl w:val="0"/>
              <w:numId w:val="33"/>
            </w:numPr>
            <w:spacing w:after="240"/>
            <w:ind w:right="361" w:hanging="567"/>
            <w:jc w:val="both"/>
          </w:pPr>
          <w:r>
            <w:t>P</w:t>
          </w:r>
          <w:r w:rsidR="009D1818">
            <w:t>rescribes any clarification or interpretation which is required by SEPA staff</w:t>
          </w:r>
          <w:r>
            <w:t>.</w:t>
          </w:r>
        </w:p>
        <w:p w14:paraId="6346B346" w14:textId="551937F2" w:rsidR="009D1818" w:rsidRDefault="00106D48" w:rsidP="00106D48">
          <w:pPr>
            <w:numPr>
              <w:ilvl w:val="0"/>
              <w:numId w:val="33"/>
            </w:numPr>
            <w:spacing w:after="240"/>
            <w:ind w:right="361" w:hanging="567"/>
            <w:jc w:val="both"/>
          </w:pPr>
          <w:r>
            <w:t>C</w:t>
          </w:r>
          <w:r w:rsidR="009D1818">
            <w:t>learly sets any relevant time periods for submission and</w:t>
          </w:r>
        </w:p>
        <w:p w14:paraId="0723EBB5" w14:textId="05F00850" w:rsidR="009D1818" w:rsidRPr="00016BE0" w:rsidRDefault="00106D48" w:rsidP="00106D48">
          <w:pPr>
            <w:pStyle w:val="ListParagraph"/>
            <w:numPr>
              <w:ilvl w:val="0"/>
              <w:numId w:val="33"/>
            </w:numPr>
            <w:spacing w:after="240"/>
            <w:ind w:right="375" w:hanging="567"/>
            <w:jc w:val="both"/>
            <w:rPr>
              <w:lang w:val="en-US"/>
            </w:rPr>
          </w:pPr>
          <w:r>
            <w:t>W</w:t>
          </w:r>
          <w:r w:rsidR="009D1818">
            <w:t>here necessary, ensure the operator provides a clear demonstration that any proposed approach is BAT.</w:t>
          </w:r>
        </w:p>
        <w:p w14:paraId="38E0C85C" w14:textId="77777777" w:rsidR="00016BE0" w:rsidRPr="00016BE0" w:rsidRDefault="00016BE0" w:rsidP="00DA536F">
          <w:pPr>
            <w:pStyle w:val="ListParagraph"/>
            <w:spacing w:after="210" w:line="248" w:lineRule="auto"/>
            <w:ind w:left="567" w:right="375"/>
            <w:jc w:val="both"/>
            <w:rPr>
              <w:lang w:val="en-US"/>
            </w:rPr>
          </w:pPr>
        </w:p>
        <w:p w14:paraId="7D985205" w14:textId="77777777" w:rsidR="00106D48" w:rsidRDefault="00106D48" w:rsidP="00DA536F">
          <w:pPr>
            <w:pStyle w:val="Heading1"/>
            <w:jc w:val="both"/>
          </w:pPr>
          <w:bookmarkStart w:id="22" w:name="_Toc195626965"/>
        </w:p>
        <w:p w14:paraId="17FD35E5" w14:textId="77777777" w:rsidR="00106D48" w:rsidRPr="00106D48" w:rsidRDefault="00106D48" w:rsidP="00106D48"/>
        <w:p w14:paraId="58D2530E" w14:textId="77777777" w:rsidR="00106D48" w:rsidRDefault="00106D48" w:rsidP="00DA536F">
          <w:pPr>
            <w:pStyle w:val="Heading1"/>
            <w:jc w:val="both"/>
          </w:pPr>
        </w:p>
        <w:p w14:paraId="480FF3CA" w14:textId="77777777" w:rsidR="00106D48" w:rsidRDefault="00106D48" w:rsidP="00106D48"/>
        <w:p w14:paraId="0B4E8777" w14:textId="77777777" w:rsidR="00106D48" w:rsidRPr="00106D48" w:rsidRDefault="00106D48" w:rsidP="00106D48"/>
        <w:p w14:paraId="62020553" w14:textId="7B93312C" w:rsidR="00016BE0" w:rsidRDefault="00016BE0" w:rsidP="00106D48">
          <w:pPr>
            <w:pStyle w:val="Heading1"/>
            <w:spacing w:after="120"/>
            <w:jc w:val="both"/>
          </w:pPr>
          <w:r>
            <w:t>Step 4 – Stage 2 BAT Assessment – BAT Assessment &amp; Optioneering</w:t>
          </w:r>
          <w:bookmarkEnd w:id="22"/>
        </w:p>
        <w:p w14:paraId="5E3638B7" w14:textId="77777777" w:rsidR="00106D48" w:rsidRDefault="00016BE0" w:rsidP="001C5EBE">
          <w:pPr>
            <w:spacing w:after="240"/>
            <w:ind w:right="363"/>
            <w:jc w:val="both"/>
          </w:pPr>
          <w:r>
            <w:t>The core principle of the BATc review is to assess whether the installation is employing BAT to meet the expected performance levels and achieve the BAT-AELs. This is done by comparing the performance of the techniques employed at an installation with the relevant BATc and its anticipated performance under normal operating conditions to achieve the BAT-AELs.</w:t>
          </w:r>
        </w:p>
        <w:p w14:paraId="00870C9B" w14:textId="77777777" w:rsidR="00016BE0" w:rsidRDefault="00016BE0" w:rsidP="00106D48">
          <w:pPr>
            <w:pStyle w:val="Heading2"/>
            <w:spacing w:after="120"/>
            <w:jc w:val="both"/>
          </w:pPr>
          <w:bookmarkStart w:id="23" w:name="_Toc195626966"/>
          <w:r>
            <w:t>What is BAT?</w:t>
          </w:r>
          <w:bookmarkEnd w:id="23"/>
        </w:p>
        <w:p w14:paraId="7E3F7AAB" w14:textId="2A846A57" w:rsidR="00E02CEB" w:rsidRDefault="00016BE0" w:rsidP="00106D48">
          <w:pPr>
            <w:spacing w:after="240"/>
            <w:ind w:right="363"/>
            <w:jc w:val="both"/>
          </w:pPr>
          <w:r>
            <w:t>BAT is the Best Available Techniques and is defined as “the most effective and advanced stage in the development of activities and their methods of operation that indicates the practical suitability of particular techniques for providing the basis for emission limit values and other permit conditions designed to prevent, and where that is not practicable, reduce emissions and the impact on the environment as a whole”.</w:t>
          </w:r>
        </w:p>
        <w:p w14:paraId="0CAB0A86" w14:textId="34F0570F" w:rsidR="00016BE0" w:rsidRDefault="00016BE0" w:rsidP="00106D48">
          <w:pPr>
            <w:spacing w:after="240"/>
            <w:ind w:right="363"/>
            <w:jc w:val="both"/>
          </w:pPr>
          <w:r>
            <w:t>There is a misconception that BAT is all about having the right types of technologies, kit and abatement plant at an installation. This is not the case. BAT is about the optimisation of site-specific performance. It may be the case that an installation has all the most modern technologies and abatement equipment, but if it is not operated or maintained correctly, the performance of this equipment is not optimised, and it may not be BAT. Similarly</w:t>
          </w:r>
          <w:r w:rsidR="00106D48">
            <w:t>,</w:t>
          </w:r>
          <w:r>
            <w:t xml:space="preserve"> an installation could use older </w:t>
          </w:r>
          <w:r w:rsidR="00EE658E">
            <w:t>technologies but</w:t>
          </w:r>
          <w:r>
            <w:t xml:space="preserve"> is operated in such a way that their performance is optimised and is BAT for that installation.</w:t>
          </w:r>
        </w:p>
        <w:p w14:paraId="3C3EF44C" w14:textId="41861EB9" w:rsidR="00016BE0" w:rsidRDefault="00016BE0" w:rsidP="00106D48">
          <w:pPr>
            <w:spacing w:after="240"/>
            <w:ind w:right="363"/>
            <w:jc w:val="both"/>
          </w:pPr>
          <w:r>
            <w:t xml:space="preserve">The BATc do not define which techniques or technologies should be used by an installation. The practical suitability of particular techniques will vary on a </w:t>
          </w:r>
          <w:r w:rsidR="00EE658E">
            <w:t>case-by-case</w:t>
          </w:r>
          <w:r>
            <w:t xml:space="preserve"> basis and will be site specific – dependent upon the technical characteristics of the installation, operational limitations, local conditions and any environmental outcomes that SEPA merits necessary to minimise impact and protect the environment as a whole.</w:t>
          </w:r>
        </w:p>
        <w:p w14:paraId="2E89E599" w14:textId="77777777" w:rsidR="00E02CEB" w:rsidRDefault="00E02CEB" w:rsidP="00106D48">
          <w:pPr>
            <w:spacing w:after="240"/>
            <w:ind w:right="363"/>
            <w:jc w:val="both"/>
          </w:pPr>
        </w:p>
        <w:p w14:paraId="67A2530D" w14:textId="1FFBEF29" w:rsidR="00106D48" w:rsidRDefault="00016BE0" w:rsidP="00106D48">
          <w:pPr>
            <w:spacing w:after="240"/>
            <w:ind w:right="363"/>
            <w:jc w:val="both"/>
          </w:pPr>
          <w:r>
            <w:t>The BATc will contain BAT - associated emission levels (BAT-AELs). Typically BAT-AELs will be presented as a range. It should be noted that due to the principle of optimisation where the BATc present a range of emission limits it is not appropriate to simply set the ELV at the top of the BAT-AEL range. The appropriate ELV from the BAT-AEL range is what protects the environment and can be achieved by the optimised performance of the installation when operating normally.</w:t>
          </w:r>
        </w:p>
        <w:p w14:paraId="5D8F0157" w14:textId="77777777" w:rsidR="00016BE0" w:rsidRDefault="00016BE0" w:rsidP="00106D48">
          <w:pPr>
            <w:spacing w:after="240"/>
            <w:ind w:right="363"/>
            <w:jc w:val="both"/>
          </w:pPr>
          <w:r>
            <w:t>This means that as part of the BAT assessment SEPA must assess and ensure that site specific performance is optimised and can achieve the performance levels within the range of the BAT- AELs. If we conclude as part of our assessment that site-specific performance is optimised, then BAT for that installation will be reflected by the emission levels associated with this optimised performance, and ELVs set accordingly.</w:t>
          </w:r>
        </w:p>
        <w:p w14:paraId="52334085" w14:textId="77777777" w:rsidR="00016BE0" w:rsidRDefault="00016BE0" w:rsidP="00106D48">
          <w:pPr>
            <w:pStyle w:val="Heading2"/>
            <w:spacing w:after="120"/>
            <w:jc w:val="both"/>
          </w:pPr>
          <w:bookmarkStart w:id="24" w:name="_Toc195626967"/>
          <w:r>
            <w:t>BAT Assessment</w:t>
          </w:r>
          <w:bookmarkEnd w:id="24"/>
        </w:p>
        <w:p w14:paraId="133F06F6" w14:textId="77777777" w:rsidR="00016BE0" w:rsidRDefault="00016BE0" w:rsidP="00106D48">
          <w:pPr>
            <w:spacing w:after="240"/>
            <w:ind w:right="363"/>
            <w:jc w:val="both"/>
          </w:pPr>
          <w:r>
            <w:t>While the BATc do not specify that a particular technology or technique is utilised by an installation, it lists various technologies and techniques that may be applicable. This is not an exhaustive list and if a technique has not been identified by the BATc this does not mean that it is not BAT.</w:t>
          </w:r>
        </w:p>
        <w:p w14:paraId="73FABA45" w14:textId="0E09700A" w:rsidR="00E02CEB" w:rsidRDefault="00016BE0" w:rsidP="00106D48">
          <w:pPr>
            <w:spacing w:after="240"/>
            <w:ind w:right="363"/>
            <w:jc w:val="both"/>
          </w:pPr>
          <w:r>
            <w:t>Where a technology or technique has been listed in the BATc, BAT associated emission levels or BAT associated performance levels may also be included. These will present what is considered to be the normal operating range for BAT techniques or technologies and should be the reference for setting the permit conditions. These are also a useful reference for determining whether the performance of a particular installation is optimised and should form the basis of any discussions with the operator. It should be noted that the BATc may prohibit the use of certain technologies or techniques, however this is unusual.</w:t>
          </w:r>
        </w:p>
        <w:p w14:paraId="74C8DE07" w14:textId="77777777" w:rsidR="00016BE0" w:rsidRDefault="00016BE0" w:rsidP="00106D48">
          <w:pPr>
            <w:spacing w:after="240"/>
            <w:ind w:right="363"/>
            <w:jc w:val="both"/>
          </w:pPr>
          <w:r>
            <w:t>If a technique or technology is not mentioned in the BATc it does not mean that it is not BAT. SEPA can set permit conditions on the basis of techniques that are not described in any of the relevant BATc – however it must be satisfied that the proposed approach represents BAT.</w:t>
          </w:r>
        </w:p>
        <w:p w14:paraId="023E47C2" w14:textId="77777777" w:rsidR="00106D48" w:rsidRDefault="00016BE0" w:rsidP="00106D48">
          <w:pPr>
            <w:spacing w:after="240"/>
            <w:ind w:right="363"/>
            <w:jc w:val="both"/>
          </w:pPr>
          <w:r>
            <w:t>Where an alternative technique is proposed, SEPA should utilise Annex III of the IED that contains criteria for determining Best Available Techniques. These criteria should be considered in assessing whether the proposed alternative technique are based on sufficient justification from the operator and can be considered to be BAT.</w:t>
          </w:r>
        </w:p>
        <w:p w14:paraId="22077966" w14:textId="77777777" w:rsidR="00016BE0" w:rsidRDefault="00016BE0" w:rsidP="00106D48">
          <w:pPr>
            <w:spacing w:after="240"/>
            <w:ind w:right="361"/>
            <w:jc w:val="both"/>
          </w:pPr>
          <w:r>
            <w:t>These criteria include:</w:t>
          </w:r>
        </w:p>
        <w:p w14:paraId="13C8FD4C" w14:textId="579CA275" w:rsidR="00016BE0" w:rsidRDefault="004E17A2" w:rsidP="00106D48">
          <w:pPr>
            <w:numPr>
              <w:ilvl w:val="0"/>
              <w:numId w:val="19"/>
            </w:numPr>
            <w:spacing w:after="240"/>
            <w:ind w:left="567" w:right="361" w:hanging="567"/>
            <w:jc w:val="both"/>
          </w:pPr>
          <w:r>
            <w:t>T</w:t>
          </w:r>
          <w:r w:rsidR="00016BE0">
            <w:t>he use of low-waste technology</w:t>
          </w:r>
          <w:r>
            <w:t>.</w:t>
          </w:r>
        </w:p>
        <w:p w14:paraId="20AA0BC7" w14:textId="4347AD83" w:rsidR="00016BE0" w:rsidRDefault="004E17A2" w:rsidP="00106D48">
          <w:pPr>
            <w:numPr>
              <w:ilvl w:val="0"/>
              <w:numId w:val="19"/>
            </w:numPr>
            <w:spacing w:after="240"/>
            <w:ind w:left="567" w:right="361" w:hanging="567"/>
            <w:jc w:val="both"/>
          </w:pPr>
          <w:r>
            <w:t>T</w:t>
          </w:r>
          <w:r w:rsidR="00016BE0">
            <w:t>he use of less hazardous substances</w:t>
          </w:r>
          <w:r>
            <w:t>.</w:t>
          </w:r>
        </w:p>
        <w:p w14:paraId="3692897D" w14:textId="187C7986" w:rsidR="00016BE0" w:rsidRDefault="004E17A2" w:rsidP="00106D48">
          <w:pPr>
            <w:numPr>
              <w:ilvl w:val="0"/>
              <w:numId w:val="19"/>
            </w:numPr>
            <w:spacing w:after="240"/>
            <w:ind w:left="567" w:right="361" w:hanging="567"/>
            <w:jc w:val="both"/>
          </w:pPr>
          <w:r>
            <w:t>T</w:t>
          </w:r>
          <w:r w:rsidR="00016BE0">
            <w:t>he furthering of recovery and recycling of substances and used in the process and of waste, where appropriate</w:t>
          </w:r>
          <w:r>
            <w:t>.</w:t>
          </w:r>
        </w:p>
        <w:p w14:paraId="2EB16318" w14:textId="3CD7B561" w:rsidR="00016BE0" w:rsidRDefault="004E17A2" w:rsidP="00106D48">
          <w:pPr>
            <w:numPr>
              <w:ilvl w:val="0"/>
              <w:numId w:val="19"/>
            </w:numPr>
            <w:spacing w:after="240"/>
            <w:ind w:left="567" w:right="361" w:hanging="567"/>
            <w:jc w:val="both"/>
          </w:pPr>
          <w:r>
            <w:t>C</w:t>
          </w:r>
          <w:r w:rsidR="00016BE0">
            <w:t>omparable processes, facilities or methods of operation which have been tried with success on an industrial scale</w:t>
          </w:r>
          <w:r>
            <w:t>.</w:t>
          </w:r>
        </w:p>
        <w:p w14:paraId="66334BA9" w14:textId="170BD56C" w:rsidR="00016BE0" w:rsidRDefault="004E17A2" w:rsidP="00106D48">
          <w:pPr>
            <w:numPr>
              <w:ilvl w:val="0"/>
              <w:numId w:val="19"/>
            </w:numPr>
            <w:spacing w:after="240"/>
            <w:ind w:left="567" w:right="361" w:hanging="567"/>
            <w:jc w:val="both"/>
          </w:pPr>
          <w:r>
            <w:t>T</w:t>
          </w:r>
          <w:r w:rsidR="00016BE0">
            <w:t>echnological advances and changes in scientific knowledge and understanding</w:t>
          </w:r>
          <w:r>
            <w:t>.</w:t>
          </w:r>
        </w:p>
        <w:p w14:paraId="58EA7839" w14:textId="7E4D2852" w:rsidR="00016BE0" w:rsidRDefault="004E17A2" w:rsidP="00106D48">
          <w:pPr>
            <w:numPr>
              <w:ilvl w:val="0"/>
              <w:numId w:val="19"/>
            </w:numPr>
            <w:spacing w:after="240"/>
            <w:ind w:left="567" w:right="361" w:hanging="567"/>
            <w:jc w:val="both"/>
          </w:pPr>
          <w:r>
            <w:t>T</w:t>
          </w:r>
          <w:r w:rsidR="00016BE0">
            <w:t>he nature, effects and volume of the emissions concerned</w:t>
          </w:r>
          <w:r>
            <w:t>.</w:t>
          </w:r>
        </w:p>
        <w:p w14:paraId="3612F6C7" w14:textId="2B21685F" w:rsidR="00016BE0" w:rsidRDefault="004E17A2" w:rsidP="00106D48">
          <w:pPr>
            <w:numPr>
              <w:ilvl w:val="0"/>
              <w:numId w:val="19"/>
            </w:numPr>
            <w:spacing w:after="240"/>
            <w:ind w:left="567" w:right="361" w:hanging="567"/>
            <w:jc w:val="both"/>
          </w:pPr>
          <w:r>
            <w:t>T</w:t>
          </w:r>
          <w:r w:rsidR="00016BE0">
            <w:t>he commissioning dates for new or existing installations</w:t>
          </w:r>
          <w:r>
            <w:t>.</w:t>
          </w:r>
        </w:p>
        <w:p w14:paraId="1092027E" w14:textId="20BAC6D6" w:rsidR="00016BE0" w:rsidRDefault="004E17A2" w:rsidP="00106D48">
          <w:pPr>
            <w:numPr>
              <w:ilvl w:val="0"/>
              <w:numId w:val="19"/>
            </w:numPr>
            <w:spacing w:after="240"/>
            <w:ind w:left="567" w:right="361" w:hanging="567"/>
            <w:jc w:val="both"/>
          </w:pPr>
          <w:r>
            <w:t>T</w:t>
          </w:r>
          <w:r w:rsidR="00016BE0">
            <w:t>he length of time needed to introduce the best available technique</w:t>
          </w:r>
        </w:p>
        <w:p w14:paraId="4C765937" w14:textId="752FE60D" w:rsidR="00016BE0" w:rsidRDefault="004E17A2" w:rsidP="00106D48">
          <w:pPr>
            <w:numPr>
              <w:ilvl w:val="0"/>
              <w:numId w:val="19"/>
            </w:numPr>
            <w:spacing w:after="240"/>
            <w:ind w:left="567" w:right="361" w:hanging="567"/>
            <w:jc w:val="both"/>
          </w:pPr>
          <w:r>
            <w:t>T</w:t>
          </w:r>
          <w:r w:rsidR="00016BE0">
            <w:t>he consumption and nature of raw materials (including water) used in the process and energy efficiency</w:t>
          </w:r>
          <w:r>
            <w:t>.</w:t>
          </w:r>
        </w:p>
        <w:p w14:paraId="73496AB8" w14:textId="1D1FA206" w:rsidR="00016BE0" w:rsidRDefault="004E17A2" w:rsidP="00106D48">
          <w:pPr>
            <w:numPr>
              <w:ilvl w:val="0"/>
              <w:numId w:val="19"/>
            </w:numPr>
            <w:spacing w:after="240"/>
            <w:ind w:left="567" w:right="361" w:hanging="567"/>
            <w:jc w:val="both"/>
          </w:pPr>
          <w:r>
            <w:t>T</w:t>
          </w:r>
          <w:r w:rsidR="00016BE0">
            <w:t>he need to prevent or reduce to minimum the overall impact of the emissions on the environment and the risks to it</w:t>
          </w:r>
          <w:r>
            <w:t>.</w:t>
          </w:r>
        </w:p>
        <w:p w14:paraId="62900995" w14:textId="619772FB" w:rsidR="00016BE0" w:rsidRDefault="004E17A2" w:rsidP="00106D48">
          <w:pPr>
            <w:numPr>
              <w:ilvl w:val="0"/>
              <w:numId w:val="19"/>
            </w:numPr>
            <w:spacing w:after="240"/>
            <w:ind w:left="567" w:right="361" w:hanging="567"/>
            <w:jc w:val="both"/>
          </w:pPr>
          <w:r>
            <w:t>T</w:t>
          </w:r>
          <w:r w:rsidR="00016BE0">
            <w:t>he need to prevent accidents and to minimise the consequences for the environment and</w:t>
          </w:r>
        </w:p>
        <w:p w14:paraId="4ACC72F8" w14:textId="2C43C37A" w:rsidR="00016BE0" w:rsidRDefault="004E17A2" w:rsidP="00106D48">
          <w:pPr>
            <w:numPr>
              <w:ilvl w:val="0"/>
              <w:numId w:val="19"/>
            </w:numPr>
            <w:spacing w:after="240"/>
            <w:ind w:left="567" w:right="361" w:hanging="567"/>
            <w:jc w:val="both"/>
          </w:pPr>
          <w:r>
            <w:t>I</w:t>
          </w:r>
          <w:r w:rsidR="00016BE0">
            <w:t>nformation published by public international organisations.</w:t>
          </w:r>
        </w:p>
        <w:p w14:paraId="206365C5" w14:textId="3A711010" w:rsidR="00016BE0" w:rsidRDefault="00016BE0" w:rsidP="00106D48">
          <w:pPr>
            <w:spacing w:after="240"/>
            <w:ind w:right="361"/>
            <w:jc w:val="both"/>
          </w:pPr>
          <w:r>
            <w:t>If an alternative technique is considered to satisfy these criteria, and is BAT, SEPA must also set emission limit values that ensure that under normal operating conditions the emissions do not exceed the BAT-AELs in the BATc.</w:t>
          </w:r>
        </w:p>
        <w:p w14:paraId="1C18F148" w14:textId="2D51871A" w:rsidR="00E02CEB" w:rsidRDefault="2F0D6AD7" w:rsidP="002E30E0">
          <w:pPr>
            <w:pStyle w:val="Heading2"/>
            <w:spacing w:after="120"/>
            <w:jc w:val="both"/>
          </w:pPr>
          <w:bookmarkStart w:id="25" w:name="_Toc195626968"/>
          <w:r>
            <w:t>BAT Assessment Tools</w:t>
          </w:r>
          <w:bookmarkEnd w:id="25"/>
        </w:p>
        <w:p w14:paraId="30B373DD" w14:textId="610C3F84" w:rsidR="003A6270" w:rsidRDefault="003A6270" w:rsidP="002E30E0">
          <w:pPr>
            <w:spacing w:after="240"/>
            <w:ind w:right="361"/>
            <w:jc w:val="both"/>
          </w:pPr>
          <w:r>
            <w:t>In many cases the assessment of BAT will depend on the expert judgement of SEPA officers, based on information already held or provided by the operator. It is acknowledged there is an inherent risk of inconsistency in adopting this approach.</w:t>
          </w:r>
        </w:p>
        <w:p w14:paraId="06390945" w14:textId="77777777" w:rsidR="002E30E0" w:rsidRDefault="003A6270" w:rsidP="002E30E0">
          <w:pPr>
            <w:spacing w:after="240"/>
            <w:ind w:right="361"/>
            <w:jc w:val="both"/>
          </w:pPr>
          <w:r>
            <w:t>BAT can be assessed using the H1 software tool developed by the Environment Agency. The H1 tool assesses risks for the activity, except for assessing risks for intensive farming.</w:t>
          </w:r>
        </w:p>
        <w:p w14:paraId="54E321E6" w14:textId="77777777" w:rsidR="003A6270" w:rsidRDefault="003A6270" w:rsidP="002E30E0">
          <w:pPr>
            <w:spacing w:after="240"/>
            <w:ind w:right="361"/>
            <w:jc w:val="both"/>
          </w:pPr>
          <w:r>
            <w:t>The tool includes:</w:t>
          </w:r>
        </w:p>
        <w:p w14:paraId="2898689F" w14:textId="793B7CC6" w:rsidR="003A6270" w:rsidRDefault="002E30E0" w:rsidP="002E30E0">
          <w:pPr>
            <w:numPr>
              <w:ilvl w:val="0"/>
              <w:numId w:val="34"/>
            </w:numPr>
            <w:spacing w:after="240"/>
            <w:ind w:right="361" w:hanging="567"/>
            <w:jc w:val="both"/>
          </w:pPr>
          <w:r>
            <w:t>I</w:t>
          </w:r>
          <w:r w:rsidR="003A6270">
            <w:t>nstructions on how to develop risk assessments</w:t>
          </w:r>
          <w:r>
            <w:t>.</w:t>
          </w:r>
        </w:p>
        <w:p w14:paraId="79F25D19" w14:textId="7A2EAEFD" w:rsidR="003A6270" w:rsidRDefault="002E30E0" w:rsidP="002E30E0">
          <w:pPr>
            <w:numPr>
              <w:ilvl w:val="0"/>
              <w:numId w:val="34"/>
            </w:numPr>
            <w:spacing w:after="240"/>
            <w:ind w:right="361" w:hanging="567"/>
            <w:jc w:val="both"/>
          </w:pPr>
          <w:r>
            <w:t>C</w:t>
          </w:r>
          <w:r w:rsidR="003A6270">
            <w:t>alculates the risk and screens out insignificant releases and</w:t>
          </w:r>
        </w:p>
        <w:p w14:paraId="29627245" w14:textId="1C064274" w:rsidR="003A6270" w:rsidRDefault="002E30E0" w:rsidP="002E30E0">
          <w:pPr>
            <w:numPr>
              <w:ilvl w:val="0"/>
              <w:numId w:val="34"/>
            </w:numPr>
            <w:spacing w:after="240"/>
            <w:ind w:right="361" w:hanging="567"/>
            <w:jc w:val="both"/>
          </w:pPr>
          <w:r>
            <w:t>P</w:t>
          </w:r>
          <w:r w:rsidR="003A6270">
            <w:t>resents data to allow SEPA to assess the risk associated with an activity.</w:t>
          </w:r>
        </w:p>
        <w:p w14:paraId="19D35A43" w14:textId="373018E9" w:rsidR="003A6270" w:rsidRDefault="003A6270" w:rsidP="002E30E0">
          <w:pPr>
            <w:spacing w:after="240"/>
            <w:ind w:right="361"/>
            <w:jc w:val="both"/>
          </w:pPr>
          <w:r>
            <w:t>SEPA is aware that there are limitations in the use of the H1 methodology. It can be complicated to use and difficult to understand. Furthermore its applicability as a BAT assessment tool has in many cases been superseded by other assessment and monitoring methodologies.</w:t>
          </w:r>
        </w:p>
        <w:p w14:paraId="1340452D" w14:textId="40C67DC2" w:rsidR="003A6270" w:rsidRDefault="003A6270" w:rsidP="002E30E0">
          <w:pPr>
            <w:spacing w:after="240"/>
            <w:ind w:right="358"/>
            <w:jc w:val="both"/>
          </w:pPr>
          <w:r>
            <w:t>To fill this capability gap and provide a suitable and accessible solution for assessing BAT, SEPA has commenced research to develop a new and robust methodology for appraising BAT. It is intended this will be developed so that it can be utilised by both SEPA staff and operators ensuring consistent application and assessment of what is BAT.</w:t>
          </w:r>
        </w:p>
        <w:p w14:paraId="23AA97CE" w14:textId="77777777" w:rsidR="003A6270" w:rsidRDefault="003A6270" w:rsidP="002E30E0">
          <w:pPr>
            <w:pStyle w:val="Heading2"/>
            <w:spacing w:after="120"/>
            <w:jc w:val="both"/>
          </w:pPr>
          <w:bookmarkStart w:id="26" w:name="_Toc195626969"/>
          <w:r>
            <w:t>Considering a Range of Options</w:t>
          </w:r>
          <w:bookmarkEnd w:id="26"/>
        </w:p>
        <w:p w14:paraId="628E861C" w14:textId="77777777" w:rsidR="003A6270" w:rsidRDefault="003A6270" w:rsidP="002E30E0">
          <w:pPr>
            <w:spacing w:after="240"/>
            <w:ind w:right="363"/>
            <w:jc w:val="both"/>
          </w:pPr>
          <w:r>
            <w:t>Where it is assessed that an installation is not currently BAT, the operator must undertake an assessment of the options to minimise the emissions and specify the steps that will be taken to employ BAT at the installation by the end of the BATc review period. This process is called optioneering.</w:t>
          </w:r>
        </w:p>
        <w:p w14:paraId="10BBDCEE" w14:textId="3B7A237D" w:rsidR="003A6270" w:rsidRDefault="003A6270" w:rsidP="002E30E0">
          <w:pPr>
            <w:spacing w:after="240"/>
            <w:ind w:right="363"/>
            <w:jc w:val="both"/>
          </w:pPr>
          <w:r>
            <w:t xml:space="preserve">It is likely that in most cases that the options for achieving BAT can be addressed in a number of ways – BAT will vary on a </w:t>
          </w:r>
          <w:r w:rsidR="00531767">
            <w:t>site-by-site</w:t>
          </w:r>
          <w:r>
            <w:t xml:space="preserve"> basis. SEPA considers that it is a basic principle of BAT assessment to consider a range of options that could be BAT for an installation and to carry out an options appraisal – optioneering. Without considering a range of options SEPA considers that it is not possible to determine if the chosen approach represents the most suitable </w:t>
          </w:r>
          <w:r w:rsidR="00531767">
            <w:t>option and</w:t>
          </w:r>
          <w:r>
            <w:t xml:space="preserve"> therefore represents BAT.</w:t>
          </w:r>
        </w:p>
        <w:p w14:paraId="18FFDD95" w14:textId="2AE45ACC" w:rsidR="002E30E0" w:rsidRDefault="003A6270" w:rsidP="002E30E0">
          <w:pPr>
            <w:spacing w:after="240"/>
            <w:ind w:right="363"/>
            <w:jc w:val="both"/>
          </w:pPr>
          <w:r>
            <w:t>Optioneering should always include at least one option for reducing the emissions to within the BAT-AEL range within the BATc review deadline (where this is technically feasible).</w:t>
          </w:r>
        </w:p>
        <w:p w14:paraId="3B1E4F79" w14:textId="23C30E02" w:rsidR="003A6270" w:rsidRDefault="003A6270" w:rsidP="002E30E0">
          <w:pPr>
            <w:spacing w:after="240"/>
            <w:ind w:right="363"/>
            <w:jc w:val="both"/>
          </w:pPr>
          <w:r>
            <w:t>Where appropriate the operator may also need to consider options that would allow the installation to achieve the BAT-AELs after the BATc review deadline – these options should be assessed on the basis of other options resulting in disproportionate costs of dis-benefits to the environment. Under these circumstances the “do nothing – status quo” option may also be considered as an appropriate alternative approach.</w:t>
          </w:r>
        </w:p>
        <w:p w14:paraId="24F79148" w14:textId="77777777" w:rsidR="003A6270" w:rsidRDefault="003A6270" w:rsidP="002E30E0">
          <w:pPr>
            <w:spacing w:after="240"/>
            <w:ind w:right="363"/>
            <w:jc w:val="both"/>
          </w:pPr>
          <w:r>
            <w:t>Crucially any options that are being considered must be considered to represent the Best Available Techniques (BAT).</w:t>
          </w:r>
        </w:p>
        <w:p w14:paraId="488D3426" w14:textId="77777777" w:rsidR="003A6270" w:rsidRDefault="003A6270" w:rsidP="002E30E0">
          <w:pPr>
            <w:pStyle w:val="Heading2"/>
            <w:spacing w:after="120"/>
            <w:jc w:val="both"/>
          </w:pPr>
          <w:bookmarkStart w:id="27" w:name="_Toc195626970"/>
          <w:r>
            <w:t>Optioneering, Costs and Benefits</w:t>
          </w:r>
          <w:bookmarkEnd w:id="27"/>
        </w:p>
        <w:p w14:paraId="6C166A19" w14:textId="77777777" w:rsidR="003A6270" w:rsidRDefault="003A6270" w:rsidP="002E30E0">
          <w:pPr>
            <w:spacing w:after="240"/>
            <w:ind w:right="363"/>
            <w:jc w:val="both"/>
          </w:pPr>
          <w:r>
            <w:t>The consideration of costs and benefits of credible options is an important aspect of optioneering. The operator should ensure that an analysis of costs and benefits is made available for the range of credible options considered. It is acknowledged that there may be challenges in producing accurate costs. As a consequence it may not always be possible to conduct an assessment that relies fully on a quantitative analysis.</w:t>
          </w:r>
        </w:p>
        <w:p w14:paraId="32F1282F" w14:textId="77777777" w:rsidR="003A6270" w:rsidRDefault="003A6270" w:rsidP="002E30E0">
          <w:pPr>
            <w:spacing w:after="240"/>
            <w:ind w:right="363"/>
            <w:jc w:val="both"/>
          </w:pPr>
          <w:r>
            <w:t>This means that optioneering may not provide the type of cost benefit analysis (CBA) that might be required by SEPA in order to justify derogation (where the options do not provide a solution that delivers emissions within the BAT-AEL range, see step 5). The feasibility of producing such a cost benefit analysis will ultimately depend upon being able to estimate costs with sufficient accuracy in a meaningful way.</w:t>
          </w:r>
        </w:p>
        <w:p w14:paraId="689F6A83" w14:textId="77777777" w:rsidR="003A6270" w:rsidRDefault="003A6270" w:rsidP="002E30E0">
          <w:pPr>
            <w:spacing w:after="240"/>
            <w:ind w:right="363"/>
            <w:jc w:val="both"/>
          </w:pPr>
          <w:r>
            <w:t xml:space="preserve">Where a cost benefit analysis is required to justify derogation, the operator should provide a CBA for both the selected upgrade option </w:t>
          </w:r>
          <w:r>
            <w:rPr>
              <w:b/>
            </w:rPr>
            <w:t xml:space="preserve">and </w:t>
          </w:r>
          <w:r>
            <w:t>for the option that would allow the installation to achieve emissions within the BAT-AEL ranges within the BATc review deadline. This is required in order to demonstrate disproportionate costs.</w:t>
          </w:r>
        </w:p>
        <w:p w14:paraId="46C622D1" w14:textId="77777777" w:rsidR="003A6270" w:rsidRDefault="003A6270" w:rsidP="002E30E0">
          <w:pPr>
            <w:spacing w:after="240"/>
            <w:ind w:right="363"/>
            <w:jc w:val="both"/>
          </w:pPr>
          <w:r>
            <w:t>Further information on costs and benefits can be found in Appendix 12.</w:t>
          </w:r>
        </w:p>
        <w:p w14:paraId="3A32961A" w14:textId="77777777" w:rsidR="003A6270" w:rsidRDefault="003A6270" w:rsidP="002E30E0">
          <w:pPr>
            <w:pStyle w:val="Heading2"/>
            <w:spacing w:after="120"/>
            <w:jc w:val="both"/>
          </w:pPr>
          <w:bookmarkStart w:id="28" w:name="_Toc195626971"/>
          <w:r>
            <w:t>Justification for Preferred Option</w:t>
          </w:r>
          <w:bookmarkEnd w:id="28"/>
        </w:p>
        <w:p w14:paraId="3A3164DF" w14:textId="77777777" w:rsidR="002E30E0" w:rsidRDefault="003A6270" w:rsidP="002E30E0">
          <w:pPr>
            <w:spacing w:after="240"/>
            <w:ind w:right="363"/>
            <w:jc w:val="both"/>
          </w:pPr>
          <w:r>
            <w:t>The operator will have a preferred option and should indicate the reason(s) the proposed option has been selected.</w:t>
          </w:r>
        </w:p>
        <w:p w14:paraId="5D7373ED" w14:textId="7F486AB4" w:rsidR="003A6270" w:rsidRDefault="003A6270" w:rsidP="002E30E0">
          <w:pPr>
            <w:spacing w:after="240"/>
            <w:ind w:right="363"/>
            <w:jc w:val="both"/>
          </w:pPr>
          <w:r>
            <w:t xml:space="preserve">As part of this justification the operator should state the reason that an option is being selected and where necessary, give details of any benefits and risks associated with the option, and why they are preferred over other options, including why other possible options are not selected and are therefore not the best options for the </w:t>
          </w:r>
          <w:r w:rsidR="00F13FC9">
            <w:t>site-specific</w:t>
          </w:r>
          <w:r>
            <w:t xml:space="preserve"> circumstances.</w:t>
          </w:r>
        </w:p>
        <w:p w14:paraId="313344A2" w14:textId="77777777" w:rsidR="003A6270" w:rsidRDefault="003A6270" w:rsidP="002E30E0">
          <w:pPr>
            <w:spacing w:after="240"/>
            <w:ind w:right="363"/>
            <w:jc w:val="both"/>
          </w:pPr>
          <w:r>
            <w:t>The operator should as part of its justification provide evidence to support understanding of underlying cause as to why a particular option has been selected. This could take the form of technical assessments, monitoring data, photographs, historic maps or survey data.</w:t>
          </w:r>
        </w:p>
        <w:p w14:paraId="16DCC628" w14:textId="77777777" w:rsidR="003A6270" w:rsidRDefault="003A6270" w:rsidP="002E30E0">
          <w:pPr>
            <w:spacing w:after="240"/>
            <w:ind w:right="363"/>
            <w:jc w:val="both"/>
          </w:pPr>
          <w:r>
            <w:t>The operator should demonstrate that the proposed upgrades will provide the intended benefits (e.g. these benefits may include the protection of important infrastructure and buildings, valuable land resource, or renewable energy production), but most importantly why the preferred option is BAT and will achieve emissions within the BAT-AEL range.</w:t>
          </w:r>
        </w:p>
        <w:p w14:paraId="59F2EF7D" w14:textId="77777777" w:rsidR="003A6270" w:rsidRDefault="003A6270" w:rsidP="00DA536F">
          <w:pPr>
            <w:ind w:right="361"/>
            <w:jc w:val="both"/>
          </w:pPr>
        </w:p>
        <w:p w14:paraId="1FE67F08" w14:textId="77777777" w:rsidR="002E30E0" w:rsidRDefault="002E30E0" w:rsidP="00DA536F">
          <w:pPr>
            <w:ind w:right="361"/>
            <w:jc w:val="both"/>
          </w:pPr>
        </w:p>
        <w:p w14:paraId="78BDDE1F" w14:textId="77777777" w:rsidR="002E30E0" w:rsidRDefault="002E30E0" w:rsidP="00DA536F">
          <w:pPr>
            <w:ind w:right="361"/>
            <w:jc w:val="both"/>
          </w:pPr>
        </w:p>
        <w:p w14:paraId="6D7CDC8B" w14:textId="77777777" w:rsidR="002E30E0" w:rsidRDefault="002E30E0" w:rsidP="00DA536F">
          <w:pPr>
            <w:ind w:right="361"/>
            <w:jc w:val="both"/>
          </w:pPr>
        </w:p>
        <w:p w14:paraId="7B4367B4" w14:textId="77777777" w:rsidR="002E30E0" w:rsidRDefault="002E30E0" w:rsidP="00DA536F">
          <w:pPr>
            <w:ind w:right="361"/>
            <w:jc w:val="both"/>
          </w:pPr>
        </w:p>
        <w:p w14:paraId="45878CD8" w14:textId="77777777" w:rsidR="002E30E0" w:rsidRDefault="002E30E0" w:rsidP="00DA536F">
          <w:pPr>
            <w:ind w:right="361"/>
            <w:jc w:val="both"/>
          </w:pPr>
        </w:p>
        <w:p w14:paraId="3ECBF0B4" w14:textId="77777777" w:rsidR="002E30E0" w:rsidRDefault="002E30E0" w:rsidP="00DA536F">
          <w:pPr>
            <w:ind w:right="361"/>
            <w:jc w:val="both"/>
          </w:pPr>
        </w:p>
        <w:p w14:paraId="2C31AE0B" w14:textId="77777777" w:rsidR="003A6270" w:rsidRDefault="003A6270" w:rsidP="002E30E0">
          <w:pPr>
            <w:pStyle w:val="Heading1"/>
            <w:spacing w:after="120"/>
            <w:jc w:val="both"/>
          </w:pPr>
          <w:bookmarkStart w:id="29" w:name="_Toc195626972"/>
          <w:r>
            <w:t>Step 5 – Stage 2 BAT Assessment – Derogation Appraisal</w:t>
          </w:r>
          <w:bookmarkEnd w:id="29"/>
        </w:p>
        <w:p w14:paraId="0287A3F5" w14:textId="61E7BCF8" w:rsidR="00F965EE" w:rsidRDefault="00F965EE" w:rsidP="002E30E0">
          <w:pPr>
            <w:spacing w:after="240"/>
            <w:ind w:right="363"/>
            <w:jc w:val="both"/>
          </w:pPr>
          <w:r>
            <w:t xml:space="preserve">Derogation can only be considered after the </w:t>
          </w:r>
          <w:r w:rsidR="00F13FC9">
            <w:t>site-specific</w:t>
          </w:r>
          <w:r>
            <w:t xml:space="preserve"> BAT assessment for the whole installation has been concluded, and if the BAT assessment and optioneering undertaken in Step 4 does not demonstrate a BAT option that will achieve emissions within the BAT-AEL range within the BATc review deadline.</w:t>
          </w:r>
        </w:p>
        <w:p w14:paraId="28A99066" w14:textId="77777777" w:rsidR="00F965EE" w:rsidRDefault="00F965EE" w:rsidP="002E30E0">
          <w:pPr>
            <w:spacing w:after="240"/>
            <w:ind w:right="363"/>
            <w:jc w:val="both"/>
          </w:pPr>
          <w:r>
            <w:t>The need to consider derogation will arise only if SEPA concludes that an operator’s BAT Assessment adequately demonstrates that BAT in that operator’s specific circumstances might be defined by an ELV that exceeds the upper end of the applicable BAT-AEL range. This should be on a time limited basis in order to allow the investment necessary to reduce emissions to an appropriate point within the BAT-AEL range.</w:t>
          </w:r>
        </w:p>
        <w:p w14:paraId="0C155AD9" w14:textId="6468EC91" w:rsidR="00B21C2E" w:rsidRDefault="781C57AA" w:rsidP="002E30E0">
          <w:pPr>
            <w:spacing w:after="240"/>
            <w:ind w:right="363"/>
            <w:jc w:val="both"/>
          </w:pPr>
          <w:r>
            <w:t>It is a common misconception that derogation is from both BAT and the full requirements of the IED – this is not the case.</w:t>
          </w:r>
          <w:r w:rsidR="16CF7773">
            <w:t xml:space="preserve"> </w:t>
          </w:r>
          <w:r>
            <w:t xml:space="preserve">If you consider that an </w:t>
          </w:r>
          <w:r w:rsidR="68D146A1">
            <w:t>I</w:t>
          </w:r>
          <w:r>
            <w:t xml:space="preserve">nstallation may require </w:t>
          </w:r>
          <w:r w:rsidR="724EB352">
            <w:t>derogation,</w:t>
          </w:r>
          <w:r>
            <w:t xml:space="preserve"> please refer to </w:t>
          </w:r>
          <w:r w:rsidR="40277FBE" w:rsidRPr="61371739">
            <w:rPr>
              <w:rFonts w:ascii="Arial" w:hAnsi="Arial" w:cs="Arial"/>
            </w:rPr>
            <w:t xml:space="preserve">Guidance on appraising derogations for BAT-AELs for </w:t>
          </w:r>
          <w:r w:rsidR="000B6FA9">
            <w:rPr>
              <w:rFonts w:ascii="Arial" w:hAnsi="Arial" w:cs="Arial"/>
            </w:rPr>
            <w:t>s</w:t>
          </w:r>
          <w:r w:rsidR="40277FBE" w:rsidRPr="61371739">
            <w:rPr>
              <w:rFonts w:ascii="Arial" w:hAnsi="Arial" w:cs="Arial"/>
            </w:rPr>
            <w:t>chedule 20 emissions activities</w:t>
          </w:r>
          <w:r w:rsidR="40277FBE">
            <w:t xml:space="preserve"> (IND-G-016) </w:t>
          </w:r>
          <w:r>
            <w:t>and contact the</w:t>
          </w:r>
          <w:r w:rsidR="34904CB9">
            <w:t xml:space="preserve"> Air Quality, Energy and</w:t>
          </w:r>
          <w:r>
            <w:t xml:space="preserve"> Industry Unit for guidance and support.</w:t>
          </w:r>
          <w:r w:rsidR="00F965EE">
            <w:br w:type="page"/>
          </w:r>
        </w:p>
        <w:p w14:paraId="30945694" w14:textId="77777777" w:rsidR="00F965EE" w:rsidRDefault="00F965EE" w:rsidP="00DA536F">
          <w:pPr>
            <w:pStyle w:val="Heading1"/>
            <w:jc w:val="both"/>
          </w:pPr>
          <w:bookmarkStart w:id="30" w:name="_Toc195626973"/>
          <w:r>
            <w:t>Step 6 – Stage 3 BAT Assessment – BAT Confirmation</w:t>
          </w:r>
          <w:bookmarkEnd w:id="30"/>
        </w:p>
        <w:p w14:paraId="6ADBCBD4" w14:textId="24695485" w:rsidR="007A525F" w:rsidRDefault="007A525F" w:rsidP="00DA536F">
          <w:pPr>
            <w:ind w:right="361"/>
            <w:jc w:val="both"/>
          </w:pPr>
          <w:r>
            <w:t xml:space="preserve">Following the completion of the </w:t>
          </w:r>
          <w:r w:rsidR="00F13FC9">
            <w:t>site-specific</w:t>
          </w:r>
          <w:r>
            <w:t xml:space="preserve"> BAT assessment and prior to commencing the permit review and any permit variation, the operator should be informed of the conclusions of SEPA’s installation specific BAT assessment. This will confirm whether operations at the installation can be considered to be BAT.</w:t>
          </w:r>
        </w:p>
        <w:p w14:paraId="0D2780B3" w14:textId="67698AF5" w:rsidR="007A525F" w:rsidRDefault="007A525F" w:rsidP="00DA536F">
          <w:pPr>
            <w:ind w:right="361"/>
            <w:jc w:val="both"/>
            <w:rPr>
              <w:b/>
            </w:rPr>
          </w:pPr>
          <w:r>
            <w:t xml:space="preserve">Following the confirmation of </w:t>
          </w:r>
          <w:r w:rsidR="00F13FC9">
            <w:t>site-specific</w:t>
          </w:r>
          <w:r>
            <w:t xml:space="preserve"> BAT you should then proceed with the next steps of </w:t>
          </w:r>
          <w:r w:rsidR="00374F79">
            <w:t xml:space="preserve">relevant SEPA procedure. </w:t>
          </w:r>
        </w:p>
        <w:p w14:paraId="31A4DE03" w14:textId="77777777" w:rsidR="00AE2716" w:rsidRDefault="00AE2716" w:rsidP="00DA536F">
          <w:pPr>
            <w:ind w:right="361"/>
            <w:jc w:val="both"/>
          </w:pPr>
        </w:p>
        <w:p w14:paraId="3F811018" w14:textId="77777777" w:rsidR="007A525F" w:rsidRDefault="007A525F" w:rsidP="00DA536F">
          <w:pPr>
            <w:pStyle w:val="Heading1"/>
            <w:spacing w:after="156"/>
            <w:jc w:val="both"/>
          </w:pPr>
          <w:bookmarkStart w:id="31" w:name="_Toc195626974"/>
          <w:r>
            <w:t>SEPA Approach to BAT</w:t>
          </w:r>
          <w:bookmarkEnd w:id="31"/>
        </w:p>
        <w:p w14:paraId="7663D729" w14:textId="77777777" w:rsidR="007A525F" w:rsidRDefault="007A525F" w:rsidP="00DA536F">
          <w:pPr>
            <w:pStyle w:val="Heading2"/>
            <w:jc w:val="both"/>
          </w:pPr>
          <w:bookmarkStart w:id="32" w:name="_Toc195626975"/>
          <w:r>
            <w:t>BAT and Inspections</w:t>
          </w:r>
          <w:bookmarkEnd w:id="32"/>
        </w:p>
        <w:p w14:paraId="6F423E12" w14:textId="77777777" w:rsidR="007A525F" w:rsidRDefault="007A525F" w:rsidP="00DA536F">
          <w:pPr>
            <w:ind w:right="361"/>
            <w:jc w:val="both"/>
          </w:pPr>
          <w:r>
            <w:t>Article 21 of the IED specifies that when reconsidering permit conditions as part of the BATc review, SEPA should use any information resulting from monitoring and inspections. Therefore the results of routine inspections should be used to help inform decisions on BATc reviews.</w:t>
          </w:r>
        </w:p>
        <w:p w14:paraId="702A634F" w14:textId="77777777" w:rsidR="006158F6" w:rsidRDefault="006158F6" w:rsidP="00DA536F">
          <w:pPr>
            <w:ind w:right="361"/>
            <w:jc w:val="both"/>
          </w:pPr>
        </w:p>
        <w:p w14:paraId="5B54343F" w14:textId="3CA56622" w:rsidR="00AE2716" w:rsidRDefault="007A525F" w:rsidP="00DA536F">
          <w:pPr>
            <w:spacing w:after="443"/>
            <w:ind w:right="361"/>
            <w:jc w:val="both"/>
          </w:pPr>
          <w:r>
            <w:t xml:space="preserve">Following the BATc review and the conformation of </w:t>
          </w:r>
          <w:r w:rsidR="00AA277F">
            <w:t>site-specific</w:t>
          </w:r>
          <w:r>
            <w:t xml:space="preserve"> BAT, it is recommended that “compliance” with BAT is assessed as part of the routine inspection cycle to ensure that SEPA’s understanding of site</w:t>
          </w:r>
          <w:r w:rsidR="00AA277F">
            <w:t>-</w:t>
          </w:r>
          <w:r>
            <w:t>specific BAT is maintained until the next BATc review. This is not to say that site-specific BAT is fixed until the next BATc review, but rather that it is continually assessed as part of good regulatory practice. It is anticipated that this approach would allow future efficiencies to be gained in the BATc review process.</w:t>
          </w:r>
          <w:r w:rsidR="00AE2716">
            <w:br w:type="page"/>
          </w:r>
        </w:p>
        <w:p w14:paraId="48652A88" w14:textId="77777777" w:rsidR="007A525F" w:rsidRDefault="007A525F" w:rsidP="00DA536F">
          <w:pPr>
            <w:pStyle w:val="Heading1"/>
            <w:spacing w:after="161"/>
            <w:jc w:val="both"/>
          </w:pPr>
          <w:bookmarkStart w:id="33" w:name="_Toc195626976"/>
          <w:r>
            <w:t>Consultation and Public Access to Information</w:t>
          </w:r>
          <w:bookmarkEnd w:id="33"/>
        </w:p>
        <w:p w14:paraId="6C1D6E7B" w14:textId="77777777" w:rsidR="007A525F" w:rsidRDefault="007A525F" w:rsidP="00DA536F">
          <w:pPr>
            <w:pStyle w:val="Heading2"/>
            <w:jc w:val="both"/>
          </w:pPr>
          <w:bookmarkStart w:id="34" w:name="_Toc195626977"/>
          <w:r>
            <w:t>Consultation</w:t>
          </w:r>
          <w:bookmarkEnd w:id="34"/>
        </w:p>
        <w:p w14:paraId="40246509" w14:textId="77777777" w:rsidR="007A525F" w:rsidRDefault="007A525F" w:rsidP="00DA536F">
          <w:pPr>
            <w:spacing w:after="138"/>
            <w:ind w:right="361"/>
            <w:jc w:val="both"/>
          </w:pPr>
          <w:r>
            <w:t>The IED requires that the public participation directive (PPD) provisions could apply to permit variations as a consequence of some BATc reviews. This requirement is only triggered where:</w:t>
          </w:r>
        </w:p>
        <w:p w14:paraId="4F44E9F4" w14:textId="0984D591" w:rsidR="007A525F" w:rsidRDefault="001C5EBE" w:rsidP="00DA536F">
          <w:pPr>
            <w:numPr>
              <w:ilvl w:val="0"/>
              <w:numId w:val="21"/>
            </w:numPr>
            <w:spacing w:after="136" w:line="248" w:lineRule="auto"/>
            <w:ind w:left="567" w:right="361" w:hanging="567"/>
            <w:jc w:val="both"/>
          </w:pPr>
          <w:r>
            <w:t>I</w:t>
          </w:r>
          <w:r w:rsidR="007A525F">
            <w:t>t is proposed to vary a permit to include a lower or additional ELV in order avoid significant pollution; or</w:t>
          </w:r>
        </w:p>
        <w:p w14:paraId="787C4C9E" w14:textId="77777777" w:rsidR="001C5EBE" w:rsidRDefault="001C5EBE" w:rsidP="00DA536F">
          <w:pPr>
            <w:numPr>
              <w:ilvl w:val="0"/>
              <w:numId w:val="21"/>
            </w:numPr>
            <w:spacing w:after="210" w:line="248" w:lineRule="auto"/>
            <w:ind w:left="567" w:right="361" w:hanging="567"/>
            <w:jc w:val="both"/>
          </w:pPr>
        </w:p>
        <w:p w14:paraId="21D00DC2" w14:textId="539440FC" w:rsidR="007A525F" w:rsidRDefault="001C5EBE" w:rsidP="00DA536F">
          <w:pPr>
            <w:numPr>
              <w:ilvl w:val="0"/>
              <w:numId w:val="21"/>
            </w:numPr>
            <w:spacing w:after="210" w:line="248" w:lineRule="auto"/>
            <w:ind w:left="567" w:right="361" w:hanging="567"/>
            <w:jc w:val="both"/>
          </w:pPr>
          <w:r>
            <w:t>I</w:t>
          </w:r>
          <w:r w:rsidR="007A525F">
            <w:t>t is proposed to vary a permit so that an ELV for normal operating conditions that exceeds the upper end of a relevant BAT-AEL range will be included – i.e. derogation is required.</w:t>
          </w:r>
        </w:p>
        <w:p w14:paraId="45AC9654" w14:textId="4E5CEC86" w:rsidR="007A525F" w:rsidRDefault="724EB352" w:rsidP="00DA536F">
          <w:pPr>
            <w:spacing w:after="182"/>
            <w:ind w:right="361"/>
            <w:jc w:val="both"/>
          </w:pPr>
          <w:r>
            <w:t xml:space="preserve">If a BATc review triggers the requirement to undertake PPD you should </w:t>
          </w:r>
          <w:r w:rsidR="34904CB9">
            <w:t xml:space="preserve">contact the SEPA Air Quality, Energy and Industry Unit for advice and procedure. </w:t>
          </w:r>
        </w:p>
        <w:p w14:paraId="090FFFF7" w14:textId="77777777" w:rsidR="007A525F" w:rsidRDefault="007A525F" w:rsidP="00DA536F">
          <w:pPr>
            <w:pStyle w:val="Heading2"/>
            <w:jc w:val="both"/>
          </w:pPr>
          <w:bookmarkStart w:id="35" w:name="_Toc195626978"/>
          <w:r>
            <w:t>Public Access to Information</w:t>
          </w:r>
          <w:bookmarkEnd w:id="35"/>
        </w:p>
        <w:p w14:paraId="64C71BB0" w14:textId="282D3C4E" w:rsidR="002E30E0" w:rsidRDefault="007A525F" w:rsidP="00DA536F">
          <w:pPr>
            <w:ind w:right="361"/>
            <w:jc w:val="both"/>
          </w:pPr>
          <w:r>
            <w:t>The IED requires that information regarding the BATc review, decision documents and any associated permits variations must be made available to the public. This means that this information will be made available on the public register (available in SEPA local offices and electronically).</w:t>
          </w:r>
        </w:p>
        <w:p w14:paraId="79E68831" w14:textId="77777777" w:rsidR="002E30E0" w:rsidRDefault="002E30E0" w:rsidP="00DA536F">
          <w:pPr>
            <w:ind w:right="361"/>
            <w:jc w:val="both"/>
          </w:pPr>
        </w:p>
        <w:p w14:paraId="56BBBA2E" w14:textId="77777777" w:rsidR="002E30E0" w:rsidRDefault="002E30E0" w:rsidP="00DA536F">
          <w:pPr>
            <w:ind w:right="361"/>
            <w:jc w:val="both"/>
          </w:pPr>
        </w:p>
        <w:p w14:paraId="56952A44" w14:textId="77777777" w:rsidR="002E30E0" w:rsidRDefault="002E30E0" w:rsidP="00DA536F">
          <w:pPr>
            <w:ind w:right="361"/>
            <w:jc w:val="both"/>
          </w:pPr>
        </w:p>
        <w:p w14:paraId="4FC2FAAB" w14:textId="77777777" w:rsidR="002E30E0" w:rsidRDefault="002E30E0" w:rsidP="00DA536F">
          <w:pPr>
            <w:ind w:right="361"/>
            <w:jc w:val="both"/>
          </w:pPr>
        </w:p>
        <w:p w14:paraId="45657E13" w14:textId="77777777" w:rsidR="002E30E0" w:rsidRDefault="002E30E0" w:rsidP="00DA536F">
          <w:pPr>
            <w:ind w:right="361"/>
            <w:jc w:val="both"/>
          </w:pPr>
        </w:p>
        <w:p w14:paraId="32C50E43" w14:textId="77777777" w:rsidR="002E30E0" w:rsidRDefault="002E30E0" w:rsidP="00DA536F">
          <w:pPr>
            <w:ind w:right="361"/>
            <w:jc w:val="both"/>
          </w:pPr>
        </w:p>
        <w:p w14:paraId="2261875A" w14:textId="77777777" w:rsidR="002E30E0" w:rsidRDefault="002E30E0" w:rsidP="00DA536F">
          <w:pPr>
            <w:ind w:right="361"/>
            <w:jc w:val="both"/>
          </w:pPr>
        </w:p>
        <w:p w14:paraId="0FB29020" w14:textId="77777777" w:rsidR="002E30E0" w:rsidRDefault="002E30E0" w:rsidP="00DA536F">
          <w:pPr>
            <w:ind w:right="361"/>
            <w:jc w:val="both"/>
          </w:pPr>
        </w:p>
        <w:p w14:paraId="203370D8" w14:textId="77777777" w:rsidR="002E30E0" w:rsidRDefault="002E30E0" w:rsidP="00DA536F">
          <w:pPr>
            <w:ind w:right="361"/>
            <w:jc w:val="both"/>
          </w:pPr>
        </w:p>
        <w:p w14:paraId="00764C91" w14:textId="77777777" w:rsidR="002E30E0" w:rsidRDefault="002E30E0" w:rsidP="00DA536F">
          <w:pPr>
            <w:ind w:right="361"/>
            <w:jc w:val="both"/>
          </w:pPr>
        </w:p>
        <w:p w14:paraId="7C3C30F0" w14:textId="77777777" w:rsidR="002E30E0" w:rsidRDefault="002E30E0" w:rsidP="00DA536F">
          <w:pPr>
            <w:ind w:right="361"/>
            <w:jc w:val="both"/>
          </w:pPr>
        </w:p>
        <w:p w14:paraId="0AEDDCE7" w14:textId="77777777" w:rsidR="002E30E0" w:rsidRDefault="002E30E0" w:rsidP="00DA536F">
          <w:pPr>
            <w:ind w:right="361"/>
            <w:jc w:val="both"/>
          </w:pPr>
        </w:p>
        <w:p w14:paraId="48497644" w14:textId="77777777" w:rsidR="00165461" w:rsidRDefault="00165461" w:rsidP="00DA536F">
          <w:pPr>
            <w:ind w:right="361"/>
            <w:jc w:val="both"/>
          </w:pPr>
        </w:p>
        <w:p w14:paraId="0DD815A2" w14:textId="3D505D62" w:rsidR="007A525F" w:rsidRDefault="007A525F" w:rsidP="002E30E0">
          <w:pPr>
            <w:pStyle w:val="Heading1"/>
            <w:spacing w:after="120"/>
          </w:pPr>
          <w:bookmarkStart w:id="36" w:name="_Toc195626979"/>
          <w:r>
            <w:t>Charg</w:t>
          </w:r>
          <w:r w:rsidRPr="00165461">
            <w:t>ing</w:t>
          </w:r>
          <w:bookmarkEnd w:id="36"/>
        </w:p>
        <w:p w14:paraId="35C29B07" w14:textId="77777777" w:rsidR="007A525F" w:rsidRPr="002E30E0" w:rsidRDefault="007A525F" w:rsidP="002E30E0">
          <w:pPr>
            <w:spacing w:after="240"/>
            <w:ind w:right="361"/>
            <w:jc w:val="both"/>
          </w:pPr>
          <w:r w:rsidRPr="002E30E0">
            <w:t>The current version of SEPA’s charging scheme guidance states:</w:t>
          </w:r>
        </w:p>
        <w:p w14:paraId="582F1E74" w14:textId="367748EC" w:rsidR="002E30E0" w:rsidRPr="002E30E0" w:rsidRDefault="002E30E0" w:rsidP="002E30E0">
          <w:pPr>
            <w:spacing w:after="240"/>
            <w:ind w:right="358"/>
            <w:jc w:val="both"/>
          </w:pPr>
          <w:r>
            <w:t>“</w:t>
          </w:r>
          <w:r w:rsidR="007A525F" w:rsidRPr="002E30E0">
            <w:t xml:space="preserve">There will be no charge associated with SEPA- initiated variations. This work is considered to be part of SEPA’s on-going </w:t>
          </w:r>
          <w:r w:rsidR="00EF0C01" w:rsidRPr="002E30E0">
            <w:t>work,</w:t>
          </w:r>
          <w:r w:rsidR="007A525F" w:rsidRPr="002E30E0">
            <w:t xml:space="preserve"> and the costs are recovered via annual charges.</w:t>
          </w:r>
        </w:p>
        <w:p w14:paraId="06DFDE45" w14:textId="6F31E2F5" w:rsidR="007A525F" w:rsidRPr="002E30E0" w:rsidRDefault="007A525F" w:rsidP="002E30E0">
          <w:pPr>
            <w:spacing w:after="240"/>
            <w:ind w:right="358"/>
            <w:jc w:val="both"/>
          </w:pPr>
          <w:r w:rsidRPr="002E30E0">
            <w:t>There may be some circumstances where there is extensive work associated with variations (such as the BRef reviews) where SEPA has to undertake a lot of additional work itself and needs to employ additional staff/consultancy support in order to manage the scale of work. Under these circumstances, SEPA may require operators to submit an application. Under these circumstances we would charge for a standard variation in order to fund the additional staff resources required to manage such a peak in workload. The decision to require operators to apply for a variation, because the resource demands exceed SEPA’s capacity to manage the variations, requires Regional Management Team clearance.</w:t>
          </w:r>
          <w:r w:rsidR="002E30E0">
            <w:t>”</w:t>
          </w:r>
        </w:p>
        <w:p w14:paraId="555EA36E" w14:textId="1C19E883" w:rsidR="007A525F" w:rsidRDefault="724EB352" w:rsidP="002E30E0">
          <w:pPr>
            <w:spacing w:after="240"/>
            <w:ind w:right="361"/>
            <w:jc w:val="both"/>
          </w:pPr>
          <w:r>
            <w:t xml:space="preserve">This means that SEPA is currently unable to require operators to pay a fee for any subsequent variations that are required following a BATc review unless </w:t>
          </w:r>
          <w:r w:rsidR="00130473">
            <w:t>management team</w:t>
          </w:r>
          <w:r>
            <w:t xml:space="preserve"> clearance is received. Therefore</w:t>
          </w:r>
          <w:r w:rsidR="36266C8B">
            <w:t>,</w:t>
          </w:r>
          <w:r>
            <w:t xml:space="preserve"> unless RMT clearance is received, only SEPA initiated variations will be used following BATc reviews.</w:t>
          </w:r>
        </w:p>
        <w:p w14:paraId="2AB08CCD" w14:textId="6E8452AB" w:rsidR="007A525F" w:rsidRPr="002E30E0" w:rsidRDefault="007A525F" w:rsidP="002E30E0">
          <w:pPr>
            <w:spacing w:after="240"/>
            <w:ind w:right="361"/>
            <w:jc w:val="both"/>
          </w:pPr>
          <w:r w:rsidRPr="002E30E0">
            <w:t>However</w:t>
          </w:r>
          <w:r w:rsidR="002E30E0">
            <w:t>,</w:t>
          </w:r>
          <w:r w:rsidRPr="002E30E0">
            <w:t xml:space="preserve"> SEPA’s charging scheme guidance also specifies that:</w:t>
          </w:r>
        </w:p>
        <w:p w14:paraId="52166625" w14:textId="10DBDD73" w:rsidR="007A525F" w:rsidRPr="002E30E0" w:rsidRDefault="002E30E0" w:rsidP="002E30E0">
          <w:pPr>
            <w:spacing w:after="240"/>
            <w:ind w:right="358"/>
            <w:jc w:val="both"/>
          </w:pPr>
          <w:r>
            <w:t>“</w:t>
          </w:r>
          <w:r w:rsidR="007A525F" w:rsidRPr="002E30E0">
            <w:t xml:space="preserve">In the next legal scheme it is intended to have a specific category for </w:t>
          </w:r>
          <w:r w:rsidR="00EF0C01" w:rsidRPr="002E30E0">
            <w:t>this,</w:t>
          </w:r>
          <w:r w:rsidR="007A525F" w:rsidRPr="002E30E0">
            <w:t xml:space="preserve"> so it is more explicit for staff and operators.</w:t>
          </w:r>
        </w:p>
        <w:p w14:paraId="405972D5" w14:textId="7B6B4088" w:rsidR="007A525F" w:rsidRPr="002E30E0" w:rsidRDefault="007A525F" w:rsidP="002E30E0">
          <w:pPr>
            <w:spacing w:after="240"/>
            <w:ind w:right="358"/>
            <w:jc w:val="both"/>
          </w:pPr>
          <w:r w:rsidRPr="002E30E0">
            <w:t>As such we are currently developing a proposed position for inclusion in the forthcoming charging scheme review consultation which will outline and clarify SEPA’s intended future position for charging for BATc Reviews.</w:t>
          </w:r>
          <w:r w:rsidR="002E30E0">
            <w:t>”</w:t>
          </w:r>
        </w:p>
        <w:p w14:paraId="3E1622A0" w14:textId="77777777" w:rsidR="002E30E0" w:rsidRDefault="002E30E0" w:rsidP="00DA536F">
          <w:pPr>
            <w:pStyle w:val="Heading1"/>
            <w:jc w:val="both"/>
          </w:pPr>
          <w:bookmarkStart w:id="37" w:name="_Toc195626980"/>
        </w:p>
        <w:p w14:paraId="632B70BA" w14:textId="77777777" w:rsidR="002E30E0" w:rsidRPr="002E30E0" w:rsidRDefault="002E30E0" w:rsidP="002E30E0"/>
        <w:p w14:paraId="3B3DBD10" w14:textId="2F49D250" w:rsidR="007A525F" w:rsidRDefault="007A525F" w:rsidP="002E30E0">
          <w:pPr>
            <w:pStyle w:val="Heading1"/>
            <w:spacing w:after="120"/>
          </w:pPr>
          <w:r w:rsidRPr="002E30E0">
            <w:t>Enforcement</w:t>
          </w:r>
          <w:r>
            <w:t xml:space="preserve"> Position</w:t>
          </w:r>
          <w:bookmarkEnd w:id="37"/>
        </w:p>
        <w:p w14:paraId="1504CABE" w14:textId="77777777" w:rsidR="00C41C2B" w:rsidRDefault="007A525F" w:rsidP="002E30E0">
          <w:pPr>
            <w:spacing w:after="240"/>
            <w:ind w:right="363"/>
            <w:jc w:val="both"/>
          </w:pPr>
          <w:r>
            <w:t>It is a requirement of the IED that BATc reviews are completed and where necessary the permit is varied within 4 years of the publication of the BATc for the main activity of the installation.</w:t>
          </w:r>
        </w:p>
        <w:p w14:paraId="4BF85844" w14:textId="574BB1DB" w:rsidR="007A525F" w:rsidRDefault="007A525F" w:rsidP="002E30E0">
          <w:pPr>
            <w:spacing w:after="240"/>
            <w:ind w:right="363"/>
            <w:jc w:val="both"/>
          </w:pPr>
          <w:r>
            <w:t xml:space="preserve">Where it is assessed that the installation cannot meet </w:t>
          </w:r>
          <w:r w:rsidR="00BD0957">
            <w:t>BAT,</w:t>
          </w:r>
          <w:r>
            <w:t xml:space="preserve"> or derogation cannot be justified SEPA will commence appropriate enforcement action in line with SEPA enforcement policy and guidance.</w:t>
          </w:r>
        </w:p>
        <w:p w14:paraId="115EFD3A" w14:textId="77777777" w:rsidR="007A525F" w:rsidRDefault="007A525F" w:rsidP="002E30E0">
          <w:pPr>
            <w:pStyle w:val="Heading1"/>
            <w:spacing w:after="120"/>
          </w:pPr>
          <w:bookmarkStart w:id="38" w:name="_Toc195626981"/>
          <w:r w:rsidRPr="002E30E0">
            <w:t>Summary</w:t>
          </w:r>
          <w:bookmarkEnd w:id="38"/>
        </w:p>
        <w:p w14:paraId="0425495B" w14:textId="17B06286" w:rsidR="007A525F" w:rsidRDefault="007A525F" w:rsidP="002E30E0">
          <w:pPr>
            <w:spacing w:after="240"/>
            <w:ind w:right="363"/>
            <w:jc w:val="both"/>
          </w:pPr>
          <w:r>
            <w:t xml:space="preserve">The purpose of this guidance document is to explain, as simply as possible, how BATc reviews are to be approached. This is a complex subject </w:t>
          </w:r>
          <w:r w:rsidR="00CB2C00">
            <w:t>area,</w:t>
          </w:r>
          <w:r>
            <w:t xml:space="preserve"> and it is acknowledged that not all aspects have been discussed in detail.</w:t>
          </w:r>
        </w:p>
        <w:p w14:paraId="257BCCC7" w14:textId="1C5A15F2" w:rsidR="007A525F" w:rsidRDefault="007A525F" w:rsidP="002E30E0">
          <w:pPr>
            <w:spacing w:after="240"/>
            <w:ind w:right="363"/>
            <w:jc w:val="both"/>
          </w:pPr>
          <w:r>
            <w:t xml:space="preserve">A list of frequently asked questions has been included on page 19 of this guidance document. This will provide clarity on some of the more common </w:t>
          </w:r>
          <w:r w:rsidR="00CB2C00">
            <w:t>issues,</w:t>
          </w:r>
          <w:r>
            <w:t xml:space="preserve"> and it is our intention that this list will be added to as further questions arise.</w:t>
          </w:r>
        </w:p>
        <w:p w14:paraId="196BA1EC" w14:textId="37D4C3B4" w:rsidR="007A525F" w:rsidRDefault="007A525F" w:rsidP="002E30E0">
          <w:pPr>
            <w:spacing w:after="240"/>
            <w:ind w:right="363"/>
            <w:jc w:val="both"/>
          </w:pPr>
          <w:r>
            <w:t xml:space="preserve">If you require any further information or </w:t>
          </w:r>
          <w:r w:rsidR="00C12A7D">
            <w:t>clarification,</w:t>
          </w:r>
          <w:r>
            <w:t xml:space="preserve"> please </w:t>
          </w:r>
          <w:r w:rsidR="002D2199">
            <w:t xml:space="preserve">contact </w:t>
          </w:r>
          <w:r w:rsidR="008601A4">
            <w:t>the permitting reform unit</w:t>
          </w:r>
          <w:r w:rsidR="002D2199">
            <w:t xml:space="preserve">. </w:t>
          </w:r>
        </w:p>
        <w:p w14:paraId="51CF2A60" w14:textId="77777777" w:rsidR="002E30E0" w:rsidRDefault="002E30E0" w:rsidP="00DA536F">
          <w:pPr>
            <w:ind w:right="361"/>
            <w:jc w:val="both"/>
          </w:pPr>
        </w:p>
        <w:p w14:paraId="042032D4" w14:textId="77777777" w:rsidR="002E30E0" w:rsidRDefault="002E30E0" w:rsidP="00DA536F">
          <w:pPr>
            <w:ind w:right="361"/>
            <w:jc w:val="both"/>
          </w:pPr>
        </w:p>
        <w:p w14:paraId="61F2A858" w14:textId="77777777" w:rsidR="002E30E0" w:rsidRDefault="002E30E0" w:rsidP="00DA536F">
          <w:pPr>
            <w:ind w:right="361"/>
            <w:jc w:val="both"/>
          </w:pPr>
        </w:p>
        <w:p w14:paraId="386DADE3" w14:textId="77777777" w:rsidR="002E30E0" w:rsidRDefault="002E30E0" w:rsidP="00DA536F">
          <w:pPr>
            <w:ind w:right="361"/>
            <w:jc w:val="both"/>
          </w:pPr>
        </w:p>
        <w:p w14:paraId="48568F1D" w14:textId="77777777" w:rsidR="002E30E0" w:rsidRDefault="002E30E0" w:rsidP="00DA536F">
          <w:pPr>
            <w:ind w:right="361"/>
            <w:jc w:val="both"/>
          </w:pPr>
        </w:p>
        <w:p w14:paraId="6277E3BC" w14:textId="77777777" w:rsidR="002E30E0" w:rsidRDefault="002E30E0" w:rsidP="00DA536F">
          <w:pPr>
            <w:ind w:right="361"/>
            <w:jc w:val="both"/>
          </w:pPr>
        </w:p>
        <w:p w14:paraId="425E5950" w14:textId="77777777" w:rsidR="002E30E0" w:rsidRDefault="002E30E0" w:rsidP="00DA536F">
          <w:pPr>
            <w:ind w:right="361"/>
            <w:jc w:val="both"/>
          </w:pPr>
        </w:p>
        <w:p w14:paraId="4FC1B792" w14:textId="77777777" w:rsidR="002E30E0" w:rsidRDefault="002E30E0" w:rsidP="00DA536F">
          <w:pPr>
            <w:ind w:right="361"/>
            <w:jc w:val="both"/>
          </w:pPr>
        </w:p>
        <w:p w14:paraId="47E6767C" w14:textId="77777777" w:rsidR="008601A4" w:rsidRDefault="008601A4" w:rsidP="00DA536F">
          <w:pPr>
            <w:ind w:right="361"/>
            <w:jc w:val="both"/>
          </w:pPr>
        </w:p>
        <w:p w14:paraId="49D85334" w14:textId="77777777" w:rsidR="002E30E0" w:rsidRDefault="002E30E0" w:rsidP="00DA536F">
          <w:pPr>
            <w:ind w:right="361"/>
            <w:jc w:val="both"/>
          </w:pPr>
        </w:p>
        <w:p w14:paraId="07244E74" w14:textId="77777777" w:rsidR="00C12A7D" w:rsidRDefault="00C12A7D" w:rsidP="00DA536F">
          <w:pPr>
            <w:ind w:right="361"/>
            <w:jc w:val="both"/>
          </w:pPr>
        </w:p>
        <w:p w14:paraId="512F93FB" w14:textId="77777777" w:rsidR="007A525F" w:rsidRDefault="007A525F" w:rsidP="008601A4">
          <w:pPr>
            <w:pStyle w:val="Heading1"/>
            <w:spacing w:after="120"/>
            <w:jc w:val="both"/>
          </w:pPr>
          <w:bookmarkStart w:id="39" w:name="_Toc195626982"/>
          <w:r>
            <w:t>Frequently Asked Questions</w:t>
          </w:r>
          <w:bookmarkEnd w:id="39"/>
        </w:p>
        <w:p w14:paraId="06F3A519" w14:textId="77777777" w:rsidR="00BD2BDF" w:rsidRPr="00BD2BDF" w:rsidRDefault="00BD2BDF" w:rsidP="008601A4">
          <w:pPr>
            <w:spacing w:after="240"/>
            <w:jc w:val="both"/>
          </w:pPr>
        </w:p>
        <w:p w14:paraId="294CD555" w14:textId="77777777" w:rsidR="007A525F" w:rsidRPr="00C41C2B" w:rsidRDefault="007A525F" w:rsidP="008601A4">
          <w:pPr>
            <w:numPr>
              <w:ilvl w:val="0"/>
              <w:numId w:val="22"/>
            </w:numPr>
            <w:spacing w:after="240"/>
            <w:ind w:left="567" w:hanging="567"/>
            <w:jc w:val="both"/>
            <w:rPr>
              <w:sz w:val="32"/>
              <w:szCs w:val="32"/>
            </w:rPr>
          </w:pPr>
          <w:r w:rsidRPr="00C41C2B">
            <w:rPr>
              <w:rFonts w:ascii="Arial" w:eastAsia="Arial" w:hAnsi="Arial" w:cs="Arial"/>
              <w:b/>
              <w:color w:val="006666"/>
              <w:szCs w:val="32"/>
            </w:rPr>
            <w:t>What level of detail is required to demonstrate BAT?</w:t>
          </w:r>
        </w:p>
        <w:p w14:paraId="346608B6" w14:textId="43F0B000" w:rsidR="00C12A7D" w:rsidRDefault="007A525F" w:rsidP="008601A4">
          <w:pPr>
            <w:spacing w:after="240"/>
            <w:ind w:left="567" w:right="361"/>
            <w:jc w:val="both"/>
          </w:pPr>
          <w:r>
            <w:t>The level of detail required will vary depending upon the requirements of each individual BAT conclusion.</w:t>
          </w:r>
        </w:p>
        <w:p w14:paraId="4FAB5244" w14:textId="77777777" w:rsidR="007A525F" w:rsidRDefault="007A525F" w:rsidP="008601A4">
          <w:pPr>
            <w:spacing w:after="240"/>
            <w:ind w:left="567" w:right="361"/>
            <w:jc w:val="both"/>
          </w:pPr>
          <w:r>
            <w:t>For most BAT conclusions it is anticipated that SEPA will have previously made a decision during the initial application determination and BAT will be sufficiently demonstrated by the content of previous decision documents or permit conditions. Under these circumstances a reference to any previous decision will be sufficient.</w:t>
          </w:r>
        </w:p>
        <w:p w14:paraId="458DD4A6" w14:textId="77777777" w:rsidR="008601A4" w:rsidRDefault="007A525F" w:rsidP="008601A4">
          <w:pPr>
            <w:spacing w:after="240"/>
            <w:ind w:left="567" w:right="361"/>
            <w:jc w:val="both"/>
          </w:pPr>
          <w:r>
            <w:t>Where a new decision is needed to demonstrate BAT, the justification that the activity is BAT should be fully documented.</w:t>
          </w:r>
        </w:p>
        <w:p w14:paraId="184864CC" w14:textId="77777777" w:rsidR="007A525F" w:rsidRPr="00C41C2B" w:rsidRDefault="007A525F" w:rsidP="008601A4">
          <w:pPr>
            <w:numPr>
              <w:ilvl w:val="0"/>
              <w:numId w:val="22"/>
            </w:numPr>
            <w:spacing w:after="240"/>
            <w:ind w:left="567" w:hanging="567"/>
            <w:jc w:val="both"/>
          </w:pPr>
          <w:r w:rsidRPr="00C41C2B">
            <w:rPr>
              <w:rFonts w:ascii="Arial" w:eastAsia="Arial" w:hAnsi="Arial" w:cs="Arial"/>
              <w:b/>
              <w:color w:val="006666"/>
            </w:rPr>
            <w:t>Who assesses BAT?</w:t>
          </w:r>
        </w:p>
        <w:p w14:paraId="2C4F977D" w14:textId="730B353F" w:rsidR="00C12A7D" w:rsidRPr="00C41C2B" w:rsidRDefault="007A525F" w:rsidP="008601A4">
          <w:pPr>
            <w:spacing w:after="240"/>
            <w:ind w:left="567" w:right="361"/>
            <w:jc w:val="both"/>
          </w:pPr>
          <w:r w:rsidRPr="00C41C2B">
            <w:t>It is SEPA’s duty to assess whether an installation is BAT. In most cases SEPA will have previously made a decision on whether an installation is BAT.</w:t>
          </w:r>
        </w:p>
        <w:p w14:paraId="047364CA" w14:textId="77777777" w:rsidR="007A525F" w:rsidRPr="00C41C2B" w:rsidRDefault="007A525F" w:rsidP="008601A4">
          <w:pPr>
            <w:numPr>
              <w:ilvl w:val="0"/>
              <w:numId w:val="22"/>
            </w:numPr>
            <w:spacing w:after="240"/>
            <w:ind w:left="567" w:hanging="567"/>
            <w:jc w:val="both"/>
          </w:pPr>
          <w:r w:rsidRPr="00C41C2B">
            <w:rPr>
              <w:rFonts w:ascii="Arial" w:eastAsia="Arial" w:hAnsi="Arial" w:cs="Arial"/>
              <w:b/>
              <w:color w:val="006666"/>
            </w:rPr>
            <w:t>How do we get access to information to assess whether an installation is BAT?</w:t>
          </w:r>
        </w:p>
        <w:p w14:paraId="59EE4CB5" w14:textId="77777777" w:rsidR="007A525F" w:rsidRPr="00C41C2B" w:rsidRDefault="007A525F" w:rsidP="008601A4">
          <w:pPr>
            <w:spacing w:after="240"/>
            <w:ind w:left="567" w:right="361"/>
            <w:jc w:val="both"/>
          </w:pPr>
          <w:r w:rsidRPr="00C41C2B">
            <w:t>The operator should not be asked to demonstrate “compliance” with the BATc, SEPA should undertake a BAT assessment using the relevant BATc(s) as a reference.</w:t>
          </w:r>
        </w:p>
        <w:p w14:paraId="2601A5DB" w14:textId="77777777" w:rsidR="007A525F" w:rsidRPr="00C41C2B" w:rsidRDefault="007A525F" w:rsidP="008601A4">
          <w:pPr>
            <w:spacing w:after="240"/>
            <w:ind w:left="567" w:right="361"/>
            <w:jc w:val="both"/>
          </w:pPr>
          <w:r w:rsidRPr="00C41C2B">
            <w:t>It is considered that SEPA will already hold most of the information needed to assess site specific BAT. This could be in the form of previous determinations, decision documents, permit conditions, inspection reports, monitoring information or on the ground knowledge.</w:t>
          </w:r>
        </w:p>
        <w:p w14:paraId="28447DD4" w14:textId="77777777" w:rsidR="007A525F" w:rsidRPr="00C41C2B" w:rsidRDefault="007A525F" w:rsidP="008601A4">
          <w:pPr>
            <w:spacing w:after="240"/>
            <w:ind w:left="567" w:right="361"/>
            <w:jc w:val="both"/>
          </w:pPr>
          <w:r w:rsidRPr="00C41C2B">
            <w:t>Where there are gaps in this information to assess BAT, the operator can be formally asked to submit further information. It should be noted that any request for additional information should be targeted.</w:t>
          </w:r>
        </w:p>
        <w:p w14:paraId="669BFB7D" w14:textId="77777777" w:rsidR="007A525F" w:rsidRPr="00C41C2B" w:rsidRDefault="007A525F" w:rsidP="008601A4">
          <w:pPr>
            <w:numPr>
              <w:ilvl w:val="0"/>
              <w:numId w:val="22"/>
            </w:numPr>
            <w:spacing w:after="240"/>
            <w:ind w:left="567" w:hanging="567"/>
            <w:jc w:val="both"/>
          </w:pPr>
          <w:r w:rsidRPr="00C41C2B">
            <w:rPr>
              <w:rFonts w:ascii="Arial" w:eastAsia="Arial" w:hAnsi="Arial" w:cs="Arial"/>
              <w:b/>
              <w:color w:val="006666"/>
            </w:rPr>
            <w:t>How can the operator apply for derogation?</w:t>
          </w:r>
        </w:p>
        <w:p w14:paraId="090BE393" w14:textId="79DB22E6" w:rsidR="007A525F" w:rsidRPr="00C41C2B" w:rsidRDefault="724EB352" w:rsidP="008601A4">
          <w:pPr>
            <w:spacing w:after="240"/>
            <w:ind w:left="567" w:right="358"/>
            <w:jc w:val="both"/>
          </w:pPr>
          <w:r>
            <w:t>The operator can’t apply for derogation. Derogation appraisal should follow a BAT assessment and can be used by SEPA in very specific circumstances only. For example</w:t>
          </w:r>
          <w:r w:rsidR="452EF109">
            <w:t>,</w:t>
          </w:r>
          <w:r>
            <w:t xml:space="preserve"> where it is sufficiently demonstrated that site specific BAT for a particular installation may be represented by an ELV which exceeds the BAT-AEL range.</w:t>
          </w:r>
          <w:r w:rsidR="003C6899">
            <w:t xml:space="preserve"> Please see the SEPA website for the SEPA guidance document </w:t>
          </w:r>
          <w:r w:rsidR="003C6899" w:rsidRPr="003C6899">
            <w:t xml:space="preserve">on appraising derogations for BAT-AELs for </w:t>
          </w:r>
          <w:r w:rsidR="000B6FA9">
            <w:t>s</w:t>
          </w:r>
          <w:r w:rsidR="003C6899" w:rsidRPr="003C6899">
            <w:t>chedule 20 emissions activities</w:t>
          </w:r>
          <w:r w:rsidR="003C6899">
            <w:t>.</w:t>
          </w:r>
        </w:p>
        <w:p w14:paraId="282626DE" w14:textId="77777777" w:rsidR="007A525F" w:rsidRPr="00C41C2B" w:rsidRDefault="007A525F" w:rsidP="008601A4">
          <w:pPr>
            <w:numPr>
              <w:ilvl w:val="0"/>
              <w:numId w:val="22"/>
            </w:numPr>
            <w:spacing w:after="240"/>
            <w:ind w:left="567" w:hanging="567"/>
            <w:jc w:val="both"/>
          </w:pPr>
          <w:r w:rsidRPr="00C41C2B">
            <w:rPr>
              <w:rFonts w:ascii="Arial" w:eastAsia="Arial" w:hAnsi="Arial" w:cs="Arial"/>
              <w:b/>
              <w:color w:val="006666"/>
            </w:rPr>
            <w:t>Do mothballed or inactive sites need a BATc Review?</w:t>
          </w:r>
        </w:p>
        <w:p w14:paraId="5AADC96B" w14:textId="5AEDAC3A" w:rsidR="007C2913" w:rsidRDefault="007A525F" w:rsidP="008601A4">
          <w:pPr>
            <w:spacing w:after="240"/>
            <w:ind w:left="567" w:right="361"/>
            <w:jc w:val="both"/>
          </w:pPr>
          <w:r w:rsidRPr="00C41C2B">
            <w:t>Yes. These Installations are still subject to a BATc</w:t>
          </w:r>
          <w:r>
            <w:t xml:space="preserve"> review, which should be completed within the relevant timescales. Where the Installation needs to upgrade, permit conditions should be included that prevent operation until these upgrades are made.</w:t>
          </w:r>
          <w:r w:rsidR="007C2913">
            <w:br w:type="page"/>
          </w:r>
        </w:p>
        <w:p w14:paraId="5815059B" w14:textId="77777777" w:rsidR="007A525F" w:rsidRDefault="007A525F" w:rsidP="008601A4">
          <w:pPr>
            <w:pStyle w:val="Heading1"/>
            <w:spacing w:after="120"/>
            <w:jc w:val="both"/>
          </w:pPr>
          <w:bookmarkStart w:id="40" w:name="_Toc195626983"/>
          <w:r>
            <w:t>Appendix 1 – Site Condition and Baseline Reports</w:t>
          </w:r>
          <w:bookmarkEnd w:id="40"/>
        </w:p>
        <w:p w14:paraId="3984EF30" w14:textId="79C28B30" w:rsidR="00FC704B" w:rsidRDefault="007A525F" w:rsidP="008601A4">
          <w:pPr>
            <w:spacing w:after="240"/>
            <w:ind w:right="361"/>
            <w:jc w:val="both"/>
          </w:pPr>
          <w:r>
            <w:t>The IED introduced additional site condition requirements for installations, namely a requirement to quantify a baseline site condition and to undertake periodic monitoring of soil and groundwater. When a permit is reviewed it must fully comply with these requirements.</w:t>
          </w:r>
        </w:p>
        <w:p w14:paraId="3BD8E326" w14:textId="77777777" w:rsidR="007A525F" w:rsidRDefault="007A525F" w:rsidP="008601A4">
          <w:pPr>
            <w:pStyle w:val="Heading2"/>
            <w:spacing w:after="120"/>
            <w:jc w:val="both"/>
          </w:pPr>
          <w:bookmarkStart w:id="41" w:name="_Toc195626984"/>
          <w:r>
            <w:t>Identification of relevant hazardous substances (RHS)</w:t>
          </w:r>
          <w:bookmarkEnd w:id="41"/>
        </w:p>
        <w:p w14:paraId="0A8EF310" w14:textId="77777777" w:rsidR="007A525F" w:rsidRDefault="007A525F" w:rsidP="008601A4">
          <w:pPr>
            <w:spacing w:after="240"/>
            <w:ind w:right="361"/>
            <w:jc w:val="both"/>
          </w:pPr>
          <w:r>
            <w:t>Before baseline condition and soil and groundwater monitoring requirements can be considered, it is necessary to carry out a review of the substances currently used at the installation to establish whether relevant hazardous substances (RHS), or substances representing a theoretical pollution risk, are present at the installation. This is a staged process in which:</w:t>
          </w:r>
        </w:p>
        <w:p w14:paraId="290F6084" w14:textId="77777777" w:rsidR="007A525F" w:rsidRPr="001C5EBE" w:rsidRDefault="007A525F" w:rsidP="008601A4">
          <w:pPr>
            <w:numPr>
              <w:ilvl w:val="0"/>
              <w:numId w:val="23"/>
            </w:numPr>
            <w:spacing w:after="240"/>
            <w:ind w:left="567" w:right="361" w:hanging="567"/>
            <w:jc w:val="both"/>
            <w:rPr>
              <w:rFonts w:ascii="Arial" w:hAnsi="Arial" w:cs="Arial"/>
            </w:rPr>
          </w:pPr>
          <w:r w:rsidRPr="001C5EBE">
            <w:rPr>
              <w:rFonts w:ascii="Arial" w:hAnsi="Arial" w:cs="Arial"/>
            </w:rPr>
            <w:t>The substances used, produced or released at the installation are identified and a list produced of hazardous substances (as defined by CLP Regulations) and other substances presenting a theoretical pollution risk - the ECHA web site is a useful reference.</w:t>
          </w:r>
        </w:p>
        <w:p w14:paraId="4DF6682B" w14:textId="77777777" w:rsidR="007A525F" w:rsidRPr="001C5EBE" w:rsidRDefault="007A525F" w:rsidP="008601A4">
          <w:pPr>
            <w:numPr>
              <w:ilvl w:val="0"/>
              <w:numId w:val="23"/>
            </w:numPr>
            <w:spacing w:after="240"/>
            <w:ind w:left="567" w:right="361" w:hanging="567"/>
            <w:jc w:val="both"/>
            <w:rPr>
              <w:rFonts w:ascii="Arial" w:hAnsi="Arial" w:cs="Arial"/>
            </w:rPr>
          </w:pPr>
          <w:r w:rsidRPr="001C5EBE">
            <w:rPr>
              <w:rFonts w:ascii="Arial" w:hAnsi="Arial" w:cs="Arial"/>
            </w:rPr>
            <w:t>The substances identified in stage 1 are filtered to identify RHS by considering whether their hazardousness, mobility, persistence and biodegradability or other characteristic means that they are capable of contaminating soil or groundwater. Those substances which are not RHS or are incapable of causing pollution are discarded from further consideration if this can be justified.</w:t>
          </w:r>
        </w:p>
        <w:p w14:paraId="010706A7" w14:textId="77777777" w:rsidR="007A525F" w:rsidRPr="001C5EBE" w:rsidRDefault="007A525F" w:rsidP="008601A4">
          <w:pPr>
            <w:numPr>
              <w:ilvl w:val="0"/>
              <w:numId w:val="23"/>
            </w:numPr>
            <w:spacing w:after="240"/>
            <w:ind w:left="567" w:right="361" w:hanging="567"/>
            <w:jc w:val="both"/>
            <w:rPr>
              <w:rFonts w:ascii="Arial" w:hAnsi="Arial" w:cs="Arial"/>
            </w:rPr>
          </w:pPr>
          <w:r w:rsidRPr="001C5EBE">
            <w:rPr>
              <w:rFonts w:ascii="Arial" w:hAnsi="Arial" w:cs="Arial"/>
            </w:rPr>
            <w:t>For each substance brought forward from stage 2, the actual possibility for soil or groundwater contamination at the site of the installation is identified, including the probability of releases and their consequences, taking particular account of: the quantity present; how and where store/transported/used; and measures to prevent contamination.</w:t>
          </w:r>
        </w:p>
        <w:p w14:paraId="4A308B36" w14:textId="2433703C" w:rsidR="008601A4" w:rsidRDefault="007A525F" w:rsidP="00390AE1">
          <w:r w:rsidRPr="00C035A1">
            <w:t xml:space="preserve">For more detailed guidance refer to Table 5.1 in </w:t>
          </w:r>
          <w:r w:rsidR="005B590B" w:rsidRPr="00C035A1">
            <w:t xml:space="preserve">IND-G-012 </w:t>
          </w:r>
          <w:r w:rsidR="00390AE1" w:rsidRPr="00C035A1">
            <w:rPr>
              <w:rFonts w:ascii="Arial" w:hAnsi="Arial" w:cs="Arial"/>
            </w:rPr>
            <w:t>SEPA Guidance on Content and scope of site reports and baseline reports</w:t>
          </w:r>
          <w:r w:rsidRPr="00C035A1">
            <w:t xml:space="preserve"> and Figure 1</w:t>
          </w:r>
          <w:r w:rsidR="00020A36" w:rsidRPr="00C035A1">
            <w:t xml:space="preserve"> flow chart</w:t>
          </w:r>
          <w:r w:rsidRPr="00C035A1">
            <w:t xml:space="preserve"> in I</w:t>
          </w:r>
          <w:r w:rsidR="00020A36" w:rsidRPr="00C035A1">
            <w:t>N</w:t>
          </w:r>
          <w:r w:rsidRPr="00C035A1">
            <w:t>D-G-</w:t>
          </w:r>
          <w:r w:rsidR="00020A36" w:rsidRPr="00C035A1">
            <w:t xml:space="preserve">013 </w:t>
          </w:r>
          <w:r w:rsidR="00C035A1" w:rsidRPr="00C035A1">
            <w:t xml:space="preserve">Soil and Groundwater Monitoring Technical Guidance for </w:t>
          </w:r>
          <w:r w:rsidR="000B6FA9">
            <w:t>s</w:t>
          </w:r>
          <w:r w:rsidR="00C035A1" w:rsidRPr="00C035A1">
            <w:t xml:space="preserve">chedule 20 Installations (except landfills) and relevant permit-level </w:t>
          </w:r>
          <w:r w:rsidR="000B6FA9">
            <w:t>s</w:t>
          </w:r>
          <w:r w:rsidR="00C035A1" w:rsidRPr="00C035A1">
            <w:t>chedule 26 activities</w:t>
          </w:r>
          <w:r w:rsidR="00C035A1">
            <w:t>.</w:t>
          </w:r>
          <w:r>
            <w:t xml:space="preserve"> Requests from SEPA inspectors for support when reviewing hazardous substance assessments should be directed to </w:t>
          </w:r>
          <w:r>
            <w:rPr>
              <w:color w:val="0000FF"/>
              <w:u w:val="single" w:color="0000FF"/>
            </w:rPr>
            <w:t xml:space="preserve">contaminated.land@sepa.org.uk </w:t>
          </w:r>
          <w:r>
            <w:t>who will seek input as required from Evidence.</w:t>
          </w:r>
        </w:p>
        <w:p w14:paraId="789925F8" w14:textId="77777777" w:rsidR="00C035A1" w:rsidRDefault="00C035A1" w:rsidP="00390AE1"/>
        <w:p w14:paraId="07C23739" w14:textId="213281BB" w:rsidR="00AA277F" w:rsidRDefault="007A525F" w:rsidP="008601A4">
          <w:pPr>
            <w:spacing w:after="240"/>
            <w:ind w:right="358"/>
            <w:jc w:val="both"/>
          </w:pPr>
          <w:r>
            <w:t xml:space="preserve">It is likely that RHS will be present at most installations; it is therefore recommended that operators carry out the above assessment and review of their existing site report at the </w:t>
          </w:r>
          <w:r>
            <w:rPr>
              <w:u w:val="single" w:color="000000"/>
            </w:rPr>
            <w:t xml:space="preserve">start </w:t>
          </w:r>
          <w:r>
            <w:t xml:space="preserve">of the permit review process. This </w:t>
          </w:r>
          <w:r w:rsidRPr="00970D1F">
            <w:t>will inform whether a baseline report or additional monitoring is required. Table 6.1 within I</w:t>
          </w:r>
          <w:r w:rsidR="00970D1F" w:rsidRPr="00970D1F">
            <w:t>N</w:t>
          </w:r>
          <w:r w:rsidRPr="00970D1F">
            <w:t>G-G-</w:t>
          </w:r>
          <w:r w:rsidR="00970D1F" w:rsidRPr="00970D1F">
            <w:t>1</w:t>
          </w:r>
          <w:r w:rsidRPr="00970D1F">
            <w:t>2 illustrates how an assessment may be undertaken, with Sections 6.1, 6.2 and 6.3 providing detailed guidance.</w:t>
          </w:r>
        </w:p>
        <w:p w14:paraId="40CD45BB" w14:textId="77777777" w:rsidR="007A525F" w:rsidRDefault="007A525F" w:rsidP="008601A4">
          <w:pPr>
            <w:pStyle w:val="Heading2"/>
            <w:spacing w:after="120"/>
            <w:jc w:val="both"/>
          </w:pPr>
          <w:bookmarkStart w:id="42" w:name="_Toc195626985"/>
          <w:r>
            <w:t>Baseline Reports</w:t>
          </w:r>
          <w:bookmarkEnd w:id="42"/>
        </w:p>
        <w:p w14:paraId="1DF8DE19" w14:textId="74CDE1E8" w:rsidR="007A525F" w:rsidRDefault="007A525F" w:rsidP="008601A4">
          <w:pPr>
            <w:spacing w:after="240"/>
            <w:ind w:right="361"/>
            <w:jc w:val="both"/>
          </w:pPr>
          <w:r>
            <w:t xml:space="preserve">Whilst all installation operators submitted a site report with their permit application, not all quantified the condition of soil and groundwater for substances used on site that would now be considered RHS or pose a theoretical pollution risk. IED requires quantification of relevant hazardous substances and indeed any other substances (e.g. chrome salts, dyes, active ingredients) which represent a theoretical pollution risk based on consideration of their chemical and physical properties. As part of the permit review consideration must be given as to whether the site report submitted with the original application and any subsequent variations quantified the condition of </w:t>
          </w:r>
          <w:r w:rsidRPr="00970D1F">
            <w:t>relevant hazardous substances in soil or groundwater. It is useful to work through the checklist in Appendix 4 of I</w:t>
          </w:r>
          <w:r w:rsidR="00970D1F" w:rsidRPr="00970D1F">
            <w:t>ND</w:t>
          </w:r>
          <w:r w:rsidRPr="00970D1F">
            <w:t>-G-</w:t>
          </w:r>
          <w:r w:rsidR="00970D1F" w:rsidRPr="00970D1F">
            <w:t>1</w:t>
          </w:r>
          <w:r w:rsidRPr="00970D1F">
            <w:t>2. If the</w:t>
          </w:r>
          <w:r>
            <w:t xml:space="preserve"> initial site report does not meet IED baseline report requirements, then the extent of the gap will need to be </w:t>
          </w:r>
          <w:r w:rsidR="00AA277F">
            <w:t>identified,</w:t>
          </w:r>
          <w:r>
            <w:t xml:space="preserve"> and a decision made whether there is a need to:</w:t>
          </w:r>
        </w:p>
        <w:p w14:paraId="6F6D35DA" w14:textId="10FCECFF" w:rsidR="007A525F" w:rsidRDefault="008601A4" w:rsidP="008601A4">
          <w:pPr>
            <w:numPr>
              <w:ilvl w:val="0"/>
              <w:numId w:val="35"/>
            </w:numPr>
            <w:spacing w:after="240"/>
            <w:ind w:right="361" w:hanging="567"/>
            <w:jc w:val="both"/>
          </w:pPr>
          <w:r>
            <w:t>I</w:t>
          </w:r>
          <w:r w:rsidR="007A525F">
            <w:t>nstall groundwater monitoring wells, either for the first time or to extend an existing network</w:t>
          </w:r>
          <w:r>
            <w:t>.</w:t>
          </w:r>
        </w:p>
        <w:p w14:paraId="4BB7E50E" w14:textId="2EC487BA" w:rsidR="007A525F" w:rsidRDefault="008601A4" w:rsidP="008601A4">
          <w:pPr>
            <w:numPr>
              <w:ilvl w:val="0"/>
              <w:numId w:val="35"/>
            </w:numPr>
            <w:spacing w:after="240"/>
            <w:ind w:right="361" w:hanging="567"/>
            <w:jc w:val="both"/>
          </w:pPr>
          <w:r>
            <w:t>C</w:t>
          </w:r>
          <w:r w:rsidR="007A525F">
            <w:t>ollect and analyse RHS (and other theoretical pollutants) in soil and groundwater during/after well installation</w:t>
          </w:r>
          <w:r>
            <w:t>.</w:t>
          </w:r>
        </w:p>
        <w:p w14:paraId="68DB2379" w14:textId="19596D59" w:rsidR="007A525F" w:rsidRDefault="008601A4" w:rsidP="008601A4">
          <w:pPr>
            <w:numPr>
              <w:ilvl w:val="0"/>
              <w:numId w:val="35"/>
            </w:numPr>
            <w:spacing w:after="240"/>
            <w:ind w:right="361" w:hanging="567"/>
            <w:jc w:val="both"/>
          </w:pPr>
          <w:r>
            <w:t>R</w:t>
          </w:r>
          <w:r w:rsidR="007A525F">
            <w:t>evise the Site and Baseline Report accordingly.</w:t>
          </w:r>
        </w:p>
        <w:p w14:paraId="39ECCD8C" w14:textId="4497BFC4" w:rsidR="00DA536F" w:rsidRDefault="007A525F" w:rsidP="008601A4">
          <w:pPr>
            <w:spacing w:after="240"/>
            <w:ind w:right="361"/>
            <w:jc w:val="both"/>
          </w:pPr>
          <w:r>
            <w:t>Where the operator considers that there is no requirement to establish baseline condition of certain hazardous substances as there is no potential for the substances to contaminate soil or groundwater (e.g. very small quantities present, impossible in practice for contamination to occur), the operator may apply to SEPA for a waiver.</w:t>
          </w:r>
        </w:p>
        <w:p w14:paraId="0DFCA8C0" w14:textId="17C0C1EE" w:rsidR="005F52BC" w:rsidRDefault="007A525F" w:rsidP="008601A4">
          <w:pPr>
            <w:spacing w:after="240"/>
            <w:ind w:right="363"/>
            <w:jc w:val="both"/>
          </w:pPr>
          <w:r>
            <w:t>To avoid baseline report considerations delaying the permit review, these aspects should be considered in the early stages of the review so that any requirements for additional data can be requested from the operator. This is particularly important where an operator is likely to be required to carry out additional monitoring.</w:t>
          </w:r>
        </w:p>
        <w:p w14:paraId="53FF4F7E" w14:textId="77777777" w:rsidR="008601A4" w:rsidRPr="008601A4" w:rsidRDefault="008601A4" w:rsidP="008601A4">
          <w:bookmarkStart w:id="43" w:name="_Toc195626986"/>
        </w:p>
        <w:p w14:paraId="15C0FCED" w14:textId="77777777" w:rsidR="008601A4" w:rsidRDefault="008601A4" w:rsidP="00DA536F">
          <w:pPr>
            <w:pStyle w:val="Heading1"/>
            <w:jc w:val="both"/>
          </w:pPr>
        </w:p>
        <w:p w14:paraId="383A1ADE" w14:textId="77777777" w:rsidR="008601A4" w:rsidRDefault="008601A4" w:rsidP="00DA536F">
          <w:pPr>
            <w:pStyle w:val="Heading1"/>
            <w:jc w:val="both"/>
          </w:pPr>
        </w:p>
        <w:p w14:paraId="408746BA" w14:textId="77777777" w:rsidR="008601A4" w:rsidRDefault="008601A4" w:rsidP="00DA536F">
          <w:pPr>
            <w:pStyle w:val="Heading1"/>
            <w:jc w:val="both"/>
          </w:pPr>
        </w:p>
        <w:p w14:paraId="44D4D4C0" w14:textId="77777777" w:rsidR="008601A4" w:rsidRDefault="008601A4" w:rsidP="00DA536F">
          <w:pPr>
            <w:pStyle w:val="Heading1"/>
            <w:jc w:val="both"/>
          </w:pPr>
        </w:p>
        <w:p w14:paraId="7F945CDA" w14:textId="77777777" w:rsidR="008601A4" w:rsidRDefault="008601A4" w:rsidP="00DA536F">
          <w:pPr>
            <w:pStyle w:val="Heading1"/>
            <w:jc w:val="both"/>
          </w:pPr>
        </w:p>
        <w:p w14:paraId="16641980" w14:textId="77777777" w:rsidR="008601A4" w:rsidRDefault="008601A4" w:rsidP="00DA536F">
          <w:pPr>
            <w:pStyle w:val="Heading1"/>
            <w:jc w:val="both"/>
          </w:pPr>
        </w:p>
        <w:p w14:paraId="52313264" w14:textId="77777777" w:rsidR="008601A4" w:rsidRDefault="008601A4" w:rsidP="00DA536F">
          <w:pPr>
            <w:pStyle w:val="Heading1"/>
            <w:jc w:val="both"/>
          </w:pPr>
        </w:p>
        <w:p w14:paraId="3DC08BD4" w14:textId="77777777" w:rsidR="008601A4" w:rsidRDefault="008601A4" w:rsidP="00DA536F">
          <w:pPr>
            <w:pStyle w:val="Heading1"/>
            <w:jc w:val="both"/>
          </w:pPr>
        </w:p>
        <w:p w14:paraId="7216270E" w14:textId="77777777" w:rsidR="008601A4" w:rsidRDefault="008601A4" w:rsidP="00DA536F">
          <w:pPr>
            <w:pStyle w:val="Heading1"/>
            <w:jc w:val="both"/>
          </w:pPr>
        </w:p>
        <w:p w14:paraId="0C5518CC" w14:textId="77777777" w:rsidR="008601A4" w:rsidRPr="008601A4" w:rsidRDefault="008601A4" w:rsidP="008601A4"/>
        <w:p w14:paraId="6139A3C7" w14:textId="77777777" w:rsidR="008601A4" w:rsidRDefault="008601A4" w:rsidP="00DA536F">
          <w:pPr>
            <w:pStyle w:val="Heading1"/>
            <w:jc w:val="both"/>
          </w:pPr>
        </w:p>
        <w:p w14:paraId="51BD9CDA" w14:textId="77777777" w:rsidR="008601A4" w:rsidRDefault="008601A4" w:rsidP="008601A4"/>
        <w:p w14:paraId="493045A6" w14:textId="77777777" w:rsidR="008601A4" w:rsidRPr="008601A4" w:rsidRDefault="008601A4" w:rsidP="008601A4"/>
        <w:p w14:paraId="3B133603" w14:textId="33BC7DFA" w:rsidR="007A525F" w:rsidRDefault="007A525F" w:rsidP="008601A4">
          <w:pPr>
            <w:pStyle w:val="Heading1"/>
            <w:spacing w:after="120"/>
            <w:jc w:val="both"/>
          </w:pPr>
          <w:r>
            <w:t>Appendix 2 – Protection of Soil and Groundwater</w:t>
          </w:r>
          <w:bookmarkEnd w:id="43"/>
        </w:p>
        <w:p w14:paraId="6B0BF1F8" w14:textId="77777777" w:rsidR="007A525F" w:rsidRDefault="007A525F" w:rsidP="008601A4">
          <w:pPr>
            <w:spacing w:after="240"/>
            <w:ind w:right="363"/>
            <w:jc w:val="both"/>
          </w:pPr>
          <w:r>
            <w:t>There is a requirement that a reviewed permit should address the need for measures to be employed by the operator to prevent the contamination of soil and groundwater.</w:t>
          </w:r>
        </w:p>
        <w:p w14:paraId="30FF93E5" w14:textId="77777777" w:rsidR="009B6852" w:rsidRDefault="007A525F" w:rsidP="008601A4">
          <w:pPr>
            <w:spacing w:after="240"/>
            <w:ind w:right="363"/>
            <w:jc w:val="both"/>
          </w:pPr>
          <w:r>
            <w:t>In addition, there is a requirement that a permit should require periodic monitoring of soil and groundwater in order to check whether these measures are effective at protecting against contamination from relevant hazardous substances. The minimum frequency for this periodic monitoring is set at least once every 5 years for groundwater and 10 years for soil.</w:t>
          </w:r>
        </w:p>
        <w:p w14:paraId="1A0E9977" w14:textId="30E85709" w:rsidR="007A525F" w:rsidRDefault="007A525F" w:rsidP="008601A4">
          <w:pPr>
            <w:spacing w:after="240"/>
            <w:ind w:right="363"/>
            <w:jc w:val="both"/>
          </w:pPr>
          <w:r>
            <w:t xml:space="preserve"> It should be noted that the requirement for periodic monitoring of soil and groundwater is independent to the requirement to undertake a baseline report. This means that if an operator doesn’t need to submit a baseline report, or has received a baseline report waiver, they are not exempted from the duty to undertake periodic monitoring of soil and groundwater.</w:t>
          </w:r>
        </w:p>
        <w:p w14:paraId="3D22354F" w14:textId="77777777" w:rsidR="007A525F" w:rsidRDefault="007A525F" w:rsidP="008601A4">
          <w:pPr>
            <w:pStyle w:val="Heading2"/>
            <w:spacing w:after="120"/>
            <w:jc w:val="both"/>
          </w:pPr>
          <w:bookmarkStart w:id="44" w:name="_Toc195626987"/>
          <w:r>
            <w:rPr>
              <w:color w:val="093843"/>
            </w:rPr>
            <w:t>Periodic monitoring of soil &amp; groundwater</w:t>
          </w:r>
          <w:bookmarkEnd w:id="44"/>
        </w:p>
        <w:p w14:paraId="6463F1B0" w14:textId="77777777" w:rsidR="007A525F" w:rsidRDefault="007A525F" w:rsidP="008601A4">
          <w:pPr>
            <w:spacing w:after="240"/>
            <w:ind w:right="363"/>
            <w:jc w:val="both"/>
          </w:pPr>
          <w:r>
            <w:t xml:space="preserve">Periodic monitoring of soil and groundwater </w:t>
          </w:r>
          <w:r>
            <w:rPr>
              <w:u w:val="single" w:color="000000"/>
            </w:rPr>
            <w:t xml:space="preserve">is required </w:t>
          </w:r>
          <w:r>
            <w:t>where relevant hazardous substances are present and there is a possibility of an undetected release that could cause soil or groundwater contamination. Monitoring enables any changes in condition to be identified, prompting consideration of action required to prevent further deterioration of soil or groundwater, or to address any deterioration ahead of permit surrender.</w:t>
          </w:r>
        </w:p>
        <w:p w14:paraId="693BCC8B" w14:textId="77777777" w:rsidR="007A525F" w:rsidRDefault="007A525F" w:rsidP="008601A4">
          <w:pPr>
            <w:spacing w:after="240"/>
            <w:ind w:right="363"/>
            <w:jc w:val="both"/>
          </w:pPr>
          <w:r>
            <w:t>Where relevant hazardous substances are not present at an installation, the permit template condition requiring a systematic assessment needs to be included only (Condition 2.7.4).</w:t>
          </w:r>
        </w:p>
        <w:p w14:paraId="3622E802" w14:textId="391FA8BA" w:rsidR="00507D39" w:rsidRDefault="007A525F" w:rsidP="008601A4">
          <w:pPr>
            <w:spacing w:after="240"/>
            <w:ind w:right="363"/>
            <w:jc w:val="both"/>
          </w:pPr>
          <w:r>
            <w:t>Where periodic monitoring of soil and groundwater is required, permit template soil and/or groundwater monitoring conditions need to be included in the permit (Conditions 2.7.5 to 2.7.11). When determining monitoring requirements, existing monitoring should be reviewed and consideration given to the following:</w:t>
          </w:r>
        </w:p>
        <w:p w14:paraId="742B63B3" w14:textId="2CBF0DAD" w:rsidR="007A525F" w:rsidRDefault="008601A4" w:rsidP="008601A4">
          <w:pPr>
            <w:numPr>
              <w:ilvl w:val="0"/>
              <w:numId w:val="25"/>
            </w:numPr>
            <w:spacing w:after="240"/>
            <w:ind w:left="567" w:right="363" w:hanging="567"/>
            <w:jc w:val="both"/>
          </w:pPr>
          <w:r>
            <w:t>T</w:t>
          </w:r>
          <w:r w:rsidR="007A525F">
            <w:t>he parameters to be monitored – dictated by RHS present</w:t>
          </w:r>
          <w:r w:rsidR="00766F5A">
            <w:t>.</w:t>
          </w:r>
        </w:p>
        <w:p w14:paraId="3F9CB51A" w14:textId="17A65DDE" w:rsidR="007A525F" w:rsidRDefault="008601A4" w:rsidP="008601A4">
          <w:pPr>
            <w:numPr>
              <w:ilvl w:val="0"/>
              <w:numId w:val="25"/>
            </w:numPr>
            <w:spacing w:after="240"/>
            <w:ind w:left="567" w:right="363" w:hanging="567"/>
            <w:jc w:val="both"/>
          </w:pPr>
          <w:r>
            <w:t>M</w:t>
          </w:r>
          <w:r w:rsidR="007A525F">
            <w:t>edia to monitor – soil, shallow or deep groundwater</w:t>
          </w:r>
          <w:r w:rsidR="00766F5A">
            <w:t>.</w:t>
          </w:r>
        </w:p>
        <w:p w14:paraId="79DC6FA6" w14:textId="1655495C" w:rsidR="007A525F" w:rsidRDefault="008601A4" w:rsidP="008601A4">
          <w:pPr>
            <w:numPr>
              <w:ilvl w:val="0"/>
              <w:numId w:val="25"/>
            </w:numPr>
            <w:spacing w:after="240"/>
            <w:ind w:left="567" w:right="363" w:hanging="567"/>
            <w:jc w:val="both"/>
          </w:pPr>
          <w:r>
            <w:t>N</w:t>
          </w:r>
          <w:r w:rsidR="007A525F">
            <w:t>umber of monitoring points required – depends on potential for contamination</w:t>
          </w:r>
          <w:r w:rsidR="00766F5A">
            <w:t>.</w:t>
          </w:r>
        </w:p>
        <w:p w14:paraId="18B41EE8" w14:textId="139F3D27" w:rsidR="007A525F" w:rsidRPr="00970D1F" w:rsidRDefault="008601A4" w:rsidP="008601A4">
          <w:pPr>
            <w:numPr>
              <w:ilvl w:val="0"/>
              <w:numId w:val="25"/>
            </w:numPr>
            <w:spacing w:after="240"/>
            <w:ind w:left="567" w:right="363" w:hanging="567"/>
            <w:jc w:val="both"/>
          </w:pPr>
          <w:r>
            <w:t>M</w:t>
          </w:r>
          <w:r w:rsidR="007A525F">
            <w:t xml:space="preserve">onitoring location – to include areas </w:t>
          </w:r>
          <w:r w:rsidR="007A525F" w:rsidRPr="00970D1F">
            <w:t>where there is potential for contamination</w:t>
          </w:r>
          <w:r w:rsidR="00766F5A" w:rsidRPr="00970D1F">
            <w:t>.</w:t>
          </w:r>
        </w:p>
        <w:p w14:paraId="51125776" w14:textId="3B7B8533" w:rsidR="007A525F" w:rsidRPr="0087125B" w:rsidRDefault="008601A4" w:rsidP="008601A4">
          <w:pPr>
            <w:numPr>
              <w:ilvl w:val="0"/>
              <w:numId w:val="25"/>
            </w:numPr>
            <w:spacing w:after="240"/>
            <w:ind w:left="567" w:right="363" w:hanging="567"/>
            <w:jc w:val="both"/>
          </w:pPr>
          <w:r w:rsidRPr="0087125B">
            <w:t>F</w:t>
          </w:r>
          <w:r w:rsidR="007A525F" w:rsidRPr="0087125B">
            <w:t xml:space="preserve">requency of monitoring – refer to </w:t>
          </w:r>
          <w:r w:rsidR="007A525F" w:rsidRPr="0087125B">
            <w:rPr>
              <w:i/>
            </w:rPr>
            <w:t xml:space="preserve">aide memoir </w:t>
          </w:r>
          <w:r w:rsidR="007A525F" w:rsidRPr="0087125B">
            <w:t>1 in I</w:t>
          </w:r>
          <w:r w:rsidR="00970D1F" w:rsidRPr="0087125B">
            <w:t>N</w:t>
          </w:r>
          <w:r w:rsidR="007A525F" w:rsidRPr="0087125B">
            <w:t>D-G-</w:t>
          </w:r>
          <w:r w:rsidR="00970D1F" w:rsidRPr="0087125B">
            <w:t>1</w:t>
          </w:r>
          <w:r w:rsidR="007A525F" w:rsidRPr="0087125B">
            <w:t xml:space="preserve">2 (and </w:t>
          </w:r>
          <w:r w:rsidR="007A525F" w:rsidRPr="0087125B">
            <w:rPr>
              <w:i/>
            </w:rPr>
            <w:t xml:space="preserve">aide memoir </w:t>
          </w:r>
          <w:r w:rsidR="007A525F" w:rsidRPr="0087125B">
            <w:t>2 where frequency falls within category 2).</w:t>
          </w:r>
        </w:p>
        <w:p w14:paraId="47B23803" w14:textId="41421C1C" w:rsidR="007A525F" w:rsidRDefault="007A525F" w:rsidP="008601A4">
          <w:pPr>
            <w:spacing w:after="240"/>
            <w:ind w:right="363"/>
            <w:jc w:val="both"/>
          </w:pPr>
          <w:r w:rsidRPr="0087125B">
            <w:t xml:space="preserve">Section 4.2, Stage 4 of </w:t>
          </w:r>
          <w:r w:rsidR="0085174F">
            <w:t xml:space="preserve">SEPA guidance </w:t>
          </w:r>
          <w:r w:rsidRPr="0087125B">
            <w:t>I</w:t>
          </w:r>
          <w:r w:rsidR="00970D1F" w:rsidRPr="0087125B">
            <w:t>N</w:t>
          </w:r>
          <w:r w:rsidRPr="0087125B">
            <w:t>D-G-</w:t>
          </w:r>
          <w:r w:rsidR="00970D1F" w:rsidRPr="0087125B">
            <w:t>13</w:t>
          </w:r>
          <w:r w:rsidRPr="0087125B">
            <w:t xml:space="preserve"> provides</w:t>
          </w:r>
          <w:r>
            <w:t xml:space="preserve"> more detailed guidance.</w:t>
          </w:r>
        </w:p>
        <w:p w14:paraId="1B1BA562" w14:textId="77777777" w:rsidR="007A525F" w:rsidRDefault="007A525F" w:rsidP="008601A4">
          <w:pPr>
            <w:spacing w:after="240"/>
            <w:ind w:right="363"/>
            <w:jc w:val="both"/>
          </w:pPr>
          <w:r>
            <w:t>It should be noted that:</w:t>
          </w:r>
        </w:p>
        <w:p w14:paraId="0EA44F5C" w14:textId="3E27AE40" w:rsidR="007A525F" w:rsidRDefault="008601A4" w:rsidP="00766F5A">
          <w:pPr>
            <w:pStyle w:val="ListParagraph"/>
            <w:numPr>
              <w:ilvl w:val="0"/>
              <w:numId w:val="36"/>
            </w:numPr>
            <w:spacing w:after="240"/>
            <w:ind w:right="363"/>
            <w:jc w:val="both"/>
          </w:pPr>
          <w:r>
            <w:t>M</w:t>
          </w:r>
          <w:r w:rsidR="007A525F">
            <w:t xml:space="preserve">onitoring should not be required that would result </w:t>
          </w:r>
          <w:r w:rsidR="002545F2">
            <w:t>in the</w:t>
          </w:r>
          <w:r w:rsidR="007A525F">
            <w:t xml:space="preserve"> creation of a pathway to soil or groundwater.</w:t>
          </w:r>
        </w:p>
        <w:p w14:paraId="50853D16" w14:textId="7AE61526" w:rsidR="007A525F" w:rsidRDefault="008601A4" w:rsidP="00766F5A">
          <w:pPr>
            <w:pStyle w:val="ListParagraph"/>
            <w:numPr>
              <w:ilvl w:val="0"/>
              <w:numId w:val="36"/>
            </w:numPr>
            <w:spacing w:after="240"/>
            <w:ind w:right="363"/>
            <w:jc w:val="both"/>
          </w:pPr>
          <w:r>
            <w:t>T</w:t>
          </w:r>
          <w:r w:rsidR="007A525F">
            <w:t>he practical constraints of obtaining soil or groundwater samples where drains, services or overhead structures are present should be recognised and</w:t>
          </w:r>
        </w:p>
        <w:p w14:paraId="22854578" w14:textId="1EE60F4F" w:rsidR="007A525F" w:rsidRPr="0087125B" w:rsidRDefault="008601A4" w:rsidP="00766F5A">
          <w:pPr>
            <w:pStyle w:val="ListParagraph"/>
            <w:numPr>
              <w:ilvl w:val="0"/>
              <w:numId w:val="36"/>
            </w:numPr>
            <w:spacing w:after="240"/>
            <w:ind w:right="363"/>
            <w:jc w:val="both"/>
          </w:pPr>
          <w:r>
            <w:t>I</w:t>
          </w:r>
          <w:r w:rsidR="007A525F">
            <w:t xml:space="preserve">t is not necessary to quantify every RHS if an indicator of the presence of RHS has been quantified i.e. pH as indicator of acidic/alkaline substances, Total Petroleum Hydrocarbons (TPH) as an </w:t>
          </w:r>
          <w:r w:rsidR="007A525F" w:rsidRPr="0087125B">
            <w:t>indicator of hydrocarbons, presence of solvent within which RHS contained, number of substances always present together.</w:t>
          </w:r>
        </w:p>
        <w:p w14:paraId="6DC6C337" w14:textId="008B7016" w:rsidR="00A91A40" w:rsidRDefault="007A525F" w:rsidP="008601A4">
          <w:pPr>
            <w:spacing w:after="240"/>
            <w:ind w:right="363"/>
            <w:jc w:val="both"/>
            <w:rPr>
              <w:color w:val="0000FF"/>
              <w:u w:val="single" w:color="0000FF"/>
            </w:rPr>
          </w:pPr>
          <w:r w:rsidRPr="0087125B">
            <w:t>For more detailed guidance refer to I</w:t>
          </w:r>
          <w:r w:rsidR="0087125B" w:rsidRPr="0087125B">
            <w:t>N</w:t>
          </w:r>
          <w:r w:rsidRPr="0087125B">
            <w:t>D-G-</w:t>
          </w:r>
          <w:r w:rsidR="0087125B" w:rsidRPr="0087125B">
            <w:t>13</w:t>
          </w:r>
          <w:r w:rsidRPr="0087125B">
            <w:t>. Requests</w:t>
          </w:r>
          <w:r>
            <w:t xml:space="preserve"> from SEPA inspectors for support should be directed to </w:t>
          </w:r>
          <w:hyperlink r:id="rId14" w:history="1">
            <w:r w:rsidR="00BC582B" w:rsidRPr="00E20A1B">
              <w:rPr>
                <w:rStyle w:val="Hyperlink"/>
              </w:rPr>
              <w:t>contaminated.land@sepa.org.uk</w:t>
            </w:r>
          </w:hyperlink>
          <w:r w:rsidR="00A91A40">
            <w:rPr>
              <w:color w:val="0000FF"/>
              <w:u w:val="single" w:color="0000FF"/>
            </w:rPr>
            <w:br w:type="page"/>
          </w:r>
        </w:p>
        <w:p w14:paraId="7D3BFEC7" w14:textId="77777777" w:rsidR="007A525F" w:rsidRDefault="007A525F" w:rsidP="00766F5A">
          <w:pPr>
            <w:pStyle w:val="Heading1"/>
            <w:spacing w:after="120"/>
            <w:jc w:val="both"/>
          </w:pPr>
          <w:bookmarkStart w:id="45" w:name="_Toc195626988"/>
          <w:r>
            <w:t>Appendix 3 – Emissions and Emission Limit Values</w:t>
          </w:r>
          <w:bookmarkEnd w:id="45"/>
        </w:p>
        <w:p w14:paraId="01AA046B" w14:textId="77777777" w:rsidR="007A525F" w:rsidRDefault="007A525F" w:rsidP="00766F5A">
          <w:pPr>
            <w:pStyle w:val="Heading2"/>
            <w:spacing w:after="120"/>
            <w:jc w:val="both"/>
          </w:pPr>
          <w:bookmarkStart w:id="46" w:name="_Toc195626989"/>
          <w:r>
            <w:t>BAT Associated Emission Levels (BAT-AELs)</w:t>
          </w:r>
          <w:bookmarkEnd w:id="46"/>
        </w:p>
        <w:p w14:paraId="7278348A" w14:textId="77777777" w:rsidR="007A525F" w:rsidRDefault="007A525F" w:rsidP="00766F5A">
          <w:pPr>
            <w:spacing w:after="240"/>
            <w:ind w:right="363"/>
            <w:jc w:val="both"/>
          </w:pPr>
          <w:r>
            <w:t>The BATc will contain BAT-AELs. These should be used as the basis for setting ELVs.</w:t>
          </w:r>
        </w:p>
        <w:p w14:paraId="3A2B4F14" w14:textId="5E2E366D" w:rsidR="009127C0" w:rsidRDefault="007A525F" w:rsidP="00766F5A">
          <w:pPr>
            <w:spacing w:after="240"/>
            <w:ind w:right="363"/>
            <w:jc w:val="both"/>
          </w:pPr>
          <w:r>
            <w:t>A BAT-AEL will relate to an emission of a pollutant or a group of pollutants (e.g. VOCs) and will generally be to either air or water. Where the emission of a pollutant may vary due to the use of different fuels or different process configurations, a number of ranges may be provided to allow for these different scenarios – applicability criteria will be included to ensure that the most appropriate BAT-AEL range is identified.</w:t>
          </w:r>
        </w:p>
        <w:p w14:paraId="60B26D2B" w14:textId="78679E28" w:rsidR="007A525F" w:rsidRDefault="007A525F" w:rsidP="00766F5A">
          <w:pPr>
            <w:spacing w:after="240"/>
            <w:ind w:right="363"/>
            <w:jc w:val="both"/>
          </w:pPr>
          <w:r>
            <w:t xml:space="preserve">The BAT-AELs present the allowable range of emissions for a particular pollutant. ELVs should not be set on the basis of the top of the BAT-AEL range, but rather on the basis of a </w:t>
          </w:r>
          <w:r w:rsidR="005F52BC">
            <w:t>site-specific</w:t>
          </w:r>
          <w:r>
            <w:t xml:space="preserve"> BAT assessment that identifies the emissions associated with the optimised performance of the installation.</w:t>
          </w:r>
        </w:p>
        <w:p w14:paraId="28620349" w14:textId="77777777" w:rsidR="008601A4" w:rsidRDefault="008601A4" w:rsidP="00DA536F">
          <w:pPr>
            <w:spacing w:after="446"/>
            <w:ind w:right="361"/>
            <w:jc w:val="both"/>
          </w:pPr>
        </w:p>
        <w:p w14:paraId="453D4241" w14:textId="77777777" w:rsidR="008601A4" w:rsidRDefault="008601A4" w:rsidP="00DA536F">
          <w:pPr>
            <w:spacing w:after="446"/>
            <w:ind w:right="361"/>
            <w:jc w:val="both"/>
          </w:pPr>
        </w:p>
        <w:p w14:paraId="69E717E0" w14:textId="77777777" w:rsidR="008601A4" w:rsidRDefault="008601A4" w:rsidP="00DA536F">
          <w:pPr>
            <w:spacing w:after="446"/>
            <w:ind w:right="361"/>
            <w:jc w:val="both"/>
          </w:pPr>
        </w:p>
        <w:p w14:paraId="0A446C39" w14:textId="77777777" w:rsidR="008601A4" w:rsidRDefault="008601A4" w:rsidP="00DA536F">
          <w:pPr>
            <w:spacing w:after="446"/>
            <w:ind w:right="361"/>
            <w:jc w:val="both"/>
          </w:pPr>
        </w:p>
        <w:p w14:paraId="6BA058BB" w14:textId="77777777" w:rsidR="00766F5A" w:rsidRDefault="00766F5A" w:rsidP="00DA536F">
          <w:pPr>
            <w:spacing w:after="446"/>
            <w:ind w:right="361"/>
            <w:jc w:val="both"/>
          </w:pPr>
        </w:p>
        <w:p w14:paraId="622D4102" w14:textId="500C7F30" w:rsidR="008601A4" w:rsidRDefault="008601A4" w:rsidP="00DA536F">
          <w:pPr>
            <w:spacing w:after="446"/>
            <w:ind w:right="361"/>
            <w:jc w:val="both"/>
          </w:pPr>
        </w:p>
        <w:p w14:paraId="4234CD34" w14:textId="77777777" w:rsidR="00766F5A" w:rsidRDefault="00766F5A" w:rsidP="00DA536F">
          <w:pPr>
            <w:spacing w:after="446"/>
            <w:ind w:right="361"/>
            <w:jc w:val="both"/>
          </w:pPr>
        </w:p>
        <w:p w14:paraId="3812ECC7" w14:textId="77777777" w:rsidR="007A525F" w:rsidRDefault="007A525F" w:rsidP="00766F5A">
          <w:pPr>
            <w:pStyle w:val="Heading1"/>
            <w:spacing w:after="120"/>
            <w:jc w:val="both"/>
          </w:pPr>
          <w:bookmarkStart w:id="47" w:name="_Toc195626990"/>
          <w:r>
            <w:t>Appendix 4 – Waste Generation and management</w:t>
          </w:r>
          <w:bookmarkEnd w:id="47"/>
        </w:p>
        <w:p w14:paraId="4912662F" w14:textId="77777777" w:rsidR="007A525F" w:rsidRDefault="007A525F" w:rsidP="00766F5A">
          <w:pPr>
            <w:spacing w:after="240"/>
            <w:ind w:right="363"/>
            <w:jc w:val="both"/>
          </w:pPr>
          <w:r>
            <w:t>One of the permitting principles requires that conditions reflect the need for measures to be taken to prevent waste, and for any unavoidable wastes to be managed according to the waste hierarchy. As it is a BAT consideration, BATc normally address these issues.</w:t>
          </w:r>
        </w:p>
        <w:p w14:paraId="61E6F562" w14:textId="68068D91" w:rsidR="007A525F" w:rsidRDefault="007A525F" w:rsidP="00766F5A">
          <w:pPr>
            <w:spacing w:after="240"/>
            <w:ind w:right="363"/>
            <w:jc w:val="both"/>
          </w:pPr>
          <w:r>
            <w:t xml:space="preserve">BATc are therefore likely to provide an indication of techniques that might be used to reduce waste generation </w:t>
          </w:r>
          <w:r w:rsidR="004A2BF9">
            <w:t>levels,</w:t>
          </w:r>
          <w:r>
            <w:t xml:space="preserve"> and they may also include BAT associated performance levels (BAT-AEPL). Generally these will be expressed in terms of specific generation rates (e.g. kg of waste generated per tonne of product produced).</w:t>
          </w:r>
        </w:p>
        <w:p w14:paraId="770FF28A" w14:textId="77777777" w:rsidR="008601A4" w:rsidRDefault="007A525F" w:rsidP="00766F5A">
          <w:pPr>
            <w:spacing w:after="240"/>
            <w:ind w:right="363"/>
            <w:jc w:val="both"/>
          </w:pPr>
          <w:r>
            <w:t>The list of techniques presented in BATc are nether prescriptive or exhaustive and there is therefore no obligation for operators to employ any of the techniques specified. Furthermore, there is no requirement for SEPA to ensure that operators do not exceed any BAT-AEPLs.</w:t>
          </w:r>
        </w:p>
        <w:p w14:paraId="3B29AEFE" w14:textId="435F03C0" w:rsidR="007A525F" w:rsidRDefault="007A525F" w:rsidP="00766F5A">
          <w:pPr>
            <w:spacing w:after="240"/>
            <w:ind w:right="363"/>
            <w:jc w:val="both"/>
          </w:pPr>
          <w:r>
            <w:t>However, in recognition of the potentially significant benefits of ensuring waste generation rates are as low as practicable; SEPA has developed a comprehensive resource efficiency initiative. This imposes a requirement on operators, through permit conditions, to record waste generation rates, and periodically review options for reducing generation rates, and for dealing with waste in accordance with the waste hierarchy. This approach explicitly identifies BAT conclusions as relevant indicators of performance and key drivers for reducing waste generation, indirectly identifying that BAT conclusions are the reference for setting permit conditions.</w:t>
          </w:r>
        </w:p>
        <w:p w14:paraId="492B2103" w14:textId="4CB37CEA" w:rsidR="007A525F" w:rsidRDefault="007A525F" w:rsidP="00766F5A">
          <w:pPr>
            <w:spacing w:after="240"/>
            <w:ind w:right="363"/>
            <w:jc w:val="both"/>
          </w:pPr>
          <w:r>
            <w:t xml:space="preserve">However, as permit reviews will ideally take place as soon as possible after the </w:t>
          </w:r>
          <w:r w:rsidR="002545F2">
            <w:t>publication of</w:t>
          </w:r>
          <w:r>
            <w:t xml:space="preserve"> the BATc, operators are unlikely to have had the opportunity to have completed systematic assessments required by the resource efficiency initiative. Consequently a BATc review should not necessarily seek to make a premature judgement about an installation’s </w:t>
          </w:r>
          <w:r w:rsidR="004A2BF9">
            <w:t>performance but</w:t>
          </w:r>
          <w:r>
            <w:t xml:space="preserve"> instead ensure that the varied permit includes the necessary resource efficiency conditions so that opportunities for improvement can be pursued in the future.</w:t>
          </w:r>
        </w:p>
        <w:p w14:paraId="169E48A8" w14:textId="77777777" w:rsidR="007A525F" w:rsidRDefault="007A525F" w:rsidP="00766F5A">
          <w:pPr>
            <w:spacing w:after="240"/>
            <w:ind w:right="363"/>
            <w:jc w:val="both"/>
          </w:pPr>
          <w:r>
            <w:t>It is therefore recommended that as a matter of good practice, any relevant BAT conclusions are considered by both SEPA and the operator when assessing or preparing a systematic assessment of resource efficiency.</w:t>
          </w:r>
        </w:p>
        <w:p w14:paraId="51562355" w14:textId="6014A2F0" w:rsidR="007A525F" w:rsidRDefault="007A525F" w:rsidP="00766F5A">
          <w:pPr>
            <w:pStyle w:val="Heading1"/>
            <w:spacing w:after="120"/>
            <w:jc w:val="both"/>
          </w:pPr>
          <w:bookmarkStart w:id="48" w:name="_Toc195626991"/>
          <w:r>
            <w:t>Appendix 5 – Other than Normal Operating Conditions (OTNOC) and Accidents</w:t>
          </w:r>
          <w:bookmarkEnd w:id="48"/>
        </w:p>
        <w:p w14:paraId="70964699" w14:textId="77777777" w:rsidR="007A525F" w:rsidRDefault="007A525F" w:rsidP="00766F5A">
          <w:pPr>
            <w:spacing w:after="240"/>
            <w:ind w:right="363"/>
            <w:jc w:val="both"/>
          </w:pPr>
          <w:r>
            <w:t>There is a requirement for a permit condition that requires the operator to notify SEPA in the event of an accident or incident significantly affecting the environment. Permits should already include conditions that deliver this requirement.</w:t>
          </w:r>
        </w:p>
        <w:p w14:paraId="6B76A012" w14:textId="77777777" w:rsidR="008601A4" w:rsidRDefault="007A525F" w:rsidP="00766F5A">
          <w:pPr>
            <w:spacing w:after="240"/>
            <w:ind w:right="363"/>
            <w:jc w:val="both"/>
          </w:pPr>
          <w:r>
            <w:t>In addition, there is a requirement for conditions to address other than normal operating conditions, whether they are planned (e.g. start-up and shut down) or unplanned (e.g. an incident).</w:t>
          </w:r>
        </w:p>
        <w:p w14:paraId="5B5F1ECE" w14:textId="432D610D" w:rsidR="007A525F" w:rsidRDefault="007A525F" w:rsidP="00766F5A">
          <w:pPr>
            <w:spacing w:after="240"/>
            <w:ind w:right="363"/>
            <w:jc w:val="both"/>
          </w:pPr>
          <w:r>
            <w:t xml:space="preserve">An ELV may be set with the purpose of limiting the impact of emissions during other than normal operating conditions. However it may be necessary to include additional conditions requiring actions to be taken in this event. These could involve amending the way that a process </w:t>
          </w:r>
          <w:r w:rsidR="00CE47DE">
            <w:t>functions and</w:t>
          </w:r>
          <w:r>
            <w:t xml:space="preserve"> possibly require the shutting down of the process in certain circumstances. The conditions could also include a need for the operator to prepare appropriately for a range of potential eventualities.</w:t>
          </w:r>
        </w:p>
        <w:p w14:paraId="25C04D9F" w14:textId="77777777" w:rsidR="008601A4" w:rsidRDefault="008601A4" w:rsidP="00DA536F">
          <w:pPr>
            <w:pStyle w:val="Heading1"/>
            <w:jc w:val="both"/>
          </w:pPr>
          <w:bookmarkStart w:id="49" w:name="_Toc195626992"/>
        </w:p>
        <w:p w14:paraId="28848D75" w14:textId="77777777" w:rsidR="008601A4" w:rsidRDefault="008601A4" w:rsidP="00DA536F">
          <w:pPr>
            <w:pStyle w:val="Heading1"/>
            <w:jc w:val="both"/>
          </w:pPr>
        </w:p>
        <w:p w14:paraId="2F1FE466" w14:textId="77777777" w:rsidR="008601A4" w:rsidRPr="008601A4" w:rsidRDefault="008601A4" w:rsidP="008601A4"/>
        <w:p w14:paraId="24C8717D" w14:textId="77777777" w:rsidR="008601A4" w:rsidRDefault="008601A4" w:rsidP="00DA536F">
          <w:pPr>
            <w:pStyle w:val="Heading1"/>
            <w:jc w:val="both"/>
          </w:pPr>
        </w:p>
        <w:p w14:paraId="46C8C125" w14:textId="77777777" w:rsidR="00766F5A" w:rsidRDefault="00766F5A" w:rsidP="00766F5A"/>
        <w:p w14:paraId="7411DF23" w14:textId="77777777" w:rsidR="00766F5A" w:rsidRPr="00766F5A" w:rsidRDefault="00766F5A" w:rsidP="00766F5A"/>
        <w:p w14:paraId="5075AEB1" w14:textId="77777777" w:rsidR="008601A4" w:rsidRDefault="008601A4" w:rsidP="00DA536F">
          <w:pPr>
            <w:pStyle w:val="Heading1"/>
            <w:jc w:val="both"/>
          </w:pPr>
        </w:p>
        <w:p w14:paraId="0E6DA487" w14:textId="77777777" w:rsidR="008601A4" w:rsidRPr="008601A4" w:rsidRDefault="008601A4" w:rsidP="008601A4"/>
        <w:p w14:paraId="6B2D9CCD" w14:textId="38B69B6E" w:rsidR="007A525F" w:rsidRDefault="007A525F" w:rsidP="00766F5A">
          <w:pPr>
            <w:pStyle w:val="Heading1"/>
            <w:spacing w:after="120"/>
            <w:jc w:val="both"/>
          </w:pPr>
          <w:r>
            <w:t>Appendix 6 – Commencement and Cessation of Operations</w:t>
          </w:r>
          <w:bookmarkEnd w:id="49"/>
        </w:p>
        <w:p w14:paraId="4FE547C1" w14:textId="33ADA5FF" w:rsidR="007A525F" w:rsidRDefault="007A525F" w:rsidP="00766F5A">
          <w:pPr>
            <w:spacing w:after="240"/>
            <w:ind w:right="363"/>
            <w:jc w:val="both"/>
          </w:pPr>
          <w:r>
            <w:t>There is a specific requirement for permit conditions to address decommissioning. Permits should already include conditions that address this requirement. It is anticipated there should be no need to further address this issue during the BATc review unless a problem in the operator’s with planning for the cessation of operations has been identified.</w:t>
          </w:r>
        </w:p>
        <w:p w14:paraId="0084B002" w14:textId="77777777" w:rsidR="008601A4" w:rsidRDefault="008601A4" w:rsidP="00DA536F">
          <w:pPr>
            <w:pStyle w:val="Heading1"/>
            <w:jc w:val="both"/>
          </w:pPr>
          <w:bookmarkStart w:id="50" w:name="_Toc195626993"/>
        </w:p>
        <w:p w14:paraId="79011AB7" w14:textId="77777777" w:rsidR="008601A4" w:rsidRDefault="008601A4" w:rsidP="008601A4"/>
        <w:p w14:paraId="2F69A2B5" w14:textId="77777777" w:rsidR="008601A4" w:rsidRPr="008601A4" w:rsidRDefault="008601A4" w:rsidP="008601A4"/>
        <w:p w14:paraId="09A6FB2E" w14:textId="77777777" w:rsidR="008601A4" w:rsidRDefault="008601A4" w:rsidP="00DA536F">
          <w:pPr>
            <w:pStyle w:val="Heading1"/>
            <w:jc w:val="both"/>
          </w:pPr>
        </w:p>
        <w:p w14:paraId="7CA4B1A7" w14:textId="77777777" w:rsidR="008601A4" w:rsidRDefault="008601A4" w:rsidP="00DA536F">
          <w:pPr>
            <w:pStyle w:val="Heading1"/>
            <w:jc w:val="both"/>
          </w:pPr>
        </w:p>
        <w:p w14:paraId="21E98C39" w14:textId="77777777" w:rsidR="008601A4" w:rsidRDefault="008601A4" w:rsidP="00DA536F">
          <w:pPr>
            <w:pStyle w:val="Heading1"/>
            <w:jc w:val="both"/>
          </w:pPr>
        </w:p>
        <w:p w14:paraId="1D4985C1" w14:textId="77777777" w:rsidR="008601A4" w:rsidRDefault="008601A4" w:rsidP="00DA536F">
          <w:pPr>
            <w:pStyle w:val="Heading1"/>
            <w:jc w:val="both"/>
          </w:pPr>
        </w:p>
        <w:p w14:paraId="3F4A9460" w14:textId="77777777" w:rsidR="00766F5A" w:rsidRDefault="00766F5A" w:rsidP="00766F5A"/>
        <w:p w14:paraId="2E0BE408" w14:textId="77777777" w:rsidR="00766F5A" w:rsidRDefault="00766F5A" w:rsidP="00766F5A"/>
        <w:p w14:paraId="0B9F8023" w14:textId="77777777" w:rsidR="00766F5A" w:rsidRDefault="00766F5A" w:rsidP="00766F5A"/>
        <w:p w14:paraId="7CC4CD85" w14:textId="77777777" w:rsidR="00766F5A" w:rsidRPr="00766F5A" w:rsidRDefault="00766F5A" w:rsidP="00766F5A"/>
        <w:p w14:paraId="30D28FDC" w14:textId="77777777" w:rsidR="008601A4" w:rsidRDefault="008601A4" w:rsidP="00DA536F">
          <w:pPr>
            <w:pStyle w:val="Heading1"/>
            <w:jc w:val="both"/>
          </w:pPr>
        </w:p>
        <w:p w14:paraId="793B01A4" w14:textId="77777777" w:rsidR="008601A4" w:rsidRPr="008601A4" w:rsidRDefault="008601A4" w:rsidP="008601A4"/>
        <w:p w14:paraId="6A893854" w14:textId="77777777" w:rsidR="008601A4" w:rsidRDefault="008601A4" w:rsidP="00DA536F">
          <w:pPr>
            <w:pStyle w:val="Heading1"/>
            <w:jc w:val="both"/>
          </w:pPr>
        </w:p>
        <w:p w14:paraId="09D96FBA" w14:textId="77777777" w:rsidR="008601A4" w:rsidRDefault="008601A4" w:rsidP="008601A4"/>
        <w:p w14:paraId="155FA878" w14:textId="77777777" w:rsidR="008601A4" w:rsidRPr="008601A4" w:rsidRDefault="008601A4" w:rsidP="008601A4"/>
        <w:p w14:paraId="29FE8484" w14:textId="1B6771E6" w:rsidR="007A525F" w:rsidRDefault="007A525F" w:rsidP="00766F5A">
          <w:pPr>
            <w:pStyle w:val="Heading1"/>
            <w:spacing w:after="120"/>
            <w:jc w:val="both"/>
          </w:pPr>
          <w:r>
            <w:t>Appendix 7 – Energy Efficiency</w:t>
          </w:r>
          <w:bookmarkEnd w:id="50"/>
        </w:p>
        <w:p w14:paraId="242E87C8" w14:textId="77777777" w:rsidR="007A525F" w:rsidRDefault="007A525F" w:rsidP="00766F5A">
          <w:pPr>
            <w:spacing w:after="240"/>
            <w:ind w:right="363"/>
            <w:jc w:val="both"/>
          </w:pPr>
          <w:r>
            <w:t>There is no requirement for permit conditions to address energy efficiency, although one of the permitting principles is that energy is used efficiently. Furthermore, where an activity, other than an incineration process, is subject to the ETS regime, SEPA may choose not to address energy efficiency.</w:t>
          </w:r>
        </w:p>
        <w:p w14:paraId="281BD69B" w14:textId="3AD781CA" w:rsidR="007A525F" w:rsidRDefault="007A525F" w:rsidP="00766F5A">
          <w:pPr>
            <w:spacing w:after="240"/>
            <w:ind w:right="363"/>
            <w:jc w:val="both"/>
          </w:pPr>
          <w:r>
            <w:t xml:space="preserve">However, energy efficiency is a BAT consideration and BATc normally address the issue. The BATc are therefore likely to provide an indication of techniques that might be used to improve energy </w:t>
          </w:r>
          <w:r w:rsidR="00CE47DE">
            <w:t>efficiency,</w:t>
          </w:r>
          <w:r>
            <w:t xml:space="preserve"> and they may also include BAT associated performance levels (BAT-AEPL).</w:t>
          </w:r>
        </w:p>
        <w:p w14:paraId="44E72177" w14:textId="77777777" w:rsidR="008601A4" w:rsidRDefault="007A525F" w:rsidP="00766F5A">
          <w:pPr>
            <w:spacing w:after="240"/>
            <w:ind w:right="363"/>
            <w:jc w:val="both"/>
          </w:pPr>
          <w:r>
            <w:t>The list of techniques presented in BATc are nether prescriptive or exhaustive and there is therefore no obligation for operators to employ any of the techniques. Furthermore, there is no requirement for SEPA to ensure that operators meet any BAT-AEPLs.</w:t>
          </w:r>
        </w:p>
        <w:p w14:paraId="01AF2AA7" w14:textId="77777777" w:rsidR="007A525F" w:rsidRDefault="007A525F" w:rsidP="00766F5A">
          <w:pPr>
            <w:spacing w:after="240"/>
            <w:ind w:right="363"/>
            <w:jc w:val="both"/>
          </w:pPr>
          <w:r>
            <w:t>However, in recognition of the potentially significant benefits of ensuring energy efficiencies are as high as practicable; SEPA has developed a comprehensive resource efficiency initiative. This imposes a requirement on operators, through permit conditions, to record efficiency levels, and periodically review options for increasing efficiency levels. This approach explicitly identifies BATc as relevant indicators of performance and key drivers for increases in energy efficiency, indirectly identifying that BATc are the reference for setting permit conditions.</w:t>
          </w:r>
        </w:p>
        <w:p w14:paraId="3803F46D" w14:textId="0E3C6E98" w:rsidR="007A525F" w:rsidRDefault="007A525F" w:rsidP="00766F5A">
          <w:pPr>
            <w:spacing w:after="240"/>
            <w:ind w:right="363"/>
            <w:jc w:val="both"/>
          </w:pPr>
          <w:r>
            <w:t xml:space="preserve">However, as permit reviews will ideally take place as soon as possible after the </w:t>
          </w:r>
          <w:r w:rsidR="002545F2">
            <w:t>publication of</w:t>
          </w:r>
          <w:r>
            <w:t xml:space="preserve"> the BATc, operators are unlikely to have had the opportunity to have completed systematic assessments required by the resource efficiency initiative. Consequently a BATc review should not necessarily seek to make a premature judgement about an installation’s </w:t>
          </w:r>
          <w:r w:rsidR="00766D7C">
            <w:t>performance but</w:t>
          </w:r>
          <w:r>
            <w:t xml:space="preserve"> instead ensure that the varied permit includes the necessary resource efficiency conditions so that opportunities for improvement can be pursued in the future.</w:t>
          </w:r>
        </w:p>
        <w:p w14:paraId="0AC4D671" w14:textId="77777777" w:rsidR="007A525F" w:rsidRDefault="007A525F" w:rsidP="00766F5A">
          <w:pPr>
            <w:spacing w:after="240"/>
            <w:ind w:right="363"/>
            <w:jc w:val="both"/>
          </w:pPr>
          <w:r>
            <w:t>It therefore recommended that, as a matter of good practice, any relevant BATc are considered by both SEPA and the operator when assessing or preparing a systematic assessment of resource efficiency.</w:t>
          </w:r>
        </w:p>
        <w:p w14:paraId="3C635331" w14:textId="77777777" w:rsidR="007A525F" w:rsidRDefault="007A525F" w:rsidP="00766F5A">
          <w:pPr>
            <w:pStyle w:val="Heading1"/>
            <w:spacing w:after="120"/>
            <w:jc w:val="both"/>
          </w:pPr>
          <w:bookmarkStart w:id="51" w:name="_Toc195626994"/>
          <w:r>
            <w:t>Appendix 8 – Noise and Vibration</w:t>
          </w:r>
          <w:bookmarkEnd w:id="51"/>
        </w:p>
        <w:p w14:paraId="50B63BB0" w14:textId="6C86AD48" w:rsidR="00766D7C" w:rsidRDefault="007A525F" w:rsidP="00766F5A">
          <w:pPr>
            <w:spacing w:after="240"/>
            <w:ind w:right="363"/>
            <w:jc w:val="both"/>
          </w:pPr>
          <w:r>
            <w:t>There is no specific requirement for permit conditions to address noise and vibration. However noise and vibration is a BAT consideration and BATc therefore normally address the issue.</w:t>
          </w:r>
        </w:p>
        <w:p w14:paraId="18E26156" w14:textId="347D4E69" w:rsidR="006031FE" w:rsidRDefault="007A525F" w:rsidP="00766F5A">
          <w:pPr>
            <w:spacing w:after="240"/>
            <w:ind w:right="363"/>
            <w:jc w:val="both"/>
          </w:pPr>
          <w:r>
            <w:t xml:space="preserve">SEPA’s permits currently included conditions that address the management of noise and </w:t>
          </w:r>
          <w:r w:rsidR="004A2BF9">
            <w:t>vibration,</w:t>
          </w:r>
          <w:r>
            <w:t xml:space="preserve"> and these should be considered sufficient unless there is a known issue with noise and vibration management. If this is the case, conditions requiring improvements should be included in the permit. Any such conditions should take cognisance of any relevant BATc.</w:t>
          </w:r>
          <w:r w:rsidR="006031FE">
            <w:br w:type="page"/>
          </w:r>
        </w:p>
        <w:p w14:paraId="3FBCD225" w14:textId="77777777" w:rsidR="007A525F" w:rsidRDefault="007A525F" w:rsidP="00766F5A">
          <w:pPr>
            <w:pStyle w:val="Heading1"/>
            <w:spacing w:after="120"/>
            <w:jc w:val="both"/>
          </w:pPr>
          <w:bookmarkStart w:id="52" w:name="_Toc195626995"/>
          <w:r>
            <w:t>Appendix 9 – Odour</w:t>
          </w:r>
          <w:bookmarkEnd w:id="52"/>
        </w:p>
        <w:p w14:paraId="49D6AE3B" w14:textId="77777777" w:rsidR="007A525F" w:rsidRDefault="007A525F" w:rsidP="00766F5A">
          <w:pPr>
            <w:spacing w:after="240"/>
            <w:ind w:right="363"/>
            <w:jc w:val="both"/>
          </w:pPr>
          <w:r>
            <w:t>There is no specific requirement for permit conditions to address odour, however, where a specific pollutant is identified as being odorous there may be a requirement for an ELV for that substance. Odour is a BAT consideration and BATc will therefore normally address the issue.</w:t>
          </w:r>
        </w:p>
        <w:p w14:paraId="4BE6F0A3" w14:textId="77777777" w:rsidR="007A525F" w:rsidRDefault="007A525F" w:rsidP="00766F5A">
          <w:pPr>
            <w:spacing w:after="240"/>
            <w:ind w:right="363"/>
            <w:jc w:val="both"/>
          </w:pPr>
          <w:r>
            <w:t>SEPA’s permits currently include conditions that address odour management, and these should be considered sufficient unless there is a known issue with odour management. If this is the case, conditions requiring improvements should be included in the permit. Any such conditions should take cognisance of any relevant BATc.</w:t>
          </w:r>
        </w:p>
        <w:p w14:paraId="65B671F3" w14:textId="77777777" w:rsidR="008601A4" w:rsidRDefault="008601A4" w:rsidP="00DA536F">
          <w:pPr>
            <w:pStyle w:val="Heading1"/>
            <w:jc w:val="both"/>
          </w:pPr>
          <w:bookmarkStart w:id="53" w:name="_Toc195626996"/>
        </w:p>
        <w:p w14:paraId="2CB72FA9" w14:textId="77777777" w:rsidR="008601A4" w:rsidRDefault="008601A4" w:rsidP="00DA536F">
          <w:pPr>
            <w:pStyle w:val="Heading1"/>
            <w:jc w:val="both"/>
          </w:pPr>
        </w:p>
        <w:p w14:paraId="0C51792C" w14:textId="77777777" w:rsidR="008601A4" w:rsidRDefault="008601A4" w:rsidP="00DA536F">
          <w:pPr>
            <w:pStyle w:val="Heading1"/>
            <w:jc w:val="both"/>
          </w:pPr>
        </w:p>
        <w:p w14:paraId="67D1DD90" w14:textId="77777777" w:rsidR="008601A4" w:rsidRDefault="008601A4" w:rsidP="00DA536F">
          <w:pPr>
            <w:pStyle w:val="Heading1"/>
            <w:jc w:val="both"/>
          </w:pPr>
        </w:p>
        <w:p w14:paraId="1E4F2D0B" w14:textId="77777777" w:rsidR="008601A4" w:rsidRDefault="008601A4" w:rsidP="00DA536F">
          <w:pPr>
            <w:pStyle w:val="Heading1"/>
            <w:jc w:val="both"/>
          </w:pPr>
        </w:p>
        <w:p w14:paraId="6BD01276" w14:textId="77777777" w:rsidR="008601A4" w:rsidRPr="008601A4" w:rsidRDefault="008601A4" w:rsidP="008601A4"/>
        <w:p w14:paraId="3AF65781" w14:textId="77777777" w:rsidR="008601A4" w:rsidRDefault="008601A4" w:rsidP="00DA536F">
          <w:pPr>
            <w:pStyle w:val="Heading1"/>
            <w:jc w:val="both"/>
          </w:pPr>
        </w:p>
        <w:p w14:paraId="31EEBAB5" w14:textId="77777777" w:rsidR="008601A4" w:rsidRDefault="008601A4" w:rsidP="008601A4"/>
        <w:p w14:paraId="204A4470" w14:textId="77777777" w:rsidR="008601A4" w:rsidRPr="008601A4" w:rsidRDefault="008601A4" w:rsidP="008601A4"/>
        <w:p w14:paraId="4CEDE056" w14:textId="77777777" w:rsidR="008601A4" w:rsidRDefault="008601A4" w:rsidP="00DA536F">
          <w:pPr>
            <w:pStyle w:val="Heading1"/>
            <w:jc w:val="both"/>
          </w:pPr>
        </w:p>
        <w:p w14:paraId="420D51E7" w14:textId="77777777" w:rsidR="008601A4" w:rsidRDefault="008601A4" w:rsidP="008601A4"/>
        <w:p w14:paraId="2CACC1EC" w14:textId="77777777" w:rsidR="00766F5A" w:rsidRDefault="00766F5A" w:rsidP="008601A4"/>
        <w:p w14:paraId="24AA76CD" w14:textId="77777777" w:rsidR="008601A4" w:rsidRPr="008601A4" w:rsidRDefault="008601A4" w:rsidP="008601A4"/>
        <w:p w14:paraId="75AA89EF" w14:textId="0CF9242F" w:rsidR="007A525F" w:rsidRDefault="007A525F" w:rsidP="00766F5A">
          <w:pPr>
            <w:pStyle w:val="Heading1"/>
            <w:spacing w:after="120"/>
            <w:jc w:val="both"/>
          </w:pPr>
          <w:r>
            <w:t>Appendix 10 – Raw Material and Water Consumption</w:t>
          </w:r>
          <w:bookmarkEnd w:id="53"/>
        </w:p>
        <w:p w14:paraId="2A7A852B" w14:textId="77777777" w:rsidR="007A525F" w:rsidRDefault="007A525F" w:rsidP="00766F5A">
          <w:pPr>
            <w:spacing w:after="240"/>
            <w:ind w:right="363"/>
            <w:jc w:val="both"/>
          </w:pPr>
          <w:r>
            <w:t>There is no specific requirement for permit conditions to address raw material and water consumption. However, it is a BAT consideration and BATc therefore normally address the issues.</w:t>
          </w:r>
        </w:p>
        <w:p w14:paraId="1B600356" w14:textId="77777777" w:rsidR="008601A4" w:rsidRDefault="007A525F" w:rsidP="00766F5A">
          <w:pPr>
            <w:spacing w:after="240"/>
            <w:ind w:right="363"/>
            <w:jc w:val="both"/>
          </w:pPr>
          <w:r>
            <w:t>BATc are likely to provide an indication of techniques that might be employed to reduce consumption levels, and they may also include BAT-AEPLs, which are likely to be expressed in terms of specific consumption rates (e.g. litres of water consumed per tonne of product produced). The lists of techniques presented in BATc are nether prescriptive or exhaustive, and there is therefore no obligation for operators to employ any or all of the techniques. Furthermore, there is no requirement for SEPA to ensure that operators do not exceed any BATAEPLs that may be included.</w:t>
          </w:r>
        </w:p>
        <w:p w14:paraId="573331B6" w14:textId="5A072A74" w:rsidR="007A525F" w:rsidRDefault="007A525F" w:rsidP="00766F5A">
          <w:pPr>
            <w:spacing w:after="240"/>
            <w:ind w:right="363"/>
            <w:jc w:val="both"/>
          </w:pPr>
          <w:r>
            <w:t>However, in recognition of the potentially significant benefits of ensuring that consumption levels are as low as practicable, SEPA has developed a comprehensive resource efficiency initiative. This imposes a requirement on operators, through permit conditions, to record raw material and water consumption levels, and periodically review options for reducing consumption levels. This approach explicitly identifies BATc as relevant indicators of performance and key drivers for reductions in consumption, indirectly identifying that BATc are the reference for setting permit conditions.</w:t>
          </w:r>
        </w:p>
        <w:p w14:paraId="6206F7E5" w14:textId="3A74ED47" w:rsidR="007A525F" w:rsidRDefault="007A525F" w:rsidP="00766F5A">
          <w:pPr>
            <w:spacing w:after="240"/>
            <w:ind w:right="363"/>
            <w:jc w:val="both"/>
          </w:pPr>
          <w:r>
            <w:t xml:space="preserve">However, as permit reviews will ideally take place as soon as possible after the </w:t>
          </w:r>
          <w:r w:rsidR="002545F2">
            <w:t>publication of</w:t>
          </w:r>
          <w:r>
            <w:t xml:space="preserve"> the BATc, operators are unlikely to have had the opportunity to have completed systematic assessments required by the resource efficiency initiative. Consequently a BATc review should not necessarily seek to make a premature judgement about an installation’s </w:t>
          </w:r>
          <w:r w:rsidR="0029362B">
            <w:t>performance but</w:t>
          </w:r>
          <w:r>
            <w:t xml:space="preserve"> instead ensure that the varied permit includes the necessary resource efficiency conditions so that opportunities for improvement can be pursued in the future.</w:t>
          </w:r>
        </w:p>
        <w:p w14:paraId="4060F1CB" w14:textId="77777777" w:rsidR="007A525F" w:rsidRDefault="007A525F" w:rsidP="00766F5A">
          <w:pPr>
            <w:spacing w:after="240"/>
            <w:ind w:right="363"/>
            <w:jc w:val="both"/>
          </w:pPr>
          <w:r>
            <w:t>It therefore recommended that, as a matter of good practice, any relevant BATc are considered by both SEPA and the operator when assessing or preparing a systematic assessment of resource efficiency.</w:t>
          </w:r>
        </w:p>
        <w:p w14:paraId="39E68CBF" w14:textId="77777777" w:rsidR="008601A4" w:rsidRPr="008601A4" w:rsidRDefault="008601A4" w:rsidP="008601A4">
          <w:bookmarkStart w:id="54" w:name="_Toc195626997"/>
        </w:p>
        <w:p w14:paraId="6228DE46" w14:textId="30B2E70F" w:rsidR="007A525F" w:rsidRDefault="007A525F" w:rsidP="00766F5A">
          <w:pPr>
            <w:pStyle w:val="Heading1"/>
            <w:spacing w:after="120"/>
            <w:jc w:val="both"/>
          </w:pPr>
          <w:r>
            <w:t>Appendix 11 – Management</w:t>
          </w:r>
          <w:bookmarkEnd w:id="54"/>
        </w:p>
        <w:p w14:paraId="54E401FD" w14:textId="77777777" w:rsidR="007A525F" w:rsidRDefault="007A525F" w:rsidP="00766F5A">
          <w:pPr>
            <w:spacing w:after="240"/>
            <w:ind w:right="363"/>
            <w:jc w:val="both"/>
          </w:pPr>
          <w:r>
            <w:t>There is no specific requirement for permit conditions to address general management. However it is a BAT consideration and BATc will normally address the issue.</w:t>
          </w:r>
        </w:p>
        <w:p w14:paraId="7852C762" w14:textId="0A48BAE5" w:rsidR="00A812CF" w:rsidRDefault="007A525F" w:rsidP="00766F5A">
          <w:pPr>
            <w:spacing w:after="240"/>
            <w:ind w:right="363"/>
            <w:jc w:val="both"/>
          </w:pPr>
          <w:r>
            <w:t>SEPA’s permits currently include conditions that address management issues (procedures, responses to SEPA, etc.) and these should be considered sufficient unless there is a known problem with management systems or procedures. If this is the case, conditions requiring improvements should be included in the permit. Any such conditions should take cognisance of any relevant BATc.</w:t>
          </w:r>
          <w:r w:rsidR="00A812CF">
            <w:br w:type="page"/>
          </w:r>
        </w:p>
        <w:p w14:paraId="41A16829" w14:textId="16FCB906" w:rsidR="007A525F" w:rsidRDefault="007A525F" w:rsidP="00766F5A">
          <w:pPr>
            <w:pStyle w:val="Heading1"/>
            <w:spacing w:after="120"/>
            <w:jc w:val="both"/>
          </w:pPr>
          <w:bookmarkStart w:id="55" w:name="_Toc195626998"/>
          <w:r>
            <w:t>Appendix 12 –Costs and Benefits</w:t>
          </w:r>
          <w:bookmarkEnd w:id="55"/>
        </w:p>
        <w:p w14:paraId="6825D2B8" w14:textId="77777777" w:rsidR="007A525F" w:rsidRDefault="007A525F" w:rsidP="00766F5A">
          <w:pPr>
            <w:pStyle w:val="Heading2"/>
            <w:spacing w:after="120"/>
            <w:jc w:val="both"/>
          </w:pPr>
          <w:bookmarkStart w:id="56" w:name="_Toc195626999"/>
          <w:r>
            <w:t>Costs</w:t>
          </w:r>
          <w:bookmarkEnd w:id="56"/>
        </w:p>
        <w:p w14:paraId="0E11D748" w14:textId="77777777" w:rsidR="007A525F" w:rsidRDefault="007A525F" w:rsidP="00766F5A">
          <w:pPr>
            <w:spacing w:after="240"/>
            <w:ind w:right="363"/>
            <w:jc w:val="both"/>
          </w:pPr>
          <w:r>
            <w:t>Examples of the costs that can be taken into account include:</w:t>
          </w:r>
        </w:p>
        <w:p w14:paraId="5D7C90FD" w14:textId="67459D88" w:rsidR="007A525F" w:rsidRDefault="00766F5A" w:rsidP="00766F5A">
          <w:pPr>
            <w:numPr>
              <w:ilvl w:val="0"/>
              <w:numId w:val="37"/>
            </w:numPr>
            <w:spacing w:after="240"/>
            <w:ind w:right="363" w:hanging="567"/>
            <w:jc w:val="both"/>
          </w:pPr>
          <w:r>
            <w:t>R</w:t>
          </w:r>
          <w:r w:rsidR="007A525F">
            <w:t xml:space="preserve">elevant capital an </w:t>
          </w:r>
          <w:r w:rsidR="00A812CF">
            <w:t>operating cost</w:t>
          </w:r>
          <w:r w:rsidR="007A525F">
            <w:t xml:space="preserve"> for new plant, including relevant maintenance costs</w:t>
          </w:r>
          <w:r>
            <w:t>.</w:t>
          </w:r>
        </w:p>
        <w:p w14:paraId="0ED31DB8" w14:textId="6567361C" w:rsidR="007A525F" w:rsidRDefault="00766F5A" w:rsidP="00766F5A">
          <w:pPr>
            <w:numPr>
              <w:ilvl w:val="0"/>
              <w:numId w:val="37"/>
            </w:numPr>
            <w:spacing w:after="240"/>
            <w:ind w:right="363" w:hanging="567"/>
            <w:jc w:val="both"/>
          </w:pPr>
          <w:r>
            <w:t>C</w:t>
          </w:r>
          <w:r w:rsidR="007A525F">
            <w:t xml:space="preserve">ost of capital (the operator may need to borrow money to fund any </w:t>
          </w:r>
          <w:r w:rsidR="0085174F">
            <w:t>investment or</w:t>
          </w:r>
          <w:r w:rsidR="007A525F">
            <w:t xml:space="preserve"> perhaps divert funds from other income generating projects)</w:t>
          </w:r>
          <w:r>
            <w:t>.</w:t>
          </w:r>
        </w:p>
        <w:p w14:paraId="2C96CEE9" w14:textId="32DEB68F" w:rsidR="00766F5A" w:rsidRPr="00766F5A" w:rsidRDefault="00766F5A" w:rsidP="00766F5A">
          <w:pPr>
            <w:numPr>
              <w:ilvl w:val="0"/>
              <w:numId w:val="37"/>
            </w:numPr>
            <w:spacing w:after="240"/>
            <w:ind w:right="363" w:hanging="567"/>
            <w:jc w:val="both"/>
          </w:pPr>
          <w:r>
            <w:t>T</w:t>
          </w:r>
          <w:r w:rsidR="007A525F">
            <w:t xml:space="preserve">he cost of writing off undepreciated plant that had been </w:t>
          </w:r>
          <w:r w:rsidR="008729F4">
            <w:t>installed to</w:t>
          </w:r>
          <w:r w:rsidR="007A525F">
            <w:t xml:space="preserve"> reduce emissions, but which cannot meet the reduction that is now required and may therefore need to be replaced</w:t>
          </w:r>
          <w:r>
            <w:t>.</w:t>
          </w:r>
        </w:p>
        <w:p w14:paraId="01EC757E" w14:textId="250E5648" w:rsidR="00766F5A" w:rsidRPr="00766F5A" w:rsidRDefault="00766F5A" w:rsidP="00766F5A">
          <w:pPr>
            <w:numPr>
              <w:ilvl w:val="0"/>
              <w:numId w:val="37"/>
            </w:numPr>
            <w:spacing w:after="240"/>
            <w:ind w:right="363" w:hanging="567"/>
            <w:jc w:val="both"/>
          </w:pPr>
          <w:r>
            <w:t>A</w:t>
          </w:r>
          <w:r w:rsidR="007A525F">
            <w:t xml:space="preserve">ny increase in decommissioning costs that might result from the investment and </w:t>
          </w:r>
        </w:p>
        <w:p w14:paraId="5427CD38" w14:textId="1D8AFB44" w:rsidR="007A525F" w:rsidRDefault="00766F5A" w:rsidP="00766F5A">
          <w:pPr>
            <w:numPr>
              <w:ilvl w:val="0"/>
              <w:numId w:val="37"/>
            </w:numPr>
            <w:spacing w:after="240"/>
            <w:ind w:right="363" w:hanging="567"/>
            <w:jc w:val="both"/>
          </w:pPr>
          <w:r>
            <w:t>A</w:t>
          </w:r>
          <w:r w:rsidR="007A525F">
            <w:t>ny increase in general operating costs that might result from the investment.</w:t>
          </w:r>
        </w:p>
        <w:p w14:paraId="15F8D216" w14:textId="67640D08" w:rsidR="007A525F" w:rsidRDefault="007A525F" w:rsidP="00766F5A">
          <w:pPr>
            <w:spacing w:after="240"/>
            <w:ind w:left="567" w:right="363" w:hanging="567"/>
            <w:jc w:val="both"/>
          </w:pPr>
          <w:r>
            <w:t>However</w:t>
          </w:r>
          <w:r w:rsidR="00766F5A">
            <w:t>,</w:t>
          </w:r>
          <w:r>
            <w:t xml:space="preserve"> the following costs should be ignored or subtracted:</w:t>
          </w:r>
        </w:p>
        <w:p w14:paraId="05A04952" w14:textId="480EFB1C" w:rsidR="007A525F" w:rsidRDefault="00766F5A" w:rsidP="00766F5A">
          <w:pPr>
            <w:numPr>
              <w:ilvl w:val="0"/>
              <w:numId w:val="38"/>
            </w:numPr>
            <w:spacing w:after="240"/>
            <w:ind w:right="363" w:hanging="567"/>
            <w:jc w:val="both"/>
          </w:pPr>
          <w:r>
            <w:t>C</w:t>
          </w:r>
          <w:r w:rsidR="007A525F">
            <w:t xml:space="preserve">osts that would have been incurred anyway (e.g. routine refurbishment, replacement of </w:t>
          </w:r>
          <w:r w:rsidR="00FA16D2">
            <w:t>end-of-life</w:t>
          </w:r>
          <w:r w:rsidR="007A525F">
            <w:t xml:space="preserve"> plant etc.)</w:t>
          </w:r>
          <w:r>
            <w:t>.</w:t>
          </w:r>
        </w:p>
        <w:p w14:paraId="5119D000" w14:textId="0A3AD765" w:rsidR="00766F5A" w:rsidRPr="00766F5A" w:rsidRDefault="00766F5A" w:rsidP="00766F5A">
          <w:pPr>
            <w:numPr>
              <w:ilvl w:val="0"/>
              <w:numId w:val="38"/>
            </w:numPr>
            <w:spacing w:after="240"/>
            <w:ind w:right="363" w:hanging="567"/>
            <w:jc w:val="both"/>
          </w:pPr>
          <w:r>
            <w:t>T</w:t>
          </w:r>
          <w:r w:rsidR="007A525F">
            <w:t>he capital and operating costs of plant necessary for achieving a reduction in emissions that remained above the upper end of the BAT-AEL range, but which is nevertheless considered BAT at the installation in question (this investment would have to be made if a derogation is ultimately justified)</w:t>
          </w:r>
          <w:r>
            <w:t>.</w:t>
          </w:r>
        </w:p>
        <w:p w14:paraId="4753DA02" w14:textId="6B1ABEB2" w:rsidR="00766F5A" w:rsidRPr="00766F5A" w:rsidRDefault="00766F5A" w:rsidP="00766F5A">
          <w:pPr>
            <w:numPr>
              <w:ilvl w:val="0"/>
              <w:numId w:val="38"/>
            </w:numPr>
            <w:spacing w:after="240"/>
            <w:ind w:right="363" w:hanging="567"/>
            <w:jc w:val="both"/>
          </w:pPr>
          <w:r>
            <w:t>A</w:t>
          </w:r>
          <w:r w:rsidR="007A525F">
            <w:t xml:space="preserve">ny reduction in decommissioning costs that might result from the investment and </w:t>
          </w:r>
        </w:p>
        <w:p w14:paraId="71299286" w14:textId="6F8AF843" w:rsidR="007A525F" w:rsidRDefault="00766F5A" w:rsidP="00766F5A">
          <w:pPr>
            <w:numPr>
              <w:ilvl w:val="0"/>
              <w:numId w:val="38"/>
            </w:numPr>
            <w:spacing w:after="240"/>
            <w:ind w:right="363" w:hanging="567"/>
            <w:jc w:val="both"/>
          </w:pPr>
          <w:r>
            <w:t>A</w:t>
          </w:r>
          <w:r w:rsidR="007A525F">
            <w:t>ny reduction in general operating costs that might result from the investment.</w:t>
          </w:r>
        </w:p>
        <w:p w14:paraId="10C41C2E" w14:textId="77777777" w:rsidR="00766F5A" w:rsidRDefault="007A525F" w:rsidP="00766F5A">
          <w:pPr>
            <w:spacing w:after="240"/>
            <w:ind w:right="363"/>
            <w:jc w:val="both"/>
          </w:pPr>
          <w:r>
            <w:t>Producing accurate costs will present a challenge as detailed designs are unlikely to be available and suppliers may be unwilling to provide detailed costs if they are unlikely to be contracted. Furthermore attempting to predict future operating costs will involve having to make a range of assumptions (e.g. about the cost of fuel and raw materials). Care should be taken to ensure that any costs have a sound basis.</w:t>
          </w:r>
        </w:p>
        <w:p w14:paraId="5303CA9D" w14:textId="77777777" w:rsidR="007A525F" w:rsidRDefault="007A525F" w:rsidP="00766F5A">
          <w:pPr>
            <w:spacing w:after="240"/>
            <w:ind w:right="363"/>
            <w:jc w:val="both"/>
          </w:pPr>
          <w:r>
            <w:t>Although the majority of capital costs will arise during the early years, costs incurred may be spread over many years. It is normal discount future costs in order to calculate a present value. The discount rate will have a significant influence on the ultimate determination of whether the derogation is valid. Standard discount rates are likely to be appropriate for most circumstances (currently 3.5% up to 30 years and 3% beyond 30 years) and any deviation from these will need to be fully justified.</w:t>
          </w:r>
        </w:p>
        <w:p w14:paraId="5380C2CC" w14:textId="77777777" w:rsidR="007A525F" w:rsidRDefault="007A525F" w:rsidP="00766F5A">
          <w:pPr>
            <w:pStyle w:val="Heading2"/>
            <w:spacing w:after="120"/>
            <w:jc w:val="both"/>
          </w:pPr>
          <w:bookmarkStart w:id="57" w:name="_Toc195627000"/>
          <w:r>
            <w:t>Benefits</w:t>
          </w:r>
          <w:bookmarkEnd w:id="57"/>
        </w:p>
        <w:p w14:paraId="0DBDFD2E" w14:textId="77777777" w:rsidR="007A525F" w:rsidRDefault="007A525F" w:rsidP="00766F5A">
          <w:pPr>
            <w:spacing w:after="240"/>
            <w:ind w:right="363"/>
            <w:jc w:val="both"/>
          </w:pPr>
          <w:r>
            <w:t>The approach to making an assessment of benefits will depend upon whether damage costs are available for the pollutants concerned. A damage cost allows the benefit of the damage that is avoided as a result of the relevant reduction in emissions or any dis-benefits to be monetised – this will allow any net benefit to be quantified.</w:t>
          </w:r>
        </w:p>
        <w:p w14:paraId="4CA684DC" w14:textId="4BFB2286" w:rsidR="007A525F" w:rsidRDefault="007A525F" w:rsidP="00766F5A">
          <w:pPr>
            <w:spacing w:after="240"/>
            <w:ind w:right="363"/>
            <w:jc w:val="both"/>
          </w:pPr>
          <w:r>
            <w:t xml:space="preserve">It should be recognised that achieving a reduction in the emission level of a specific pollutant may result in an increase in the emissions of other pollutants, increased raw material or energy consumption, increased waste or </w:t>
          </w:r>
          <w:r w:rsidR="00B20BEF">
            <w:t>wastewater</w:t>
          </w:r>
          <w:r>
            <w:t xml:space="preserve"> production, or diminish amenity. These are called dis-benefits. If this is the case such cross media effects must be taken into account.</w:t>
          </w:r>
        </w:p>
        <w:p w14:paraId="2B43B9C6" w14:textId="7B9EB026" w:rsidR="007A525F" w:rsidRDefault="007A525F" w:rsidP="00766F5A">
          <w:pPr>
            <w:spacing w:after="240"/>
            <w:ind w:right="363"/>
            <w:jc w:val="both"/>
          </w:pPr>
          <w:r>
            <w:t xml:space="preserve">Damage costs are available only for certain pollutants emitted to air, and for many pollutants, in particular pollutants that are emitted to water, damage costs are unavailable. This means that benefits will be very difficult to </w:t>
          </w:r>
          <w:r w:rsidR="00F96711">
            <w:t>monetise,</w:t>
          </w:r>
          <w:r>
            <w:t xml:space="preserve"> and a robust cost benefit analysis will be difficult to produce and assess.</w:t>
          </w:r>
        </w:p>
        <w:p w14:paraId="00FBE6E5" w14:textId="77777777" w:rsidR="00550B19" w:rsidRDefault="00550B19" w:rsidP="00766F5A">
          <w:pPr>
            <w:spacing w:after="240"/>
            <w:ind w:right="363"/>
            <w:jc w:val="both"/>
          </w:pPr>
        </w:p>
        <w:p w14:paraId="4C2995A9" w14:textId="77777777" w:rsidR="00550B19" w:rsidRDefault="00550B19" w:rsidP="00766F5A">
          <w:pPr>
            <w:spacing w:after="240"/>
            <w:ind w:right="363"/>
            <w:jc w:val="both"/>
          </w:pPr>
        </w:p>
        <w:p w14:paraId="4BF8D499" w14:textId="77777777" w:rsidR="00550B19" w:rsidRDefault="00550B19" w:rsidP="00766F5A">
          <w:pPr>
            <w:spacing w:after="240"/>
            <w:ind w:right="363"/>
            <w:jc w:val="both"/>
          </w:pPr>
        </w:p>
        <w:p w14:paraId="50BEDAEB" w14:textId="77777777" w:rsidR="00550B19" w:rsidRDefault="00550B19" w:rsidP="00766F5A">
          <w:pPr>
            <w:spacing w:after="240"/>
            <w:ind w:right="363"/>
            <w:jc w:val="both"/>
          </w:pPr>
        </w:p>
        <w:p w14:paraId="21E252E4" w14:textId="5F25A1D3" w:rsidR="002F6165" w:rsidRPr="0085174F" w:rsidRDefault="002F6165" w:rsidP="002F6165">
          <w:pPr>
            <w:jc w:val="both"/>
            <w:rPr>
              <w:rFonts w:ascii="Arial" w:hAnsi="Arial" w:cs="Arial"/>
              <w:sz w:val="20"/>
              <w:szCs w:val="20"/>
            </w:rPr>
          </w:pPr>
          <w:r w:rsidRPr="0085174F">
            <w:rPr>
              <w:rFonts w:ascii="Arial" w:hAnsi="Arial" w:cs="Arial"/>
              <w:b/>
              <w:bCs/>
            </w:rPr>
            <w:t>This guidance has been updated to meet accessibility standards and to replace certain references to legislation with references to the Environmental Authorisations (Scotland) Regulations 2018.</w:t>
          </w:r>
          <w:r w:rsidR="00212EDE">
            <w:rPr>
              <w:rFonts w:ascii="Arial" w:hAnsi="Arial" w:cs="Arial"/>
              <w:b/>
              <w:bCs/>
            </w:rPr>
            <w:t xml:space="preserve"> </w:t>
          </w:r>
          <w:r w:rsidRPr="0085174F">
            <w:rPr>
              <w:rFonts w:ascii="Arial" w:hAnsi="Arial" w:cs="Arial"/>
              <w:b/>
              <w:bCs/>
            </w:rPr>
            <w:t>It has not been reviewed beyond this.</w:t>
          </w:r>
          <w:r w:rsidR="00212EDE">
            <w:rPr>
              <w:rFonts w:ascii="Arial" w:hAnsi="Arial" w:cs="Arial"/>
              <w:b/>
              <w:bCs/>
            </w:rPr>
            <w:t xml:space="preserve"> </w:t>
          </w:r>
          <w:r w:rsidRPr="0085174F">
            <w:rPr>
              <w:rFonts w:ascii="Arial" w:hAnsi="Arial" w:cs="Arial"/>
              <w:b/>
              <w:bCs/>
            </w:rPr>
            <w:t>We are aware that sections of this guidance may need to be updated, and this work will be completed in due course.</w:t>
          </w:r>
        </w:p>
        <w:p w14:paraId="12632EB4" w14:textId="77777777" w:rsidR="00550B19" w:rsidRDefault="00550B19" w:rsidP="00766F5A">
          <w:pPr>
            <w:spacing w:after="240"/>
            <w:ind w:right="363"/>
            <w:jc w:val="both"/>
          </w:pPr>
        </w:p>
        <w:p w14:paraId="69C3CAFD" w14:textId="77777777" w:rsidR="00D5671C" w:rsidRPr="000961F3" w:rsidRDefault="00D5671C" w:rsidP="00D5671C">
          <w:pPr>
            <w:pStyle w:val="Heading2"/>
            <w:spacing w:after="120" w:line="360" w:lineRule="auto"/>
            <w:rPr>
              <w:rFonts w:ascii="Arial" w:hAnsi="Arial" w:cs="Arial"/>
              <w:sz w:val="24"/>
              <w:szCs w:val="24"/>
            </w:rPr>
          </w:pPr>
          <w:bookmarkStart w:id="58" w:name="_Toc184981253"/>
          <w:r w:rsidRPr="000961F3">
            <w:rPr>
              <w:rFonts w:ascii="Arial" w:hAnsi="Arial" w:cs="Arial"/>
              <w:sz w:val="24"/>
              <w:szCs w:val="24"/>
            </w:rPr>
            <w:t>Disclaimer</w:t>
          </w:r>
          <w:bookmarkEnd w:id="58"/>
        </w:p>
        <w:p w14:paraId="174F2BF9" w14:textId="77777777" w:rsidR="00D5671C" w:rsidRPr="000961F3" w:rsidRDefault="00D5671C" w:rsidP="00D5671C">
          <w:pPr>
            <w:spacing w:after="240"/>
            <w:rPr>
              <w:rFonts w:ascii="Arial" w:hAnsi="Arial" w:cs="Arial"/>
            </w:rPr>
          </w:pPr>
          <w:r w:rsidRPr="000961F3">
            <w:rPr>
              <w:rFonts w:ascii="Arial" w:hAnsi="Arial" w:cs="Arial"/>
            </w:rPr>
            <w:t>This guidance is based on the law as it stood when the guidance was published.</w:t>
          </w:r>
        </w:p>
        <w:p w14:paraId="53569DB0" w14:textId="77777777" w:rsidR="00D5671C" w:rsidRPr="000961F3" w:rsidRDefault="00D5671C" w:rsidP="00D5671C">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3CEC458D" w14:textId="77777777" w:rsidR="00D5671C" w:rsidRPr="000961F3" w:rsidRDefault="00D5671C" w:rsidP="00D5671C">
          <w:pPr>
            <w:numPr>
              <w:ilvl w:val="0"/>
              <w:numId w:val="39"/>
            </w:numPr>
            <w:spacing w:after="240"/>
            <w:rPr>
              <w:rFonts w:ascii="Arial" w:hAnsi="Arial" w:cs="Arial"/>
            </w:rPr>
          </w:pPr>
          <w:r w:rsidRPr="000961F3">
            <w:rPr>
              <w:rFonts w:ascii="Arial" w:hAnsi="Arial" w:cs="Arial"/>
            </w:rPr>
            <w:t>any direct, indirect and consequential losses</w:t>
          </w:r>
        </w:p>
        <w:p w14:paraId="4F34F92E" w14:textId="77777777" w:rsidR="00D5671C" w:rsidRPr="000961F3" w:rsidRDefault="00D5671C" w:rsidP="00D5671C">
          <w:pPr>
            <w:numPr>
              <w:ilvl w:val="0"/>
              <w:numId w:val="39"/>
            </w:numPr>
            <w:spacing w:after="240"/>
            <w:rPr>
              <w:rFonts w:ascii="Arial" w:hAnsi="Arial" w:cs="Arial"/>
            </w:rPr>
          </w:pPr>
          <w:r w:rsidRPr="000961F3">
            <w:rPr>
              <w:rFonts w:ascii="Arial" w:hAnsi="Arial" w:cs="Arial"/>
            </w:rPr>
            <w:t>any loss or damage caused by civil wrongs, breach of contract or otherwise.</w:t>
          </w:r>
        </w:p>
        <w:p w14:paraId="3E483413" w14:textId="77777777" w:rsidR="00D5671C" w:rsidRPr="000961F3" w:rsidRDefault="00D5671C" w:rsidP="00D5671C">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33829E01" w14:textId="77777777" w:rsidR="002F6165" w:rsidRDefault="002F6165" w:rsidP="00766F5A">
          <w:pPr>
            <w:spacing w:after="240"/>
            <w:ind w:right="363"/>
            <w:jc w:val="both"/>
          </w:pPr>
        </w:p>
        <w:p w14:paraId="25F8DC06" w14:textId="77777777" w:rsidR="002179EE" w:rsidRDefault="002179EE" w:rsidP="00DA536F">
          <w:pPr>
            <w:ind w:right="361"/>
            <w:jc w:val="both"/>
          </w:pPr>
        </w:p>
        <w:p w14:paraId="43BE405A" w14:textId="496F7A43" w:rsidR="008C1A73" w:rsidRPr="00CF7EFB" w:rsidRDefault="008A4A3C" w:rsidP="00DA536F">
          <w:pPr>
            <w:jc w:val="both"/>
            <w:rPr>
              <w:b/>
              <w:bCs/>
              <w:color w:val="FFFFFF" w:themeColor="background1"/>
              <w:sz w:val="84"/>
              <w:szCs w:val="84"/>
            </w:rPr>
          </w:pPr>
        </w:p>
      </w:sdtContent>
    </w:sdt>
    <w:sectPr w:rsidR="008C1A73" w:rsidRPr="00CF7EFB" w:rsidSect="005E5007">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E7AB" w14:textId="77777777" w:rsidR="00627A78" w:rsidRDefault="00627A78" w:rsidP="00660C79">
      <w:pPr>
        <w:spacing w:line="240" w:lineRule="auto"/>
      </w:pPr>
      <w:r>
        <w:separator/>
      </w:r>
    </w:p>
  </w:endnote>
  <w:endnote w:type="continuationSeparator" w:id="0">
    <w:p w14:paraId="63FFA4B8" w14:textId="77777777" w:rsidR="00627A78" w:rsidRDefault="00627A78" w:rsidP="00660C79">
      <w:pPr>
        <w:spacing w:line="240" w:lineRule="auto"/>
      </w:pPr>
      <w:r>
        <w:continuationSeparator/>
      </w:r>
    </w:p>
  </w:endnote>
  <w:endnote w:type="continuationNotice" w:id="1">
    <w:p w14:paraId="16E051C6" w14:textId="77777777" w:rsidR="00627A78" w:rsidRDefault="00627A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1C61"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44A74AB" wp14:editId="576A937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51A8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44A74AB"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AF51A8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FDD64F7"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4B774C9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310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5CA6"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2EA84A25" wp14:editId="0931485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4A4B6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EA84A25"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34A4B6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35A5392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2B0A505" wp14:editId="0DB776E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64800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1E8F4A4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20E126" w14:textId="77777777" w:rsidR="00917BB1" w:rsidRDefault="00917BB1" w:rsidP="00917BB1">
    <w:pPr>
      <w:pStyle w:val="Footer"/>
      <w:ind w:right="360"/>
    </w:pPr>
    <w:r>
      <w:rPr>
        <w:noProof/>
      </w:rPr>
      <w:drawing>
        <wp:inline distT="0" distB="0" distL="0" distR="0" wp14:anchorId="525842D8" wp14:editId="1F093FA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4CDF"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16D5B33D" wp14:editId="1F49E9E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B14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6D5B33D"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1DB14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11AD" w14:textId="77777777" w:rsidR="00627A78" w:rsidRDefault="00627A78" w:rsidP="00660C79">
      <w:pPr>
        <w:spacing w:line="240" w:lineRule="auto"/>
      </w:pPr>
      <w:r>
        <w:separator/>
      </w:r>
    </w:p>
  </w:footnote>
  <w:footnote w:type="continuationSeparator" w:id="0">
    <w:p w14:paraId="33FBBBDC" w14:textId="77777777" w:rsidR="00627A78" w:rsidRDefault="00627A78" w:rsidP="00660C79">
      <w:pPr>
        <w:spacing w:line="240" w:lineRule="auto"/>
      </w:pPr>
      <w:r>
        <w:continuationSeparator/>
      </w:r>
    </w:p>
  </w:footnote>
  <w:footnote w:type="continuationNotice" w:id="1">
    <w:p w14:paraId="75A99499" w14:textId="77777777" w:rsidR="00627A78" w:rsidRDefault="00627A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4FBA"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7DE6BD32" wp14:editId="17F52F2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9399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DE6BD32"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1D9399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0CC0" w14:textId="7B48F122" w:rsidR="001419CA" w:rsidRDefault="00242D07" w:rsidP="00904C45">
    <w:pPr>
      <w:pStyle w:val="BodyText1"/>
      <w:spacing w:line="240" w:lineRule="auto"/>
      <w:jc w:val="center"/>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41F0572" wp14:editId="2520C02E">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8926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41F057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778926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7A295098" w14:textId="0C72BC75" w:rsidR="008D113C" w:rsidRPr="00917BB1" w:rsidRDefault="0062298B" w:rsidP="008D113C">
    <w:pPr>
      <w:pStyle w:val="BodyText1"/>
      <w:spacing w:line="240" w:lineRule="auto"/>
      <w:jc w:val="right"/>
      <w:rPr>
        <w:color w:val="6E7571" w:themeColor="text2"/>
      </w:rPr>
    </w:pPr>
    <w:r>
      <w:rPr>
        <w:color w:val="6E7571" w:themeColor="text2"/>
      </w:rPr>
      <w:t xml:space="preserve">Guidance on EASR Schedule 20 &amp; 26 </w:t>
    </w:r>
    <w:r w:rsidR="00904C45">
      <w:rPr>
        <w:color w:val="6E7571" w:themeColor="text2"/>
      </w:rPr>
      <w:t>BRef permit reviews</w:t>
    </w:r>
  </w:p>
  <w:p w14:paraId="1E05D8F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4796F69" wp14:editId="71B4130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clsh="http://schemas.microsoft.com/office/drawing/2020/classificationShape"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6729F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05C8"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40DB7B5A" wp14:editId="3F18007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0D75A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0DB7B5A"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80D75A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620B7"/>
    <w:multiLevelType w:val="hybridMultilevel"/>
    <w:tmpl w:val="81A2C966"/>
    <w:lvl w:ilvl="0" w:tplc="08090001">
      <w:start w:val="1"/>
      <w:numFmt w:val="bullet"/>
      <w:lvlText w:val=""/>
      <w:lvlJc w:val="left"/>
      <w:pPr>
        <w:ind w:left="1193"/>
      </w:pPr>
      <w:rPr>
        <w:rFonts w:ascii="Symbol" w:hAnsi="Symbol" w:hint="default"/>
        <w:b w:val="0"/>
        <w:i w:val="0"/>
        <w:strike w:val="0"/>
        <w:dstrike w:val="0"/>
        <w:color w:val="093843"/>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93843"/>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93843"/>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abstractNum>
  <w:abstractNum w:abstractNumId="11" w15:restartNumberingAfterBreak="0">
    <w:nsid w:val="0EB97AE4"/>
    <w:multiLevelType w:val="hybridMultilevel"/>
    <w:tmpl w:val="DEC61750"/>
    <w:lvl w:ilvl="0" w:tplc="08090001">
      <w:start w:val="1"/>
      <w:numFmt w:val="bullet"/>
      <w:lvlText w:val=""/>
      <w:lvlJc w:val="left"/>
      <w:pPr>
        <w:ind w:left="119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EE49DF"/>
    <w:multiLevelType w:val="hybridMultilevel"/>
    <w:tmpl w:val="44B6691C"/>
    <w:lvl w:ilvl="0" w:tplc="F4AC2DA8">
      <w:start w:val="1"/>
      <w:numFmt w:val="bullet"/>
      <w:lvlText w:val="•"/>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EC3E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CC6B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6CA4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382F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2A70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4EA3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6464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0EAB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5C1A92"/>
    <w:multiLevelType w:val="hybridMultilevel"/>
    <w:tmpl w:val="3828E358"/>
    <w:lvl w:ilvl="0" w:tplc="08090001">
      <w:start w:val="1"/>
      <w:numFmt w:val="bullet"/>
      <w:lvlText w:val=""/>
      <w:lvlJc w:val="left"/>
      <w:pPr>
        <w:ind w:left="119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4F83390"/>
    <w:multiLevelType w:val="multilevel"/>
    <w:tmpl w:val="A5B46D0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407E4E"/>
    <w:multiLevelType w:val="hybridMultilevel"/>
    <w:tmpl w:val="7940F908"/>
    <w:lvl w:ilvl="0" w:tplc="580E640A">
      <w:start w:val="1"/>
      <w:numFmt w:val="bullet"/>
      <w:lvlText w:val="•"/>
      <w:lvlJc w:val="left"/>
      <w:pPr>
        <w:ind w:left="1193"/>
      </w:pPr>
      <w:rPr>
        <w:rFonts w:ascii="Arial" w:eastAsia="Arial" w:hAnsi="Arial" w:cs="Arial"/>
        <w:b w:val="0"/>
        <w:i w:val="0"/>
        <w:strike w:val="0"/>
        <w:dstrike w:val="0"/>
        <w:color w:val="093843"/>
        <w:sz w:val="20"/>
        <w:szCs w:val="20"/>
        <w:u w:val="none" w:color="000000"/>
        <w:bdr w:val="none" w:sz="0" w:space="0" w:color="auto"/>
        <w:shd w:val="clear" w:color="auto" w:fill="auto"/>
        <w:vertAlign w:val="baseline"/>
      </w:rPr>
    </w:lvl>
    <w:lvl w:ilvl="1" w:tplc="4A2CDB3C">
      <w:start w:val="1"/>
      <w:numFmt w:val="bullet"/>
      <w:lvlText w:val="o"/>
      <w:lvlJc w:val="left"/>
      <w:pPr>
        <w:ind w:left="144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lvl w:ilvl="2" w:tplc="49BE8CE8">
      <w:start w:val="1"/>
      <w:numFmt w:val="bullet"/>
      <w:lvlText w:val="▪"/>
      <w:lvlJc w:val="left"/>
      <w:pPr>
        <w:ind w:left="216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lvl w:ilvl="3" w:tplc="14A20DCC">
      <w:start w:val="1"/>
      <w:numFmt w:val="bullet"/>
      <w:lvlText w:val="•"/>
      <w:lvlJc w:val="left"/>
      <w:pPr>
        <w:ind w:left="2880"/>
      </w:pPr>
      <w:rPr>
        <w:rFonts w:ascii="Arial" w:eastAsia="Arial" w:hAnsi="Arial" w:cs="Arial"/>
        <w:b w:val="0"/>
        <w:i w:val="0"/>
        <w:strike w:val="0"/>
        <w:dstrike w:val="0"/>
        <w:color w:val="093843"/>
        <w:sz w:val="20"/>
        <w:szCs w:val="20"/>
        <w:u w:val="none" w:color="000000"/>
        <w:bdr w:val="none" w:sz="0" w:space="0" w:color="auto"/>
        <w:shd w:val="clear" w:color="auto" w:fill="auto"/>
        <w:vertAlign w:val="baseline"/>
      </w:rPr>
    </w:lvl>
    <w:lvl w:ilvl="4" w:tplc="BCEE8336">
      <w:start w:val="1"/>
      <w:numFmt w:val="bullet"/>
      <w:lvlText w:val="o"/>
      <w:lvlJc w:val="left"/>
      <w:pPr>
        <w:ind w:left="360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lvl w:ilvl="5" w:tplc="0D6ADFAA">
      <w:start w:val="1"/>
      <w:numFmt w:val="bullet"/>
      <w:lvlText w:val="▪"/>
      <w:lvlJc w:val="left"/>
      <w:pPr>
        <w:ind w:left="432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lvl w:ilvl="6" w:tplc="363292EA">
      <w:start w:val="1"/>
      <w:numFmt w:val="bullet"/>
      <w:lvlText w:val="•"/>
      <w:lvlJc w:val="left"/>
      <w:pPr>
        <w:ind w:left="5040"/>
      </w:pPr>
      <w:rPr>
        <w:rFonts w:ascii="Arial" w:eastAsia="Arial" w:hAnsi="Arial" w:cs="Arial"/>
        <w:b w:val="0"/>
        <w:i w:val="0"/>
        <w:strike w:val="0"/>
        <w:dstrike w:val="0"/>
        <w:color w:val="093843"/>
        <w:sz w:val="20"/>
        <w:szCs w:val="20"/>
        <w:u w:val="none" w:color="000000"/>
        <w:bdr w:val="none" w:sz="0" w:space="0" w:color="auto"/>
        <w:shd w:val="clear" w:color="auto" w:fill="auto"/>
        <w:vertAlign w:val="baseline"/>
      </w:rPr>
    </w:lvl>
    <w:lvl w:ilvl="7" w:tplc="B6D835FC">
      <w:start w:val="1"/>
      <w:numFmt w:val="bullet"/>
      <w:lvlText w:val="o"/>
      <w:lvlJc w:val="left"/>
      <w:pPr>
        <w:ind w:left="576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lvl w:ilvl="8" w:tplc="57140A5E">
      <w:start w:val="1"/>
      <w:numFmt w:val="bullet"/>
      <w:lvlText w:val="▪"/>
      <w:lvlJc w:val="left"/>
      <w:pPr>
        <w:ind w:left="6480"/>
      </w:pPr>
      <w:rPr>
        <w:rFonts w:ascii="Segoe UI Symbol" w:eastAsia="Segoe UI Symbol" w:hAnsi="Segoe UI Symbol" w:cs="Segoe UI Symbol"/>
        <w:b w:val="0"/>
        <w:i w:val="0"/>
        <w:strike w:val="0"/>
        <w:dstrike w:val="0"/>
        <w:color w:val="093843"/>
        <w:sz w:val="20"/>
        <w:szCs w:val="20"/>
        <w:u w:val="none" w:color="000000"/>
        <w:bdr w:val="none" w:sz="0" w:space="0" w:color="auto"/>
        <w:shd w:val="clear" w:color="auto" w:fill="auto"/>
        <w:vertAlign w:val="baseline"/>
      </w:rPr>
    </w:lvl>
  </w:abstractNum>
  <w:abstractNum w:abstractNumId="16" w15:restartNumberingAfterBreak="0">
    <w:nsid w:val="1FF412B5"/>
    <w:multiLevelType w:val="hybridMultilevel"/>
    <w:tmpl w:val="9C3AF460"/>
    <w:lvl w:ilvl="0" w:tplc="C38EB4B4">
      <w:start w:val="1"/>
      <w:numFmt w:val="bullet"/>
      <w:lvlText w:val="•"/>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F2F4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92AE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5865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2DA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0AF9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6A99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84C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D8F5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25A0BD3"/>
    <w:multiLevelType w:val="multilevel"/>
    <w:tmpl w:val="8594215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B148E8"/>
    <w:multiLevelType w:val="hybridMultilevel"/>
    <w:tmpl w:val="C5E4791A"/>
    <w:lvl w:ilvl="0" w:tplc="08090001">
      <w:start w:val="1"/>
      <w:numFmt w:val="bullet"/>
      <w:lvlText w:val=""/>
      <w:lvlJc w:val="left"/>
      <w:pPr>
        <w:ind w:left="8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F29E0"/>
    <w:multiLevelType w:val="multilevel"/>
    <w:tmpl w:val="905A77D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start w:val="1"/>
      <w:numFmt w:val="bullet"/>
      <w:lvlText w:val=""/>
      <w:lvlJc w:val="left"/>
      <w:pPr>
        <w:ind w:left="1553"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27153C"/>
    <w:multiLevelType w:val="hybridMultilevel"/>
    <w:tmpl w:val="CA0A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65D43"/>
    <w:multiLevelType w:val="hybridMultilevel"/>
    <w:tmpl w:val="25E41EFE"/>
    <w:lvl w:ilvl="0" w:tplc="37201BA8">
      <w:start w:val="1"/>
      <w:numFmt w:val="decimal"/>
      <w:lvlText w:val="%1."/>
      <w:lvlJc w:val="left"/>
      <w:pPr>
        <w:ind w:left="1193"/>
      </w:pPr>
      <w:rPr>
        <w:rFonts w:ascii="Arial" w:eastAsia="Arial" w:hAnsi="Arial" w:cs="Arial"/>
        <w:b/>
        <w:bCs/>
        <w:i w:val="0"/>
        <w:strike w:val="0"/>
        <w:dstrike w:val="0"/>
        <w:color w:val="006666"/>
        <w:sz w:val="20"/>
        <w:szCs w:val="20"/>
        <w:u w:val="none" w:color="000000"/>
        <w:bdr w:val="none" w:sz="0" w:space="0" w:color="auto"/>
        <w:shd w:val="clear" w:color="auto" w:fill="auto"/>
        <w:vertAlign w:val="baseline"/>
      </w:rPr>
    </w:lvl>
    <w:lvl w:ilvl="1" w:tplc="713A3F34">
      <w:start w:val="1"/>
      <w:numFmt w:val="lowerLetter"/>
      <w:lvlText w:val="%2"/>
      <w:lvlJc w:val="left"/>
      <w:pPr>
        <w:ind w:left="1440"/>
      </w:pPr>
      <w:rPr>
        <w:rFonts w:ascii="Arial" w:eastAsia="Arial" w:hAnsi="Arial" w:cs="Arial"/>
        <w:b/>
        <w:bCs/>
        <w:i w:val="0"/>
        <w:strike w:val="0"/>
        <w:dstrike w:val="0"/>
        <w:color w:val="006666"/>
        <w:sz w:val="20"/>
        <w:szCs w:val="20"/>
        <w:u w:val="none" w:color="000000"/>
        <w:bdr w:val="none" w:sz="0" w:space="0" w:color="auto"/>
        <w:shd w:val="clear" w:color="auto" w:fill="auto"/>
        <w:vertAlign w:val="baseline"/>
      </w:rPr>
    </w:lvl>
    <w:lvl w:ilvl="2" w:tplc="0396D666">
      <w:start w:val="1"/>
      <w:numFmt w:val="lowerRoman"/>
      <w:lvlText w:val="%3"/>
      <w:lvlJc w:val="left"/>
      <w:pPr>
        <w:ind w:left="2160"/>
      </w:pPr>
      <w:rPr>
        <w:rFonts w:ascii="Arial" w:eastAsia="Arial" w:hAnsi="Arial" w:cs="Arial"/>
        <w:b/>
        <w:bCs/>
        <w:i w:val="0"/>
        <w:strike w:val="0"/>
        <w:dstrike w:val="0"/>
        <w:color w:val="006666"/>
        <w:sz w:val="20"/>
        <w:szCs w:val="20"/>
        <w:u w:val="none" w:color="000000"/>
        <w:bdr w:val="none" w:sz="0" w:space="0" w:color="auto"/>
        <w:shd w:val="clear" w:color="auto" w:fill="auto"/>
        <w:vertAlign w:val="baseline"/>
      </w:rPr>
    </w:lvl>
    <w:lvl w:ilvl="3" w:tplc="C1D81A6E">
      <w:start w:val="1"/>
      <w:numFmt w:val="decimal"/>
      <w:lvlText w:val="%4"/>
      <w:lvlJc w:val="left"/>
      <w:pPr>
        <w:ind w:left="2880"/>
      </w:pPr>
      <w:rPr>
        <w:rFonts w:ascii="Arial" w:eastAsia="Arial" w:hAnsi="Arial" w:cs="Arial"/>
        <w:b/>
        <w:bCs/>
        <w:i w:val="0"/>
        <w:strike w:val="0"/>
        <w:dstrike w:val="0"/>
        <w:color w:val="006666"/>
        <w:sz w:val="20"/>
        <w:szCs w:val="20"/>
        <w:u w:val="none" w:color="000000"/>
        <w:bdr w:val="none" w:sz="0" w:space="0" w:color="auto"/>
        <w:shd w:val="clear" w:color="auto" w:fill="auto"/>
        <w:vertAlign w:val="baseline"/>
      </w:rPr>
    </w:lvl>
    <w:lvl w:ilvl="4" w:tplc="30B28DCC">
      <w:start w:val="1"/>
      <w:numFmt w:val="lowerLetter"/>
      <w:lvlText w:val="%5"/>
      <w:lvlJc w:val="left"/>
      <w:pPr>
        <w:ind w:left="3600"/>
      </w:pPr>
      <w:rPr>
        <w:rFonts w:ascii="Arial" w:eastAsia="Arial" w:hAnsi="Arial" w:cs="Arial"/>
        <w:b/>
        <w:bCs/>
        <w:i w:val="0"/>
        <w:strike w:val="0"/>
        <w:dstrike w:val="0"/>
        <w:color w:val="006666"/>
        <w:sz w:val="20"/>
        <w:szCs w:val="20"/>
        <w:u w:val="none" w:color="000000"/>
        <w:bdr w:val="none" w:sz="0" w:space="0" w:color="auto"/>
        <w:shd w:val="clear" w:color="auto" w:fill="auto"/>
        <w:vertAlign w:val="baseline"/>
      </w:rPr>
    </w:lvl>
    <w:lvl w:ilvl="5" w:tplc="38DEE52C">
      <w:start w:val="1"/>
      <w:numFmt w:val="lowerRoman"/>
      <w:lvlText w:val="%6"/>
      <w:lvlJc w:val="left"/>
      <w:pPr>
        <w:ind w:left="4320"/>
      </w:pPr>
      <w:rPr>
        <w:rFonts w:ascii="Arial" w:eastAsia="Arial" w:hAnsi="Arial" w:cs="Arial"/>
        <w:b/>
        <w:bCs/>
        <w:i w:val="0"/>
        <w:strike w:val="0"/>
        <w:dstrike w:val="0"/>
        <w:color w:val="006666"/>
        <w:sz w:val="20"/>
        <w:szCs w:val="20"/>
        <w:u w:val="none" w:color="000000"/>
        <w:bdr w:val="none" w:sz="0" w:space="0" w:color="auto"/>
        <w:shd w:val="clear" w:color="auto" w:fill="auto"/>
        <w:vertAlign w:val="baseline"/>
      </w:rPr>
    </w:lvl>
    <w:lvl w:ilvl="6" w:tplc="6554B0B2">
      <w:start w:val="1"/>
      <w:numFmt w:val="decimal"/>
      <w:lvlText w:val="%7"/>
      <w:lvlJc w:val="left"/>
      <w:pPr>
        <w:ind w:left="5040"/>
      </w:pPr>
      <w:rPr>
        <w:rFonts w:ascii="Arial" w:eastAsia="Arial" w:hAnsi="Arial" w:cs="Arial"/>
        <w:b/>
        <w:bCs/>
        <w:i w:val="0"/>
        <w:strike w:val="0"/>
        <w:dstrike w:val="0"/>
        <w:color w:val="006666"/>
        <w:sz w:val="20"/>
        <w:szCs w:val="20"/>
        <w:u w:val="none" w:color="000000"/>
        <w:bdr w:val="none" w:sz="0" w:space="0" w:color="auto"/>
        <w:shd w:val="clear" w:color="auto" w:fill="auto"/>
        <w:vertAlign w:val="baseline"/>
      </w:rPr>
    </w:lvl>
    <w:lvl w:ilvl="7" w:tplc="31BEC29C">
      <w:start w:val="1"/>
      <w:numFmt w:val="lowerLetter"/>
      <w:lvlText w:val="%8"/>
      <w:lvlJc w:val="left"/>
      <w:pPr>
        <w:ind w:left="5760"/>
      </w:pPr>
      <w:rPr>
        <w:rFonts w:ascii="Arial" w:eastAsia="Arial" w:hAnsi="Arial" w:cs="Arial"/>
        <w:b/>
        <w:bCs/>
        <w:i w:val="0"/>
        <w:strike w:val="0"/>
        <w:dstrike w:val="0"/>
        <w:color w:val="006666"/>
        <w:sz w:val="20"/>
        <w:szCs w:val="20"/>
        <w:u w:val="none" w:color="000000"/>
        <w:bdr w:val="none" w:sz="0" w:space="0" w:color="auto"/>
        <w:shd w:val="clear" w:color="auto" w:fill="auto"/>
        <w:vertAlign w:val="baseline"/>
      </w:rPr>
    </w:lvl>
    <w:lvl w:ilvl="8" w:tplc="9544F73C">
      <w:start w:val="1"/>
      <w:numFmt w:val="lowerRoman"/>
      <w:lvlText w:val="%9"/>
      <w:lvlJc w:val="left"/>
      <w:pPr>
        <w:ind w:left="6480"/>
      </w:pPr>
      <w:rPr>
        <w:rFonts w:ascii="Arial" w:eastAsia="Arial" w:hAnsi="Arial" w:cs="Arial"/>
        <w:b/>
        <w:bCs/>
        <w:i w:val="0"/>
        <w:strike w:val="0"/>
        <w:dstrike w:val="0"/>
        <w:color w:val="006666"/>
        <w:sz w:val="20"/>
        <w:szCs w:val="20"/>
        <w:u w:val="none" w:color="000000"/>
        <w:bdr w:val="none" w:sz="0" w:space="0" w:color="auto"/>
        <w:shd w:val="clear" w:color="auto" w:fill="auto"/>
        <w:vertAlign w:val="baseline"/>
      </w:rPr>
    </w:lvl>
  </w:abstractNum>
  <w:abstractNum w:abstractNumId="23" w15:restartNumberingAfterBreak="0">
    <w:nsid w:val="4E2A5ADB"/>
    <w:multiLevelType w:val="hybridMultilevel"/>
    <w:tmpl w:val="EB12A3FA"/>
    <w:lvl w:ilvl="0" w:tplc="B0C620B6">
      <w:start w:val="1"/>
      <w:numFmt w:val="bullet"/>
      <w:lvlText w:val="•"/>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8A9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A40D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546F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46A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A6D3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DCA7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1857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2A80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FD608FB"/>
    <w:multiLevelType w:val="hybridMultilevel"/>
    <w:tmpl w:val="AEF6B608"/>
    <w:lvl w:ilvl="0" w:tplc="08090001">
      <w:start w:val="1"/>
      <w:numFmt w:val="bullet"/>
      <w:lvlText w:val=""/>
      <w:lvlJc w:val="left"/>
      <w:pPr>
        <w:ind w:left="119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D31CF"/>
    <w:multiLevelType w:val="hybridMultilevel"/>
    <w:tmpl w:val="10FA9916"/>
    <w:lvl w:ilvl="0" w:tplc="595EDD60">
      <w:start w:val="1"/>
      <w:numFmt w:val="bullet"/>
      <w:lvlText w:val="•"/>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F00814">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16EF9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A246A0">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8660AC">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D27718">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069D90">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EFAB6">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014AE">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05558A"/>
    <w:multiLevelType w:val="hybridMultilevel"/>
    <w:tmpl w:val="69E4C9F0"/>
    <w:lvl w:ilvl="0" w:tplc="08090001">
      <w:start w:val="1"/>
      <w:numFmt w:val="bullet"/>
      <w:lvlText w:val=""/>
      <w:lvlJc w:val="left"/>
      <w:pPr>
        <w:ind w:left="119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A66B90"/>
    <w:multiLevelType w:val="hybridMultilevel"/>
    <w:tmpl w:val="8370F216"/>
    <w:lvl w:ilvl="0" w:tplc="F59849F6">
      <w:start w:val="1"/>
      <w:numFmt w:val="decimal"/>
      <w:lvlText w:val="%1."/>
      <w:lvlJc w:val="left"/>
      <w:pPr>
        <w:ind w:left="1193"/>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F782C20">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3AC4FC">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3070EE">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2B224">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C2EA34">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6AFCE4">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5696A8">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32C116">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F127E6"/>
    <w:multiLevelType w:val="hybridMultilevel"/>
    <w:tmpl w:val="B0A66D5E"/>
    <w:lvl w:ilvl="0" w:tplc="4DDE8FEA">
      <w:start w:val="1"/>
      <w:numFmt w:val="bullet"/>
      <w:lvlText w:val="•"/>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8EF3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E6B4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9A6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4A83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9A3E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AAC7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4AFD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965E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B606F0"/>
    <w:multiLevelType w:val="hybridMultilevel"/>
    <w:tmpl w:val="99389472"/>
    <w:lvl w:ilvl="0" w:tplc="08090001">
      <w:start w:val="1"/>
      <w:numFmt w:val="bullet"/>
      <w:lvlText w:val=""/>
      <w:lvlJc w:val="left"/>
      <w:pPr>
        <w:ind w:left="119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0938C8"/>
    <w:multiLevelType w:val="hybridMultilevel"/>
    <w:tmpl w:val="E992447E"/>
    <w:lvl w:ilvl="0" w:tplc="EDB4ACAA">
      <w:start w:val="1"/>
      <w:numFmt w:val="decimal"/>
      <w:lvlText w:val="%1."/>
      <w:lvlJc w:val="left"/>
      <w:pPr>
        <w:ind w:left="119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BA723CB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7E7C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267D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DAA62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56C6A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0033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D0BE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9A54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593AA5"/>
    <w:multiLevelType w:val="hybridMultilevel"/>
    <w:tmpl w:val="1D06D5FA"/>
    <w:lvl w:ilvl="0" w:tplc="8A685246">
      <w:start w:val="1"/>
      <w:numFmt w:val="decimal"/>
      <w:lvlText w:val="%1."/>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0FEF6">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C2BBB2">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0A3638">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AC9BE2">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407EDE">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1484C2">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80D0E8">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5ABFD4">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4C025D"/>
    <w:multiLevelType w:val="hybridMultilevel"/>
    <w:tmpl w:val="B476A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6A6B60"/>
    <w:multiLevelType w:val="hybridMultilevel"/>
    <w:tmpl w:val="3B86F0A8"/>
    <w:lvl w:ilvl="0" w:tplc="0AB04DB2">
      <w:start w:val="1"/>
      <w:numFmt w:val="bullet"/>
      <w:lvlText w:val="•"/>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5C74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60EB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62D0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5608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B499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AABF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EBF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98FA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D3F3873"/>
    <w:multiLevelType w:val="hybridMultilevel"/>
    <w:tmpl w:val="8764A0F0"/>
    <w:lvl w:ilvl="0" w:tplc="C898EF16">
      <w:start w:val="1"/>
      <w:numFmt w:val="bullet"/>
      <w:lvlText w:val="•"/>
      <w:lvlJc w:val="left"/>
      <w:pPr>
        <w:ind w:left="1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8363E">
      <w:start w:val="1"/>
      <w:numFmt w:val="bullet"/>
      <w:lvlText w:val="o"/>
      <w:lvlJc w:val="left"/>
      <w:pPr>
        <w:ind w:left="1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52438A">
      <w:start w:val="1"/>
      <w:numFmt w:val="bullet"/>
      <w:lvlText w:val="▪"/>
      <w:lvlJc w:val="left"/>
      <w:pPr>
        <w:ind w:left="2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9EDA00">
      <w:start w:val="1"/>
      <w:numFmt w:val="bullet"/>
      <w:lvlText w:val="•"/>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ABDB6">
      <w:start w:val="1"/>
      <w:numFmt w:val="bullet"/>
      <w:lvlText w:val="o"/>
      <w:lvlJc w:val="left"/>
      <w:pPr>
        <w:ind w:left="3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66DD54">
      <w:start w:val="1"/>
      <w:numFmt w:val="bullet"/>
      <w:lvlText w:val="▪"/>
      <w:lvlJc w:val="left"/>
      <w:pPr>
        <w:ind w:left="4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D07088">
      <w:start w:val="1"/>
      <w:numFmt w:val="bullet"/>
      <w:lvlText w:val="•"/>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AF66A">
      <w:start w:val="1"/>
      <w:numFmt w:val="bullet"/>
      <w:lvlText w:val="o"/>
      <w:lvlJc w:val="left"/>
      <w:pPr>
        <w:ind w:left="5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CC7C74">
      <w:start w:val="1"/>
      <w:numFmt w:val="bullet"/>
      <w:lvlText w:val="▪"/>
      <w:lvlJc w:val="left"/>
      <w:pPr>
        <w:ind w:left="6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E0D02E5"/>
    <w:multiLevelType w:val="multilevel"/>
    <w:tmpl w:val="DF64AE34"/>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024938348">
    <w:abstractNumId w:val="33"/>
  </w:num>
  <w:num w:numId="12" w16cid:durableId="106119056">
    <w:abstractNumId w:val="19"/>
  </w:num>
  <w:num w:numId="13" w16cid:durableId="1818955842">
    <w:abstractNumId w:val="25"/>
  </w:num>
  <w:num w:numId="14" w16cid:durableId="1252468435">
    <w:abstractNumId w:val="29"/>
  </w:num>
  <w:num w:numId="15" w16cid:durableId="1970669073">
    <w:abstractNumId w:val="17"/>
  </w:num>
  <w:num w:numId="16" w16cid:durableId="568269152">
    <w:abstractNumId w:val="14"/>
  </w:num>
  <w:num w:numId="17" w16cid:durableId="1920478015">
    <w:abstractNumId w:val="15"/>
  </w:num>
  <w:num w:numId="18" w16cid:durableId="638077056">
    <w:abstractNumId w:val="23"/>
  </w:num>
  <w:num w:numId="19" w16cid:durableId="755517909">
    <w:abstractNumId w:val="31"/>
  </w:num>
  <w:num w:numId="20" w16cid:durableId="2039040514">
    <w:abstractNumId w:val="16"/>
  </w:num>
  <w:num w:numId="21" w16cid:durableId="1870485813">
    <w:abstractNumId w:val="36"/>
  </w:num>
  <w:num w:numId="22" w16cid:durableId="50159668">
    <w:abstractNumId w:val="22"/>
  </w:num>
  <w:num w:numId="23" w16cid:durableId="1533569568">
    <w:abstractNumId w:val="28"/>
  </w:num>
  <w:num w:numId="24" w16cid:durableId="926613820">
    <w:abstractNumId w:val="26"/>
  </w:num>
  <w:num w:numId="25" w16cid:durableId="540947317">
    <w:abstractNumId w:val="37"/>
  </w:num>
  <w:num w:numId="26" w16cid:durableId="304284903">
    <w:abstractNumId w:val="32"/>
  </w:num>
  <w:num w:numId="27" w16cid:durableId="1083994707">
    <w:abstractNumId w:val="12"/>
  </w:num>
  <w:num w:numId="28" w16cid:durableId="899899113">
    <w:abstractNumId w:val="18"/>
  </w:num>
  <w:num w:numId="29" w16cid:durableId="1490706586">
    <w:abstractNumId w:val="21"/>
  </w:num>
  <w:num w:numId="30" w16cid:durableId="1300653087">
    <w:abstractNumId w:val="10"/>
  </w:num>
  <w:num w:numId="31" w16cid:durableId="741559153">
    <w:abstractNumId w:val="38"/>
  </w:num>
  <w:num w:numId="32" w16cid:durableId="790131664">
    <w:abstractNumId w:val="20"/>
  </w:num>
  <w:num w:numId="33" w16cid:durableId="1578051551">
    <w:abstractNumId w:val="30"/>
  </w:num>
  <w:num w:numId="34" w16cid:durableId="1168909256">
    <w:abstractNumId w:val="24"/>
  </w:num>
  <w:num w:numId="35" w16cid:durableId="245501239">
    <w:abstractNumId w:val="13"/>
  </w:num>
  <w:num w:numId="36" w16cid:durableId="1212116361">
    <w:abstractNumId w:val="35"/>
  </w:num>
  <w:num w:numId="37" w16cid:durableId="1394694971">
    <w:abstractNumId w:val="27"/>
  </w:num>
  <w:num w:numId="38" w16cid:durableId="1177186504">
    <w:abstractNumId w:val="11"/>
  </w:num>
  <w:num w:numId="39" w16cid:durableId="11154885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C3"/>
    <w:rsid w:val="00015693"/>
    <w:rsid w:val="00016BE0"/>
    <w:rsid w:val="00020A36"/>
    <w:rsid w:val="00032829"/>
    <w:rsid w:val="00040431"/>
    <w:rsid w:val="00040561"/>
    <w:rsid w:val="00046B93"/>
    <w:rsid w:val="00050A92"/>
    <w:rsid w:val="000549A3"/>
    <w:rsid w:val="000622F2"/>
    <w:rsid w:val="00065FB9"/>
    <w:rsid w:val="00070937"/>
    <w:rsid w:val="0007596A"/>
    <w:rsid w:val="000771FB"/>
    <w:rsid w:val="00084EF2"/>
    <w:rsid w:val="000A31FF"/>
    <w:rsid w:val="000B122E"/>
    <w:rsid w:val="000B6FA9"/>
    <w:rsid w:val="000B7559"/>
    <w:rsid w:val="000C0F19"/>
    <w:rsid w:val="000E05DE"/>
    <w:rsid w:val="000E0D15"/>
    <w:rsid w:val="000F43E2"/>
    <w:rsid w:val="00105F31"/>
    <w:rsid w:val="00106D48"/>
    <w:rsid w:val="00130473"/>
    <w:rsid w:val="00135F24"/>
    <w:rsid w:val="001419CA"/>
    <w:rsid w:val="00165461"/>
    <w:rsid w:val="00183144"/>
    <w:rsid w:val="001943E3"/>
    <w:rsid w:val="001A0196"/>
    <w:rsid w:val="001A256E"/>
    <w:rsid w:val="001C3A99"/>
    <w:rsid w:val="001C53EA"/>
    <w:rsid w:val="001C5EBE"/>
    <w:rsid w:val="001D45BB"/>
    <w:rsid w:val="001D545A"/>
    <w:rsid w:val="001D575E"/>
    <w:rsid w:val="001E6164"/>
    <w:rsid w:val="00212EDE"/>
    <w:rsid w:val="002179EE"/>
    <w:rsid w:val="002212F0"/>
    <w:rsid w:val="00225BAE"/>
    <w:rsid w:val="00236552"/>
    <w:rsid w:val="00242D07"/>
    <w:rsid w:val="00245787"/>
    <w:rsid w:val="002545F2"/>
    <w:rsid w:val="00281BB1"/>
    <w:rsid w:val="00290B1F"/>
    <w:rsid w:val="00291710"/>
    <w:rsid w:val="0029362B"/>
    <w:rsid w:val="002970FD"/>
    <w:rsid w:val="002B2B4F"/>
    <w:rsid w:val="002C37C7"/>
    <w:rsid w:val="002C6E84"/>
    <w:rsid w:val="002D2199"/>
    <w:rsid w:val="002D3A0B"/>
    <w:rsid w:val="002D5A6C"/>
    <w:rsid w:val="002E30E0"/>
    <w:rsid w:val="002E4F48"/>
    <w:rsid w:val="002F175B"/>
    <w:rsid w:val="002F2B73"/>
    <w:rsid w:val="002F503F"/>
    <w:rsid w:val="002F6165"/>
    <w:rsid w:val="0030096D"/>
    <w:rsid w:val="00315CAC"/>
    <w:rsid w:val="00317618"/>
    <w:rsid w:val="003247F8"/>
    <w:rsid w:val="003353F6"/>
    <w:rsid w:val="00374F79"/>
    <w:rsid w:val="00381E17"/>
    <w:rsid w:val="00384135"/>
    <w:rsid w:val="00390AE1"/>
    <w:rsid w:val="003A097E"/>
    <w:rsid w:val="003A6270"/>
    <w:rsid w:val="003B26B7"/>
    <w:rsid w:val="003B38C6"/>
    <w:rsid w:val="003C6899"/>
    <w:rsid w:val="003E1377"/>
    <w:rsid w:val="003E37CB"/>
    <w:rsid w:val="003E402E"/>
    <w:rsid w:val="003E6B83"/>
    <w:rsid w:val="003F5384"/>
    <w:rsid w:val="004073BC"/>
    <w:rsid w:val="00412EC9"/>
    <w:rsid w:val="00444AA1"/>
    <w:rsid w:val="0044732C"/>
    <w:rsid w:val="00453942"/>
    <w:rsid w:val="00480A42"/>
    <w:rsid w:val="004A2BF9"/>
    <w:rsid w:val="004A7C48"/>
    <w:rsid w:val="004E17A2"/>
    <w:rsid w:val="005076F8"/>
    <w:rsid w:val="00507D39"/>
    <w:rsid w:val="00516DBF"/>
    <w:rsid w:val="00531767"/>
    <w:rsid w:val="00550B19"/>
    <w:rsid w:val="00551989"/>
    <w:rsid w:val="005607AA"/>
    <w:rsid w:val="005662D1"/>
    <w:rsid w:val="00571963"/>
    <w:rsid w:val="00596D75"/>
    <w:rsid w:val="005A142B"/>
    <w:rsid w:val="005A355E"/>
    <w:rsid w:val="005A7BCA"/>
    <w:rsid w:val="005B2CA8"/>
    <w:rsid w:val="005B3E8D"/>
    <w:rsid w:val="005B590B"/>
    <w:rsid w:val="005D1213"/>
    <w:rsid w:val="005D425C"/>
    <w:rsid w:val="005D51AB"/>
    <w:rsid w:val="005D74A3"/>
    <w:rsid w:val="005E5007"/>
    <w:rsid w:val="005E7452"/>
    <w:rsid w:val="005F52BC"/>
    <w:rsid w:val="006027B4"/>
    <w:rsid w:val="006031FE"/>
    <w:rsid w:val="006158F6"/>
    <w:rsid w:val="0062298B"/>
    <w:rsid w:val="00622AFF"/>
    <w:rsid w:val="006243FF"/>
    <w:rsid w:val="00625167"/>
    <w:rsid w:val="00627A78"/>
    <w:rsid w:val="00641000"/>
    <w:rsid w:val="00646A37"/>
    <w:rsid w:val="00655FBC"/>
    <w:rsid w:val="006601D4"/>
    <w:rsid w:val="00660C79"/>
    <w:rsid w:val="0067271C"/>
    <w:rsid w:val="006C2962"/>
    <w:rsid w:val="006D16CE"/>
    <w:rsid w:val="006E7474"/>
    <w:rsid w:val="006F3977"/>
    <w:rsid w:val="006F7E70"/>
    <w:rsid w:val="00701489"/>
    <w:rsid w:val="007270EA"/>
    <w:rsid w:val="00732123"/>
    <w:rsid w:val="007333DD"/>
    <w:rsid w:val="00745BE2"/>
    <w:rsid w:val="00766D7C"/>
    <w:rsid w:val="00766F5A"/>
    <w:rsid w:val="007868C1"/>
    <w:rsid w:val="007910FC"/>
    <w:rsid w:val="00794FB4"/>
    <w:rsid w:val="007A525F"/>
    <w:rsid w:val="007A60E1"/>
    <w:rsid w:val="007B2F90"/>
    <w:rsid w:val="007B415C"/>
    <w:rsid w:val="007C0C67"/>
    <w:rsid w:val="007C1D32"/>
    <w:rsid w:val="007C2913"/>
    <w:rsid w:val="007C3F12"/>
    <w:rsid w:val="007D441B"/>
    <w:rsid w:val="00801105"/>
    <w:rsid w:val="00807DCA"/>
    <w:rsid w:val="008151AE"/>
    <w:rsid w:val="0082203D"/>
    <w:rsid w:val="0082322F"/>
    <w:rsid w:val="008268F2"/>
    <w:rsid w:val="00827DEF"/>
    <w:rsid w:val="008451FF"/>
    <w:rsid w:val="0085174F"/>
    <w:rsid w:val="00851CFA"/>
    <w:rsid w:val="0085265E"/>
    <w:rsid w:val="008601A4"/>
    <w:rsid w:val="00861B46"/>
    <w:rsid w:val="0087125B"/>
    <w:rsid w:val="008729F4"/>
    <w:rsid w:val="008804E2"/>
    <w:rsid w:val="0089439D"/>
    <w:rsid w:val="00895877"/>
    <w:rsid w:val="008A0625"/>
    <w:rsid w:val="008A4A3C"/>
    <w:rsid w:val="008A4E64"/>
    <w:rsid w:val="008B0366"/>
    <w:rsid w:val="008C1A73"/>
    <w:rsid w:val="008C3474"/>
    <w:rsid w:val="008D113C"/>
    <w:rsid w:val="008D376F"/>
    <w:rsid w:val="008E3BC8"/>
    <w:rsid w:val="00900AF9"/>
    <w:rsid w:val="00904C45"/>
    <w:rsid w:val="009127C0"/>
    <w:rsid w:val="00916ADB"/>
    <w:rsid w:val="00916FB3"/>
    <w:rsid w:val="00917BB1"/>
    <w:rsid w:val="009445A8"/>
    <w:rsid w:val="0095727B"/>
    <w:rsid w:val="00970D1F"/>
    <w:rsid w:val="00973258"/>
    <w:rsid w:val="00975D21"/>
    <w:rsid w:val="0097607E"/>
    <w:rsid w:val="00980531"/>
    <w:rsid w:val="009A240D"/>
    <w:rsid w:val="009B374D"/>
    <w:rsid w:val="009B3F9B"/>
    <w:rsid w:val="009B6852"/>
    <w:rsid w:val="009C0D57"/>
    <w:rsid w:val="009D0C6B"/>
    <w:rsid w:val="009D1818"/>
    <w:rsid w:val="009E00DC"/>
    <w:rsid w:val="009F0161"/>
    <w:rsid w:val="00A029DB"/>
    <w:rsid w:val="00A0641D"/>
    <w:rsid w:val="00A66652"/>
    <w:rsid w:val="00A73F0C"/>
    <w:rsid w:val="00A74594"/>
    <w:rsid w:val="00A812CF"/>
    <w:rsid w:val="00A91A40"/>
    <w:rsid w:val="00A9349C"/>
    <w:rsid w:val="00AA277F"/>
    <w:rsid w:val="00AA6F13"/>
    <w:rsid w:val="00AC5475"/>
    <w:rsid w:val="00AC6F45"/>
    <w:rsid w:val="00AE068C"/>
    <w:rsid w:val="00AE2716"/>
    <w:rsid w:val="00AF74E2"/>
    <w:rsid w:val="00B03E57"/>
    <w:rsid w:val="00B20BEF"/>
    <w:rsid w:val="00B21C2E"/>
    <w:rsid w:val="00B34692"/>
    <w:rsid w:val="00B46E48"/>
    <w:rsid w:val="00B51FCE"/>
    <w:rsid w:val="00B54CF4"/>
    <w:rsid w:val="00B87AEC"/>
    <w:rsid w:val="00B930AA"/>
    <w:rsid w:val="00B969F6"/>
    <w:rsid w:val="00BC582B"/>
    <w:rsid w:val="00BD0957"/>
    <w:rsid w:val="00BD2BDF"/>
    <w:rsid w:val="00BD422E"/>
    <w:rsid w:val="00BE6CB0"/>
    <w:rsid w:val="00C035A1"/>
    <w:rsid w:val="00C12A7D"/>
    <w:rsid w:val="00C17D36"/>
    <w:rsid w:val="00C41C2B"/>
    <w:rsid w:val="00C5115A"/>
    <w:rsid w:val="00C569B9"/>
    <w:rsid w:val="00C66143"/>
    <w:rsid w:val="00C77DF3"/>
    <w:rsid w:val="00C91E66"/>
    <w:rsid w:val="00CA39EC"/>
    <w:rsid w:val="00CB2C00"/>
    <w:rsid w:val="00CD6AC0"/>
    <w:rsid w:val="00CE47DE"/>
    <w:rsid w:val="00CF7EFB"/>
    <w:rsid w:val="00D06A35"/>
    <w:rsid w:val="00D1606E"/>
    <w:rsid w:val="00D35448"/>
    <w:rsid w:val="00D41B0E"/>
    <w:rsid w:val="00D5671C"/>
    <w:rsid w:val="00D719A4"/>
    <w:rsid w:val="00D81EDE"/>
    <w:rsid w:val="00DA536F"/>
    <w:rsid w:val="00DB17E3"/>
    <w:rsid w:val="00DD7C93"/>
    <w:rsid w:val="00DE44C4"/>
    <w:rsid w:val="00DE705D"/>
    <w:rsid w:val="00DF17E3"/>
    <w:rsid w:val="00E02CEB"/>
    <w:rsid w:val="00E07C37"/>
    <w:rsid w:val="00E11A56"/>
    <w:rsid w:val="00E6048A"/>
    <w:rsid w:val="00E67C75"/>
    <w:rsid w:val="00E820CF"/>
    <w:rsid w:val="00E87A9D"/>
    <w:rsid w:val="00E92CF4"/>
    <w:rsid w:val="00EB7B3E"/>
    <w:rsid w:val="00EC6A73"/>
    <w:rsid w:val="00ED5CB1"/>
    <w:rsid w:val="00ED7348"/>
    <w:rsid w:val="00EE658E"/>
    <w:rsid w:val="00EE77CE"/>
    <w:rsid w:val="00EF0C01"/>
    <w:rsid w:val="00F07048"/>
    <w:rsid w:val="00F07AC3"/>
    <w:rsid w:val="00F13FC9"/>
    <w:rsid w:val="00F46168"/>
    <w:rsid w:val="00F53243"/>
    <w:rsid w:val="00F63032"/>
    <w:rsid w:val="00F72274"/>
    <w:rsid w:val="00F766AB"/>
    <w:rsid w:val="00F965EE"/>
    <w:rsid w:val="00F96711"/>
    <w:rsid w:val="00FA16D2"/>
    <w:rsid w:val="00FA7808"/>
    <w:rsid w:val="00FB2A11"/>
    <w:rsid w:val="00FB6CE3"/>
    <w:rsid w:val="00FC4EA3"/>
    <w:rsid w:val="00FC704B"/>
    <w:rsid w:val="00FD0978"/>
    <w:rsid w:val="00FE7D64"/>
    <w:rsid w:val="00FF367F"/>
    <w:rsid w:val="00FF5D5A"/>
    <w:rsid w:val="01E93955"/>
    <w:rsid w:val="0471F008"/>
    <w:rsid w:val="04F70129"/>
    <w:rsid w:val="05C06C72"/>
    <w:rsid w:val="08D0DB11"/>
    <w:rsid w:val="0CC3BA75"/>
    <w:rsid w:val="12E1EDD4"/>
    <w:rsid w:val="13E5B237"/>
    <w:rsid w:val="143883C4"/>
    <w:rsid w:val="16CF7773"/>
    <w:rsid w:val="1970CBB2"/>
    <w:rsid w:val="197696AC"/>
    <w:rsid w:val="1C52905B"/>
    <w:rsid w:val="1D34F97A"/>
    <w:rsid w:val="1DF4A15E"/>
    <w:rsid w:val="1FB441D6"/>
    <w:rsid w:val="247B841D"/>
    <w:rsid w:val="2480B4C0"/>
    <w:rsid w:val="2E5F4F6F"/>
    <w:rsid w:val="2F0D6AD7"/>
    <w:rsid w:val="324FCC55"/>
    <w:rsid w:val="324FE3C5"/>
    <w:rsid w:val="3325DAB6"/>
    <w:rsid w:val="34904CB9"/>
    <w:rsid w:val="352BD4EE"/>
    <w:rsid w:val="36266C8B"/>
    <w:rsid w:val="362BF659"/>
    <w:rsid w:val="36CA84FD"/>
    <w:rsid w:val="398A536C"/>
    <w:rsid w:val="4003F3B6"/>
    <w:rsid w:val="4005D12B"/>
    <w:rsid w:val="40277FBE"/>
    <w:rsid w:val="406F484D"/>
    <w:rsid w:val="4196465F"/>
    <w:rsid w:val="43612D33"/>
    <w:rsid w:val="43AF0753"/>
    <w:rsid w:val="43CD0EC6"/>
    <w:rsid w:val="443F4845"/>
    <w:rsid w:val="44C2E474"/>
    <w:rsid w:val="45238EC8"/>
    <w:rsid w:val="452EF109"/>
    <w:rsid w:val="4821C06A"/>
    <w:rsid w:val="4B4DE211"/>
    <w:rsid w:val="514003D1"/>
    <w:rsid w:val="58082E08"/>
    <w:rsid w:val="594807DF"/>
    <w:rsid w:val="5A736FDE"/>
    <w:rsid w:val="5ABA21DE"/>
    <w:rsid w:val="5C8610A3"/>
    <w:rsid w:val="5E448205"/>
    <w:rsid w:val="5EA780B2"/>
    <w:rsid w:val="5FA88F07"/>
    <w:rsid w:val="5FF1A61C"/>
    <w:rsid w:val="60F3C331"/>
    <w:rsid w:val="61371739"/>
    <w:rsid w:val="6599342E"/>
    <w:rsid w:val="68D146A1"/>
    <w:rsid w:val="6A756E33"/>
    <w:rsid w:val="6C949CCA"/>
    <w:rsid w:val="6E0FF041"/>
    <w:rsid w:val="724EB352"/>
    <w:rsid w:val="73F6D8CF"/>
    <w:rsid w:val="740237FA"/>
    <w:rsid w:val="7713E3EB"/>
    <w:rsid w:val="781C57AA"/>
    <w:rsid w:val="79FF30CB"/>
    <w:rsid w:val="7CC308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C1787"/>
  <w15:chartTrackingRefBased/>
  <w15:docId w15:val="{44B5AD22-CCBE-481D-920E-1E9C9D4A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2516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2516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251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251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4A7C48"/>
    <w:pPr>
      <w:ind w:left="720"/>
      <w:contextualSpacing/>
    </w:pPr>
  </w:style>
  <w:style w:type="table" w:customStyle="1" w:styleId="TableGrid">
    <w:name w:val="TableGrid"/>
    <w:rsid w:val="009D1818"/>
    <w:rPr>
      <w:rFonts w:eastAsiaTheme="minorEastAsia"/>
      <w:kern w:val="2"/>
      <w:lang w:eastAsia="en-GB"/>
      <w14:ligatures w14:val="standardContextual"/>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89587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95877"/>
    <w:pPr>
      <w:spacing w:after="100"/>
    </w:pPr>
  </w:style>
  <w:style w:type="paragraph" w:styleId="TOC2">
    <w:name w:val="toc 2"/>
    <w:basedOn w:val="Normal"/>
    <w:next w:val="Normal"/>
    <w:autoRedefine/>
    <w:uiPriority w:val="39"/>
    <w:unhideWhenUsed/>
    <w:rsid w:val="00895877"/>
    <w:pPr>
      <w:spacing w:after="100"/>
      <w:ind w:left="2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6143"/>
    <w:rPr>
      <w:b/>
      <w:bCs/>
    </w:rPr>
  </w:style>
  <w:style w:type="character" w:customStyle="1" w:styleId="CommentSubjectChar">
    <w:name w:val="Comment Subject Char"/>
    <w:basedOn w:val="CommentTextChar"/>
    <w:link w:val="CommentSubject"/>
    <w:uiPriority w:val="99"/>
    <w:semiHidden/>
    <w:rsid w:val="00C6614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minated.land@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ai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244BBB3F-18A7-4810-80F7-E69C8F105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4.xml><?xml version="1.0" encoding="utf-8"?>
<ds:datastoreItem xmlns:ds="http://schemas.openxmlformats.org/officeDocument/2006/customXml" ds:itemID="{233B92B2-4ED0-4815-9D45-D925F1C50596}">
  <ds:schemaRefs>
    <ds:schemaRef ds:uri="http://purl.org/dc/dcmitype/"/>
    <ds:schemaRef ds:uri="http://purl.org/dc/terms/"/>
    <ds:schemaRef ds:uri="ce5b52f7-9556-48ad-bf4f-1238de82834a"/>
    <ds:schemaRef ds:uri="http://schemas.microsoft.com/office/2006/documentManagement/types"/>
    <ds:schemaRef ds:uri="http://purl.org/dc/elements/1.1/"/>
    <ds:schemaRef ds:uri="7dd4d6b0-2bd1-40f7-94aa-8d4785e7902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SEPA_word_template_air_cover.dotx</Template>
  <TotalTime>6</TotalTime>
  <Pages>1</Pages>
  <Words>11588</Words>
  <Characters>66053</Characters>
  <Application>Microsoft Office Word</Application>
  <DocSecurity>4</DocSecurity>
  <Lines>550</Lines>
  <Paragraphs>154</Paragraphs>
  <ScaleCrop>false</ScaleCrop>
  <Company/>
  <LinksUpToDate>false</LinksUpToDate>
  <CharactersWithSpaces>77487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Summers, Lucy</cp:lastModifiedBy>
  <cp:revision>31</cp:revision>
  <cp:lastPrinted>2023-03-23T21:44:00Z</cp:lastPrinted>
  <dcterms:created xsi:type="dcterms:W3CDTF">2025-04-22T16:21:00Z</dcterms:created>
  <dcterms:modified xsi:type="dcterms:W3CDTF">2025-05-21T12:38:00Z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