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91AC5DD" w14:textId="77777777" w:rsidR="004073BC" w:rsidRDefault="00F72274" w:rsidP="00F72274">
          <w:r>
            <w:rPr>
              <w:noProof/>
            </w:rPr>
            <w:drawing>
              <wp:anchor distT="0" distB="0" distL="114300" distR="114300" simplePos="0" relativeHeight="251658241" behindDoc="1" locked="0" layoutInCell="1" allowOverlap="1" wp14:anchorId="7D33EC4B" wp14:editId="3C097913">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32566F6" w14:textId="77777777" w:rsidR="004073BC" w:rsidRDefault="004073BC" w:rsidP="008C1A73"/>
        <w:p w14:paraId="4CEB9D45" w14:textId="77777777" w:rsidR="004073BC" w:rsidRDefault="004073BC" w:rsidP="008C1A73"/>
        <w:p w14:paraId="05FD38DD" w14:textId="77777777" w:rsidR="004073BC" w:rsidRDefault="004073BC" w:rsidP="008C1A73"/>
        <w:p w14:paraId="5E7B23C4" w14:textId="77777777" w:rsidR="004073BC" w:rsidRDefault="004073BC" w:rsidP="008C1A73"/>
        <w:p w14:paraId="153BF8BD" w14:textId="79447A8D" w:rsidR="004A2740" w:rsidRPr="00642E2B" w:rsidRDefault="00281BB1" w:rsidP="004A2740">
          <w:pPr>
            <w:spacing w:line="240" w:lineRule="auto"/>
            <w:rPr>
              <w:b/>
              <w:bCs/>
              <w:color w:val="FFFFFF" w:themeColor="background1"/>
              <w:sz w:val="78"/>
              <w:szCs w:val="78"/>
            </w:rPr>
          </w:pPr>
          <w:r w:rsidRPr="00642E2B">
            <w:rPr>
              <w:noProof/>
              <w:sz w:val="78"/>
              <w:szCs w:val="78"/>
            </w:rPr>
            <mc:AlternateContent>
              <mc:Choice Requires="wps">
                <w:drawing>
                  <wp:anchor distT="0" distB="0" distL="114300" distR="114300" simplePos="0" relativeHeight="251658240" behindDoc="0" locked="1" layoutInCell="1" allowOverlap="1" wp14:anchorId="545BE8CB" wp14:editId="758504FE">
                    <wp:simplePos x="0" y="0"/>
                    <wp:positionH relativeFrom="column">
                      <wp:posOffset>127635</wp:posOffset>
                    </wp:positionH>
                    <wp:positionV relativeFrom="paragraph">
                      <wp:posOffset>6335395</wp:posOffset>
                    </wp:positionV>
                    <wp:extent cx="1646555" cy="1270000"/>
                    <wp:effectExtent l="0" t="0" r="10795" b="635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46555" cy="1270000"/>
                            </a:xfrm>
                            <a:prstGeom prst="rect">
                              <a:avLst/>
                            </a:prstGeom>
                            <a:noFill/>
                            <a:ln w="6350">
                              <a:noFill/>
                            </a:ln>
                          </wps:spPr>
                          <wps:txbx>
                            <w:txbxContent>
                              <w:p w14:paraId="06EC605A" w14:textId="0D2507B5" w:rsidR="00A25CA5" w:rsidRDefault="0085646A" w:rsidP="00281BB1">
                                <w:pPr>
                                  <w:pStyle w:val="BodyText1"/>
                                  <w:rPr>
                                    <w:color w:val="FFFFFF" w:themeColor="background1"/>
                                  </w:rPr>
                                </w:pPr>
                                <w:r>
                                  <w:rPr>
                                    <w:color w:val="FFFFFF" w:themeColor="background1"/>
                                  </w:rPr>
                                  <w:t>February</w:t>
                                </w:r>
                                <w:r w:rsidR="00FC5177">
                                  <w:rPr>
                                    <w:color w:val="FFFFFF" w:themeColor="background1"/>
                                  </w:rPr>
                                  <w:t xml:space="preserve"> 20</w:t>
                                </w:r>
                                <w:r w:rsidR="00DE1FE7">
                                  <w:rPr>
                                    <w:color w:val="FFFFFF" w:themeColor="background1"/>
                                  </w:rPr>
                                  <w:t>26</w:t>
                                </w:r>
                              </w:p>
                              <w:p w14:paraId="2696E3C9" w14:textId="77777777" w:rsidR="00A25CA5" w:rsidRDefault="00A25CA5" w:rsidP="00281BB1">
                                <w:pPr>
                                  <w:pStyle w:val="BodyText1"/>
                                  <w:rPr>
                                    <w:color w:val="FFFFFF" w:themeColor="background1"/>
                                  </w:rPr>
                                </w:pPr>
                              </w:p>
                              <w:p w14:paraId="1BA819A1" w14:textId="01F6A129" w:rsidR="00281BB1" w:rsidRPr="009A240D" w:rsidRDefault="00FC5177" w:rsidP="00281BB1">
                                <w:pPr>
                                  <w:pStyle w:val="BodyText1"/>
                                  <w:rPr>
                                    <w:color w:val="FFFFFF" w:themeColor="background1"/>
                                  </w:rPr>
                                </w:pPr>
                                <w:r>
                                  <w:rPr>
                                    <w:color w:val="FFFFFF" w:themeColor="background1"/>
                                  </w:rPr>
                                  <w:t xml:space="preserve">Version </w:t>
                                </w:r>
                                <w:r w:rsidR="00397469">
                                  <w:rPr>
                                    <w:color w:val="FFFFFF" w:themeColor="background1"/>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05pt;margin-top:498.85pt;width:129.6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" filled="f" stroked="f" strokeweight=".5pt">
                    <v:textbox inset="0,0,0,0">
                      <w:txbxContent>
                        <w:p w14:paraId="06EC605A" w14:textId="0D2507B5" w:rsidR="00A25CA5" w:rsidRDefault="0085646A" w:rsidP="00281BB1">
                          <w:pPr>
                            <w:pStyle w:val="BodyText1"/>
                            <w:rPr>
                              <w:color w:val="FFFFFF" w:themeColor="background1"/>
                            </w:rPr>
                          </w:pPr>
                          <w:r>
                            <w:rPr>
                              <w:color w:val="FFFFFF" w:themeColor="background1"/>
                            </w:rPr>
                            <w:t>February</w:t>
                          </w:r>
                          <w:r w:rsidR="00FC5177">
                            <w:rPr>
                              <w:color w:val="FFFFFF" w:themeColor="background1"/>
                            </w:rPr>
                            <w:t xml:space="preserve"> 20</w:t>
                          </w:r>
                          <w:r w:rsidR="00DE1FE7">
                            <w:rPr>
                              <w:color w:val="FFFFFF" w:themeColor="background1"/>
                            </w:rPr>
                            <w:t>26</w:t>
                          </w:r>
                        </w:p>
                        <w:p w14:paraId="2696E3C9" w14:textId="77777777" w:rsidR="00A25CA5" w:rsidRDefault="00A25CA5" w:rsidP="00281BB1">
                          <w:pPr>
                            <w:pStyle w:val="BodyText1"/>
                            <w:rPr>
                              <w:color w:val="FFFFFF" w:themeColor="background1"/>
                            </w:rPr>
                          </w:pPr>
                        </w:p>
                        <w:p w14:paraId="1BA819A1" w14:textId="01F6A129" w:rsidR="00281BB1" w:rsidRPr="009A240D" w:rsidRDefault="00FC5177" w:rsidP="00281BB1">
                          <w:pPr>
                            <w:pStyle w:val="BodyText1"/>
                            <w:rPr>
                              <w:color w:val="FFFFFF" w:themeColor="background1"/>
                            </w:rPr>
                          </w:pPr>
                          <w:r>
                            <w:rPr>
                              <w:color w:val="FFFFFF" w:themeColor="background1"/>
                            </w:rPr>
                            <w:t xml:space="preserve">Version </w:t>
                          </w:r>
                          <w:r w:rsidR="00397469">
                            <w:rPr>
                              <w:color w:val="FFFFFF" w:themeColor="background1"/>
                            </w:rPr>
                            <w:t>3</w:t>
                          </w:r>
                        </w:p>
                      </w:txbxContent>
                    </v:textbox>
                    <w10:anchorlock/>
                  </v:shape>
                </w:pict>
              </mc:Fallback>
            </mc:AlternateContent>
          </w:r>
          <w:r w:rsidR="004A2740" w:rsidRPr="00642E2B">
            <w:rPr>
              <w:b/>
              <w:bCs/>
              <w:color w:val="FFFFFF" w:themeColor="background1"/>
              <w:sz w:val="78"/>
              <w:szCs w:val="78"/>
            </w:rPr>
            <w:t xml:space="preserve">Principles on Surrendering Permits and Registrations </w:t>
          </w:r>
          <w:r w:rsidR="00F55404">
            <w:rPr>
              <w:b/>
              <w:bCs/>
              <w:color w:val="FFFFFF" w:themeColor="background1"/>
              <w:sz w:val="78"/>
              <w:szCs w:val="78"/>
            </w:rPr>
            <w:t>for Radioactive Substances Activities</w:t>
          </w:r>
        </w:p>
        <w:p w14:paraId="66A84787" w14:textId="77777777" w:rsidR="00FC5177" w:rsidRDefault="00FC5177" w:rsidP="004A2740">
          <w:pPr>
            <w:spacing w:line="240" w:lineRule="auto"/>
            <w:rPr>
              <w:b/>
              <w:bCs/>
              <w:color w:val="FFFFFF" w:themeColor="background1"/>
              <w:sz w:val="72"/>
              <w:szCs w:val="72"/>
            </w:rPr>
          </w:pPr>
        </w:p>
        <w:p w14:paraId="1791E60C" w14:textId="7CB27E68" w:rsidR="00884755" w:rsidRPr="00884755" w:rsidRDefault="00FC5177" w:rsidP="004A2740">
          <w:pPr>
            <w:spacing w:line="240" w:lineRule="auto"/>
            <w:rPr>
              <w:b/>
              <w:bCs/>
              <w:color w:val="FFFFFF" w:themeColor="background1"/>
              <w:sz w:val="72"/>
              <w:szCs w:val="72"/>
            </w:rPr>
          </w:pPr>
          <w:r w:rsidRPr="00FC5177">
            <w:rPr>
              <w:b/>
              <w:bCs/>
              <w:color w:val="FFFFFF" w:themeColor="background1"/>
              <w:sz w:val="72"/>
              <w:szCs w:val="72"/>
            </w:rPr>
            <w:t>RS-POL-003</w:t>
          </w:r>
        </w:p>
        <w:p w14:paraId="6F15542F" w14:textId="38C238BC" w:rsidR="00801105" w:rsidRDefault="00801105" w:rsidP="00EF7F00">
          <w:pPr>
            <w:spacing w:line="240" w:lineRule="auto"/>
            <w:rPr>
              <w:b/>
              <w:bCs/>
              <w:color w:val="FFFFFF" w:themeColor="background1"/>
              <w:sz w:val="84"/>
              <w:szCs w:val="84"/>
            </w:rPr>
          </w:pPr>
        </w:p>
        <w:p w14:paraId="204B8E61" w14:textId="77777777" w:rsidR="008C1A73" w:rsidRPr="00CF7EFB" w:rsidRDefault="008C1A73" w:rsidP="00650B15">
          <w:pPr>
            <w:pStyle w:val="BodyText1"/>
            <w:rPr>
              <w:b/>
              <w:bCs/>
              <w:color w:val="FFFFFF" w:themeColor="background1"/>
              <w:sz w:val="84"/>
              <w:szCs w:val="84"/>
            </w:rPr>
          </w:pPr>
          <w:r>
            <w:br w:type="page"/>
          </w:r>
        </w:p>
      </w:sdtContent>
    </w:sdt>
    <w:p w14:paraId="1F4F1AAC" w14:textId="4AD93CA7" w:rsidR="0031708D" w:rsidRDefault="00776568" w:rsidP="00776568">
      <w:pPr>
        <w:pStyle w:val="BodyText1"/>
        <w:rPr>
          <w:rFonts w:eastAsia="Times New Roman"/>
          <w:sz w:val="32"/>
          <w:szCs w:val="32"/>
        </w:rPr>
      </w:pPr>
      <w:r w:rsidRPr="00C9352C">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2B048D7" w14:textId="77777777" w:rsidR="00FB2E97" w:rsidRDefault="00FB2E97" w:rsidP="00FB2E97">
      <w:pPr>
        <w:spacing w:line="240" w:lineRule="auto"/>
        <w:rPr>
          <w:rFonts w:cstheme="minorHAnsi"/>
          <w:color w:val="016574"/>
          <w:sz w:val="32"/>
          <w:szCs w:val="32"/>
        </w:rPr>
      </w:pPr>
    </w:p>
    <w:p w14:paraId="7FE73598" w14:textId="77777777" w:rsidR="00FB2E97" w:rsidRPr="005B71EF" w:rsidRDefault="00FB2E97" w:rsidP="00FB2E97">
      <w:pPr>
        <w:pStyle w:val="Heading2"/>
      </w:pPr>
      <w:bookmarkStart w:id="0" w:name="_Toc221617559"/>
      <w:bookmarkStart w:id="1" w:name="_Toc223341897"/>
      <w:r w:rsidRPr="00410A98">
        <w:t>Document Control</w:t>
      </w:r>
      <w:bookmarkEnd w:id="0"/>
      <w:bookmarkEnd w:id="1"/>
    </w:p>
    <w:tbl>
      <w:tblPr>
        <w:tblStyle w:val="TableGrid"/>
        <w:tblW w:w="0" w:type="auto"/>
        <w:tblLook w:val="04A0" w:firstRow="1" w:lastRow="0" w:firstColumn="1" w:lastColumn="0" w:noHBand="0" w:noVBand="1"/>
      </w:tblPr>
      <w:tblGrid>
        <w:gridCol w:w="2972"/>
        <w:gridCol w:w="7240"/>
      </w:tblGrid>
      <w:tr w:rsidR="00FB2E97" w:rsidRPr="00410A98" w14:paraId="56224191" w14:textId="77777777" w:rsidTr="004A3153">
        <w:tc>
          <w:tcPr>
            <w:tcW w:w="2972" w:type="dxa"/>
            <w:vAlign w:val="center"/>
          </w:tcPr>
          <w:p w14:paraId="64001216"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Title</w:t>
            </w:r>
          </w:p>
        </w:tc>
        <w:tc>
          <w:tcPr>
            <w:tcW w:w="7240" w:type="dxa"/>
            <w:vAlign w:val="center"/>
          </w:tcPr>
          <w:p w14:paraId="71C2B838" w14:textId="0A51B279" w:rsidR="00FB2E97" w:rsidRPr="00495F46" w:rsidRDefault="00DE1FE7" w:rsidP="004A3153">
            <w:pPr>
              <w:pStyle w:val="BodyText1"/>
              <w:spacing w:before="120" w:after="120"/>
              <w:rPr>
                <w:rFonts w:asciiTheme="minorHAnsi" w:hAnsiTheme="minorHAnsi" w:cstheme="minorHAnsi"/>
                <w:sz w:val="24"/>
                <w:szCs w:val="24"/>
              </w:rPr>
            </w:pPr>
            <w:r w:rsidRPr="00DE1FE7">
              <w:rPr>
                <w:rFonts w:asciiTheme="minorHAnsi" w:hAnsiTheme="minorHAnsi" w:cstheme="minorHAnsi"/>
                <w:sz w:val="24"/>
                <w:szCs w:val="24"/>
              </w:rPr>
              <w:t xml:space="preserve">Principles on Surrendering Permits and Registrations </w:t>
            </w:r>
            <w:r w:rsidR="00F55404">
              <w:rPr>
                <w:rFonts w:asciiTheme="minorHAnsi" w:hAnsiTheme="minorHAnsi" w:cstheme="minorHAnsi"/>
                <w:sz w:val="24"/>
                <w:szCs w:val="24"/>
              </w:rPr>
              <w:t>for Radioactive Substances Activities</w:t>
            </w:r>
          </w:p>
        </w:tc>
      </w:tr>
      <w:tr w:rsidR="00FB2E97" w:rsidRPr="00410A98" w14:paraId="750F9BD9" w14:textId="77777777" w:rsidTr="004A3153">
        <w:tc>
          <w:tcPr>
            <w:tcW w:w="2972" w:type="dxa"/>
            <w:vAlign w:val="center"/>
          </w:tcPr>
          <w:p w14:paraId="7B3A3003"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Reference</w:t>
            </w:r>
          </w:p>
        </w:tc>
        <w:tc>
          <w:tcPr>
            <w:tcW w:w="7240" w:type="dxa"/>
            <w:vAlign w:val="center"/>
          </w:tcPr>
          <w:p w14:paraId="0250E937" w14:textId="2B488BD7" w:rsidR="00FB2E97" w:rsidRPr="00495F46" w:rsidRDefault="000D24A1" w:rsidP="004A3153">
            <w:pPr>
              <w:pStyle w:val="BodyText1"/>
              <w:spacing w:before="120" w:after="120"/>
              <w:rPr>
                <w:rFonts w:asciiTheme="minorHAnsi" w:hAnsiTheme="minorHAnsi" w:cstheme="minorHAnsi"/>
                <w:sz w:val="24"/>
                <w:szCs w:val="24"/>
              </w:rPr>
            </w:pPr>
            <w:r w:rsidRPr="000D24A1">
              <w:rPr>
                <w:rFonts w:asciiTheme="minorHAnsi" w:hAnsiTheme="minorHAnsi" w:cstheme="minorHAnsi"/>
                <w:sz w:val="24"/>
                <w:szCs w:val="24"/>
              </w:rPr>
              <w:t>RS-POL-003</w:t>
            </w:r>
          </w:p>
        </w:tc>
      </w:tr>
      <w:tr w:rsidR="00FB2E97" w:rsidRPr="00410A98" w14:paraId="3C617ABA" w14:textId="77777777" w:rsidTr="004A3153">
        <w:tc>
          <w:tcPr>
            <w:tcW w:w="2972" w:type="dxa"/>
            <w:vAlign w:val="center"/>
          </w:tcPr>
          <w:p w14:paraId="72DACEDD"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7240" w:type="dxa"/>
            <w:vAlign w:val="center"/>
          </w:tcPr>
          <w:p w14:paraId="4F3EEEF1" w14:textId="7CB2C19A" w:rsidR="00FB2E97" w:rsidRPr="00495F46" w:rsidRDefault="00397469"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3</w:t>
            </w:r>
          </w:p>
        </w:tc>
      </w:tr>
      <w:tr w:rsidR="00FB2E97" w:rsidRPr="00410A98" w14:paraId="460642A6" w14:textId="77777777" w:rsidTr="004A3153">
        <w:tc>
          <w:tcPr>
            <w:tcW w:w="2972" w:type="dxa"/>
            <w:vAlign w:val="center"/>
          </w:tcPr>
          <w:p w14:paraId="02AE0FFC"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Approved by</w:t>
            </w:r>
          </w:p>
        </w:tc>
        <w:tc>
          <w:tcPr>
            <w:tcW w:w="7240" w:type="dxa"/>
            <w:vAlign w:val="center"/>
          </w:tcPr>
          <w:p w14:paraId="6AA7E4ED"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RASRAP</w:t>
            </w:r>
          </w:p>
        </w:tc>
      </w:tr>
      <w:tr w:rsidR="00FB2E97" w:rsidRPr="00410A98" w14:paraId="120A8F04" w14:textId="77777777" w:rsidTr="004A3153">
        <w:tc>
          <w:tcPr>
            <w:tcW w:w="2972" w:type="dxa"/>
            <w:vAlign w:val="center"/>
          </w:tcPr>
          <w:p w14:paraId="7937B005"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Date approved</w:t>
            </w:r>
          </w:p>
        </w:tc>
        <w:tc>
          <w:tcPr>
            <w:tcW w:w="7240" w:type="dxa"/>
            <w:vAlign w:val="center"/>
          </w:tcPr>
          <w:p w14:paraId="6868A839" w14:textId="366E6EE4" w:rsidR="00FB2E97" w:rsidRPr="00495F46" w:rsidRDefault="00E81A34"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April 2013</w:t>
            </w:r>
          </w:p>
        </w:tc>
      </w:tr>
    </w:tbl>
    <w:p w14:paraId="3A1D4D0B" w14:textId="77777777" w:rsidR="00FB2E97" w:rsidRDefault="00FB2E97" w:rsidP="00FB2E97">
      <w:pPr>
        <w:pStyle w:val="BodyText1"/>
      </w:pPr>
    </w:p>
    <w:p w14:paraId="11216881" w14:textId="77777777" w:rsidR="00FB2E97" w:rsidRPr="00410A98" w:rsidRDefault="00FB2E97" w:rsidP="00FB2E97">
      <w:pPr>
        <w:pStyle w:val="Heading2"/>
      </w:pPr>
      <w:bookmarkStart w:id="2" w:name="_Toc221617560"/>
      <w:bookmarkStart w:id="3" w:name="_Toc223341898"/>
      <w:r w:rsidRPr="00410A98">
        <w:t>Version Control</w:t>
      </w:r>
      <w:bookmarkEnd w:id="2"/>
      <w:bookmarkEnd w:id="3"/>
    </w:p>
    <w:tbl>
      <w:tblPr>
        <w:tblStyle w:val="TableGrid"/>
        <w:tblW w:w="0" w:type="auto"/>
        <w:tblLook w:val="04A0" w:firstRow="1" w:lastRow="0" w:firstColumn="1" w:lastColumn="0" w:noHBand="0" w:noVBand="1"/>
      </w:tblPr>
      <w:tblGrid>
        <w:gridCol w:w="1413"/>
        <w:gridCol w:w="1559"/>
        <w:gridCol w:w="7240"/>
      </w:tblGrid>
      <w:tr w:rsidR="00FB2E97" w:rsidRPr="00410A98" w14:paraId="050EA91F" w14:textId="77777777" w:rsidTr="004A3153">
        <w:tc>
          <w:tcPr>
            <w:tcW w:w="1413" w:type="dxa"/>
            <w:vAlign w:val="center"/>
          </w:tcPr>
          <w:p w14:paraId="49B2D79B"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Version</w:t>
            </w:r>
          </w:p>
        </w:tc>
        <w:tc>
          <w:tcPr>
            <w:tcW w:w="1559" w:type="dxa"/>
            <w:vAlign w:val="center"/>
          </w:tcPr>
          <w:p w14:paraId="6D063EBB"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Date</w:t>
            </w:r>
          </w:p>
        </w:tc>
        <w:tc>
          <w:tcPr>
            <w:tcW w:w="7240" w:type="dxa"/>
            <w:vAlign w:val="center"/>
          </w:tcPr>
          <w:p w14:paraId="23A17B94" w14:textId="77777777" w:rsidR="00FB2E97" w:rsidRPr="00495F46" w:rsidRDefault="00FB2E97" w:rsidP="004A3153">
            <w:pPr>
              <w:pStyle w:val="BodyText1"/>
              <w:spacing w:before="120" w:after="120"/>
              <w:rPr>
                <w:rFonts w:asciiTheme="minorHAnsi" w:hAnsiTheme="minorHAnsi" w:cstheme="minorHAnsi"/>
                <w:sz w:val="24"/>
                <w:szCs w:val="24"/>
              </w:rPr>
            </w:pPr>
            <w:r w:rsidRPr="00495F46">
              <w:rPr>
                <w:rFonts w:asciiTheme="minorHAnsi" w:hAnsiTheme="minorHAnsi" w:cstheme="minorHAnsi"/>
                <w:sz w:val="24"/>
                <w:szCs w:val="24"/>
              </w:rPr>
              <w:t>Amendments</w:t>
            </w:r>
          </w:p>
        </w:tc>
      </w:tr>
      <w:tr w:rsidR="00DF7283" w:rsidRPr="00410A98" w14:paraId="650DB7B0" w14:textId="77777777" w:rsidTr="004A3153">
        <w:tc>
          <w:tcPr>
            <w:tcW w:w="1413" w:type="dxa"/>
            <w:vAlign w:val="center"/>
          </w:tcPr>
          <w:p w14:paraId="4F57C5AF" w14:textId="52DF2089" w:rsidR="00DF7283" w:rsidRPr="00551308" w:rsidRDefault="00551308" w:rsidP="004A3153">
            <w:pPr>
              <w:pStyle w:val="BodyText1"/>
              <w:spacing w:before="120" w:after="120"/>
              <w:rPr>
                <w:rFonts w:asciiTheme="minorHAnsi" w:hAnsiTheme="minorHAnsi" w:cstheme="minorHAnsi"/>
                <w:sz w:val="24"/>
                <w:szCs w:val="24"/>
              </w:rPr>
            </w:pPr>
            <w:r w:rsidRPr="00551308">
              <w:rPr>
                <w:rFonts w:asciiTheme="minorHAnsi" w:hAnsiTheme="minorHAnsi" w:cstheme="minorHAnsi"/>
                <w:sz w:val="24"/>
                <w:szCs w:val="24"/>
              </w:rPr>
              <w:t>1</w:t>
            </w:r>
          </w:p>
        </w:tc>
        <w:tc>
          <w:tcPr>
            <w:tcW w:w="1559" w:type="dxa"/>
            <w:vAlign w:val="center"/>
          </w:tcPr>
          <w:p w14:paraId="7547A8E8" w14:textId="6A1209B9" w:rsidR="00DF7283" w:rsidRPr="00551308" w:rsidRDefault="00136355"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April 2013</w:t>
            </w:r>
          </w:p>
        </w:tc>
        <w:tc>
          <w:tcPr>
            <w:tcW w:w="7240" w:type="dxa"/>
            <w:vAlign w:val="center"/>
          </w:tcPr>
          <w:p w14:paraId="5927C06B" w14:textId="0CC416FC" w:rsidR="00DF7283" w:rsidRPr="00551308" w:rsidRDefault="00EF096F"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Originally p</w:t>
            </w:r>
            <w:r w:rsidR="00DF7283" w:rsidRPr="00551308">
              <w:rPr>
                <w:rFonts w:asciiTheme="minorHAnsi" w:hAnsiTheme="minorHAnsi" w:cstheme="minorHAnsi"/>
                <w:sz w:val="24"/>
                <w:szCs w:val="24"/>
              </w:rPr>
              <w:t>ublished as “</w:t>
            </w:r>
            <w:r w:rsidR="00136355">
              <w:rPr>
                <w:rFonts w:asciiTheme="minorHAnsi" w:hAnsiTheme="minorHAnsi" w:cstheme="minorHAnsi"/>
                <w:sz w:val="24"/>
                <w:szCs w:val="24"/>
              </w:rPr>
              <w:t xml:space="preserve">SEPA </w:t>
            </w:r>
            <w:r w:rsidR="00DF7283" w:rsidRPr="00551308">
              <w:rPr>
                <w:rFonts w:asciiTheme="minorHAnsi" w:hAnsiTheme="minorHAnsi" w:cstheme="minorHAnsi"/>
                <w:sz w:val="24"/>
                <w:szCs w:val="24"/>
              </w:rPr>
              <w:t>Guidance on Revoking Authorisations and Cancelling Registrations Granted under the Radioactive Substances Act 1993 Part 1: Principles and Expectations”</w:t>
            </w:r>
          </w:p>
        </w:tc>
      </w:tr>
      <w:tr w:rsidR="00FB2E97" w:rsidRPr="00410A98" w14:paraId="2C9851D3" w14:textId="77777777" w:rsidTr="004A3153">
        <w:tc>
          <w:tcPr>
            <w:tcW w:w="1413" w:type="dxa"/>
            <w:vAlign w:val="center"/>
          </w:tcPr>
          <w:p w14:paraId="1E7AC143" w14:textId="4D4F52EA" w:rsidR="00FB2E97" w:rsidRPr="00495F46" w:rsidRDefault="00397469"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2</w:t>
            </w:r>
          </w:p>
        </w:tc>
        <w:tc>
          <w:tcPr>
            <w:tcW w:w="1559" w:type="dxa"/>
            <w:vAlign w:val="center"/>
          </w:tcPr>
          <w:p w14:paraId="6654E740" w14:textId="68253B69" w:rsidR="00FB2E97" w:rsidRPr="00495F46" w:rsidRDefault="0097371B"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JAN 2020</w:t>
            </w:r>
          </w:p>
        </w:tc>
        <w:tc>
          <w:tcPr>
            <w:tcW w:w="7240" w:type="dxa"/>
            <w:vAlign w:val="center"/>
          </w:tcPr>
          <w:p w14:paraId="62388021" w14:textId="24C11533" w:rsidR="00FB2E97" w:rsidRPr="00495F46" w:rsidRDefault="0098325F" w:rsidP="004A3153">
            <w:pPr>
              <w:pStyle w:val="BodyText1"/>
              <w:spacing w:before="120" w:after="120"/>
              <w:rPr>
                <w:rFonts w:asciiTheme="minorHAnsi" w:hAnsiTheme="minorHAnsi" w:cstheme="minorHAnsi"/>
                <w:sz w:val="24"/>
                <w:szCs w:val="24"/>
              </w:rPr>
            </w:pPr>
            <w:r>
              <w:rPr>
                <w:rFonts w:asciiTheme="minorHAnsi" w:hAnsiTheme="minorHAnsi" w:cstheme="minorHAnsi"/>
                <w:sz w:val="24"/>
                <w:szCs w:val="24"/>
              </w:rPr>
              <w:t xml:space="preserve">Updates made to reference </w:t>
            </w:r>
            <w:r w:rsidR="007217B0" w:rsidRPr="007217B0">
              <w:rPr>
                <w:rFonts w:asciiTheme="minorHAnsi" w:hAnsiTheme="minorHAnsi" w:cstheme="minorHAnsi"/>
                <w:sz w:val="24"/>
                <w:szCs w:val="24"/>
              </w:rPr>
              <w:t>Environmental Authorisations (Scotland) Regulations 2018</w:t>
            </w:r>
            <w:r w:rsidR="005B550C">
              <w:rPr>
                <w:rFonts w:asciiTheme="minorHAnsi" w:hAnsiTheme="minorHAnsi" w:cstheme="minorHAnsi"/>
                <w:sz w:val="24"/>
                <w:szCs w:val="24"/>
              </w:rPr>
              <w:t xml:space="preserve"> and </w:t>
            </w:r>
            <w:r w:rsidR="005B550C" w:rsidRPr="005B550C">
              <w:rPr>
                <w:rFonts w:asciiTheme="minorHAnsi" w:hAnsiTheme="minorHAnsi" w:cstheme="minorHAnsi"/>
                <w:sz w:val="24"/>
                <w:szCs w:val="24"/>
              </w:rPr>
              <w:t>renamed Principles on Surrendering Permits and Registrations under the Environmental Authorisations (Scotland) Regulations 2018</w:t>
            </w:r>
          </w:p>
        </w:tc>
      </w:tr>
      <w:tr w:rsidR="00FB2E97" w:rsidRPr="00410A98" w14:paraId="1F8C0474" w14:textId="77777777" w:rsidTr="004A3153">
        <w:tc>
          <w:tcPr>
            <w:tcW w:w="1413" w:type="dxa"/>
            <w:vAlign w:val="center"/>
          </w:tcPr>
          <w:p w14:paraId="7C16C0C8" w14:textId="0784CD21" w:rsidR="00FB2E97" w:rsidRPr="00495F46" w:rsidRDefault="00397469" w:rsidP="004A3153">
            <w:pPr>
              <w:pStyle w:val="BodyText1"/>
              <w:spacing w:before="120" w:after="120"/>
              <w:rPr>
                <w:rFonts w:cstheme="minorHAnsi"/>
              </w:rPr>
            </w:pPr>
            <w:r w:rsidRPr="00397469">
              <w:rPr>
                <w:rFonts w:asciiTheme="minorHAnsi" w:hAnsiTheme="minorHAnsi" w:cstheme="minorHAnsi"/>
                <w:sz w:val="24"/>
                <w:szCs w:val="24"/>
              </w:rPr>
              <w:t>3</w:t>
            </w:r>
          </w:p>
        </w:tc>
        <w:tc>
          <w:tcPr>
            <w:tcW w:w="1559" w:type="dxa"/>
            <w:vAlign w:val="center"/>
          </w:tcPr>
          <w:p w14:paraId="0FEEBC4F" w14:textId="228DBD49" w:rsidR="00FB2E97" w:rsidRPr="00495F46" w:rsidRDefault="00D70150" w:rsidP="004A3153">
            <w:pPr>
              <w:pStyle w:val="BodyText1"/>
              <w:spacing w:before="120" w:after="120"/>
              <w:rPr>
                <w:rFonts w:cstheme="minorHAnsi"/>
              </w:rPr>
            </w:pPr>
            <w:r>
              <w:rPr>
                <w:rFonts w:asciiTheme="minorHAnsi" w:hAnsiTheme="minorHAnsi" w:cstheme="minorHAnsi"/>
                <w:sz w:val="24"/>
                <w:szCs w:val="24"/>
              </w:rPr>
              <w:t>FEB</w:t>
            </w:r>
            <w:r w:rsidR="00FB2E97" w:rsidRPr="00495F46">
              <w:rPr>
                <w:rFonts w:asciiTheme="minorHAnsi" w:hAnsiTheme="minorHAnsi" w:cstheme="minorHAnsi"/>
                <w:sz w:val="24"/>
                <w:szCs w:val="24"/>
              </w:rPr>
              <w:t xml:space="preserve"> 202</w:t>
            </w:r>
            <w:r w:rsidR="00FB2E97">
              <w:rPr>
                <w:rFonts w:asciiTheme="minorHAnsi" w:hAnsiTheme="minorHAnsi" w:cstheme="minorHAnsi"/>
                <w:sz w:val="24"/>
                <w:szCs w:val="24"/>
              </w:rPr>
              <w:t>6</w:t>
            </w:r>
          </w:p>
        </w:tc>
        <w:tc>
          <w:tcPr>
            <w:tcW w:w="7240" w:type="dxa"/>
            <w:vAlign w:val="center"/>
          </w:tcPr>
          <w:p w14:paraId="54BADBB8" w14:textId="0E612E29" w:rsidR="00FB2E97" w:rsidRPr="00495F46" w:rsidRDefault="00FB2E97" w:rsidP="004A3153">
            <w:pPr>
              <w:pStyle w:val="BodyText1"/>
              <w:spacing w:before="120" w:after="120"/>
              <w:rPr>
                <w:rFonts w:cstheme="minorHAnsi"/>
              </w:rPr>
            </w:pPr>
            <w:r>
              <w:rPr>
                <w:rFonts w:asciiTheme="minorHAnsi" w:hAnsiTheme="minorHAnsi" w:cstheme="minorHAnsi"/>
                <w:sz w:val="24"/>
                <w:szCs w:val="24"/>
              </w:rPr>
              <w:t>Document re-formatted to meet the current accessibility policy. No text changes were made</w:t>
            </w:r>
            <w:r w:rsidR="00F55404">
              <w:rPr>
                <w:rFonts w:asciiTheme="minorHAnsi" w:hAnsiTheme="minorHAnsi" w:cstheme="minorHAnsi"/>
                <w:sz w:val="24"/>
                <w:szCs w:val="24"/>
              </w:rPr>
              <w:t xml:space="preserve"> </w:t>
            </w:r>
            <w:r w:rsidR="00C25D99">
              <w:rPr>
                <w:rFonts w:asciiTheme="minorHAnsi" w:hAnsiTheme="minorHAnsi" w:cstheme="minorHAnsi"/>
                <w:sz w:val="24"/>
                <w:szCs w:val="24"/>
              </w:rPr>
              <w:t xml:space="preserve">to the content </w:t>
            </w:r>
            <w:r w:rsidR="00F55404">
              <w:rPr>
                <w:rFonts w:asciiTheme="minorHAnsi" w:hAnsiTheme="minorHAnsi" w:cstheme="minorHAnsi"/>
                <w:sz w:val="24"/>
                <w:szCs w:val="24"/>
              </w:rPr>
              <w:t xml:space="preserve">however </w:t>
            </w:r>
            <w:r w:rsidR="00C25D99">
              <w:rPr>
                <w:rFonts w:asciiTheme="minorHAnsi" w:hAnsiTheme="minorHAnsi" w:cstheme="minorHAnsi"/>
                <w:sz w:val="24"/>
                <w:szCs w:val="24"/>
              </w:rPr>
              <w:t xml:space="preserve">the </w:t>
            </w:r>
            <w:r w:rsidR="00F55404">
              <w:rPr>
                <w:rFonts w:asciiTheme="minorHAnsi" w:hAnsiTheme="minorHAnsi" w:cstheme="minorHAnsi"/>
                <w:sz w:val="24"/>
                <w:szCs w:val="24"/>
              </w:rPr>
              <w:t xml:space="preserve">document title was changed </w:t>
            </w:r>
            <w:r w:rsidR="00F55404" w:rsidRPr="00F55404">
              <w:rPr>
                <w:rFonts w:asciiTheme="minorHAnsi" w:hAnsiTheme="minorHAnsi" w:cstheme="minorHAnsi"/>
                <w:sz w:val="24"/>
                <w:szCs w:val="24"/>
              </w:rPr>
              <w:t xml:space="preserve">to </w:t>
            </w:r>
            <w:r w:rsidR="00EF096F" w:rsidRPr="00DE1FE7">
              <w:rPr>
                <w:rFonts w:asciiTheme="minorHAnsi" w:hAnsiTheme="minorHAnsi" w:cstheme="minorHAnsi"/>
                <w:sz w:val="24"/>
                <w:szCs w:val="24"/>
              </w:rPr>
              <w:t xml:space="preserve">Principles on Surrendering Permits and Registrations </w:t>
            </w:r>
            <w:r w:rsidR="00EF096F">
              <w:rPr>
                <w:rFonts w:asciiTheme="minorHAnsi" w:hAnsiTheme="minorHAnsi" w:cstheme="minorHAnsi"/>
                <w:sz w:val="24"/>
                <w:szCs w:val="24"/>
              </w:rPr>
              <w:t>for Radioactive Substances Activities.</w:t>
            </w:r>
          </w:p>
        </w:tc>
      </w:tr>
    </w:tbl>
    <w:p w14:paraId="0C1FCEC2" w14:textId="011BEC65" w:rsidR="00253D36" w:rsidRDefault="00253D36"/>
    <w:p w14:paraId="4AEACCB0" w14:textId="5922D6AA" w:rsidR="004A22EF" w:rsidRDefault="004A22EF" w:rsidP="00EB4A87">
      <w:pPr>
        <w:pStyle w:val="TOC2"/>
        <w:rPr>
          <w:noProof/>
          <w:kern w:val="2"/>
          <w:lang w:eastAsia="en-GB"/>
          <w14:ligatures w14:val="standardContextual"/>
        </w:rPr>
      </w:pPr>
      <w:r>
        <w:rPr>
          <w:rStyle w:val="Hyperlink"/>
          <w:noProof/>
        </w:rPr>
        <w:lastRenderedPageBreak/>
        <w:fldChar w:fldCharType="begin"/>
      </w:r>
      <w:r>
        <w:rPr>
          <w:rStyle w:val="Hyperlink"/>
          <w:noProof/>
        </w:rPr>
        <w:instrText xml:space="preserve"> TOC \o "1-2" \h \z \u </w:instrText>
      </w:r>
      <w:r>
        <w:rPr>
          <w:rStyle w:val="Hyperlink"/>
          <w:noProof/>
        </w:rPr>
        <w:fldChar w:fldCharType="separate"/>
      </w:r>
      <w:hyperlink w:anchor="_Toc223341899" w:history="1">
        <w:r w:rsidRPr="00641609">
          <w:rPr>
            <w:rStyle w:val="Hyperlink"/>
            <w:noProof/>
          </w:rPr>
          <w:t>Introduction</w:t>
        </w:r>
        <w:r>
          <w:rPr>
            <w:noProof/>
            <w:webHidden/>
          </w:rPr>
          <w:tab/>
        </w:r>
        <w:r>
          <w:rPr>
            <w:noProof/>
            <w:webHidden/>
          </w:rPr>
          <w:fldChar w:fldCharType="begin"/>
        </w:r>
        <w:r>
          <w:rPr>
            <w:noProof/>
            <w:webHidden/>
          </w:rPr>
          <w:instrText xml:space="preserve"> PAGEREF _Toc223341899 \h </w:instrText>
        </w:r>
        <w:r>
          <w:rPr>
            <w:noProof/>
            <w:webHidden/>
          </w:rPr>
        </w:r>
        <w:r>
          <w:rPr>
            <w:noProof/>
            <w:webHidden/>
          </w:rPr>
          <w:fldChar w:fldCharType="separate"/>
        </w:r>
        <w:r>
          <w:rPr>
            <w:noProof/>
            <w:webHidden/>
          </w:rPr>
          <w:t>3</w:t>
        </w:r>
        <w:r>
          <w:rPr>
            <w:noProof/>
            <w:webHidden/>
          </w:rPr>
          <w:fldChar w:fldCharType="end"/>
        </w:r>
      </w:hyperlink>
    </w:p>
    <w:p w14:paraId="2CBB4EE2" w14:textId="21CB92ED" w:rsidR="004A22EF" w:rsidRDefault="004A22EF">
      <w:pPr>
        <w:pStyle w:val="TOC1"/>
        <w:tabs>
          <w:tab w:val="right" w:leader="dot" w:pos="10212"/>
        </w:tabs>
        <w:rPr>
          <w:noProof/>
          <w:kern w:val="2"/>
          <w:lang w:eastAsia="en-GB"/>
          <w14:ligatures w14:val="standardContextual"/>
        </w:rPr>
      </w:pPr>
      <w:hyperlink w:anchor="_Toc223341900" w:history="1">
        <w:r w:rsidRPr="00641609">
          <w:rPr>
            <w:rStyle w:val="Hyperlink"/>
            <w:rFonts w:eastAsia="Times New Roman"/>
            <w:noProof/>
          </w:rPr>
          <w:t>Principles for surrender</w:t>
        </w:r>
        <w:r>
          <w:rPr>
            <w:noProof/>
            <w:webHidden/>
          </w:rPr>
          <w:tab/>
        </w:r>
        <w:r>
          <w:rPr>
            <w:noProof/>
            <w:webHidden/>
          </w:rPr>
          <w:fldChar w:fldCharType="begin"/>
        </w:r>
        <w:r>
          <w:rPr>
            <w:noProof/>
            <w:webHidden/>
          </w:rPr>
          <w:instrText xml:space="preserve"> PAGEREF _Toc223341900 \h </w:instrText>
        </w:r>
        <w:r>
          <w:rPr>
            <w:noProof/>
            <w:webHidden/>
          </w:rPr>
        </w:r>
        <w:r>
          <w:rPr>
            <w:noProof/>
            <w:webHidden/>
          </w:rPr>
          <w:fldChar w:fldCharType="separate"/>
        </w:r>
        <w:r>
          <w:rPr>
            <w:noProof/>
            <w:webHidden/>
          </w:rPr>
          <w:t>3</w:t>
        </w:r>
        <w:r>
          <w:rPr>
            <w:noProof/>
            <w:webHidden/>
          </w:rPr>
          <w:fldChar w:fldCharType="end"/>
        </w:r>
      </w:hyperlink>
    </w:p>
    <w:p w14:paraId="28CE10DD" w14:textId="67AC7C56" w:rsidR="004A22EF" w:rsidRDefault="004A22EF" w:rsidP="00EB4A87">
      <w:pPr>
        <w:pStyle w:val="TOC2"/>
        <w:rPr>
          <w:noProof/>
          <w:kern w:val="2"/>
          <w:lang w:eastAsia="en-GB"/>
          <w14:ligatures w14:val="standardContextual"/>
        </w:rPr>
      </w:pPr>
      <w:hyperlink w:anchor="_Toc223341901" w:history="1">
        <w:r w:rsidRPr="00641609">
          <w:rPr>
            <w:rStyle w:val="Hyperlink"/>
            <w:noProof/>
          </w:rPr>
          <w:t>Principle 1: Optimisation</w:t>
        </w:r>
        <w:r>
          <w:rPr>
            <w:noProof/>
            <w:webHidden/>
          </w:rPr>
          <w:tab/>
        </w:r>
        <w:r>
          <w:rPr>
            <w:noProof/>
            <w:webHidden/>
          </w:rPr>
          <w:fldChar w:fldCharType="begin"/>
        </w:r>
        <w:r>
          <w:rPr>
            <w:noProof/>
            <w:webHidden/>
          </w:rPr>
          <w:instrText xml:space="preserve"> PAGEREF _Toc223341901 \h </w:instrText>
        </w:r>
        <w:r>
          <w:rPr>
            <w:noProof/>
            <w:webHidden/>
          </w:rPr>
        </w:r>
        <w:r>
          <w:rPr>
            <w:noProof/>
            <w:webHidden/>
          </w:rPr>
          <w:fldChar w:fldCharType="separate"/>
        </w:r>
        <w:r>
          <w:rPr>
            <w:noProof/>
            <w:webHidden/>
          </w:rPr>
          <w:t>3</w:t>
        </w:r>
        <w:r>
          <w:rPr>
            <w:noProof/>
            <w:webHidden/>
          </w:rPr>
          <w:fldChar w:fldCharType="end"/>
        </w:r>
      </w:hyperlink>
    </w:p>
    <w:p w14:paraId="0469C32F" w14:textId="0AF4B3D3" w:rsidR="004A22EF" w:rsidRDefault="004A22EF" w:rsidP="00EB4A87">
      <w:pPr>
        <w:pStyle w:val="TOC2"/>
        <w:rPr>
          <w:noProof/>
          <w:kern w:val="2"/>
          <w:lang w:eastAsia="en-GB"/>
          <w14:ligatures w14:val="standardContextual"/>
        </w:rPr>
      </w:pPr>
      <w:hyperlink w:anchor="_Toc223341902" w:history="1">
        <w:r w:rsidRPr="00641609">
          <w:rPr>
            <w:rStyle w:val="Hyperlink"/>
            <w:noProof/>
          </w:rPr>
          <w:t>Principle 2: Level of protection against radiological hazards</w:t>
        </w:r>
        <w:r>
          <w:rPr>
            <w:noProof/>
            <w:webHidden/>
          </w:rPr>
          <w:tab/>
        </w:r>
        <w:r>
          <w:rPr>
            <w:noProof/>
            <w:webHidden/>
          </w:rPr>
          <w:fldChar w:fldCharType="begin"/>
        </w:r>
        <w:r>
          <w:rPr>
            <w:noProof/>
            <w:webHidden/>
          </w:rPr>
          <w:instrText xml:space="preserve"> PAGEREF _Toc223341902 \h </w:instrText>
        </w:r>
        <w:r>
          <w:rPr>
            <w:noProof/>
            <w:webHidden/>
          </w:rPr>
        </w:r>
        <w:r>
          <w:rPr>
            <w:noProof/>
            <w:webHidden/>
          </w:rPr>
          <w:fldChar w:fldCharType="separate"/>
        </w:r>
        <w:r>
          <w:rPr>
            <w:noProof/>
            <w:webHidden/>
          </w:rPr>
          <w:t>3</w:t>
        </w:r>
        <w:r>
          <w:rPr>
            <w:noProof/>
            <w:webHidden/>
          </w:rPr>
          <w:fldChar w:fldCharType="end"/>
        </w:r>
      </w:hyperlink>
    </w:p>
    <w:p w14:paraId="68718DD5" w14:textId="5FB8A079" w:rsidR="004A22EF" w:rsidRDefault="004A22EF" w:rsidP="00EB4A87">
      <w:pPr>
        <w:pStyle w:val="TOC2"/>
        <w:rPr>
          <w:noProof/>
          <w:kern w:val="2"/>
          <w:lang w:eastAsia="en-GB"/>
          <w14:ligatures w14:val="standardContextual"/>
        </w:rPr>
      </w:pPr>
      <w:hyperlink w:anchor="_Toc223341903" w:history="1">
        <w:r w:rsidRPr="00641609">
          <w:rPr>
            <w:rStyle w:val="Hyperlink"/>
            <w:noProof/>
          </w:rPr>
          <w:t>Principle 3: Level of protection against non-radiological hazards</w:t>
        </w:r>
        <w:r>
          <w:rPr>
            <w:noProof/>
            <w:webHidden/>
          </w:rPr>
          <w:tab/>
        </w:r>
        <w:r>
          <w:rPr>
            <w:noProof/>
            <w:webHidden/>
          </w:rPr>
          <w:fldChar w:fldCharType="begin"/>
        </w:r>
        <w:r>
          <w:rPr>
            <w:noProof/>
            <w:webHidden/>
          </w:rPr>
          <w:instrText xml:space="preserve"> PAGEREF _Toc223341903 \h </w:instrText>
        </w:r>
        <w:r>
          <w:rPr>
            <w:noProof/>
            <w:webHidden/>
          </w:rPr>
        </w:r>
        <w:r>
          <w:rPr>
            <w:noProof/>
            <w:webHidden/>
          </w:rPr>
          <w:fldChar w:fldCharType="separate"/>
        </w:r>
        <w:r>
          <w:rPr>
            <w:noProof/>
            <w:webHidden/>
          </w:rPr>
          <w:t>4</w:t>
        </w:r>
        <w:r>
          <w:rPr>
            <w:noProof/>
            <w:webHidden/>
          </w:rPr>
          <w:fldChar w:fldCharType="end"/>
        </w:r>
      </w:hyperlink>
    </w:p>
    <w:p w14:paraId="675B0137" w14:textId="69F15729" w:rsidR="004A22EF" w:rsidRDefault="004A22EF" w:rsidP="00EB4A87">
      <w:pPr>
        <w:pStyle w:val="TOC2"/>
        <w:rPr>
          <w:noProof/>
          <w:kern w:val="2"/>
          <w:lang w:eastAsia="en-GB"/>
          <w14:ligatures w14:val="standardContextual"/>
        </w:rPr>
      </w:pPr>
      <w:hyperlink w:anchor="_Toc223341904" w:history="1">
        <w:r w:rsidRPr="00641609">
          <w:rPr>
            <w:rStyle w:val="Hyperlink"/>
            <w:noProof/>
          </w:rPr>
          <w:t>Principle 4: Use of SEPA’s pollution control powers</w:t>
        </w:r>
        <w:r>
          <w:rPr>
            <w:noProof/>
            <w:webHidden/>
          </w:rPr>
          <w:tab/>
        </w:r>
        <w:r>
          <w:rPr>
            <w:noProof/>
            <w:webHidden/>
          </w:rPr>
          <w:fldChar w:fldCharType="begin"/>
        </w:r>
        <w:r>
          <w:rPr>
            <w:noProof/>
            <w:webHidden/>
          </w:rPr>
          <w:instrText xml:space="preserve"> PAGEREF _Toc223341904 \h </w:instrText>
        </w:r>
        <w:r>
          <w:rPr>
            <w:noProof/>
            <w:webHidden/>
          </w:rPr>
        </w:r>
        <w:r>
          <w:rPr>
            <w:noProof/>
            <w:webHidden/>
          </w:rPr>
          <w:fldChar w:fldCharType="separate"/>
        </w:r>
        <w:r>
          <w:rPr>
            <w:noProof/>
            <w:webHidden/>
          </w:rPr>
          <w:t>4</w:t>
        </w:r>
        <w:r>
          <w:rPr>
            <w:noProof/>
            <w:webHidden/>
          </w:rPr>
          <w:fldChar w:fldCharType="end"/>
        </w:r>
      </w:hyperlink>
    </w:p>
    <w:p w14:paraId="294A76D8" w14:textId="0A2A9410" w:rsidR="004A22EF" w:rsidRDefault="004A22EF" w:rsidP="00EB4A87">
      <w:pPr>
        <w:pStyle w:val="TOC2"/>
        <w:rPr>
          <w:noProof/>
          <w:kern w:val="2"/>
          <w:lang w:eastAsia="en-GB"/>
          <w14:ligatures w14:val="standardContextual"/>
        </w:rPr>
      </w:pPr>
      <w:hyperlink w:anchor="_Toc223341905" w:history="1">
        <w:r w:rsidRPr="00641609">
          <w:rPr>
            <w:rStyle w:val="Hyperlink"/>
            <w:noProof/>
          </w:rPr>
          <w:t>Principle 5: No Burden on future generations</w:t>
        </w:r>
        <w:r>
          <w:rPr>
            <w:noProof/>
            <w:webHidden/>
          </w:rPr>
          <w:tab/>
        </w:r>
        <w:r>
          <w:rPr>
            <w:noProof/>
            <w:webHidden/>
          </w:rPr>
          <w:fldChar w:fldCharType="begin"/>
        </w:r>
        <w:r>
          <w:rPr>
            <w:noProof/>
            <w:webHidden/>
          </w:rPr>
          <w:instrText xml:space="preserve"> PAGEREF _Toc223341905 \h </w:instrText>
        </w:r>
        <w:r>
          <w:rPr>
            <w:noProof/>
            <w:webHidden/>
          </w:rPr>
        </w:r>
        <w:r>
          <w:rPr>
            <w:noProof/>
            <w:webHidden/>
          </w:rPr>
          <w:fldChar w:fldCharType="separate"/>
        </w:r>
        <w:r>
          <w:rPr>
            <w:noProof/>
            <w:webHidden/>
          </w:rPr>
          <w:t>4</w:t>
        </w:r>
        <w:r>
          <w:rPr>
            <w:noProof/>
            <w:webHidden/>
          </w:rPr>
          <w:fldChar w:fldCharType="end"/>
        </w:r>
      </w:hyperlink>
    </w:p>
    <w:p w14:paraId="28BE0A79" w14:textId="05CAFCBD" w:rsidR="004A22EF" w:rsidRDefault="004A22EF">
      <w:pPr>
        <w:pStyle w:val="TOC1"/>
        <w:tabs>
          <w:tab w:val="right" w:leader="dot" w:pos="10212"/>
        </w:tabs>
        <w:rPr>
          <w:noProof/>
          <w:kern w:val="2"/>
          <w:lang w:eastAsia="en-GB"/>
          <w14:ligatures w14:val="standardContextual"/>
        </w:rPr>
      </w:pPr>
      <w:hyperlink w:anchor="_Toc223341906" w:history="1">
        <w:r w:rsidRPr="00641609">
          <w:rPr>
            <w:rStyle w:val="Hyperlink"/>
            <w:noProof/>
          </w:rPr>
          <w:t>Satisfactory state</w:t>
        </w:r>
        <w:r>
          <w:rPr>
            <w:noProof/>
            <w:webHidden/>
          </w:rPr>
          <w:tab/>
        </w:r>
        <w:r>
          <w:rPr>
            <w:noProof/>
            <w:webHidden/>
          </w:rPr>
          <w:fldChar w:fldCharType="begin"/>
        </w:r>
        <w:r>
          <w:rPr>
            <w:noProof/>
            <w:webHidden/>
          </w:rPr>
          <w:instrText xml:space="preserve"> PAGEREF _Toc223341906 \h </w:instrText>
        </w:r>
        <w:r>
          <w:rPr>
            <w:noProof/>
            <w:webHidden/>
          </w:rPr>
        </w:r>
        <w:r>
          <w:rPr>
            <w:noProof/>
            <w:webHidden/>
          </w:rPr>
          <w:fldChar w:fldCharType="separate"/>
        </w:r>
        <w:r>
          <w:rPr>
            <w:noProof/>
            <w:webHidden/>
          </w:rPr>
          <w:t>4</w:t>
        </w:r>
        <w:r>
          <w:rPr>
            <w:noProof/>
            <w:webHidden/>
          </w:rPr>
          <w:fldChar w:fldCharType="end"/>
        </w:r>
      </w:hyperlink>
    </w:p>
    <w:p w14:paraId="1DA47ACF" w14:textId="7A85CEB0" w:rsidR="004A22EF" w:rsidRDefault="004A22EF">
      <w:pPr>
        <w:pStyle w:val="TOC1"/>
        <w:tabs>
          <w:tab w:val="right" w:leader="dot" w:pos="10212"/>
        </w:tabs>
        <w:rPr>
          <w:noProof/>
          <w:kern w:val="2"/>
          <w:lang w:eastAsia="en-GB"/>
          <w14:ligatures w14:val="standardContextual"/>
        </w:rPr>
      </w:pPr>
      <w:hyperlink w:anchor="_Toc223341907" w:history="1">
        <w:r w:rsidRPr="00641609">
          <w:rPr>
            <w:rStyle w:val="Hyperlink"/>
            <w:noProof/>
          </w:rPr>
          <w:t>Engagement</w:t>
        </w:r>
        <w:r>
          <w:rPr>
            <w:noProof/>
            <w:webHidden/>
          </w:rPr>
          <w:tab/>
        </w:r>
        <w:r>
          <w:rPr>
            <w:noProof/>
            <w:webHidden/>
          </w:rPr>
          <w:fldChar w:fldCharType="begin"/>
        </w:r>
        <w:r>
          <w:rPr>
            <w:noProof/>
            <w:webHidden/>
          </w:rPr>
          <w:instrText xml:space="preserve"> PAGEREF _Toc223341907 \h </w:instrText>
        </w:r>
        <w:r>
          <w:rPr>
            <w:noProof/>
            <w:webHidden/>
          </w:rPr>
        </w:r>
        <w:r>
          <w:rPr>
            <w:noProof/>
            <w:webHidden/>
          </w:rPr>
          <w:fldChar w:fldCharType="separate"/>
        </w:r>
        <w:r>
          <w:rPr>
            <w:noProof/>
            <w:webHidden/>
          </w:rPr>
          <w:t>5</w:t>
        </w:r>
        <w:r>
          <w:rPr>
            <w:noProof/>
            <w:webHidden/>
          </w:rPr>
          <w:fldChar w:fldCharType="end"/>
        </w:r>
      </w:hyperlink>
    </w:p>
    <w:p w14:paraId="0D46F43A" w14:textId="5D55D8A4" w:rsidR="00776568" w:rsidRDefault="004A22EF" w:rsidP="00EF096F">
      <w:pPr>
        <w:pStyle w:val="TOC1"/>
        <w:tabs>
          <w:tab w:val="right" w:leader="dot" w:pos="10212"/>
        </w:tabs>
        <w:rPr>
          <w:rFonts w:asciiTheme="majorHAnsi" w:eastAsiaTheme="majorEastAsia" w:hAnsiTheme="majorHAnsi" w:cstheme="majorBidi"/>
          <w:b/>
          <w:bCs/>
          <w:color w:val="016574" w:themeColor="accent2"/>
          <w:sz w:val="40"/>
          <w:szCs w:val="40"/>
        </w:rPr>
      </w:pPr>
      <w:r>
        <w:rPr>
          <w:rStyle w:val="Hyperlink"/>
          <w:noProof/>
        </w:rPr>
        <w:fldChar w:fldCharType="end"/>
      </w:r>
      <w:r w:rsidR="00776568">
        <w:br w:type="page"/>
      </w:r>
    </w:p>
    <w:p w14:paraId="0DA1EA18" w14:textId="75C77C18" w:rsidR="00AE1DFE" w:rsidRPr="00836BC4" w:rsidRDefault="006C04DF" w:rsidP="00836BC4">
      <w:pPr>
        <w:pStyle w:val="Heading1"/>
      </w:pPr>
      <w:bookmarkStart w:id="4" w:name="_Toc221261622"/>
      <w:bookmarkStart w:id="5" w:name="_Toc221617561"/>
      <w:bookmarkStart w:id="6" w:name="_Toc223341899"/>
      <w:r w:rsidRPr="006C04DF">
        <w:lastRenderedPageBreak/>
        <w:t>Introduction</w:t>
      </w:r>
      <w:bookmarkEnd w:id="4"/>
      <w:bookmarkEnd w:id="5"/>
      <w:bookmarkEnd w:id="6"/>
    </w:p>
    <w:p w14:paraId="50936011" w14:textId="51DA7808" w:rsidR="00A63138" w:rsidRPr="0077643F" w:rsidRDefault="0077643F" w:rsidP="00564670">
      <w:pPr>
        <w:pStyle w:val="BodyText1"/>
      </w:pPr>
      <w:r w:rsidRPr="0077643F">
        <w:t>SEPA has produced these principles for surrendering permits and registrations under the Environmental Authorisations (Scotland) Regulations 2018 (EASR). We will refer to permits and registrations throughout as authorisations. These principles do not include revocation or the surrender of a notification under EASR and will be reviewed by January 2021.</w:t>
      </w:r>
    </w:p>
    <w:p w14:paraId="6B992B07" w14:textId="381D8E26" w:rsidR="00A63138" w:rsidRPr="0077643F" w:rsidRDefault="0077643F" w:rsidP="00564670">
      <w:pPr>
        <w:pStyle w:val="BodyText1"/>
      </w:pPr>
      <w:r w:rsidRPr="0077643F">
        <w:t>EASR requires a person who carries on a radioactive substances activity to be authorised. An authorised person may apply to SEPA to surrender their authorisation in whole or in part when they no longer wish to carry on the radioactive substances activity or want to reduce the authorised activities or geographic extent of an authorisation.</w:t>
      </w:r>
    </w:p>
    <w:p w14:paraId="352043E8" w14:textId="5572E0BE" w:rsidR="00A63138" w:rsidRDefault="0077643F" w:rsidP="00564670">
      <w:pPr>
        <w:pStyle w:val="BodyText1"/>
      </w:pPr>
      <w:r w:rsidRPr="0077643F">
        <w:t>EASR specifies requirements that we must consider before an authorisation can be surrendered. We must consider the impact on the environment, environmental harm and restoration of the environment following cessation of the regulated activity. We can grant or refuse an application for surrender.</w:t>
      </w:r>
    </w:p>
    <w:p w14:paraId="789D87DC" w14:textId="02ACD9B1" w:rsidR="00AE1DFE" w:rsidRPr="00AE1DFE" w:rsidRDefault="005D0C1E" w:rsidP="00650B15">
      <w:pPr>
        <w:pStyle w:val="Heading1"/>
        <w:rPr>
          <w:rFonts w:eastAsia="Times New Roman"/>
        </w:rPr>
      </w:pPr>
      <w:bookmarkStart w:id="7" w:name="_Toc221261623"/>
      <w:bookmarkStart w:id="8" w:name="_Toc221617562"/>
      <w:bookmarkStart w:id="9" w:name="_Toc223341900"/>
      <w:r w:rsidRPr="005D0C1E">
        <w:rPr>
          <w:rFonts w:eastAsia="Times New Roman"/>
        </w:rPr>
        <w:t>Principles for surrender</w:t>
      </w:r>
      <w:bookmarkEnd w:id="7"/>
      <w:bookmarkEnd w:id="8"/>
      <w:bookmarkEnd w:id="9"/>
    </w:p>
    <w:p w14:paraId="342D0937" w14:textId="77777777" w:rsidR="008056A7" w:rsidRPr="008056A7" w:rsidRDefault="008056A7" w:rsidP="00D73B94">
      <w:pPr>
        <w:pStyle w:val="BodyText1"/>
        <w:rPr>
          <w:rFonts w:eastAsia="Times New Roman"/>
        </w:rPr>
      </w:pPr>
      <w:r w:rsidRPr="008056A7">
        <w:rPr>
          <w:rFonts w:eastAsia="Times New Roman"/>
        </w:rPr>
        <w:t xml:space="preserve">There are </w:t>
      </w:r>
      <w:proofErr w:type="gramStart"/>
      <w:r w:rsidRPr="008056A7">
        <w:rPr>
          <w:rFonts w:eastAsia="Times New Roman"/>
        </w:rPr>
        <w:t>a number of</w:t>
      </w:r>
      <w:proofErr w:type="gramEnd"/>
      <w:r w:rsidRPr="008056A7">
        <w:rPr>
          <w:rFonts w:eastAsia="Times New Roman"/>
        </w:rPr>
        <w:t xml:space="preserve"> regulatory principles outlined below:</w:t>
      </w:r>
    </w:p>
    <w:p w14:paraId="251014BA" w14:textId="485F062B" w:rsidR="00AE1DFE" w:rsidRDefault="00AF3A99" w:rsidP="00AF3A99">
      <w:pPr>
        <w:pStyle w:val="Heading2"/>
      </w:pPr>
      <w:bookmarkStart w:id="10" w:name="_Toc221261624"/>
      <w:bookmarkStart w:id="11" w:name="_Toc221617563"/>
      <w:bookmarkStart w:id="12" w:name="_Toc223341901"/>
      <w:r w:rsidRPr="00AF3A99">
        <w:t>Principle 1: Optimisation</w:t>
      </w:r>
      <w:bookmarkEnd w:id="10"/>
      <w:bookmarkEnd w:id="11"/>
      <w:bookmarkEnd w:id="12"/>
    </w:p>
    <w:p w14:paraId="4983FBDB" w14:textId="77777777" w:rsidR="006A1340" w:rsidRPr="006A1340" w:rsidRDefault="006A1340" w:rsidP="00D73B94">
      <w:pPr>
        <w:pStyle w:val="BodyText1"/>
      </w:pPr>
      <w:r w:rsidRPr="006A1340">
        <w:t xml:space="preserve">The radiological risks arising </w:t>
      </w:r>
      <w:proofErr w:type="gramStart"/>
      <w:r w:rsidRPr="006A1340">
        <w:t>from the authorised place,</w:t>
      </w:r>
      <w:proofErr w:type="gramEnd"/>
      <w:r w:rsidRPr="006A1340">
        <w:t xml:space="preserve"> to individual members of the public and to the </w:t>
      </w:r>
      <w:proofErr w:type="gramStart"/>
      <w:r w:rsidRPr="006A1340">
        <w:t xml:space="preserve">population as a whole, </w:t>
      </w:r>
      <w:r w:rsidRPr="006A1340">
        <w:rPr>
          <w:bCs/>
        </w:rPr>
        <w:t>both</w:t>
      </w:r>
      <w:proofErr w:type="gramEnd"/>
      <w:r w:rsidRPr="006A1340">
        <w:rPr>
          <w:bCs/>
        </w:rPr>
        <w:t xml:space="preserve"> now and in the future, </w:t>
      </w:r>
      <w:r w:rsidRPr="006A1340">
        <w:t>shall be demonstrated to be optimised, taking account of economic and societal factors, the need to manage radiological risks to other living organisms and any non-radiological hazards.  This demonstration of optimisation shall apply for all reasonably foreseeable future uses of the authorised place and surrounding land.</w:t>
      </w:r>
    </w:p>
    <w:p w14:paraId="1200928B" w14:textId="300B3802" w:rsidR="006A1340" w:rsidRDefault="005A1197" w:rsidP="005A1197">
      <w:pPr>
        <w:pStyle w:val="Heading2"/>
      </w:pPr>
      <w:bookmarkStart w:id="13" w:name="_Toc221261625"/>
      <w:bookmarkStart w:id="14" w:name="_Toc221617564"/>
      <w:bookmarkStart w:id="15" w:name="_Toc223341902"/>
      <w:r w:rsidRPr="005A1197">
        <w:t>Principle 2: Level of protection against radiological hazards</w:t>
      </w:r>
      <w:bookmarkEnd w:id="13"/>
      <w:bookmarkEnd w:id="14"/>
      <w:bookmarkEnd w:id="15"/>
    </w:p>
    <w:p w14:paraId="406996D1" w14:textId="1287C662" w:rsidR="00861279" w:rsidRDefault="00F8361E" w:rsidP="00D73B94">
      <w:pPr>
        <w:pStyle w:val="BodyText1"/>
      </w:pPr>
      <w:r w:rsidRPr="00F8361E">
        <w:t>The authorised place shall be left in such a condition that the health and interests of people and the integrity of the environment are protected, both now and in the future, against the effects of ionising radiation.  The final condition of the authorised place shall meet the national radiation protection standards that apply at the time surrender is being sought.</w:t>
      </w:r>
    </w:p>
    <w:p w14:paraId="4AD71C73" w14:textId="4FB33948" w:rsidR="00F8361E" w:rsidRPr="00861279" w:rsidRDefault="00172270" w:rsidP="00172270">
      <w:pPr>
        <w:pStyle w:val="Heading2"/>
      </w:pPr>
      <w:bookmarkStart w:id="16" w:name="_Toc221261626"/>
      <w:bookmarkStart w:id="17" w:name="_Toc221617565"/>
      <w:bookmarkStart w:id="18" w:name="_Toc223341903"/>
      <w:r w:rsidRPr="00172270">
        <w:t>Principle 3: Level of protection against non-radiological hazards</w:t>
      </w:r>
      <w:bookmarkEnd w:id="16"/>
      <w:bookmarkEnd w:id="17"/>
      <w:bookmarkEnd w:id="18"/>
    </w:p>
    <w:p w14:paraId="74F7DB3D" w14:textId="7F38B615" w:rsidR="00AE1DFE" w:rsidRDefault="00374E9F" w:rsidP="00D73B94">
      <w:pPr>
        <w:pStyle w:val="BodyText1"/>
      </w:pPr>
      <w:r w:rsidRPr="00374E9F">
        <w:t xml:space="preserve">The authorised place shall be left in such a condition that the health and interests of people and the integrity of the environment are protected, both now and in the future, against the effects of non-radiological hazards and properties associated with any radioactive substances.  The </w:t>
      </w:r>
      <w:r w:rsidRPr="00374E9F">
        <w:lastRenderedPageBreak/>
        <w:t>standards to be applied shall be equivalent to those non-radiological standards that apply at the time surrender is being sought.</w:t>
      </w:r>
    </w:p>
    <w:p w14:paraId="0BE3467D" w14:textId="27A7A077" w:rsidR="00EF28D9" w:rsidRPr="00AE1DFE" w:rsidRDefault="00EF28D9" w:rsidP="00EF28D9">
      <w:pPr>
        <w:pStyle w:val="Heading2"/>
      </w:pPr>
      <w:bookmarkStart w:id="19" w:name="_Toc221261627"/>
      <w:bookmarkStart w:id="20" w:name="_Toc221617566"/>
      <w:bookmarkStart w:id="21" w:name="_Toc223341904"/>
      <w:r w:rsidRPr="00EF28D9">
        <w:t>Principle 4: Use of SEPA’s pollution control powers</w:t>
      </w:r>
      <w:bookmarkEnd w:id="19"/>
      <w:bookmarkEnd w:id="20"/>
      <w:bookmarkEnd w:id="21"/>
    </w:p>
    <w:p w14:paraId="1E156B94" w14:textId="77777777" w:rsidR="000959E7" w:rsidRPr="000959E7" w:rsidRDefault="000959E7" w:rsidP="00D73B94">
      <w:pPr>
        <w:pStyle w:val="BodyText1"/>
      </w:pPr>
      <w:r w:rsidRPr="000959E7">
        <w:t>We will use our pollution control powers to ensure that protection of the public and the environment against both radiological and non-radiological hazards associated with radioactive substances is either regulated or is dealt with appropriately by us.  We will not pass this regulatory responsibility to another organisation.</w:t>
      </w:r>
    </w:p>
    <w:p w14:paraId="54DFECB0" w14:textId="2B313F7F" w:rsidR="00804436" w:rsidRPr="00AE1DFE" w:rsidRDefault="00804436" w:rsidP="00804436">
      <w:pPr>
        <w:pStyle w:val="Heading2"/>
      </w:pPr>
      <w:bookmarkStart w:id="22" w:name="_Toc221261628"/>
      <w:bookmarkStart w:id="23" w:name="_Toc221617567"/>
      <w:bookmarkStart w:id="24" w:name="_Toc223341905"/>
      <w:r w:rsidRPr="00804436">
        <w:t>Principle 5: No Burden on future generations</w:t>
      </w:r>
      <w:bookmarkEnd w:id="22"/>
      <w:bookmarkEnd w:id="23"/>
      <w:bookmarkEnd w:id="24"/>
    </w:p>
    <w:p w14:paraId="51520DCE" w14:textId="77777777" w:rsidR="00491542" w:rsidRPr="00491542" w:rsidRDefault="00491542" w:rsidP="00850466">
      <w:pPr>
        <w:pStyle w:val="BodyText1"/>
      </w:pPr>
      <w:r w:rsidRPr="00491542">
        <w:t>The authorised place shall be left in such a condition that, for all reasonably foreseeable scenarios, there is no reliance on future human action to protect the public and the environment from any radiological or non-radiological hazards remaining on the authorised place.</w:t>
      </w:r>
    </w:p>
    <w:p w14:paraId="16D67E34" w14:textId="05B8FDDA" w:rsidR="00491542" w:rsidRPr="00AE1DFE" w:rsidRDefault="00C72CC4" w:rsidP="00C72CC4">
      <w:pPr>
        <w:pStyle w:val="Heading1"/>
      </w:pPr>
      <w:bookmarkStart w:id="25" w:name="_Toc221261629"/>
      <w:bookmarkStart w:id="26" w:name="_Toc221617568"/>
      <w:bookmarkStart w:id="27" w:name="_Toc223341906"/>
      <w:r w:rsidRPr="00C72CC4">
        <w:t>Satisfactory state</w:t>
      </w:r>
      <w:bookmarkEnd w:id="25"/>
      <w:bookmarkEnd w:id="26"/>
      <w:bookmarkEnd w:id="27"/>
    </w:p>
    <w:p w14:paraId="4B4A42A2" w14:textId="7FB15AB8" w:rsidR="00E86A4E" w:rsidRPr="00E86A4E" w:rsidRDefault="00E86A4E" w:rsidP="00850466">
      <w:pPr>
        <w:pStyle w:val="BodyText1"/>
        <w:rPr>
          <w:rFonts w:eastAsiaTheme="majorEastAsia"/>
        </w:rPr>
      </w:pPr>
      <w:r w:rsidRPr="00E86A4E">
        <w:rPr>
          <w:rFonts w:eastAsiaTheme="majorEastAsia"/>
        </w:rPr>
        <w:t>We expect the authorised person to return the authorised place to a satisfactory state as soon as is reasonably practicable after ceasing to carry on the authorised activity. EASR schedule 1 paragraph 14 (b) (iii) requires the authorised person to return the authorised place to a satisfactory state prior to surrender. EASR schedule 1 paragraph 17 provides interpretation of a satisfactory state. The “test” whether an authorised place has been returned to a satisfactory state will be applied to ensure that, following surrender or partial surrender, further radioactive substances regulation by us will not be required unless conditions are applied in a surrender notice. The surrender test does not apply where the current authorisation is being transferred.</w:t>
      </w:r>
    </w:p>
    <w:p w14:paraId="21DA7F2F" w14:textId="5C9A0262" w:rsidR="00E86A4E" w:rsidRDefault="00E86A4E" w:rsidP="00850466">
      <w:pPr>
        <w:pStyle w:val="BodyText1"/>
        <w:rPr>
          <w:rFonts w:eastAsiaTheme="majorEastAsia"/>
        </w:rPr>
      </w:pPr>
      <w:r w:rsidRPr="00E86A4E">
        <w:rPr>
          <w:rFonts w:eastAsiaTheme="majorEastAsia"/>
        </w:rPr>
        <w:t xml:space="preserve">For non-nuclear authorised </w:t>
      </w:r>
      <w:proofErr w:type="gramStart"/>
      <w:r w:rsidRPr="00E86A4E">
        <w:rPr>
          <w:rFonts w:eastAsiaTheme="majorEastAsia"/>
        </w:rPr>
        <w:t>places</w:t>
      </w:r>
      <w:proofErr w:type="gramEnd"/>
      <w:r w:rsidRPr="00E86A4E">
        <w:rPr>
          <w:rFonts w:eastAsiaTheme="majorEastAsia"/>
        </w:rPr>
        <w:t xml:space="preserve"> we have taken return to satisfactory state after surrender to mean meeting those requirements specified in the Guidance on Decommissioning of Non-nuclear Facilities</w:t>
      </w:r>
      <w:r w:rsidR="00BF7A08">
        <w:rPr>
          <w:rFonts w:eastAsiaTheme="majorEastAsia"/>
        </w:rPr>
        <w:t xml:space="preserve"> (which can be found on SEPA’s website)</w:t>
      </w:r>
      <w:r w:rsidRPr="00E86A4E">
        <w:rPr>
          <w:rFonts w:eastAsiaTheme="majorEastAsia"/>
        </w:rPr>
        <w:t>. For nuclear authorised places we have taken return to satisfactory state after surrender to mean meeting the requirements specified in the Guidance on the Requirements for Release from Radioactive Substances Regulation (GRR)</w:t>
      </w:r>
      <w:r w:rsidR="00D50B5C">
        <w:rPr>
          <w:rFonts w:eastAsiaTheme="majorEastAsia"/>
        </w:rPr>
        <w:t xml:space="preserve"> (which can be found on SEPA’s website)</w:t>
      </w:r>
      <w:r w:rsidRPr="00E86A4E">
        <w:rPr>
          <w:rFonts w:eastAsiaTheme="majorEastAsia"/>
        </w:rPr>
        <w:t>.</w:t>
      </w:r>
    </w:p>
    <w:p w14:paraId="62747F4D" w14:textId="564DF1CF" w:rsidR="006243FF" w:rsidRDefault="00E86A4E" w:rsidP="00850466">
      <w:pPr>
        <w:pStyle w:val="BodyText1"/>
        <w:rPr>
          <w:rFonts w:eastAsiaTheme="majorEastAsia"/>
        </w:rPr>
      </w:pPr>
      <w:r w:rsidRPr="00E86A4E">
        <w:rPr>
          <w:rFonts w:eastAsiaTheme="majorEastAsia"/>
        </w:rPr>
        <w:t xml:space="preserve">When determining an application for surrender, we will consider the radiological and/or non-radiological hazards associated with the whole of the authorised place, not solely with individual contaminated structures or areas.  We will also </w:t>
      </w:r>
      <w:proofErr w:type="gramStart"/>
      <w:r w:rsidRPr="00E86A4E">
        <w:rPr>
          <w:rFonts w:eastAsiaTheme="majorEastAsia"/>
        </w:rPr>
        <w:t>take into account</w:t>
      </w:r>
      <w:proofErr w:type="gramEnd"/>
      <w:r w:rsidRPr="00E86A4E">
        <w:rPr>
          <w:rFonts w:eastAsiaTheme="majorEastAsia"/>
        </w:rPr>
        <w:t xml:space="preserve"> the condition of the land and groundwater beyond the boundary of an authorised place where radiological and/or non-</w:t>
      </w:r>
      <w:r w:rsidRPr="00E86A4E">
        <w:rPr>
          <w:rFonts w:eastAsiaTheme="majorEastAsia"/>
        </w:rPr>
        <w:lastRenderedPageBreak/>
        <w:t>radiological hazards have arisen from the authorised activities that were carried on at the authorised place.</w:t>
      </w:r>
    </w:p>
    <w:p w14:paraId="79870D5E" w14:textId="69C9DED6" w:rsidR="00E86A4E" w:rsidRDefault="007B2E20" w:rsidP="000B526D">
      <w:pPr>
        <w:pStyle w:val="Heading1"/>
      </w:pPr>
      <w:bookmarkStart w:id="28" w:name="_Toc29381735"/>
      <w:bookmarkStart w:id="29" w:name="_Toc221261630"/>
      <w:bookmarkStart w:id="30" w:name="_Toc221617569"/>
      <w:bookmarkStart w:id="31" w:name="_Toc223341907"/>
      <w:r w:rsidRPr="007B2E20">
        <w:t>Engagement</w:t>
      </w:r>
      <w:bookmarkEnd w:id="28"/>
      <w:bookmarkEnd w:id="29"/>
      <w:bookmarkEnd w:id="30"/>
      <w:bookmarkEnd w:id="31"/>
    </w:p>
    <w:p w14:paraId="35258CCF" w14:textId="77777777" w:rsidR="000B526D" w:rsidRDefault="000B526D" w:rsidP="00850466">
      <w:pPr>
        <w:pStyle w:val="BodyText1"/>
        <w:rPr>
          <w:rFonts w:eastAsiaTheme="majorEastAsia"/>
        </w:rPr>
      </w:pPr>
      <w:r w:rsidRPr="000B526D">
        <w:rPr>
          <w:rFonts w:eastAsiaTheme="majorEastAsia"/>
        </w:rPr>
        <w:t xml:space="preserve">We expect that an authorised person will engage early with us, preferably before formulating surrender plans and processes.  Although we cannot pre-determine the outcome of our decisions on any application to surrender an </w:t>
      </w:r>
      <w:proofErr w:type="gramStart"/>
      <w:r w:rsidRPr="000B526D">
        <w:rPr>
          <w:rFonts w:eastAsiaTheme="majorEastAsia"/>
        </w:rPr>
        <w:t>authorisation</w:t>
      </w:r>
      <w:proofErr w:type="gramEnd"/>
      <w:r w:rsidRPr="000B526D">
        <w:rPr>
          <w:rFonts w:eastAsiaTheme="majorEastAsia"/>
        </w:rPr>
        <w:t xml:space="preserve"> we can give advice on environmental matters and regulatory requirements prior to any decisions being made.  We consider early engagement to be best practice, which should ensure sufficient attention is focused on regulatory requirements in the early stages when an authorised person is considering surrender.</w:t>
      </w:r>
    </w:p>
    <w:p w14:paraId="0E6A80BA" w14:textId="12D221DD" w:rsidR="000B526D" w:rsidRPr="008056A7" w:rsidRDefault="000B526D" w:rsidP="00850466">
      <w:pPr>
        <w:pStyle w:val="BodyText1"/>
        <w:rPr>
          <w:rFonts w:eastAsiaTheme="majorEastAsia"/>
        </w:rPr>
      </w:pPr>
      <w:r w:rsidRPr="000B526D">
        <w:rPr>
          <w:rFonts w:eastAsiaTheme="majorEastAsia"/>
        </w:rPr>
        <w:t xml:space="preserve">Where appropriate, we expect an authorised person to have in place open and transparent arrangements for communicating with stakeholders.  These arrangements should form part of the plans for surrender.  In addition, any proposals for radioactive substances to remain on the premises should be clear and transparent and </w:t>
      </w:r>
      <w:proofErr w:type="gramStart"/>
      <w:r w:rsidRPr="000B526D">
        <w:rPr>
          <w:rFonts w:eastAsiaTheme="majorEastAsia"/>
        </w:rPr>
        <w:t>take into account</w:t>
      </w:r>
      <w:proofErr w:type="gramEnd"/>
      <w:r w:rsidRPr="000B526D">
        <w:rPr>
          <w:rFonts w:eastAsiaTheme="majorEastAsia"/>
        </w:rPr>
        <w:t xml:space="preserve"> the views of stakeholders, where appropriate.</w:t>
      </w:r>
    </w:p>
    <w:sectPr w:rsidR="000B526D" w:rsidRPr="008056A7"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4D91" w14:textId="77777777" w:rsidR="00845B47" w:rsidRDefault="00845B47" w:rsidP="00660C79">
      <w:pPr>
        <w:spacing w:line="240" w:lineRule="auto"/>
      </w:pPr>
      <w:r>
        <w:separator/>
      </w:r>
    </w:p>
  </w:endnote>
  <w:endnote w:type="continuationSeparator" w:id="0">
    <w:p w14:paraId="383E7CB2" w14:textId="77777777" w:rsidR="00845B47" w:rsidRDefault="00845B47" w:rsidP="00660C79">
      <w:pPr>
        <w:spacing w:line="240" w:lineRule="auto"/>
      </w:pPr>
      <w:r>
        <w:continuationSeparator/>
      </w:r>
    </w:p>
  </w:endnote>
  <w:endnote w:type="continuationNotice" w:id="1">
    <w:p w14:paraId="261AA39B" w14:textId="77777777" w:rsidR="00845B47" w:rsidRDefault="00845B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148E" w14:textId="74707611" w:rsidR="009C73B7" w:rsidRDefault="000732DB">
    <w:pPr>
      <w:pStyle w:val="Footer"/>
    </w:pPr>
    <w:r>
      <w:rPr>
        <w:noProof/>
      </w:rPr>
      <mc:AlternateContent>
        <mc:Choice Requires="wps">
          <w:drawing>
            <wp:anchor distT="0" distB="0" distL="0" distR="0" simplePos="0" relativeHeight="251668480" behindDoc="0" locked="0" layoutInCell="1" allowOverlap="1" wp14:anchorId="196E6B94" wp14:editId="413DA5B8">
              <wp:simplePos x="635" y="635"/>
              <wp:positionH relativeFrom="page">
                <wp:align>center</wp:align>
              </wp:positionH>
              <wp:positionV relativeFrom="page">
                <wp:align>bottom</wp:align>
              </wp:positionV>
              <wp:extent cx="421005" cy="422910"/>
              <wp:effectExtent l="0" t="0" r="17145" b="0"/>
              <wp:wrapNone/>
              <wp:docPr id="2025922677" name="Text Box 2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9D82E27" w14:textId="756F84A0"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E6B94" id="_x0000_t202" coordsize="21600,21600" o:spt="202" path="m,l,21600r21600,l21600,xe">
              <v:stroke joinstyle="miter"/>
              <v:path gradientshapeok="t" o:connecttype="rect"/>
            </v:shapetype>
            <v:shape id="Text Box 22" o:spid="_x0000_s1029" type="#_x0000_t202" alt="PUBLIC" style="position:absolute;margin-left:0;margin-top:0;width:33.15pt;height:3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79D82E27" w14:textId="756F84A0"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9A07" w14:textId="50523188" w:rsidR="009C73B7" w:rsidRDefault="000732DB">
    <w:pPr>
      <w:pStyle w:val="Footer"/>
    </w:pPr>
    <w:r>
      <w:rPr>
        <w:noProof/>
      </w:rPr>
      <mc:AlternateContent>
        <mc:Choice Requires="wps">
          <w:drawing>
            <wp:anchor distT="0" distB="0" distL="0" distR="0" simplePos="0" relativeHeight="251669504" behindDoc="0" locked="0" layoutInCell="1" allowOverlap="1" wp14:anchorId="7C42FE0D" wp14:editId="42143C5F">
              <wp:simplePos x="635" y="-45085"/>
              <wp:positionH relativeFrom="page">
                <wp:align>center</wp:align>
              </wp:positionH>
              <wp:positionV relativeFrom="page">
                <wp:align>bottom</wp:align>
              </wp:positionV>
              <wp:extent cx="421005" cy="422910"/>
              <wp:effectExtent l="0" t="0" r="17145" b="0"/>
              <wp:wrapNone/>
              <wp:docPr id="82638277" name="Text Box 2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025485C" w14:textId="2155C0FF"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2FE0D" id="_x0000_t202" coordsize="21600,21600" o:spt="202" path="m,l,21600r21600,l21600,xe">
              <v:stroke joinstyle="miter"/>
              <v:path gradientshapeok="t" o:connecttype="rect"/>
            </v:shapetype>
            <v:shape id="Text Box 23" o:spid="_x0000_s1030" type="#_x0000_t202" alt="PUBLIC" style="position:absolute;margin-left:0;margin-top:0;width:33.15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3025485C" w14:textId="2155C0FF"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0559" w14:textId="0970E42F" w:rsidR="009C73B7" w:rsidRDefault="000732DB">
    <w:pPr>
      <w:pStyle w:val="Footer"/>
    </w:pPr>
    <w:r>
      <w:rPr>
        <w:noProof/>
      </w:rPr>
      <mc:AlternateContent>
        <mc:Choice Requires="wps">
          <w:drawing>
            <wp:anchor distT="0" distB="0" distL="0" distR="0" simplePos="0" relativeHeight="251667456" behindDoc="0" locked="0" layoutInCell="1" allowOverlap="1" wp14:anchorId="4AEE8A62" wp14:editId="0A3ECE9D">
              <wp:simplePos x="635" y="634365"/>
              <wp:positionH relativeFrom="page">
                <wp:align>center</wp:align>
              </wp:positionH>
              <wp:positionV relativeFrom="page">
                <wp:align>bottom</wp:align>
              </wp:positionV>
              <wp:extent cx="421005" cy="422910"/>
              <wp:effectExtent l="0" t="0" r="17145" b="0"/>
              <wp:wrapNone/>
              <wp:docPr id="309564083" name="Text Box 2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18FA07F" w14:textId="2E0D1A41"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EE8A62" id="_x0000_t202" coordsize="21600,21600" o:spt="202" path="m,l,21600r21600,l21600,xe">
              <v:stroke joinstyle="miter"/>
              <v:path gradientshapeok="t" o:connecttype="rect"/>
            </v:shapetype>
            <v:shape id="Text Box 21" o:spid="_x0000_s1032" type="#_x0000_t202" alt="PUBLIC" style="position:absolute;margin-left:0;margin-top:0;width:33.15pt;height:33.3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718FA07F" w14:textId="2E0D1A41"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B6D5" w14:textId="77777777" w:rsidR="00845B47" w:rsidRDefault="00845B47" w:rsidP="00660C79">
      <w:pPr>
        <w:spacing w:line="240" w:lineRule="auto"/>
      </w:pPr>
      <w:r>
        <w:separator/>
      </w:r>
    </w:p>
  </w:footnote>
  <w:footnote w:type="continuationSeparator" w:id="0">
    <w:p w14:paraId="770DF570" w14:textId="77777777" w:rsidR="00845B47" w:rsidRDefault="00845B47" w:rsidP="00660C79">
      <w:pPr>
        <w:spacing w:line="240" w:lineRule="auto"/>
      </w:pPr>
      <w:r>
        <w:continuationSeparator/>
      </w:r>
    </w:p>
  </w:footnote>
  <w:footnote w:type="continuationNotice" w:id="1">
    <w:p w14:paraId="70C362E8" w14:textId="77777777" w:rsidR="00845B47" w:rsidRDefault="00845B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EECC" w14:textId="04A0F663" w:rsidR="009C73B7" w:rsidRDefault="000732DB">
    <w:pPr>
      <w:pStyle w:val="Header"/>
    </w:pPr>
    <w:r>
      <w:rPr>
        <w:noProof/>
      </w:rPr>
      <mc:AlternateContent>
        <mc:Choice Requires="wps">
          <w:drawing>
            <wp:anchor distT="0" distB="0" distL="0" distR="0" simplePos="0" relativeHeight="251665408" behindDoc="0" locked="0" layoutInCell="1" allowOverlap="1" wp14:anchorId="2E18D72F" wp14:editId="2DCB9E35">
              <wp:simplePos x="635" y="635"/>
              <wp:positionH relativeFrom="page">
                <wp:align>center</wp:align>
              </wp:positionH>
              <wp:positionV relativeFrom="page">
                <wp:align>top</wp:align>
              </wp:positionV>
              <wp:extent cx="421005" cy="422910"/>
              <wp:effectExtent l="0" t="0" r="17145" b="15240"/>
              <wp:wrapNone/>
              <wp:docPr id="1799162852" name="Text Box 1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2DFEF52" w14:textId="73ED0CCE"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8D72F" id="_x0000_t202" coordsize="21600,21600" o:spt="202" path="m,l,21600r21600,l21600,xe">
              <v:stroke joinstyle="miter"/>
              <v:path gradientshapeok="t" o:connecttype="rect"/>
            </v:shapetype>
            <v:shape id="Text Box 19" o:spid="_x0000_s1027" type="#_x0000_t202" alt="PUBLIC" style="position:absolute;margin-left:0;margin-top:0;width:33.15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52DFEF52" w14:textId="73ED0CCE"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CC4A" w14:textId="31FA7AC1" w:rsidR="009C73B7" w:rsidRDefault="000732DB">
    <w:pPr>
      <w:pStyle w:val="Header"/>
    </w:pPr>
    <w:r>
      <w:rPr>
        <w:noProof/>
      </w:rPr>
      <mc:AlternateContent>
        <mc:Choice Requires="wps">
          <w:drawing>
            <wp:anchor distT="0" distB="0" distL="0" distR="0" simplePos="0" relativeHeight="251666432" behindDoc="0" locked="0" layoutInCell="1" allowOverlap="1" wp14:anchorId="71440F8F" wp14:editId="3A763410">
              <wp:simplePos x="635" y="-45085"/>
              <wp:positionH relativeFrom="page">
                <wp:align>center</wp:align>
              </wp:positionH>
              <wp:positionV relativeFrom="page">
                <wp:align>top</wp:align>
              </wp:positionV>
              <wp:extent cx="421005" cy="422910"/>
              <wp:effectExtent l="0" t="0" r="17145" b="15240"/>
              <wp:wrapNone/>
              <wp:docPr id="620821233" name="Text Box 2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E382BD8" w14:textId="7BF6FC65"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40F8F" id="_x0000_t202" coordsize="21600,21600" o:spt="202" path="m,l,21600r21600,l21600,xe">
              <v:stroke joinstyle="miter"/>
              <v:path gradientshapeok="t" o:connecttype="rect"/>
            </v:shapetype>
            <v:shape id="Text Box 20" o:spid="_x0000_s1028" type="#_x0000_t202" alt="PUBLIC" style="position:absolute;margin-left:0;margin-top:0;width:33.15pt;height:33.3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6E382BD8" w14:textId="7BF6FC65"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1EC6" w14:textId="23875A44" w:rsidR="009C73B7" w:rsidRDefault="000732DB">
    <w:pPr>
      <w:pStyle w:val="Header"/>
    </w:pPr>
    <w:r>
      <w:rPr>
        <w:noProof/>
      </w:rPr>
      <mc:AlternateContent>
        <mc:Choice Requires="wps">
          <w:drawing>
            <wp:anchor distT="0" distB="0" distL="0" distR="0" simplePos="0" relativeHeight="251664384" behindDoc="0" locked="0" layoutInCell="1" allowOverlap="1" wp14:anchorId="1A9EA59E" wp14:editId="6CF973CF">
              <wp:simplePos x="635" y="634365"/>
              <wp:positionH relativeFrom="page">
                <wp:align>center</wp:align>
              </wp:positionH>
              <wp:positionV relativeFrom="page">
                <wp:align>top</wp:align>
              </wp:positionV>
              <wp:extent cx="421005" cy="422910"/>
              <wp:effectExtent l="0" t="0" r="17145" b="15240"/>
              <wp:wrapNone/>
              <wp:docPr id="964540765" name="Text Box 1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033A279" w14:textId="57ECA444"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EA59E"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0033A279" w14:textId="57ECA444" w:rsidR="000732DB" w:rsidRPr="000732DB" w:rsidRDefault="000732DB" w:rsidP="000732DB">
                    <w:pPr>
                      <w:rPr>
                        <w:rFonts w:ascii="Aptos" w:eastAsia="Aptos" w:hAnsi="Aptos" w:cs="Aptos"/>
                        <w:noProof/>
                        <w:color w:val="000000"/>
                        <w:sz w:val="20"/>
                        <w:szCs w:val="20"/>
                      </w:rPr>
                    </w:pPr>
                    <w:r w:rsidRPr="000732DB">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2"/>
  </w:num>
  <w:num w:numId="12" w16cid:durableId="60641277">
    <w:abstractNumId w:val="11"/>
  </w:num>
  <w:num w:numId="13" w16cid:durableId="2002156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80"/>
    <w:rsid w:val="00003BBF"/>
    <w:rsid w:val="00032829"/>
    <w:rsid w:val="00040561"/>
    <w:rsid w:val="00063B1C"/>
    <w:rsid w:val="00070937"/>
    <w:rsid w:val="000732DB"/>
    <w:rsid w:val="00074B84"/>
    <w:rsid w:val="000959E7"/>
    <w:rsid w:val="000B526D"/>
    <w:rsid w:val="000B7559"/>
    <w:rsid w:val="000D24A1"/>
    <w:rsid w:val="000E0D15"/>
    <w:rsid w:val="00105F31"/>
    <w:rsid w:val="001138C7"/>
    <w:rsid w:val="00136355"/>
    <w:rsid w:val="00145965"/>
    <w:rsid w:val="00160A40"/>
    <w:rsid w:val="00172270"/>
    <w:rsid w:val="00197EB1"/>
    <w:rsid w:val="001D1EA9"/>
    <w:rsid w:val="001F5AEE"/>
    <w:rsid w:val="0022688E"/>
    <w:rsid w:val="00231FBA"/>
    <w:rsid w:val="00236552"/>
    <w:rsid w:val="00243BAE"/>
    <w:rsid w:val="0024635F"/>
    <w:rsid w:val="00253D36"/>
    <w:rsid w:val="00281BB1"/>
    <w:rsid w:val="00290883"/>
    <w:rsid w:val="00290B1F"/>
    <w:rsid w:val="0030096D"/>
    <w:rsid w:val="0031708D"/>
    <w:rsid w:val="00317618"/>
    <w:rsid w:val="003276CD"/>
    <w:rsid w:val="00342C55"/>
    <w:rsid w:val="00374E9F"/>
    <w:rsid w:val="00391924"/>
    <w:rsid w:val="00397469"/>
    <w:rsid w:val="003C651E"/>
    <w:rsid w:val="003F0EE8"/>
    <w:rsid w:val="003F5384"/>
    <w:rsid w:val="004073BC"/>
    <w:rsid w:val="00444AA1"/>
    <w:rsid w:val="00491542"/>
    <w:rsid w:val="004A22EF"/>
    <w:rsid w:val="004A2740"/>
    <w:rsid w:val="004A32BF"/>
    <w:rsid w:val="00513DE2"/>
    <w:rsid w:val="0052425B"/>
    <w:rsid w:val="00551308"/>
    <w:rsid w:val="00551989"/>
    <w:rsid w:val="00564670"/>
    <w:rsid w:val="00577E08"/>
    <w:rsid w:val="00594745"/>
    <w:rsid w:val="005947A1"/>
    <w:rsid w:val="005A1197"/>
    <w:rsid w:val="005A355E"/>
    <w:rsid w:val="005B550C"/>
    <w:rsid w:val="005D0C1E"/>
    <w:rsid w:val="005D1213"/>
    <w:rsid w:val="005E3180"/>
    <w:rsid w:val="005E7A9F"/>
    <w:rsid w:val="00610AC2"/>
    <w:rsid w:val="0062156C"/>
    <w:rsid w:val="006243FF"/>
    <w:rsid w:val="00642E2B"/>
    <w:rsid w:val="00650B15"/>
    <w:rsid w:val="00660C79"/>
    <w:rsid w:val="00661033"/>
    <w:rsid w:val="00666271"/>
    <w:rsid w:val="006914C7"/>
    <w:rsid w:val="00692155"/>
    <w:rsid w:val="006A1340"/>
    <w:rsid w:val="006A409A"/>
    <w:rsid w:val="006C04DF"/>
    <w:rsid w:val="006D16CE"/>
    <w:rsid w:val="006E5BFB"/>
    <w:rsid w:val="007217B0"/>
    <w:rsid w:val="007349DD"/>
    <w:rsid w:val="0077643F"/>
    <w:rsid w:val="00776568"/>
    <w:rsid w:val="007A398C"/>
    <w:rsid w:val="007B2E20"/>
    <w:rsid w:val="007C3F12"/>
    <w:rsid w:val="007D441B"/>
    <w:rsid w:val="00801105"/>
    <w:rsid w:val="00804436"/>
    <w:rsid w:val="008054D3"/>
    <w:rsid w:val="008056A7"/>
    <w:rsid w:val="00836BC4"/>
    <w:rsid w:val="00845B47"/>
    <w:rsid w:val="00850466"/>
    <w:rsid w:val="0085646A"/>
    <w:rsid w:val="00861279"/>
    <w:rsid w:val="00861B46"/>
    <w:rsid w:val="0087646A"/>
    <w:rsid w:val="00884755"/>
    <w:rsid w:val="008971B9"/>
    <w:rsid w:val="008C1A73"/>
    <w:rsid w:val="008C7086"/>
    <w:rsid w:val="008D113C"/>
    <w:rsid w:val="008D376F"/>
    <w:rsid w:val="00917BB1"/>
    <w:rsid w:val="00956EAE"/>
    <w:rsid w:val="0097371B"/>
    <w:rsid w:val="00975D21"/>
    <w:rsid w:val="00980531"/>
    <w:rsid w:val="0098325F"/>
    <w:rsid w:val="009A240D"/>
    <w:rsid w:val="009C73B7"/>
    <w:rsid w:val="009F02B0"/>
    <w:rsid w:val="00A25CA5"/>
    <w:rsid w:val="00A63138"/>
    <w:rsid w:val="00A9349C"/>
    <w:rsid w:val="00A95B2B"/>
    <w:rsid w:val="00AD321D"/>
    <w:rsid w:val="00AE0211"/>
    <w:rsid w:val="00AE068C"/>
    <w:rsid w:val="00AE1710"/>
    <w:rsid w:val="00AE1DFE"/>
    <w:rsid w:val="00AF3A99"/>
    <w:rsid w:val="00B11A9D"/>
    <w:rsid w:val="00B33A7E"/>
    <w:rsid w:val="00B46E48"/>
    <w:rsid w:val="00B54CF4"/>
    <w:rsid w:val="00B66FC0"/>
    <w:rsid w:val="00B76E57"/>
    <w:rsid w:val="00B96FF3"/>
    <w:rsid w:val="00BF7A08"/>
    <w:rsid w:val="00C06300"/>
    <w:rsid w:val="00C202D4"/>
    <w:rsid w:val="00C25D99"/>
    <w:rsid w:val="00C3060E"/>
    <w:rsid w:val="00C36069"/>
    <w:rsid w:val="00C47302"/>
    <w:rsid w:val="00C569B9"/>
    <w:rsid w:val="00C72CC4"/>
    <w:rsid w:val="00C82B16"/>
    <w:rsid w:val="00C9352C"/>
    <w:rsid w:val="00CA6D5A"/>
    <w:rsid w:val="00CB21FD"/>
    <w:rsid w:val="00CB613C"/>
    <w:rsid w:val="00CD0362"/>
    <w:rsid w:val="00CD6AC0"/>
    <w:rsid w:val="00CE7AD0"/>
    <w:rsid w:val="00CF7EFB"/>
    <w:rsid w:val="00D0490E"/>
    <w:rsid w:val="00D35448"/>
    <w:rsid w:val="00D40A47"/>
    <w:rsid w:val="00D50B5C"/>
    <w:rsid w:val="00D70150"/>
    <w:rsid w:val="00D73B94"/>
    <w:rsid w:val="00D75CDC"/>
    <w:rsid w:val="00DB1B7E"/>
    <w:rsid w:val="00DC6174"/>
    <w:rsid w:val="00DD29B6"/>
    <w:rsid w:val="00DD5EAC"/>
    <w:rsid w:val="00DE1FE7"/>
    <w:rsid w:val="00DF1E1B"/>
    <w:rsid w:val="00DF7283"/>
    <w:rsid w:val="00E11A56"/>
    <w:rsid w:val="00E278B6"/>
    <w:rsid w:val="00E57388"/>
    <w:rsid w:val="00E67C75"/>
    <w:rsid w:val="00E81A34"/>
    <w:rsid w:val="00E86A4E"/>
    <w:rsid w:val="00EA72BA"/>
    <w:rsid w:val="00EB4A87"/>
    <w:rsid w:val="00EC6077"/>
    <w:rsid w:val="00EC6A73"/>
    <w:rsid w:val="00EE284A"/>
    <w:rsid w:val="00EE54FD"/>
    <w:rsid w:val="00EF096F"/>
    <w:rsid w:val="00EF28D9"/>
    <w:rsid w:val="00EF4160"/>
    <w:rsid w:val="00EF7F00"/>
    <w:rsid w:val="00F0686D"/>
    <w:rsid w:val="00F07048"/>
    <w:rsid w:val="00F55404"/>
    <w:rsid w:val="00F72274"/>
    <w:rsid w:val="00F8361E"/>
    <w:rsid w:val="00FB2E97"/>
    <w:rsid w:val="00FC5177"/>
    <w:rsid w:val="00FC55E2"/>
    <w:rsid w:val="00FF55FB"/>
    <w:rsid w:val="00FF5D5A"/>
    <w:rsid w:val="126F8928"/>
    <w:rsid w:val="1D4436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2F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rsid w:val="00160A40"/>
    <w:pPr>
      <w:spacing w:after="100"/>
    </w:pPr>
  </w:style>
  <w:style w:type="paragraph" w:styleId="TOC2">
    <w:name w:val="toc 2"/>
    <w:basedOn w:val="Normal"/>
    <w:next w:val="Normal"/>
    <w:autoRedefine/>
    <w:uiPriority w:val="39"/>
    <w:unhideWhenUsed/>
    <w:rsid w:val="00EB4A87"/>
    <w:pPr>
      <w:tabs>
        <w:tab w:val="right" w:leader="dot" w:pos="10212"/>
      </w:tabs>
      <w:spacing w:after="100"/>
    </w:pPr>
  </w:style>
  <w:style w:type="table" w:styleId="TableGrid">
    <w:name w:val="Table Grid"/>
    <w:basedOn w:val="TableNormal"/>
    <w:uiPriority w:val="39"/>
    <w:rsid w:val="00FB2E9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3D36"/>
    <w:pPr>
      <w:spacing w:before="240" w:after="0" w:line="259" w:lineRule="auto"/>
      <w:outlineLvl w:val="9"/>
    </w:pPr>
    <w:rPr>
      <w:b w:val="0"/>
      <w:color w:val="004B5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C6F4367-1BC8-4004-BD26-29E285E5825A}">
  <ds:schemaRefs>
    <ds:schemaRef ds:uri="http://schemas.microsoft.com/sharepoint/v3/contenttype/forms"/>
  </ds:schemaRefs>
</ds:datastoreItem>
</file>

<file path=customXml/itemProps3.xml><?xml version="1.0" encoding="utf-8"?>
<ds:datastoreItem xmlns:ds="http://schemas.openxmlformats.org/officeDocument/2006/customXml" ds:itemID="{61C6C3EA-7733-4D75-8662-91C274BCA45A}">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474E4607-EFF6-4CA1-88FE-D4DE698D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Principles on Surrendering Permits and Registrations under EASR</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Surrendering Permits Registrations radioactive subtances activities</dc:title>
  <dc:subject/>
  <dc:creator/>
  <cp:keywords/>
  <dc:description/>
  <cp:lastModifiedBy/>
  <cp:revision>1</cp:revision>
  <dcterms:created xsi:type="dcterms:W3CDTF">2026-03-06T11:50:00Z</dcterms:created>
  <dcterms:modified xsi:type="dcterms:W3CDTF">2026-03-06T12:21:00Z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397db95d,6b3d0be4,2500faf1</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127392b3,78c12075,4ecf5c5</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2026-03-03T17:09:01Z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e6206ed0-7c90-4c84-b445-5a9d24ca34b6</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