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93709864" w:displacedByCustomXml="next"/>
    <w:sdt>
      <w:sdtPr>
        <w:rPr>
          <w:b/>
        </w:rPr>
        <w:id w:val="-191923907"/>
        <w:docPartObj>
          <w:docPartGallery w:val="Cover Pages"/>
          <w:docPartUnique/>
        </w:docPartObj>
      </w:sdtPr>
      <w:sdtEndPr>
        <w:rPr>
          <w:b w:val="0"/>
        </w:rPr>
      </w:sdtEndPr>
      <w:sdtContent>
        <w:p w14:paraId="67CB1A58" w14:textId="77777777" w:rsidR="004073BC" w:rsidRDefault="00F72274" w:rsidP="00C41BFB">
          <w:pPr>
            <w:pStyle w:val="BodyText1"/>
          </w:pPr>
          <w:r>
            <w:rPr>
              <w:noProof/>
            </w:rPr>
            <w:drawing>
              <wp:anchor distT="0" distB="0" distL="114300" distR="114300" simplePos="0" relativeHeight="251658241" behindDoc="1" locked="0" layoutInCell="1" allowOverlap="1" wp14:anchorId="7AEA1936" wp14:editId="01D61B4A">
                <wp:simplePos x="0" y="0"/>
                <wp:positionH relativeFrom="column">
                  <wp:posOffset>-532765</wp:posOffset>
                </wp:positionH>
                <wp:positionV relativeFrom="paragraph">
                  <wp:posOffset>-679450</wp:posOffset>
                </wp:positionV>
                <wp:extent cx="7559645" cy="10837545"/>
                <wp:effectExtent l="0" t="0" r="3810" b="190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45" cy="10837545"/>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0DE1A44D" wp14:editId="2468DD37">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bookmarkEnd w:id="0"/>
        </w:p>
        <w:p w14:paraId="75BE8DF0" w14:textId="77777777" w:rsidR="004073BC" w:rsidRDefault="004073BC" w:rsidP="008C1A73"/>
        <w:p w14:paraId="3BC2BE65" w14:textId="55C040AD" w:rsidR="005A282F" w:rsidRPr="00BF4429" w:rsidRDefault="00281BB1" w:rsidP="00BF4429">
          <w:pPr>
            <w:rPr>
              <w:b/>
              <w:bCs/>
              <w:color w:val="FFFFFF" w:themeColor="background1"/>
              <w:sz w:val="48"/>
              <w:szCs w:val="48"/>
            </w:rPr>
          </w:pPr>
          <w:r w:rsidRPr="00BF4429">
            <w:rPr>
              <w:b/>
              <w:bCs/>
              <w:noProof/>
              <w:color w:val="FFFFFF" w:themeColor="background1"/>
              <w:sz w:val="48"/>
              <w:szCs w:val="48"/>
            </w:rPr>
            <mc:AlternateContent>
              <mc:Choice Requires="wps">
                <w:drawing>
                  <wp:anchor distT="0" distB="0" distL="114300" distR="114300" simplePos="0" relativeHeight="251658240" behindDoc="0" locked="1" layoutInCell="1" allowOverlap="1" wp14:anchorId="65FB5D25" wp14:editId="7AB3DD98">
                    <wp:simplePos x="0" y="0"/>
                    <wp:positionH relativeFrom="column">
                      <wp:posOffset>124460</wp:posOffset>
                    </wp:positionH>
                    <wp:positionV relativeFrom="paragraph">
                      <wp:posOffset>7884795</wp:posOffset>
                    </wp:positionV>
                    <wp:extent cx="4308475" cy="178435"/>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415C7C3F" w14:textId="782BFC93" w:rsidR="00281BB1" w:rsidRPr="009A240D" w:rsidRDefault="00BF4429" w:rsidP="00281BB1">
                                <w:pPr>
                                  <w:pStyle w:val="BodyText1"/>
                                  <w:rPr>
                                    <w:color w:val="FFFFFF" w:themeColor="background1"/>
                                  </w:rPr>
                                </w:pPr>
                                <w:r>
                                  <w:rPr>
                                    <w:color w:val="FFFFFF" w:themeColor="background1"/>
                                  </w:rPr>
                                  <w:t>Version 1.0, August 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FB5D25" id="_x0000_t202" coordsize="21600,21600" o:spt="202" path="m,l,21600r21600,l21600,xe">
                    <v:stroke joinstyle="miter"/>
                    <v:path gradientshapeok="t" o:connecttype="rect"/>
                  </v:shapetype>
                  <v:shape id="Text Box 3" o:spid="_x0000_s1026" type="#_x0000_t202" alt="&quot;&quot;" style="position:absolute;margin-left:9.8pt;margin-top:620.85pt;width:339.25pt;height:1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" filled="f" stroked="f" strokeweight=".5pt">
                    <v:textbox inset="0,0,0,0">
                      <w:txbxContent>
                        <w:p w14:paraId="415C7C3F" w14:textId="782BFC93" w:rsidR="00281BB1" w:rsidRPr="009A240D" w:rsidRDefault="00BF4429" w:rsidP="00281BB1">
                          <w:pPr>
                            <w:pStyle w:val="BodyText1"/>
                            <w:rPr>
                              <w:color w:val="FFFFFF" w:themeColor="background1"/>
                            </w:rPr>
                          </w:pPr>
                          <w:r>
                            <w:rPr>
                              <w:color w:val="FFFFFF" w:themeColor="background1"/>
                            </w:rPr>
                            <w:t>Version 1.0, August 2025</w:t>
                          </w:r>
                        </w:p>
                      </w:txbxContent>
                    </v:textbox>
                    <w10:anchorlock/>
                  </v:shape>
                </w:pict>
              </mc:Fallback>
            </mc:AlternateContent>
          </w:r>
          <w:r w:rsidR="00305780" w:rsidRPr="00BF4429">
            <w:rPr>
              <w:b/>
              <w:bCs/>
              <w:color w:val="FFFFFF" w:themeColor="background1"/>
              <w:sz w:val="48"/>
              <w:szCs w:val="48"/>
            </w:rPr>
            <w:t>WAT-G-</w:t>
          </w:r>
          <w:r w:rsidR="005C4D25" w:rsidRPr="00BF4429">
            <w:rPr>
              <w:b/>
              <w:bCs/>
              <w:color w:val="FFFFFF" w:themeColor="background1"/>
              <w:sz w:val="48"/>
              <w:szCs w:val="48"/>
            </w:rPr>
            <w:t>0</w:t>
          </w:r>
          <w:r w:rsidR="00305780" w:rsidRPr="00BF4429">
            <w:rPr>
              <w:b/>
              <w:bCs/>
              <w:color w:val="FFFFFF" w:themeColor="background1"/>
              <w:sz w:val="48"/>
              <w:szCs w:val="48"/>
            </w:rPr>
            <w:t>4</w:t>
          </w:r>
          <w:r w:rsidR="00B80702" w:rsidRPr="00BF4429">
            <w:rPr>
              <w:b/>
              <w:bCs/>
              <w:color w:val="FFFFFF" w:themeColor="background1"/>
              <w:sz w:val="48"/>
              <w:szCs w:val="48"/>
            </w:rPr>
            <w:t>6</w:t>
          </w:r>
        </w:p>
        <w:p w14:paraId="74F42A56" w14:textId="77777777" w:rsidR="00BF4429" w:rsidRDefault="00BF4429" w:rsidP="004133B7">
          <w:pPr>
            <w:spacing w:line="240" w:lineRule="auto"/>
            <w:rPr>
              <w:b/>
              <w:bCs/>
              <w:color w:val="FFFFFF" w:themeColor="background1"/>
              <w:sz w:val="84"/>
              <w:szCs w:val="84"/>
            </w:rPr>
          </w:pPr>
        </w:p>
        <w:p w14:paraId="1FE00363" w14:textId="4E88E634" w:rsidR="005A282F" w:rsidRDefault="00EB3F06" w:rsidP="004133B7">
          <w:pPr>
            <w:spacing w:line="240" w:lineRule="auto"/>
            <w:rPr>
              <w:b/>
              <w:bCs/>
              <w:color w:val="FFFFFF" w:themeColor="background1"/>
              <w:sz w:val="84"/>
              <w:szCs w:val="84"/>
            </w:rPr>
          </w:pPr>
          <w:r>
            <w:rPr>
              <w:b/>
              <w:bCs/>
              <w:color w:val="FFFFFF" w:themeColor="background1"/>
              <w:sz w:val="84"/>
              <w:szCs w:val="84"/>
            </w:rPr>
            <w:t xml:space="preserve">EASR </w:t>
          </w:r>
          <w:r w:rsidR="005A282F">
            <w:rPr>
              <w:b/>
              <w:bCs/>
              <w:color w:val="FFFFFF" w:themeColor="background1"/>
              <w:sz w:val="84"/>
              <w:szCs w:val="84"/>
            </w:rPr>
            <w:t>G</w:t>
          </w:r>
          <w:r>
            <w:rPr>
              <w:b/>
              <w:bCs/>
              <w:color w:val="FFFFFF" w:themeColor="background1"/>
              <w:sz w:val="84"/>
              <w:szCs w:val="84"/>
            </w:rPr>
            <w:t>uidance</w:t>
          </w:r>
          <w:r w:rsidR="005A282F">
            <w:rPr>
              <w:b/>
              <w:bCs/>
              <w:color w:val="FFFFFF" w:themeColor="background1"/>
              <w:sz w:val="84"/>
              <w:szCs w:val="84"/>
            </w:rPr>
            <w:t>:</w:t>
          </w:r>
        </w:p>
        <w:p w14:paraId="102DF4D8" w14:textId="0E7F5F1F" w:rsidR="00801105" w:rsidRPr="00D65EF9" w:rsidRDefault="005C4D25" w:rsidP="004133B7">
          <w:pPr>
            <w:spacing w:line="240" w:lineRule="auto"/>
            <w:rPr>
              <w:b/>
              <w:bCs/>
              <w:color w:val="FFFFFF" w:themeColor="background1"/>
              <w:sz w:val="84"/>
              <w:szCs w:val="84"/>
            </w:rPr>
          </w:pPr>
          <w:r>
            <w:rPr>
              <w:b/>
              <w:bCs/>
              <w:color w:val="FFFFFF" w:themeColor="background1"/>
              <w:sz w:val="84"/>
              <w:szCs w:val="84"/>
            </w:rPr>
            <w:t>A</w:t>
          </w:r>
          <w:r w:rsidR="00B81034" w:rsidRPr="00D65EF9">
            <w:rPr>
              <w:b/>
              <w:bCs/>
              <w:color w:val="FFFFFF" w:themeColor="background1"/>
              <w:sz w:val="84"/>
              <w:szCs w:val="84"/>
            </w:rPr>
            <w:t xml:space="preserve">ssessing </w:t>
          </w:r>
          <w:r w:rsidR="00EB3F06">
            <w:rPr>
              <w:b/>
              <w:bCs/>
              <w:color w:val="FFFFFF" w:themeColor="background1"/>
              <w:sz w:val="84"/>
              <w:szCs w:val="84"/>
            </w:rPr>
            <w:t>s</w:t>
          </w:r>
          <w:r w:rsidR="00B81034" w:rsidRPr="00D65EF9">
            <w:rPr>
              <w:b/>
              <w:bCs/>
              <w:color w:val="FFFFFF" w:themeColor="background1"/>
              <w:sz w:val="84"/>
              <w:szCs w:val="84"/>
            </w:rPr>
            <w:t xml:space="preserve">ignificantly </w:t>
          </w:r>
          <w:r w:rsidR="00EB3F06">
            <w:rPr>
              <w:b/>
              <w:bCs/>
              <w:color w:val="FFFFFF" w:themeColor="background1"/>
              <w:sz w:val="84"/>
              <w:szCs w:val="84"/>
            </w:rPr>
            <w:t>b</w:t>
          </w:r>
          <w:r w:rsidR="00B81034" w:rsidRPr="00D65EF9">
            <w:rPr>
              <w:b/>
              <w:bCs/>
              <w:color w:val="FFFFFF" w:themeColor="background1"/>
              <w:sz w:val="84"/>
              <w:szCs w:val="84"/>
            </w:rPr>
            <w:t xml:space="preserve">etter </w:t>
          </w:r>
          <w:r w:rsidR="00EB3F06">
            <w:rPr>
              <w:b/>
              <w:bCs/>
              <w:color w:val="FFFFFF" w:themeColor="background1"/>
              <w:sz w:val="84"/>
              <w:szCs w:val="84"/>
            </w:rPr>
            <w:t>e</w:t>
          </w:r>
          <w:r w:rsidR="00B81034" w:rsidRPr="00D65EF9">
            <w:rPr>
              <w:b/>
              <w:bCs/>
              <w:color w:val="FFFFFF" w:themeColor="background1"/>
              <w:sz w:val="84"/>
              <w:szCs w:val="84"/>
            </w:rPr>
            <w:t xml:space="preserve">nvironmental </w:t>
          </w:r>
          <w:r w:rsidR="00EB3F06">
            <w:rPr>
              <w:b/>
              <w:bCs/>
              <w:color w:val="FFFFFF" w:themeColor="background1"/>
              <w:sz w:val="84"/>
              <w:szCs w:val="84"/>
            </w:rPr>
            <w:t>o</w:t>
          </w:r>
          <w:r w:rsidR="00B81034" w:rsidRPr="00D65EF9">
            <w:rPr>
              <w:b/>
              <w:bCs/>
              <w:color w:val="FFFFFF" w:themeColor="background1"/>
              <w:sz w:val="84"/>
              <w:szCs w:val="84"/>
            </w:rPr>
            <w:t>ptions</w:t>
          </w:r>
        </w:p>
        <w:p w14:paraId="4E16ADC7" w14:textId="77777777" w:rsidR="008C1A73" w:rsidRPr="00CF7EFB" w:rsidRDefault="008C1A73" w:rsidP="00CF7EFB">
          <w:pPr>
            <w:rPr>
              <w:b/>
              <w:bCs/>
              <w:color w:val="FFFFFF" w:themeColor="background1"/>
              <w:sz w:val="84"/>
              <w:szCs w:val="84"/>
            </w:rPr>
          </w:pPr>
          <w:r>
            <w:br w:type="page"/>
          </w:r>
        </w:p>
      </w:sdtContent>
    </w:sdt>
    <w:sdt>
      <w:sdtPr>
        <w:id w:val="-1407997159"/>
        <w:docPartObj>
          <w:docPartGallery w:val="Table of Contents"/>
          <w:docPartUnique/>
        </w:docPartObj>
      </w:sdtPr>
      <w:sdtEndPr>
        <w:rPr>
          <w:b/>
          <w:bCs/>
          <w:noProof/>
        </w:rPr>
      </w:sdtEndPr>
      <w:sdtContent>
        <w:p w14:paraId="49EB8977" w14:textId="00CD10CB" w:rsidR="006C0230" w:rsidRPr="00C41BFB" w:rsidRDefault="006C0230" w:rsidP="00C41BFB">
          <w:pPr>
            <w:pStyle w:val="TOC3"/>
            <w:tabs>
              <w:tab w:val="right" w:leader="dot" w:pos="10212"/>
            </w:tabs>
            <w:rPr>
              <w:rStyle w:val="Hyperlink"/>
              <w:rFonts w:eastAsia="Times New Roman"/>
              <w:b/>
              <w:noProof/>
            </w:rPr>
          </w:pPr>
          <w:r w:rsidRPr="00927EE3">
            <w:rPr>
              <w:rStyle w:val="Heading1Char"/>
            </w:rPr>
            <w:t>Contents</w:t>
          </w:r>
        </w:p>
        <w:p w14:paraId="38CCAF17" w14:textId="57816E07" w:rsidR="00C41BFB" w:rsidRDefault="006C0230" w:rsidP="00C41BFB">
          <w:pPr>
            <w:pStyle w:val="TOC1"/>
            <w:tabs>
              <w:tab w:val="right" w:leader="dot" w:pos="10212"/>
            </w:tabs>
            <w:spacing w:line="360" w:lineRule="auto"/>
            <w:ind w:left="312" w:right="448" w:hanging="11"/>
            <w:rPr>
              <w:rFonts w:asciiTheme="minorHAnsi" w:eastAsiaTheme="minorEastAsia" w:hAnsiTheme="minorHAnsi" w:cstheme="minorBidi"/>
              <w:noProof/>
              <w:color w:val="auto"/>
            </w:rPr>
          </w:pPr>
          <w:r w:rsidRPr="00C41BFB">
            <w:rPr>
              <w:rStyle w:val="Hyperlink"/>
              <w:rFonts w:eastAsia="Times New Roman"/>
              <w:noProof/>
            </w:rPr>
            <w:fldChar w:fldCharType="begin"/>
          </w:r>
          <w:r w:rsidRPr="00C41BFB">
            <w:rPr>
              <w:rStyle w:val="Hyperlink"/>
              <w:rFonts w:eastAsia="Times New Roman"/>
              <w:noProof/>
            </w:rPr>
            <w:instrText xml:space="preserve"> TOC \o "1-3" \h \z \u </w:instrText>
          </w:r>
          <w:r w:rsidRPr="00C41BFB">
            <w:rPr>
              <w:rStyle w:val="Hyperlink"/>
              <w:rFonts w:eastAsia="Times New Roman"/>
              <w:noProof/>
            </w:rPr>
            <w:fldChar w:fldCharType="separate"/>
          </w:r>
          <w:hyperlink w:anchor="_Toc193710005" w:history="1">
            <w:r w:rsidR="00C41BFB" w:rsidRPr="006B3371">
              <w:rPr>
                <w:rStyle w:val="Hyperlink"/>
                <w:noProof/>
              </w:rPr>
              <w:t>1 Purpose</w:t>
            </w:r>
            <w:r w:rsidR="00C41BFB">
              <w:rPr>
                <w:noProof/>
                <w:webHidden/>
              </w:rPr>
              <w:tab/>
            </w:r>
            <w:r w:rsidR="00C41BFB">
              <w:rPr>
                <w:noProof/>
                <w:webHidden/>
              </w:rPr>
              <w:fldChar w:fldCharType="begin"/>
            </w:r>
            <w:r w:rsidR="00C41BFB">
              <w:rPr>
                <w:noProof/>
                <w:webHidden/>
              </w:rPr>
              <w:instrText xml:space="preserve"> PAGEREF _Toc193710005 \h </w:instrText>
            </w:r>
            <w:r w:rsidR="00C41BFB">
              <w:rPr>
                <w:noProof/>
                <w:webHidden/>
              </w:rPr>
            </w:r>
            <w:r w:rsidR="00C41BFB">
              <w:rPr>
                <w:noProof/>
                <w:webHidden/>
              </w:rPr>
              <w:fldChar w:fldCharType="separate"/>
            </w:r>
            <w:r w:rsidR="00C41BFB">
              <w:rPr>
                <w:noProof/>
                <w:webHidden/>
              </w:rPr>
              <w:t>2</w:t>
            </w:r>
            <w:r w:rsidR="00C41BFB">
              <w:rPr>
                <w:noProof/>
                <w:webHidden/>
              </w:rPr>
              <w:fldChar w:fldCharType="end"/>
            </w:r>
          </w:hyperlink>
        </w:p>
        <w:p w14:paraId="1F65E830" w14:textId="5E324267" w:rsidR="00C41BFB" w:rsidRDefault="00C41BFB" w:rsidP="00C41BFB">
          <w:pPr>
            <w:pStyle w:val="TOC1"/>
            <w:tabs>
              <w:tab w:val="right" w:leader="dot" w:pos="10212"/>
            </w:tabs>
            <w:spacing w:line="360" w:lineRule="auto"/>
            <w:ind w:left="312" w:right="448" w:hanging="11"/>
            <w:rPr>
              <w:rFonts w:asciiTheme="minorHAnsi" w:eastAsiaTheme="minorEastAsia" w:hAnsiTheme="minorHAnsi" w:cstheme="minorBidi"/>
              <w:noProof/>
              <w:color w:val="auto"/>
            </w:rPr>
          </w:pPr>
          <w:hyperlink w:anchor="_Toc193710006" w:history="1">
            <w:r w:rsidRPr="006B3371">
              <w:rPr>
                <w:rStyle w:val="Hyperlink"/>
                <w:noProof/>
              </w:rPr>
              <w:t>2 Background</w:t>
            </w:r>
            <w:r>
              <w:rPr>
                <w:noProof/>
                <w:webHidden/>
              </w:rPr>
              <w:tab/>
            </w:r>
            <w:r>
              <w:rPr>
                <w:noProof/>
                <w:webHidden/>
              </w:rPr>
              <w:fldChar w:fldCharType="begin"/>
            </w:r>
            <w:r>
              <w:rPr>
                <w:noProof/>
                <w:webHidden/>
              </w:rPr>
              <w:instrText xml:space="preserve"> PAGEREF _Toc193710006 \h </w:instrText>
            </w:r>
            <w:r>
              <w:rPr>
                <w:noProof/>
                <w:webHidden/>
              </w:rPr>
            </w:r>
            <w:r>
              <w:rPr>
                <w:noProof/>
                <w:webHidden/>
              </w:rPr>
              <w:fldChar w:fldCharType="separate"/>
            </w:r>
            <w:r>
              <w:rPr>
                <w:noProof/>
                <w:webHidden/>
              </w:rPr>
              <w:t>2</w:t>
            </w:r>
            <w:r>
              <w:rPr>
                <w:noProof/>
                <w:webHidden/>
              </w:rPr>
              <w:fldChar w:fldCharType="end"/>
            </w:r>
          </w:hyperlink>
        </w:p>
        <w:p w14:paraId="23894352" w14:textId="525CCD8A" w:rsidR="00C41BFB" w:rsidRDefault="00C41BFB" w:rsidP="00C41BFB">
          <w:pPr>
            <w:pStyle w:val="TOC1"/>
            <w:tabs>
              <w:tab w:val="right" w:leader="dot" w:pos="10212"/>
            </w:tabs>
            <w:spacing w:line="360" w:lineRule="auto"/>
            <w:ind w:left="312" w:right="448" w:hanging="11"/>
            <w:rPr>
              <w:rFonts w:asciiTheme="minorHAnsi" w:eastAsiaTheme="minorEastAsia" w:hAnsiTheme="minorHAnsi" w:cstheme="minorBidi"/>
              <w:noProof/>
              <w:color w:val="auto"/>
            </w:rPr>
          </w:pPr>
          <w:hyperlink w:anchor="_Toc193710007" w:history="1">
            <w:r w:rsidRPr="006B3371">
              <w:rPr>
                <w:rStyle w:val="Hyperlink"/>
                <w:noProof/>
              </w:rPr>
              <w:t>3 Is it a Significantly Better Environmental Option?</w:t>
            </w:r>
            <w:r>
              <w:rPr>
                <w:noProof/>
                <w:webHidden/>
              </w:rPr>
              <w:tab/>
            </w:r>
            <w:r>
              <w:rPr>
                <w:noProof/>
                <w:webHidden/>
              </w:rPr>
              <w:fldChar w:fldCharType="begin"/>
            </w:r>
            <w:r>
              <w:rPr>
                <w:noProof/>
                <w:webHidden/>
              </w:rPr>
              <w:instrText xml:space="preserve"> PAGEREF _Toc193710007 \h </w:instrText>
            </w:r>
            <w:r>
              <w:rPr>
                <w:noProof/>
                <w:webHidden/>
              </w:rPr>
            </w:r>
            <w:r>
              <w:rPr>
                <w:noProof/>
                <w:webHidden/>
              </w:rPr>
              <w:fldChar w:fldCharType="separate"/>
            </w:r>
            <w:r>
              <w:rPr>
                <w:noProof/>
                <w:webHidden/>
              </w:rPr>
              <w:t>3</w:t>
            </w:r>
            <w:r>
              <w:rPr>
                <w:noProof/>
                <w:webHidden/>
              </w:rPr>
              <w:fldChar w:fldCharType="end"/>
            </w:r>
          </w:hyperlink>
        </w:p>
        <w:p w14:paraId="63E85802" w14:textId="49310971" w:rsidR="00C41BFB" w:rsidRDefault="00C41BFB" w:rsidP="00C41BFB">
          <w:pPr>
            <w:pStyle w:val="TOC1"/>
            <w:tabs>
              <w:tab w:val="right" w:leader="dot" w:pos="10212"/>
            </w:tabs>
            <w:spacing w:line="360" w:lineRule="auto"/>
            <w:ind w:left="312" w:right="448" w:hanging="11"/>
            <w:rPr>
              <w:rFonts w:asciiTheme="minorHAnsi" w:eastAsiaTheme="minorEastAsia" w:hAnsiTheme="minorHAnsi" w:cstheme="minorBidi"/>
              <w:noProof/>
              <w:color w:val="auto"/>
            </w:rPr>
          </w:pPr>
          <w:hyperlink w:anchor="_Toc193710008" w:history="1">
            <w:r w:rsidRPr="006B3371">
              <w:rPr>
                <w:rStyle w:val="Hyperlink"/>
                <w:noProof/>
              </w:rPr>
              <w:t>4 Identifying Alternative Options</w:t>
            </w:r>
            <w:r>
              <w:rPr>
                <w:noProof/>
                <w:webHidden/>
              </w:rPr>
              <w:tab/>
            </w:r>
            <w:r>
              <w:rPr>
                <w:noProof/>
                <w:webHidden/>
              </w:rPr>
              <w:fldChar w:fldCharType="begin"/>
            </w:r>
            <w:r>
              <w:rPr>
                <w:noProof/>
                <w:webHidden/>
              </w:rPr>
              <w:instrText xml:space="preserve"> PAGEREF _Toc193710008 \h </w:instrText>
            </w:r>
            <w:r>
              <w:rPr>
                <w:noProof/>
                <w:webHidden/>
              </w:rPr>
            </w:r>
            <w:r>
              <w:rPr>
                <w:noProof/>
                <w:webHidden/>
              </w:rPr>
              <w:fldChar w:fldCharType="separate"/>
            </w:r>
            <w:r>
              <w:rPr>
                <w:noProof/>
                <w:webHidden/>
              </w:rPr>
              <w:t>5</w:t>
            </w:r>
            <w:r>
              <w:rPr>
                <w:noProof/>
                <w:webHidden/>
              </w:rPr>
              <w:fldChar w:fldCharType="end"/>
            </w:r>
          </w:hyperlink>
        </w:p>
        <w:p w14:paraId="63853FE8" w14:textId="6081203B" w:rsidR="00C41BFB" w:rsidRDefault="00C41BFB" w:rsidP="00C41BFB">
          <w:pPr>
            <w:pStyle w:val="TOC1"/>
            <w:tabs>
              <w:tab w:val="right" w:leader="dot" w:pos="10212"/>
            </w:tabs>
            <w:spacing w:line="360" w:lineRule="auto"/>
            <w:ind w:left="312" w:right="448" w:hanging="11"/>
            <w:rPr>
              <w:rFonts w:asciiTheme="minorHAnsi" w:eastAsiaTheme="minorEastAsia" w:hAnsiTheme="minorHAnsi" w:cstheme="minorBidi"/>
              <w:noProof/>
              <w:color w:val="auto"/>
            </w:rPr>
          </w:pPr>
          <w:hyperlink w:anchor="_Toc193710009" w:history="1">
            <w:r w:rsidRPr="006B3371">
              <w:rPr>
                <w:rStyle w:val="Hyperlink"/>
                <w:noProof/>
              </w:rPr>
              <w:t>5 Feasibility and Cost of Alternative Options</w:t>
            </w:r>
            <w:r>
              <w:rPr>
                <w:noProof/>
                <w:webHidden/>
              </w:rPr>
              <w:tab/>
            </w:r>
            <w:r>
              <w:rPr>
                <w:noProof/>
                <w:webHidden/>
              </w:rPr>
              <w:fldChar w:fldCharType="begin"/>
            </w:r>
            <w:r>
              <w:rPr>
                <w:noProof/>
                <w:webHidden/>
              </w:rPr>
              <w:instrText xml:space="preserve"> PAGEREF _Toc193710009 \h </w:instrText>
            </w:r>
            <w:r>
              <w:rPr>
                <w:noProof/>
                <w:webHidden/>
              </w:rPr>
            </w:r>
            <w:r>
              <w:rPr>
                <w:noProof/>
                <w:webHidden/>
              </w:rPr>
              <w:fldChar w:fldCharType="separate"/>
            </w:r>
            <w:r>
              <w:rPr>
                <w:noProof/>
                <w:webHidden/>
              </w:rPr>
              <w:t>7</w:t>
            </w:r>
            <w:r>
              <w:rPr>
                <w:noProof/>
                <w:webHidden/>
              </w:rPr>
              <w:fldChar w:fldCharType="end"/>
            </w:r>
          </w:hyperlink>
        </w:p>
        <w:p w14:paraId="09F198CD" w14:textId="05D119F3" w:rsidR="00C41BFB" w:rsidRDefault="00C41BFB" w:rsidP="00C41BFB">
          <w:pPr>
            <w:pStyle w:val="TOC1"/>
            <w:tabs>
              <w:tab w:val="right" w:leader="dot" w:pos="10212"/>
            </w:tabs>
            <w:spacing w:line="360" w:lineRule="auto"/>
            <w:ind w:left="312" w:right="448" w:hanging="11"/>
            <w:rPr>
              <w:rFonts w:asciiTheme="minorHAnsi" w:eastAsiaTheme="minorEastAsia" w:hAnsiTheme="minorHAnsi" w:cstheme="minorBidi"/>
              <w:noProof/>
              <w:color w:val="auto"/>
            </w:rPr>
          </w:pPr>
          <w:hyperlink w:anchor="_Toc193710010" w:history="1">
            <w:r w:rsidRPr="006B3371">
              <w:rPr>
                <w:rStyle w:val="Hyperlink"/>
                <w:rFonts w:eastAsia="Times New Roman"/>
                <w:noProof/>
              </w:rPr>
              <w:t>Disclaimer</w:t>
            </w:r>
            <w:r>
              <w:rPr>
                <w:noProof/>
                <w:webHidden/>
              </w:rPr>
              <w:tab/>
            </w:r>
            <w:r>
              <w:rPr>
                <w:noProof/>
                <w:webHidden/>
              </w:rPr>
              <w:fldChar w:fldCharType="begin"/>
            </w:r>
            <w:r>
              <w:rPr>
                <w:noProof/>
                <w:webHidden/>
              </w:rPr>
              <w:instrText xml:space="preserve"> PAGEREF _Toc193710010 \h </w:instrText>
            </w:r>
            <w:r>
              <w:rPr>
                <w:noProof/>
                <w:webHidden/>
              </w:rPr>
            </w:r>
            <w:r>
              <w:rPr>
                <w:noProof/>
                <w:webHidden/>
              </w:rPr>
              <w:fldChar w:fldCharType="separate"/>
            </w:r>
            <w:r>
              <w:rPr>
                <w:noProof/>
                <w:webHidden/>
              </w:rPr>
              <w:t>10</w:t>
            </w:r>
            <w:r>
              <w:rPr>
                <w:noProof/>
                <w:webHidden/>
              </w:rPr>
              <w:fldChar w:fldCharType="end"/>
            </w:r>
          </w:hyperlink>
        </w:p>
        <w:p w14:paraId="6C057784" w14:textId="147FAB12" w:rsidR="006C0230" w:rsidRDefault="006C0230" w:rsidP="00C41BFB">
          <w:pPr>
            <w:pStyle w:val="TOC3"/>
            <w:tabs>
              <w:tab w:val="right" w:leader="dot" w:pos="10212"/>
            </w:tabs>
          </w:pPr>
          <w:r w:rsidRPr="00C41BFB">
            <w:rPr>
              <w:rStyle w:val="Hyperlink"/>
              <w:rFonts w:eastAsia="Times New Roman"/>
            </w:rPr>
            <w:fldChar w:fldCharType="end"/>
          </w:r>
        </w:p>
      </w:sdtContent>
    </w:sdt>
    <w:p w14:paraId="052BAA12" w14:textId="77777777" w:rsidR="006E72CB" w:rsidRDefault="006E72CB" w:rsidP="00875BF4">
      <w:pPr>
        <w:pStyle w:val="BodyText1"/>
        <w:rPr>
          <w:sz w:val="32"/>
          <w:szCs w:val="32"/>
        </w:rPr>
      </w:pPr>
    </w:p>
    <w:p w14:paraId="5D6B3267" w14:textId="77777777" w:rsidR="006E72CB" w:rsidRDefault="006E72CB" w:rsidP="00875BF4">
      <w:pPr>
        <w:pStyle w:val="BodyText1"/>
        <w:rPr>
          <w:sz w:val="32"/>
          <w:szCs w:val="32"/>
        </w:rPr>
      </w:pPr>
    </w:p>
    <w:p w14:paraId="76F346D9" w14:textId="77777777" w:rsidR="006E72CB" w:rsidRDefault="006E72CB" w:rsidP="00875BF4">
      <w:pPr>
        <w:pStyle w:val="BodyText1"/>
        <w:rPr>
          <w:sz w:val="32"/>
          <w:szCs w:val="32"/>
        </w:rPr>
      </w:pPr>
    </w:p>
    <w:p w14:paraId="7206200E" w14:textId="77777777" w:rsidR="006E72CB" w:rsidRDefault="006E72CB" w:rsidP="00875BF4">
      <w:pPr>
        <w:pStyle w:val="BodyText1"/>
        <w:rPr>
          <w:sz w:val="32"/>
          <w:szCs w:val="32"/>
        </w:rPr>
      </w:pPr>
    </w:p>
    <w:p w14:paraId="01C45DFA" w14:textId="77777777" w:rsidR="00BE259C" w:rsidRDefault="00BE259C">
      <w:pPr>
        <w:spacing w:line="240" w:lineRule="auto"/>
        <w:rPr>
          <w:sz w:val="32"/>
          <w:szCs w:val="32"/>
        </w:rPr>
      </w:pPr>
    </w:p>
    <w:p w14:paraId="2D9CF9B3" w14:textId="77777777" w:rsidR="00BE259C" w:rsidRDefault="00BE259C">
      <w:pPr>
        <w:spacing w:line="240" w:lineRule="auto"/>
        <w:rPr>
          <w:sz w:val="32"/>
          <w:szCs w:val="32"/>
        </w:rPr>
      </w:pPr>
    </w:p>
    <w:p w14:paraId="53FB1870" w14:textId="77777777" w:rsidR="00BE259C" w:rsidRDefault="00BE259C">
      <w:pPr>
        <w:spacing w:line="240" w:lineRule="auto"/>
        <w:rPr>
          <w:sz w:val="32"/>
          <w:szCs w:val="32"/>
        </w:rPr>
      </w:pPr>
    </w:p>
    <w:p w14:paraId="12C64A9E" w14:textId="77777777" w:rsidR="00BE259C" w:rsidRDefault="00BE259C">
      <w:pPr>
        <w:spacing w:line="240" w:lineRule="auto"/>
        <w:rPr>
          <w:sz w:val="32"/>
          <w:szCs w:val="32"/>
        </w:rPr>
      </w:pPr>
    </w:p>
    <w:p w14:paraId="3539A595" w14:textId="77777777" w:rsidR="00BE259C" w:rsidRDefault="00BE259C">
      <w:pPr>
        <w:spacing w:line="240" w:lineRule="auto"/>
        <w:rPr>
          <w:sz w:val="32"/>
          <w:szCs w:val="32"/>
        </w:rPr>
      </w:pPr>
    </w:p>
    <w:p w14:paraId="242DDC98" w14:textId="77777777" w:rsidR="00BE259C" w:rsidRDefault="00BE259C">
      <w:pPr>
        <w:spacing w:line="240" w:lineRule="auto"/>
        <w:rPr>
          <w:sz w:val="32"/>
          <w:szCs w:val="32"/>
        </w:rPr>
      </w:pPr>
    </w:p>
    <w:p w14:paraId="2693DE4C" w14:textId="77777777" w:rsidR="00BE259C" w:rsidRDefault="00BE259C">
      <w:pPr>
        <w:spacing w:line="240" w:lineRule="auto"/>
        <w:rPr>
          <w:sz w:val="32"/>
          <w:szCs w:val="32"/>
        </w:rPr>
      </w:pPr>
    </w:p>
    <w:p w14:paraId="2183D544" w14:textId="77777777" w:rsidR="00BE259C" w:rsidRDefault="00BE259C">
      <w:pPr>
        <w:spacing w:line="240" w:lineRule="auto"/>
        <w:rPr>
          <w:sz w:val="32"/>
          <w:szCs w:val="32"/>
        </w:rPr>
      </w:pPr>
    </w:p>
    <w:p w14:paraId="67BACA7C" w14:textId="77777777" w:rsidR="00BE259C" w:rsidRDefault="00BE259C">
      <w:pPr>
        <w:spacing w:line="240" w:lineRule="auto"/>
        <w:rPr>
          <w:sz w:val="32"/>
          <w:szCs w:val="32"/>
        </w:rPr>
      </w:pPr>
    </w:p>
    <w:p w14:paraId="31FA00A2" w14:textId="77777777" w:rsidR="00BE259C" w:rsidRDefault="00BE259C">
      <w:pPr>
        <w:spacing w:line="240" w:lineRule="auto"/>
        <w:rPr>
          <w:sz w:val="32"/>
          <w:szCs w:val="32"/>
        </w:rPr>
      </w:pPr>
    </w:p>
    <w:p w14:paraId="48BC82D6" w14:textId="77777777" w:rsidR="00BE259C" w:rsidRDefault="00BE259C">
      <w:pPr>
        <w:spacing w:line="240" w:lineRule="auto"/>
        <w:rPr>
          <w:sz w:val="32"/>
          <w:szCs w:val="32"/>
        </w:rPr>
      </w:pPr>
    </w:p>
    <w:p w14:paraId="6B63D606" w14:textId="77777777" w:rsidR="00BE259C" w:rsidRDefault="00BE259C">
      <w:pPr>
        <w:spacing w:line="240" w:lineRule="auto"/>
        <w:rPr>
          <w:sz w:val="32"/>
          <w:szCs w:val="32"/>
        </w:rPr>
      </w:pPr>
    </w:p>
    <w:p w14:paraId="165AC46E" w14:textId="3574B47E" w:rsidR="00CE2289" w:rsidRDefault="00BE259C" w:rsidP="00BE259C">
      <w:pPr>
        <w:pStyle w:val="BodyText1"/>
        <w:rPr>
          <w:sz w:val="32"/>
          <w:szCs w:val="32"/>
        </w:rPr>
      </w:pPr>
      <w:r w:rsidRPr="49B5B38A">
        <w:rPr>
          <w:rFonts w:eastAsia="Times New Roman"/>
          <w:sz w:val="32"/>
          <w:szCs w:val="32"/>
        </w:rPr>
        <w:t>If you would like this document in an accessible format, such as large print, audio recording or braille, please contact SEPA by emailing </w:t>
      </w:r>
      <w:hyperlink r:id="rId13">
        <w:r w:rsidRPr="49B5B38A">
          <w:rPr>
            <w:rFonts w:eastAsia="Times New Roman"/>
            <w:color w:val="016574" w:themeColor="accent6"/>
            <w:sz w:val="32"/>
            <w:szCs w:val="32"/>
            <w:u w:val="single"/>
          </w:rPr>
          <w:t>equalities@sepa.org.uk</w:t>
        </w:r>
      </w:hyperlink>
      <w:r w:rsidRPr="49B5B38A">
        <w:rPr>
          <w:rFonts w:eastAsia="Times New Roman"/>
          <w:color w:val="016574" w:themeColor="accent6"/>
          <w:sz w:val="32"/>
          <w:szCs w:val="32"/>
          <w:u w:val="single"/>
        </w:rPr>
        <w:t xml:space="preserve"> </w:t>
      </w:r>
      <w:r w:rsidR="00CE2289">
        <w:rPr>
          <w:sz w:val="32"/>
          <w:szCs w:val="32"/>
        </w:rPr>
        <w:br w:type="page"/>
      </w:r>
    </w:p>
    <w:p w14:paraId="54762821" w14:textId="50C18340" w:rsidR="008527E2" w:rsidRPr="008527E2" w:rsidRDefault="4B32C95B" w:rsidP="00BE259C">
      <w:pPr>
        <w:pStyle w:val="Heading1"/>
      </w:pPr>
      <w:bookmarkStart w:id="1" w:name="_Toc193709866"/>
      <w:bookmarkStart w:id="2" w:name="_Toc193710005"/>
      <w:r>
        <w:lastRenderedPageBreak/>
        <w:t xml:space="preserve">1 </w:t>
      </w:r>
      <w:r w:rsidR="00186679">
        <w:t>Purpose</w:t>
      </w:r>
      <w:bookmarkEnd w:id="1"/>
      <w:bookmarkEnd w:id="2"/>
    </w:p>
    <w:p w14:paraId="3B54DD21" w14:textId="7AF0AECB" w:rsidR="00690C29" w:rsidRDefault="00B81034" w:rsidP="006E72CB">
      <w:pPr>
        <w:pStyle w:val="BodyText1"/>
      </w:pPr>
      <w:r>
        <w:t>This guidance is designed for use in conjunction with</w:t>
      </w:r>
      <w:r w:rsidR="00AC3F6D">
        <w:t xml:space="preserve"> Derogation determination – Adverse impacts on the water environment </w:t>
      </w:r>
      <w:r w:rsidR="00690C29">
        <w:t>a</w:t>
      </w:r>
      <w:r w:rsidR="00AC3F6D">
        <w:t>nd WAT-G-</w:t>
      </w:r>
      <w:r w:rsidR="70083302">
        <w:t>0</w:t>
      </w:r>
      <w:r w:rsidR="00AC3F6D">
        <w:t xml:space="preserve">41 </w:t>
      </w:r>
      <w:r w:rsidR="00690C29">
        <w:t xml:space="preserve">Derogation determination – improvement to the water environment guidance </w:t>
      </w:r>
      <w:r>
        <w:t xml:space="preserve">when deciding whether or not there is: </w:t>
      </w:r>
    </w:p>
    <w:p w14:paraId="588A254D" w14:textId="57E0ADCA" w:rsidR="00B81034" w:rsidRDefault="000C2773" w:rsidP="006E72CB">
      <w:pPr>
        <w:pStyle w:val="BodyText1"/>
        <w:numPr>
          <w:ilvl w:val="0"/>
          <w:numId w:val="25"/>
        </w:numPr>
      </w:pPr>
      <w:r>
        <w:t>A</w:t>
      </w:r>
      <w:r w:rsidR="00B81034">
        <w:t xml:space="preserve"> significantly better environmental option for achieving the benefits expected from a proposal; and </w:t>
      </w:r>
    </w:p>
    <w:p w14:paraId="32A3D1A5" w14:textId="1BD12A9D" w:rsidR="00B81034" w:rsidRDefault="000C2773" w:rsidP="008C40DE">
      <w:pPr>
        <w:pStyle w:val="BodyText1"/>
        <w:numPr>
          <w:ilvl w:val="0"/>
          <w:numId w:val="25"/>
        </w:numPr>
      </w:pPr>
      <w:r>
        <w:t>S</w:t>
      </w:r>
      <w:r w:rsidR="00B81034">
        <w:t xml:space="preserve">ufficient evidence to conclude that significantly better environmental options would be technically infeasible or disproportionately expensive. </w:t>
      </w:r>
    </w:p>
    <w:p w14:paraId="51AE6BF3" w14:textId="3A7FFEC5" w:rsidR="00B81034" w:rsidRPr="008527E2" w:rsidRDefault="0E947FFE" w:rsidP="008527E2">
      <w:pPr>
        <w:pStyle w:val="Heading1"/>
      </w:pPr>
      <w:bookmarkStart w:id="3" w:name="_Toc193709867"/>
      <w:bookmarkStart w:id="4" w:name="_Toc193710006"/>
      <w:r>
        <w:t xml:space="preserve">2 </w:t>
      </w:r>
      <w:r w:rsidR="00B81034">
        <w:t>Background</w:t>
      </w:r>
      <w:bookmarkEnd w:id="3"/>
      <w:bookmarkEnd w:id="4"/>
      <w:r w:rsidR="00B81034">
        <w:t xml:space="preserve"> </w:t>
      </w:r>
    </w:p>
    <w:p w14:paraId="6168D13C" w14:textId="7D63436E" w:rsidR="00ED538C" w:rsidRPr="00FD6749" w:rsidRDefault="00B81034" w:rsidP="00FD6749">
      <w:pPr>
        <w:pStyle w:val="BodyText1"/>
      </w:pPr>
      <w:r w:rsidRPr="00FD6749">
        <w:t xml:space="preserve">Where there is a reasonable likelihood that a proposal would: </w:t>
      </w:r>
    </w:p>
    <w:p w14:paraId="09AC544E" w14:textId="42CE4618" w:rsidR="00B81034" w:rsidRPr="00FD6749" w:rsidRDefault="008C40DE" w:rsidP="00FD6749">
      <w:pPr>
        <w:pStyle w:val="BodyText1"/>
        <w:numPr>
          <w:ilvl w:val="0"/>
          <w:numId w:val="28"/>
        </w:numPr>
      </w:pPr>
      <w:r w:rsidRPr="00FD6749">
        <w:t>R</w:t>
      </w:r>
      <w:r w:rsidR="00B81034" w:rsidRPr="00FD6749">
        <w:t xml:space="preserve">esult in deterioration of status; or </w:t>
      </w:r>
    </w:p>
    <w:p w14:paraId="234C6073" w14:textId="05D2A6F4" w:rsidR="00ED538C" w:rsidRPr="00FD6749" w:rsidRDefault="008C40DE" w:rsidP="00FD6749">
      <w:pPr>
        <w:pStyle w:val="BodyText1"/>
        <w:numPr>
          <w:ilvl w:val="0"/>
          <w:numId w:val="28"/>
        </w:numPr>
      </w:pPr>
      <w:r w:rsidRPr="00FD6749">
        <w:t>C</w:t>
      </w:r>
      <w:r w:rsidR="00B81034" w:rsidRPr="00FD6749">
        <w:t>ompromise the future achievement of a Ministerial objective for improving the water environment (e.g. an objective set out in a river basin management plan)</w:t>
      </w:r>
      <w:r w:rsidRPr="00FD6749">
        <w:t>.</w:t>
      </w:r>
      <w:r w:rsidR="00B81034" w:rsidRPr="00FD6749">
        <w:t xml:space="preserve"> </w:t>
      </w:r>
    </w:p>
    <w:p w14:paraId="0FF20967" w14:textId="77777777" w:rsidR="00B81034" w:rsidRPr="00FD6749" w:rsidRDefault="00B81034" w:rsidP="00FD6749">
      <w:pPr>
        <w:pStyle w:val="BodyText1"/>
      </w:pPr>
      <w:r w:rsidRPr="00FD6749">
        <w:t>SEPA cannot authorise that proposal unless the following test is passed</w:t>
      </w:r>
      <w:r w:rsidRPr="00FD6749">
        <w:footnoteReference w:id="2"/>
      </w:r>
      <w:r w:rsidRPr="00FD6749">
        <w:t xml:space="preserve">: </w:t>
      </w:r>
    </w:p>
    <w:p w14:paraId="3E4871BA" w14:textId="77777777" w:rsidR="00FD6749" w:rsidRDefault="00B81034" w:rsidP="00FD6749">
      <w:pPr>
        <w:pStyle w:val="BodyText1"/>
      </w:pPr>
      <w:r w:rsidRPr="00FD6749">
        <w:t xml:space="preserve">for reasons of technical infeasibility or disproportionate cost, the benefits that would result from the proposal must not be achievable by other means, which are a significantly better environmental option. </w:t>
      </w:r>
    </w:p>
    <w:p w14:paraId="4FF8AD30" w14:textId="524BBAC1" w:rsidR="00B81034" w:rsidRPr="008527E2" w:rsidRDefault="7BB8E534" w:rsidP="00FD6749">
      <w:pPr>
        <w:pStyle w:val="Heading1"/>
      </w:pPr>
      <w:bookmarkStart w:id="5" w:name="_Toc193709868"/>
      <w:bookmarkStart w:id="6" w:name="_Toc193710007"/>
      <w:r>
        <w:lastRenderedPageBreak/>
        <w:t xml:space="preserve">3 </w:t>
      </w:r>
      <w:r w:rsidR="00B81034">
        <w:t>Is it a Significantly Better Environmental Option?</w:t>
      </w:r>
      <w:bookmarkEnd w:id="5"/>
      <w:bookmarkEnd w:id="6"/>
      <w:r w:rsidR="00B81034">
        <w:t xml:space="preserve"> </w:t>
      </w:r>
    </w:p>
    <w:p w14:paraId="1218F66A" w14:textId="77777777" w:rsidR="00B81034" w:rsidRDefault="00B81034" w:rsidP="008C40DE">
      <w:pPr>
        <w:pStyle w:val="BodyText1"/>
      </w:pPr>
      <w:r>
        <w:t>In assessing whether an alternative option is a significantly better environmental option, SEPA will take into account the significance of the adverse environmental impacts associated with the proposal</w:t>
      </w:r>
      <w:r>
        <w:rPr>
          <w:sz w:val="20"/>
          <w:vertAlign w:val="superscript"/>
        </w:rPr>
        <w:footnoteReference w:id="3"/>
      </w:r>
      <w:r>
        <w:t xml:space="preserve"> compared with the significance of those associated with the alternative option. </w:t>
      </w:r>
    </w:p>
    <w:p w14:paraId="25A8EF3A" w14:textId="1A5ACA64" w:rsidR="00103694" w:rsidRDefault="00B81034" w:rsidP="008C40DE">
      <w:pPr>
        <w:pStyle w:val="BodyText1"/>
      </w:pPr>
      <w:r>
        <w:t xml:space="preserve">An option may be a significantly better environmental option if: </w:t>
      </w:r>
    </w:p>
    <w:p w14:paraId="5E714D29" w14:textId="2C2858F1" w:rsidR="00B81034" w:rsidRDefault="008C40DE" w:rsidP="008C40DE">
      <w:pPr>
        <w:pStyle w:val="BodyText1"/>
        <w:numPr>
          <w:ilvl w:val="0"/>
          <w:numId w:val="27"/>
        </w:numPr>
      </w:pPr>
      <w:r>
        <w:t>T</w:t>
      </w:r>
      <w:r w:rsidR="00B81034">
        <w:t>he benefit it delivers is at least equivalent to the benefit that would be delivered by the proposal</w:t>
      </w:r>
      <w:r>
        <w:t>.</w:t>
      </w:r>
      <w:r w:rsidR="00B81034">
        <w:t xml:space="preserve"> </w:t>
      </w:r>
    </w:p>
    <w:p w14:paraId="3BA9FA0F" w14:textId="3C2B2BEC" w:rsidR="00B81034" w:rsidRPr="00B84BD9" w:rsidRDefault="008C40DE" w:rsidP="008C40DE">
      <w:pPr>
        <w:pStyle w:val="BodyText1"/>
        <w:numPr>
          <w:ilvl w:val="0"/>
          <w:numId w:val="27"/>
        </w:numPr>
      </w:pPr>
      <w:r>
        <w:t>I</w:t>
      </w:r>
      <w:r w:rsidR="00B81034">
        <w:t xml:space="preserve">ts environmental cost is significantly less than the environmental cost of the proposal (SEPA will assess the environmental cost of a proposal by identifying the significance of the proposal's adverse impacts using the method set out in </w:t>
      </w:r>
      <w:r w:rsidR="00B81034" w:rsidRPr="00B84BD9">
        <w:t>WAT-G-</w:t>
      </w:r>
      <w:r w:rsidR="00614144" w:rsidRPr="00B84BD9">
        <w:t>047</w:t>
      </w:r>
      <w:r w:rsidR="00B81034" w:rsidRPr="00B84BD9">
        <w:t xml:space="preserve">: Assessing the Significance of Impacts - </w:t>
      </w:r>
      <w:hyperlink r:id="rId14">
        <w:r w:rsidR="00B81034" w:rsidRPr="00B84BD9">
          <w:rPr>
            <w:rStyle w:val="Hyperlink"/>
            <w:color w:val="000000"/>
            <w:u w:val="none"/>
          </w:rPr>
          <w:t>Social, Economic, Environmental</w:t>
        </w:r>
      </w:hyperlink>
      <w:hyperlink r:id="rId15">
        <w:r w:rsidR="00B81034" w:rsidRPr="00B84BD9">
          <w:rPr>
            <w:rStyle w:val="Hyperlink"/>
            <w:color w:val="000000"/>
            <w:u w:val="none"/>
          </w:rPr>
          <w:t>)</w:t>
        </w:r>
      </w:hyperlink>
      <w:r w:rsidRPr="00B84BD9">
        <w:t>.</w:t>
      </w:r>
      <w:r w:rsidR="00B81034" w:rsidRPr="00B84BD9">
        <w:t xml:space="preserve"> </w:t>
      </w:r>
    </w:p>
    <w:p w14:paraId="02EAD4F7" w14:textId="3A191770" w:rsidR="00B81034" w:rsidRDefault="008C40DE" w:rsidP="008C40DE">
      <w:pPr>
        <w:pStyle w:val="BodyText1"/>
        <w:numPr>
          <w:ilvl w:val="0"/>
          <w:numId w:val="27"/>
        </w:numPr>
      </w:pPr>
      <w:r>
        <w:t>I</w:t>
      </w:r>
      <w:r w:rsidR="00B81034">
        <w:t xml:space="preserve">t is economically viable and hence a realistic option. </w:t>
      </w:r>
    </w:p>
    <w:p w14:paraId="079CE377" w14:textId="65C272F8" w:rsidR="00817230" w:rsidRDefault="00B81034" w:rsidP="008C40DE">
      <w:pPr>
        <w:pStyle w:val="BodyText1"/>
      </w:pPr>
      <w:r>
        <w:t xml:space="preserve">For there to be a significantly better environmental option, the adverse impacts of the proposal must be of reasonably high significance. If the impacts of a proposal are not of reasonably high significance, an alternative option might be a slightly or moderately better option but it cannot be a significantly better environmental option. </w:t>
      </w:r>
    </w:p>
    <w:p w14:paraId="269F46AA" w14:textId="349B7BA6" w:rsidR="00817230" w:rsidRDefault="00B81034" w:rsidP="008C40DE">
      <w:pPr>
        <w:pStyle w:val="BodyText1"/>
      </w:pPr>
      <w:r>
        <w:t xml:space="preserve">For example, if the adverse impacts of a proposal are of very low or low significance, an alternative option may be a better environmental option (e.g. if its impacts are of negligible or very low significance) but it cannot be a significantly better environmental option: The impacts of the proposal are not sufficiently significant for the alternative to be a significantly better option. </w:t>
      </w:r>
    </w:p>
    <w:p w14:paraId="7BBE5E9D" w14:textId="77777777" w:rsidR="00B81034" w:rsidRDefault="00B81034" w:rsidP="008C40DE">
      <w:pPr>
        <w:pStyle w:val="BodyText1"/>
      </w:pPr>
      <w:r>
        <w:t xml:space="preserve">Table 1 below provides an indicative guide to deciding if an alternative option is a significantly better environmental option. </w:t>
      </w:r>
    </w:p>
    <w:p w14:paraId="358CC9B0" w14:textId="1BDAAC39" w:rsidR="00B81034" w:rsidRPr="008C40DE" w:rsidRDefault="00B81034" w:rsidP="008C40DE">
      <w:pPr>
        <w:pStyle w:val="BodyText1"/>
        <w:rPr>
          <w:b/>
          <w:bCs/>
        </w:rPr>
      </w:pPr>
      <w:r w:rsidRPr="008C40DE">
        <w:rPr>
          <w:b/>
          <w:bCs/>
        </w:rPr>
        <w:lastRenderedPageBreak/>
        <w:t>Table 1</w:t>
      </w:r>
      <w:r w:rsidR="008C40DE">
        <w:rPr>
          <w:b/>
          <w:bCs/>
        </w:rPr>
        <w:t>:</w:t>
      </w:r>
      <w:r w:rsidRPr="008C40DE">
        <w:rPr>
          <w:b/>
          <w:bCs/>
        </w:rPr>
        <w:t xml:space="preserve"> Indicative guide to assessing whether an alternative option is a significantly better environmental option </w:t>
      </w:r>
    </w:p>
    <w:tbl>
      <w:tblPr>
        <w:tblW w:w="5005" w:type="pct"/>
        <w:tblInd w:w="-10" w:type="dxa"/>
        <w:tblCellMar>
          <w:left w:w="0" w:type="dxa"/>
          <w:right w:w="0" w:type="dxa"/>
        </w:tblCellMar>
        <w:tblLook w:val="04A0" w:firstRow="1" w:lastRow="0" w:firstColumn="1" w:lastColumn="0" w:noHBand="0" w:noVBand="1"/>
        <w:tblCaption w:val="Table 1: Indicative guide to assessing whether an alternative option is a significantly better environmental option "/>
        <w:tblDescription w:val="This table shows:&#10;The alternative option and&#10;If the propoal is negligable, very low, low, moderate, high or very high. "/>
      </w:tblPr>
      <w:tblGrid>
        <w:gridCol w:w="1486"/>
        <w:gridCol w:w="1458"/>
        <w:gridCol w:w="1458"/>
        <w:gridCol w:w="1460"/>
        <w:gridCol w:w="1456"/>
        <w:gridCol w:w="1454"/>
        <w:gridCol w:w="1440"/>
      </w:tblGrid>
      <w:tr w:rsidR="007F3A6E" w:rsidRPr="00684F5A" w14:paraId="6669EE9E" w14:textId="77777777" w:rsidTr="007F3A6E">
        <w:trPr>
          <w:trHeight w:val="610"/>
          <w:tblHeader/>
        </w:trPr>
        <w:tc>
          <w:tcPr>
            <w:tcW w:w="72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88D1244" w14:textId="36B7573C" w:rsidR="007F3A6E" w:rsidRDefault="007F3A6E" w:rsidP="00B80702">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Alternative option</w:t>
            </w:r>
          </w:p>
        </w:tc>
        <w:tc>
          <w:tcPr>
            <w:tcW w:w="71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37029B23" w14:textId="44621535" w:rsidR="007F3A6E" w:rsidRDefault="007F3A6E" w:rsidP="00B80702">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Proposal</w:t>
            </w:r>
          </w:p>
        </w:tc>
        <w:tc>
          <w:tcPr>
            <w:tcW w:w="71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7A065EC9" w14:textId="6854C699" w:rsidR="007F3A6E" w:rsidRDefault="007F3A6E" w:rsidP="00B80702">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Proposal</w:t>
            </w:r>
          </w:p>
        </w:tc>
        <w:tc>
          <w:tcPr>
            <w:tcW w:w="715"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616F3363" w14:textId="1753C768" w:rsidR="007F3A6E" w:rsidRDefault="007F3A6E" w:rsidP="00B80702">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Proposal</w:t>
            </w:r>
          </w:p>
        </w:tc>
        <w:tc>
          <w:tcPr>
            <w:tcW w:w="713" w:type="pct"/>
            <w:tcBorders>
              <w:top w:val="single" w:sz="8" w:space="0" w:color="auto"/>
              <w:left w:val="nil"/>
              <w:bottom w:val="single" w:sz="8" w:space="0" w:color="auto"/>
              <w:right w:val="single" w:sz="8" w:space="0" w:color="auto"/>
            </w:tcBorders>
            <w:shd w:val="clear" w:color="auto" w:fill="016574"/>
            <w:vAlign w:val="center"/>
          </w:tcPr>
          <w:p w14:paraId="02134C3D" w14:textId="0415A2DF" w:rsidR="007F3A6E" w:rsidRDefault="007F3A6E" w:rsidP="00B80702">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Proposal</w:t>
            </w:r>
          </w:p>
        </w:tc>
        <w:tc>
          <w:tcPr>
            <w:tcW w:w="712" w:type="pct"/>
            <w:tcBorders>
              <w:top w:val="single" w:sz="8" w:space="0" w:color="auto"/>
              <w:left w:val="nil"/>
              <w:bottom w:val="single" w:sz="8" w:space="0" w:color="auto"/>
              <w:right w:val="single" w:sz="8" w:space="0" w:color="auto"/>
            </w:tcBorders>
            <w:shd w:val="clear" w:color="auto" w:fill="016574"/>
            <w:vAlign w:val="center"/>
          </w:tcPr>
          <w:p w14:paraId="39606985" w14:textId="70D5BD02" w:rsidR="007F3A6E" w:rsidRDefault="007F3A6E" w:rsidP="00B80702">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Proposal</w:t>
            </w:r>
          </w:p>
        </w:tc>
        <w:tc>
          <w:tcPr>
            <w:tcW w:w="706" w:type="pct"/>
            <w:tcBorders>
              <w:top w:val="single" w:sz="8" w:space="0" w:color="auto"/>
              <w:left w:val="nil"/>
              <w:bottom w:val="single" w:sz="8" w:space="0" w:color="auto"/>
              <w:right w:val="single" w:sz="8" w:space="0" w:color="auto"/>
            </w:tcBorders>
            <w:shd w:val="clear" w:color="auto" w:fill="016574"/>
            <w:vAlign w:val="center"/>
          </w:tcPr>
          <w:p w14:paraId="42BCF759" w14:textId="52C0EE49" w:rsidR="007F3A6E" w:rsidRDefault="007F3A6E" w:rsidP="00B80702">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Proposal</w:t>
            </w:r>
          </w:p>
        </w:tc>
      </w:tr>
      <w:tr w:rsidR="0012203D" w:rsidRPr="00684F5A" w14:paraId="71AED377" w14:textId="3AA0D358" w:rsidTr="007F3A6E">
        <w:trPr>
          <w:trHeight w:val="610"/>
          <w:tblHeader/>
        </w:trPr>
        <w:tc>
          <w:tcPr>
            <w:tcW w:w="72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52620765" w14:textId="12F39CCA" w:rsidR="0012203D" w:rsidRPr="00684F5A" w:rsidRDefault="0012203D" w:rsidP="00B80702">
            <w:pPr>
              <w:spacing w:before="120" w:after="120" w:line="276" w:lineRule="auto"/>
              <w:jc w:val="center"/>
              <w:rPr>
                <w:rFonts w:ascii="Arial" w:eastAsia="Times New Roman" w:hAnsi="Arial" w:cs="Arial"/>
                <w:b/>
                <w:bCs/>
                <w:color w:val="FFFFFF"/>
                <w:lang w:eastAsia="en-GB"/>
              </w:rPr>
            </w:pPr>
          </w:p>
        </w:tc>
        <w:tc>
          <w:tcPr>
            <w:tcW w:w="71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15C28270" w14:textId="438E0AAC" w:rsidR="0012203D" w:rsidRPr="00684F5A" w:rsidRDefault="0012203D" w:rsidP="00B80702">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Negligible</w:t>
            </w:r>
          </w:p>
        </w:tc>
        <w:tc>
          <w:tcPr>
            <w:tcW w:w="71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6212C6DF" w14:textId="0E4D3A5E" w:rsidR="0012203D" w:rsidRPr="00684F5A" w:rsidRDefault="0012203D" w:rsidP="00B80702">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Very low</w:t>
            </w:r>
          </w:p>
        </w:tc>
        <w:tc>
          <w:tcPr>
            <w:tcW w:w="715"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05643E18" w14:textId="685CBCE0" w:rsidR="0012203D" w:rsidRPr="00684F5A" w:rsidRDefault="0012203D" w:rsidP="00B80702">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Low</w:t>
            </w:r>
          </w:p>
        </w:tc>
        <w:tc>
          <w:tcPr>
            <w:tcW w:w="713" w:type="pct"/>
            <w:tcBorders>
              <w:top w:val="single" w:sz="8" w:space="0" w:color="auto"/>
              <w:left w:val="nil"/>
              <w:bottom w:val="single" w:sz="8" w:space="0" w:color="auto"/>
              <w:right w:val="single" w:sz="8" w:space="0" w:color="auto"/>
            </w:tcBorders>
            <w:shd w:val="clear" w:color="auto" w:fill="016574"/>
            <w:vAlign w:val="center"/>
          </w:tcPr>
          <w:p w14:paraId="3ABF23CC" w14:textId="412BCE7D" w:rsidR="0012203D" w:rsidRDefault="0012203D" w:rsidP="00B80702">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Moderate</w:t>
            </w:r>
          </w:p>
        </w:tc>
        <w:tc>
          <w:tcPr>
            <w:tcW w:w="712" w:type="pct"/>
            <w:tcBorders>
              <w:top w:val="single" w:sz="8" w:space="0" w:color="auto"/>
              <w:left w:val="nil"/>
              <w:bottom w:val="single" w:sz="8" w:space="0" w:color="auto"/>
              <w:right w:val="single" w:sz="8" w:space="0" w:color="auto"/>
            </w:tcBorders>
            <w:shd w:val="clear" w:color="auto" w:fill="016574"/>
            <w:vAlign w:val="center"/>
          </w:tcPr>
          <w:p w14:paraId="46BF2D20" w14:textId="60D40FCB" w:rsidR="0012203D" w:rsidRDefault="0012203D" w:rsidP="00B80702">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High</w:t>
            </w:r>
          </w:p>
        </w:tc>
        <w:tc>
          <w:tcPr>
            <w:tcW w:w="706" w:type="pct"/>
            <w:tcBorders>
              <w:top w:val="single" w:sz="8" w:space="0" w:color="auto"/>
              <w:left w:val="nil"/>
              <w:bottom w:val="single" w:sz="8" w:space="0" w:color="auto"/>
              <w:right w:val="single" w:sz="8" w:space="0" w:color="auto"/>
            </w:tcBorders>
            <w:shd w:val="clear" w:color="auto" w:fill="016574"/>
            <w:vAlign w:val="center"/>
          </w:tcPr>
          <w:p w14:paraId="46D8B83A" w14:textId="4876D3D5" w:rsidR="0012203D" w:rsidRDefault="0012203D" w:rsidP="00B80702">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Very high</w:t>
            </w:r>
          </w:p>
        </w:tc>
      </w:tr>
      <w:tr w:rsidR="0012203D" w:rsidRPr="00684F5A" w14:paraId="60A406FB" w14:textId="37AA6BB8" w:rsidTr="007F3A6E">
        <w:trPr>
          <w:trHeight w:val="315"/>
        </w:trPr>
        <w:tc>
          <w:tcPr>
            <w:tcW w:w="72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5AF377A3" w14:textId="44F5F16F" w:rsidR="0012203D" w:rsidRPr="00684F5A" w:rsidRDefault="0012203D" w:rsidP="00B80702">
            <w:pPr>
              <w:spacing w:before="120" w:after="120" w:line="240" w:lineRule="auto"/>
              <w:jc w:val="center"/>
              <w:rPr>
                <w:rFonts w:ascii="Arial" w:eastAsia="Times New Roman" w:hAnsi="Arial" w:cs="Arial"/>
                <w:lang w:eastAsia="en-GB"/>
              </w:rPr>
            </w:pPr>
            <w:r>
              <w:rPr>
                <w:rFonts w:ascii="Arial" w:eastAsia="Times New Roman" w:hAnsi="Arial" w:cs="Arial"/>
                <w:lang w:eastAsia="en-GB"/>
              </w:rPr>
              <w:t>Negligible</w:t>
            </w:r>
          </w:p>
        </w:tc>
        <w:tc>
          <w:tcPr>
            <w:tcW w:w="71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9418859" w14:textId="6F45398B" w:rsidR="0012203D" w:rsidRPr="00684F5A" w:rsidRDefault="0012203D" w:rsidP="00B80702">
            <w:pPr>
              <w:spacing w:before="120" w:after="120" w:line="240" w:lineRule="auto"/>
              <w:jc w:val="center"/>
              <w:rPr>
                <w:rFonts w:ascii="Arial" w:eastAsia="Times New Roman" w:hAnsi="Arial" w:cs="Arial"/>
                <w:lang w:eastAsia="en-GB"/>
              </w:rPr>
            </w:pPr>
            <w:r>
              <w:rPr>
                <w:rFonts w:ascii="Arial" w:eastAsia="Times New Roman" w:hAnsi="Arial" w:cs="Arial"/>
                <w:lang w:eastAsia="en-GB"/>
              </w:rPr>
              <w:t>No</w:t>
            </w:r>
          </w:p>
        </w:tc>
        <w:tc>
          <w:tcPr>
            <w:tcW w:w="71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21899E4" w14:textId="781F6ED0" w:rsidR="0012203D" w:rsidRPr="00684F5A" w:rsidRDefault="0012203D" w:rsidP="00B80702">
            <w:pPr>
              <w:spacing w:before="120" w:after="120" w:line="240" w:lineRule="auto"/>
              <w:jc w:val="center"/>
              <w:rPr>
                <w:rFonts w:ascii="Arial" w:eastAsia="Times New Roman" w:hAnsi="Arial" w:cs="Arial"/>
                <w:lang w:eastAsia="en-GB"/>
              </w:rPr>
            </w:pPr>
            <w:r>
              <w:rPr>
                <w:rFonts w:ascii="Arial" w:eastAsia="Times New Roman" w:hAnsi="Arial" w:cs="Arial"/>
                <w:lang w:eastAsia="en-GB"/>
              </w:rPr>
              <w:t>No</w:t>
            </w:r>
          </w:p>
        </w:tc>
        <w:tc>
          <w:tcPr>
            <w:tcW w:w="71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4D4BEAF" w14:textId="1E6FDA0E" w:rsidR="0012203D" w:rsidRPr="00684F5A" w:rsidRDefault="0012203D" w:rsidP="00B80702">
            <w:pPr>
              <w:spacing w:before="120" w:after="120" w:line="240" w:lineRule="auto"/>
              <w:jc w:val="center"/>
              <w:rPr>
                <w:rFonts w:ascii="Arial" w:eastAsia="Times New Roman" w:hAnsi="Arial" w:cs="Arial"/>
                <w:lang w:eastAsia="en-GB"/>
              </w:rPr>
            </w:pPr>
            <w:r>
              <w:rPr>
                <w:rFonts w:ascii="Arial" w:eastAsia="Times New Roman" w:hAnsi="Arial" w:cs="Arial"/>
                <w:lang w:eastAsia="en-GB"/>
              </w:rPr>
              <w:t>No</w:t>
            </w:r>
          </w:p>
        </w:tc>
        <w:tc>
          <w:tcPr>
            <w:tcW w:w="713" w:type="pct"/>
            <w:tcBorders>
              <w:top w:val="nil"/>
              <w:left w:val="nil"/>
              <w:bottom w:val="single" w:sz="8" w:space="0" w:color="A6A6A6"/>
              <w:right w:val="single" w:sz="8" w:space="0" w:color="A6A6A6"/>
            </w:tcBorders>
          </w:tcPr>
          <w:p w14:paraId="2AD3C72D" w14:textId="7B8B1ECD" w:rsidR="0012203D" w:rsidRPr="00684F5A" w:rsidRDefault="0012203D" w:rsidP="00B80702">
            <w:pPr>
              <w:spacing w:before="120" w:after="120" w:line="240" w:lineRule="auto"/>
              <w:jc w:val="center"/>
              <w:rPr>
                <w:rFonts w:ascii="Arial" w:eastAsia="Times New Roman" w:hAnsi="Arial" w:cs="Arial"/>
                <w:lang w:eastAsia="en-GB"/>
              </w:rPr>
            </w:pPr>
            <w:r>
              <w:rPr>
                <w:rFonts w:ascii="Arial" w:eastAsia="Times New Roman" w:hAnsi="Arial" w:cs="Arial"/>
                <w:lang w:eastAsia="en-GB"/>
              </w:rPr>
              <w:t>Yes</w:t>
            </w:r>
          </w:p>
        </w:tc>
        <w:tc>
          <w:tcPr>
            <w:tcW w:w="712" w:type="pct"/>
            <w:tcBorders>
              <w:top w:val="nil"/>
              <w:left w:val="nil"/>
              <w:bottom w:val="single" w:sz="8" w:space="0" w:color="A6A6A6"/>
              <w:right w:val="single" w:sz="8" w:space="0" w:color="A6A6A6"/>
            </w:tcBorders>
          </w:tcPr>
          <w:p w14:paraId="039BE637" w14:textId="7C1FFCD0" w:rsidR="0012203D" w:rsidRPr="00684F5A" w:rsidRDefault="0012203D" w:rsidP="00B80702">
            <w:pPr>
              <w:spacing w:before="120" w:after="120" w:line="240" w:lineRule="auto"/>
              <w:jc w:val="center"/>
              <w:rPr>
                <w:rFonts w:ascii="Arial" w:eastAsia="Times New Roman" w:hAnsi="Arial" w:cs="Arial"/>
                <w:lang w:eastAsia="en-GB"/>
              </w:rPr>
            </w:pPr>
            <w:r>
              <w:rPr>
                <w:rFonts w:ascii="Arial" w:eastAsia="Times New Roman" w:hAnsi="Arial" w:cs="Arial"/>
                <w:lang w:eastAsia="en-GB"/>
              </w:rPr>
              <w:t>Yes</w:t>
            </w:r>
          </w:p>
        </w:tc>
        <w:tc>
          <w:tcPr>
            <w:tcW w:w="706" w:type="pct"/>
            <w:tcBorders>
              <w:top w:val="nil"/>
              <w:left w:val="nil"/>
              <w:bottom w:val="single" w:sz="8" w:space="0" w:color="A6A6A6"/>
              <w:right w:val="single" w:sz="8" w:space="0" w:color="A6A6A6"/>
            </w:tcBorders>
          </w:tcPr>
          <w:p w14:paraId="1FF35138" w14:textId="4F352AEC" w:rsidR="0012203D" w:rsidRPr="00684F5A" w:rsidRDefault="0012203D" w:rsidP="00B80702">
            <w:pPr>
              <w:spacing w:before="120" w:after="120" w:line="240" w:lineRule="auto"/>
              <w:jc w:val="center"/>
              <w:rPr>
                <w:rFonts w:ascii="Arial" w:eastAsia="Times New Roman" w:hAnsi="Arial" w:cs="Arial"/>
                <w:lang w:eastAsia="en-GB"/>
              </w:rPr>
            </w:pPr>
            <w:r>
              <w:rPr>
                <w:rFonts w:ascii="Arial" w:eastAsia="Times New Roman" w:hAnsi="Arial" w:cs="Arial"/>
                <w:lang w:eastAsia="en-GB"/>
              </w:rPr>
              <w:t>Yes</w:t>
            </w:r>
          </w:p>
        </w:tc>
      </w:tr>
      <w:tr w:rsidR="0012203D" w:rsidRPr="00684F5A" w14:paraId="75BEC8E4" w14:textId="1896AB4B" w:rsidTr="007F3A6E">
        <w:trPr>
          <w:trHeight w:val="300"/>
        </w:trPr>
        <w:tc>
          <w:tcPr>
            <w:tcW w:w="72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0FACA8FF" w14:textId="284D6FE4" w:rsidR="0012203D" w:rsidRPr="00684F5A" w:rsidRDefault="0012203D" w:rsidP="0012203D">
            <w:pPr>
              <w:spacing w:before="120" w:after="120" w:line="240" w:lineRule="auto"/>
              <w:jc w:val="center"/>
              <w:rPr>
                <w:rFonts w:ascii="Arial" w:eastAsia="Times New Roman" w:hAnsi="Arial" w:cs="Arial"/>
                <w:lang w:eastAsia="en-GB"/>
              </w:rPr>
            </w:pPr>
            <w:r>
              <w:rPr>
                <w:rFonts w:ascii="Arial" w:eastAsia="Times New Roman" w:hAnsi="Arial" w:cs="Arial"/>
                <w:lang w:eastAsia="en-GB"/>
              </w:rPr>
              <w:t>Very low</w:t>
            </w:r>
          </w:p>
        </w:tc>
        <w:tc>
          <w:tcPr>
            <w:tcW w:w="71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DDC01FF" w14:textId="4CCC902C" w:rsidR="0012203D" w:rsidRPr="00684F5A" w:rsidRDefault="0012203D" w:rsidP="0012203D">
            <w:pPr>
              <w:spacing w:before="120" w:after="120" w:line="240" w:lineRule="auto"/>
              <w:jc w:val="center"/>
              <w:rPr>
                <w:rFonts w:ascii="Arial" w:eastAsia="Times New Roman" w:hAnsi="Arial" w:cs="Arial"/>
                <w:lang w:eastAsia="en-GB"/>
              </w:rPr>
            </w:pPr>
            <w:r>
              <w:rPr>
                <w:rFonts w:ascii="Arial" w:eastAsia="Times New Roman" w:hAnsi="Arial" w:cs="Arial"/>
                <w:lang w:eastAsia="en-GB"/>
              </w:rPr>
              <w:t>No</w:t>
            </w:r>
          </w:p>
        </w:tc>
        <w:tc>
          <w:tcPr>
            <w:tcW w:w="71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C4578CB" w14:textId="5EC3BA67" w:rsidR="0012203D" w:rsidRPr="00684F5A" w:rsidRDefault="0012203D" w:rsidP="0012203D">
            <w:pPr>
              <w:spacing w:before="120" w:after="120" w:line="240" w:lineRule="auto"/>
              <w:jc w:val="center"/>
              <w:rPr>
                <w:rFonts w:ascii="Arial" w:eastAsia="Times New Roman" w:hAnsi="Arial" w:cs="Arial"/>
                <w:lang w:eastAsia="en-GB"/>
              </w:rPr>
            </w:pPr>
            <w:r>
              <w:rPr>
                <w:rFonts w:ascii="Arial" w:eastAsia="Times New Roman" w:hAnsi="Arial" w:cs="Arial"/>
                <w:lang w:eastAsia="en-GB"/>
              </w:rPr>
              <w:t>No</w:t>
            </w:r>
          </w:p>
        </w:tc>
        <w:tc>
          <w:tcPr>
            <w:tcW w:w="71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037BF9E" w14:textId="15D2FA21" w:rsidR="0012203D" w:rsidRPr="00684F5A" w:rsidRDefault="0012203D" w:rsidP="0012203D">
            <w:pPr>
              <w:spacing w:before="120" w:after="120" w:line="240" w:lineRule="auto"/>
              <w:jc w:val="center"/>
              <w:rPr>
                <w:rFonts w:ascii="Arial" w:eastAsia="Times New Roman" w:hAnsi="Arial" w:cs="Arial"/>
                <w:lang w:eastAsia="en-GB"/>
              </w:rPr>
            </w:pPr>
            <w:r>
              <w:rPr>
                <w:rFonts w:ascii="Arial" w:eastAsia="Times New Roman" w:hAnsi="Arial" w:cs="Arial"/>
                <w:lang w:eastAsia="en-GB"/>
              </w:rPr>
              <w:t>No</w:t>
            </w:r>
          </w:p>
        </w:tc>
        <w:tc>
          <w:tcPr>
            <w:tcW w:w="713" w:type="pct"/>
            <w:tcBorders>
              <w:top w:val="nil"/>
              <w:left w:val="nil"/>
              <w:bottom w:val="single" w:sz="8" w:space="0" w:color="A6A6A6"/>
              <w:right w:val="single" w:sz="8" w:space="0" w:color="A6A6A6"/>
            </w:tcBorders>
          </w:tcPr>
          <w:p w14:paraId="77D884A4" w14:textId="59D28F5D" w:rsidR="0012203D" w:rsidRPr="00684F5A" w:rsidRDefault="0012203D" w:rsidP="0012203D">
            <w:pPr>
              <w:spacing w:before="120" w:after="120" w:line="240" w:lineRule="auto"/>
              <w:jc w:val="center"/>
              <w:rPr>
                <w:rFonts w:ascii="Arial" w:eastAsia="Times New Roman" w:hAnsi="Arial" w:cs="Arial"/>
                <w:lang w:eastAsia="en-GB"/>
              </w:rPr>
            </w:pPr>
            <w:r>
              <w:rPr>
                <w:rFonts w:ascii="Arial" w:eastAsia="Times New Roman" w:hAnsi="Arial" w:cs="Arial"/>
                <w:lang w:eastAsia="en-GB"/>
              </w:rPr>
              <w:t>Yes</w:t>
            </w:r>
          </w:p>
        </w:tc>
        <w:tc>
          <w:tcPr>
            <w:tcW w:w="712" w:type="pct"/>
            <w:tcBorders>
              <w:top w:val="nil"/>
              <w:left w:val="nil"/>
              <w:bottom w:val="single" w:sz="8" w:space="0" w:color="A6A6A6"/>
              <w:right w:val="single" w:sz="8" w:space="0" w:color="A6A6A6"/>
            </w:tcBorders>
          </w:tcPr>
          <w:p w14:paraId="36C22279" w14:textId="7DD2D8A5" w:rsidR="0012203D" w:rsidRPr="00684F5A" w:rsidRDefault="0012203D" w:rsidP="0012203D">
            <w:pPr>
              <w:spacing w:before="120" w:after="120" w:line="240" w:lineRule="auto"/>
              <w:jc w:val="center"/>
              <w:rPr>
                <w:rFonts w:ascii="Arial" w:eastAsia="Times New Roman" w:hAnsi="Arial" w:cs="Arial"/>
                <w:lang w:eastAsia="en-GB"/>
              </w:rPr>
            </w:pPr>
            <w:r>
              <w:rPr>
                <w:rFonts w:ascii="Arial" w:eastAsia="Times New Roman" w:hAnsi="Arial" w:cs="Arial"/>
                <w:lang w:eastAsia="en-GB"/>
              </w:rPr>
              <w:t>Yes</w:t>
            </w:r>
          </w:p>
        </w:tc>
        <w:tc>
          <w:tcPr>
            <w:tcW w:w="706" w:type="pct"/>
            <w:tcBorders>
              <w:top w:val="nil"/>
              <w:left w:val="nil"/>
              <w:bottom w:val="single" w:sz="8" w:space="0" w:color="A6A6A6"/>
              <w:right w:val="single" w:sz="8" w:space="0" w:color="A6A6A6"/>
            </w:tcBorders>
          </w:tcPr>
          <w:p w14:paraId="673609E0" w14:textId="1CCE276E" w:rsidR="0012203D" w:rsidRPr="00684F5A" w:rsidRDefault="0012203D" w:rsidP="0012203D">
            <w:pPr>
              <w:spacing w:before="120" w:after="120" w:line="240" w:lineRule="auto"/>
              <w:jc w:val="center"/>
              <w:rPr>
                <w:rFonts w:ascii="Arial" w:eastAsia="Times New Roman" w:hAnsi="Arial" w:cs="Arial"/>
                <w:lang w:eastAsia="en-GB"/>
              </w:rPr>
            </w:pPr>
            <w:r>
              <w:rPr>
                <w:rFonts w:ascii="Arial" w:eastAsia="Times New Roman" w:hAnsi="Arial" w:cs="Arial"/>
                <w:lang w:eastAsia="en-GB"/>
              </w:rPr>
              <w:t>Yes</w:t>
            </w:r>
          </w:p>
        </w:tc>
      </w:tr>
      <w:tr w:rsidR="0012203D" w:rsidRPr="00684F5A" w14:paraId="685BC551" w14:textId="36BEA266" w:rsidTr="007F3A6E">
        <w:trPr>
          <w:trHeight w:val="300"/>
        </w:trPr>
        <w:tc>
          <w:tcPr>
            <w:tcW w:w="72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332DD162" w14:textId="0A2D6D80" w:rsidR="0012203D" w:rsidRPr="00684F5A" w:rsidRDefault="0012203D" w:rsidP="00B80702">
            <w:pPr>
              <w:spacing w:before="120" w:after="120" w:line="240" w:lineRule="auto"/>
              <w:jc w:val="center"/>
              <w:rPr>
                <w:rFonts w:ascii="Arial" w:eastAsia="Times New Roman" w:hAnsi="Arial" w:cs="Arial"/>
                <w:lang w:eastAsia="en-GB"/>
              </w:rPr>
            </w:pPr>
            <w:r>
              <w:rPr>
                <w:rFonts w:ascii="Arial" w:eastAsia="Times New Roman" w:hAnsi="Arial" w:cs="Arial"/>
                <w:lang w:eastAsia="en-GB"/>
              </w:rPr>
              <w:t>Low</w:t>
            </w:r>
          </w:p>
        </w:tc>
        <w:tc>
          <w:tcPr>
            <w:tcW w:w="71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FC67CE1" w14:textId="46739ECB" w:rsidR="0012203D" w:rsidRPr="00684F5A" w:rsidRDefault="005D59D8" w:rsidP="00B80702">
            <w:pPr>
              <w:spacing w:before="120" w:after="120" w:line="240" w:lineRule="auto"/>
              <w:jc w:val="center"/>
              <w:rPr>
                <w:rFonts w:ascii="Arial" w:eastAsia="Times New Roman" w:hAnsi="Arial" w:cs="Arial"/>
                <w:lang w:eastAsia="en-GB"/>
              </w:rPr>
            </w:pPr>
            <w:r>
              <w:rPr>
                <w:rFonts w:ascii="Arial" w:eastAsia="Times New Roman" w:hAnsi="Arial" w:cs="Arial"/>
                <w:lang w:eastAsia="en-GB"/>
              </w:rPr>
              <w:t>No</w:t>
            </w:r>
          </w:p>
        </w:tc>
        <w:tc>
          <w:tcPr>
            <w:tcW w:w="71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CB1D399" w14:textId="74BA28D5" w:rsidR="0012203D" w:rsidRPr="00684F5A" w:rsidRDefault="005D59D8" w:rsidP="00B80702">
            <w:pPr>
              <w:spacing w:before="120" w:after="120" w:line="240" w:lineRule="auto"/>
              <w:jc w:val="center"/>
              <w:rPr>
                <w:rFonts w:ascii="Arial" w:eastAsia="Times New Roman" w:hAnsi="Arial" w:cs="Arial"/>
                <w:lang w:eastAsia="en-GB"/>
              </w:rPr>
            </w:pPr>
            <w:r>
              <w:rPr>
                <w:rFonts w:ascii="Arial" w:eastAsia="Times New Roman" w:hAnsi="Arial" w:cs="Arial"/>
                <w:lang w:eastAsia="en-GB"/>
              </w:rPr>
              <w:t>No</w:t>
            </w:r>
          </w:p>
        </w:tc>
        <w:tc>
          <w:tcPr>
            <w:tcW w:w="71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D0F8B31" w14:textId="13586942" w:rsidR="0012203D" w:rsidRPr="00684F5A" w:rsidRDefault="005D59D8" w:rsidP="00B80702">
            <w:pPr>
              <w:spacing w:before="120" w:after="120" w:line="240" w:lineRule="auto"/>
              <w:jc w:val="center"/>
              <w:rPr>
                <w:rFonts w:ascii="Arial" w:eastAsia="Times New Roman" w:hAnsi="Arial" w:cs="Arial"/>
                <w:lang w:eastAsia="en-GB"/>
              </w:rPr>
            </w:pPr>
            <w:r>
              <w:rPr>
                <w:rFonts w:ascii="Arial" w:eastAsia="Times New Roman" w:hAnsi="Arial" w:cs="Arial"/>
                <w:lang w:eastAsia="en-GB"/>
              </w:rPr>
              <w:t>No</w:t>
            </w:r>
          </w:p>
        </w:tc>
        <w:tc>
          <w:tcPr>
            <w:tcW w:w="713" w:type="pct"/>
            <w:tcBorders>
              <w:top w:val="nil"/>
              <w:left w:val="nil"/>
              <w:bottom w:val="single" w:sz="8" w:space="0" w:color="A6A6A6"/>
              <w:right w:val="single" w:sz="8" w:space="0" w:color="A6A6A6"/>
            </w:tcBorders>
          </w:tcPr>
          <w:p w14:paraId="2ACC12DA" w14:textId="41CAC2AC" w:rsidR="0012203D" w:rsidRPr="00684F5A" w:rsidRDefault="005D59D8" w:rsidP="00B80702">
            <w:pPr>
              <w:spacing w:before="120" w:after="120" w:line="240" w:lineRule="auto"/>
              <w:jc w:val="center"/>
              <w:rPr>
                <w:rFonts w:ascii="Arial" w:eastAsia="Times New Roman" w:hAnsi="Arial" w:cs="Arial"/>
                <w:lang w:eastAsia="en-GB"/>
              </w:rPr>
            </w:pPr>
            <w:r>
              <w:rPr>
                <w:rFonts w:ascii="Arial" w:eastAsia="Times New Roman" w:hAnsi="Arial" w:cs="Arial"/>
                <w:lang w:eastAsia="en-GB"/>
              </w:rPr>
              <w:t>A</w:t>
            </w:r>
          </w:p>
        </w:tc>
        <w:tc>
          <w:tcPr>
            <w:tcW w:w="712" w:type="pct"/>
            <w:tcBorders>
              <w:top w:val="nil"/>
              <w:left w:val="nil"/>
              <w:bottom w:val="single" w:sz="8" w:space="0" w:color="A6A6A6"/>
              <w:right w:val="single" w:sz="8" w:space="0" w:color="A6A6A6"/>
            </w:tcBorders>
          </w:tcPr>
          <w:p w14:paraId="4A976A8A" w14:textId="57B78AB2" w:rsidR="0012203D" w:rsidRPr="00684F5A" w:rsidRDefault="005D59D8" w:rsidP="00B80702">
            <w:pPr>
              <w:spacing w:before="120" w:after="120" w:line="240" w:lineRule="auto"/>
              <w:jc w:val="center"/>
              <w:rPr>
                <w:rFonts w:ascii="Arial" w:eastAsia="Times New Roman" w:hAnsi="Arial" w:cs="Arial"/>
                <w:lang w:eastAsia="en-GB"/>
              </w:rPr>
            </w:pPr>
            <w:r>
              <w:rPr>
                <w:rFonts w:ascii="Arial" w:eastAsia="Times New Roman" w:hAnsi="Arial" w:cs="Arial"/>
                <w:lang w:eastAsia="en-GB"/>
              </w:rPr>
              <w:t>Yes</w:t>
            </w:r>
          </w:p>
        </w:tc>
        <w:tc>
          <w:tcPr>
            <w:tcW w:w="706" w:type="pct"/>
            <w:tcBorders>
              <w:top w:val="nil"/>
              <w:left w:val="nil"/>
              <w:bottom w:val="single" w:sz="8" w:space="0" w:color="A6A6A6"/>
              <w:right w:val="single" w:sz="8" w:space="0" w:color="A6A6A6"/>
            </w:tcBorders>
          </w:tcPr>
          <w:p w14:paraId="4A68F4F3" w14:textId="11BBFC66" w:rsidR="0012203D" w:rsidRPr="00684F5A" w:rsidRDefault="005D59D8" w:rsidP="00B80702">
            <w:pPr>
              <w:spacing w:before="120" w:after="120" w:line="240" w:lineRule="auto"/>
              <w:jc w:val="center"/>
              <w:rPr>
                <w:rFonts w:ascii="Arial" w:eastAsia="Times New Roman" w:hAnsi="Arial" w:cs="Arial"/>
                <w:lang w:eastAsia="en-GB"/>
              </w:rPr>
            </w:pPr>
            <w:r>
              <w:rPr>
                <w:rFonts w:ascii="Arial" w:eastAsia="Times New Roman" w:hAnsi="Arial" w:cs="Arial"/>
                <w:lang w:eastAsia="en-GB"/>
              </w:rPr>
              <w:t>Yes</w:t>
            </w:r>
          </w:p>
        </w:tc>
      </w:tr>
      <w:tr w:rsidR="0012203D" w:rsidRPr="00684F5A" w14:paraId="11AF0F03" w14:textId="1EF2DE95" w:rsidTr="007F3A6E">
        <w:trPr>
          <w:trHeight w:val="300"/>
        </w:trPr>
        <w:tc>
          <w:tcPr>
            <w:tcW w:w="72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23ADB18F" w14:textId="4E3574C9" w:rsidR="0012203D" w:rsidRPr="00684F5A" w:rsidRDefault="0012203D" w:rsidP="00B80702">
            <w:pPr>
              <w:spacing w:before="120" w:after="120" w:line="240" w:lineRule="auto"/>
              <w:jc w:val="center"/>
              <w:rPr>
                <w:rFonts w:ascii="Arial" w:eastAsia="Times New Roman" w:hAnsi="Arial" w:cs="Arial"/>
                <w:lang w:eastAsia="en-GB"/>
              </w:rPr>
            </w:pPr>
            <w:r>
              <w:rPr>
                <w:rFonts w:ascii="Arial" w:eastAsia="Times New Roman" w:hAnsi="Arial" w:cs="Arial"/>
                <w:lang w:eastAsia="en-GB"/>
              </w:rPr>
              <w:t>Moderate</w:t>
            </w:r>
          </w:p>
        </w:tc>
        <w:tc>
          <w:tcPr>
            <w:tcW w:w="71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9817B76" w14:textId="46F126F7" w:rsidR="0012203D" w:rsidRPr="00684F5A" w:rsidRDefault="005D59D8" w:rsidP="00B80702">
            <w:pPr>
              <w:spacing w:before="120" w:after="120" w:line="240" w:lineRule="auto"/>
              <w:jc w:val="center"/>
              <w:rPr>
                <w:rFonts w:ascii="Arial" w:eastAsia="Times New Roman" w:hAnsi="Arial" w:cs="Arial"/>
                <w:lang w:eastAsia="en-GB"/>
              </w:rPr>
            </w:pPr>
            <w:r>
              <w:rPr>
                <w:rFonts w:ascii="Arial" w:eastAsia="Times New Roman" w:hAnsi="Arial" w:cs="Arial"/>
                <w:lang w:eastAsia="en-GB"/>
              </w:rPr>
              <w:t>No</w:t>
            </w:r>
          </w:p>
        </w:tc>
        <w:tc>
          <w:tcPr>
            <w:tcW w:w="71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76A46C4" w14:textId="7A89A52A" w:rsidR="0012203D" w:rsidRPr="00684F5A" w:rsidRDefault="005D59D8" w:rsidP="00B80702">
            <w:pPr>
              <w:spacing w:before="120" w:after="120" w:line="240" w:lineRule="auto"/>
              <w:jc w:val="center"/>
              <w:rPr>
                <w:rFonts w:ascii="Arial" w:eastAsia="Times New Roman" w:hAnsi="Arial" w:cs="Arial"/>
                <w:lang w:eastAsia="en-GB"/>
              </w:rPr>
            </w:pPr>
            <w:r>
              <w:rPr>
                <w:rFonts w:ascii="Arial" w:eastAsia="Times New Roman" w:hAnsi="Arial" w:cs="Arial"/>
                <w:lang w:eastAsia="en-GB"/>
              </w:rPr>
              <w:t>No</w:t>
            </w:r>
          </w:p>
        </w:tc>
        <w:tc>
          <w:tcPr>
            <w:tcW w:w="71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329B26F" w14:textId="3BAB0945" w:rsidR="0012203D" w:rsidRPr="00684F5A" w:rsidRDefault="005D59D8" w:rsidP="00B80702">
            <w:pPr>
              <w:spacing w:before="120" w:after="120" w:line="240" w:lineRule="auto"/>
              <w:jc w:val="center"/>
              <w:rPr>
                <w:rFonts w:ascii="Arial" w:eastAsia="Times New Roman" w:hAnsi="Arial" w:cs="Arial"/>
                <w:lang w:eastAsia="en-GB"/>
              </w:rPr>
            </w:pPr>
            <w:r>
              <w:rPr>
                <w:rFonts w:ascii="Arial" w:eastAsia="Times New Roman" w:hAnsi="Arial" w:cs="Arial"/>
                <w:lang w:eastAsia="en-GB"/>
              </w:rPr>
              <w:t>No</w:t>
            </w:r>
          </w:p>
        </w:tc>
        <w:tc>
          <w:tcPr>
            <w:tcW w:w="713" w:type="pct"/>
            <w:tcBorders>
              <w:top w:val="nil"/>
              <w:left w:val="nil"/>
              <w:bottom w:val="single" w:sz="8" w:space="0" w:color="A6A6A6"/>
              <w:right w:val="single" w:sz="8" w:space="0" w:color="A6A6A6"/>
            </w:tcBorders>
          </w:tcPr>
          <w:p w14:paraId="148B8C87" w14:textId="50384DAA" w:rsidR="0012203D" w:rsidRPr="00684F5A" w:rsidRDefault="005D59D8" w:rsidP="00B80702">
            <w:pPr>
              <w:spacing w:before="120" w:after="120" w:line="240" w:lineRule="auto"/>
              <w:jc w:val="center"/>
              <w:rPr>
                <w:rFonts w:ascii="Arial" w:eastAsia="Times New Roman" w:hAnsi="Arial" w:cs="Arial"/>
                <w:lang w:eastAsia="en-GB"/>
              </w:rPr>
            </w:pPr>
            <w:r>
              <w:rPr>
                <w:rFonts w:ascii="Arial" w:eastAsia="Times New Roman" w:hAnsi="Arial" w:cs="Arial"/>
                <w:lang w:eastAsia="en-GB"/>
              </w:rPr>
              <w:t>B</w:t>
            </w:r>
          </w:p>
        </w:tc>
        <w:tc>
          <w:tcPr>
            <w:tcW w:w="712" w:type="pct"/>
            <w:tcBorders>
              <w:top w:val="nil"/>
              <w:left w:val="nil"/>
              <w:bottom w:val="single" w:sz="8" w:space="0" w:color="A6A6A6"/>
              <w:right w:val="single" w:sz="8" w:space="0" w:color="A6A6A6"/>
            </w:tcBorders>
          </w:tcPr>
          <w:p w14:paraId="0B3978AD" w14:textId="0376CF9B" w:rsidR="0012203D" w:rsidRPr="00684F5A" w:rsidRDefault="005D59D8" w:rsidP="00B80702">
            <w:pPr>
              <w:spacing w:before="120" w:after="120" w:line="240" w:lineRule="auto"/>
              <w:jc w:val="center"/>
              <w:rPr>
                <w:rFonts w:ascii="Arial" w:eastAsia="Times New Roman" w:hAnsi="Arial" w:cs="Arial"/>
                <w:lang w:eastAsia="en-GB"/>
              </w:rPr>
            </w:pPr>
            <w:r>
              <w:rPr>
                <w:rFonts w:ascii="Arial" w:eastAsia="Times New Roman" w:hAnsi="Arial" w:cs="Arial"/>
                <w:lang w:eastAsia="en-GB"/>
              </w:rPr>
              <w:t>Yes</w:t>
            </w:r>
          </w:p>
        </w:tc>
        <w:tc>
          <w:tcPr>
            <w:tcW w:w="706" w:type="pct"/>
            <w:tcBorders>
              <w:top w:val="nil"/>
              <w:left w:val="nil"/>
              <w:bottom w:val="single" w:sz="8" w:space="0" w:color="A6A6A6"/>
              <w:right w:val="single" w:sz="8" w:space="0" w:color="A6A6A6"/>
            </w:tcBorders>
          </w:tcPr>
          <w:p w14:paraId="6651BB8A" w14:textId="124084EE" w:rsidR="0012203D" w:rsidRPr="00684F5A" w:rsidRDefault="005D59D8" w:rsidP="00B80702">
            <w:pPr>
              <w:spacing w:before="120" w:after="120" w:line="240" w:lineRule="auto"/>
              <w:jc w:val="center"/>
              <w:rPr>
                <w:rFonts w:ascii="Arial" w:eastAsia="Times New Roman" w:hAnsi="Arial" w:cs="Arial"/>
                <w:lang w:eastAsia="en-GB"/>
              </w:rPr>
            </w:pPr>
            <w:r>
              <w:rPr>
                <w:rFonts w:ascii="Arial" w:eastAsia="Times New Roman" w:hAnsi="Arial" w:cs="Arial"/>
                <w:lang w:eastAsia="en-GB"/>
              </w:rPr>
              <w:t>Yes</w:t>
            </w:r>
          </w:p>
        </w:tc>
      </w:tr>
      <w:tr w:rsidR="0012203D" w:rsidRPr="00684F5A" w14:paraId="05780B74" w14:textId="6599FD57" w:rsidTr="007F3A6E">
        <w:trPr>
          <w:trHeight w:val="300"/>
        </w:trPr>
        <w:tc>
          <w:tcPr>
            <w:tcW w:w="72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C5D4527" w14:textId="6BC1A3B5" w:rsidR="0012203D" w:rsidRDefault="0012203D" w:rsidP="00B80702">
            <w:pPr>
              <w:spacing w:before="120" w:after="120" w:line="240" w:lineRule="auto"/>
              <w:jc w:val="center"/>
              <w:rPr>
                <w:rFonts w:ascii="Arial" w:eastAsia="Times New Roman" w:hAnsi="Arial" w:cs="Arial"/>
                <w:lang w:eastAsia="en-GB"/>
              </w:rPr>
            </w:pPr>
            <w:r>
              <w:rPr>
                <w:rFonts w:ascii="Arial" w:eastAsia="Times New Roman" w:hAnsi="Arial" w:cs="Arial"/>
                <w:lang w:eastAsia="en-GB"/>
              </w:rPr>
              <w:t>High</w:t>
            </w:r>
          </w:p>
        </w:tc>
        <w:tc>
          <w:tcPr>
            <w:tcW w:w="71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132ABB4" w14:textId="3A3230E0" w:rsidR="0012203D" w:rsidRPr="00684F5A" w:rsidRDefault="005D59D8" w:rsidP="00B80702">
            <w:pPr>
              <w:spacing w:before="120" w:after="120" w:line="240" w:lineRule="auto"/>
              <w:jc w:val="center"/>
              <w:rPr>
                <w:rFonts w:ascii="Arial" w:eastAsia="Times New Roman" w:hAnsi="Arial" w:cs="Arial"/>
                <w:lang w:eastAsia="en-GB"/>
              </w:rPr>
            </w:pPr>
            <w:r>
              <w:rPr>
                <w:rFonts w:ascii="Arial" w:eastAsia="Times New Roman" w:hAnsi="Arial" w:cs="Arial"/>
                <w:lang w:eastAsia="en-GB"/>
              </w:rPr>
              <w:t>No</w:t>
            </w:r>
          </w:p>
        </w:tc>
        <w:tc>
          <w:tcPr>
            <w:tcW w:w="71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FF1FD9E" w14:textId="6D5282A9" w:rsidR="0012203D" w:rsidRPr="00684F5A" w:rsidRDefault="005D59D8" w:rsidP="00B80702">
            <w:pPr>
              <w:spacing w:before="120" w:after="120" w:line="240" w:lineRule="auto"/>
              <w:jc w:val="center"/>
              <w:rPr>
                <w:rFonts w:ascii="Arial" w:eastAsia="Times New Roman" w:hAnsi="Arial" w:cs="Arial"/>
                <w:lang w:eastAsia="en-GB"/>
              </w:rPr>
            </w:pPr>
            <w:r>
              <w:rPr>
                <w:rFonts w:ascii="Arial" w:eastAsia="Times New Roman" w:hAnsi="Arial" w:cs="Arial"/>
                <w:lang w:eastAsia="en-GB"/>
              </w:rPr>
              <w:t>No</w:t>
            </w:r>
          </w:p>
        </w:tc>
        <w:tc>
          <w:tcPr>
            <w:tcW w:w="71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19B7F86" w14:textId="6238C589" w:rsidR="0012203D" w:rsidRPr="00684F5A" w:rsidRDefault="005D59D8" w:rsidP="00B80702">
            <w:pPr>
              <w:spacing w:before="120" w:after="120" w:line="240" w:lineRule="auto"/>
              <w:jc w:val="center"/>
              <w:rPr>
                <w:rFonts w:ascii="Arial" w:eastAsia="Times New Roman" w:hAnsi="Arial" w:cs="Arial"/>
                <w:lang w:eastAsia="en-GB"/>
              </w:rPr>
            </w:pPr>
            <w:r>
              <w:rPr>
                <w:rFonts w:ascii="Arial" w:eastAsia="Times New Roman" w:hAnsi="Arial" w:cs="Arial"/>
                <w:lang w:eastAsia="en-GB"/>
              </w:rPr>
              <w:t>No</w:t>
            </w:r>
          </w:p>
        </w:tc>
        <w:tc>
          <w:tcPr>
            <w:tcW w:w="713" w:type="pct"/>
            <w:tcBorders>
              <w:top w:val="nil"/>
              <w:left w:val="nil"/>
              <w:bottom w:val="single" w:sz="8" w:space="0" w:color="A6A6A6"/>
              <w:right w:val="single" w:sz="8" w:space="0" w:color="A6A6A6"/>
            </w:tcBorders>
          </w:tcPr>
          <w:p w14:paraId="7A5AE144" w14:textId="7285049A" w:rsidR="0012203D" w:rsidRPr="00684F5A" w:rsidRDefault="005D59D8" w:rsidP="00B80702">
            <w:pPr>
              <w:spacing w:before="120" w:after="120" w:line="240" w:lineRule="auto"/>
              <w:jc w:val="center"/>
              <w:rPr>
                <w:rFonts w:ascii="Arial" w:eastAsia="Times New Roman" w:hAnsi="Arial" w:cs="Arial"/>
                <w:lang w:eastAsia="en-GB"/>
              </w:rPr>
            </w:pPr>
            <w:r>
              <w:rPr>
                <w:rFonts w:ascii="Arial" w:eastAsia="Times New Roman" w:hAnsi="Arial" w:cs="Arial"/>
                <w:lang w:eastAsia="en-GB"/>
              </w:rPr>
              <w:t>No</w:t>
            </w:r>
          </w:p>
        </w:tc>
        <w:tc>
          <w:tcPr>
            <w:tcW w:w="712" w:type="pct"/>
            <w:tcBorders>
              <w:top w:val="nil"/>
              <w:left w:val="nil"/>
              <w:bottom w:val="single" w:sz="8" w:space="0" w:color="A6A6A6"/>
              <w:right w:val="single" w:sz="8" w:space="0" w:color="A6A6A6"/>
            </w:tcBorders>
          </w:tcPr>
          <w:p w14:paraId="2C1DEAD4" w14:textId="1B085D3C" w:rsidR="0012203D" w:rsidRPr="00684F5A" w:rsidRDefault="005D59D8" w:rsidP="00B80702">
            <w:pPr>
              <w:spacing w:before="120" w:after="120" w:line="240" w:lineRule="auto"/>
              <w:jc w:val="center"/>
              <w:rPr>
                <w:rFonts w:ascii="Arial" w:eastAsia="Times New Roman" w:hAnsi="Arial" w:cs="Arial"/>
                <w:lang w:eastAsia="en-GB"/>
              </w:rPr>
            </w:pPr>
            <w:r>
              <w:rPr>
                <w:rFonts w:ascii="Arial" w:eastAsia="Times New Roman" w:hAnsi="Arial" w:cs="Arial"/>
                <w:lang w:eastAsia="en-GB"/>
              </w:rPr>
              <w:t>C</w:t>
            </w:r>
          </w:p>
        </w:tc>
        <w:tc>
          <w:tcPr>
            <w:tcW w:w="706" w:type="pct"/>
            <w:tcBorders>
              <w:top w:val="nil"/>
              <w:left w:val="nil"/>
              <w:bottom w:val="single" w:sz="8" w:space="0" w:color="A6A6A6"/>
              <w:right w:val="single" w:sz="8" w:space="0" w:color="A6A6A6"/>
            </w:tcBorders>
          </w:tcPr>
          <w:p w14:paraId="5F98E1DF" w14:textId="5DE74942" w:rsidR="0012203D" w:rsidRPr="00684F5A" w:rsidRDefault="005D59D8" w:rsidP="00B80702">
            <w:pPr>
              <w:spacing w:before="120" w:after="120" w:line="240" w:lineRule="auto"/>
              <w:jc w:val="center"/>
              <w:rPr>
                <w:rFonts w:ascii="Arial" w:eastAsia="Times New Roman" w:hAnsi="Arial" w:cs="Arial"/>
                <w:lang w:eastAsia="en-GB"/>
              </w:rPr>
            </w:pPr>
            <w:r>
              <w:rPr>
                <w:rFonts w:ascii="Arial" w:eastAsia="Times New Roman" w:hAnsi="Arial" w:cs="Arial"/>
                <w:lang w:eastAsia="en-GB"/>
              </w:rPr>
              <w:t>Yes</w:t>
            </w:r>
          </w:p>
        </w:tc>
      </w:tr>
      <w:tr w:rsidR="0012203D" w:rsidRPr="00684F5A" w14:paraId="4D11281C" w14:textId="1D19E3D2" w:rsidTr="007F3A6E">
        <w:trPr>
          <w:trHeight w:val="300"/>
        </w:trPr>
        <w:tc>
          <w:tcPr>
            <w:tcW w:w="72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F6CADB6" w14:textId="75323498" w:rsidR="0012203D" w:rsidRDefault="0012203D" w:rsidP="00B80702">
            <w:pPr>
              <w:spacing w:before="120" w:after="120" w:line="240" w:lineRule="auto"/>
              <w:jc w:val="center"/>
              <w:rPr>
                <w:rFonts w:ascii="Arial" w:eastAsia="Times New Roman" w:hAnsi="Arial" w:cs="Arial"/>
                <w:lang w:eastAsia="en-GB"/>
              </w:rPr>
            </w:pPr>
            <w:r>
              <w:rPr>
                <w:rFonts w:ascii="Arial" w:eastAsia="Times New Roman" w:hAnsi="Arial" w:cs="Arial"/>
                <w:lang w:eastAsia="en-GB"/>
              </w:rPr>
              <w:t>Very High</w:t>
            </w:r>
          </w:p>
        </w:tc>
        <w:tc>
          <w:tcPr>
            <w:tcW w:w="71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75101B9" w14:textId="6AC0E009" w:rsidR="0012203D" w:rsidRPr="00684F5A" w:rsidRDefault="005D59D8" w:rsidP="00B80702">
            <w:pPr>
              <w:spacing w:before="120" w:after="120" w:line="240" w:lineRule="auto"/>
              <w:jc w:val="center"/>
              <w:rPr>
                <w:rFonts w:ascii="Arial" w:eastAsia="Times New Roman" w:hAnsi="Arial" w:cs="Arial"/>
                <w:lang w:eastAsia="en-GB"/>
              </w:rPr>
            </w:pPr>
            <w:r>
              <w:rPr>
                <w:rFonts w:ascii="Arial" w:eastAsia="Times New Roman" w:hAnsi="Arial" w:cs="Arial"/>
                <w:lang w:eastAsia="en-GB"/>
              </w:rPr>
              <w:t>No</w:t>
            </w:r>
          </w:p>
        </w:tc>
        <w:tc>
          <w:tcPr>
            <w:tcW w:w="71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9BBF18C" w14:textId="67C2A3F9" w:rsidR="0012203D" w:rsidRPr="00684F5A" w:rsidRDefault="005D59D8" w:rsidP="00B80702">
            <w:pPr>
              <w:spacing w:before="120" w:after="120" w:line="240" w:lineRule="auto"/>
              <w:jc w:val="center"/>
              <w:rPr>
                <w:rFonts w:ascii="Arial" w:eastAsia="Times New Roman" w:hAnsi="Arial" w:cs="Arial"/>
                <w:lang w:eastAsia="en-GB"/>
              </w:rPr>
            </w:pPr>
            <w:r>
              <w:rPr>
                <w:rFonts w:ascii="Arial" w:eastAsia="Times New Roman" w:hAnsi="Arial" w:cs="Arial"/>
                <w:lang w:eastAsia="en-GB"/>
              </w:rPr>
              <w:t>No</w:t>
            </w:r>
          </w:p>
        </w:tc>
        <w:tc>
          <w:tcPr>
            <w:tcW w:w="71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A2E4B72" w14:textId="3668AA44" w:rsidR="0012203D" w:rsidRPr="00684F5A" w:rsidRDefault="005D59D8" w:rsidP="00B80702">
            <w:pPr>
              <w:spacing w:before="120" w:after="120" w:line="240" w:lineRule="auto"/>
              <w:jc w:val="center"/>
              <w:rPr>
                <w:rFonts w:ascii="Arial" w:eastAsia="Times New Roman" w:hAnsi="Arial" w:cs="Arial"/>
                <w:lang w:eastAsia="en-GB"/>
              </w:rPr>
            </w:pPr>
            <w:r>
              <w:rPr>
                <w:rFonts w:ascii="Arial" w:eastAsia="Times New Roman" w:hAnsi="Arial" w:cs="Arial"/>
                <w:lang w:eastAsia="en-GB"/>
              </w:rPr>
              <w:t>No</w:t>
            </w:r>
          </w:p>
        </w:tc>
        <w:tc>
          <w:tcPr>
            <w:tcW w:w="713" w:type="pct"/>
            <w:tcBorders>
              <w:top w:val="nil"/>
              <w:left w:val="nil"/>
              <w:bottom w:val="single" w:sz="8" w:space="0" w:color="A6A6A6"/>
              <w:right w:val="single" w:sz="8" w:space="0" w:color="A6A6A6"/>
            </w:tcBorders>
          </w:tcPr>
          <w:p w14:paraId="374DD927" w14:textId="6BBB0C90" w:rsidR="0012203D" w:rsidRPr="00684F5A" w:rsidRDefault="005D59D8" w:rsidP="00B80702">
            <w:pPr>
              <w:spacing w:before="120" w:after="120" w:line="240" w:lineRule="auto"/>
              <w:jc w:val="center"/>
              <w:rPr>
                <w:rFonts w:ascii="Arial" w:eastAsia="Times New Roman" w:hAnsi="Arial" w:cs="Arial"/>
                <w:lang w:eastAsia="en-GB"/>
              </w:rPr>
            </w:pPr>
            <w:r>
              <w:rPr>
                <w:rFonts w:ascii="Arial" w:eastAsia="Times New Roman" w:hAnsi="Arial" w:cs="Arial"/>
                <w:lang w:eastAsia="en-GB"/>
              </w:rPr>
              <w:t>No</w:t>
            </w:r>
          </w:p>
        </w:tc>
        <w:tc>
          <w:tcPr>
            <w:tcW w:w="712" w:type="pct"/>
            <w:tcBorders>
              <w:top w:val="nil"/>
              <w:left w:val="nil"/>
              <w:bottom w:val="single" w:sz="8" w:space="0" w:color="A6A6A6"/>
              <w:right w:val="single" w:sz="8" w:space="0" w:color="A6A6A6"/>
            </w:tcBorders>
          </w:tcPr>
          <w:p w14:paraId="66B16BA7" w14:textId="35D77DF3" w:rsidR="0012203D" w:rsidRPr="00684F5A" w:rsidRDefault="005D59D8" w:rsidP="00B80702">
            <w:pPr>
              <w:spacing w:before="120" w:after="120" w:line="240" w:lineRule="auto"/>
              <w:jc w:val="center"/>
              <w:rPr>
                <w:rFonts w:ascii="Arial" w:eastAsia="Times New Roman" w:hAnsi="Arial" w:cs="Arial"/>
                <w:lang w:eastAsia="en-GB"/>
              </w:rPr>
            </w:pPr>
            <w:r>
              <w:rPr>
                <w:rFonts w:ascii="Arial" w:eastAsia="Times New Roman" w:hAnsi="Arial" w:cs="Arial"/>
                <w:lang w:eastAsia="en-GB"/>
              </w:rPr>
              <w:t>No</w:t>
            </w:r>
          </w:p>
        </w:tc>
        <w:tc>
          <w:tcPr>
            <w:tcW w:w="706" w:type="pct"/>
            <w:tcBorders>
              <w:top w:val="nil"/>
              <w:left w:val="nil"/>
              <w:bottom w:val="single" w:sz="8" w:space="0" w:color="A6A6A6"/>
              <w:right w:val="single" w:sz="8" w:space="0" w:color="A6A6A6"/>
            </w:tcBorders>
          </w:tcPr>
          <w:p w14:paraId="0545B14E" w14:textId="27079C90" w:rsidR="0012203D" w:rsidRPr="00684F5A" w:rsidRDefault="005D59D8" w:rsidP="00B80702">
            <w:pPr>
              <w:spacing w:before="120" w:after="120" w:line="240" w:lineRule="auto"/>
              <w:jc w:val="center"/>
              <w:rPr>
                <w:rFonts w:ascii="Arial" w:eastAsia="Times New Roman" w:hAnsi="Arial" w:cs="Arial"/>
                <w:lang w:eastAsia="en-GB"/>
              </w:rPr>
            </w:pPr>
            <w:r>
              <w:rPr>
                <w:rFonts w:ascii="Arial" w:eastAsia="Times New Roman" w:hAnsi="Arial" w:cs="Arial"/>
                <w:lang w:eastAsia="en-GB"/>
              </w:rPr>
              <w:t>D</w:t>
            </w:r>
          </w:p>
        </w:tc>
      </w:tr>
    </w:tbl>
    <w:p w14:paraId="120ABC26" w14:textId="6043F843" w:rsidR="00B81034" w:rsidRPr="008527E2" w:rsidRDefault="00B81034" w:rsidP="00FD6749">
      <w:pPr>
        <w:pStyle w:val="BodyText1"/>
      </w:pPr>
      <w:r w:rsidRPr="008527E2">
        <w:t xml:space="preserve">Key: </w:t>
      </w:r>
    </w:p>
    <w:p w14:paraId="40E0A96A" w14:textId="77777777" w:rsidR="00B81034" w:rsidRPr="008527E2" w:rsidRDefault="00B81034" w:rsidP="00FD6749">
      <w:pPr>
        <w:pStyle w:val="BodyText1"/>
      </w:pPr>
      <w:r w:rsidRPr="008527E2">
        <w:t xml:space="preserve">"No" means the alternative option is not a significantly better environmental option. </w:t>
      </w:r>
    </w:p>
    <w:p w14:paraId="05D01669" w14:textId="77777777" w:rsidR="00B81034" w:rsidRPr="008527E2" w:rsidRDefault="00B81034" w:rsidP="00FD6749">
      <w:pPr>
        <w:pStyle w:val="BodyText1"/>
      </w:pPr>
      <w:r w:rsidRPr="008527E2">
        <w:t xml:space="preserve">"Yes" means the alternative option is a significantly better environmental option. </w:t>
      </w:r>
    </w:p>
    <w:p w14:paraId="1AF877E3" w14:textId="77777777" w:rsidR="00B81034" w:rsidRPr="008527E2" w:rsidRDefault="00B81034" w:rsidP="00FD6749">
      <w:pPr>
        <w:pStyle w:val="BodyText1"/>
      </w:pPr>
      <w:r w:rsidRPr="008527E2">
        <w:t xml:space="preserve">"A" means the alternative option is a significantly better option if the proposal would have two or more adverse impacts of moderate significance. </w:t>
      </w:r>
    </w:p>
    <w:p w14:paraId="491C0CB7" w14:textId="77777777" w:rsidR="00B81034" w:rsidRPr="008527E2" w:rsidRDefault="00B81034" w:rsidP="00FD6749">
      <w:pPr>
        <w:pStyle w:val="BodyText1"/>
      </w:pPr>
      <w:r w:rsidRPr="008527E2">
        <w:t xml:space="preserve">"B" means the alternative option is a significantly better option if the proposal would have two more adverse impacts of moderate significance than the number of moderate significance adverse impacts caused by the alternative option. </w:t>
      </w:r>
    </w:p>
    <w:p w14:paraId="5420ACBC" w14:textId="77777777" w:rsidR="00B81034" w:rsidRPr="008527E2" w:rsidRDefault="00B81034" w:rsidP="00FD6749">
      <w:pPr>
        <w:pStyle w:val="BodyText1"/>
      </w:pPr>
      <w:r w:rsidRPr="008527E2">
        <w:t xml:space="preserve">"C" means the alternative option is a significantly better option if the proposal would have one more impact of high significance than the number of high significance adverse impacts caused by the alternative option. </w:t>
      </w:r>
    </w:p>
    <w:p w14:paraId="151EAC10" w14:textId="5B1DD8C8" w:rsidR="49B5B38A" w:rsidRDefault="00B81034" w:rsidP="00FD6749">
      <w:pPr>
        <w:pStyle w:val="BodyText1"/>
      </w:pPr>
      <w:r>
        <w:t>"D" means the alternative option is a significantly better option if the proposal would have one more impact of very high significance than the number of very high significance adverse impacts caused by the alternative option</w:t>
      </w:r>
      <w:r w:rsidR="00FD6749">
        <w:t>.</w:t>
      </w:r>
      <w:r>
        <w:t xml:space="preserve"> </w:t>
      </w:r>
    </w:p>
    <w:p w14:paraId="2CDCC1EF" w14:textId="6119C5ED" w:rsidR="00B81034" w:rsidRPr="008527E2" w:rsidRDefault="2007E482" w:rsidP="008527E2">
      <w:pPr>
        <w:pStyle w:val="Heading1"/>
      </w:pPr>
      <w:bookmarkStart w:id="7" w:name="_Toc193709869"/>
      <w:bookmarkStart w:id="8" w:name="_Toc193710008"/>
      <w:r>
        <w:lastRenderedPageBreak/>
        <w:t xml:space="preserve">4 </w:t>
      </w:r>
      <w:r w:rsidR="00B81034">
        <w:t>Identifying Alternative Options</w:t>
      </w:r>
      <w:bookmarkEnd w:id="7"/>
      <w:bookmarkEnd w:id="8"/>
      <w:r w:rsidR="00B81034">
        <w:t xml:space="preserve"> </w:t>
      </w:r>
    </w:p>
    <w:p w14:paraId="7455D147" w14:textId="0C7067E1" w:rsidR="00D65EF9" w:rsidRDefault="00B81034" w:rsidP="00FD6749">
      <w:pPr>
        <w:pStyle w:val="BodyText1"/>
      </w:pPr>
      <w:r>
        <w:t xml:space="preserve">For the purpose of this guidance, an ‘option’ is defined as an alternative means of securing the benefits expected from a proposal. </w:t>
      </w:r>
    </w:p>
    <w:p w14:paraId="67C3D7B9" w14:textId="77777777" w:rsidR="00B81034" w:rsidRDefault="00B81034" w:rsidP="00FD6749">
      <w:pPr>
        <w:pStyle w:val="BodyText1"/>
      </w:pPr>
      <w:r>
        <w:t xml:space="preserve">When applying the tests and as a minimum, SEPA will require appropriate consideration of the relevant options listed in Table 2 below. </w:t>
      </w:r>
    </w:p>
    <w:p w14:paraId="5F37B071" w14:textId="1B654DA6" w:rsidR="00B81034" w:rsidRPr="001C41E7" w:rsidRDefault="00B81034" w:rsidP="001C41E7">
      <w:pPr>
        <w:pStyle w:val="BodyText1"/>
        <w:rPr>
          <w:b/>
          <w:bCs/>
        </w:rPr>
      </w:pPr>
      <w:r w:rsidRPr="001C41E7">
        <w:rPr>
          <w:b/>
          <w:bCs/>
        </w:rPr>
        <w:t>Table 2</w:t>
      </w:r>
      <w:r w:rsidR="001C41E7">
        <w:rPr>
          <w:b/>
          <w:bCs/>
        </w:rPr>
        <w:t>:</w:t>
      </w:r>
      <w:r w:rsidRPr="001C41E7">
        <w:rPr>
          <w:b/>
          <w:bCs/>
        </w:rPr>
        <w:t xml:space="preserve"> Options to be considered in relation to different types of activity </w:t>
      </w:r>
    </w:p>
    <w:tbl>
      <w:tblPr>
        <w:tblW w:w="5005" w:type="pct"/>
        <w:tblInd w:w="-10" w:type="dxa"/>
        <w:tblCellMar>
          <w:left w:w="0" w:type="dxa"/>
          <w:right w:w="0" w:type="dxa"/>
        </w:tblCellMar>
        <w:tblLook w:val="04A0" w:firstRow="1" w:lastRow="0" w:firstColumn="1" w:lastColumn="0" w:noHBand="0" w:noVBand="1"/>
        <w:tblCaption w:val="Table 2: Options to be considered in relation to different types of activity "/>
        <w:tblDescription w:val="This table shows:&#10;The purpose of the proposal.&#10;Option A&#10;Option B.&#10;Option C."/>
      </w:tblPr>
      <w:tblGrid>
        <w:gridCol w:w="2062"/>
        <w:gridCol w:w="2066"/>
        <w:gridCol w:w="4523"/>
        <w:gridCol w:w="1561"/>
      </w:tblGrid>
      <w:tr w:rsidR="0085684A" w:rsidRPr="00684F5A" w14:paraId="4270B102" w14:textId="77777777" w:rsidTr="0077226B">
        <w:trPr>
          <w:cantSplit/>
          <w:trHeight w:val="610"/>
          <w:tblHeader/>
        </w:trPr>
        <w:tc>
          <w:tcPr>
            <w:tcW w:w="1008"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4E088A2C" w14:textId="55F93252" w:rsidR="00822AC7" w:rsidRPr="00684F5A" w:rsidRDefault="00822AC7" w:rsidP="00B80702">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Purpose of proposal</w:t>
            </w:r>
          </w:p>
        </w:tc>
        <w:tc>
          <w:tcPr>
            <w:tcW w:w="1213"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38A985E3" w14:textId="20607D42" w:rsidR="00822AC7" w:rsidRPr="00684F5A" w:rsidRDefault="00822AC7" w:rsidP="00B80702">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Option A</w:t>
            </w:r>
          </w:p>
        </w:tc>
        <w:tc>
          <w:tcPr>
            <w:tcW w:w="2017"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5A822F61" w14:textId="38C06CE2" w:rsidR="00822AC7" w:rsidRPr="00684F5A" w:rsidRDefault="00822AC7" w:rsidP="00B80702">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Option B</w:t>
            </w:r>
          </w:p>
        </w:tc>
        <w:tc>
          <w:tcPr>
            <w:tcW w:w="762"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4F6074E1" w14:textId="24F0F86A" w:rsidR="00822AC7" w:rsidRPr="00684F5A" w:rsidRDefault="00822AC7" w:rsidP="00B80702">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Option C</w:t>
            </w:r>
          </w:p>
        </w:tc>
      </w:tr>
      <w:tr w:rsidR="0085684A" w:rsidRPr="00684F5A" w14:paraId="6346CDBA" w14:textId="77777777" w:rsidTr="0077226B">
        <w:trPr>
          <w:cantSplit/>
          <w:trHeight w:val="315"/>
        </w:trPr>
        <w:tc>
          <w:tcPr>
            <w:tcW w:w="100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hideMark/>
          </w:tcPr>
          <w:p w14:paraId="31D83F34" w14:textId="0249148A" w:rsidR="00822AC7" w:rsidRDefault="00822AC7" w:rsidP="000E24A5">
            <w:pPr>
              <w:pStyle w:val="BodyText1"/>
            </w:pPr>
            <w:r w:rsidRPr="008527E2">
              <w:t>Modifications for hydropower</w:t>
            </w:r>
            <w:r w:rsidR="008B7138">
              <w:t>.</w:t>
            </w:r>
          </w:p>
          <w:p w14:paraId="78436853" w14:textId="48A5AC94" w:rsidR="00822AC7" w:rsidRPr="00684F5A" w:rsidRDefault="00822AC7" w:rsidP="000E24A5">
            <w:pPr>
              <w:pStyle w:val="BodyText1"/>
              <w:rPr>
                <w:rFonts w:ascii="Arial" w:eastAsia="Times New Roman" w:hAnsi="Arial" w:cs="Arial"/>
                <w:lang w:eastAsia="en-GB"/>
              </w:rPr>
            </w:pPr>
            <w:r w:rsidRPr="008527E2">
              <w:t>Options should provide equivalent energy benefits</w:t>
            </w:r>
            <w:r w:rsidR="008B7138">
              <w:t>.</w:t>
            </w:r>
          </w:p>
        </w:tc>
        <w:tc>
          <w:tcPr>
            <w:tcW w:w="1213" w:type="pct"/>
            <w:tcBorders>
              <w:top w:val="nil"/>
              <w:left w:val="nil"/>
              <w:bottom w:val="single" w:sz="8" w:space="0" w:color="A6A6A6"/>
              <w:right w:val="single" w:sz="8" w:space="0" w:color="A6A6A6"/>
            </w:tcBorders>
            <w:noWrap/>
            <w:tcMar>
              <w:top w:w="0" w:type="dxa"/>
              <w:left w:w="108" w:type="dxa"/>
              <w:bottom w:w="0" w:type="dxa"/>
              <w:right w:w="108" w:type="dxa"/>
            </w:tcMar>
            <w:hideMark/>
          </w:tcPr>
          <w:p w14:paraId="4D0626BF" w14:textId="320752FA" w:rsidR="00822AC7" w:rsidRPr="008B7138" w:rsidRDefault="006A1974" w:rsidP="000E24A5">
            <w:pPr>
              <w:pStyle w:val="BodyText1"/>
            </w:pPr>
            <w:r w:rsidRPr="008527E2">
              <w:t xml:space="preserve">Use an </w:t>
            </w:r>
            <w:r w:rsidR="0011717D">
              <w:t>a</w:t>
            </w:r>
            <w:r w:rsidRPr="008527E2">
              <w:t>lternative site for the</w:t>
            </w:r>
            <w:r w:rsidR="008B7138">
              <w:t xml:space="preserve"> </w:t>
            </w:r>
            <w:r w:rsidRPr="008527E2">
              <w:t>hydropower development</w:t>
            </w:r>
            <w:r w:rsidR="008B7138">
              <w:t>.</w:t>
            </w:r>
          </w:p>
        </w:tc>
        <w:tc>
          <w:tcPr>
            <w:tcW w:w="2017" w:type="pct"/>
            <w:tcBorders>
              <w:top w:val="nil"/>
              <w:left w:val="nil"/>
              <w:bottom w:val="single" w:sz="8" w:space="0" w:color="A6A6A6"/>
              <w:right w:val="single" w:sz="8" w:space="0" w:color="A6A6A6"/>
            </w:tcBorders>
            <w:noWrap/>
            <w:tcMar>
              <w:top w:w="0" w:type="dxa"/>
              <w:left w:w="108" w:type="dxa"/>
              <w:bottom w:w="0" w:type="dxa"/>
              <w:right w:w="108" w:type="dxa"/>
            </w:tcMar>
            <w:hideMark/>
          </w:tcPr>
          <w:p w14:paraId="00094B20" w14:textId="5E070920" w:rsidR="00822AC7" w:rsidRPr="0077226B" w:rsidRDefault="006A1974" w:rsidP="000E24A5">
            <w:pPr>
              <w:pStyle w:val="BodyText1"/>
            </w:pPr>
            <w:r w:rsidRPr="008527E2">
              <w:t>Improve the output of</w:t>
            </w:r>
            <w:r w:rsidR="0077226B">
              <w:t xml:space="preserve"> </w:t>
            </w:r>
            <w:r w:rsidRPr="008527E2">
              <w:t>existing hydropower schemes</w:t>
            </w:r>
            <w:r w:rsidR="008B7138">
              <w:t>.</w:t>
            </w:r>
          </w:p>
        </w:tc>
        <w:tc>
          <w:tcPr>
            <w:tcW w:w="762" w:type="pct"/>
            <w:tcBorders>
              <w:top w:val="nil"/>
              <w:left w:val="nil"/>
              <w:bottom w:val="single" w:sz="8" w:space="0" w:color="A6A6A6"/>
              <w:right w:val="single" w:sz="8" w:space="0" w:color="A6A6A6"/>
            </w:tcBorders>
            <w:noWrap/>
            <w:tcMar>
              <w:top w:w="0" w:type="dxa"/>
              <w:left w:w="108" w:type="dxa"/>
              <w:bottom w:w="0" w:type="dxa"/>
              <w:right w:w="108" w:type="dxa"/>
            </w:tcMar>
            <w:hideMark/>
          </w:tcPr>
          <w:p w14:paraId="7F93C703" w14:textId="562EA7E1" w:rsidR="00822AC7" w:rsidRPr="00684F5A" w:rsidRDefault="006A1974" w:rsidP="000E24A5">
            <w:pPr>
              <w:pStyle w:val="BodyText1"/>
              <w:rPr>
                <w:rFonts w:ascii="Arial" w:eastAsia="Times New Roman" w:hAnsi="Arial" w:cs="Arial"/>
                <w:lang w:eastAsia="en-GB"/>
              </w:rPr>
            </w:pPr>
            <w:r w:rsidRPr="008527E2">
              <w:t>Use an alternative but comparable renewable energy technology</w:t>
            </w:r>
            <w:r w:rsidR="003B25CC">
              <w:t>.</w:t>
            </w:r>
          </w:p>
        </w:tc>
      </w:tr>
      <w:tr w:rsidR="0085684A" w:rsidRPr="00684F5A" w14:paraId="1AD6FFB2" w14:textId="77777777" w:rsidTr="0077226B">
        <w:trPr>
          <w:cantSplit/>
          <w:trHeight w:val="300"/>
        </w:trPr>
        <w:tc>
          <w:tcPr>
            <w:tcW w:w="100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hideMark/>
          </w:tcPr>
          <w:p w14:paraId="597C97C1" w14:textId="32763554" w:rsidR="00822AC7" w:rsidRPr="008527E2" w:rsidRDefault="00822AC7" w:rsidP="000E24A5">
            <w:pPr>
              <w:pStyle w:val="BodyText1"/>
            </w:pPr>
            <w:r w:rsidRPr="008527E2">
              <w:t>Modifications for flood</w:t>
            </w:r>
            <w:r>
              <w:t xml:space="preserve"> </w:t>
            </w:r>
            <w:r w:rsidRPr="008527E2">
              <w:t>defence</w:t>
            </w:r>
            <w:r w:rsidR="008B7138">
              <w:t>.</w:t>
            </w:r>
          </w:p>
          <w:p w14:paraId="2E4F47FD" w14:textId="7BE8975A" w:rsidR="00822AC7" w:rsidRPr="00684F5A" w:rsidRDefault="00822AC7" w:rsidP="000E24A5">
            <w:pPr>
              <w:pStyle w:val="BodyText1"/>
              <w:rPr>
                <w:rFonts w:ascii="Arial" w:eastAsia="Times New Roman" w:hAnsi="Arial" w:cs="Arial"/>
                <w:lang w:eastAsia="en-GB"/>
              </w:rPr>
            </w:pPr>
            <w:r w:rsidRPr="008527E2">
              <w:t>Options should be able to provide an equivalent level of flood defence</w:t>
            </w:r>
            <w:r w:rsidR="008B7138">
              <w:t>.</w:t>
            </w:r>
          </w:p>
        </w:tc>
        <w:tc>
          <w:tcPr>
            <w:tcW w:w="1213" w:type="pct"/>
            <w:tcBorders>
              <w:top w:val="nil"/>
              <w:left w:val="nil"/>
              <w:bottom w:val="single" w:sz="8" w:space="0" w:color="A6A6A6"/>
              <w:right w:val="single" w:sz="8" w:space="0" w:color="A6A6A6"/>
            </w:tcBorders>
            <w:noWrap/>
            <w:tcMar>
              <w:top w:w="0" w:type="dxa"/>
              <w:left w:w="108" w:type="dxa"/>
              <w:bottom w:w="0" w:type="dxa"/>
              <w:right w:w="108" w:type="dxa"/>
            </w:tcMar>
            <w:hideMark/>
          </w:tcPr>
          <w:p w14:paraId="32899292" w14:textId="1AAE7975" w:rsidR="00822AC7" w:rsidRPr="00684F5A" w:rsidRDefault="0085684A" w:rsidP="000E24A5">
            <w:pPr>
              <w:pStyle w:val="BodyText1"/>
              <w:rPr>
                <w:rFonts w:ascii="Arial" w:eastAsia="Times New Roman" w:hAnsi="Arial" w:cs="Arial"/>
                <w:lang w:eastAsia="en-GB"/>
              </w:rPr>
            </w:pPr>
            <w:r w:rsidRPr="008527E2">
              <w:t>Use catchment measures to reduce and dissipate flood flows</w:t>
            </w:r>
            <w:r w:rsidR="008B7138">
              <w:t>.</w:t>
            </w:r>
          </w:p>
        </w:tc>
        <w:tc>
          <w:tcPr>
            <w:tcW w:w="2017" w:type="pct"/>
            <w:tcBorders>
              <w:top w:val="nil"/>
              <w:left w:val="nil"/>
              <w:bottom w:val="single" w:sz="8" w:space="0" w:color="A6A6A6"/>
              <w:right w:val="single" w:sz="8" w:space="0" w:color="A6A6A6"/>
            </w:tcBorders>
            <w:noWrap/>
            <w:tcMar>
              <w:top w:w="0" w:type="dxa"/>
              <w:left w:w="108" w:type="dxa"/>
              <w:bottom w:w="0" w:type="dxa"/>
              <w:right w:w="108" w:type="dxa"/>
            </w:tcMar>
            <w:hideMark/>
          </w:tcPr>
          <w:p w14:paraId="62C8C6D3" w14:textId="4CD17626" w:rsidR="00822AC7" w:rsidRPr="0077226B" w:rsidRDefault="0085684A" w:rsidP="000E24A5">
            <w:pPr>
              <w:pStyle w:val="BodyText1"/>
            </w:pPr>
            <w:r w:rsidRPr="008527E2">
              <w:t>Locate the asset in need of protection at an alternative site</w:t>
            </w:r>
            <w:r w:rsidR="008B7138">
              <w:t>.</w:t>
            </w:r>
          </w:p>
        </w:tc>
        <w:tc>
          <w:tcPr>
            <w:tcW w:w="762" w:type="pct"/>
            <w:tcBorders>
              <w:top w:val="nil"/>
              <w:left w:val="nil"/>
              <w:bottom w:val="single" w:sz="8" w:space="0" w:color="A6A6A6"/>
              <w:right w:val="single" w:sz="8" w:space="0" w:color="A6A6A6"/>
            </w:tcBorders>
            <w:noWrap/>
            <w:tcMar>
              <w:top w:w="0" w:type="dxa"/>
              <w:left w:w="108" w:type="dxa"/>
              <w:bottom w:w="0" w:type="dxa"/>
              <w:right w:w="108" w:type="dxa"/>
            </w:tcMar>
            <w:hideMark/>
          </w:tcPr>
          <w:p w14:paraId="4B807A0C" w14:textId="4B175253" w:rsidR="00822AC7" w:rsidRPr="00684F5A" w:rsidRDefault="00822AC7" w:rsidP="000E24A5">
            <w:pPr>
              <w:pStyle w:val="BodyText1"/>
              <w:rPr>
                <w:rFonts w:ascii="Arial" w:eastAsia="Times New Roman" w:hAnsi="Arial" w:cs="Arial"/>
                <w:lang w:eastAsia="en-GB"/>
              </w:rPr>
            </w:pPr>
          </w:p>
        </w:tc>
      </w:tr>
      <w:tr w:rsidR="0085684A" w:rsidRPr="00684F5A" w14:paraId="024152DE" w14:textId="77777777" w:rsidTr="0077226B">
        <w:trPr>
          <w:cantSplit/>
          <w:trHeight w:val="300"/>
        </w:trPr>
        <w:tc>
          <w:tcPr>
            <w:tcW w:w="100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hideMark/>
          </w:tcPr>
          <w:p w14:paraId="0C311A2A" w14:textId="36BEF56C" w:rsidR="006A1974" w:rsidRPr="008527E2" w:rsidRDefault="006A1974" w:rsidP="000E24A5">
            <w:pPr>
              <w:pStyle w:val="BodyText1"/>
            </w:pPr>
            <w:r w:rsidRPr="008527E2">
              <w:lastRenderedPageBreak/>
              <w:t>Modifications for water</w:t>
            </w:r>
            <w:r>
              <w:t xml:space="preserve"> </w:t>
            </w:r>
            <w:r w:rsidRPr="008527E2">
              <w:t>supply</w:t>
            </w:r>
            <w:r w:rsidR="008B7138">
              <w:t>.</w:t>
            </w:r>
          </w:p>
          <w:p w14:paraId="451C0144" w14:textId="2D81610C" w:rsidR="00822AC7" w:rsidRPr="00684F5A" w:rsidRDefault="006A1974" w:rsidP="000E24A5">
            <w:pPr>
              <w:pStyle w:val="BodyText1"/>
              <w:rPr>
                <w:rFonts w:ascii="Arial" w:eastAsia="Times New Roman" w:hAnsi="Arial" w:cs="Arial"/>
                <w:lang w:eastAsia="en-GB"/>
              </w:rPr>
            </w:pPr>
            <w:r w:rsidRPr="008527E2">
              <w:t>Options should provide an equivalent volume of supply requiring similar or less treatment</w:t>
            </w:r>
            <w:r w:rsidR="008B7138">
              <w:t>.</w:t>
            </w:r>
            <w:r w:rsidRPr="00684F5A">
              <w:rPr>
                <w:rFonts w:ascii="Arial" w:eastAsia="Times New Roman" w:hAnsi="Arial" w:cs="Arial"/>
                <w:lang w:eastAsia="en-GB"/>
              </w:rPr>
              <w:t xml:space="preserve"> </w:t>
            </w:r>
          </w:p>
        </w:tc>
        <w:tc>
          <w:tcPr>
            <w:tcW w:w="1213" w:type="pct"/>
            <w:tcBorders>
              <w:top w:val="nil"/>
              <w:left w:val="nil"/>
              <w:bottom w:val="single" w:sz="8" w:space="0" w:color="A6A6A6"/>
              <w:right w:val="single" w:sz="8" w:space="0" w:color="A6A6A6"/>
            </w:tcBorders>
            <w:noWrap/>
            <w:tcMar>
              <w:top w:w="0" w:type="dxa"/>
              <w:left w:w="108" w:type="dxa"/>
              <w:bottom w:w="0" w:type="dxa"/>
              <w:right w:w="108" w:type="dxa"/>
            </w:tcMar>
            <w:hideMark/>
          </w:tcPr>
          <w:p w14:paraId="360C8785" w14:textId="5774CBE5" w:rsidR="0085684A" w:rsidRPr="008527E2" w:rsidRDefault="0085684A" w:rsidP="000E24A5">
            <w:pPr>
              <w:pStyle w:val="BodyText1"/>
            </w:pPr>
            <w:r w:rsidRPr="008527E2">
              <w:t>Use water from another existing source of supply with</w:t>
            </w:r>
            <w:r w:rsidR="00272D28">
              <w:t xml:space="preserve"> available capacity to meet demand</w:t>
            </w:r>
            <w:r w:rsidR="008B7138">
              <w:t>.</w:t>
            </w:r>
          </w:p>
          <w:p w14:paraId="5E6970FB" w14:textId="3CEEF3D2" w:rsidR="00822AC7" w:rsidRPr="00684F5A" w:rsidRDefault="00822AC7" w:rsidP="000E24A5">
            <w:pPr>
              <w:pStyle w:val="BodyText1"/>
              <w:rPr>
                <w:rFonts w:ascii="Arial" w:eastAsia="Times New Roman" w:hAnsi="Arial" w:cs="Arial"/>
                <w:lang w:eastAsia="en-GB"/>
              </w:rPr>
            </w:pPr>
          </w:p>
        </w:tc>
        <w:tc>
          <w:tcPr>
            <w:tcW w:w="2017" w:type="pct"/>
            <w:tcBorders>
              <w:top w:val="nil"/>
              <w:left w:val="nil"/>
              <w:bottom w:val="single" w:sz="8" w:space="0" w:color="A6A6A6"/>
              <w:right w:val="single" w:sz="8" w:space="0" w:color="A6A6A6"/>
            </w:tcBorders>
            <w:noWrap/>
            <w:tcMar>
              <w:top w:w="0" w:type="dxa"/>
              <w:left w:w="108" w:type="dxa"/>
              <w:bottom w:w="0" w:type="dxa"/>
              <w:right w:w="108" w:type="dxa"/>
            </w:tcMar>
            <w:hideMark/>
          </w:tcPr>
          <w:p w14:paraId="0E2040E0" w14:textId="56D9F2EB" w:rsidR="00822AC7" w:rsidRPr="00684F5A" w:rsidRDefault="0085684A" w:rsidP="000E24A5">
            <w:pPr>
              <w:pStyle w:val="BodyText1"/>
              <w:rPr>
                <w:rFonts w:ascii="Arial" w:eastAsia="Times New Roman" w:hAnsi="Arial" w:cs="Arial"/>
                <w:lang w:eastAsia="en-GB"/>
              </w:rPr>
            </w:pPr>
            <w:r w:rsidRPr="008527E2">
              <w:t>Develop a new source of supply with available capacity to meet demand</w:t>
            </w:r>
            <w:r w:rsidR="008B7138">
              <w:t>.</w:t>
            </w:r>
          </w:p>
        </w:tc>
        <w:tc>
          <w:tcPr>
            <w:tcW w:w="762" w:type="pct"/>
            <w:tcBorders>
              <w:top w:val="nil"/>
              <w:left w:val="nil"/>
              <w:bottom w:val="single" w:sz="8" w:space="0" w:color="A6A6A6"/>
              <w:right w:val="single" w:sz="8" w:space="0" w:color="A6A6A6"/>
            </w:tcBorders>
            <w:noWrap/>
            <w:tcMar>
              <w:top w:w="0" w:type="dxa"/>
              <w:left w:w="108" w:type="dxa"/>
              <w:bottom w:w="0" w:type="dxa"/>
              <w:right w:w="108" w:type="dxa"/>
            </w:tcMar>
            <w:hideMark/>
          </w:tcPr>
          <w:p w14:paraId="0665963D" w14:textId="2437BACB" w:rsidR="00822AC7" w:rsidRPr="00684F5A" w:rsidRDefault="00822AC7" w:rsidP="000E24A5">
            <w:pPr>
              <w:pStyle w:val="BodyText1"/>
              <w:rPr>
                <w:rFonts w:ascii="Arial" w:eastAsia="Times New Roman" w:hAnsi="Arial" w:cs="Arial"/>
                <w:lang w:eastAsia="en-GB"/>
              </w:rPr>
            </w:pPr>
          </w:p>
        </w:tc>
      </w:tr>
      <w:tr w:rsidR="0085684A" w:rsidRPr="00684F5A" w14:paraId="4E35018B" w14:textId="77777777" w:rsidTr="0077226B">
        <w:trPr>
          <w:cantSplit/>
          <w:trHeight w:val="300"/>
        </w:trPr>
        <w:tc>
          <w:tcPr>
            <w:tcW w:w="100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hideMark/>
          </w:tcPr>
          <w:p w14:paraId="50C7A191" w14:textId="19D4686D" w:rsidR="0085684A" w:rsidRDefault="0085684A" w:rsidP="000E24A5">
            <w:pPr>
              <w:pStyle w:val="BodyText1"/>
            </w:pPr>
            <w:r w:rsidRPr="008527E2">
              <w:t>Abstraction for land</w:t>
            </w:r>
            <w:r w:rsidR="0077226B">
              <w:t xml:space="preserve"> </w:t>
            </w:r>
            <w:r w:rsidR="00211305" w:rsidRPr="008527E2">
              <w:t>I</w:t>
            </w:r>
            <w:r w:rsidRPr="008527E2">
              <w:t>rrigation</w:t>
            </w:r>
            <w:r w:rsidR="0077226B">
              <w:t>.</w:t>
            </w:r>
          </w:p>
          <w:p w14:paraId="2B499E98" w14:textId="359AD008" w:rsidR="00211305" w:rsidRPr="008527E2" w:rsidRDefault="00211305" w:rsidP="000E24A5">
            <w:pPr>
              <w:pStyle w:val="BodyText1"/>
            </w:pPr>
            <w:r>
              <w:t>Options should provide for the production of crops</w:t>
            </w:r>
            <w:r w:rsidR="0077226B">
              <w:t>.</w:t>
            </w:r>
          </w:p>
          <w:p w14:paraId="1F14C4AD" w14:textId="6870A456" w:rsidR="0085684A" w:rsidRPr="00684F5A" w:rsidRDefault="0085684A" w:rsidP="000E24A5">
            <w:pPr>
              <w:pStyle w:val="BodyText1"/>
              <w:rPr>
                <w:rFonts w:ascii="Arial" w:eastAsia="Times New Roman" w:hAnsi="Arial" w:cs="Arial"/>
                <w:lang w:eastAsia="en-GB"/>
              </w:rPr>
            </w:pPr>
          </w:p>
        </w:tc>
        <w:tc>
          <w:tcPr>
            <w:tcW w:w="1213" w:type="pct"/>
            <w:tcBorders>
              <w:top w:val="nil"/>
              <w:left w:val="nil"/>
              <w:bottom w:val="single" w:sz="8" w:space="0" w:color="A6A6A6"/>
              <w:right w:val="single" w:sz="8" w:space="0" w:color="A6A6A6"/>
            </w:tcBorders>
            <w:noWrap/>
            <w:tcMar>
              <w:top w:w="0" w:type="dxa"/>
              <w:left w:w="108" w:type="dxa"/>
              <w:bottom w:w="0" w:type="dxa"/>
              <w:right w:w="108" w:type="dxa"/>
            </w:tcMar>
            <w:hideMark/>
          </w:tcPr>
          <w:p w14:paraId="7AC9D2E6" w14:textId="53957782" w:rsidR="0085684A" w:rsidRPr="00684F5A" w:rsidRDefault="0085684A" w:rsidP="000E24A5">
            <w:pPr>
              <w:pStyle w:val="BodyText1"/>
              <w:rPr>
                <w:rFonts w:ascii="Arial" w:eastAsia="Times New Roman" w:hAnsi="Arial" w:cs="Arial"/>
                <w:lang w:eastAsia="en-GB"/>
              </w:rPr>
            </w:pPr>
            <w:r w:rsidRPr="008527E2">
              <w:t>Use water from another existing source of supply with available capacity to meet demand</w:t>
            </w:r>
            <w:r w:rsidR="008B7138">
              <w:t>.</w:t>
            </w:r>
          </w:p>
        </w:tc>
        <w:tc>
          <w:tcPr>
            <w:tcW w:w="2017" w:type="pct"/>
            <w:tcBorders>
              <w:top w:val="nil"/>
              <w:left w:val="nil"/>
              <w:bottom w:val="single" w:sz="8" w:space="0" w:color="A6A6A6"/>
              <w:right w:val="single" w:sz="8" w:space="0" w:color="A6A6A6"/>
            </w:tcBorders>
            <w:noWrap/>
            <w:tcMar>
              <w:top w:w="0" w:type="dxa"/>
              <w:left w:w="108" w:type="dxa"/>
              <w:bottom w:w="0" w:type="dxa"/>
              <w:right w:w="108" w:type="dxa"/>
            </w:tcMar>
            <w:hideMark/>
          </w:tcPr>
          <w:p w14:paraId="2BACBF49" w14:textId="2816A4BF" w:rsidR="0085684A" w:rsidRPr="00684F5A" w:rsidRDefault="0085684A" w:rsidP="000E24A5">
            <w:pPr>
              <w:pStyle w:val="BodyText1"/>
              <w:rPr>
                <w:rFonts w:ascii="Arial" w:eastAsia="Times New Roman" w:hAnsi="Arial" w:cs="Arial"/>
                <w:lang w:eastAsia="en-GB"/>
              </w:rPr>
            </w:pPr>
            <w:r w:rsidRPr="008527E2">
              <w:t>Develop a new source of supply with available</w:t>
            </w:r>
            <w:r w:rsidR="0011717D">
              <w:t xml:space="preserve"> capacity to meet demand</w:t>
            </w:r>
            <w:r w:rsidR="008B7138">
              <w:t>.</w:t>
            </w:r>
          </w:p>
        </w:tc>
        <w:tc>
          <w:tcPr>
            <w:tcW w:w="762" w:type="pct"/>
            <w:tcBorders>
              <w:top w:val="nil"/>
              <w:left w:val="nil"/>
              <w:bottom w:val="single" w:sz="8" w:space="0" w:color="A6A6A6"/>
              <w:right w:val="single" w:sz="8" w:space="0" w:color="A6A6A6"/>
            </w:tcBorders>
            <w:noWrap/>
            <w:tcMar>
              <w:top w:w="0" w:type="dxa"/>
              <w:left w:w="108" w:type="dxa"/>
              <w:bottom w:w="0" w:type="dxa"/>
              <w:right w:w="108" w:type="dxa"/>
            </w:tcMar>
            <w:hideMark/>
          </w:tcPr>
          <w:p w14:paraId="1D332592" w14:textId="07BB0A28" w:rsidR="0085684A" w:rsidRPr="00684F5A" w:rsidRDefault="0085684A" w:rsidP="000E24A5">
            <w:pPr>
              <w:pStyle w:val="BodyText1"/>
              <w:rPr>
                <w:rFonts w:ascii="Arial" w:eastAsia="Times New Roman" w:hAnsi="Arial" w:cs="Arial"/>
                <w:lang w:eastAsia="en-GB"/>
              </w:rPr>
            </w:pPr>
            <w:r w:rsidRPr="008527E2">
              <w:t>Switch to crops that have lower water needs</w:t>
            </w:r>
            <w:r w:rsidR="008B7138">
              <w:t>.</w:t>
            </w:r>
          </w:p>
        </w:tc>
      </w:tr>
      <w:tr w:rsidR="0085684A" w:rsidRPr="00684F5A" w14:paraId="43FFF330" w14:textId="77777777" w:rsidTr="0077226B">
        <w:trPr>
          <w:cantSplit/>
          <w:trHeight w:val="300"/>
        </w:trPr>
        <w:tc>
          <w:tcPr>
            <w:tcW w:w="100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65253EBD" w14:textId="7726C8E2" w:rsidR="0085684A" w:rsidRPr="008527E2" w:rsidRDefault="0085684A" w:rsidP="000E24A5">
            <w:pPr>
              <w:pStyle w:val="BodyText1"/>
            </w:pPr>
            <w:r w:rsidRPr="008527E2">
              <w:t>Modifications for transport infrastructure</w:t>
            </w:r>
            <w:r w:rsidR="0077226B">
              <w:t>.</w:t>
            </w:r>
          </w:p>
          <w:p w14:paraId="6DBD8E2F" w14:textId="4D52A8E9" w:rsidR="0085684A" w:rsidRPr="008527E2" w:rsidRDefault="0085684A" w:rsidP="000E24A5">
            <w:pPr>
              <w:pStyle w:val="BodyText1"/>
            </w:pPr>
            <w:r w:rsidRPr="008527E2">
              <w:t>Options should provide for the relevant</w:t>
            </w:r>
            <w:r w:rsidR="0077226B">
              <w:t xml:space="preserve"> </w:t>
            </w:r>
            <w:r w:rsidRPr="008527E2">
              <w:t>transport objective</w:t>
            </w:r>
            <w:r w:rsidR="0077226B">
              <w:t>.</w:t>
            </w:r>
          </w:p>
        </w:tc>
        <w:tc>
          <w:tcPr>
            <w:tcW w:w="1213" w:type="pct"/>
            <w:tcBorders>
              <w:top w:val="nil"/>
              <w:left w:val="nil"/>
              <w:bottom w:val="single" w:sz="8" w:space="0" w:color="A6A6A6"/>
              <w:right w:val="single" w:sz="8" w:space="0" w:color="A6A6A6"/>
            </w:tcBorders>
            <w:noWrap/>
            <w:tcMar>
              <w:top w:w="0" w:type="dxa"/>
              <w:left w:w="108" w:type="dxa"/>
              <w:bottom w:w="0" w:type="dxa"/>
              <w:right w:w="108" w:type="dxa"/>
            </w:tcMar>
          </w:tcPr>
          <w:p w14:paraId="1C048CF9" w14:textId="25F588EE" w:rsidR="0085684A" w:rsidRPr="008527E2" w:rsidRDefault="0085684A" w:rsidP="000E24A5">
            <w:pPr>
              <w:pStyle w:val="BodyText1"/>
            </w:pPr>
            <w:r w:rsidRPr="008527E2">
              <w:t>Locate the transport infrastructure elsewhere</w:t>
            </w:r>
            <w:r w:rsidR="0077226B">
              <w:t>.</w:t>
            </w:r>
          </w:p>
        </w:tc>
        <w:tc>
          <w:tcPr>
            <w:tcW w:w="2017" w:type="pct"/>
            <w:tcBorders>
              <w:top w:val="nil"/>
              <w:left w:val="nil"/>
              <w:bottom w:val="single" w:sz="8" w:space="0" w:color="A6A6A6"/>
              <w:right w:val="single" w:sz="8" w:space="0" w:color="A6A6A6"/>
            </w:tcBorders>
            <w:noWrap/>
            <w:tcMar>
              <w:top w:w="0" w:type="dxa"/>
              <w:left w:w="108" w:type="dxa"/>
              <w:bottom w:w="0" w:type="dxa"/>
              <w:right w:w="108" w:type="dxa"/>
            </w:tcMar>
          </w:tcPr>
          <w:p w14:paraId="75A0F582" w14:textId="5792CBA1" w:rsidR="0085684A" w:rsidRPr="008527E2" w:rsidRDefault="0085684A" w:rsidP="000E24A5">
            <w:pPr>
              <w:pStyle w:val="BodyText1"/>
            </w:pPr>
            <w:r w:rsidRPr="008527E2">
              <w:t>Upgrade or otherwise make better use of the capacity of existing transport infrastructure</w:t>
            </w:r>
            <w:r w:rsidR="0077226B">
              <w:t>.</w:t>
            </w:r>
          </w:p>
        </w:tc>
        <w:tc>
          <w:tcPr>
            <w:tcW w:w="762" w:type="pct"/>
            <w:tcBorders>
              <w:top w:val="nil"/>
              <w:left w:val="nil"/>
              <w:bottom w:val="single" w:sz="8" w:space="0" w:color="A6A6A6"/>
              <w:right w:val="single" w:sz="8" w:space="0" w:color="A6A6A6"/>
            </w:tcBorders>
            <w:noWrap/>
            <w:tcMar>
              <w:top w:w="0" w:type="dxa"/>
              <w:left w:w="108" w:type="dxa"/>
              <w:bottom w:w="0" w:type="dxa"/>
              <w:right w:w="108" w:type="dxa"/>
            </w:tcMar>
          </w:tcPr>
          <w:p w14:paraId="3AF78040" w14:textId="77777777" w:rsidR="0085684A" w:rsidRPr="008527E2" w:rsidRDefault="0085684A" w:rsidP="000E24A5">
            <w:pPr>
              <w:pStyle w:val="BodyText1"/>
            </w:pPr>
          </w:p>
        </w:tc>
      </w:tr>
      <w:tr w:rsidR="0085684A" w:rsidRPr="00684F5A" w14:paraId="059DBD0E" w14:textId="77777777" w:rsidTr="0077226B">
        <w:trPr>
          <w:cantSplit/>
          <w:trHeight w:val="300"/>
        </w:trPr>
        <w:tc>
          <w:tcPr>
            <w:tcW w:w="100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3A0C9BAC" w14:textId="16621F2C" w:rsidR="0085684A" w:rsidRPr="008527E2" w:rsidRDefault="0085684A" w:rsidP="000E24A5">
            <w:pPr>
              <w:pStyle w:val="BodyText1"/>
            </w:pPr>
            <w:r w:rsidRPr="008527E2">
              <w:lastRenderedPageBreak/>
              <w:t>Point source discharges to dispose of effluents</w:t>
            </w:r>
            <w:r w:rsidR="0077226B">
              <w:t>.</w:t>
            </w:r>
          </w:p>
          <w:p w14:paraId="136EEEE5" w14:textId="543E3019" w:rsidR="0085684A" w:rsidRPr="008527E2" w:rsidRDefault="0085684A" w:rsidP="000E24A5">
            <w:pPr>
              <w:pStyle w:val="BodyText1"/>
            </w:pPr>
            <w:r w:rsidRPr="008527E2">
              <w:t>Options should provide for the management of effluents</w:t>
            </w:r>
            <w:r w:rsidR="0077226B">
              <w:t>.</w:t>
            </w:r>
          </w:p>
        </w:tc>
        <w:tc>
          <w:tcPr>
            <w:tcW w:w="1213" w:type="pct"/>
            <w:tcBorders>
              <w:top w:val="nil"/>
              <w:left w:val="nil"/>
              <w:bottom w:val="single" w:sz="8" w:space="0" w:color="A6A6A6"/>
              <w:right w:val="single" w:sz="8" w:space="0" w:color="A6A6A6"/>
            </w:tcBorders>
            <w:noWrap/>
            <w:tcMar>
              <w:top w:w="0" w:type="dxa"/>
              <w:left w:w="108" w:type="dxa"/>
              <w:bottom w:w="0" w:type="dxa"/>
              <w:right w:w="108" w:type="dxa"/>
            </w:tcMar>
          </w:tcPr>
          <w:p w14:paraId="21CF8DED" w14:textId="70C80F23" w:rsidR="0085684A" w:rsidRPr="008527E2" w:rsidRDefault="0085684A" w:rsidP="000E24A5">
            <w:pPr>
              <w:pStyle w:val="BodyText1"/>
            </w:pPr>
            <w:r w:rsidRPr="008527E2">
              <w:t>Locate the activity in an area where the effluent will not pose</w:t>
            </w:r>
            <w:r w:rsidR="00592951">
              <w:t xml:space="preserve"> </w:t>
            </w:r>
            <w:r w:rsidRPr="008527E2">
              <w:t>a risk</w:t>
            </w:r>
            <w:r w:rsidR="0077226B">
              <w:t>.</w:t>
            </w:r>
          </w:p>
        </w:tc>
        <w:tc>
          <w:tcPr>
            <w:tcW w:w="2017" w:type="pct"/>
            <w:tcBorders>
              <w:top w:val="nil"/>
              <w:left w:val="nil"/>
              <w:bottom w:val="single" w:sz="8" w:space="0" w:color="A6A6A6"/>
              <w:right w:val="single" w:sz="8" w:space="0" w:color="A6A6A6"/>
            </w:tcBorders>
            <w:noWrap/>
            <w:tcMar>
              <w:top w:w="0" w:type="dxa"/>
              <w:left w:w="108" w:type="dxa"/>
              <w:bottom w:w="0" w:type="dxa"/>
              <w:right w:w="108" w:type="dxa"/>
            </w:tcMar>
          </w:tcPr>
          <w:p w14:paraId="3284828F" w14:textId="45F9ACAC" w:rsidR="0085684A" w:rsidRPr="008527E2" w:rsidRDefault="0085684A" w:rsidP="000E24A5">
            <w:pPr>
              <w:pStyle w:val="BodyText1"/>
            </w:pPr>
            <w:r w:rsidRPr="008527E2">
              <w:t>Discharge effluent (e.g. via a trunk sewer) to a part of the water environment with sufficient carrying capacity to accommodate it or where the adverse impacts of the discharge will be of much lower significance</w:t>
            </w:r>
            <w:r w:rsidR="0077226B">
              <w:t>.</w:t>
            </w:r>
          </w:p>
        </w:tc>
        <w:tc>
          <w:tcPr>
            <w:tcW w:w="762" w:type="pct"/>
            <w:tcBorders>
              <w:top w:val="nil"/>
              <w:left w:val="nil"/>
              <w:bottom w:val="single" w:sz="8" w:space="0" w:color="A6A6A6"/>
              <w:right w:val="single" w:sz="8" w:space="0" w:color="A6A6A6"/>
            </w:tcBorders>
            <w:noWrap/>
            <w:tcMar>
              <w:top w:w="0" w:type="dxa"/>
              <w:left w:w="108" w:type="dxa"/>
              <w:bottom w:w="0" w:type="dxa"/>
              <w:right w:w="108" w:type="dxa"/>
            </w:tcMar>
          </w:tcPr>
          <w:p w14:paraId="20916A0A" w14:textId="77777777" w:rsidR="0085684A" w:rsidRPr="008527E2" w:rsidRDefault="0085684A" w:rsidP="000E24A5">
            <w:pPr>
              <w:pStyle w:val="BodyText1"/>
            </w:pPr>
          </w:p>
        </w:tc>
      </w:tr>
    </w:tbl>
    <w:p w14:paraId="5B35B903" w14:textId="2ECA5527" w:rsidR="00B81034" w:rsidRDefault="00B81034" w:rsidP="002D71F9">
      <w:pPr>
        <w:ind w:left="566"/>
        <w:rPr>
          <w:rFonts w:ascii="Arial" w:eastAsia="Arial" w:hAnsi="Arial" w:cs="Arial"/>
          <w:color w:val="000000"/>
          <w:kern w:val="2"/>
          <w14:ligatures w14:val="standardContextual"/>
        </w:rPr>
      </w:pPr>
    </w:p>
    <w:p w14:paraId="7A453F57" w14:textId="25034E9C" w:rsidR="003E731C" w:rsidRDefault="003E731C">
      <w:pPr>
        <w:spacing w:line="240" w:lineRule="auto"/>
        <w:rPr>
          <w:rFonts w:ascii="Arial" w:eastAsia="Arial" w:hAnsi="Arial" w:cs="Arial"/>
          <w:color w:val="000000"/>
          <w:kern w:val="2"/>
          <w14:ligatures w14:val="standardContextual"/>
        </w:rPr>
      </w:pPr>
    </w:p>
    <w:p w14:paraId="38A29B85" w14:textId="35B3CBEE" w:rsidR="00B81034" w:rsidRPr="008527E2" w:rsidRDefault="4964C9FF" w:rsidP="008527E2">
      <w:pPr>
        <w:pStyle w:val="Heading1"/>
      </w:pPr>
      <w:bookmarkStart w:id="9" w:name="_Toc193709870"/>
      <w:bookmarkStart w:id="10" w:name="_Toc193710009"/>
      <w:r>
        <w:t xml:space="preserve">5 </w:t>
      </w:r>
      <w:r w:rsidR="00B81034">
        <w:t>Feasibility and Cost of Alternative Options</w:t>
      </w:r>
      <w:bookmarkEnd w:id="9"/>
      <w:bookmarkEnd w:id="10"/>
      <w:r w:rsidR="00B81034">
        <w:t xml:space="preserve"> </w:t>
      </w:r>
    </w:p>
    <w:p w14:paraId="328923B7" w14:textId="06EB2175" w:rsidR="00DF5976" w:rsidRDefault="00B81034" w:rsidP="00C91152">
      <w:pPr>
        <w:pStyle w:val="BodyText1"/>
      </w:pPr>
      <w:r>
        <w:t xml:space="preserve">SEPA will consider the derogation test for alternative options failed if: </w:t>
      </w:r>
    </w:p>
    <w:p w14:paraId="794273AE" w14:textId="77777777" w:rsidR="00B81034" w:rsidRDefault="00B81034" w:rsidP="00C91152">
      <w:pPr>
        <w:pStyle w:val="BodyText1"/>
        <w:numPr>
          <w:ilvl w:val="0"/>
          <w:numId w:val="29"/>
        </w:numPr>
      </w:pPr>
      <w:r>
        <w:t xml:space="preserve">it is likely that there is at least one significantly better environmental option; and </w:t>
      </w:r>
    </w:p>
    <w:p w14:paraId="055CCB82" w14:textId="77777777" w:rsidR="00B81034" w:rsidRDefault="00B81034" w:rsidP="00C91152">
      <w:pPr>
        <w:pStyle w:val="BodyText1"/>
        <w:numPr>
          <w:ilvl w:val="0"/>
          <w:numId w:val="29"/>
        </w:numPr>
      </w:pPr>
      <w:r>
        <w:t xml:space="preserve">there is a reasonable likelihood that a significantly better environmental option is not technically infeasible or disproportionately expensive. </w:t>
      </w:r>
    </w:p>
    <w:p w14:paraId="71E3ADC1" w14:textId="190EF4B9" w:rsidR="0011717D" w:rsidRDefault="00B81034" w:rsidP="00C91152">
      <w:pPr>
        <w:pStyle w:val="BodyText1"/>
      </w:pPr>
      <w:r>
        <w:t xml:space="preserve">Failing the derogation test does not imply that an applicant is in anyway obliged to implement the option. </w:t>
      </w:r>
    </w:p>
    <w:p w14:paraId="6755FBDB" w14:textId="77777777" w:rsidR="00B81034" w:rsidRDefault="00B81034" w:rsidP="00C91152">
      <w:pPr>
        <w:pStyle w:val="BodyText1"/>
      </w:pPr>
      <w:r>
        <w:t xml:space="preserve">A significantly better environmental option would only be disproportionately expensive if its total cost (financial cost + environmental cost) would be out of proportion to the benefit it would deliver. SEPA believes that it is reasonable to assume that this would not be the case under either of the following circumstances: </w:t>
      </w:r>
    </w:p>
    <w:p w14:paraId="68ABF751" w14:textId="77777777" w:rsidR="00B81034" w:rsidRDefault="00B81034" w:rsidP="00814D28">
      <w:pPr>
        <w:pStyle w:val="BodyText1"/>
        <w:numPr>
          <w:ilvl w:val="0"/>
          <w:numId w:val="30"/>
        </w:numPr>
      </w:pPr>
      <w:r>
        <w:t xml:space="preserve">developments that are reasonably comparable to the option have been undertaken in the recent past; are known to be being undertaken or known to be being planned; or </w:t>
      </w:r>
    </w:p>
    <w:p w14:paraId="283BDACF" w14:textId="77777777" w:rsidR="00B81034" w:rsidRDefault="00B81034" w:rsidP="00814D28">
      <w:pPr>
        <w:pStyle w:val="BodyText1"/>
        <w:numPr>
          <w:ilvl w:val="0"/>
          <w:numId w:val="30"/>
        </w:numPr>
      </w:pPr>
      <w:r>
        <w:t xml:space="preserve">there is no evidence that the financial cost of the alternative option is likely to be substantially higher than the financial cost of the proposal. </w:t>
      </w:r>
    </w:p>
    <w:p w14:paraId="0A3DCC07" w14:textId="30ABECF4" w:rsidR="0011717D" w:rsidRDefault="00B81034" w:rsidP="00814D28">
      <w:pPr>
        <w:pStyle w:val="BodyText1"/>
      </w:pPr>
      <w:r>
        <w:lastRenderedPageBreak/>
        <w:t xml:space="preserve">SEPA also considers it reasonable to assume that an alternative option is an economically viable and, hence, realistic option (see </w:t>
      </w:r>
      <w:r>
        <w:rPr>
          <w:i/>
        </w:rPr>
        <w:t>Section 3</w:t>
      </w:r>
      <w:r>
        <w:t>)</w:t>
      </w:r>
      <w:r>
        <w:rPr>
          <w:i/>
          <w:color w:val="FF0000"/>
        </w:rPr>
        <w:t xml:space="preserve"> </w:t>
      </w:r>
      <w:r>
        <w:t xml:space="preserve">if points (a) and (b) above apply. </w:t>
      </w:r>
    </w:p>
    <w:p w14:paraId="2BC77C9C" w14:textId="1B289DCD" w:rsidR="00E218FA" w:rsidRDefault="00B81034" w:rsidP="00814D28">
      <w:pPr>
        <w:pStyle w:val="BodyText1"/>
      </w:pPr>
      <w:r>
        <w:t xml:space="preserve">SEPA believes it reasonable to conclude that there is sufficient evidence that an alternative option is disproportionately expensive if: </w:t>
      </w:r>
    </w:p>
    <w:p w14:paraId="47C56267" w14:textId="77777777" w:rsidR="00B81034" w:rsidRDefault="00B81034" w:rsidP="00814D28">
      <w:pPr>
        <w:pStyle w:val="BodyText1"/>
        <w:numPr>
          <w:ilvl w:val="0"/>
          <w:numId w:val="31"/>
        </w:numPr>
      </w:pPr>
      <w:r>
        <w:t xml:space="preserve">points (a) and (b) above do not apply; </w:t>
      </w:r>
    </w:p>
    <w:p w14:paraId="7A5CEF51" w14:textId="77777777" w:rsidR="00B81034" w:rsidRDefault="00B81034" w:rsidP="00814D28">
      <w:pPr>
        <w:pStyle w:val="BodyText1"/>
        <w:numPr>
          <w:ilvl w:val="0"/>
          <w:numId w:val="31"/>
        </w:numPr>
      </w:pPr>
      <w:r>
        <w:t xml:space="preserve">there are good reasons to believe that the financial cost of the option would be substantially higher than the financial cost of the most similar developments (recently undertaken, being undertaken or being planned) to the option; and </w:t>
      </w:r>
    </w:p>
    <w:p w14:paraId="5A55F7D3" w14:textId="77777777" w:rsidR="00B81034" w:rsidRDefault="00B81034" w:rsidP="00814D28">
      <w:pPr>
        <w:pStyle w:val="BodyText1"/>
        <w:numPr>
          <w:ilvl w:val="0"/>
          <w:numId w:val="31"/>
        </w:numPr>
      </w:pPr>
      <w:r>
        <w:t xml:space="preserve">there would be no proportionately greater benefit to off set the higher relative economic cost of the option. </w:t>
      </w:r>
    </w:p>
    <w:p w14:paraId="13BEC270" w14:textId="15FE35E1" w:rsidR="0011717D" w:rsidRDefault="00B81034" w:rsidP="00814D28">
      <w:pPr>
        <w:pStyle w:val="BodyText1"/>
      </w:pPr>
      <w:r>
        <w:t xml:space="preserve">Unless all three of these points apply, SEPA believes that it cannot reasonably conclude that an option is disproportionately expensive. </w:t>
      </w:r>
    </w:p>
    <w:p w14:paraId="45F08C68" w14:textId="17F4571D" w:rsidR="00B81034" w:rsidRDefault="00B81034" w:rsidP="00814D28">
      <w:pPr>
        <w:pStyle w:val="BodyText1"/>
      </w:pPr>
      <w:r>
        <w:t xml:space="preserve">SEPA also believes that it would be reasonable to conclude that an option is technically feasible if: </w:t>
      </w:r>
    </w:p>
    <w:p w14:paraId="384741E1" w14:textId="77777777" w:rsidR="00B81034" w:rsidRDefault="00B81034" w:rsidP="00814D28">
      <w:pPr>
        <w:pStyle w:val="BodyText1"/>
        <w:numPr>
          <w:ilvl w:val="0"/>
          <w:numId w:val="32"/>
        </w:numPr>
      </w:pPr>
      <w:r>
        <w:t xml:space="preserve">developments that are reasonably comparable to the option have been undertaken in the recent past; are known to be being undertaken or known to be being planned; and </w:t>
      </w:r>
    </w:p>
    <w:p w14:paraId="20B73540" w14:textId="77777777" w:rsidR="00B81034" w:rsidRDefault="00B81034" w:rsidP="00814D28">
      <w:pPr>
        <w:pStyle w:val="BodyText1"/>
        <w:numPr>
          <w:ilvl w:val="0"/>
          <w:numId w:val="32"/>
        </w:numPr>
      </w:pPr>
      <w:r>
        <w:t xml:space="preserve">any particular environmental resources or characteristics on which the option relies in order to deliver at least an equivalent benefit to that of </w:t>
      </w:r>
    </w:p>
    <w:p w14:paraId="4FCA28DD" w14:textId="3BDBF5BC" w:rsidR="0011717D" w:rsidRDefault="00B81034" w:rsidP="00814D28">
      <w:pPr>
        <w:pStyle w:val="BodyText1"/>
      </w:pPr>
      <w:r>
        <w:t xml:space="preserve">the proposal are present in the geographic area in which the option would need to be located. </w:t>
      </w:r>
    </w:p>
    <w:p w14:paraId="01B025AA" w14:textId="57E8FDC2" w:rsidR="00E218FA" w:rsidRDefault="00B81034" w:rsidP="00814D28">
      <w:pPr>
        <w:pStyle w:val="BodyText1"/>
      </w:pPr>
      <w:r>
        <w:t xml:space="preserve">There would be sufficient evidence to conclude that an option would be technically infeasible if: </w:t>
      </w:r>
    </w:p>
    <w:p w14:paraId="154C06B2" w14:textId="77777777" w:rsidR="00B81034" w:rsidRDefault="00B81034" w:rsidP="00814D28">
      <w:pPr>
        <w:pStyle w:val="BodyText1"/>
        <w:numPr>
          <w:ilvl w:val="0"/>
          <w:numId w:val="33"/>
        </w:numPr>
      </w:pPr>
      <w:r>
        <w:t xml:space="preserve">any particular environmental resources or characteristics on which the option relies in order to deliver at least an equivalent benefit to that of the proposal are absent in the geographic area in which the option would need to be located; or </w:t>
      </w:r>
    </w:p>
    <w:p w14:paraId="20A9A273" w14:textId="77777777" w:rsidR="00B81034" w:rsidRDefault="00B81034" w:rsidP="00814D28">
      <w:pPr>
        <w:pStyle w:val="BodyText1"/>
        <w:numPr>
          <w:ilvl w:val="0"/>
          <w:numId w:val="33"/>
        </w:numPr>
      </w:pPr>
      <w:r>
        <w:t xml:space="preserve">there is good reason to believe that the option could not be delivered using any established techniques. </w:t>
      </w:r>
    </w:p>
    <w:p w14:paraId="1A2F4D45" w14:textId="048B2704" w:rsidR="00E218FA" w:rsidRDefault="00B81034" w:rsidP="00814D28">
      <w:pPr>
        <w:pStyle w:val="BodyText1"/>
      </w:pPr>
      <w:r>
        <w:lastRenderedPageBreak/>
        <w:t xml:space="preserve">For example, when considering whether there may be significantly better locations for an activity, SEPA will take into account factors such as: </w:t>
      </w:r>
    </w:p>
    <w:p w14:paraId="264BD383" w14:textId="77777777" w:rsidR="00B81034" w:rsidRDefault="00B81034" w:rsidP="00814D28">
      <w:pPr>
        <w:pStyle w:val="BodyText1"/>
        <w:numPr>
          <w:ilvl w:val="0"/>
          <w:numId w:val="34"/>
        </w:numPr>
      </w:pPr>
      <w:r>
        <w:t xml:space="preserve">the occurrence of waters with hydro-geographical characteristics likely to be capable of supporting the proposed activity; </w:t>
      </w:r>
    </w:p>
    <w:p w14:paraId="45FE0941" w14:textId="77777777" w:rsidR="00B81034" w:rsidRDefault="00B81034" w:rsidP="00814D28">
      <w:pPr>
        <w:pStyle w:val="BodyText1"/>
        <w:numPr>
          <w:ilvl w:val="0"/>
          <w:numId w:val="34"/>
        </w:numPr>
      </w:pPr>
      <w:r>
        <w:t xml:space="preserve">studies conducted by the sector or by independent experts which provide estimates of the capacity for development of the activity within Scotland; and </w:t>
      </w:r>
    </w:p>
    <w:p w14:paraId="3DB5D316" w14:textId="77777777" w:rsidR="00B81034" w:rsidRDefault="00B81034" w:rsidP="00814D28">
      <w:pPr>
        <w:pStyle w:val="BodyText1"/>
        <w:numPr>
          <w:ilvl w:val="0"/>
          <w:numId w:val="34"/>
        </w:numPr>
      </w:pPr>
      <w:r>
        <w:t xml:space="preserve">the frequency of enquiries and applications made to SEPA about the development of similar activities at other sites. </w:t>
      </w:r>
    </w:p>
    <w:p w14:paraId="0D87FE43" w14:textId="5576A45C" w:rsidR="0011717D" w:rsidRDefault="00B81034" w:rsidP="00814D28">
      <w:pPr>
        <w:pStyle w:val="BodyText1"/>
      </w:pPr>
      <w:r>
        <w:t xml:space="preserve">It will not take into account very detailed technical or operational considerations which may favour some sites over others in terms of costs, benefits or technical challenges. </w:t>
      </w:r>
    </w:p>
    <w:p w14:paraId="5BF9ECE3" w14:textId="67460CA5" w:rsidR="0011717D" w:rsidRDefault="00B81034" w:rsidP="00814D28">
      <w:pPr>
        <w:pStyle w:val="BodyText1"/>
      </w:pPr>
      <w:r>
        <w:t xml:space="preserve">SEPA will not determine a significantly better environmental option to be technically infeasible or disproportionately costly purely on the basis that it would be beyond the financial resources of the applicant or operator to implement. </w:t>
      </w:r>
    </w:p>
    <w:p w14:paraId="4F5D74BA" w14:textId="20366F8B" w:rsidR="0011717D" w:rsidRPr="00814D28" w:rsidRDefault="00B81034" w:rsidP="00814D28">
      <w:pPr>
        <w:pStyle w:val="BodyText1"/>
      </w:pPr>
      <w:r>
        <w:t xml:space="preserve">Table 3 below provides an example of the considerations relevant to determining whether there are significantly better environmental options to a hydropower proposal that are technically feasible and not disproportionately expensive. </w:t>
      </w:r>
    </w:p>
    <w:p w14:paraId="6E6F069B" w14:textId="77777777" w:rsidR="00910222" w:rsidRDefault="00910222">
      <w:pPr>
        <w:spacing w:line="240" w:lineRule="auto"/>
        <w:rPr>
          <w:b/>
          <w:bCs/>
        </w:rPr>
      </w:pPr>
      <w:r>
        <w:rPr>
          <w:b/>
          <w:bCs/>
        </w:rPr>
        <w:br w:type="page"/>
      </w:r>
    </w:p>
    <w:p w14:paraId="7CF84CEC" w14:textId="77777777" w:rsidR="00910222" w:rsidRDefault="00910222" w:rsidP="00814D28">
      <w:pPr>
        <w:pStyle w:val="BodyText1"/>
        <w:rPr>
          <w:b/>
          <w:bCs/>
        </w:rPr>
        <w:sectPr w:rsidR="00910222" w:rsidSect="006A6137">
          <w:headerReference w:type="even" r:id="rId16"/>
          <w:headerReference w:type="default" r:id="rId17"/>
          <w:footerReference w:type="even" r:id="rId18"/>
          <w:footerReference w:type="default" r:id="rId19"/>
          <w:headerReference w:type="first" r:id="rId20"/>
          <w:footerReference w:type="first" r:id="rId21"/>
          <w:pgSz w:w="11900" w:h="16840"/>
          <w:pgMar w:top="839" w:right="839" w:bottom="839" w:left="839" w:header="794" w:footer="567" w:gutter="0"/>
          <w:pgNumType w:start="0"/>
          <w:cols w:space="708"/>
          <w:titlePg/>
          <w:docGrid w:linePitch="360"/>
        </w:sectPr>
      </w:pPr>
    </w:p>
    <w:p w14:paraId="431C6628" w14:textId="6D298F65" w:rsidR="00B81034" w:rsidRPr="00814D28" w:rsidRDefault="00B81034" w:rsidP="00814D28">
      <w:pPr>
        <w:pStyle w:val="BodyText1"/>
        <w:rPr>
          <w:b/>
          <w:bCs/>
        </w:rPr>
      </w:pPr>
      <w:r w:rsidRPr="00814D28">
        <w:rPr>
          <w:b/>
          <w:bCs/>
        </w:rPr>
        <w:lastRenderedPageBreak/>
        <w:t>Table 3</w:t>
      </w:r>
      <w:r w:rsidR="00814D28">
        <w:rPr>
          <w:b/>
          <w:bCs/>
        </w:rPr>
        <w:t>:</w:t>
      </w:r>
      <w:r w:rsidRPr="00814D28">
        <w:rPr>
          <w:b/>
          <w:bCs/>
        </w:rPr>
        <w:t xml:space="preserve"> Examples of factors considered when assessing alternative options to a proposed hydropower scheme </w:t>
      </w:r>
    </w:p>
    <w:tbl>
      <w:tblPr>
        <w:tblStyle w:val="TableGrid"/>
        <w:tblW w:w="15018" w:type="dxa"/>
        <w:tblInd w:w="-142" w:type="dxa"/>
        <w:tblCellMar>
          <w:top w:w="110" w:type="dxa"/>
          <w:left w:w="116" w:type="dxa"/>
        </w:tblCellMar>
        <w:tblLook w:val="04A0" w:firstRow="1" w:lastRow="0" w:firstColumn="1" w:lastColumn="0" w:noHBand="0" w:noVBand="1"/>
        <w:tblDescription w:val="This table shows:&#10;Option not a significantly better environmental option; or excluded for reasons of disproportionate cost or technical feasability.&#10;Option a significantly better environmental option &amp; cannot be excluded for reasaons of disproportionate cost or technical feasability. "/>
      </w:tblPr>
      <w:tblGrid>
        <w:gridCol w:w="1491"/>
        <w:gridCol w:w="5164"/>
        <w:gridCol w:w="8363"/>
      </w:tblGrid>
      <w:tr w:rsidR="00B81034" w:rsidRPr="008527E2" w14:paraId="77AB6D01" w14:textId="77777777" w:rsidTr="00BF284C">
        <w:trPr>
          <w:cantSplit/>
          <w:trHeight w:val="1111"/>
          <w:tblHeader/>
        </w:trPr>
        <w:tc>
          <w:tcPr>
            <w:tcW w:w="1491" w:type="dxa"/>
            <w:tcBorders>
              <w:top w:val="single" w:sz="6" w:space="0" w:color="000000"/>
              <w:left w:val="single" w:sz="6" w:space="0" w:color="000000"/>
              <w:bottom w:val="single" w:sz="4" w:space="0" w:color="000000"/>
              <w:right w:val="single" w:sz="6" w:space="0" w:color="000000"/>
            </w:tcBorders>
            <w:shd w:val="clear" w:color="auto" w:fill="016574" w:themeFill="accent6"/>
            <w:hideMark/>
          </w:tcPr>
          <w:p w14:paraId="3387EFD0" w14:textId="77777777" w:rsidR="00B81034" w:rsidRPr="00FD6F42" w:rsidRDefault="00B81034" w:rsidP="00B81034">
            <w:pPr>
              <w:ind w:left="2"/>
              <w:rPr>
                <w:rFonts w:cstheme="minorHAnsi"/>
                <w:b/>
                <w:bCs/>
              </w:rPr>
            </w:pPr>
            <w:r w:rsidRPr="00FD6F42">
              <w:rPr>
                <w:rFonts w:cstheme="minorHAnsi"/>
                <w:b/>
                <w:bCs/>
              </w:rPr>
              <w:lastRenderedPageBreak/>
              <w:t xml:space="preserve"> </w:t>
            </w:r>
          </w:p>
        </w:tc>
        <w:tc>
          <w:tcPr>
            <w:tcW w:w="5164" w:type="dxa"/>
            <w:tcBorders>
              <w:top w:val="single" w:sz="6" w:space="0" w:color="000000"/>
              <w:left w:val="single" w:sz="6" w:space="0" w:color="000000"/>
              <w:bottom w:val="single" w:sz="4" w:space="0" w:color="000000"/>
              <w:right w:val="single" w:sz="6" w:space="0" w:color="000000"/>
            </w:tcBorders>
            <w:shd w:val="clear" w:color="auto" w:fill="016574" w:themeFill="accent6"/>
            <w:hideMark/>
          </w:tcPr>
          <w:p w14:paraId="0107CBE5" w14:textId="77777777" w:rsidR="00B81034" w:rsidRPr="00FD6F42" w:rsidRDefault="00B81034" w:rsidP="00B81034">
            <w:pPr>
              <w:ind w:left="4"/>
              <w:rPr>
                <w:rFonts w:cstheme="minorHAnsi"/>
                <w:b/>
                <w:bCs/>
                <w:color w:val="FFFFFF" w:themeColor="background1"/>
              </w:rPr>
            </w:pPr>
            <w:r w:rsidRPr="00FD6F42">
              <w:rPr>
                <w:rFonts w:cstheme="minorHAnsi"/>
                <w:b/>
                <w:bCs/>
                <w:color w:val="FFFFFF" w:themeColor="background1"/>
              </w:rPr>
              <w:t xml:space="preserve">Option not a significantly better environmental option; or excluded for reasons of disproportionate cost or technical infeasibility </w:t>
            </w:r>
          </w:p>
        </w:tc>
        <w:tc>
          <w:tcPr>
            <w:tcW w:w="8363" w:type="dxa"/>
            <w:tcBorders>
              <w:top w:val="single" w:sz="6" w:space="0" w:color="000000"/>
              <w:left w:val="single" w:sz="6" w:space="0" w:color="000000"/>
              <w:bottom w:val="single" w:sz="4" w:space="0" w:color="000000"/>
              <w:right w:val="single" w:sz="4" w:space="0" w:color="000000"/>
            </w:tcBorders>
            <w:shd w:val="clear" w:color="auto" w:fill="016574" w:themeFill="accent6"/>
            <w:hideMark/>
          </w:tcPr>
          <w:p w14:paraId="2325AEB0" w14:textId="77777777" w:rsidR="00B81034" w:rsidRPr="00FD6F42" w:rsidRDefault="00B81034" w:rsidP="00B81034">
            <w:pPr>
              <w:ind w:left="4"/>
              <w:rPr>
                <w:rFonts w:cstheme="minorHAnsi"/>
                <w:b/>
                <w:bCs/>
                <w:color w:val="FFFFFF" w:themeColor="background1"/>
              </w:rPr>
            </w:pPr>
            <w:r w:rsidRPr="00FD6F42">
              <w:rPr>
                <w:rFonts w:cstheme="minorHAnsi"/>
                <w:b/>
                <w:bCs/>
                <w:color w:val="FFFFFF" w:themeColor="background1"/>
              </w:rPr>
              <w:t xml:space="preserve">Option a significantly better environmental option &amp; cannot be excluded for reasons of disproportionate cost or technical infeasibility </w:t>
            </w:r>
          </w:p>
        </w:tc>
      </w:tr>
      <w:tr w:rsidR="00B81034" w:rsidRPr="008527E2" w14:paraId="06A09EE8" w14:textId="77777777" w:rsidTr="00BF284C">
        <w:trPr>
          <w:cantSplit/>
          <w:trHeight w:val="935"/>
        </w:trPr>
        <w:tc>
          <w:tcPr>
            <w:tcW w:w="1491" w:type="dxa"/>
            <w:tcBorders>
              <w:top w:val="single" w:sz="4" w:space="0" w:color="000000"/>
              <w:left w:val="single" w:sz="4" w:space="0" w:color="000000"/>
              <w:bottom w:val="single" w:sz="6" w:space="0" w:color="000000"/>
              <w:right w:val="single" w:sz="6" w:space="0" w:color="000000"/>
            </w:tcBorders>
            <w:hideMark/>
          </w:tcPr>
          <w:p w14:paraId="0681A741" w14:textId="77777777" w:rsidR="00B81034" w:rsidRPr="008527E2" w:rsidRDefault="00B81034" w:rsidP="00B81034">
            <w:pPr>
              <w:rPr>
                <w:rFonts w:cstheme="minorHAnsi"/>
              </w:rPr>
            </w:pPr>
            <w:r w:rsidRPr="008527E2">
              <w:rPr>
                <w:rFonts w:cstheme="minorHAnsi"/>
              </w:rPr>
              <w:t xml:space="preserve">Use of alternative sites </w:t>
            </w:r>
          </w:p>
        </w:tc>
        <w:tc>
          <w:tcPr>
            <w:tcW w:w="5164" w:type="dxa"/>
            <w:tcBorders>
              <w:top w:val="single" w:sz="4" w:space="0" w:color="000000"/>
              <w:left w:val="single" w:sz="6" w:space="0" w:color="000000"/>
              <w:bottom w:val="single" w:sz="6" w:space="0" w:color="000000"/>
              <w:right w:val="single" w:sz="6" w:space="0" w:color="000000"/>
            </w:tcBorders>
            <w:hideMark/>
          </w:tcPr>
          <w:p w14:paraId="36FA296D" w14:textId="77777777" w:rsidR="00B81034" w:rsidRPr="008527E2" w:rsidRDefault="00B81034" w:rsidP="00910222">
            <w:pPr>
              <w:pStyle w:val="BodyText1"/>
            </w:pPr>
            <w:r w:rsidRPr="008527E2">
              <w:t xml:space="preserve">Evidence that: </w:t>
            </w:r>
          </w:p>
          <w:p w14:paraId="36141902" w14:textId="77777777" w:rsidR="00B81034" w:rsidRPr="008527E2" w:rsidRDefault="00B81034" w:rsidP="00E10598">
            <w:pPr>
              <w:pStyle w:val="BodyText1"/>
              <w:numPr>
                <w:ilvl w:val="0"/>
                <w:numId w:val="36"/>
              </w:numPr>
              <w:ind w:left="370" w:right="271" w:hanging="370"/>
            </w:pPr>
            <w:r w:rsidRPr="008527E2">
              <w:t xml:space="preserve">adverse impact of a scheme would be higher at other locations because of the particular characteristics of the site (e.g. the proposal is to utilise a pre-existing impoundment); or </w:t>
            </w:r>
          </w:p>
          <w:p w14:paraId="3C103679" w14:textId="77777777" w:rsidR="00B81034" w:rsidRPr="008527E2" w:rsidRDefault="00B81034" w:rsidP="00E10598">
            <w:pPr>
              <w:pStyle w:val="BodyText1"/>
              <w:numPr>
                <w:ilvl w:val="0"/>
                <w:numId w:val="36"/>
              </w:numPr>
              <w:ind w:left="370" w:hanging="370"/>
            </w:pPr>
            <w:r w:rsidRPr="008527E2">
              <w:t xml:space="preserve">there are likely to be very few sites where a comparable size scheme could be developed and the significance of proposals adverse impacts derives primarily from the scale and nature of the proposal rather than from any particular sensitivity or importance of the site. </w:t>
            </w:r>
          </w:p>
        </w:tc>
        <w:tc>
          <w:tcPr>
            <w:tcW w:w="8363" w:type="dxa"/>
            <w:tcBorders>
              <w:top w:val="single" w:sz="4" w:space="0" w:color="000000"/>
              <w:left w:val="single" w:sz="6" w:space="0" w:color="000000"/>
              <w:bottom w:val="single" w:sz="6" w:space="0" w:color="000000"/>
              <w:right w:val="single" w:sz="4" w:space="0" w:color="000000"/>
            </w:tcBorders>
            <w:hideMark/>
          </w:tcPr>
          <w:p w14:paraId="55068424" w14:textId="77777777" w:rsidR="00B81034" w:rsidRPr="008527E2" w:rsidRDefault="00B81034" w:rsidP="00B81034">
            <w:pPr>
              <w:spacing w:after="119"/>
              <w:ind w:left="4"/>
              <w:rPr>
                <w:rFonts w:cstheme="minorHAnsi"/>
              </w:rPr>
            </w:pPr>
            <w:r w:rsidRPr="008527E2">
              <w:rPr>
                <w:rFonts w:cstheme="minorHAnsi"/>
              </w:rPr>
              <w:t xml:space="preserve">Evidence that: </w:t>
            </w:r>
          </w:p>
          <w:p w14:paraId="76083E27" w14:textId="77777777" w:rsidR="00B81034" w:rsidRPr="008527E2" w:rsidRDefault="00B81034" w:rsidP="00E10598">
            <w:pPr>
              <w:pStyle w:val="BodyText1"/>
              <w:numPr>
                <w:ilvl w:val="0"/>
                <w:numId w:val="36"/>
              </w:numPr>
              <w:ind w:left="370" w:right="271" w:hanging="370"/>
            </w:pPr>
            <w:r w:rsidRPr="008527E2">
              <w:t xml:space="preserve">adverse impact of proposal derives primarily from the particular sensitivity or importance of the site rather than just from the scale or nature of the proposal itself; </w:t>
            </w:r>
          </w:p>
          <w:p w14:paraId="417311FC" w14:textId="79283EA6" w:rsidR="00B81034" w:rsidRPr="00910222" w:rsidRDefault="00B81034" w:rsidP="00E10598">
            <w:pPr>
              <w:pStyle w:val="BodyText1"/>
              <w:numPr>
                <w:ilvl w:val="0"/>
                <w:numId w:val="36"/>
              </w:numPr>
              <w:ind w:left="370" w:right="271" w:hanging="370"/>
            </w:pPr>
            <w:r w:rsidRPr="008527E2">
              <w:t xml:space="preserve">there are a reasonable number of potential alternative sites; [e.g. </w:t>
            </w:r>
            <w:r w:rsidRPr="00910222">
              <w:t xml:space="preserve">independent studies on the capacity for similar scale hydropower schemes in Scotland; expert opinions on the capacity for similar scale hydropower schemes stemming from industry representatives; information on the hydrological characteristics of undeveloped rivers; etc]; and </w:t>
            </w:r>
          </w:p>
          <w:p w14:paraId="7685D09A" w14:textId="77777777" w:rsidR="00B81034" w:rsidRPr="008527E2" w:rsidRDefault="00B81034" w:rsidP="00E10598">
            <w:pPr>
              <w:pStyle w:val="BodyText1"/>
              <w:numPr>
                <w:ilvl w:val="0"/>
                <w:numId w:val="36"/>
              </w:numPr>
              <w:ind w:left="370" w:right="271" w:hanging="370"/>
            </w:pPr>
            <w:r w:rsidRPr="008527E2">
              <w:t xml:space="preserve">other sites are feasible and not disproportionately costly to develop [e.g. knowledge of significant numbers of applications for comparable size schemes in the process of being made or being determined]. </w:t>
            </w:r>
          </w:p>
        </w:tc>
      </w:tr>
      <w:tr w:rsidR="00B81034" w:rsidRPr="008527E2" w14:paraId="7070E765" w14:textId="77777777" w:rsidTr="00BF284C">
        <w:trPr>
          <w:cantSplit/>
          <w:trHeight w:val="2494"/>
        </w:trPr>
        <w:tc>
          <w:tcPr>
            <w:tcW w:w="1491" w:type="dxa"/>
            <w:tcBorders>
              <w:top w:val="single" w:sz="6" w:space="0" w:color="000000"/>
              <w:left w:val="single" w:sz="4" w:space="0" w:color="000000"/>
              <w:bottom w:val="single" w:sz="6" w:space="0" w:color="000000"/>
              <w:right w:val="single" w:sz="6" w:space="0" w:color="000000"/>
            </w:tcBorders>
            <w:hideMark/>
          </w:tcPr>
          <w:p w14:paraId="5AFCE09A" w14:textId="77777777" w:rsidR="00B81034" w:rsidRPr="008527E2" w:rsidRDefault="00B81034" w:rsidP="00B81034">
            <w:pPr>
              <w:rPr>
                <w:rFonts w:cstheme="minorHAnsi"/>
              </w:rPr>
            </w:pPr>
            <w:r w:rsidRPr="008527E2">
              <w:rPr>
                <w:rFonts w:cstheme="minorHAnsi"/>
              </w:rPr>
              <w:lastRenderedPageBreak/>
              <w:t xml:space="preserve">Use of a comparable and established renewable energy technology known to have considerable capacity for development in </w:t>
            </w:r>
          </w:p>
          <w:p w14:paraId="3241683C" w14:textId="77777777" w:rsidR="00B81034" w:rsidRPr="008527E2" w:rsidRDefault="00B81034" w:rsidP="00B81034">
            <w:pPr>
              <w:rPr>
                <w:rFonts w:cstheme="minorHAnsi"/>
              </w:rPr>
            </w:pPr>
            <w:r w:rsidRPr="008527E2">
              <w:rPr>
                <w:rFonts w:cstheme="minorHAnsi"/>
              </w:rPr>
              <w:t xml:space="preserve">Scotland </w:t>
            </w:r>
          </w:p>
        </w:tc>
        <w:tc>
          <w:tcPr>
            <w:tcW w:w="5164" w:type="dxa"/>
            <w:tcBorders>
              <w:top w:val="single" w:sz="6" w:space="0" w:color="000000"/>
              <w:left w:val="single" w:sz="6" w:space="0" w:color="000000"/>
              <w:bottom w:val="single" w:sz="6" w:space="0" w:color="000000"/>
              <w:right w:val="single" w:sz="6" w:space="0" w:color="000000"/>
            </w:tcBorders>
            <w:hideMark/>
          </w:tcPr>
          <w:p w14:paraId="12489C0B" w14:textId="77777777" w:rsidR="00B81034" w:rsidRPr="008527E2" w:rsidRDefault="00B81034" w:rsidP="00E10598">
            <w:pPr>
              <w:pStyle w:val="BodyText1"/>
              <w:ind w:right="271"/>
            </w:pPr>
            <w:r w:rsidRPr="008527E2">
              <w:t xml:space="preserve">Evidence that: </w:t>
            </w:r>
          </w:p>
          <w:p w14:paraId="06970819" w14:textId="0D6396BA" w:rsidR="00B81034" w:rsidRPr="008527E2" w:rsidRDefault="00B81034" w:rsidP="00E10598">
            <w:pPr>
              <w:pStyle w:val="BodyText1"/>
              <w:numPr>
                <w:ilvl w:val="0"/>
                <w:numId w:val="36"/>
              </w:numPr>
              <w:ind w:left="370" w:right="271" w:hanging="370"/>
            </w:pPr>
            <w:r w:rsidRPr="008527E2">
              <w:t>the proposed scheme has significant storage and can therefore generate on demand unlike wind or other renewables</w:t>
            </w:r>
            <w:r w:rsidR="00910222">
              <w:t>.</w:t>
            </w:r>
            <w:r w:rsidRPr="008527E2">
              <w:t xml:space="preserve"> </w:t>
            </w:r>
          </w:p>
        </w:tc>
        <w:tc>
          <w:tcPr>
            <w:tcW w:w="8363" w:type="dxa"/>
            <w:tcBorders>
              <w:top w:val="single" w:sz="6" w:space="0" w:color="000000"/>
              <w:left w:val="single" w:sz="6" w:space="0" w:color="000000"/>
              <w:bottom w:val="single" w:sz="6" w:space="0" w:color="000000"/>
              <w:right w:val="single" w:sz="4" w:space="0" w:color="000000"/>
            </w:tcBorders>
            <w:hideMark/>
          </w:tcPr>
          <w:p w14:paraId="6B1E601A" w14:textId="77777777" w:rsidR="00B81034" w:rsidRPr="008527E2" w:rsidRDefault="00B81034" w:rsidP="00E10598">
            <w:pPr>
              <w:pStyle w:val="BodyText1"/>
              <w:ind w:right="271"/>
            </w:pPr>
            <w:r w:rsidRPr="008527E2">
              <w:t xml:space="preserve">Evidence that: </w:t>
            </w:r>
          </w:p>
          <w:p w14:paraId="0759A80E" w14:textId="65C9D4B8" w:rsidR="00B81034" w:rsidRPr="008527E2" w:rsidRDefault="00B81034" w:rsidP="00E10598">
            <w:pPr>
              <w:pStyle w:val="BodyText1"/>
              <w:numPr>
                <w:ilvl w:val="0"/>
                <w:numId w:val="36"/>
              </w:numPr>
              <w:ind w:left="370" w:right="271" w:hanging="370"/>
            </w:pPr>
            <w:r w:rsidRPr="008527E2">
              <w:t xml:space="preserve">wind farms capable of producing at least the equivalent energy output have potential to be developed [e.g. knowledge of applications; recent development trends; etc]. </w:t>
            </w:r>
          </w:p>
          <w:p w14:paraId="1590D610" w14:textId="63AB3F06" w:rsidR="00B81034" w:rsidRPr="008527E2" w:rsidRDefault="00B81034" w:rsidP="00E10598">
            <w:pPr>
              <w:pStyle w:val="BodyText1"/>
              <w:ind w:right="271"/>
            </w:pPr>
          </w:p>
        </w:tc>
      </w:tr>
      <w:tr w:rsidR="00B81034" w:rsidRPr="008527E2" w14:paraId="1A7C58A7" w14:textId="77777777" w:rsidTr="00BF284C">
        <w:trPr>
          <w:cantSplit/>
          <w:trHeight w:val="1612"/>
        </w:trPr>
        <w:tc>
          <w:tcPr>
            <w:tcW w:w="1491" w:type="dxa"/>
            <w:tcBorders>
              <w:top w:val="single" w:sz="6" w:space="0" w:color="000000"/>
              <w:left w:val="single" w:sz="4" w:space="0" w:color="000000"/>
              <w:bottom w:val="single" w:sz="4" w:space="0" w:color="000000"/>
              <w:right w:val="single" w:sz="6" w:space="0" w:color="000000"/>
            </w:tcBorders>
            <w:hideMark/>
          </w:tcPr>
          <w:p w14:paraId="366A07C0" w14:textId="77777777" w:rsidR="00B81034" w:rsidRPr="008527E2" w:rsidRDefault="00B81034" w:rsidP="00B81034">
            <w:pPr>
              <w:rPr>
                <w:rFonts w:cstheme="minorHAnsi"/>
              </w:rPr>
            </w:pPr>
            <w:r w:rsidRPr="008527E2">
              <w:rPr>
                <w:rFonts w:cstheme="minorHAnsi"/>
              </w:rPr>
              <w:lastRenderedPageBreak/>
              <w:t xml:space="preserve">Improve the output of existing hydropower schemes </w:t>
            </w:r>
          </w:p>
        </w:tc>
        <w:tc>
          <w:tcPr>
            <w:tcW w:w="5164" w:type="dxa"/>
            <w:tcBorders>
              <w:top w:val="single" w:sz="6" w:space="0" w:color="000000"/>
              <w:left w:val="single" w:sz="6" w:space="0" w:color="000000"/>
              <w:bottom w:val="single" w:sz="6" w:space="0" w:color="000000"/>
              <w:right w:val="single" w:sz="6" w:space="0" w:color="000000"/>
            </w:tcBorders>
            <w:hideMark/>
          </w:tcPr>
          <w:p w14:paraId="1CB8268C" w14:textId="77777777" w:rsidR="00B81034" w:rsidRPr="008527E2" w:rsidRDefault="00B81034" w:rsidP="00B81034">
            <w:pPr>
              <w:spacing w:after="116"/>
              <w:ind w:left="4"/>
              <w:rPr>
                <w:rFonts w:cstheme="minorHAnsi"/>
              </w:rPr>
            </w:pPr>
            <w:r w:rsidRPr="008527E2">
              <w:rPr>
                <w:rFonts w:cstheme="minorHAnsi"/>
              </w:rPr>
              <w:t xml:space="preserve">Evidence that: </w:t>
            </w:r>
          </w:p>
          <w:p w14:paraId="5FAB7B82" w14:textId="77777777" w:rsidR="00B81034" w:rsidRPr="004A4404" w:rsidRDefault="00B81034" w:rsidP="004A4404">
            <w:pPr>
              <w:pStyle w:val="BodyText1"/>
              <w:numPr>
                <w:ilvl w:val="0"/>
                <w:numId w:val="36"/>
              </w:numPr>
              <w:ind w:left="370" w:right="271" w:hanging="370"/>
            </w:pPr>
            <w:r w:rsidRPr="004A4404">
              <w:t xml:space="preserve">the energy output of the scheme is large; or </w:t>
            </w:r>
          </w:p>
          <w:p w14:paraId="50AE2256" w14:textId="77777777" w:rsidR="00B81034" w:rsidRPr="00FD6F42" w:rsidRDefault="00B81034" w:rsidP="004A4404">
            <w:pPr>
              <w:pStyle w:val="BodyText1"/>
              <w:numPr>
                <w:ilvl w:val="0"/>
                <w:numId w:val="36"/>
              </w:numPr>
              <w:ind w:left="370" w:right="271" w:hanging="370"/>
              <w:rPr>
                <w:rFonts w:cstheme="minorHAnsi"/>
              </w:rPr>
            </w:pPr>
            <w:r w:rsidRPr="004A4404">
              <w:t>output has been maximised at all existing medium and large schemes.</w:t>
            </w:r>
            <w:r w:rsidRPr="00FD6F42">
              <w:rPr>
                <w:rFonts w:cstheme="minorHAnsi"/>
              </w:rPr>
              <w:t xml:space="preserve"> </w:t>
            </w:r>
          </w:p>
        </w:tc>
        <w:tc>
          <w:tcPr>
            <w:tcW w:w="8363" w:type="dxa"/>
            <w:tcBorders>
              <w:top w:val="single" w:sz="6" w:space="0" w:color="000000"/>
              <w:left w:val="single" w:sz="6" w:space="0" w:color="000000"/>
              <w:bottom w:val="single" w:sz="6" w:space="0" w:color="000000"/>
              <w:right w:val="single" w:sz="4" w:space="0" w:color="000000"/>
            </w:tcBorders>
            <w:hideMark/>
          </w:tcPr>
          <w:p w14:paraId="43681D9A" w14:textId="77777777" w:rsidR="00B81034" w:rsidRPr="008527E2" w:rsidRDefault="00B81034" w:rsidP="00B81034">
            <w:pPr>
              <w:spacing w:after="117"/>
              <w:ind w:left="4"/>
              <w:rPr>
                <w:rFonts w:cstheme="minorHAnsi"/>
              </w:rPr>
            </w:pPr>
            <w:r w:rsidRPr="008527E2">
              <w:rPr>
                <w:rFonts w:cstheme="minorHAnsi"/>
              </w:rPr>
              <w:t xml:space="preserve">Evidence that: </w:t>
            </w:r>
          </w:p>
          <w:p w14:paraId="0C44670E" w14:textId="77777777" w:rsidR="00B81034" w:rsidRPr="004A4404" w:rsidRDefault="00B81034" w:rsidP="004A4404">
            <w:pPr>
              <w:pStyle w:val="BodyText1"/>
              <w:numPr>
                <w:ilvl w:val="0"/>
                <w:numId w:val="36"/>
              </w:numPr>
              <w:ind w:left="370" w:right="271" w:hanging="370"/>
            </w:pPr>
            <w:r w:rsidRPr="004A4404">
              <w:t xml:space="preserve">the energy output of the scheme is small or very small; and </w:t>
            </w:r>
          </w:p>
          <w:p w14:paraId="373229DA" w14:textId="77777777" w:rsidR="00B81034" w:rsidRPr="00FD6F42" w:rsidRDefault="00B81034" w:rsidP="004A4404">
            <w:pPr>
              <w:pStyle w:val="BodyText1"/>
              <w:numPr>
                <w:ilvl w:val="0"/>
                <w:numId w:val="36"/>
              </w:numPr>
              <w:ind w:left="370" w:right="271" w:hanging="370"/>
              <w:rPr>
                <w:rFonts w:cstheme="minorHAnsi"/>
              </w:rPr>
            </w:pPr>
            <w:r w:rsidRPr="004A4404">
              <w:t>output has not been maximised at all medium and large schemes.</w:t>
            </w:r>
            <w:r w:rsidRPr="00FD6F42">
              <w:rPr>
                <w:rFonts w:cstheme="minorHAnsi"/>
              </w:rPr>
              <w:t xml:space="preserve"> </w:t>
            </w:r>
          </w:p>
        </w:tc>
      </w:tr>
    </w:tbl>
    <w:p w14:paraId="61B4A6BB" w14:textId="1FAF296B" w:rsidR="008527E2" w:rsidRDefault="008527E2">
      <w:pPr>
        <w:spacing w:line="240" w:lineRule="auto"/>
      </w:pPr>
    </w:p>
    <w:p w14:paraId="0D12BBCB" w14:textId="3ECE3FD2" w:rsidR="49B5B38A" w:rsidRDefault="49B5B38A" w:rsidP="00FD6F42">
      <w:pPr>
        <w:pStyle w:val="BodyText1"/>
        <w:rPr>
          <w:rFonts w:eastAsia="Times New Roman"/>
        </w:rPr>
      </w:pPr>
    </w:p>
    <w:p w14:paraId="07F10BD4" w14:textId="2175D409" w:rsidR="49B5B38A" w:rsidRDefault="49B5B38A" w:rsidP="00FD6F42">
      <w:pPr>
        <w:pStyle w:val="BodyText1"/>
        <w:rPr>
          <w:rFonts w:eastAsia="Times New Roman"/>
        </w:rPr>
      </w:pPr>
    </w:p>
    <w:p w14:paraId="1C066170" w14:textId="51947642" w:rsidR="49B5B38A" w:rsidRDefault="49B5B38A">
      <w:r>
        <w:br w:type="page"/>
      </w:r>
    </w:p>
    <w:p w14:paraId="7EAC8461" w14:textId="77777777" w:rsidR="00FD6F42" w:rsidRDefault="00FD6F42" w:rsidP="000C0F33">
      <w:pPr>
        <w:keepNext/>
        <w:keepLines/>
        <w:spacing w:after="240" w:line="240" w:lineRule="auto"/>
        <w:outlineLvl w:val="0"/>
        <w:rPr>
          <w:rFonts w:ascii="Arial" w:eastAsia="Times New Roman" w:hAnsi="Arial" w:cs="Arial"/>
          <w:b/>
          <w:color w:val="016574"/>
          <w:sz w:val="40"/>
          <w:szCs w:val="32"/>
        </w:rPr>
        <w:sectPr w:rsidR="00FD6F42" w:rsidSect="00FD6F42">
          <w:pgSz w:w="16840" w:h="11900" w:orient="landscape"/>
          <w:pgMar w:top="839" w:right="839" w:bottom="839" w:left="839" w:header="794" w:footer="567" w:gutter="0"/>
          <w:pgNumType w:start="10"/>
          <w:cols w:space="708"/>
          <w:titlePg/>
          <w:docGrid w:linePitch="360"/>
        </w:sectPr>
      </w:pPr>
    </w:p>
    <w:p w14:paraId="786E3EC2" w14:textId="77777777" w:rsidR="000C0F33" w:rsidRPr="00D61FE6" w:rsidRDefault="000C0F33" w:rsidP="00927EE3">
      <w:pPr>
        <w:pStyle w:val="Heading1"/>
        <w:rPr>
          <w:rFonts w:eastAsia="Times New Roman"/>
        </w:rPr>
      </w:pPr>
      <w:bookmarkStart w:id="11" w:name="_Toc193709871"/>
      <w:bookmarkStart w:id="12" w:name="_Toc193710010"/>
      <w:r w:rsidRPr="00D61FE6">
        <w:rPr>
          <w:rFonts w:eastAsia="Times New Roman"/>
        </w:rPr>
        <w:lastRenderedPageBreak/>
        <w:t>Disclaimer</w:t>
      </w:r>
      <w:bookmarkEnd w:id="11"/>
      <w:bookmarkEnd w:id="12"/>
    </w:p>
    <w:p w14:paraId="386AA38B" w14:textId="77777777" w:rsidR="000C0F33" w:rsidRPr="00D61FE6" w:rsidRDefault="000C0F33" w:rsidP="000C0F33">
      <w:pPr>
        <w:rPr>
          <w:rFonts w:ascii="Arial" w:eastAsia="Times New Roman" w:hAnsi="Arial" w:cs="Arial"/>
        </w:rPr>
      </w:pPr>
      <w:r w:rsidRPr="49B5B38A">
        <w:rPr>
          <w:rFonts w:ascii="Arial" w:eastAsia="Times New Roman" w:hAnsi="Arial" w:cs="Arial"/>
        </w:rPr>
        <w:t xml:space="preserve">Whilst every effort has been made to ensure the accuracy of this guidance, SEPA gives no warranty, covenant or undertaking (express or implied) regarding the fitness for purpose of, or any error, omission or discrepancy in this guidance. Reliance on its contents and the contents of any websites that are linked to or from this guidance is entirely at the user’s own risk. SEPA is not liable for any loss or damage that may come from using this guidance. This includes: </w:t>
      </w:r>
    </w:p>
    <w:p w14:paraId="669EE5E9" w14:textId="44ABD674" w:rsidR="49B5B38A" w:rsidRDefault="49B5B38A" w:rsidP="49B5B38A">
      <w:pPr>
        <w:rPr>
          <w:rFonts w:ascii="Arial" w:eastAsia="Times New Roman" w:hAnsi="Arial" w:cs="Arial"/>
        </w:rPr>
      </w:pPr>
    </w:p>
    <w:p w14:paraId="6E10EA21" w14:textId="77777777" w:rsidR="000C0F33" w:rsidRPr="00D61FE6" w:rsidRDefault="000C0F33" w:rsidP="000C0F33">
      <w:pPr>
        <w:numPr>
          <w:ilvl w:val="0"/>
          <w:numId w:val="24"/>
        </w:numPr>
        <w:spacing w:after="240"/>
        <w:rPr>
          <w:rFonts w:ascii="Arial" w:eastAsia="Times New Roman" w:hAnsi="Arial" w:cs="Arial"/>
        </w:rPr>
      </w:pPr>
      <w:r w:rsidRPr="00D61FE6">
        <w:rPr>
          <w:rFonts w:ascii="Arial" w:eastAsia="Times New Roman" w:hAnsi="Arial" w:cs="Arial"/>
        </w:rPr>
        <w:t>any direct, indirect and consequential losses</w:t>
      </w:r>
    </w:p>
    <w:p w14:paraId="19F2DDA4" w14:textId="77777777" w:rsidR="000C0F33" w:rsidRPr="00D61FE6" w:rsidRDefault="000C0F33" w:rsidP="000C0F33">
      <w:pPr>
        <w:numPr>
          <w:ilvl w:val="0"/>
          <w:numId w:val="24"/>
        </w:numPr>
        <w:spacing w:after="240"/>
        <w:rPr>
          <w:rFonts w:ascii="Arial" w:eastAsia="Times New Roman" w:hAnsi="Arial" w:cs="Arial"/>
        </w:rPr>
      </w:pPr>
      <w:r w:rsidRPr="00D61FE6">
        <w:rPr>
          <w:rFonts w:ascii="Arial" w:eastAsia="Times New Roman" w:hAnsi="Arial" w:cs="Arial"/>
        </w:rPr>
        <w:t>any loss or damage caused by civil wrongs, breach of contract or otherwise</w:t>
      </w:r>
    </w:p>
    <w:p w14:paraId="152D948D" w14:textId="77777777" w:rsidR="000C0F33" w:rsidRPr="00D61FE6" w:rsidRDefault="000C0F33" w:rsidP="000C0F33">
      <w:pPr>
        <w:rPr>
          <w:rFonts w:ascii="Arial" w:eastAsia="Times New Roman" w:hAnsi="Arial" w:cs="Arial"/>
        </w:rPr>
      </w:pPr>
      <w:r w:rsidRPr="00D61FE6">
        <w:rPr>
          <w:rFonts w:ascii="Arial" w:eastAsia="Times New Roman" w:hAnsi="Arial" w:cs="Arial"/>
        </w:rPr>
        <w:t xml:space="preserve">SEPA reserves the right to depart from this guidance and take appropriate action as it considers necessary or appropriate. Operators are responsible for ensuring that they are compliant with the law. If necessary, independent legal / specialist advice should be sought.  </w:t>
      </w:r>
    </w:p>
    <w:p w14:paraId="10A8B300" w14:textId="77777777" w:rsidR="000C0F33" w:rsidRPr="00E67C75" w:rsidRDefault="000C0F33" w:rsidP="000C0F33">
      <w:pPr>
        <w:pStyle w:val="BodyText1"/>
        <w:rPr>
          <w:color w:val="6E7571" w:themeColor="text2"/>
          <w:sz w:val="32"/>
          <w:szCs w:val="32"/>
          <w:u w:val="single"/>
        </w:rPr>
      </w:pPr>
    </w:p>
    <w:sectPr w:rsidR="000C0F33" w:rsidRPr="00E67C75" w:rsidSect="00FD6F42">
      <w:pgSz w:w="11900" w:h="16840"/>
      <w:pgMar w:top="839" w:right="839" w:bottom="839" w:left="839" w:header="794" w:footer="567" w:gutter="0"/>
      <w:pgNumType w:start="1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5FC04" w14:textId="77777777" w:rsidR="00AB704A" w:rsidRDefault="00AB704A" w:rsidP="00660C79">
      <w:pPr>
        <w:spacing w:line="240" w:lineRule="auto"/>
      </w:pPr>
      <w:r>
        <w:separator/>
      </w:r>
    </w:p>
  </w:endnote>
  <w:endnote w:type="continuationSeparator" w:id="0">
    <w:p w14:paraId="5867A987" w14:textId="77777777" w:rsidR="00AB704A" w:rsidRDefault="00AB704A" w:rsidP="00660C79">
      <w:pPr>
        <w:spacing w:line="240" w:lineRule="auto"/>
      </w:pPr>
      <w:r>
        <w:continuationSeparator/>
      </w:r>
    </w:p>
  </w:endnote>
  <w:endnote w:type="continuationNotice" w:id="1">
    <w:p w14:paraId="685C18E0" w14:textId="77777777" w:rsidR="00AB704A" w:rsidRDefault="00AB704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499AD" w14:textId="77777777" w:rsidR="00EC6A73" w:rsidRDefault="00751749">
    <w:pPr>
      <w:pStyle w:val="Footer"/>
      <w:framePr w:wrap="none" w:vAnchor="text" w:hAnchor="margin" w:xAlign="right" w:y="1"/>
      <w:rPr>
        <w:rStyle w:val="PageNumber"/>
      </w:rPr>
    </w:pPr>
    <w:r>
      <w:rPr>
        <w:noProof/>
      </w:rPr>
      <mc:AlternateContent>
        <mc:Choice Requires="wps">
          <w:drawing>
            <wp:anchor distT="0" distB="0" distL="0" distR="0" simplePos="0" relativeHeight="251658244" behindDoc="0" locked="0" layoutInCell="1" allowOverlap="1" wp14:anchorId="2032D498" wp14:editId="59129CE4">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4F9B7E"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32D498" id="_x0000_t202" coordsize="21600,21600" o:spt="202" path="m,l,21600r21600,l21600,xe">
              <v:stroke joinstyle="miter"/>
              <v:path gradientshapeok="t" o:connecttype="rect"/>
            </v:shapetype>
            <v:shape id="Text Box 11" o:spid="_x0000_s1028" type="#_x0000_t202" alt="&quot;&quot;" style="position:absolute;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704F9B7E"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5BE82D3B" w14:textId="77777777"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751C10CA"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BD05D9"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4407A" w14:textId="23074BF6" w:rsidR="00EC6A73" w:rsidRDefault="00751749" w:rsidP="00917BB1">
    <w:pPr>
      <w:pStyle w:val="Footer"/>
      <w:ind w:right="360"/>
    </w:pPr>
    <w:r>
      <w:rPr>
        <w:noProof/>
      </w:rPr>
      <mc:AlternateContent>
        <mc:Choice Requires="wps">
          <w:drawing>
            <wp:anchor distT="0" distB="0" distL="0" distR="0" simplePos="0" relativeHeight="251658245" behindDoc="0" locked="0" layoutInCell="1" allowOverlap="1" wp14:anchorId="3A19B038" wp14:editId="30651A9B">
              <wp:simplePos x="533400" y="9716770"/>
              <wp:positionH relativeFrom="page">
                <wp:align>center</wp:align>
              </wp:positionH>
              <wp:positionV relativeFrom="page">
                <wp:align>bottom</wp:align>
              </wp:positionV>
              <wp:extent cx="443865" cy="443865"/>
              <wp:effectExtent l="0" t="0" r="16510" b="0"/>
              <wp:wrapNone/>
              <wp:docPr id="12" name="Text Box 1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8DAD13" w14:textId="46B18AD2" w:rsidR="00751749" w:rsidRPr="00751749" w:rsidRDefault="00751749" w:rsidP="00751749">
                          <w:pPr>
                            <w:rPr>
                              <w:rFonts w:ascii="Calibri" w:eastAsia="Calibri" w:hAnsi="Calibri" w:cs="Calibri"/>
                              <w:noProof/>
                              <w:color w:val="0000FF"/>
                              <w:sz w:val="20"/>
                              <w:szCs w:val="2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19B038" id="_x0000_t202" coordsize="21600,21600" o:spt="202" path="m,l,21600r21600,l21600,xe">
              <v:stroke joinstyle="miter"/>
              <v:path gradientshapeok="t" o:connecttype="rect"/>
            </v:shapetype>
            <v:shape id="Text Box 12" o:spid="_x0000_s1029"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458DAD13" w14:textId="46B18AD2" w:rsidR="00751749" w:rsidRPr="00751749" w:rsidRDefault="00751749" w:rsidP="00751749">
                    <w:pPr>
                      <w:rPr>
                        <w:rFonts w:ascii="Calibri" w:eastAsia="Calibri" w:hAnsi="Calibri" w:cs="Calibri"/>
                        <w:noProof/>
                        <w:color w:val="0000FF"/>
                        <w:sz w:val="20"/>
                        <w:szCs w:val="20"/>
                      </w:rPr>
                    </w:pPr>
                  </w:p>
                </w:txbxContent>
              </v:textbox>
              <w10:wrap anchorx="page" anchory="page"/>
            </v:shape>
          </w:pict>
        </mc:Fallback>
      </mc:AlternateContent>
    </w:r>
  </w:p>
  <w:p w14:paraId="2F0A76D7" w14:textId="69F9D4C9" w:rsidR="00917BB1" w:rsidRDefault="00FD6F42" w:rsidP="00917BB1">
    <w:pPr>
      <w:pStyle w:val="Footer"/>
      <w:ind w:right="360"/>
    </w:pPr>
    <w:r>
      <w:rPr>
        <w:noProof/>
      </w:rPr>
      <mc:AlternateContent>
        <mc:Choice Requires="wps">
          <w:drawing>
            <wp:anchor distT="0" distB="0" distL="114300" distR="114300" simplePos="0" relativeHeight="251658241" behindDoc="0" locked="0" layoutInCell="1" allowOverlap="1" wp14:anchorId="7C5D06CA" wp14:editId="3FF3A357">
              <wp:simplePos x="0" y="0"/>
              <wp:positionH relativeFrom="column">
                <wp:posOffset>-1137</wp:posOffset>
              </wp:positionH>
              <wp:positionV relativeFrom="paragraph">
                <wp:posOffset>18150</wp:posOffset>
              </wp:positionV>
              <wp:extent cx="6698512" cy="0"/>
              <wp:effectExtent l="0" t="0" r="0" b="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98512"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1D9B76" id="Straight Connector 10" o:spid="_x0000_s1026" alt="&quot;&quot;"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45pt" to="527.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3F7DECDF" w14:textId="77777777" w:rsidR="00EC6A73" w:rsidRDefault="00EC6A73" w:rsidP="00FD6F42">
        <w:pPr>
          <w:pStyle w:val="Footer"/>
          <w:framePr w:wrap="none" w:vAnchor="text" w:hAnchor="page" w:x="15423" w:y="55"/>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sdt>
    <w:sdtPr>
      <w:rPr>
        <w:rStyle w:val="PageNumber"/>
      </w:rPr>
      <w:id w:val="1035311654"/>
      <w:docPartObj>
        <w:docPartGallery w:val="Page Numbers (Bottom of Page)"/>
        <w:docPartUnique/>
      </w:docPartObj>
    </w:sdtPr>
    <w:sdtEndPr>
      <w:rPr>
        <w:rStyle w:val="PageNumber"/>
      </w:rPr>
    </w:sdtEndPr>
    <w:sdtContent>
      <w:p w14:paraId="79EFE39C" w14:textId="77777777" w:rsidR="006C0230" w:rsidRDefault="006C0230" w:rsidP="006C0230">
        <w:pPr>
          <w:pStyle w:val="Footer"/>
          <w:framePr w:wrap="none" w:vAnchor="text" w:hAnchor="page" w:x="10958"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5CF50DE3" w14:textId="77777777" w:rsidR="00917BB1" w:rsidRDefault="00917BB1" w:rsidP="00917BB1">
    <w:pPr>
      <w:pStyle w:val="Footer"/>
      <w:ind w:right="360"/>
    </w:pPr>
    <w:r>
      <w:rPr>
        <w:noProof/>
      </w:rPr>
      <w:drawing>
        <wp:inline distT="0" distB="0" distL="0" distR="0" wp14:anchorId="307D4B3E" wp14:editId="51BC459D">
          <wp:extent cx="1007167" cy="265044"/>
          <wp:effectExtent l="0" t="0" r="0" b="1905"/>
          <wp:docPr id="1978426879" name="Picture 19784268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A21D0" w14:textId="2FAC242A" w:rsidR="00FD6F42" w:rsidRDefault="00FD6F42" w:rsidP="00FD6F42">
    <w:pPr>
      <w:pStyle w:val="Footer"/>
      <w:ind w:right="360"/>
    </w:pPr>
    <w:r>
      <w:rPr>
        <w:noProof/>
      </w:rPr>
      <mc:AlternateContent>
        <mc:Choice Requires="wps">
          <w:drawing>
            <wp:anchor distT="0" distB="0" distL="114300" distR="114300" simplePos="0" relativeHeight="251658247" behindDoc="0" locked="0" layoutInCell="1" allowOverlap="1" wp14:anchorId="3EB42962" wp14:editId="20A4623B">
              <wp:simplePos x="0" y="0"/>
              <wp:positionH relativeFrom="column">
                <wp:posOffset>0</wp:posOffset>
              </wp:positionH>
              <wp:positionV relativeFrom="paragraph">
                <wp:posOffset>0</wp:posOffset>
              </wp:positionV>
              <wp:extent cx="6698512" cy="0"/>
              <wp:effectExtent l="0" t="0" r="0" b="0"/>
              <wp:wrapNone/>
              <wp:docPr id="644048671" name="Straight Connector 64404867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98512"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9B92C2" id="Straight Connector 644048671" o:spid="_x0000_s1026" alt="&quot;&quot;" style="position:absolute;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527.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" strokecolor="#016574 [3205]" strokeweight=".5pt">
              <v:stroke joinstyle="miter"/>
            </v:line>
          </w:pict>
        </mc:Fallback>
      </mc:AlternateContent>
    </w:r>
  </w:p>
  <w:p w14:paraId="5F9EA8C4" w14:textId="28B167CD" w:rsidR="00FD6F42" w:rsidRDefault="00FD6F42" w:rsidP="00FD6F42">
    <w:pPr>
      <w:pStyle w:val="Footer"/>
      <w:ind w:right="360"/>
    </w:pPr>
    <w:r>
      <w:rPr>
        <w:noProof/>
      </w:rPr>
      <mc:AlternateContent>
        <mc:Choice Requires="wps">
          <w:drawing>
            <wp:anchor distT="0" distB="0" distL="114300" distR="114300" simplePos="0" relativeHeight="251658248" behindDoc="0" locked="0" layoutInCell="1" allowOverlap="1" wp14:anchorId="38E7D992" wp14:editId="3192956D">
              <wp:simplePos x="0" y="0"/>
              <wp:positionH relativeFrom="column">
                <wp:posOffset>0</wp:posOffset>
              </wp:positionH>
              <wp:positionV relativeFrom="paragraph">
                <wp:posOffset>0</wp:posOffset>
              </wp:positionV>
              <wp:extent cx="6698512" cy="0"/>
              <wp:effectExtent l="0" t="0" r="0" b="0"/>
              <wp:wrapNone/>
              <wp:docPr id="1004642235" name="Straight Connector 10046422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98512"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5A66F2" id="Straight Connector 1004642235" o:spid="_x0000_s1026" alt="&quot;&quot;" style="position:absolute;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527.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" strokecolor="#016574 [3205]" strokeweight=".5pt">
              <v:stroke joinstyle="miter"/>
            </v:line>
          </w:pict>
        </mc:Fallback>
      </mc:AlternateContent>
    </w:r>
  </w:p>
  <w:sdt>
    <w:sdtPr>
      <w:rPr>
        <w:rStyle w:val="PageNumber"/>
      </w:rPr>
      <w:id w:val="-117224134"/>
      <w:docPartObj>
        <w:docPartGallery w:val="Page Numbers (Bottom of Page)"/>
        <w:docPartUnique/>
      </w:docPartObj>
    </w:sdtPr>
    <w:sdtEndPr>
      <w:rPr>
        <w:rStyle w:val="PageNumber"/>
      </w:rPr>
    </w:sdtEndPr>
    <w:sdtContent>
      <w:p w14:paraId="7B290363" w14:textId="77777777" w:rsidR="00FD6F42" w:rsidRDefault="00FD6F42" w:rsidP="00FD6F42">
        <w:pPr>
          <w:pStyle w:val="Footer"/>
          <w:framePr w:wrap="none" w:vAnchor="text" w:hAnchor="page" w:x="15439" w:y="156"/>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sdtContent>
  </w:sdt>
  <w:p w14:paraId="114418E2" w14:textId="585531B4" w:rsidR="00751749" w:rsidRPr="00FD6F42" w:rsidRDefault="00FD6F42" w:rsidP="00FD6F42">
    <w:pPr>
      <w:pStyle w:val="Footer"/>
    </w:pPr>
    <w:r>
      <w:rPr>
        <w:noProof/>
      </w:rPr>
      <w:drawing>
        <wp:inline distT="0" distB="0" distL="0" distR="0" wp14:anchorId="4BE30B13" wp14:editId="602CAF31">
          <wp:extent cx="1007167" cy="265044"/>
          <wp:effectExtent l="0" t="0" r="0" b="1905"/>
          <wp:docPr id="529478209" name="Picture 5294782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9C647" w14:textId="77777777" w:rsidR="00AB704A" w:rsidRDefault="00AB704A" w:rsidP="00660C79">
      <w:pPr>
        <w:spacing w:line="240" w:lineRule="auto"/>
      </w:pPr>
      <w:r>
        <w:separator/>
      </w:r>
    </w:p>
  </w:footnote>
  <w:footnote w:type="continuationSeparator" w:id="0">
    <w:p w14:paraId="0FBFB728" w14:textId="77777777" w:rsidR="00AB704A" w:rsidRDefault="00AB704A" w:rsidP="00660C79">
      <w:pPr>
        <w:spacing w:line="240" w:lineRule="auto"/>
      </w:pPr>
      <w:r>
        <w:continuationSeparator/>
      </w:r>
    </w:p>
  </w:footnote>
  <w:footnote w:type="continuationNotice" w:id="1">
    <w:p w14:paraId="26F9C201" w14:textId="77777777" w:rsidR="00AB704A" w:rsidRDefault="00AB704A">
      <w:pPr>
        <w:spacing w:line="240" w:lineRule="auto"/>
      </w:pPr>
    </w:p>
  </w:footnote>
  <w:footnote w:id="2">
    <w:p w14:paraId="4CE0D4A7" w14:textId="05C22DAF" w:rsidR="00B81034" w:rsidRDefault="00B81034" w:rsidP="008C40DE">
      <w:pPr>
        <w:pStyle w:val="BodyText1"/>
      </w:pPr>
      <w:r>
        <w:rPr>
          <w:rStyle w:val="footnotemark"/>
        </w:rPr>
        <w:footnoteRef/>
      </w:r>
      <w:r>
        <w:t xml:space="preserve"> This test must be passed to comply with paragraph 7 of Article 4 of the Water Framework Directive</w:t>
      </w:r>
      <w:r w:rsidR="008C40DE">
        <w:t>.</w:t>
      </w:r>
    </w:p>
  </w:footnote>
  <w:footnote w:id="3">
    <w:p w14:paraId="684AE63A" w14:textId="17B3D3A6" w:rsidR="00B81034" w:rsidRDefault="00B81034" w:rsidP="008C40DE">
      <w:pPr>
        <w:pStyle w:val="BodyText1"/>
      </w:pPr>
      <w:r>
        <w:rPr>
          <w:rStyle w:val="footnotemark"/>
        </w:rPr>
        <w:footnoteRef/>
      </w:r>
      <w:r>
        <w:t xml:space="preserve"> Supporting guidance </w:t>
      </w:r>
      <w:r w:rsidR="009B7BB0">
        <w:t xml:space="preserve">WAT-G-047 </w:t>
      </w:r>
      <w:r>
        <w:t>describes the method SEPA uses to judge the significance of impacts on social, environmental and economic factors</w:t>
      </w:r>
      <w:r w:rsidR="00B84BD9">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EA2BA" w14:textId="77777777" w:rsidR="00751749" w:rsidRDefault="00751749">
    <w:pPr>
      <w:pStyle w:val="Header"/>
    </w:pPr>
    <w:r>
      <w:rPr>
        <w:noProof/>
      </w:rPr>
      <mc:AlternateContent>
        <mc:Choice Requires="wps">
          <w:drawing>
            <wp:anchor distT="0" distB="0" distL="0" distR="0" simplePos="0" relativeHeight="251658243" behindDoc="0" locked="0" layoutInCell="1" allowOverlap="1" wp14:anchorId="70F40DFB" wp14:editId="5DC94E38">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9DA5080"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F40DFB" id="_x0000_t202" coordsize="21600,21600" o:spt="202" path="m,l,21600r21600,l21600,xe">
              <v:stroke joinstyle="miter"/>
              <v:path gradientshapeok="t" o:connecttype="rect"/>
            </v:shapetype>
            <v:shape id="Text Box 6" o:spid="_x0000_s1027"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59DA5080"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BA370" w14:textId="324B8197" w:rsidR="00E33759" w:rsidRDefault="00E33759" w:rsidP="00E33759">
    <w:pPr>
      <w:pStyle w:val="BodyText1"/>
      <w:spacing w:line="240" w:lineRule="auto"/>
      <w:jc w:val="right"/>
      <w:rPr>
        <w:color w:val="6E7571" w:themeColor="text2"/>
      </w:rPr>
    </w:pPr>
    <w:r>
      <w:rPr>
        <w:color w:val="6E7571" w:themeColor="text2"/>
      </w:rPr>
      <w:t>EASR Guidance: Assessing significantly better environmental options</w:t>
    </w:r>
  </w:p>
  <w:p w14:paraId="34611521"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4340F137" wp14:editId="0A326B81">
              <wp:simplePos x="0" y="0"/>
              <wp:positionH relativeFrom="column">
                <wp:posOffset>105187</wp:posOffset>
              </wp:positionH>
              <wp:positionV relativeFrom="paragraph">
                <wp:posOffset>93183</wp:posOffset>
              </wp:positionV>
              <wp:extent cx="6347121" cy="0"/>
              <wp:effectExtent l="0" t="0" r="0" b="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34712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2726577" id="Straight Connector 7" o:spid="_x0000_s1026" alt="&quot;&quot;" style="position:absolute;flip:x;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3pt,7.35pt" to="508.0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8A8FC" w14:textId="1D6D8840" w:rsidR="00FD6F42" w:rsidRDefault="00FD6F42" w:rsidP="00FD6F42">
    <w:pPr>
      <w:pStyle w:val="BodyText1"/>
      <w:spacing w:line="240" w:lineRule="auto"/>
      <w:jc w:val="right"/>
      <w:rPr>
        <w:color w:val="6E7571" w:themeColor="text2"/>
      </w:rPr>
    </w:pPr>
    <w:r>
      <w:rPr>
        <w:color w:val="6E7571" w:themeColor="text2"/>
      </w:rPr>
      <w:t>EASR Guidance: Assessing significantly better environmental options</w:t>
    </w:r>
  </w:p>
  <w:p w14:paraId="0C552304" w14:textId="592C62A5" w:rsidR="00751749" w:rsidRDefault="00FD6F42">
    <w:pPr>
      <w:pStyle w:val="Header"/>
    </w:pPr>
    <w:r>
      <w:rPr>
        <w:noProof/>
      </w:rPr>
      <mc:AlternateContent>
        <mc:Choice Requires="wps">
          <w:drawing>
            <wp:anchor distT="0" distB="0" distL="114300" distR="114300" simplePos="0" relativeHeight="251658246" behindDoc="0" locked="0" layoutInCell="1" allowOverlap="1" wp14:anchorId="485E4770" wp14:editId="763FD080">
              <wp:simplePos x="0" y="0"/>
              <wp:positionH relativeFrom="column">
                <wp:posOffset>63795</wp:posOffset>
              </wp:positionH>
              <wp:positionV relativeFrom="paragraph">
                <wp:posOffset>54477</wp:posOffset>
              </wp:positionV>
              <wp:extent cx="6347121" cy="0"/>
              <wp:effectExtent l="0" t="0" r="0" b="0"/>
              <wp:wrapNone/>
              <wp:docPr id="1168150428" name="Straight Connector 11681504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34712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788318E" id="Straight Connector 1168150428" o:spid="_x0000_s1026" alt="&quot;&quot;" style="position:absolute;flip:x;z-index:25165824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pt,4.3pt" to="504.7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" strokecolor="#016574 [3205]" strokeweight=".5pt">
              <v:stroke joinstyle="miter"/>
            </v:line>
          </w:pict>
        </mc:Fallback>
      </mc:AlternateContent>
    </w:r>
    <w:r w:rsidR="00751749">
      <w:rPr>
        <w:noProof/>
      </w:rPr>
      <mc:AlternateContent>
        <mc:Choice Requires="wps">
          <w:drawing>
            <wp:anchor distT="0" distB="0" distL="0" distR="0" simplePos="0" relativeHeight="251658242" behindDoc="0" locked="0" layoutInCell="1" allowOverlap="1" wp14:anchorId="3EC78BCD" wp14:editId="084B034E">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FFB80E"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EC78BCD" id="_x0000_t202" coordsize="21600,21600" o:spt="202" path="m,l,21600r21600,l21600,xe">
              <v:stroke joinstyle="miter"/>
              <v:path gradientshapeok="t" o:connecttype="rect"/>
            </v:shapetype>
            <v:shape id="Text Box 1" o:spid="_x0000_s1030"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0AFFB80E"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220EA9"/>
    <w:multiLevelType w:val="hybridMultilevel"/>
    <w:tmpl w:val="52A2A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E4A6E87"/>
    <w:multiLevelType w:val="hybridMultilevel"/>
    <w:tmpl w:val="15523AEA"/>
    <w:lvl w:ilvl="0" w:tplc="6D1C4434">
      <w:start w:val="1"/>
      <w:numFmt w:val="bullet"/>
      <w:lvlText w:val="•"/>
      <w:lvlJc w:val="left"/>
      <w:pPr>
        <w:ind w:left="146"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0FD6F1DE">
      <w:start w:val="1"/>
      <w:numFmt w:val="bullet"/>
      <w:lvlText w:val="o"/>
      <w:lvlJc w:val="left"/>
      <w:pPr>
        <w:ind w:left="12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97B43F64">
      <w:start w:val="1"/>
      <w:numFmt w:val="bullet"/>
      <w:lvlText w:val="▪"/>
      <w:lvlJc w:val="left"/>
      <w:pPr>
        <w:ind w:left="192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30F44C2C">
      <w:start w:val="1"/>
      <w:numFmt w:val="bullet"/>
      <w:lvlText w:val="•"/>
      <w:lvlJc w:val="left"/>
      <w:pPr>
        <w:ind w:left="26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BC7EB88E">
      <w:start w:val="1"/>
      <w:numFmt w:val="bullet"/>
      <w:lvlText w:val="o"/>
      <w:lvlJc w:val="left"/>
      <w:pPr>
        <w:ind w:left="33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B83665A4">
      <w:start w:val="1"/>
      <w:numFmt w:val="bullet"/>
      <w:lvlText w:val="▪"/>
      <w:lvlJc w:val="left"/>
      <w:pPr>
        <w:ind w:left="408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B5F88F4E">
      <w:start w:val="1"/>
      <w:numFmt w:val="bullet"/>
      <w:lvlText w:val="•"/>
      <w:lvlJc w:val="left"/>
      <w:pPr>
        <w:ind w:left="48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475294C2">
      <w:start w:val="1"/>
      <w:numFmt w:val="bullet"/>
      <w:lvlText w:val="o"/>
      <w:lvlJc w:val="left"/>
      <w:pPr>
        <w:ind w:left="552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7BF83B06">
      <w:start w:val="1"/>
      <w:numFmt w:val="bullet"/>
      <w:lvlText w:val="▪"/>
      <w:lvlJc w:val="left"/>
      <w:pPr>
        <w:ind w:left="624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12" w15:restartNumberingAfterBreak="0">
    <w:nsid w:val="127D7964"/>
    <w:multiLevelType w:val="hybridMultilevel"/>
    <w:tmpl w:val="6CE65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087960"/>
    <w:multiLevelType w:val="hybridMultilevel"/>
    <w:tmpl w:val="65529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9E17DEC"/>
    <w:multiLevelType w:val="hybridMultilevel"/>
    <w:tmpl w:val="2F1ED7A6"/>
    <w:lvl w:ilvl="0" w:tplc="97CE4772">
      <w:start w:val="1"/>
      <w:numFmt w:val="bullet"/>
      <w:lvlText w:val="•"/>
      <w:lvlJc w:val="left"/>
      <w:pPr>
        <w:ind w:left="146"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4852FDB8">
      <w:start w:val="1"/>
      <w:numFmt w:val="bullet"/>
      <w:lvlText w:val="o"/>
      <w:lvlJc w:val="left"/>
      <w:pPr>
        <w:ind w:left="12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2BB04F18">
      <w:start w:val="1"/>
      <w:numFmt w:val="bullet"/>
      <w:lvlText w:val="▪"/>
      <w:lvlJc w:val="left"/>
      <w:pPr>
        <w:ind w:left="192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B8CCFADC">
      <w:start w:val="1"/>
      <w:numFmt w:val="bullet"/>
      <w:lvlText w:val="•"/>
      <w:lvlJc w:val="left"/>
      <w:pPr>
        <w:ind w:left="26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691608F6">
      <w:start w:val="1"/>
      <w:numFmt w:val="bullet"/>
      <w:lvlText w:val="o"/>
      <w:lvlJc w:val="left"/>
      <w:pPr>
        <w:ind w:left="33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29980B20">
      <w:start w:val="1"/>
      <w:numFmt w:val="bullet"/>
      <w:lvlText w:val="▪"/>
      <w:lvlJc w:val="left"/>
      <w:pPr>
        <w:ind w:left="408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2A6CF7FC">
      <w:start w:val="1"/>
      <w:numFmt w:val="bullet"/>
      <w:lvlText w:val="•"/>
      <w:lvlJc w:val="left"/>
      <w:pPr>
        <w:ind w:left="48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042C5ECC">
      <w:start w:val="1"/>
      <w:numFmt w:val="bullet"/>
      <w:lvlText w:val="o"/>
      <w:lvlJc w:val="left"/>
      <w:pPr>
        <w:ind w:left="552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22DA8006">
      <w:start w:val="1"/>
      <w:numFmt w:val="bullet"/>
      <w:lvlText w:val="▪"/>
      <w:lvlJc w:val="left"/>
      <w:pPr>
        <w:ind w:left="624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15" w15:restartNumberingAfterBreak="0">
    <w:nsid w:val="1BAE1F6B"/>
    <w:multiLevelType w:val="hybridMultilevel"/>
    <w:tmpl w:val="FA761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F17B0F"/>
    <w:multiLevelType w:val="hybridMultilevel"/>
    <w:tmpl w:val="8BF6E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695B47"/>
    <w:multiLevelType w:val="hybridMultilevel"/>
    <w:tmpl w:val="1652A3A2"/>
    <w:lvl w:ilvl="0" w:tplc="05AE3664">
      <w:start w:val="1"/>
      <w:numFmt w:val="bullet"/>
      <w:lvlText w:val=""/>
      <w:lvlJc w:val="left"/>
      <w:pPr>
        <w:ind w:left="1349"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1" w:tplc="EAD469CE">
      <w:start w:val="1"/>
      <w:numFmt w:val="bullet"/>
      <w:lvlText w:val="o"/>
      <w:lvlJc w:val="left"/>
      <w:pPr>
        <w:ind w:left="1788"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2" w:tplc="7CA42770">
      <w:start w:val="1"/>
      <w:numFmt w:val="bullet"/>
      <w:lvlText w:val="▪"/>
      <w:lvlJc w:val="left"/>
      <w:pPr>
        <w:ind w:left="2508"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3" w:tplc="61741DB6">
      <w:start w:val="1"/>
      <w:numFmt w:val="bullet"/>
      <w:lvlText w:val="•"/>
      <w:lvlJc w:val="left"/>
      <w:pPr>
        <w:ind w:left="3228"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4" w:tplc="2CCE2540">
      <w:start w:val="1"/>
      <w:numFmt w:val="bullet"/>
      <w:lvlText w:val="o"/>
      <w:lvlJc w:val="left"/>
      <w:pPr>
        <w:ind w:left="3948"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5" w:tplc="67989FB8">
      <w:start w:val="1"/>
      <w:numFmt w:val="bullet"/>
      <w:lvlText w:val="▪"/>
      <w:lvlJc w:val="left"/>
      <w:pPr>
        <w:ind w:left="4668"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6" w:tplc="05B8AA7C">
      <w:start w:val="1"/>
      <w:numFmt w:val="bullet"/>
      <w:lvlText w:val="•"/>
      <w:lvlJc w:val="left"/>
      <w:pPr>
        <w:ind w:left="5388"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7" w:tplc="0BDC764E">
      <w:start w:val="1"/>
      <w:numFmt w:val="bullet"/>
      <w:lvlText w:val="o"/>
      <w:lvlJc w:val="left"/>
      <w:pPr>
        <w:ind w:left="6108"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8" w:tplc="2EC6DBE4">
      <w:start w:val="1"/>
      <w:numFmt w:val="bullet"/>
      <w:lvlText w:val="▪"/>
      <w:lvlJc w:val="left"/>
      <w:pPr>
        <w:ind w:left="6828"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abstractNum>
  <w:abstractNum w:abstractNumId="18" w15:restartNumberingAfterBreak="0">
    <w:nsid w:val="270829E6"/>
    <w:multiLevelType w:val="hybridMultilevel"/>
    <w:tmpl w:val="2E6C3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72D1323"/>
    <w:multiLevelType w:val="hybridMultilevel"/>
    <w:tmpl w:val="C9FA32A2"/>
    <w:lvl w:ilvl="0" w:tplc="D220BE52">
      <w:start w:val="1"/>
      <w:numFmt w:val="bullet"/>
      <w:lvlText w:val=""/>
      <w:lvlJc w:val="left"/>
      <w:pPr>
        <w:ind w:left="1066"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1" w:tplc="CD9A343A">
      <w:start w:val="1"/>
      <w:numFmt w:val="bullet"/>
      <w:lvlText w:val="o"/>
      <w:lvlJc w:val="left"/>
      <w:pPr>
        <w:ind w:left="1428"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2" w:tplc="FD7ABCBA">
      <w:start w:val="1"/>
      <w:numFmt w:val="bullet"/>
      <w:lvlText w:val="▪"/>
      <w:lvlJc w:val="left"/>
      <w:pPr>
        <w:ind w:left="2148"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3" w:tplc="C254A06A">
      <w:start w:val="1"/>
      <w:numFmt w:val="bullet"/>
      <w:lvlText w:val="•"/>
      <w:lvlJc w:val="left"/>
      <w:pPr>
        <w:ind w:left="2868"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4" w:tplc="B1B85CC6">
      <w:start w:val="1"/>
      <w:numFmt w:val="bullet"/>
      <w:lvlText w:val="o"/>
      <w:lvlJc w:val="left"/>
      <w:pPr>
        <w:ind w:left="3588"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5" w:tplc="6BF6144C">
      <w:start w:val="1"/>
      <w:numFmt w:val="bullet"/>
      <w:lvlText w:val="▪"/>
      <w:lvlJc w:val="left"/>
      <w:pPr>
        <w:ind w:left="4308"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6" w:tplc="2F52AD24">
      <w:start w:val="1"/>
      <w:numFmt w:val="bullet"/>
      <w:lvlText w:val="•"/>
      <w:lvlJc w:val="left"/>
      <w:pPr>
        <w:ind w:left="5028"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7" w:tplc="E92E33C6">
      <w:start w:val="1"/>
      <w:numFmt w:val="bullet"/>
      <w:lvlText w:val="o"/>
      <w:lvlJc w:val="left"/>
      <w:pPr>
        <w:ind w:left="5748"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8" w:tplc="8F427AC6">
      <w:start w:val="1"/>
      <w:numFmt w:val="bullet"/>
      <w:lvlText w:val="▪"/>
      <w:lvlJc w:val="left"/>
      <w:pPr>
        <w:ind w:left="6468"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abstractNum>
  <w:abstractNum w:abstractNumId="20" w15:restartNumberingAfterBreak="0">
    <w:nsid w:val="2EC31C1D"/>
    <w:multiLevelType w:val="hybridMultilevel"/>
    <w:tmpl w:val="8FB80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8465AC"/>
    <w:multiLevelType w:val="hybridMultilevel"/>
    <w:tmpl w:val="8DA2E3B4"/>
    <w:lvl w:ilvl="0" w:tplc="DF1CDCE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8DC1743"/>
    <w:multiLevelType w:val="hybridMultilevel"/>
    <w:tmpl w:val="34B2F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112AB7"/>
    <w:multiLevelType w:val="hybridMultilevel"/>
    <w:tmpl w:val="B916334A"/>
    <w:lvl w:ilvl="0" w:tplc="2C30A536">
      <w:start w:val="1"/>
      <w:numFmt w:val="bullet"/>
      <w:lvlText w:val="•"/>
      <w:lvlJc w:val="left"/>
      <w:pPr>
        <w:ind w:left="146"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96D02F68">
      <w:start w:val="1"/>
      <w:numFmt w:val="bullet"/>
      <w:lvlText w:val="o"/>
      <w:lvlJc w:val="left"/>
      <w:pPr>
        <w:ind w:left="12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1818D0F8">
      <w:start w:val="1"/>
      <w:numFmt w:val="bullet"/>
      <w:lvlText w:val="▪"/>
      <w:lvlJc w:val="left"/>
      <w:pPr>
        <w:ind w:left="192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61D0FF5A">
      <w:start w:val="1"/>
      <w:numFmt w:val="bullet"/>
      <w:lvlText w:val="•"/>
      <w:lvlJc w:val="left"/>
      <w:pPr>
        <w:ind w:left="26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A56A6BB4">
      <w:start w:val="1"/>
      <w:numFmt w:val="bullet"/>
      <w:lvlText w:val="o"/>
      <w:lvlJc w:val="left"/>
      <w:pPr>
        <w:ind w:left="33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71507CF8">
      <w:start w:val="1"/>
      <w:numFmt w:val="bullet"/>
      <w:lvlText w:val="▪"/>
      <w:lvlJc w:val="left"/>
      <w:pPr>
        <w:ind w:left="408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A620CD64">
      <w:start w:val="1"/>
      <w:numFmt w:val="bullet"/>
      <w:lvlText w:val="•"/>
      <w:lvlJc w:val="left"/>
      <w:pPr>
        <w:ind w:left="48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F0E67098">
      <w:start w:val="1"/>
      <w:numFmt w:val="bullet"/>
      <w:lvlText w:val="o"/>
      <w:lvlJc w:val="left"/>
      <w:pPr>
        <w:ind w:left="552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F0FA68A2">
      <w:start w:val="1"/>
      <w:numFmt w:val="bullet"/>
      <w:lvlText w:val="▪"/>
      <w:lvlJc w:val="left"/>
      <w:pPr>
        <w:ind w:left="624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24" w15:restartNumberingAfterBreak="0">
    <w:nsid w:val="427C4A2B"/>
    <w:multiLevelType w:val="hybridMultilevel"/>
    <w:tmpl w:val="303E4334"/>
    <w:lvl w:ilvl="0" w:tplc="858CE708">
      <w:start w:val="1"/>
      <w:numFmt w:val="lowerLetter"/>
      <w:lvlText w:val="%1)"/>
      <w:lvlJc w:val="left"/>
      <w:pPr>
        <w:ind w:left="184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AEF22BF6">
      <w:start w:val="1"/>
      <w:numFmt w:val="lowerLetter"/>
      <w:lvlText w:val="%2"/>
      <w:lvlJc w:val="left"/>
      <w:pPr>
        <w:ind w:left="221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07F0F3B2">
      <w:start w:val="1"/>
      <w:numFmt w:val="lowerRoman"/>
      <w:lvlText w:val="%3"/>
      <w:lvlJc w:val="left"/>
      <w:pPr>
        <w:ind w:left="293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9DCE8072">
      <w:start w:val="1"/>
      <w:numFmt w:val="decimal"/>
      <w:lvlText w:val="%4"/>
      <w:lvlJc w:val="left"/>
      <w:pPr>
        <w:ind w:left="365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F6BC1226">
      <w:start w:val="1"/>
      <w:numFmt w:val="lowerLetter"/>
      <w:lvlText w:val="%5"/>
      <w:lvlJc w:val="left"/>
      <w:pPr>
        <w:ind w:left="437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A70CEEDE">
      <w:start w:val="1"/>
      <w:numFmt w:val="lowerRoman"/>
      <w:lvlText w:val="%6"/>
      <w:lvlJc w:val="left"/>
      <w:pPr>
        <w:ind w:left="509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70F6159E">
      <w:start w:val="1"/>
      <w:numFmt w:val="decimal"/>
      <w:lvlText w:val="%7"/>
      <w:lvlJc w:val="left"/>
      <w:pPr>
        <w:ind w:left="581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CDD616F2">
      <w:start w:val="1"/>
      <w:numFmt w:val="lowerLetter"/>
      <w:lvlText w:val="%8"/>
      <w:lvlJc w:val="left"/>
      <w:pPr>
        <w:ind w:left="653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95627A5E">
      <w:start w:val="1"/>
      <w:numFmt w:val="lowerRoman"/>
      <w:lvlText w:val="%9"/>
      <w:lvlJc w:val="left"/>
      <w:pPr>
        <w:ind w:left="725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25" w15:restartNumberingAfterBreak="0">
    <w:nsid w:val="47067251"/>
    <w:multiLevelType w:val="hybridMultilevel"/>
    <w:tmpl w:val="DDA48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D372AB"/>
    <w:multiLevelType w:val="hybridMultilevel"/>
    <w:tmpl w:val="AC246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E5732C"/>
    <w:multiLevelType w:val="hybridMultilevel"/>
    <w:tmpl w:val="2BF22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901FA9"/>
    <w:multiLevelType w:val="hybridMultilevel"/>
    <w:tmpl w:val="B0100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311DA4"/>
    <w:multiLevelType w:val="hybridMultilevel"/>
    <w:tmpl w:val="918291FC"/>
    <w:lvl w:ilvl="0" w:tplc="14EA9C78">
      <w:start w:val="1"/>
      <w:numFmt w:val="bullet"/>
      <w:lvlText w:val=""/>
      <w:lvlJc w:val="left"/>
      <w:pPr>
        <w:ind w:left="1416"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1" w:tplc="2C483A46">
      <w:start w:val="1"/>
      <w:numFmt w:val="bullet"/>
      <w:lvlText w:val="o"/>
      <w:lvlJc w:val="left"/>
      <w:pPr>
        <w:ind w:left="1788"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2" w:tplc="F9C22612">
      <w:start w:val="1"/>
      <w:numFmt w:val="bullet"/>
      <w:lvlText w:val="▪"/>
      <w:lvlJc w:val="left"/>
      <w:pPr>
        <w:ind w:left="2508"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3" w:tplc="0218A3F4">
      <w:start w:val="1"/>
      <w:numFmt w:val="bullet"/>
      <w:lvlText w:val="•"/>
      <w:lvlJc w:val="left"/>
      <w:pPr>
        <w:ind w:left="3228"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4" w:tplc="3E280038">
      <w:start w:val="1"/>
      <w:numFmt w:val="bullet"/>
      <w:lvlText w:val="o"/>
      <w:lvlJc w:val="left"/>
      <w:pPr>
        <w:ind w:left="3948"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5" w:tplc="C1A2E9CE">
      <w:start w:val="1"/>
      <w:numFmt w:val="bullet"/>
      <w:lvlText w:val="▪"/>
      <w:lvlJc w:val="left"/>
      <w:pPr>
        <w:ind w:left="4668"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6" w:tplc="349A7BA4">
      <w:start w:val="1"/>
      <w:numFmt w:val="bullet"/>
      <w:lvlText w:val="•"/>
      <w:lvlJc w:val="left"/>
      <w:pPr>
        <w:ind w:left="5388"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7" w:tplc="D02A62A0">
      <w:start w:val="1"/>
      <w:numFmt w:val="bullet"/>
      <w:lvlText w:val="o"/>
      <w:lvlJc w:val="left"/>
      <w:pPr>
        <w:ind w:left="6108"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8" w:tplc="010445A4">
      <w:start w:val="1"/>
      <w:numFmt w:val="bullet"/>
      <w:lvlText w:val="▪"/>
      <w:lvlJc w:val="left"/>
      <w:pPr>
        <w:ind w:left="6828"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abstractNum>
  <w:abstractNum w:abstractNumId="30" w15:restartNumberingAfterBreak="0">
    <w:nsid w:val="55FA2352"/>
    <w:multiLevelType w:val="hybridMultilevel"/>
    <w:tmpl w:val="620A9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F5230F"/>
    <w:multiLevelType w:val="hybridMultilevel"/>
    <w:tmpl w:val="5AFA8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2827B7"/>
    <w:multiLevelType w:val="hybridMultilevel"/>
    <w:tmpl w:val="86AE41AC"/>
    <w:lvl w:ilvl="0" w:tplc="BE94AD8C">
      <w:start w:val="1"/>
      <w:numFmt w:val="bullet"/>
      <w:lvlText w:val=""/>
      <w:lvlJc w:val="left"/>
      <w:pPr>
        <w:ind w:left="1133"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1" w:tplc="43B03174">
      <w:start w:val="1"/>
      <w:numFmt w:val="bullet"/>
      <w:lvlText w:val="o"/>
      <w:lvlJc w:val="left"/>
      <w:pPr>
        <w:ind w:left="1788"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2" w:tplc="9A82164A">
      <w:start w:val="1"/>
      <w:numFmt w:val="bullet"/>
      <w:lvlText w:val="▪"/>
      <w:lvlJc w:val="left"/>
      <w:pPr>
        <w:ind w:left="2508"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3" w:tplc="93246940">
      <w:start w:val="1"/>
      <w:numFmt w:val="bullet"/>
      <w:lvlText w:val="•"/>
      <w:lvlJc w:val="left"/>
      <w:pPr>
        <w:ind w:left="3228"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4" w:tplc="18D2A502">
      <w:start w:val="1"/>
      <w:numFmt w:val="bullet"/>
      <w:lvlText w:val="o"/>
      <w:lvlJc w:val="left"/>
      <w:pPr>
        <w:ind w:left="3948"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5" w:tplc="A5F091FA">
      <w:start w:val="1"/>
      <w:numFmt w:val="bullet"/>
      <w:lvlText w:val="▪"/>
      <w:lvlJc w:val="left"/>
      <w:pPr>
        <w:ind w:left="4668"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6" w:tplc="CB2E3224">
      <w:start w:val="1"/>
      <w:numFmt w:val="bullet"/>
      <w:lvlText w:val="•"/>
      <w:lvlJc w:val="left"/>
      <w:pPr>
        <w:ind w:left="5388"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7" w:tplc="F4DEA9C0">
      <w:start w:val="1"/>
      <w:numFmt w:val="bullet"/>
      <w:lvlText w:val="o"/>
      <w:lvlJc w:val="left"/>
      <w:pPr>
        <w:ind w:left="6108"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8" w:tplc="D4BA7780">
      <w:start w:val="1"/>
      <w:numFmt w:val="bullet"/>
      <w:lvlText w:val="▪"/>
      <w:lvlJc w:val="left"/>
      <w:pPr>
        <w:ind w:left="6828"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abstractNum>
  <w:abstractNum w:abstractNumId="33" w15:restartNumberingAfterBreak="0">
    <w:nsid w:val="66272FE3"/>
    <w:multiLevelType w:val="hybridMultilevel"/>
    <w:tmpl w:val="C65C36F6"/>
    <w:lvl w:ilvl="0" w:tplc="08A2687C">
      <w:start w:val="1"/>
      <w:numFmt w:val="bullet"/>
      <w:lvlText w:val=""/>
      <w:lvlJc w:val="left"/>
      <w:pPr>
        <w:ind w:left="1274"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1" w:tplc="DE38A230">
      <w:start w:val="1"/>
      <w:numFmt w:val="bullet"/>
      <w:lvlText w:val="o"/>
      <w:lvlJc w:val="left"/>
      <w:pPr>
        <w:ind w:left="1505"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2" w:tplc="B0C63FFE">
      <w:start w:val="1"/>
      <w:numFmt w:val="bullet"/>
      <w:lvlText w:val="▪"/>
      <w:lvlJc w:val="left"/>
      <w:pPr>
        <w:ind w:left="2225"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3" w:tplc="82F8C752">
      <w:start w:val="1"/>
      <w:numFmt w:val="bullet"/>
      <w:lvlText w:val="•"/>
      <w:lvlJc w:val="left"/>
      <w:pPr>
        <w:ind w:left="2945"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4" w:tplc="35045D62">
      <w:start w:val="1"/>
      <w:numFmt w:val="bullet"/>
      <w:lvlText w:val="o"/>
      <w:lvlJc w:val="left"/>
      <w:pPr>
        <w:ind w:left="3665"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5" w:tplc="0BD8DCCC">
      <w:start w:val="1"/>
      <w:numFmt w:val="bullet"/>
      <w:lvlText w:val="▪"/>
      <w:lvlJc w:val="left"/>
      <w:pPr>
        <w:ind w:left="4385"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6" w:tplc="32BE0A06">
      <w:start w:val="1"/>
      <w:numFmt w:val="bullet"/>
      <w:lvlText w:val="•"/>
      <w:lvlJc w:val="left"/>
      <w:pPr>
        <w:ind w:left="5105"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7" w:tplc="C194BD02">
      <w:start w:val="1"/>
      <w:numFmt w:val="bullet"/>
      <w:lvlText w:val="o"/>
      <w:lvlJc w:val="left"/>
      <w:pPr>
        <w:ind w:left="5825"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8" w:tplc="6682EBE2">
      <w:start w:val="1"/>
      <w:numFmt w:val="bullet"/>
      <w:lvlText w:val="▪"/>
      <w:lvlJc w:val="left"/>
      <w:pPr>
        <w:ind w:left="6545"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abstractNum>
  <w:abstractNum w:abstractNumId="34"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D511990"/>
    <w:multiLevelType w:val="hybridMultilevel"/>
    <w:tmpl w:val="C2C48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790A5A"/>
    <w:multiLevelType w:val="multilevel"/>
    <w:tmpl w:val="9AA8A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AD87635"/>
    <w:multiLevelType w:val="hybridMultilevel"/>
    <w:tmpl w:val="39FA943E"/>
    <w:lvl w:ilvl="0" w:tplc="A00EDC22">
      <w:start w:val="1"/>
      <w:numFmt w:val="bullet"/>
      <w:lvlText w:val="•"/>
      <w:lvlJc w:val="left"/>
      <w:pPr>
        <w:ind w:left="146"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AAC0FDAC">
      <w:start w:val="1"/>
      <w:numFmt w:val="bullet"/>
      <w:lvlText w:val="o"/>
      <w:lvlJc w:val="left"/>
      <w:pPr>
        <w:ind w:left="12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39A010B2">
      <w:start w:val="1"/>
      <w:numFmt w:val="bullet"/>
      <w:lvlText w:val="▪"/>
      <w:lvlJc w:val="left"/>
      <w:pPr>
        <w:ind w:left="192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C4543C70">
      <w:start w:val="1"/>
      <w:numFmt w:val="bullet"/>
      <w:lvlText w:val="•"/>
      <w:lvlJc w:val="left"/>
      <w:pPr>
        <w:ind w:left="26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0C5A570C">
      <w:start w:val="1"/>
      <w:numFmt w:val="bullet"/>
      <w:lvlText w:val="o"/>
      <w:lvlJc w:val="left"/>
      <w:pPr>
        <w:ind w:left="33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DB94761A">
      <w:start w:val="1"/>
      <w:numFmt w:val="bullet"/>
      <w:lvlText w:val="▪"/>
      <w:lvlJc w:val="left"/>
      <w:pPr>
        <w:ind w:left="408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64B4DE42">
      <w:start w:val="1"/>
      <w:numFmt w:val="bullet"/>
      <w:lvlText w:val="•"/>
      <w:lvlJc w:val="left"/>
      <w:pPr>
        <w:ind w:left="48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38767012">
      <w:start w:val="1"/>
      <w:numFmt w:val="bullet"/>
      <w:lvlText w:val="o"/>
      <w:lvlJc w:val="left"/>
      <w:pPr>
        <w:ind w:left="552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ED289886">
      <w:start w:val="1"/>
      <w:numFmt w:val="bullet"/>
      <w:lvlText w:val="▪"/>
      <w:lvlJc w:val="left"/>
      <w:pPr>
        <w:ind w:left="624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182984619">
    <w:abstractNumId w:val="34"/>
  </w:num>
  <w:num w:numId="12" w16cid:durableId="791052000">
    <w:abstractNumId w:val="16"/>
  </w:num>
  <w:num w:numId="13" w16cid:durableId="593785568">
    <w:abstractNumId w:val="36"/>
  </w:num>
  <w:num w:numId="14" w16cid:durableId="1940872179">
    <w:abstractNumId w:val="19"/>
  </w:num>
  <w:num w:numId="15" w16cid:durableId="1195852437">
    <w:abstractNumId w:val="29"/>
  </w:num>
  <w:num w:numId="16" w16cid:durableId="100877811">
    <w:abstractNumId w:val="32"/>
  </w:num>
  <w:num w:numId="17" w16cid:durableId="1964917752">
    <w:abstractNumId w:val="17"/>
  </w:num>
  <w:num w:numId="18" w16cid:durableId="7104994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02791886">
    <w:abstractNumId w:val="33"/>
  </w:num>
  <w:num w:numId="20" w16cid:durableId="497506040">
    <w:abstractNumId w:val="14"/>
  </w:num>
  <w:num w:numId="21" w16cid:durableId="1415316072">
    <w:abstractNumId w:val="11"/>
  </w:num>
  <w:num w:numId="22" w16cid:durableId="277296445">
    <w:abstractNumId w:val="37"/>
  </w:num>
  <w:num w:numId="23" w16cid:durableId="915742947">
    <w:abstractNumId w:val="23"/>
  </w:num>
  <w:num w:numId="24" w16cid:durableId="269053647">
    <w:abstractNumId w:val="22"/>
  </w:num>
  <w:num w:numId="25" w16cid:durableId="1833596847">
    <w:abstractNumId w:val="25"/>
  </w:num>
  <w:num w:numId="26" w16cid:durableId="201672298">
    <w:abstractNumId w:val="12"/>
  </w:num>
  <w:num w:numId="27" w16cid:durableId="1697348091">
    <w:abstractNumId w:val="30"/>
  </w:num>
  <w:num w:numId="28" w16cid:durableId="1834494006">
    <w:abstractNumId w:val="28"/>
  </w:num>
  <w:num w:numId="29" w16cid:durableId="391733174">
    <w:abstractNumId w:val="15"/>
  </w:num>
  <w:num w:numId="30" w16cid:durableId="947469717">
    <w:abstractNumId w:val="21"/>
  </w:num>
  <w:num w:numId="31" w16cid:durableId="1930843514">
    <w:abstractNumId w:val="35"/>
  </w:num>
  <w:num w:numId="32" w16cid:durableId="316958847">
    <w:abstractNumId w:val="20"/>
  </w:num>
  <w:num w:numId="33" w16cid:durableId="339352129">
    <w:abstractNumId w:val="31"/>
  </w:num>
  <w:num w:numId="34" w16cid:durableId="2063822668">
    <w:abstractNumId w:val="10"/>
  </w:num>
  <w:num w:numId="35" w16cid:durableId="1113747471">
    <w:abstractNumId w:val="27"/>
  </w:num>
  <w:num w:numId="36" w16cid:durableId="372928266">
    <w:abstractNumId w:val="18"/>
  </w:num>
  <w:num w:numId="37" w16cid:durableId="1870100304">
    <w:abstractNumId w:val="13"/>
  </w:num>
  <w:num w:numId="38" w16cid:durableId="5635624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034"/>
    <w:rsid w:val="0003257F"/>
    <w:rsid w:val="00032829"/>
    <w:rsid w:val="00040561"/>
    <w:rsid w:val="000524F3"/>
    <w:rsid w:val="00070937"/>
    <w:rsid w:val="000B7559"/>
    <w:rsid w:val="000C0F33"/>
    <w:rsid w:val="000C1B83"/>
    <w:rsid w:val="000C2773"/>
    <w:rsid w:val="000E0D15"/>
    <w:rsid w:val="000E24A5"/>
    <w:rsid w:val="00103694"/>
    <w:rsid w:val="001055A5"/>
    <w:rsid w:val="00105F31"/>
    <w:rsid w:val="00112537"/>
    <w:rsid w:val="0011717D"/>
    <w:rsid w:val="0012203D"/>
    <w:rsid w:val="00147AF3"/>
    <w:rsid w:val="001529F1"/>
    <w:rsid w:val="00161202"/>
    <w:rsid w:val="00164906"/>
    <w:rsid w:val="00186679"/>
    <w:rsid w:val="001868F4"/>
    <w:rsid w:val="001C2780"/>
    <w:rsid w:val="001C41E7"/>
    <w:rsid w:val="001E0BE6"/>
    <w:rsid w:val="001E4E9F"/>
    <w:rsid w:val="001F1151"/>
    <w:rsid w:val="002043BF"/>
    <w:rsid w:val="00211305"/>
    <w:rsid w:val="00236552"/>
    <w:rsid w:val="00241D6C"/>
    <w:rsid w:val="00261D29"/>
    <w:rsid w:val="00272D28"/>
    <w:rsid w:val="00281BB1"/>
    <w:rsid w:val="00290B1F"/>
    <w:rsid w:val="00294F07"/>
    <w:rsid w:val="00297B18"/>
    <w:rsid w:val="002D71F9"/>
    <w:rsid w:val="002F3B10"/>
    <w:rsid w:val="002F617C"/>
    <w:rsid w:val="0030096D"/>
    <w:rsid w:val="00305780"/>
    <w:rsid w:val="00317618"/>
    <w:rsid w:val="00336ADA"/>
    <w:rsid w:val="003616F6"/>
    <w:rsid w:val="00392DF3"/>
    <w:rsid w:val="00394726"/>
    <w:rsid w:val="003A69EB"/>
    <w:rsid w:val="003B25CC"/>
    <w:rsid w:val="003D46CA"/>
    <w:rsid w:val="003E4CE7"/>
    <w:rsid w:val="003E731C"/>
    <w:rsid w:val="003F5384"/>
    <w:rsid w:val="004073BC"/>
    <w:rsid w:val="004133B7"/>
    <w:rsid w:val="00414F13"/>
    <w:rsid w:val="0044046F"/>
    <w:rsid w:val="00444AA1"/>
    <w:rsid w:val="0048163C"/>
    <w:rsid w:val="004A4404"/>
    <w:rsid w:val="004B3B17"/>
    <w:rsid w:val="004B79BB"/>
    <w:rsid w:val="004E1575"/>
    <w:rsid w:val="004F54CF"/>
    <w:rsid w:val="00541054"/>
    <w:rsid w:val="00547812"/>
    <w:rsid w:val="00547BEF"/>
    <w:rsid w:val="00551989"/>
    <w:rsid w:val="005530B1"/>
    <w:rsid w:val="00557D23"/>
    <w:rsid w:val="00581B06"/>
    <w:rsid w:val="00587EA6"/>
    <w:rsid w:val="00592951"/>
    <w:rsid w:val="005A282F"/>
    <w:rsid w:val="005A355E"/>
    <w:rsid w:val="005B24AC"/>
    <w:rsid w:val="005C4D25"/>
    <w:rsid w:val="005D1213"/>
    <w:rsid w:val="005D59D8"/>
    <w:rsid w:val="00614144"/>
    <w:rsid w:val="006243FF"/>
    <w:rsid w:val="00640576"/>
    <w:rsid w:val="00660C79"/>
    <w:rsid w:val="00667BAF"/>
    <w:rsid w:val="00684F5A"/>
    <w:rsid w:val="00690C29"/>
    <w:rsid w:val="006A0611"/>
    <w:rsid w:val="006A1974"/>
    <w:rsid w:val="006A43CB"/>
    <w:rsid w:val="006A46D7"/>
    <w:rsid w:val="006A6137"/>
    <w:rsid w:val="006C0230"/>
    <w:rsid w:val="006D16CE"/>
    <w:rsid w:val="006D6BE0"/>
    <w:rsid w:val="006E72CB"/>
    <w:rsid w:val="00725053"/>
    <w:rsid w:val="0073730F"/>
    <w:rsid w:val="007404EA"/>
    <w:rsid w:val="00747098"/>
    <w:rsid w:val="00751749"/>
    <w:rsid w:val="0077226B"/>
    <w:rsid w:val="00776453"/>
    <w:rsid w:val="007777DA"/>
    <w:rsid w:val="007C3F12"/>
    <w:rsid w:val="007C5EB3"/>
    <w:rsid w:val="007C5F9B"/>
    <w:rsid w:val="007C6254"/>
    <w:rsid w:val="007D441B"/>
    <w:rsid w:val="007F3A6E"/>
    <w:rsid w:val="00801105"/>
    <w:rsid w:val="008021C0"/>
    <w:rsid w:val="00814D28"/>
    <w:rsid w:val="00817230"/>
    <w:rsid w:val="00822AC7"/>
    <w:rsid w:val="008527E2"/>
    <w:rsid w:val="0085684A"/>
    <w:rsid w:val="00861B46"/>
    <w:rsid w:val="00875BF4"/>
    <w:rsid w:val="008B7138"/>
    <w:rsid w:val="008C1A73"/>
    <w:rsid w:val="008C40DE"/>
    <w:rsid w:val="008D113C"/>
    <w:rsid w:val="008D376F"/>
    <w:rsid w:val="00910222"/>
    <w:rsid w:val="009119E7"/>
    <w:rsid w:val="00911B06"/>
    <w:rsid w:val="00917BB1"/>
    <w:rsid w:val="00925436"/>
    <w:rsid w:val="00927EE3"/>
    <w:rsid w:val="00954517"/>
    <w:rsid w:val="00955C22"/>
    <w:rsid w:val="00975D21"/>
    <w:rsid w:val="00980531"/>
    <w:rsid w:val="00981247"/>
    <w:rsid w:val="00983374"/>
    <w:rsid w:val="0099486A"/>
    <w:rsid w:val="009A240D"/>
    <w:rsid w:val="009B5079"/>
    <w:rsid w:val="009B74E5"/>
    <w:rsid w:val="009B7BB0"/>
    <w:rsid w:val="009C5F29"/>
    <w:rsid w:val="009E09D4"/>
    <w:rsid w:val="00A56DE0"/>
    <w:rsid w:val="00A60B0B"/>
    <w:rsid w:val="00A8465C"/>
    <w:rsid w:val="00A9349C"/>
    <w:rsid w:val="00AB704A"/>
    <w:rsid w:val="00AC3F6D"/>
    <w:rsid w:val="00AC4213"/>
    <w:rsid w:val="00AD4847"/>
    <w:rsid w:val="00AE068C"/>
    <w:rsid w:val="00AE43E6"/>
    <w:rsid w:val="00AF6D62"/>
    <w:rsid w:val="00B224FB"/>
    <w:rsid w:val="00B46E48"/>
    <w:rsid w:val="00B54CF4"/>
    <w:rsid w:val="00B56B04"/>
    <w:rsid w:val="00B66238"/>
    <w:rsid w:val="00B80702"/>
    <w:rsid w:val="00B81034"/>
    <w:rsid w:val="00B84BD9"/>
    <w:rsid w:val="00BA11BA"/>
    <w:rsid w:val="00BC15D5"/>
    <w:rsid w:val="00BE11A8"/>
    <w:rsid w:val="00BE259C"/>
    <w:rsid w:val="00BE2613"/>
    <w:rsid w:val="00BF284C"/>
    <w:rsid w:val="00BF4429"/>
    <w:rsid w:val="00C01D2F"/>
    <w:rsid w:val="00C112BD"/>
    <w:rsid w:val="00C22307"/>
    <w:rsid w:val="00C41BFB"/>
    <w:rsid w:val="00C42118"/>
    <w:rsid w:val="00C569B9"/>
    <w:rsid w:val="00C76F04"/>
    <w:rsid w:val="00C8539A"/>
    <w:rsid w:val="00C91152"/>
    <w:rsid w:val="00C9291C"/>
    <w:rsid w:val="00CB5D75"/>
    <w:rsid w:val="00CD6AC0"/>
    <w:rsid w:val="00CE2289"/>
    <w:rsid w:val="00CF7EFB"/>
    <w:rsid w:val="00D07F1B"/>
    <w:rsid w:val="00D30573"/>
    <w:rsid w:val="00D31FFF"/>
    <w:rsid w:val="00D35448"/>
    <w:rsid w:val="00D65EF9"/>
    <w:rsid w:val="00D70906"/>
    <w:rsid w:val="00D846DB"/>
    <w:rsid w:val="00D87906"/>
    <w:rsid w:val="00DB4940"/>
    <w:rsid w:val="00DC031B"/>
    <w:rsid w:val="00DC618B"/>
    <w:rsid w:val="00DF0877"/>
    <w:rsid w:val="00DF5976"/>
    <w:rsid w:val="00E10598"/>
    <w:rsid w:val="00E11A56"/>
    <w:rsid w:val="00E1632D"/>
    <w:rsid w:val="00E218FA"/>
    <w:rsid w:val="00E326A4"/>
    <w:rsid w:val="00E33759"/>
    <w:rsid w:val="00E45CBE"/>
    <w:rsid w:val="00E50805"/>
    <w:rsid w:val="00E57A6C"/>
    <w:rsid w:val="00E67C75"/>
    <w:rsid w:val="00E94D2A"/>
    <w:rsid w:val="00EA1B26"/>
    <w:rsid w:val="00EB3F06"/>
    <w:rsid w:val="00EC0CCD"/>
    <w:rsid w:val="00EC1129"/>
    <w:rsid w:val="00EC1F6F"/>
    <w:rsid w:val="00EC6A73"/>
    <w:rsid w:val="00ED538C"/>
    <w:rsid w:val="00F04AE3"/>
    <w:rsid w:val="00F07048"/>
    <w:rsid w:val="00F32CF6"/>
    <w:rsid w:val="00F6127A"/>
    <w:rsid w:val="00F72274"/>
    <w:rsid w:val="00F7634B"/>
    <w:rsid w:val="00F93AF8"/>
    <w:rsid w:val="00FC0589"/>
    <w:rsid w:val="00FD6749"/>
    <w:rsid w:val="00FD6F42"/>
    <w:rsid w:val="00FE1324"/>
    <w:rsid w:val="00FF5D5A"/>
    <w:rsid w:val="0E947FFE"/>
    <w:rsid w:val="1B6398B6"/>
    <w:rsid w:val="1D66B4A6"/>
    <w:rsid w:val="2007E482"/>
    <w:rsid w:val="208CC894"/>
    <w:rsid w:val="314AAB9E"/>
    <w:rsid w:val="4676078A"/>
    <w:rsid w:val="4964C9FF"/>
    <w:rsid w:val="49B5B38A"/>
    <w:rsid w:val="4B32C95B"/>
    <w:rsid w:val="4C89B0DE"/>
    <w:rsid w:val="5BF18900"/>
    <w:rsid w:val="5EB676A7"/>
    <w:rsid w:val="5F4EE080"/>
    <w:rsid w:val="60E04587"/>
    <w:rsid w:val="64367E61"/>
    <w:rsid w:val="6B66BA10"/>
    <w:rsid w:val="70083302"/>
    <w:rsid w:val="7A009F90"/>
    <w:rsid w:val="7BB8E53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84B88"/>
  <w15:chartTrackingRefBased/>
  <w15:docId w15:val="{25C7C385-6D48-4372-81C8-40EE6E667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4133B7"/>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4133B7"/>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4133B7"/>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4133B7"/>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4133B7"/>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4133B7"/>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4133B7"/>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4133B7"/>
    <w:rPr>
      <w:rFonts w:asciiTheme="majorHAnsi" w:eastAsiaTheme="majorEastAsia" w:hAnsiTheme="majorHAnsi" w:cstheme="majorBidi"/>
      <w:b/>
      <w:iCs/>
    </w:rPr>
  </w:style>
  <w:style w:type="paragraph" w:customStyle="1" w:styleId="BodyText1">
    <w:name w:val="Body Text1"/>
    <w:basedOn w:val="Normal"/>
    <w:qFormat/>
    <w:rsid w:val="004133B7"/>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NormalWeb">
    <w:name w:val="Normal (Web)"/>
    <w:basedOn w:val="Normal"/>
    <w:uiPriority w:val="99"/>
    <w:semiHidden/>
    <w:unhideWhenUsed/>
    <w:rsid w:val="004E1575"/>
    <w:pPr>
      <w:spacing w:before="100" w:beforeAutospacing="1" w:after="100" w:afterAutospacing="1" w:line="240" w:lineRule="auto"/>
    </w:pPr>
    <w:rPr>
      <w:rFonts w:ascii="Times New Roman" w:eastAsia="Times New Roman" w:hAnsi="Times New Roman" w:cs="Times New Roman"/>
      <w:lang w:eastAsia="en-GB"/>
    </w:rPr>
  </w:style>
  <w:style w:type="paragraph" w:styleId="TOC1">
    <w:name w:val="toc 1"/>
    <w:autoRedefine/>
    <w:uiPriority w:val="39"/>
    <w:unhideWhenUsed/>
    <w:rsid w:val="00B81034"/>
    <w:pPr>
      <w:spacing w:after="39" w:line="247" w:lineRule="auto"/>
      <w:ind w:left="308" w:right="446" w:hanging="10"/>
    </w:pPr>
    <w:rPr>
      <w:rFonts w:ascii="Arial" w:eastAsia="Arial" w:hAnsi="Arial" w:cs="Arial"/>
      <w:color w:val="000000"/>
      <w:kern w:val="2"/>
      <w:lang w:eastAsia="en-GB"/>
      <w14:ligatures w14:val="standardContextual"/>
    </w:rPr>
  </w:style>
  <w:style w:type="character" w:customStyle="1" w:styleId="footnotedescriptionChar">
    <w:name w:val="footnote description Char"/>
    <w:link w:val="footnotedescription"/>
    <w:locked/>
    <w:rsid w:val="00B81034"/>
    <w:rPr>
      <w:rFonts w:ascii="Arial" w:eastAsia="Arial" w:hAnsi="Arial" w:cs="Arial"/>
      <w:color w:val="000000"/>
      <w:sz w:val="20"/>
    </w:rPr>
  </w:style>
  <w:style w:type="paragraph" w:customStyle="1" w:styleId="footnotedescription">
    <w:name w:val="footnote description"/>
    <w:next w:val="Normal"/>
    <w:link w:val="footnotedescriptionChar"/>
    <w:rsid w:val="00B81034"/>
    <w:pPr>
      <w:spacing w:line="261" w:lineRule="auto"/>
      <w:ind w:left="852" w:right="330"/>
    </w:pPr>
    <w:rPr>
      <w:rFonts w:ascii="Arial" w:eastAsia="Arial" w:hAnsi="Arial" w:cs="Arial"/>
      <w:color w:val="000000"/>
      <w:sz w:val="20"/>
    </w:rPr>
  </w:style>
  <w:style w:type="character" w:customStyle="1" w:styleId="footnotemark">
    <w:name w:val="footnote mark"/>
    <w:rsid w:val="00B81034"/>
    <w:rPr>
      <w:rFonts w:ascii="Arial" w:eastAsia="Arial" w:hAnsi="Arial" w:cs="Arial" w:hint="default"/>
      <w:color w:val="000000"/>
      <w:sz w:val="20"/>
      <w:vertAlign w:val="superscript"/>
    </w:rPr>
  </w:style>
  <w:style w:type="table" w:customStyle="1" w:styleId="TableGrid">
    <w:name w:val="TableGrid"/>
    <w:rsid w:val="00B81034"/>
    <w:rPr>
      <w:rFonts w:eastAsiaTheme="minorEastAsia"/>
      <w:kern w:val="2"/>
      <w:lang w:eastAsia="en-GB"/>
      <w14:ligatures w14:val="standardContextual"/>
    </w:rPr>
    <w:tblPr>
      <w:tblCellMar>
        <w:top w:w="0" w:type="dxa"/>
        <w:left w:w="0" w:type="dxa"/>
        <w:bottom w:w="0" w:type="dxa"/>
        <w:right w:w="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eastAsiaTheme="minorEastAsia"/>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FD6F42"/>
    <w:pPr>
      <w:ind w:left="720"/>
      <w:contextualSpacing/>
    </w:pPr>
  </w:style>
  <w:style w:type="paragraph" w:styleId="TOCHeading">
    <w:name w:val="TOC Heading"/>
    <w:basedOn w:val="Heading1"/>
    <w:next w:val="Normal"/>
    <w:uiPriority w:val="39"/>
    <w:unhideWhenUsed/>
    <w:qFormat/>
    <w:rsid w:val="006C0230"/>
    <w:pPr>
      <w:spacing w:before="240" w:after="0" w:line="259" w:lineRule="auto"/>
      <w:outlineLvl w:val="9"/>
    </w:pPr>
    <w:rPr>
      <w:b w:val="0"/>
      <w:color w:val="004B56" w:themeColor="accent1" w:themeShade="BF"/>
      <w:sz w:val="32"/>
      <w:lang w:val="en-US"/>
    </w:rPr>
  </w:style>
  <w:style w:type="paragraph" w:styleId="TOC3">
    <w:name w:val="toc 3"/>
    <w:basedOn w:val="Normal"/>
    <w:next w:val="Normal"/>
    <w:autoRedefine/>
    <w:uiPriority w:val="39"/>
    <w:unhideWhenUsed/>
    <w:rsid w:val="00C41BFB"/>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312368">
      <w:bodyDiv w:val="1"/>
      <w:marLeft w:val="0"/>
      <w:marRight w:val="0"/>
      <w:marTop w:val="0"/>
      <w:marBottom w:val="0"/>
      <w:divBdr>
        <w:top w:val="none" w:sz="0" w:space="0" w:color="auto"/>
        <w:left w:val="none" w:sz="0" w:space="0" w:color="auto"/>
        <w:bottom w:val="none" w:sz="0" w:space="0" w:color="auto"/>
        <w:right w:val="none" w:sz="0" w:space="0" w:color="auto"/>
      </w:divBdr>
    </w:div>
    <w:div w:id="921839918">
      <w:bodyDiv w:val="1"/>
      <w:marLeft w:val="0"/>
      <w:marRight w:val="0"/>
      <w:marTop w:val="0"/>
      <w:marBottom w:val="0"/>
      <w:divBdr>
        <w:top w:val="none" w:sz="0" w:space="0" w:color="auto"/>
        <w:left w:val="none" w:sz="0" w:space="0" w:color="auto"/>
        <w:bottom w:val="none" w:sz="0" w:space="0" w:color="auto"/>
        <w:right w:val="none" w:sz="0" w:space="0" w:color="auto"/>
      </w:divBdr>
    </w:div>
    <w:div w:id="1054086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tir-app-qpl01/QPulseDocumentService/Documents.svc/documents/active/attachment?number=WAT-SG-67"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ir-app-qpl01/QPulseDocumentService/Documents.svc/documents/active/attachment?number=WAT-SG-67"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water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Correctonguidancetracker xmlns="7dd4d6b0-2bd1-40f7-94aa-8d4785e79023" xsi:nil="true"/>
  </documentManagement>
</p:properties>
</file>

<file path=customXml/itemProps1.xml><?xml version="1.0" encoding="utf-8"?>
<ds:datastoreItem xmlns:ds="http://schemas.openxmlformats.org/officeDocument/2006/customXml" ds:itemID="{9D852F0D-BA8F-4218-83E3-3BC95138D4D2}">
  <ds:schemaRefs>
    <ds:schemaRef ds:uri="http://schemas.microsoft.com/sharepoint/v3/contenttype/forms"/>
  </ds:schemaRefs>
</ds:datastoreItem>
</file>

<file path=customXml/itemProps2.xml><?xml version="1.0" encoding="utf-8"?>
<ds:datastoreItem xmlns:ds="http://schemas.openxmlformats.org/officeDocument/2006/customXml" ds:itemID="{984B76F8-F763-482D-A5B9-952506FB86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4.xml><?xml version="1.0" encoding="utf-8"?>
<ds:datastoreItem xmlns:ds="http://schemas.openxmlformats.org/officeDocument/2006/customXml" ds:itemID="{07AEB60E-9E87-4E21-8612-30C2A1D2F723}">
  <ds:schemaRefs>
    <ds:schemaRef ds:uri="http://purl.org/dc/dcmitype/"/>
    <ds:schemaRef ds:uri="http://schemas.microsoft.com/office/2006/documentManagement/types"/>
    <ds:schemaRef ds:uri="http://schemas.microsoft.com/office/2006/metadata/properties"/>
    <ds:schemaRef ds:uri="http://schemas.openxmlformats.org/package/2006/metadata/core-properties"/>
    <ds:schemaRef ds:uri="http://purl.org/dc/elements/1.1/"/>
    <ds:schemaRef ds:uri="http://www.w3.org/XML/1998/namespace"/>
    <ds:schemaRef ds:uri="http://purl.org/dc/terms/"/>
    <ds:schemaRef ds:uri="7dd4d6b0-2bd1-40f7-94aa-8d4785e79023"/>
    <ds:schemaRef ds:uri="http://schemas.microsoft.com/office/infopath/2007/PartnerControls"/>
    <ds:schemaRef ds:uri="ce5b52f7-9556-48ad-bf4f-1238de82834a"/>
  </ds:schemaRefs>
</ds:datastoreItem>
</file>

<file path=docProps/app.xml><?xml version="1.0" encoding="utf-8"?>
<Properties xmlns="http://schemas.openxmlformats.org/officeDocument/2006/extended-properties" xmlns:vt="http://schemas.openxmlformats.org/officeDocument/2006/docPropsVTypes">
  <Template>SEPA_word_template_water_cover</Template>
  <TotalTime>0</TotalTime>
  <Pages>15</Pages>
  <Words>2220</Words>
  <Characters>12660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14851</CharactersWithSpaces>
  <SharedDoc>false</SharedDoc>
  <HLinks>
    <vt:vector size="54" baseType="variant">
      <vt:variant>
        <vt:i4>7405626</vt:i4>
      </vt:variant>
      <vt:variant>
        <vt:i4>45</vt:i4>
      </vt:variant>
      <vt:variant>
        <vt:i4>0</vt:i4>
      </vt:variant>
      <vt:variant>
        <vt:i4>5</vt:i4>
      </vt:variant>
      <vt:variant>
        <vt:lpwstr>http://stir-app-qpl01/QPulseDocumentService/Documents.svc/documents/active/attachment?number=WAT-SG-67</vt:lpwstr>
      </vt:variant>
      <vt:variant>
        <vt:lpwstr/>
      </vt:variant>
      <vt:variant>
        <vt:i4>7405626</vt:i4>
      </vt:variant>
      <vt:variant>
        <vt:i4>42</vt:i4>
      </vt:variant>
      <vt:variant>
        <vt:i4>0</vt:i4>
      </vt:variant>
      <vt:variant>
        <vt:i4>5</vt:i4>
      </vt:variant>
      <vt:variant>
        <vt:lpwstr>http://stir-app-qpl01/QPulseDocumentService/Documents.svc/documents/active/attachment?number=WAT-SG-67</vt:lpwstr>
      </vt:variant>
      <vt:variant>
        <vt:lpwstr/>
      </vt:variant>
      <vt:variant>
        <vt:i4>3539032</vt:i4>
      </vt:variant>
      <vt:variant>
        <vt:i4>39</vt:i4>
      </vt:variant>
      <vt:variant>
        <vt:i4>0</vt:i4>
      </vt:variant>
      <vt:variant>
        <vt:i4>5</vt:i4>
      </vt:variant>
      <vt:variant>
        <vt:lpwstr>mailto:equalities@sepa.org.uk</vt:lpwstr>
      </vt:variant>
      <vt:variant>
        <vt:lpwstr/>
      </vt:variant>
      <vt:variant>
        <vt:i4>1572915</vt:i4>
      </vt:variant>
      <vt:variant>
        <vt:i4>32</vt:i4>
      </vt:variant>
      <vt:variant>
        <vt:i4>0</vt:i4>
      </vt:variant>
      <vt:variant>
        <vt:i4>5</vt:i4>
      </vt:variant>
      <vt:variant>
        <vt:lpwstr/>
      </vt:variant>
      <vt:variant>
        <vt:lpwstr>_Toc193710010</vt:lpwstr>
      </vt:variant>
      <vt:variant>
        <vt:i4>1638451</vt:i4>
      </vt:variant>
      <vt:variant>
        <vt:i4>26</vt:i4>
      </vt:variant>
      <vt:variant>
        <vt:i4>0</vt:i4>
      </vt:variant>
      <vt:variant>
        <vt:i4>5</vt:i4>
      </vt:variant>
      <vt:variant>
        <vt:lpwstr/>
      </vt:variant>
      <vt:variant>
        <vt:lpwstr>_Toc193710009</vt:lpwstr>
      </vt:variant>
      <vt:variant>
        <vt:i4>1638451</vt:i4>
      </vt:variant>
      <vt:variant>
        <vt:i4>20</vt:i4>
      </vt:variant>
      <vt:variant>
        <vt:i4>0</vt:i4>
      </vt:variant>
      <vt:variant>
        <vt:i4>5</vt:i4>
      </vt:variant>
      <vt:variant>
        <vt:lpwstr/>
      </vt:variant>
      <vt:variant>
        <vt:lpwstr>_Toc193710008</vt:lpwstr>
      </vt:variant>
      <vt:variant>
        <vt:i4>1638451</vt:i4>
      </vt:variant>
      <vt:variant>
        <vt:i4>14</vt:i4>
      </vt:variant>
      <vt:variant>
        <vt:i4>0</vt:i4>
      </vt:variant>
      <vt:variant>
        <vt:i4>5</vt:i4>
      </vt:variant>
      <vt:variant>
        <vt:lpwstr/>
      </vt:variant>
      <vt:variant>
        <vt:lpwstr>_Toc193710007</vt:lpwstr>
      </vt:variant>
      <vt:variant>
        <vt:i4>1638451</vt:i4>
      </vt:variant>
      <vt:variant>
        <vt:i4>8</vt:i4>
      </vt:variant>
      <vt:variant>
        <vt:i4>0</vt:i4>
      </vt:variant>
      <vt:variant>
        <vt:i4>5</vt:i4>
      </vt:variant>
      <vt:variant>
        <vt:lpwstr/>
      </vt:variant>
      <vt:variant>
        <vt:lpwstr>_Toc193710006</vt:lpwstr>
      </vt:variant>
      <vt:variant>
        <vt:i4>1638451</vt:i4>
      </vt:variant>
      <vt:variant>
        <vt:i4>2</vt:i4>
      </vt:variant>
      <vt:variant>
        <vt:i4>0</vt:i4>
      </vt:variant>
      <vt:variant>
        <vt:i4>5</vt:i4>
      </vt:variant>
      <vt:variant>
        <vt:lpwstr/>
      </vt:variant>
      <vt:variant>
        <vt:lpwstr>_Toc193710005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Water and Land Unit</dc:creator>
  <cp:keywords/>
  <dc:description/>
  <cp:lastModifiedBy>Smith-Welsh, Lola</cp:lastModifiedBy>
  <cp:revision>2</cp:revision>
  <cp:lastPrinted>2023-03-24T04:44:00Z</cp:lastPrinted>
  <dcterms:created xsi:type="dcterms:W3CDTF">2025-10-30T09:58:00Z</dcterms:created>
  <dcterms:modified xsi:type="dcterms:W3CDTF">2025-10-30T09:58:00Z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2023-07-28T12:10:11Z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f216fc02-614a-429e-a53a-ecdd3549698f</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y fmtid="{D5CDD505-2E9C-101B-9397-08002B2CF9AE}" pid="17" name="sepaSiteName">
    <vt:lpwstr/>
  </property>
  <property fmtid="{D5CDD505-2E9C-101B-9397-08002B2CF9AE}" pid="18" name="sepaDocType">
    <vt:lpwstr/>
  </property>
  <property fmtid="{D5CDD505-2E9C-101B-9397-08002B2CF9AE}" pid="19" name="j4a146bd1242497e854fea19bd003ce8">
    <vt:lpwstr/>
  </property>
  <property fmtid="{D5CDD505-2E9C-101B-9397-08002B2CF9AE}" pid="20" name="ef51aa4790c945b9a0419016f7ab6e29">
    <vt:lpwstr/>
  </property>
  <property fmtid="{D5CDD505-2E9C-101B-9397-08002B2CF9AE}" pid="21" name="ma72f8e6ceae418eb78a3347036104c1">
    <vt:lpwstr/>
  </property>
  <property fmtid="{D5CDD505-2E9C-101B-9397-08002B2CF9AE}" pid="22" name="sepaSector">
    <vt:lpwstr/>
  </property>
  <property fmtid="{D5CDD505-2E9C-101B-9397-08002B2CF9AE}" pid="23" name="sepaRegime">
    <vt:lpwstr/>
  </property>
  <property fmtid="{D5CDD505-2E9C-101B-9397-08002B2CF9AE}" pid="24" name="oef38a18042f4301907f28c0522602c2">
    <vt:lpwstr/>
  </property>
  <property fmtid="{D5CDD505-2E9C-101B-9397-08002B2CF9AE}" pid="25" name="ee9e47817d504c689218031fd5e96151">
    <vt:lpwstr/>
  </property>
  <property fmtid="{D5CDD505-2E9C-101B-9397-08002B2CF9AE}" pid="26" name="sepaWaterbody">
    <vt:lpwstr/>
  </property>
  <property fmtid="{D5CDD505-2E9C-101B-9397-08002B2CF9AE}" pid="27" name="ne0f48cd5d0346faa88fbe934056f480">
    <vt:lpwstr/>
  </property>
  <property fmtid="{D5CDD505-2E9C-101B-9397-08002B2CF9AE}" pid="28" name="k30a802c90584b64ac3ae896c6a1ef3a">
    <vt:lpwstr/>
  </property>
  <property fmtid="{D5CDD505-2E9C-101B-9397-08002B2CF9AE}" pid="29" name="sepaLocationCode">
    <vt:lpwstr/>
  </property>
  <property fmtid="{D5CDD505-2E9C-101B-9397-08002B2CF9AE}" pid="30" name="sepaIAODept">
    <vt:lpwstr/>
  </property>
</Properties>
</file>