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433BE426" w14:textId="77777777" w:rsidR="005E51F0" w:rsidRDefault="005E51F0" w:rsidP="00D833B1">
      <w:pPr>
        <w:pStyle w:val="Title"/>
        <w:spacing w:line="360" w:lineRule="auto"/>
      </w:pPr>
      <w:r>
        <w:t>Position Statement</w:t>
      </w:r>
    </w:p>
    <w:p w14:paraId="19EE7290" w14:textId="269E8711" w:rsidR="0048711D" w:rsidRDefault="005E51F0" w:rsidP="00D833B1">
      <w:pPr>
        <w:pStyle w:val="Title"/>
        <w:spacing w:line="360" w:lineRule="auto"/>
      </w:pPr>
      <w:r>
        <w:t>Assessment of potential application of the reservoir inundation maps for land use planning purposes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0806C368" w14:textId="77777777" w:rsidR="00E70504" w:rsidRDefault="00E70504" w:rsidP="006C25B3">
      <w:pPr>
        <w:spacing w:line="360" w:lineRule="auto"/>
        <w:rPr>
          <w:rFonts w:eastAsiaTheme="majorEastAsia"/>
          <w:spacing w:val="-10"/>
          <w:kern w:val="28"/>
          <w:sz w:val="32"/>
          <w:szCs w:val="32"/>
        </w:rPr>
      </w:pPr>
    </w:p>
    <w:p w14:paraId="720E77E7" w14:textId="77777777" w:rsidR="00E70504" w:rsidRDefault="00E70504" w:rsidP="006C25B3">
      <w:pPr>
        <w:spacing w:line="360" w:lineRule="auto"/>
        <w:rPr>
          <w:rFonts w:eastAsiaTheme="majorEastAsia"/>
          <w:spacing w:val="-10"/>
          <w:kern w:val="28"/>
          <w:sz w:val="32"/>
          <w:szCs w:val="32"/>
        </w:rPr>
      </w:pPr>
    </w:p>
    <w:p w14:paraId="34CB120F" w14:textId="77777777" w:rsidR="00E70504" w:rsidRDefault="00E70504" w:rsidP="00E70504">
      <w:pPr>
        <w:rPr>
          <w:rFonts w:eastAsiaTheme="majorEastAsia"/>
          <w:b/>
          <w:bCs/>
          <w:color w:val="016574"/>
          <w:sz w:val="28"/>
          <w:szCs w:val="28"/>
        </w:rPr>
      </w:pPr>
    </w:p>
    <w:p w14:paraId="7C2D323B" w14:textId="77777777" w:rsidR="00E70504" w:rsidRDefault="00E70504" w:rsidP="00E70504">
      <w:pPr>
        <w:rPr>
          <w:rFonts w:eastAsiaTheme="majorEastAsia"/>
          <w:b/>
          <w:bCs/>
          <w:color w:val="016574"/>
          <w:sz w:val="28"/>
          <w:szCs w:val="28"/>
        </w:rPr>
      </w:pPr>
    </w:p>
    <w:p w14:paraId="0B0E27E1" w14:textId="6D80AB01" w:rsidR="00E70504" w:rsidRPr="00E70504" w:rsidRDefault="00E70504" w:rsidP="00E70504">
      <w:pPr>
        <w:rPr>
          <w:rFonts w:eastAsiaTheme="majorEastAsia"/>
          <w:b/>
          <w:bCs/>
          <w:color w:val="016574"/>
          <w:sz w:val="28"/>
          <w:szCs w:val="28"/>
        </w:rPr>
      </w:pPr>
      <w:r w:rsidRPr="00E70504">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E70504" w:rsidRPr="00E70504" w14:paraId="3A68D40F" w14:textId="77777777">
        <w:tc>
          <w:tcPr>
            <w:tcW w:w="1413" w:type="dxa"/>
            <w:tcBorders>
              <w:top w:val="single" w:sz="4" w:space="0" w:color="auto"/>
              <w:left w:val="single" w:sz="4" w:space="0" w:color="auto"/>
              <w:bottom w:val="single" w:sz="4" w:space="0" w:color="auto"/>
              <w:right w:val="single" w:sz="4" w:space="0" w:color="auto"/>
            </w:tcBorders>
            <w:hideMark/>
          </w:tcPr>
          <w:p w14:paraId="391C8AE7" w14:textId="77777777" w:rsidR="00E70504" w:rsidRPr="00E70504" w:rsidRDefault="00E70504" w:rsidP="00E70504">
            <w:pPr>
              <w:rPr>
                <w:rFonts w:eastAsiaTheme="majorEastAsia"/>
                <w:b/>
                <w:bCs/>
              </w:rPr>
            </w:pPr>
            <w:r w:rsidRPr="00E70504">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1709812F" w14:textId="77777777" w:rsidR="00E70504" w:rsidRPr="00E70504" w:rsidRDefault="00E70504" w:rsidP="00E70504">
            <w:pPr>
              <w:rPr>
                <w:rFonts w:eastAsiaTheme="majorEastAsia"/>
                <w:b/>
                <w:bCs/>
              </w:rPr>
            </w:pPr>
            <w:r w:rsidRPr="00E70504">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62ADA391" w14:textId="77777777" w:rsidR="00E70504" w:rsidRPr="00E70504" w:rsidRDefault="00E70504" w:rsidP="00E70504">
            <w:pPr>
              <w:rPr>
                <w:rFonts w:eastAsiaTheme="majorEastAsia"/>
                <w:b/>
                <w:bCs/>
              </w:rPr>
            </w:pPr>
            <w:r w:rsidRPr="00E70504">
              <w:rPr>
                <w:rFonts w:eastAsiaTheme="majorEastAsia"/>
                <w:b/>
                <w:bCs/>
              </w:rPr>
              <w:t>Amendments</w:t>
            </w:r>
          </w:p>
        </w:tc>
      </w:tr>
      <w:tr w:rsidR="00E70504" w:rsidRPr="00E70504" w14:paraId="7FE47986" w14:textId="77777777">
        <w:tc>
          <w:tcPr>
            <w:tcW w:w="1413" w:type="dxa"/>
            <w:tcBorders>
              <w:top w:val="single" w:sz="4" w:space="0" w:color="auto"/>
              <w:left w:val="single" w:sz="4" w:space="0" w:color="auto"/>
              <w:bottom w:val="single" w:sz="4" w:space="0" w:color="auto"/>
              <w:right w:val="single" w:sz="4" w:space="0" w:color="auto"/>
            </w:tcBorders>
            <w:hideMark/>
          </w:tcPr>
          <w:p w14:paraId="629C09E1" w14:textId="77777777" w:rsidR="00E70504" w:rsidRPr="00E70504" w:rsidRDefault="00E70504" w:rsidP="00E70504">
            <w:pPr>
              <w:rPr>
                <w:rFonts w:eastAsiaTheme="majorEastAsia"/>
              </w:rPr>
            </w:pPr>
            <w:r w:rsidRPr="00E70504">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1733F30E" w14:textId="77777777" w:rsidR="00E70504" w:rsidRPr="00E70504" w:rsidRDefault="00E70504" w:rsidP="00E70504">
            <w:pPr>
              <w:rPr>
                <w:rFonts w:eastAsiaTheme="majorEastAsia"/>
              </w:rPr>
            </w:pPr>
            <w:r w:rsidRPr="00E70504">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3F000C4B" w14:textId="77777777" w:rsidR="00E70504" w:rsidRPr="00E70504" w:rsidRDefault="00E70504" w:rsidP="00E70504">
            <w:pPr>
              <w:rPr>
                <w:rFonts w:eastAsiaTheme="majorEastAsia"/>
              </w:rPr>
            </w:pPr>
            <w:r w:rsidRPr="00E70504">
              <w:rPr>
                <w:rFonts w:eastAsiaTheme="majorEastAsia"/>
              </w:rPr>
              <w:t>Original document.</w:t>
            </w:r>
          </w:p>
        </w:tc>
      </w:tr>
      <w:tr w:rsidR="00E70504" w:rsidRPr="00E70504" w14:paraId="2BEF5744" w14:textId="77777777">
        <w:tc>
          <w:tcPr>
            <w:tcW w:w="1413" w:type="dxa"/>
            <w:tcBorders>
              <w:top w:val="single" w:sz="4" w:space="0" w:color="auto"/>
              <w:left w:val="single" w:sz="4" w:space="0" w:color="auto"/>
              <w:bottom w:val="single" w:sz="4" w:space="0" w:color="auto"/>
              <w:right w:val="single" w:sz="4" w:space="0" w:color="auto"/>
            </w:tcBorders>
            <w:hideMark/>
          </w:tcPr>
          <w:p w14:paraId="7B17198A" w14:textId="77777777" w:rsidR="00E70504" w:rsidRPr="00E70504" w:rsidRDefault="00E70504" w:rsidP="00E70504">
            <w:pPr>
              <w:rPr>
                <w:rFonts w:eastAsiaTheme="majorEastAsia"/>
              </w:rPr>
            </w:pPr>
            <w:r w:rsidRPr="00E70504">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403BB9BF" w14:textId="77777777" w:rsidR="00E70504" w:rsidRPr="00E70504" w:rsidRDefault="00E70504" w:rsidP="00E70504">
            <w:pPr>
              <w:rPr>
                <w:rFonts w:eastAsiaTheme="majorEastAsia"/>
              </w:rPr>
            </w:pPr>
            <w:r w:rsidRPr="00E70504">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4E519C8B" w14:textId="28FE91F4" w:rsidR="00E70504" w:rsidRPr="00E70504" w:rsidRDefault="00E70504" w:rsidP="00E70504">
            <w:pPr>
              <w:rPr>
                <w:rFonts w:eastAsiaTheme="majorEastAsia"/>
              </w:rPr>
            </w:pPr>
            <w:r w:rsidRPr="00E70504">
              <w:rPr>
                <w:rFonts w:eastAsiaTheme="majorEastAsia"/>
              </w:rPr>
              <w:t>Document re-formatted to meet the current accessibility policy. No text changes were made.</w:t>
            </w:r>
          </w:p>
        </w:tc>
      </w:tr>
    </w:tbl>
    <w:p w14:paraId="17F38C38" w14:textId="77777777" w:rsidR="00E70504" w:rsidRPr="00E70504" w:rsidRDefault="00E70504" w:rsidP="00E70504">
      <w:pPr>
        <w:rPr>
          <w:rFonts w:eastAsiaTheme="majorEastAsia"/>
        </w:rPr>
      </w:pPr>
    </w:p>
    <w:p w14:paraId="22D6F92B" w14:textId="77777777" w:rsidR="00E70504" w:rsidRPr="007B7A56" w:rsidRDefault="00E70504" w:rsidP="00E70504">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784385B2" w14:textId="709DFD59" w:rsidR="00362E25" w:rsidRDefault="00362E25" w:rsidP="00362E25">
      <w:pPr>
        <w:spacing w:line="360" w:lineRule="auto"/>
      </w:pPr>
      <w:r w:rsidRPr="00A17AF7">
        <w:lastRenderedPageBreak/>
        <w:t xml:space="preserve">The Reservoirs (Scotland) Act 2011 (the 2011 Act) introduces a risk-based approach to reservoir safety in Scotland. SEPA must assign a risk designation to all reservoirs which are required to be registered under the 2011 Act. The 2011 Act states that the risk designation should take account of the consequence of an uncontrolled release of water from the reservoir as well as the probability of such a release. As part of the implementation work for the new legislation, SEPA is preparing inundation maps for those reservoirs that are required to be regulated under the 2011 Act. Each of these reservoirs </w:t>
      </w:r>
      <w:proofErr w:type="gramStart"/>
      <w:r w:rsidRPr="00A17AF7">
        <w:t>is capable of holding</w:t>
      </w:r>
      <w:proofErr w:type="gramEnd"/>
      <w:r w:rsidRPr="00A17AF7">
        <w:t xml:space="preserve"> greater than 25,000m</w:t>
      </w:r>
      <w:r w:rsidRPr="005E6965">
        <w:rPr>
          <w:vertAlign w:val="superscript"/>
        </w:rPr>
        <w:t>3</w:t>
      </w:r>
      <w:r w:rsidRPr="00A17AF7">
        <w:t xml:space="preserve"> of water above the natural level of the surrounding land.</w:t>
      </w:r>
    </w:p>
    <w:p w14:paraId="516CF7DF" w14:textId="77777777" w:rsidR="00362E25" w:rsidRDefault="00362E25" w:rsidP="00362E25">
      <w:pPr>
        <w:spacing w:line="360" w:lineRule="auto"/>
      </w:pPr>
    </w:p>
    <w:p w14:paraId="5C6E09BD" w14:textId="77777777" w:rsidR="00362E25" w:rsidRDefault="00362E25" w:rsidP="00362E25">
      <w:pPr>
        <w:spacing w:line="360" w:lineRule="auto"/>
      </w:pPr>
      <w:r w:rsidRPr="00A17AF7">
        <w:t xml:space="preserve">The primary purpose of these inundation maps is to assist SEPA in assigning the risk designation to all registered reservoirs, as required by the 2011 Act. Each reservoir will be assigned a high, medium or low risk designation category depending on the impacts on receptors within the inundation zone in the extremely unlikely event of an uncontrolled release of water. Receptors include domestic properties, transport links such as ‘A’ roads and ancient scheduled monuments. The purpose of the inundation maps is only to inform the assignment of risk designations, and they were not designed for other purposes, such as land use planning. </w:t>
      </w:r>
    </w:p>
    <w:p w14:paraId="04788ECD" w14:textId="77777777" w:rsidR="00362E25" w:rsidRDefault="00362E25" w:rsidP="00362E25">
      <w:pPr>
        <w:spacing w:line="360" w:lineRule="auto"/>
      </w:pPr>
    </w:p>
    <w:p w14:paraId="200AFA9C" w14:textId="5A4A24D6" w:rsidR="00362E25" w:rsidRDefault="00362E25" w:rsidP="00362E25">
      <w:pPr>
        <w:spacing w:line="360" w:lineRule="auto"/>
      </w:pPr>
      <w:r w:rsidRPr="00A17AF7">
        <w:t>Further information regarding the inundation maps can be found</w:t>
      </w:r>
      <w:r w:rsidR="00D31CE5">
        <w:t xml:space="preserve"> in</w:t>
      </w:r>
      <w:r w:rsidRPr="00A17AF7">
        <w:t xml:space="preserve"> </w:t>
      </w:r>
      <w:r w:rsidR="00D31CE5" w:rsidRPr="007C64C7">
        <w:t>Reservoirs Briefing Note 03 Inundation Mapping.</w:t>
      </w:r>
    </w:p>
    <w:p w14:paraId="603CE59F" w14:textId="77777777" w:rsidR="00362E25" w:rsidRDefault="00362E25" w:rsidP="00362E25">
      <w:pPr>
        <w:spacing w:line="360" w:lineRule="auto"/>
      </w:pPr>
    </w:p>
    <w:p w14:paraId="1B41F262" w14:textId="77777777" w:rsidR="00362E25" w:rsidRDefault="00362E25" w:rsidP="00362E25">
      <w:pPr>
        <w:spacing w:line="360" w:lineRule="auto"/>
      </w:pPr>
      <w:r w:rsidRPr="00A17AF7">
        <w:t>However, Section 72 of the Flood Risk Management (Scotland) Act 2009 (FRM Act) places a duty on SEPA to provide advice on flood risk when requested by a planning authority. Sub</w:t>
      </w:r>
      <w:r>
        <w:t>-</w:t>
      </w:r>
      <w:r w:rsidRPr="00A17AF7">
        <w:t xml:space="preserve">section 3 requires that advice is to be based on such information as SEPA possesses. </w:t>
      </w:r>
    </w:p>
    <w:p w14:paraId="4BFC697A" w14:textId="77777777" w:rsidR="00362E25" w:rsidRDefault="00362E25" w:rsidP="00362E25">
      <w:pPr>
        <w:spacing w:line="360" w:lineRule="auto"/>
      </w:pPr>
    </w:p>
    <w:p w14:paraId="2D6738ED" w14:textId="77777777" w:rsidR="00362E25" w:rsidRDefault="00362E25" w:rsidP="00362E25">
      <w:pPr>
        <w:spacing w:line="360" w:lineRule="auto"/>
      </w:pPr>
      <w:r w:rsidRPr="00A17AF7">
        <w:t>SEPA has therefore carefully considered the usefulness of the information contained within the published reservoir inundation maps for other purposes, including land use and development planning.</w:t>
      </w:r>
    </w:p>
    <w:p w14:paraId="6BFF9A23" w14:textId="77777777" w:rsidR="00362E25" w:rsidRDefault="00362E25" w:rsidP="00362E25">
      <w:pPr>
        <w:spacing w:line="360" w:lineRule="auto"/>
      </w:pPr>
    </w:p>
    <w:p w14:paraId="3111D8FE" w14:textId="77777777" w:rsidR="0080405B" w:rsidRDefault="0080405B">
      <w:pPr>
        <w:tabs>
          <w:tab w:val="clear" w:pos="720"/>
          <w:tab w:val="clear" w:pos="1440"/>
          <w:tab w:val="clear" w:pos="2160"/>
          <w:tab w:val="clear" w:pos="2880"/>
          <w:tab w:val="clear" w:pos="4680"/>
          <w:tab w:val="clear" w:pos="5400"/>
          <w:tab w:val="clear" w:pos="9000"/>
        </w:tabs>
        <w:spacing w:after="160" w:line="259" w:lineRule="auto"/>
      </w:pPr>
      <w:r>
        <w:br w:type="page"/>
      </w:r>
    </w:p>
    <w:p w14:paraId="47C919D7" w14:textId="19B0DCC3" w:rsidR="00362E25" w:rsidRDefault="00362E25" w:rsidP="009410ED">
      <w:pPr>
        <w:spacing w:line="360" w:lineRule="auto"/>
      </w:pPr>
      <w:r w:rsidRPr="00A17AF7">
        <w:lastRenderedPageBreak/>
        <w:t xml:space="preserve">A key consideration of this assessment is that it is not currently possible to assess the probability of an uncontrolled release of water from a reservoir in a manner consistent with the Flood Risk Framework within Scottish Planning Policy (SPP). Furthermore, the probability of failure of a reservoir structure managed under the 2011 Act </w:t>
      </w:r>
      <w:proofErr w:type="gramStart"/>
      <w:r w:rsidRPr="00A17AF7">
        <w:t>is considered to be</w:t>
      </w:r>
      <w:proofErr w:type="gramEnd"/>
      <w:r w:rsidRPr="00A17AF7">
        <w:t xml:space="preserve"> so low that it is beyond the scope of likely probabilities considered within the SPP Flood Risk Framework. </w:t>
      </w:r>
    </w:p>
    <w:p w14:paraId="105C69A1" w14:textId="77777777" w:rsidR="009410ED" w:rsidRDefault="009410ED" w:rsidP="009410ED">
      <w:pPr>
        <w:spacing w:line="360" w:lineRule="auto"/>
      </w:pPr>
    </w:p>
    <w:p w14:paraId="12A20048" w14:textId="159BB304" w:rsidR="00CC68AB" w:rsidRPr="009410ED" w:rsidRDefault="009410ED" w:rsidP="009410ED">
      <w:pPr>
        <w:spacing w:line="360" w:lineRule="auto"/>
        <w:rPr>
          <w:b/>
          <w:bCs/>
        </w:rPr>
      </w:pPr>
      <w:r w:rsidRPr="009410ED">
        <w:rPr>
          <w:b/>
          <w:bCs/>
        </w:rPr>
        <w:t>For these reasons the reservoir inundation maps are not considered to be appropriate to usefully inform flood risk advice within the context of Section 72 of the FRM Act and Scottish Planning Policy. It has therefore been concluded that the reservoir inundation maps should not be used for land use planning purposes.</w:t>
      </w:r>
    </w:p>
    <w:sectPr w:rsidR="00CC68AB" w:rsidRPr="009410ED" w:rsidSect="00E37AA9">
      <w:headerReference w:type="even" r:id="rId12"/>
      <w:headerReference w:type="default" r:id="rId13"/>
      <w:footerReference w:type="even" r:id="rId14"/>
      <w:footerReference w:type="default" r:id="rId15"/>
      <w:headerReference w:type="first" r:id="rId16"/>
      <w:footerReference w:type="first" r:id="rId17"/>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A848" w14:textId="77777777" w:rsidR="00C279E5" w:rsidRDefault="00C279E5" w:rsidP="001E5003">
      <w:pPr>
        <w:spacing w:line="240" w:lineRule="auto"/>
      </w:pPr>
      <w:r>
        <w:separator/>
      </w:r>
    </w:p>
  </w:endnote>
  <w:endnote w:type="continuationSeparator" w:id="0">
    <w:p w14:paraId="5F072417" w14:textId="77777777" w:rsidR="00C279E5" w:rsidRDefault="00C279E5"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D6E7" w14:textId="77777777" w:rsidR="00C279E5" w:rsidRDefault="00C279E5" w:rsidP="001E5003">
      <w:pPr>
        <w:spacing w:line="240" w:lineRule="auto"/>
      </w:pPr>
      <w:r>
        <w:separator/>
      </w:r>
    </w:p>
  </w:footnote>
  <w:footnote w:type="continuationSeparator" w:id="0">
    <w:p w14:paraId="4D44C3AB" w14:textId="77777777" w:rsidR="00C279E5" w:rsidRDefault="00C279E5"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8315" w14:textId="57B99750" w:rsidR="00BA3EEB" w:rsidRDefault="00D97114" w:rsidP="00BA3EEB">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1BB01145" wp14:editId="05EEBDD2">
              <wp:simplePos x="0" y="0"/>
              <wp:positionH relativeFrom="column">
                <wp:posOffset>23495</wp:posOffset>
              </wp:positionH>
              <wp:positionV relativeFrom="paragraph">
                <wp:posOffset>372745</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A7A6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85pt,29.35pt" to="511.0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" strokecolor="#016574" strokeweight=".5pt">
              <v:stroke joinstyle="miter"/>
            </v:line>
          </w:pict>
        </mc:Fallback>
      </mc:AlternateContent>
    </w:r>
    <w:r w:rsidR="0088357F">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BA3EEB" w:rsidRPr="007A33EF">
      <w:rPr>
        <w:color w:val="0E2841" w:themeColor="text2"/>
      </w:rPr>
      <w:t>Position Statement: Assessment of Potential Application of the Reservoir Inundation Maps</w:t>
    </w:r>
    <w:r>
      <w:rPr>
        <w:color w:val="0E2841" w:themeColor="text2"/>
      </w:rPr>
      <w:br/>
    </w:r>
    <w:r w:rsidR="00BA3EEB" w:rsidRPr="007A33EF">
      <w:rPr>
        <w:color w:val="0E2841" w:themeColor="text2"/>
      </w:rPr>
      <w:t>For Land Use Planning Purposes</w:t>
    </w:r>
  </w:p>
  <w:p w14:paraId="3D2916E0" w14:textId="1825D98C" w:rsidR="001E5003" w:rsidRDefault="001E5003" w:rsidP="003B4E34">
    <w:pPr>
      <w:pStyle w:val="BodyText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4F1C"/>
    <w:multiLevelType w:val="hybridMultilevel"/>
    <w:tmpl w:val="31C6D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4"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3"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9"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0"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1"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2"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1"/>
  </w:num>
  <w:num w:numId="2" w16cid:durableId="606281084">
    <w:abstractNumId w:val="30"/>
  </w:num>
  <w:num w:numId="3" w16cid:durableId="2002346847">
    <w:abstractNumId w:val="5"/>
  </w:num>
  <w:num w:numId="4" w16cid:durableId="1709454116">
    <w:abstractNumId w:val="18"/>
  </w:num>
  <w:num w:numId="5" w16cid:durableId="967591765">
    <w:abstractNumId w:val="26"/>
  </w:num>
  <w:num w:numId="6" w16cid:durableId="1892959185">
    <w:abstractNumId w:val="34"/>
  </w:num>
  <w:num w:numId="7" w16cid:durableId="2095196878">
    <w:abstractNumId w:val="28"/>
  </w:num>
  <w:num w:numId="8" w16cid:durableId="380255512">
    <w:abstractNumId w:val="24"/>
  </w:num>
  <w:num w:numId="9" w16cid:durableId="1087507383">
    <w:abstractNumId w:val="36"/>
  </w:num>
  <w:num w:numId="10" w16cid:durableId="513302442">
    <w:abstractNumId w:val="8"/>
  </w:num>
  <w:num w:numId="11" w16cid:durableId="1118642459">
    <w:abstractNumId w:val="29"/>
  </w:num>
  <w:num w:numId="12" w16cid:durableId="210847413">
    <w:abstractNumId w:val="23"/>
  </w:num>
  <w:num w:numId="13" w16cid:durableId="219756000">
    <w:abstractNumId w:val="20"/>
  </w:num>
  <w:num w:numId="14" w16cid:durableId="1369841073">
    <w:abstractNumId w:val="16"/>
  </w:num>
  <w:num w:numId="15" w16cid:durableId="1296333099">
    <w:abstractNumId w:val="17"/>
  </w:num>
  <w:num w:numId="16" w16cid:durableId="916019197">
    <w:abstractNumId w:val="23"/>
    <w:lvlOverride w:ilvl="0">
      <w:startOverride w:val="2"/>
    </w:lvlOverride>
    <w:lvlOverride w:ilvl="1">
      <w:startOverride w:val="1"/>
    </w:lvlOverride>
  </w:num>
  <w:num w:numId="17" w16cid:durableId="1642617638">
    <w:abstractNumId w:val="33"/>
  </w:num>
  <w:num w:numId="18" w16cid:durableId="2007896900">
    <w:abstractNumId w:val="13"/>
  </w:num>
  <w:num w:numId="19" w16cid:durableId="366876570">
    <w:abstractNumId w:val="4"/>
  </w:num>
  <w:num w:numId="20" w16cid:durableId="1719358109">
    <w:abstractNumId w:val="10"/>
  </w:num>
  <w:num w:numId="21" w16cid:durableId="659965603">
    <w:abstractNumId w:val="11"/>
  </w:num>
  <w:num w:numId="22" w16cid:durableId="89087198">
    <w:abstractNumId w:val="42"/>
  </w:num>
  <w:num w:numId="23" w16cid:durableId="1686906375">
    <w:abstractNumId w:val="14"/>
  </w:num>
  <w:num w:numId="24" w16cid:durableId="661273329">
    <w:abstractNumId w:val="19"/>
  </w:num>
  <w:num w:numId="25" w16cid:durableId="481313717">
    <w:abstractNumId w:val="27"/>
  </w:num>
  <w:num w:numId="26" w16cid:durableId="1110927971">
    <w:abstractNumId w:val="22"/>
  </w:num>
  <w:num w:numId="27" w16cid:durableId="241068385">
    <w:abstractNumId w:val="1"/>
  </w:num>
  <w:num w:numId="28" w16cid:durableId="2105345514">
    <w:abstractNumId w:val="40"/>
  </w:num>
  <w:num w:numId="29" w16cid:durableId="1174610454">
    <w:abstractNumId w:val="38"/>
  </w:num>
  <w:num w:numId="30" w16cid:durableId="1457865892">
    <w:abstractNumId w:val="35"/>
  </w:num>
  <w:num w:numId="31" w16cid:durableId="1701514329">
    <w:abstractNumId w:val="9"/>
  </w:num>
  <w:num w:numId="32" w16cid:durableId="304089523">
    <w:abstractNumId w:val="2"/>
  </w:num>
  <w:num w:numId="33" w16cid:durableId="1113281621">
    <w:abstractNumId w:val="6"/>
  </w:num>
  <w:num w:numId="34" w16cid:durableId="438061529">
    <w:abstractNumId w:val="23"/>
    <w:lvlOverride w:ilvl="0">
      <w:startOverride w:val="3"/>
    </w:lvlOverride>
    <w:lvlOverride w:ilvl="1">
      <w:startOverride w:val="1"/>
    </w:lvlOverride>
  </w:num>
  <w:num w:numId="35" w16cid:durableId="681056168">
    <w:abstractNumId w:val="23"/>
    <w:lvlOverride w:ilvl="0">
      <w:startOverride w:val="3"/>
    </w:lvlOverride>
    <w:lvlOverride w:ilvl="1">
      <w:startOverride w:val="2"/>
    </w:lvlOverride>
    <w:lvlOverride w:ilvl="2">
      <w:startOverride w:val="1"/>
    </w:lvlOverride>
  </w:num>
  <w:num w:numId="36" w16cid:durableId="582684064">
    <w:abstractNumId w:val="32"/>
  </w:num>
  <w:num w:numId="37" w16cid:durableId="1790467223">
    <w:abstractNumId w:val="39"/>
  </w:num>
  <w:num w:numId="38" w16cid:durableId="1411347901">
    <w:abstractNumId w:val="41"/>
  </w:num>
  <w:num w:numId="39" w16cid:durableId="1157451364">
    <w:abstractNumId w:val="23"/>
    <w:lvlOverride w:ilvl="0">
      <w:startOverride w:val="3"/>
    </w:lvlOverride>
    <w:lvlOverride w:ilvl="1">
      <w:startOverride w:val="1"/>
    </w:lvlOverride>
  </w:num>
  <w:num w:numId="40" w16cid:durableId="508911223">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3"/>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7"/>
  </w:num>
  <w:num w:numId="44" w16cid:durableId="758987913">
    <w:abstractNumId w:val="3"/>
  </w:num>
  <w:num w:numId="45" w16cid:durableId="1295450674">
    <w:abstractNumId w:val="23"/>
    <w:lvlOverride w:ilvl="0">
      <w:startOverride w:val="4"/>
    </w:lvlOverride>
    <w:lvlOverride w:ilvl="1">
      <w:startOverride w:val="1"/>
    </w:lvlOverride>
  </w:num>
  <w:num w:numId="46" w16cid:durableId="1983807402">
    <w:abstractNumId w:val="0"/>
  </w:num>
  <w:num w:numId="47" w16cid:durableId="1121458185">
    <w:abstractNumId w:val="25"/>
  </w:num>
  <w:num w:numId="48" w16cid:durableId="1820344841">
    <w:abstractNumId w:val="7"/>
  </w:num>
  <w:num w:numId="49" w16cid:durableId="935019212">
    <w:abstractNumId w:val="21"/>
  </w:num>
  <w:num w:numId="50" w16cid:durableId="2094664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748B0"/>
    <w:rsid w:val="001819EF"/>
    <w:rsid w:val="00186154"/>
    <w:rsid w:val="001924D1"/>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F5EE2"/>
    <w:rsid w:val="001F737D"/>
    <w:rsid w:val="002024DC"/>
    <w:rsid w:val="0020402C"/>
    <w:rsid w:val="002103E4"/>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0578"/>
    <w:rsid w:val="00312F07"/>
    <w:rsid w:val="003177C4"/>
    <w:rsid w:val="003340D0"/>
    <w:rsid w:val="0034093C"/>
    <w:rsid w:val="00344CEF"/>
    <w:rsid w:val="00360F25"/>
    <w:rsid w:val="00362B4E"/>
    <w:rsid w:val="00362E25"/>
    <w:rsid w:val="003637CC"/>
    <w:rsid w:val="00370C43"/>
    <w:rsid w:val="00376AEC"/>
    <w:rsid w:val="0038085F"/>
    <w:rsid w:val="00392BF0"/>
    <w:rsid w:val="00396876"/>
    <w:rsid w:val="00396EE9"/>
    <w:rsid w:val="003A0FFF"/>
    <w:rsid w:val="003A4973"/>
    <w:rsid w:val="003B1438"/>
    <w:rsid w:val="003B255A"/>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0FB"/>
    <w:rsid w:val="00555943"/>
    <w:rsid w:val="005641D1"/>
    <w:rsid w:val="005739ED"/>
    <w:rsid w:val="005825EC"/>
    <w:rsid w:val="005839D2"/>
    <w:rsid w:val="005956BF"/>
    <w:rsid w:val="005B031E"/>
    <w:rsid w:val="005B0AD1"/>
    <w:rsid w:val="005C1DE5"/>
    <w:rsid w:val="005D5971"/>
    <w:rsid w:val="005D62D7"/>
    <w:rsid w:val="005E3795"/>
    <w:rsid w:val="005E51F0"/>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64C7"/>
    <w:rsid w:val="007C7837"/>
    <w:rsid w:val="007D7168"/>
    <w:rsid w:val="007D76A9"/>
    <w:rsid w:val="007E0BFA"/>
    <w:rsid w:val="007E1826"/>
    <w:rsid w:val="007E4C2D"/>
    <w:rsid w:val="007E7C8C"/>
    <w:rsid w:val="007F415F"/>
    <w:rsid w:val="00803822"/>
    <w:rsid w:val="0080405B"/>
    <w:rsid w:val="0080629C"/>
    <w:rsid w:val="00807296"/>
    <w:rsid w:val="0081387B"/>
    <w:rsid w:val="008304F6"/>
    <w:rsid w:val="0083056E"/>
    <w:rsid w:val="00834C7E"/>
    <w:rsid w:val="008355DE"/>
    <w:rsid w:val="00836B5B"/>
    <w:rsid w:val="008376B1"/>
    <w:rsid w:val="00844F78"/>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10ED"/>
    <w:rsid w:val="00942C78"/>
    <w:rsid w:val="0094479C"/>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3061"/>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21E93"/>
    <w:rsid w:val="00B36A2A"/>
    <w:rsid w:val="00B45BC8"/>
    <w:rsid w:val="00B47C9F"/>
    <w:rsid w:val="00B52876"/>
    <w:rsid w:val="00B54A43"/>
    <w:rsid w:val="00B54A83"/>
    <w:rsid w:val="00B6692E"/>
    <w:rsid w:val="00B70192"/>
    <w:rsid w:val="00B7181E"/>
    <w:rsid w:val="00B7240F"/>
    <w:rsid w:val="00B77862"/>
    <w:rsid w:val="00B80E12"/>
    <w:rsid w:val="00B81E03"/>
    <w:rsid w:val="00B829F6"/>
    <w:rsid w:val="00B8493D"/>
    <w:rsid w:val="00B86898"/>
    <w:rsid w:val="00B93BA3"/>
    <w:rsid w:val="00BA3EEB"/>
    <w:rsid w:val="00BB061A"/>
    <w:rsid w:val="00BB5717"/>
    <w:rsid w:val="00BB5BED"/>
    <w:rsid w:val="00BB7C5F"/>
    <w:rsid w:val="00BC2860"/>
    <w:rsid w:val="00BD03AE"/>
    <w:rsid w:val="00BD1075"/>
    <w:rsid w:val="00BE0F74"/>
    <w:rsid w:val="00BE2957"/>
    <w:rsid w:val="00BF5053"/>
    <w:rsid w:val="00C00831"/>
    <w:rsid w:val="00C05ADA"/>
    <w:rsid w:val="00C07B90"/>
    <w:rsid w:val="00C1555B"/>
    <w:rsid w:val="00C279E5"/>
    <w:rsid w:val="00C3172F"/>
    <w:rsid w:val="00C45115"/>
    <w:rsid w:val="00C70A05"/>
    <w:rsid w:val="00C72197"/>
    <w:rsid w:val="00C73948"/>
    <w:rsid w:val="00C748BB"/>
    <w:rsid w:val="00C76B33"/>
    <w:rsid w:val="00C85336"/>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30F61"/>
    <w:rsid w:val="00D310CA"/>
    <w:rsid w:val="00D31CE5"/>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97114"/>
    <w:rsid w:val="00DB5908"/>
    <w:rsid w:val="00DC3062"/>
    <w:rsid w:val="00DC3B0D"/>
    <w:rsid w:val="00DC4554"/>
    <w:rsid w:val="00DC7964"/>
    <w:rsid w:val="00DD1D68"/>
    <w:rsid w:val="00DD240C"/>
    <w:rsid w:val="00DD718E"/>
    <w:rsid w:val="00DE65D9"/>
    <w:rsid w:val="00DF5C82"/>
    <w:rsid w:val="00E0085D"/>
    <w:rsid w:val="00E025DD"/>
    <w:rsid w:val="00E036C3"/>
    <w:rsid w:val="00E05C0B"/>
    <w:rsid w:val="00E13555"/>
    <w:rsid w:val="00E14707"/>
    <w:rsid w:val="00E14EF3"/>
    <w:rsid w:val="00E2271F"/>
    <w:rsid w:val="00E24059"/>
    <w:rsid w:val="00E31C18"/>
    <w:rsid w:val="00E33CC3"/>
    <w:rsid w:val="00E37AA9"/>
    <w:rsid w:val="00E57279"/>
    <w:rsid w:val="00E70504"/>
    <w:rsid w:val="00E765A2"/>
    <w:rsid w:val="00E818D2"/>
    <w:rsid w:val="00E826D3"/>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 w:val="00FE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character" w:styleId="FollowedHyperlink">
    <w:name w:val="FollowedHyperlink"/>
    <w:basedOn w:val="DefaultParagraphFont"/>
    <w:uiPriority w:val="99"/>
    <w:semiHidden/>
    <w:unhideWhenUsed/>
    <w:rsid w:val="00804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2681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 assessment of potential application of the reservoir inundation maps for land use planning purposes</dc:title>
  <dc:subject/>
  <dc:creator/>
  <cp:keywords/>
  <dc:description/>
  <cp:lastModifiedBy/>
  <cp:revision>1</cp:revision>
  <dcterms:created xsi:type="dcterms:W3CDTF">2026-03-07T10:40:00Z</dcterms:created>
  <dcterms:modified xsi:type="dcterms:W3CDTF">2026-03-11T19:04:00Z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