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70C0"/>
        </w:rPr>
        <w:id w:val="-191923907"/>
        <w:docPartObj>
          <w:docPartGallery w:val="Cover Pages"/>
          <w:docPartUnique/>
        </w:docPartObj>
      </w:sdtPr>
      <w:sdtEndPr>
        <w:rPr>
          <w:color w:val="auto"/>
        </w:rPr>
      </w:sdtEndPr>
      <w:sdtContent>
        <w:p w14:paraId="36C4D771" w14:textId="58822ABD" w:rsidR="00ED3EE7" w:rsidRPr="002C37CE" w:rsidRDefault="00CF7EFB" w:rsidP="00F60DFD">
          <w:pPr>
            <w:rPr>
              <w:color w:val="0070C0"/>
            </w:rPr>
          </w:pPr>
          <w:r w:rsidRPr="002C37CE">
            <w:rPr>
              <w:noProof/>
              <w:color w:val="0070C0"/>
            </w:rPr>
            <w:drawing>
              <wp:inline distT="0" distB="0" distL="0" distR="0" wp14:anchorId="720A0370" wp14:editId="0532CB5D">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3889CA1E" w14:textId="3510F72A" w:rsidR="00ED3EE7" w:rsidRPr="002C37CE" w:rsidRDefault="006D4F45" w:rsidP="00F60DFD">
          <w:pPr>
            <w:pStyle w:val="Heading1"/>
            <w:rPr>
              <w:color w:val="0070C0"/>
            </w:rPr>
          </w:pPr>
          <w:r>
            <w:t>Agency Board meeting</w:t>
          </w:r>
        </w:p>
        <w:p w14:paraId="4E9A46E5" w14:textId="100DA8C6" w:rsidR="00BD5B7E" w:rsidRPr="00CD7AE5" w:rsidRDefault="009B3B09" w:rsidP="00BD5B7E">
          <w:pPr>
            <w:pStyle w:val="Heading2"/>
          </w:pPr>
          <w:r>
            <w:t>30</w:t>
          </w:r>
          <w:r w:rsidR="006D4F45">
            <w:t xml:space="preserve"> </w:t>
          </w:r>
          <w:r>
            <w:t>June</w:t>
          </w:r>
          <w:r w:rsidR="006D4F45">
            <w:t xml:space="preserve"> 2026</w:t>
          </w:r>
        </w:p>
        <w:p w14:paraId="53D58480" w14:textId="2531F8B9" w:rsidR="00ED3EE7" w:rsidRPr="002C37CE" w:rsidRDefault="00ED3EE7" w:rsidP="00ED3EE7">
          <w:pPr>
            <w:pStyle w:val="Footer"/>
            <w:ind w:right="360"/>
            <w:rPr>
              <w:color w:val="0070C0"/>
            </w:rPr>
          </w:pPr>
          <w:r w:rsidRPr="002C37CE">
            <w:rPr>
              <w:noProof/>
              <w:color w:val="0070C0"/>
            </w:rPr>
            <mc:AlternateContent>
              <mc:Choice Requires="wps">
                <w:drawing>
                  <wp:anchor distT="0" distB="0" distL="114300" distR="114300" simplePos="0" relativeHeight="251658241" behindDoc="0" locked="0" layoutInCell="1" allowOverlap="1" wp14:anchorId="08B06304" wp14:editId="046DAFC6">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541E8B" id="Straight Connector 12"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51F57F87" w14:textId="2D4743BE" w:rsidR="004A6660" w:rsidRPr="00153AA4" w:rsidRDefault="00E6342D" w:rsidP="004A6660">
          <w:pPr>
            <w:pStyle w:val="Heading2"/>
          </w:pPr>
          <w:r>
            <w:t>Draft q</w:t>
          </w:r>
          <w:r w:rsidR="004A6660">
            <w:t xml:space="preserve">uarter </w:t>
          </w:r>
          <w:r w:rsidR="009B3B09">
            <w:t>4</w:t>
          </w:r>
          <w:r w:rsidR="004A6660">
            <w:t xml:space="preserve"> f</w:t>
          </w:r>
          <w:r w:rsidR="004A6660" w:rsidRPr="003B2018">
            <w:t xml:space="preserve">inancial monitoring report for period </w:t>
          </w:r>
          <w:r w:rsidR="004A6660">
            <w:t xml:space="preserve">ending </w:t>
          </w:r>
          <w:r w:rsidR="004A6660" w:rsidRPr="003B2018">
            <w:t>3</w:t>
          </w:r>
          <w:r w:rsidR="004A6660">
            <w:t>1</w:t>
          </w:r>
          <w:r w:rsidR="004A6660" w:rsidRPr="003B2018">
            <w:t xml:space="preserve"> </w:t>
          </w:r>
          <w:r w:rsidR="009B3B09">
            <w:t>March</w:t>
          </w:r>
          <w:r w:rsidR="004A6660" w:rsidRPr="003B2018">
            <w:t xml:space="preserve"> 202</w:t>
          </w:r>
          <w:r w:rsidR="009B3B09">
            <w:t>6</w:t>
          </w:r>
        </w:p>
        <w:p w14:paraId="7AFB6DE9" w14:textId="77777777" w:rsidR="00980E67" w:rsidRDefault="00BD5B7E" w:rsidP="00BF0CD6">
          <w:pPr>
            <w:pStyle w:val="BodyText1"/>
          </w:pPr>
          <w:r w:rsidRPr="00BF0CD6">
            <w:rPr>
              <w:rStyle w:val="Heading3Char"/>
            </w:rPr>
            <w:t>Purpose</w:t>
          </w:r>
          <w:r w:rsidR="000A4F02" w:rsidRPr="00BF0CD6">
            <w:rPr>
              <w:rStyle w:val="Heading3Char"/>
            </w:rPr>
            <w:t>:</w:t>
          </w:r>
          <w:r w:rsidR="004D6DB1" w:rsidRPr="007F3876">
            <w:t xml:space="preserve"> </w:t>
          </w:r>
        </w:p>
        <w:p w14:paraId="608C6DE6" w14:textId="38D26863" w:rsidR="00BF0CD6" w:rsidRDefault="00BF0CD6" w:rsidP="00BF0CD6">
          <w:pPr>
            <w:pStyle w:val="BodyText1"/>
            <w:rPr>
              <w:rStyle w:val="normaltextrun"/>
            </w:rPr>
          </w:pPr>
          <w:r>
            <w:rPr>
              <w:rStyle w:val="normaltextrun"/>
            </w:rPr>
            <w:t>This report is to provide an update to the Board on the following areas:</w:t>
          </w:r>
        </w:p>
        <w:p w14:paraId="098E0B33" w14:textId="77777777" w:rsidR="0034780A" w:rsidRPr="0034780A" w:rsidRDefault="0034780A" w:rsidP="0004549E">
          <w:pPr>
            <w:pStyle w:val="ListParagraph"/>
            <w:numPr>
              <w:ilvl w:val="0"/>
              <w:numId w:val="2"/>
            </w:numPr>
            <w:rPr>
              <w:b/>
              <w:bCs/>
            </w:rPr>
          </w:pPr>
          <w:r w:rsidRPr="0034780A">
            <w:rPr>
              <w:b/>
              <w:bCs/>
            </w:rPr>
            <w:t>Overall financial position</w:t>
          </w:r>
        </w:p>
        <w:p w14:paraId="2950695D" w14:textId="63CB74E5" w:rsidR="0034780A" w:rsidRDefault="0034780A" w:rsidP="00CD318B">
          <w:pPr>
            <w:ind w:left="709"/>
          </w:pPr>
          <w:r>
            <w:t xml:space="preserve">This is the </w:t>
          </w:r>
          <w:r w:rsidR="00775F26">
            <w:t>quarter four</w:t>
          </w:r>
          <w:r>
            <w:t xml:space="preserve"> financial report for 2025/26. Actual financial results for </w:t>
          </w:r>
          <w:r w:rsidR="001A718B">
            <w:t>the year</w:t>
          </w:r>
          <w:r>
            <w:t xml:space="preserve"> 1 April 2025 to 31 </w:t>
          </w:r>
          <w:r w:rsidR="002A1E37">
            <w:t>March 2026</w:t>
          </w:r>
          <w:r>
            <w:t xml:space="preserve"> show SEPA </w:t>
          </w:r>
          <w:r w:rsidR="007D7C1A">
            <w:t>reporting</w:t>
          </w:r>
          <w:r w:rsidR="002A1E37">
            <w:t xml:space="preserve"> a £4</w:t>
          </w:r>
          <w:r w:rsidR="003165EF">
            <w:t>1</w:t>
          </w:r>
          <w:r w:rsidR="002A1E37">
            <w:t>k</w:t>
          </w:r>
          <w:r>
            <w:t xml:space="preserve"> </w:t>
          </w:r>
          <w:r w:rsidR="004B7A05">
            <w:t xml:space="preserve">underspend. </w:t>
          </w:r>
        </w:p>
        <w:p w14:paraId="0CE6D35B" w14:textId="77777777" w:rsidR="0034780A" w:rsidRPr="0034780A" w:rsidRDefault="0034780A" w:rsidP="0004549E">
          <w:pPr>
            <w:pStyle w:val="ListParagraph"/>
            <w:numPr>
              <w:ilvl w:val="0"/>
              <w:numId w:val="2"/>
            </w:numPr>
            <w:rPr>
              <w:b/>
              <w:bCs/>
            </w:rPr>
          </w:pPr>
          <w:r w:rsidRPr="0034780A">
            <w:rPr>
              <w:b/>
              <w:bCs/>
            </w:rPr>
            <w:t>Capital budget</w:t>
          </w:r>
        </w:p>
        <w:p w14:paraId="0E46F0E0" w14:textId="77820DA2" w:rsidR="0034780A" w:rsidRDefault="0034780A" w:rsidP="00CD318B">
          <w:pPr>
            <w:ind w:left="709"/>
          </w:pPr>
          <w:r w:rsidRPr="00DE5C84">
            <w:t>The capital summary for the period ending 3</w:t>
          </w:r>
          <w:r>
            <w:t>1</w:t>
          </w:r>
          <w:r w:rsidRPr="00DE5C84">
            <w:t xml:space="preserve"> </w:t>
          </w:r>
          <w:r w:rsidR="00343453">
            <w:t>March</w:t>
          </w:r>
          <w:r>
            <w:t xml:space="preserve"> </w:t>
          </w:r>
          <w:r w:rsidRPr="00DE5C84">
            <w:t>202</w:t>
          </w:r>
          <w:r w:rsidR="00343453">
            <w:t>6</w:t>
          </w:r>
          <w:r w:rsidRPr="00DE5C84">
            <w:t xml:space="preserve"> is provided in section 4 of this report. </w:t>
          </w:r>
        </w:p>
        <w:p w14:paraId="71911F98" w14:textId="5A02344B" w:rsidR="006036A6" w:rsidRPr="00DE5C84" w:rsidRDefault="00BA769B" w:rsidP="00BA769B">
          <w:pPr>
            <w:pStyle w:val="ListParagraph"/>
            <w:numPr>
              <w:ilvl w:val="0"/>
              <w:numId w:val="2"/>
            </w:numPr>
          </w:pPr>
          <w:r w:rsidRPr="00E87791">
            <w:rPr>
              <w:rStyle w:val="normaltextrun"/>
            </w:rPr>
            <w:t>Final accounts work is ongoing, and these figures should be considered draft as they may be subject to change following final year-end adjustments and/or external audit adjustments</w:t>
          </w:r>
          <w:r w:rsidR="0026185B">
            <w:rPr>
              <w:rStyle w:val="normaltextrun"/>
            </w:rPr>
            <w:t>.</w:t>
          </w:r>
        </w:p>
        <w:p w14:paraId="5293784C" w14:textId="77777777" w:rsidR="0034780A" w:rsidRPr="005A1168" w:rsidRDefault="0034780A" w:rsidP="005A1168">
          <w:pPr>
            <w:pStyle w:val="Heading3"/>
          </w:pPr>
          <w:r w:rsidRPr="005A1168">
            <w:rPr>
              <w:rStyle w:val="normaltextrun"/>
            </w:rPr>
            <w:t xml:space="preserve">Recommendations: </w:t>
          </w:r>
        </w:p>
        <w:p w14:paraId="31E83FAF" w14:textId="77777777" w:rsidR="005F4B20" w:rsidRDefault="0034780A" w:rsidP="0034780A">
          <w:pPr>
            <w:rPr>
              <w:rStyle w:val="normaltextrun"/>
            </w:rPr>
          </w:pPr>
          <w:r>
            <w:rPr>
              <w:rStyle w:val="normaltextrun"/>
            </w:rPr>
            <w:t>The Board is asked to note</w:t>
          </w:r>
          <w:bookmarkStart w:id="0" w:name="_Hlk169096589"/>
          <w:bookmarkStart w:id="1" w:name="_Hlk213058407"/>
          <w:r w:rsidR="005F4B20">
            <w:rPr>
              <w:rStyle w:val="normaltextrun"/>
            </w:rPr>
            <w:t>:</w:t>
          </w:r>
        </w:p>
        <w:p w14:paraId="7E7ADAEA" w14:textId="4D207239" w:rsidR="0034780A" w:rsidRDefault="0034780A" w:rsidP="005F4B20">
          <w:pPr>
            <w:pStyle w:val="ListParagraph"/>
            <w:numPr>
              <w:ilvl w:val="0"/>
              <w:numId w:val="2"/>
            </w:numPr>
          </w:pPr>
          <w:r>
            <w:t xml:space="preserve">SEPA’s financial performance for the period ending 31 </w:t>
          </w:r>
          <w:r w:rsidR="00B11384">
            <w:t>March</w:t>
          </w:r>
          <w:r>
            <w:t xml:space="preserve"> 202</w:t>
          </w:r>
          <w:r w:rsidR="00B11384">
            <w:t>6</w:t>
          </w:r>
          <w:bookmarkEnd w:id="0"/>
          <w:bookmarkEnd w:id="1"/>
          <w:r w:rsidR="00415755">
            <w:t>.</w:t>
          </w:r>
        </w:p>
        <w:p w14:paraId="31E3A5B1" w14:textId="034383ED" w:rsidR="00415755" w:rsidRDefault="00415755" w:rsidP="005F4B20">
          <w:pPr>
            <w:pStyle w:val="ListParagraph"/>
            <w:numPr>
              <w:ilvl w:val="0"/>
              <w:numId w:val="2"/>
            </w:numPr>
          </w:pPr>
          <w:r>
            <w:t>That the results reported are draft results as they may be subject to year-end adjustments and external audit.</w:t>
          </w:r>
        </w:p>
        <w:p w14:paraId="4A2D4502" w14:textId="77777777" w:rsidR="0034780A" w:rsidRDefault="0034780A" w:rsidP="0034780A">
          <w:pPr>
            <w:pStyle w:val="BodyText1"/>
            <w:rPr>
              <w:rStyle w:val="Heading3Char"/>
            </w:rPr>
          </w:pPr>
          <w:r w:rsidRPr="005A1168">
            <w:rPr>
              <w:rStyle w:val="Heading3Char"/>
            </w:rPr>
            <w:lastRenderedPageBreak/>
            <w:t>Authors:</w:t>
          </w:r>
          <w:r>
            <w:rPr>
              <w:rStyle w:val="Heading3Char"/>
            </w:rPr>
            <w:t xml:space="preserve"> </w:t>
          </w:r>
          <w:r w:rsidRPr="005A1168">
            <w:t>Ian Bryce, Deputy Head of Finance; Rosaleen Burke, Head of Finance.</w:t>
          </w:r>
        </w:p>
        <w:p w14:paraId="45BD3D43" w14:textId="77777777" w:rsidR="0034780A" w:rsidRDefault="0034780A" w:rsidP="0034780A">
          <w:pPr>
            <w:pStyle w:val="BodyText1"/>
          </w:pPr>
          <w:r w:rsidRPr="005A1168">
            <w:rPr>
              <w:rStyle w:val="Heading3Char"/>
            </w:rPr>
            <w:t>Corporate Leadership Team Sponsor:</w:t>
          </w:r>
          <w:r w:rsidRPr="00BB6C63">
            <w:rPr>
              <w:rStyle w:val="normaltextrun"/>
              <w:rFonts w:cs="Arial"/>
              <w:b/>
              <w:bCs/>
              <w:color w:val="000000"/>
              <w:shd w:val="clear" w:color="auto" w:fill="FFFFFF"/>
            </w:rPr>
            <w:t xml:space="preserve"> </w:t>
          </w:r>
          <w:r w:rsidRPr="005A1168">
            <w:t>Angela Milloy, Chief Officer Finance, Modernisation and Digital.</w:t>
          </w:r>
        </w:p>
        <w:p w14:paraId="07E3FD86" w14:textId="1820564B" w:rsidR="00415755" w:rsidRDefault="0034780A" w:rsidP="0034780A">
          <w:pPr>
            <w:pStyle w:val="BodyText1"/>
            <w:spacing w:after="120"/>
          </w:pPr>
          <w:r w:rsidRPr="005A1168">
            <w:rPr>
              <w:rStyle w:val="Heading3Char"/>
            </w:rPr>
            <w:t xml:space="preserve">Date: </w:t>
          </w:r>
          <w:r w:rsidR="003165EF">
            <w:t>17</w:t>
          </w:r>
          <w:r w:rsidRPr="005A1168">
            <w:t xml:space="preserve"> </w:t>
          </w:r>
          <w:r w:rsidR="00674287">
            <w:t>June</w:t>
          </w:r>
          <w:r w:rsidRPr="005A1168">
            <w:t xml:space="preserve"> 2026</w:t>
          </w:r>
          <w:r w:rsidR="00415755">
            <w:br w:type="page"/>
          </w:r>
        </w:p>
        <w:p w14:paraId="06CD08D1" w14:textId="3485D575" w:rsidR="00FA3691" w:rsidRPr="00A74FDB" w:rsidRDefault="00A74FDB" w:rsidP="000528CA">
          <w:pPr>
            <w:pStyle w:val="Heading4"/>
            <w:rPr>
              <w:rStyle w:val="normaltextrun"/>
            </w:rPr>
          </w:pPr>
          <w:r w:rsidRPr="00A74FDB">
            <w:rPr>
              <w:rStyle w:val="normaltextrun"/>
            </w:rPr>
            <w:lastRenderedPageBreak/>
            <w:t>Table 1:</w:t>
          </w:r>
          <w:r w:rsidR="00F06701">
            <w:rPr>
              <w:rStyle w:val="normaltextrun"/>
            </w:rPr>
            <w:t xml:space="preserve"> </w:t>
          </w:r>
          <w:r w:rsidR="00941B4D">
            <w:rPr>
              <w:rStyle w:val="normaltextrun"/>
            </w:rPr>
            <w:t>Full year outturn</w:t>
          </w:r>
        </w:p>
        <w:tbl>
          <w:tblPr>
            <w:tblW w:w="9520" w:type="dxa"/>
            <w:tblLook w:val="04A0" w:firstRow="1" w:lastRow="0" w:firstColumn="1" w:lastColumn="0" w:noHBand="0" w:noVBand="1"/>
            <w:tblCaption w:val="Table 1: Full year outturn"/>
          </w:tblPr>
          <w:tblGrid>
            <w:gridCol w:w="4420"/>
            <w:gridCol w:w="1740"/>
            <w:gridCol w:w="1720"/>
            <w:gridCol w:w="1640"/>
          </w:tblGrid>
          <w:tr w:rsidR="00054C60" w:rsidRPr="00054C60" w14:paraId="5FF59489" w14:textId="77777777" w:rsidTr="00FC2B57">
            <w:trPr>
              <w:cantSplit/>
              <w:trHeight w:val="855"/>
              <w:tblHeader/>
            </w:trPr>
            <w:tc>
              <w:tcPr>
                <w:tcW w:w="4420" w:type="dxa"/>
                <w:tcBorders>
                  <w:top w:val="single" w:sz="8" w:space="0" w:color="757171"/>
                  <w:left w:val="single" w:sz="8" w:space="0" w:color="757171"/>
                  <w:bottom w:val="single" w:sz="8" w:space="0" w:color="757171"/>
                  <w:right w:val="single" w:sz="8" w:space="0" w:color="757171"/>
                </w:tcBorders>
                <w:shd w:val="clear" w:color="000000" w:fill="016574"/>
                <w:vAlign w:val="center"/>
                <w:hideMark/>
              </w:tcPr>
              <w:p w14:paraId="446E1317" w14:textId="1BED8D8A" w:rsidR="00054C60" w:rsidRPr="00054C60" w:rsidRDefault="00054C60" w:rsidP="002C6AB9">
                <w:pPr>
                  <w:spacing w:after="0"/>
                  <w:rPr>
                    <w:rFonts w:ascii="Arial" w:eastAsia="Times New Roman" w:hAnsi="Arial" w:cs="Arial"/>
                    <w:b/>
                    <w:bCs/>
                    <w:color w:val="FFFFFF"/>
                    <w:lang w:eastAsia="en-GB"/>
                  </w:rPr>
                </w:pPr>
                <w:r w:rsidRPr="00054C60">
                  <w:rPr>
                    <w:rFonts w:ascii="Arial" w:eastAsia="Times New Roman" w:hAnsi="Arial" w:cs="Arial"/>
                    <w:b/>
                    <w:bCs/>
                    <w:color w:val="FFFFFF"/>
                    <w:lang w:eastAsia="en-GB"/>
                  </w:rPr>
                  <w:t xml:space="preserve">Income and expenditure account </w:t>
                </w:r>
                <w:proofErr w:type="gramStart"/>
                <w:r w:rsidRPr="00054C60">
                  <w:rPr>
                    <w:rFonts w:ascii="Arial" w:eastAsia="Times New Roman" w:hAnsi="Arial" w:cs="Arial"/>
                    <w:b/>
                    <w:bCs/>
                    <w:color w:val="FFFFFF"/>
                    <w:lang w:eastAsia="en-GB"/>
                  </w:rPr>
                  <w:t>at</w:t>
                </w:r>
                <w:proofErr w:type="gramEnd"/>
                <w:r w:rsidRPr="00054C60">
                  <w:rPr>
                    <w:rFonts w:ascii="Arial" w:eastAsia="Times New Roman" w:hAnsi="Arial" w:cs="Arial"/>
                    <w:b/>
                    <w:bCs/>
                    <w:color w:val="FFFFFF"/>
                    <w:lang w:eastAsia="en-GB"/>
                  </w:rPr>
                  <w:t xml:space="preserve"> 31</w:t>
                </w:r>
                <w:r w:rsidR="00F62D77" w:rsidRPr="00054C60">
                  <w:rPr>
                    <w:rFonts w:ascii="Arial" w:eastAsia="Times New Roman" w:hAnsi="Arial" w:cs="Arial"/>
                    <w:b/>
                    <w:bCs/>
                    <w:color w:val="FFFFFF"/>
                    <w:lang w:eastAsia="en-GB"/>
                  </w:rPr>
                  <w:t>st March</w:t>
                </w:r>
                <w:r w:rsidRPr="00054C60">
                  <w:rPr>
                    <w:rFonts w:ascii="Arial" w:eastAsia="Times New Roman" w:hAnsi="Arial" w:cs="Arial"/>
                    <w:b/>
                    <w:bCs/>
                    <w:color w:val="FFFFFF"/>
                    <w:lang w:eastAsia="en-GB"/>
                  </w:rPr>
                  <w:t xml:space="preserve"> 2026</w:t>
                </w:r>
              </w:p>
            </w:tc>
            <w:tc>
              <w:tcPr>
                <w:tcW w:w="1740" w:type="dxa"/>
                <w:tcBorders>
                  <w:top w:val="single" w:sz="8" w:space="0" w:color="757171"/>
                  <w:left w:val="nil"/>
                  <w:bottom w:val="nil"/>
                  <w:right w:val="nil"/>
                </w:tcBorders>
                <w:shd w:val="clear" w:color="000000" w:fill="016574"/>
                <w:vAlign w:val="center"/>
                <w:hideMark/>
              </w:tcPr>
              <w:p w14:paraId="4DDF4254" w14:textId="7D9B5B0E" w:rsidR="00054C60" w:rsidRPr="00054C60" w:rsidRDefault="002C0C40" w:rsidP="002C6AB9">
                <w:pPr>
                  <w:spacing w:after="0"/>
                  <w:jc w:val="center"/>
                  <w:rPr>
                    <w:rFonts w:ascii="Arial" w:eastAsia="Times New Roman" w:hAnsi="Arial" w:cs="Arial"/>
                    <w:b/>
                    <w:bCs/>
                    <w:color w:val="FFFFFF"/>
                    <w:lang w:eastAsia="en-GB"/>
                  </w:rPr>
                </w:pPr>
                <w:r>
                  <w:rPr>
                    <w:rFonts w:ascii="Arial" w:eastAsia="Times New Roman" w:hAnsi="Arial" w:cs="Arial"/>
                    <w:b/>
                    <w:bCs/>
                    <w:color w:val="FFFFFF"/>
                    <w:lang w:eastAsia="en-GB"/>
                  </w:rPr>
                  <w:t>Outturn</w:t>
                </w:r>
                <w:r w:rsidR="00054C60" w:rsidRPr="00054C60">
                  <w:rPr>
                    <w:rFonts w:ascii="Arial" w:eastAsia="Times New Roman" w:hAnsi="Arial" w:cs="Arial"/>
                    <w:b/>
                    <w:bCs/>
                    <w:color w:val="FFFFFF"/>
                    <w:lang w:eastAsia="en-GB"/>
                  </w:rPr>
                  <w:t xml:space="preserve">       £'000</w:t>
                </w:r>
              </w:p>
            </w:tc>
            <w:tc>
              <w:tcPr>
                <w:tcW w:w="1720" w:type="dxa"/>
                <w:tcBorders>
                  <w:top w:val="single" w:sz="8" w:space="0" w:color="757171"/>
                  <w:left w:val="single" w:sz="8" w:space="0" w:color="757171"/>
                  <w:bottom w:val="single" w:sz="8" w:space="0" w:color="757171"/>
                  <w:right w:val="nil"/>
                </w:tcBorders>
                <w:shd w:val="clear" w:color="000000" w:fill="016574"/>
                <w:vAlign w:val="center"/>
                <w:hideMark/>
              </w:tcPr>
              <w:p w14:paraId="09007CB7" w14:textId="77777777" w:rsidR="00054C60" w:rsidRPr="00054C60" w:rsidRDefault="00054C60" w:rsidP="002C6AB9">
                <w:pPr>
                  <w:spacing w:after="0"/>
                  <w:jc w:val="center"/>
                  <w:rPr>
                    <w:rFonts w:ascii="Arial" w:eastAsia="Times New Roman" w:hAnsi="Arial" w:cs="Arial"/>
                    <w:b/>
                    <w:bCs/>
                    <w:color w:val="FFFFFF"/>
                    <w:lang w:eastAsia="en-GB"/>
                  </w:rPr>
                </w:pPr>
                <w:r w:rsidRPr="00054C60">
                  <w:rPr>
                    <w:rFonts w:ascii="Arial" w:eastAsia="Times New Roman" w:hAnsi="Arial" w:cs="Arial"/>
                    <w:b/>
                    <w:bCs/>
                    <w:color w:val="FFFFFF"/>
                    <w:lang w:eastAsia="en-GB"/>
                  </w:rPr>
                  <w:t>Budget     £'000</w:t>
                </w:r>
              </w:p>
            </w:tc>
            <w:tc>
              <w:tcPr>
                <w:tcW w:w="1640" w:type="dxa"/>
                <w:tcBorders>
                  <w:top w:val="single" w:sz="8" w:space="0" w:color="757171"/>
                  <w:left w:val="single" w:sz="8" w:space="0" w:color="757171"/>
                  <w:bottom w:val="single" w:sz="8" w:space="0" w:color="757171"/>
                  <w:right w:val="nil"/>
                </w:tcBorders>
                <w:shd w:val="clear" w:color="000000" w:fill="016574"/>
                <w:vAlign w:val="center"/>
                <w:hideMark/>
              </w:tcPr>
              <w:p w14:paraId="72BD370B" w14:textId="77777777" w:rsidR="00054C60" w:rsidRPr="00054C60" w:rsidRDefault="00054C60" w:rsidP="002C6AB9">
                <w:pPr>
                  <w:spacing w:after="0"/>
                  <w:jc w:val="center"/>
                  <w:rPr>
                    <w:rFonts w:ascii="Arial" w:eastAsia="Times New Roman" w:hAnsi="Arial" w:cs="Arial"/>
                    <w:b/>
                    <w:bCs/>
                    <w:color w:val="FFFFFF"/>
                    <w:lang w:eastAsia="en-GB"/>
                  </w:rPr>
                </w:pPr>
                <w:r w:rsidRPr="00054C60">
                  <w:rPr>
                    <w:rFonts w:ascii="Arial" w:eastAsia="Times New Roman" w:hAnsi="Arial" w:cs="Arial"/>
                    <w:b/>
                    <w:bCs/>
                    <w:color w:val="FFFFFF"/>
                    <w:lang w:eastAsia="en-GB"/>
                  </w:rPr>
                  <w:t>Variance £'000</w:t>
                </w:r>
              </w:p>
            </w:tc>
          </w:tr>
          <w:tr w:rsidR="00054C60" w:rsidRPr="00054C60" w14:paraId="381CDC6C" w14:textId="77777777" w:rsidTr="006F3FC5">
            <w:trPr>
              <w:trHeight w:val="310"/>
            </w:trPr>
            <w:tc>
              <w:tcPr>
                <w:tcW w:w="4420" w:type="dxa"/>
                <w:tcBorders>
                  <w:top w:val="nil"/>
                  <w:left w:val="single" w:sz="8" w:space="0" w:color="757171"/>
                  <w:bottom w:val="nil"/>
                  <w:right w:val="single" w:sz="8" w:space="0" w:color="757171"/>
                </w:tcBorders>
                <w:noWrap/>
                <w:vAlign w:val="center"/>
                <w:hideMark/>
              </w:tcPr>
              <w:p w14:paraId="6B502934" w14:textId="77777777" w:rsidR="00054C60" w:rsidRPr="00054C60" w:rsidRDefault="00054C60" w:rsidP="002C6AB9">
                <w:pPr>
                  <w:spacing w:after="0"/>
                  <w:rPr>
                    <w:rFonts w:ascii="Arial" w:eastAsia="Times New Roman" w:hAnsi="Arial" w:cs="Arial"/>
                    <w:lang w:eastAsia="en-GB"/>
                  </w:rPr>
                </w:pPr>
                <w:r w:rsidRPr="00054C60">
                  <w:rPr>
                    <w:rFonts w:ascii="Arial" w:eastAsia="Times New Roman" w:hAnsi="Arial" w:cs="Arial"/>
                    <w:lang w:eastAsia="en-GB"/>
                  </w:rPr>
                  <w:t xml:space="preserve">Grant in Aid </w:t>
                </w:r>
              </w:p>
            </w:tc>
            <w:tc>
              <w:tcPr>
                <w:tcW w:w="1740" w:type="dxa"/>
                <w:tcBorders>
                  <w:top w:val="nil"/>
                  <w:left w:val="nil"/>
                  <w:bottom w:val="nil"/>
                  <w:right w:val="single" w:sz="8" w:space="0" w:color="757171"/>
                </w:tcBorders>
                <w:noWrap/>
                <w:vAlign w:val="center"/>
                <w:hideMark/>
              </w:tcPr>
              <w:p w14:paraId="7D499D22"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53,721</w:t>
                </w:r>
              </w:p>
            </w:tc>
            <w:tc>
              <w:tcPr>
                <w:tcW w:w="1720" w:type="dxa"/>
                <w:tcBorders>
                  <w:top w:val="nil"/>
                  <w:left w:val="nil"/>
                  <w:bottom w:val="nil"/>
                  <w:right w:val="single" w:sz="8" w:space="0" w:color="757171"/>
                </w:tcBorders>
                <w:noWrap/>
                <w:vAlign w:val="center"/>
                <w:hideMark/>
              </w:tcPr>
              <w:p w14:paraId="0C1E1B43"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53,721</w:t>
                </w:r>
              </w:p>
            </w:tc>
            <w:tc>
              <w:tcPr>
                <w:tcW w:w="1640" w:type="dxa"/>
                <w:tcBorders>
                  <w:top w:val="nil"/>
                  <w:left w:val="nil"/>
                  <w:bottom w:val="nil"/>
                  <w:right w:val="single" w:sz="8" w:space="0" w:color="757171"/>
                </w:tcBorders>
                <w:noWrap/>
                <w:vAlign w:val="center"/>
                <w:hideMark/>
              </w:tcPr>
              <w:p w14:paraId="7A08A131"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0</w:t>
                </w:r>
              </w:p>
            </w:tc>
          </w:tr>
          <w:tr w:rsidR="00054C60" w:rsidRPr="00054C60" w14:paraId="10F57169" w14:textId="77777777" w:rsidTr="006F3FC5">
            <w:trPr>
              <w:trHeight w:val="310"/>
            </w:trPr>
            <w:tc>
              <w:tcPr>
                <w:tcW w:w="4420" w:type="dxa"/>
                <w:tcBorders>
                  <w:top w:val="nil"/>
                  <w:left w:val="single" w:sz="8" w:space="0" w:color="757171"/>
                  <w:bottom w:val="nil"/>
                  <w:right w:val="single" w:sz="8" w:space="0" w:color="757171"/>
                </w:tcBorders>
                <w:noWrap/>
                <w:vAlign w:val="center"/>
                <w:hideMark/>
              </w:tcPr>
              <w:p w14:paraId="4640EC62" w14:textId="77777777" w:rsidR="00054C60" w:rsidRPr="00054C60" w:rsidRDefault="00054C60" w:rsidP="002C6AB9">
                <w:pPr>
                  <w:spacing w:after="0"/>
                  <w:rPr>
                    <w:rFonts w:ascii="Arial" w:eastAsia="Times New Roman" w:hAnsi="Arial" w:cs="Arial"/>
                    <w:lang w:eastAsia="en-GB"/>
                  </w:rPr>
                </w:pPr>
                <w:r w:rsidRPr="00054C60">
                  <w:rPr>
                    <w:rFonts w:ascii="Arial" w:eastAsia="Times New Roman" w:hAnsi="Arial" w:cs="Arial"/>
                    <w:lang w:eastAsia="en-GB"/>
                  </w:rPr>
                  <w:t>Charging Schemes</w:t>
                </w:r>
              </w:p>
            </w:tc>
            <w:tc>
              <w:tcPr>
                <w:tcW w:w="1740" w:type="dxa"/>
                <w:tcBorders>
                  <w:top w:val="nil"/>
                  <w:left w:val="nil"/>
                  <w:bottom w:val="nil"/>
                  <w:right w:val="single" w:sz="8" w:space="0" w:color="757171"/>
                </w:tcBorders>
                <w:noWrap/>
                <w:vAlign w:val="center"/>
                <w:hideMark/>
              </w:tcPr>
              <w:p w14:paraId="43B93A93"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56,394</w:t>
                </w:r>
              </w:p>
            </w:tc>
            <w:tc>
              <w:tcPr>
                <w:tcW w:w="1720" w:type="dxa"/>
                <w:tcBorders>
                  <w:top w:val="nil"/>
                  <w:left w:val="nil"/>
                  <w:bottom w:val="nil"/>
                  <w:right w:val="single" w:sz="8" w:space="0" w:color="757171"/>
                </w:tcBorders>
                <w:noWrap/>
                <w:vAlign w:val="center"/>
                <w:hideMark/>
              </w:tcPr>
              <w:p w14:paraId="3409047A"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57,032</w:t>
                </w:r>
              </w:p>
            </w:tc>
            <w:tc>
              <w:tcPr>
                <w:tcW w:w="1640" w:type="dxa"/>
                <w:tcBorders>
                  <w:top w:val="nil"/>
                  <w:left w:val="nil"/>
                  <w:bottom w:val="nil"/>
                  <w:right w:val="single" w:sz="8" w:space="0" w:color="757171"/>
                </w:tcBorders>
                <w:noWrap/>
                <w:vAlign w:val="center"/>
                <w:hideMark/>
              </w:tcPr>
              <w:p w14:paraId="58FD8573"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(638)</w:t>
                </w:r>
              </w:p>
            </w:tc>
          </w:tr>
          <w:tr w:rsidR="00054C60" w:rsidRPr="00054C60" w14:paraId="5ED1AB45" w14:textId="77777777" w:rsidTr="006F3FC5">
            <w:trPr>
              <w:trHeight w:val="320"/>
            </w:trPr>
            <w:tc>
              <w:tcPr>
                <w:tcW w:w="4420" w:type="dxa"/>
                <w:tcBorders>
                  <w:top w:val="nil"/>
                  <w:left w:val="single" w:sz="8" w:space="0" w:color="757171"/>
                  <w:bottom w:val="nil"/>
                  <w:right w:val="single" w:sz="8" w:space="0" w:color="757171"/>
                </w:tcBorders>
                <w:noWrap/>
                <w:vAlign w:val="center"/>
                <w:hideMark/>
              </w:tcPr>
              <w:p w14:paraId="330C7A73" w14:textId="77777777" w:rsidR="00054C60" w:rsidRPr="00054C60" w:rsidRDefault="00054C60" w:rsidP="002C6AB9">
                <w:pPr>
                  <w:spacing w:after="0"/>
                  <w:rPr>
                    <w:rFonts w:ascii="Arial" w:eastAsia="Times New Roman" w:hAnsi="Arial" w:cs="Arial"/>
                    <w:lang w:eastAsia="en-GB"/>
                  </w:rPr>
                </w:pPr>
                <w:r w:rsidRPr="00054C60">
                  <w:rPr>
                    <w:rFonts w:ascii="Arial" w:eastAsia="Times New Roman" w:hAnsi="Arial" w:cs="Arial"/>
                    <w:lang w:eastAsia="en-GB"/>
                  </w:rPr>
                  <w:t>Other income</w:t>
                </w:r>
              </w:p>
            </w:tc>
            <w:tc>
              <w:tcPr>
                <w:tcW w:w="1740" w:type="dxa"/>
                <w:tcBorders>
                  <w:top w:val="nil"/>
                  <w:left w:val="nil"/>
                  <w:bottom w:val="nil"/>
                  <w:right w:val="single" w:sz="8" w:space="0" w:color="757171"/>
                </w:tcBorders>
                <w:noWrap/>
                <w:vAlign w:val="center"/>
                <w:hideMark/>
              </w:tcPr>
              <w:p w14:paraId="00C25530"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1,654</w:t>
                </w:r>
              </w:p>
            </w:tc>
            <w:tc>
              <w:tcPr>
                <w:tcW w:w="1720" w:type="dxa"/>
                <w:tcBorders>
                  <w:top w:val="nil"/>
                  <w:left w:val="nil"/>
                  <w:bottom w:val="nil"/>
                  <w:right w:val="single" w:sz="8" w:space="0" w:color="757171"/>
                </w:tcBorders>
                <w:noWrap/>
                <w:vAlign w:val="center"/>
                <w:hideMark/>
              </w:tcPr>
              <w:p w14:paraId="3A4AC9E3"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1,551</w:t>
                </w:r>
              </w:p>
            </w:tc>
            <w:tc>
              <w:tcPr>
                <w:tcW w:w="1640" w:type="dxa"/>
                <w:tcBorders>
                  <w:top w:val="nil"/>
                  <w:left w:val="nil"/>
                  <w:bottom w:val="nil"/>
                  <w:right w:val="single" w:sz="8" w:space="0" w:color="757171"/>
                </w:tcBorders>
                <w:noWrap/>
                <w:vAlign w:val="center"/>
                <w:hideMark/>
              </w:tcPr>
              <w:p w14:paraId="622FCCD3"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103</w:t>
                </w:r>
              </w:p>
            </w:tc>
          </w:tr>
          <w:tr w:rsidR="00054C60" w:rsidRPr="00054C60" w14:paraId="73826935" w14:textId="77777777" w:rsidTr="006F3FC5">
            <w:trPr>
              <w:trHeight w:val="320"/>
            </w:trPr>
            <w:tc>
              <w:tcPr>
                <w:tcW w:w="4420" w:type="dxa"/>
                <w:tcBorders>
                  <w:top w:val="single" w:sz="8" w:space="0" w:color="757171"/>
                  <w:left w:val="single" w:sz="8" w:space="0" w:color="757171"/>
                  <w:bottom w:val="single" w:sz="8" w:space="0" w:color="757171"/>
                  <w:right w:val="single" w:sz="8" w:space="0" w:color="757171"/>
                </w:tcBorders>
                <w:shd w:val="clear" w:color="000000" w:fill="016574"/>
                <w:noWrap/>
                <w:vAlign w:val="center"/>
                <w:hideMark/>
              </w:tcPr>
              <w:p w14:paraId="2CA45022" w14:textId="77777777" w:rsidR="00054C60" w:rsidRPr="00054C60" w:rsidRDefault="00054C60" w:rsidP="002C6AB9">
                <w:pPr>
                  <w:spacing w:after="0"/>
                  <w:rPr>
                    <w:rFonts w:ascii="Arial" w:eastAsia="Times New Roman" w:hAnsi="Arial" w:cs="Arial"/>
                    <w:b/>
                    <w:bCs/>
                    <w:color w:val="FFFFFF"/>
                    <w:lang w:eastAsia="en-GB"/>
                  </w:rPr>
                </w:pPr>
                <w:r w:rsidRPr="00054C60">
                  <w:rPr>
                    <w:rFonts w:ascii="Arial" w:eastAsia="Times New Roman" w:hAnsi="Arial" w:cs="Arial"/>
                    <w:b/>
                    <w:bCs/>
                    <w:color w:val="FFFFFF"/>
                    <w:lang w:eastAsia="en-GB"/>
                  </w:rPr>
                  <w:t>Total income</w:t>
                </w:r>
              </w:p>
            </w:tc>
            <w:tc>
              <w:tcPr>
                <w:tcW w:w="1740" w:type="dxa"/>
                <w:tcBorders>
                  <w:top w:val="nil"/>
                  <w:left w:val="nil"/>
                  <w:bottom w:val="single" w:sz="8" w:space="0" w:color="757171"/>
                  <w:right w:val="nil"/>
                </w:tcBorders>
                <w:shd w:val="clear" w:color="000000" w:fill="016574"/>
                <w:noWrap/>
                <w:vAlign w:val="center"/>
                <w:hideMark/>
              </w:tcPr>
              <w:p w14:paraId="36A2E891" w14:textId="77777777" w:rsidR="00054C60" w:rsidRPr="00054C60" w:rsidRDefault="00054C60" w:rsidP="002C6AB9">
                <w:pPr>
                  <w:spacing w:after="0"/>
                  <w:jc w:val="right"/>
                  <w:rPr>
                    <w:rFonts w:ascii="Arial" w:eastAsia="Times New Roman" w:hAnsi="Arial" w:cs="Arial"/>
                    <w:b/>
                    <w:bCs/>
                    <w:color w:val="FFFFFF"/>
                    <w:lang w:eastAsia="en-GB"/>
                  </w:rPr>
                </w:pPr>
                <w:r w:rsidRPr="00054C60">
                  <w:rPr>
                    <w:rFonts w:ascii="Arial" w:eastAsia="Times New Roman" w:hAnsi="Arial" w:cs="Arial"/>
                    <w:b/>
                    <w:bCs/>
                    <w:color w:val="FFFFFF"/>
                    <w:lang w:eastAsia="en-GB"/>
                  </w:rPr>
                  <w:t>111,769</w:t>
                </w:r>
              </w:p>
            </w:tc>
            <w:tc>
              <w:tcPr>
                <w:tcW w:w="1720" w:type="dxa"/>
                <w:tcBorders>
                  <w:top w:val="nil"/>
                  <w:left w:val="single" w:sz="8" w:space="0" w:color="757171"/>
                  <w:bottom w:val="single" w:sz="8" w:space="0" w:color="757171"/>
                  <w:right w:val="nil"/>
                </w:tcBorders>
                <w:shd w:val="clear" w:color="000000" w:fill="016574"/>
                <w:noWrap/>
                <w:vAlign w:val="center"/>
                <w:hideMark/>
              </w:tcPr>
              <w:p w14:paraId="22C0CFB4" w14:textId="77777777" w:rsidR="00054C60" w:rsidRPr="00054C60" w:rsidRDefault="00054C60" w:rsidP="002C6AB9">
                <w:pPr>
                  <w:spacing w:after="0"/>
                  <w:jc w:val="right"/>
                  <w:rPr>
                    <w:rFonts w:ascii="Arial" w:eastAsia="Times New Roman" w:hAnsi="Arial" w:cs="Arial"/>
                    <w:b/>
                    <w:bCs/>
                    <w:color w:val="FFFFFF"/>
                    <w:lang w:eastAsia="en-GB"/>
                  </w:rPr>
                </w:pPr>
                <w:r w:rsidRPr="00054C60">
                  <w:rPr>
                    <w:rFonts w:ascii="Arial" w:eastAsia="Times New Roman" w:hAnsi="Arial" w:cs="Arial"/>
                    <w:b/>
                    <w:bCs/>
                    <w:color w:val="FFFFFF"/>
                    <w:lang w:eastAsia="en-GB"/>
                  </w:rPr>
                  <w:t>112,304</w:t>
                </w:r>
              </w:p>
            </w:tc>
            <w:tc>
              <w:tcPr>
                <w:tcW w:w="1640" w:type="dxa"/>
                <w:tcBorders>
                  <w:top w:val="nil"/>
                  <w:left w:val="single" w:sz="8" w:space="0" w:color="757171"/>
                  <w:bottom w:val="single" w:sz="8" w:space="0" w:color="757171"/>
                  <w:right w:val="nil"/>
                </w:tcBorders>
                <w:shd w:val="clear" w:color="000000" w:fill="016574"/>
                <w:noWrap/>
                <w:vAlign w:val="center"/>
                <w:hideMark/>
              </w:tcPr>
              <w:p w14:paraId="59ECFBBD" w14:textId="77777777" w:rsidR="00054C60" w:rsidRPr="00054C60" w:rsidRDefault="00054C60" w:rsidP="002C6AB9">
                <w:pPr>
                  <w:spacing w:after="0"/>
                  <w:jc w:val="right"/>
                  <w:rPr>
                    <w:rFonts w:ascii="Arial" w:eastAsia="Times New Roman" w:hAnsi="Arial" w:cs="Arial"/>
                    <w:b/>
                    <w:bCs/>
                    <w:color w:val="FFFFFF"/>
                    <w:lang w:eastAsia="en-GB"/>
                  </w:rPr>
                </w:pPr>
                <w:r w:rsidRPr="00054C60">
                  <w:rPr>
                    <w:rFonts w:ascii="Arial" w:eastAsia="Times New Roman" w:hAnsi="Arial" w:cs="Arial"/>
                    <w:b/>
                    <w:bCs/>
                    <w:color w:val="FFFFFF"/>
                    <w:lang w:eastAsia="en-GB"/>
                  </w:rPr>
                  <w:t>(535)</w:t>
                </w:r>
              </w:p>
            </w:tc>
          </w:tr>
          <w:tr w:rsidR="00054C60" w:rsidRPr="00054C60" w14:paraId="6BE93879" w14:textId="77777777" w:rsidTr="006F3FC5">
            <w:trPr>
              <w:trHeight w:val="310"/>
            </w:trPr>
            <w:tc>
              <w:tcPr>
                <w:tcW w:w="4420" w:type="dxa"/>
                <w:tcBorders>
                  <w:top w:val="nil"/>
                  <w:left w:val="single" w:sz="8" w:space="0" w:color="757171"/>
                  <w:bottom w:val="nil"/>
                  <w:right w:val="single" w:sz="8" w:space="0" w:color="757171"/>
                </w:tcBorders>
                <w:noWrap/>
                <w:vAlign w:val="center"/>
                <w:hideMark/>
              </w:tcPr>
              <w:p w14:paraId="6D0B1781" w14:textId="77777777" w:rsidR="00054C60" w:rsidRPr="00054C60" w:rsidRDefault="00054C60" w:rsidP="002C6AB9">
                <w:pPr>
                  <w:spacing w:after="0"/>
                  <w:rPr>
                    <w:rFonts w:ascii="Arial" w:eastAsia="Times New Roman" w:hAnsi="Arial" w:cs="Arial"/>
                    <w:lang w:eastAsia="en-GB"/>
                  </w:rPr>
                </w:pPr>
                <w:r w:rsidRPr="00054C60">
                  <w:rPr>
                    <w:rFonts w:ascii="Arial" w:eastAsia="Times New Roman" w:hAnsi="Arial" w:cs="Arial"/>
                    <w:lang w:eastAsia="en-GB"/>
                  </w:rPr>
                  <w:t>Staff costs</w:t>
                </w:r>
              </w:p>
            </w:tc>
            <w:tc>
              <w:tcPr>
                <w:tcW w:w="1740" w:type="dxa"/>
                <w:tcBorders>
                  <w:top w:val="nil"/>
                  <w:left w:val="nil"/>
                  <w:bottom w:val="nil"/>
                  <w:right w:val="single" w:sz="8" w:space="0" w:color="757171"/>
                </w:tcBorders>
                <w:noWrap/>
                <w:vAlign w:val="center"/>
                <w:hideMark/>
              </w:tcPr>
              <w:p w14:paraId="5D919670"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76,311</w:t>
                </w:r>
              </w:p>
            </w:tc>
            <w:tc>
              <w:tcPr>
                <w:tcW w:w="1720" w:type="dxa"/>
                <w:tcBorders>
                  <w:top w:val="nil"/>
                  <w:left w:val="nil"/>
                  <w:bottom w:val="nil"/>
                  <w:right w:val="single" w:sz="8" w:space="0" w:color="757171"/>
                </w:tcBorders>
                <w:noWrap/>
                <w:vAlign w:val="center"/>
                <w:hideMark/>
              </w:tcPr>
              <w:p w14:paraId="35453A27"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75,273</w:t>
                </w:r>
              </w:p>
            </w:tc>
            <w:tc>
              <w:tcPr>
                <w:tcW w:w="1640" w:type="dxa"/>
                <w:tcBorders>
                  <w:top w:val="nil"/>
                  <w:left w:val="nil"/>
                  <w:bottom w:val="nil"/>
                  <w:right w:val="single" w:sz="8" w:space="0" w:color="757171"/>
                </w:tcBorders>
                <w:noWrap/>
                <w:vAlign w:val="center"/>
                <w:hideMark/>
              </w:tcPr>
              <w:p w14:paraId="3BD4C07C"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(1,038)</w:t>
                </w:r>
              </w:p>
            </w:tc>
          </w:tr>
          <w:tr w:rsidR="00054C60" w:rsidRPr="00054C60" w14:paraId="2BF58F7B" w14:textId="77777777" w:rsidTr="006F3FC5">
            <w:trPr>
              <w:trHeight w:val="310"/>
            </w:trPr>
            <w:tc>
              <w:tcPr>
                <w:tcW w:w="4420" w:type="dxa"/>
                <w:tcBorders>
                  <w:top w:val="nil"/>
                  <w:left w:val="single" w:sz="8" w:space="0" w:color="757171"/>
                  <w:bottom w:val="nil"/>
                  <w:right w:val="single" w:sz="8" w:space="0" w:color="757171"/>
                </w:tcBorders>
                <w:noWrap/>
                <w:vAlign w:val="center"/>
                <w:hideMark/>
              </w:tcPr>
              <w:p w14:paraId="6D287B95" w14:textId="77777777" w:rsidR="00054C60" w:rsidRPr="00054C60" w:rsidRDefault="00054C60" w:rsidP="002C6AB9">
                <w:pPr>
                  <w:spacing w:after="0"/>
                  <w:rPr>
                    <w:rFonts w:ascii="Arial" w:eastAsia="Times New Roman" w:hAnsi="Arial" w:cs="Arial"/>
                    <w:lang w:eastAsia="en-GB"/>
                  </w:rPr>
                </w:pPr>
                <w:r w:rsidRPr="00054C60">
                  <w:rPr>
                    <w:rFonts w:ascii="Arial" w:eastAsia="Times New Roman" w:hAnsi="Arial" w:cs="Arial"/>
                    <w:lang w:eastAsia="en-GB"/>
                  </w:rPr>
                  <w:t>Other staff costs</w:t>
                </w:r>
              </w:p>
            </w:tc>
            <w:tc>
              <w:tcPr>
                <w:tcW w:w="1740" w:type="dxa"/>
                <w:tcBorders>
                  <w:top w:val="nil"/>
                  <w:left w:val="nil"/>
                  <w:bottom w:val="nil"/>
                  <w:right w:val="single" w:sz="8" w:space="0" w:color="757171"/>
                </w:tcBorders>
                <w:noWrap/>
                <w:vAlign w:val="center"/>
                <w:hideMark/>
              </w:tcPr>
              <w:p w14:paraId="4519E642"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1,386</w:t>
                </w:r>
              </w:p>
            </w:tc>
            <w:tc>
              <w:tcPr>
                <w:tcW w:w="1720" w:type="dxa"/>
                <w:tcBorders>
                  <w:top w:val="nil"/>
                  <w:left w:val="nil"/>
                  <w:bottom w:val="nil"/>
                  <w:right w:val="single" w:sz="8" w:space="0" w:color="757171"/>
                </w:tcBorders>
                <w:noWrap/>
                <w:vAlign w:val="center"/>
                <w:hideMark/>
              </w:tcPr>
              <w:p w14:paraId="0DA357CF"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943</w:t>
                </w:r>
              </w:p>
            </w:tc>
            <w:tc>
              <w:tcPr>
                <w:tcW w:w="1640" w:type="dxa"/>
                <w:tcBorders>
                  <w:top w:val="nil"/>
                  <w:left w:val="nil"/>
                  <w:bottom w:val="nil"/>
                  <w:right w:val="single" w:sz="8" w:space="0" w:color="757171"/>
                </w:tcBorders>
                <w:noWrap/>
                <w:vAlign w:val="center"/>
                <w:hideMark/>
              </w:tcPr>
              <w:p w14:paraId="4E6C4DE8"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(443)</w:t>
                </w:r>
              </w:p>
            </w:tc>
          </w:tr>
          <w:tr w:rsidR="00054C60" w:rsidRPr="00054C60" w14:paraId="2806F840" w14:textId="77777777" w:rsidTr="006F3FC5">
            <w:trPr>
              <w:trHeight w:val="310"/>
            </w:trPr>
            <w:tc>
              <w:tcPr>
                <w:tcW w:w="4420" w:type="dxa"/>
                <w:tcBorders>
                  <w:top w:val="nil"/>
                  <w:left w:val="single" w:sz="8" w:space="0" w:color="757171"/>
                  <w:bottom w:val="nil"/>
                  <w:right w:val="single" w:sz="8" w:space="0" w:color="757171"/>
                </w:tcBorders>
                <w:noWrap/>
                <w:vAlign w:val="center"/>
                <w:hideMark/>
              </w:tcPr>
              <w:p w14:paraId="068E1F21" w14:textId="77777777" w:rsidR="00054C60" w:rsidRPr="00054C60" w:rsidRDefault="00054C60" w:rsidP="002C6AB9">
                <w:pPr>
                  <w:spacing w:after="0"/>
                  <w:rPr>
                    <w:rFonts w:ascii="Arial" w:eastAsia="Times New Roman" w:hAnsi="Arial" w:cs="Arial"/>
                    <w:lang w:eastAsia="en-GB"/>
                  </w:rPr>
                </w:pPr>
                <w:r w:rsidRPr="00054C60">
                  <w:rPr>
                    <w:rFonts w:ascii="Arial" w:eastAsia="Times New Roman" w:hAnsi="Arial" w:cs="Arial"/>
                    <w:lang w:eastAsia="en-GB"/>
                  </w:rPr>
                  <w:t>Transport costs</w:t>
                </w:r>
              </w:p>
            </w:tc>
            <w:tc>
              <w:tcPr>
                <w:tcW w:w="1740" w:type="dxa"/>
                <w:tcBorders>
                  <w:top w:val="nil"/>
                  <w:left w:val="nil"/>
                  <w:bottom w:val="nil"/>
                  <w:right w:val="single" w:sz="8" w:space="0" w:color="757171"/>
                </w:tcBorders>
                <w:noWrap/>
                <w:vAlign w:val="center"/>
                <w:hideMark/>
              </w:tcPr>
              <w:p w14:paraId="154CE65E"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916</w:t>
                </w:r>
              </w:p>
            </w:tc>
            <w:tc>
              <w:tcPr>
                <w:tcW w:w="1720" w:type="dxa"/>
                <w:tcBorders>
                  <w:top w:val="nil"/>
                  <w:left w:val="nil"/>
                  <w:bottom w:val="nil"/>
                  <w:right w:val="single" w:sz="8" w:space="0" w:color="757171"/>
                </w:tcBorders>
                <w:noWrap/>
                <w:vAlign w:val="center"/>
                <w:hideMark/>
              </w:tcPr>
              <w:p w14:paraId="422E7286"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1,050</w:t>
                </w:r>
              </w:p>
            </w:tc>
            <w:tc>
              <w:tcPr>
                <w:tcW w:w="1640" w:type="dxa"/>
                <w:tcBorders>
                  <w:top w:val="nil"/>
                  <w:left w:val="nil"/>
                  <w:bottom w:val="nil"/>
                  <w:right w:val="single" w:sz="8" w:space="0" w:color="757171"/>
                </w:tcBorders>
                <w:noWrap/>
                <w:vAlign w:val="center"/>
                <w:hideMark/>
              </w:tcPr>
              <w:p w14:paraId="0AEC585F"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134</w:t>
                </w:r>
              </w:p>
            </w:tc>
          </w:tr>
          <w:tr w:rsidR="00054C60" w:rsidRPr="00054C60" w14:paraId="47C33CED" w14:textId="77777777" w:rsidTr="006F3FC5">
            <w:trPr>
              <w:trHeight w:val="310"/>
            </w:trPr>
            <w:tc>
              <w:tcPr>
                <w:tcW w:w="4420" w:type="dxa"/>
                <w:tcBorders>
                  <w:top w:val="nil"/>
                  <w:left w:val="single" w:sz="8" w:space="0" w:color="757171"/>
                  <w:bottom w:val="nil"/>
                  <w:right w:val="single" w:sz="8" w:space="0" w:color="757171"/>
                </w:tcBorders>
                <w:noWrap/>
                <w:vAlign w:val="center"/>
                <w:hideMark/>
              </w:tcPr>
              <w:p w14:paraId="2E6E6A85" w14:textId="77777777" w:rsidR="00054C60" w:rsidRPr="00054C60" w:rsidRDefault="00054C60" w:rsidP="002C6AB9">
                <w:pPr>
                  <w:spacing w:after="0"/>
                  <w:rPr>
                    <w:rFonts w:ascii="Arial" w:eastAsia="Times New Roman" w:hAnsi="Arial" w:cs="Arial"/>
                    <w:lang w:eastAsia="en-GB"/>
                  </w:rPr>
                </w:pPr>
                <w:r w:rsidRPr="00054C60">
                  <w:rPr>
                    <w:rFonts w:ascii="Arial" w:eastAsia="Times New Roman" w:hAnsi="Arial" w:cs="Arial"/>
                    <w:lang w:eastAsia="en-GB"/>
                  </w:rPr>
                  <w:t>Supplies &amp; services</w:t>
                </w:r>
              </w:p>
            </w:tc>
            <w:tc>
              <w:tcPr>
                <w:tcW w:w="1740" w:type="dxa"/>
                <w:tcBorders>
                  <w:top w:val="nil"/>
                  <w:left w:val="nil"/>
                  <w:bottom w:val="nil"/>
                  <w:right w:val="single" w:sz="8" w:space="0" w:color="757171"/>
                </w:tcBorders>
                <w:noWrap/>
                <w:vAlign w:val="center"/>
                <w:hideMark/>
              </w:tcPr>
              <w:p w14:paraId="5CF93DCA"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20,921</w:t>
                </w:r>
              </w:p>
            </w:tc>
            <w:tc>
              <w:tcPr>
                <w:tcW w:w="1720" w:type="dxa"/>
                <w:tcBorders>
                  <w:top w:val="nil"/>
                  <w:left w:val="nil"/>
                  <w:bottom w:val="nil"/>
                  <w:right w:val="single" w:sz="8" w:space="0" w:color="757171"/>
                </w:tcBorders>
                <w:noWrap/>
                <w:vAlign w:val="center"/>
                <w:hideMark/>
              </w:tcPr>
              <w:p w14:paraId="60C4678A"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23,119</w:t>
                </w:r>
              </w:p>
            </w:tc>
            <w:tc>
              <w:tcPr>
                <w:tcW w:w="1640" w:type="dxa"/>
                <w:tcBorders>
                  <w:top w:val="nil"/>
                  <w:left w:val="nil"/>
                  <w:bottom w:val="nil"/>
                  <w:right w:val="single" w:sz="8" w:space="0" w:color="757171"/>
                </w:tcBorders>
                <w:noWrap/>
                <w:vAlign w:val="center"/>
                <w:hideMark/>
              </w:tcPr>
              <w:p w14:paraId="69C50E52"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2,198</w:t>
                </w:r>
              </w:p>
            </w:tc>
          </w:tr>
          <w:tr w:rsidR="00054C60" w:rsidRPr="00054C60" w14:paraId="296C0AF1" w14:textId="77777777" w:rsidTr="006F3FC5">
            <w:trPr>
              <w:trHeight w:val="310"/>
            </w:trPr>
            <w:tc>
              <w:tcPr>
                <w:tcW w:w="4420" w:type="dxa"/>
                <w:tcBorders>
                  <w:top w:val="nil"/>
                  <w:left w:val="single" w:sz="8" w:space="0" w:color="757171"/>
                  <w:bottom w:val="nil"/>
                  <w:right w:val="single" w:sz="8" w:space="0" w:color="757171"/>
                </w:tcBorders>
                <w:noWrap/>
                <w:vAlign w:val="center"/>
                <w:hideMark/>
              </w:tcPr>
              <w:p w14:paraId="28052179" w14:textId="77777777" w:rsidR="00054C60" w:rsidRPr="00054C60" w:rsidRDefault="00054C60" w:rsidP="002C6AB9">
                <w:pPr>
                  <w:spacing w:after="0"/>
                  <w:rPr>
                    <w:rFonts w:ascii="Arial" w:eastAsia="Times New Roman" w:hAnsi="Arial" w:cs="Arial"/>
                    <w:lang w:eastAsia="en-GB"/>
                  </w:rPr>
                </w:pPr>
                <w:r w:rsidRPr="00054C60">
                  <w:rPr>
                    <w:rFonts w:ascii="Arial" w:eastAsia="Times New Roman" w:hAnsi="Arial" w:cs="Arial"/>
                    <w:lang w:eastAsia="en-GB"/>
                  </w:rPr>
                  <w:t>Property costs</w:t>
                </w:r>
              </w:p>
            </w:tc>
            <w:tc>
              <w:tcPr>
                <w:tcW w:w="1740" w:type="dxa"/>
                <w:tcBorders>
                  <w:top w:val="nil"/>
                  <w:left w:val="nil"/>
                  <w:bottom w:val="nil"/>
                  <w:right w:val="single" w:sz="8" w:space="0" w:color="757171"/>
                </w:tcBorders>
                <w:noWrap/>
                <w:vAlign w:val="center"/>
                <w:hideMark/>
              </w:tcPr>
              <w:p w14:paraId="67E1DC79"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5,244</w:t>
                </w:r>
              </w:p>
            </w:tc>
            <w:tc>
              <w:tcPr>
                <w:tcW w:w="1720" w:type="dxa"/>
                <w:tcBorders>
                  <w:top w:val="nil"/>
                  <w:left w:val="nil"/>
                  <w:bottom w:val="nil"/>
                  <w:right w:val="single" w:sz="8" w:space="0" w:color="757171"/>
                </w:tcBorders>
                <w:noWrap/>
                <w:vAlign w:val="center"/>
                <w:hideMark/>
              </w:tcPr>
              <w:p w14:paraId="5ED3ECAA"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4,539</w:t>
                </w:r>
              </w:p>
            </w:tc>
            <w:tc>
              <w:tcPr>
                <w:tcW w:w="1640" w:type="dxa"/>
                <w:tcBorders>
                  <w:top w:val="nil"/>
                  <w:left w:val="nil"/>
                  <w:bottom w:val="nil"/>
                  <w:right w:val="single" w:sz="8" w:space="0" w:color="757171"/>
                </w:tcBorders>
                <w:noWrap/>
                <w:vAlign w:val="center"/>
                <w:hideMark/>
              </w:tcPr>
              <w:p w14:paraId="032B2661"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(705)</w:t>
                </w:r>
              </w:p>
            </w:tc>
          </w:tr>
          <w:tr w:rsidR="00054C60" w:rsidRPr="00054C60" w14:paraId="1B5EFB23" w14:textId="77777777" w:rsidTr="006F3FC5">
            <w:trPr>
              <w:trHeight w:val="310"/>
            </w:trPr>
            <w:tc>
              <w:tcPr>
                <w:tcW w:w="4420" w:type="dxa"/>
                <w:tcBorders>
                  <w:top w:val="nil"/>
                  <w:left w:val="single" w:sz="8" w:space="0" w:color="757171"/>
                  <w:bottom w:val="nil"/>
                  <w:right w:val="single" w:sz="8" w:space="0" w:color="757171"/>
                </w:tcBorders>
                <w:noWrap/>
                <w:vAlign w:val="center"/>
                <w:hideMark/>
              </w:tcPr>
              <w:p w14:paraId="30EC7FC5" w14:textId="77777777" w:rsidR="00054C60" w:rsidRPr="00054C60" w:rsidRDefault="00054C60" w:rsidP="002C6AB9">
                <w:pPr>
                  <w:spacing w:after="0"/>
                  <w:rPr>
                    <w:rFonts w:ascii="Arial" w:eastAsia="Times New Roman" w:hAnsi="Arial" w:cs="Arial"/>
                    <w:lang w:eastAsia="en-GB"/>
                  </w:rPr>
                </w:pPr>
                <w:r w:rsidRPr="00054C60">
                  <w:rPr>
                    <w:rFonts w:ascii="Arial" w:eastAsia="Times New Roman" w:hAnsi="Arial" w:cs="Arial"/>
                    <w:lang w:eastAsia="en-GB"/>
                  </w:rPr>
                  <w:t>Depreciation/impairment</w:t>
                </w:r>
              </w:p>
            </w:tc>
            <w:tc>
              <w:tcPr>
                <w:tcW w:w="1740" w:type="dxa"/>
                <w:tcBorders>
                  <w:top w:val="nil"/>
                  <w:left w:val="nil"/>
                  <w:bottom w:val="nil"/>
                  <w:right w:val="single" w:sz="8" w:space="0" w:color="757171"/>
                </w:tcBorders>
                <w:noWrap/>
                <w:vAlign w:val="center"/>
                <w:hideMark/>
              </w:tcPr>
              <w:p w14:paraId="7BEE663B"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7,380</w:t>
                </w:r>
              </w:p>
            </w:tc>
            <w:tc>
              <w:tcPr>
                <w:tcW w:w="1720" w:type="dxa"/>
                <w:tcBorders>
                  <w:top w:val="nil"/>
                  <w:left w:val="nil"/>
                  <w:bottom w:val="nil"/>
                  <w:right w:val="single" w:sz="8" w:space="0" w:color="757171"/>
                </w:tcBorders>
                <w:noWrap/>
                <w:vAlign w:val="center"/>
                <w:hideMark/>
              </w:tcPr>
              <w:p w14:paraId="03D4D215"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7,380</w:t>
                </w:r>
              </w:p>
            </w:tc>
            <w:tc>
              <w:tcPr>
                <w:tcW w:w="1640" w:type="dxa"/>
                <w:tcBorders>
                  <w:top w:val="nil"/>
                  <w:left w:val="nil"/>
                  <w:bottom w:val="nil"/>
                  <w:right w:val="single" w:sz="8" w:space="0" w:color="757171"/>
                </w:tcBorders>
                <w:noWrap/>
                <w:vAlign w:val="center"/>
                <w:hideMark/>
              </w:tcPr>
              <w:p w14:paraId="168C31CB"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0</w:t>
                </w:r>
              </w:p>
            </w:tc>
          </w:tr>
          <w:tr w:rsidR="00054C60" w:rsidRPr="00054C60" w14:paraId="38F5641A" w14:textId="77777777" w:rsidTr="006F3FC5">
            <w:trPr>
              <w:trHeight w:val="320"/>
            </w:trPr>
            <w:tc>
              <w:tcPr>
                <w:tcW w:w="4420" w:type="dxa"/>
                <w:tcBorders>
                  <w:top w:val="nil"/>
                  <w:left w:val="single" w:sz="8" w:space="0" w:color="757171"/>
                  <w:bottom w:val="nil"/>
                  <w:right w:val="single" w:sz="8" w:space="0" w:color="757171"/>
                </w:tcBorders>
                <w:vAlign w:val="center"/>
                <w:hideMark/>
              </w:tcPr>
              <w:p w14:paraId="25D51EA5" w14:textId="77777777" w:rsidR="00054C60" w:rsidRPr="00054C60" w:rsidRDefault="00054C60" w:rsidP="002C6AB9">
                <w:pPr>
                  <w:spacing w:after="0"/>
                  <w:rPr>
                    <w:rFonts w:ascii="Arial" w:eastAsia="Times New Roman" w:hAnsi="Arial" w:cs="Arial"/>
                    <w:lang w:eastAsia="en-GB"/>
                  </w:rPr>
                </w:pPr>
                <w:r w:rsidRPr="00054C60">
                  <w:rPr>
                    <w:rFonts w:ascii="Arial" w:eastAsia="Times New Roman" w:hAnsi="Arial" w:cs="Arial"/>
                    <w:lang w:eastAsia="en-GB"/>
                  </w:rPr>
                  <w:t>Gain or loss on disposal of assets</w:t>
                </w:r>
              </w:p>
            </w:tc>
            <w:tc>
              <w:tcPr>
                <w:tcW w:w="1740" w:type="dxa"/>
                <w:tcBorders>
                  <w:top w:val="nil"/>
                  <w:left w:val="nil"/>
                  <w:bottom w:val="nil"/>
                  <w:right w:val="nil"/>
                </w:tcBorders>
                <w:noWrap/>
                <w:vAlign w:val="center"/>
                <w:hideMark/>
              </w:tcPr>
              <w:p w14:paraId="7C056ADE"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(430)</w:t>
                </w:r>
              </w:p>
            </w:tc>
            <w:tc>
              <w:tcPr>
                <w:tcW w:w="1720" w:type="dxa"/>
                <w:tcBorders>
                  <w:top w:val="nil"/>
                  <w:left w:val="single" w:sz="8" w:space="0" w:color="757171"/>
                  <w:bottom w:val="nil"/>
                  <w:right w:val="nil"/>
                </w:tcBorders>
                <w:noWrap/>
                <w:vAlign w:val="center"/>
                <w:hideMark/>
              </w:tcPr>
              <w:p w14:paraId="76E1B910"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0</w:t>
                </w:r>
              </w:p>
            </w:tc>
            <w:tc>
              <w:tcPr>
                <w:tcW w:w="1640" w:type="dxa"/>
                <w:tcBorders>
                  <w:top w:val="nil"/>
                  <w:left w:val="single" w:sz="8" w:space="0" w:color="757171"/>
                  <w:bottom w:val="nil"/>
                  <w:right w:val="single" w:sz="8" w:space="0" w:color="757171"/>
                </w:tcBorders>
                <w:noWrap/>
                <w:vAlign w:val="center"/>
                <w:hideMark/>
              </w:tcPr>
              <w:p w14:paraId="4C8582BD" w14:textId="77777777" w:rsidR="00054C60" w:rsidRPr="00054C60" w:rsidRDefault="00054C60" w:rsidP="002C6AB9">
                <w:pPr>
                  <w:spacing w:after="0"/>
                  <w:jc w:val="right"/>
                  <w:rPr>
                    <w:rFonts w:ascii="Arial" w:eastAsia="Times New Roman" w:hAnsi="Arial" w:cs="Arial"/>
                    <w:lang w:eastAsia="en-GB"/>
                  </w:rPr>
                </w:pPr>
                <w:r w:rsidRPr="00054C60">
                  <w:rPr>
                    <w:rFonts w:ascii="Arial" w:eastAsia="Times New Roman" w:hAnsi="Arial" w:cs="Arial"/>
                    <w:lang w:eastAsia="en-GB"/>
                  </w:rPr>
                  <w:t>430</w:t>
                </w:r>
              </w:p>
            </w:tc>
          </w:tr>
          <w:tr w:rsidR="00054C60" w:rsidRPr="00054C60" w14:paraId="6E097C7F" w14:textId="77777777" w:rsidTr="006F3FC5">
            <w:trPr>
              <w:trHeight w:val="320"/>
            </w:trPr>
            <w:tc>
              <w:tcPr>
                <w:tcW w:w="4420" w:type="dxa"/>
                <w:tcBorders>
                  <w:top w:val="nil"/>
                  <w:left w:val="single" w:sz="8" w:space="0" w:color="757171"/>
                  <w:bottom w:val="single" w:sz="8" w:space="0" w:color="757171"/>
                  <w:right w:val="single" w:sz="8" w:space="0" w:color="757171"/>
                </w:tcBorders>
                <w:shd w:val="clear" w:color="000000" w:fill="016574"/>
                <w:noWrap/>
                <w:vAlign w:val="center"/>
                <w:hideMark/>
              </w:tcPr>
              <w:p w14:paraId="390E1250" w14:textId="77777777" w:rsidR="00054C60" w:rsidRPr="00054C60" w:rsidRDefault="00054C60" w:rsidP="002C6AB9">
                <w:pPr>
                  <w:spacing w:after="0"/>
                  <w:rPr>
                    <w:rFonts w:ascii="Arial" w:eastAsia="Times New Roman" w:hAnsi="Arial" w:cs="Arial"/>
                    <w:b/>
                    <w:bCs/>
                    <w:color w:val="FFFFFF"/>
                    <w:lang w:eastAsia="en-GB"/>
                  </w:rPr>
                </w:pPr>
                <w:r w:rsidRPr="00054C60">
                  <w:rPr>
                    <w:rFonts w:ascii="Arial" w:eastAsia="Times New Roman" w:hAnsi="Arial" w:cs="Arial"/>
                    <w:b/>
                    <w:bCs/>
                    <w:color w:val="FFFFFF"/>
                    <w:lang w:eastAsia="en-GB"/>
                  </w:rPr>
                  <w:t>Total operating costs</w:t>
                </w:r>
              </w:p>
            </w:tc>
            <w:tc>
              <w:tcPr>
                <w:tcW w:w="1740" w:type="dxa"/>
                <w:tcBorders>
                  <w:top w:val="nil"/>
                  <w:left w:val="nil"/>
                  <w:bottom w:val="single" w:sz="8" w:space="0" w:color="757171"/>
                  <w:right w:val="nil"/>
                </w:tcBorders>
                <w:shd w:val="clear" w:color="000000" w:fill="016574"/>
                <w:noWrap/>
                <w:vAlign w:val="center"/>
                <w:hideMark/>
              </w:tcPr>
              <w:p w14:paraId="6BE14ADF" w14:textId="77777777" w:rsidR="00054C60" w:rsidRPr="00054C60" w:rsidRDefault="00054C60" w:rsidP="002C6AB9">
                <w:pPr>
                  <w:spacing w:after="0"/>
                  <w:jc w:val="right"/>
                  <w:rPr>
                    <w:rFonts w:ascii="Arial" w:eastAsia="Times New Roman" w:hAnsi="Arial" w:cs="Arial"/>
                    <w:b/>
                    <w:bCs/>
                    <w:color w:val="FFFFFF"/>
                    <w:lang w:eastAsia="en-GB"/>
                  </w:rPr>
                </w:pPr>
                <w:r w:rsidRPr="00054C60">
                  <w:rPr>
                    <w:rFonts w:ascii="Arial" w:eastAsia="Times New Roman" w:hAnsi="Arial" w:cs="Arial"/>
                    <w:b/>
                    <w:bCs/>
                    <w:color w:val="FFFFFF"/>
                    <w:lang w:eastAsia="en-GB"/>
                  </w:rPr>
                  <w:t>111,728</w:t>
                </w:r>
              </w:p>
            </w:tc>
            <w:tc>
              <w:tcPr>
                <w:tcW w:w="1720" w:type="dxa"/>
                <w:tcBorders>
                  <w:top w:val="nil"/>
                  <w:left w:val="single" w:sz="8" w:space="0" w:color="757171"/>
                  <w:bottom w:val="single" w:sz="8" w:space="0" w:color="757171"/>
                  <w:right w:val="nil"/>
                </w:tcBorders>
                <w:shd w:val="clear" w:color="000000" w:fill="016574"/>
                <w:noWrap/>
                <w:vAlign w:val="center"/>
                <w:hideMark/>
              </w:tcPr>
              <w:p w14:paraId="3D02359D" w14:textId="77777777" w:rsidR="00054C60" w:rsidRPr="00054C60" w:rsidRDefault="00054C60" w:rsidP="002C6AB9">
                <w:pPr>
                  <w:spacing w:after="0"/>
                  <w:jc w:val="right"/>
                  <w:rPr>
                    <w:rFonts w:ascii="Arial" w:eastAsia="Times New Roman" w:hAnsi="Arial" w:cs="Arial"/>
                    <w:b/>
                    <w:bCs/>
                    <w:color w:val="FFFFFF"/>
                    <w:lang w:eastAsia="en-GB"/>
                  </w:rPr>
                </w:pPr>
                <w:r w:rsidRPr="00054C60">
                  <w:rPr>
                    <w:rFonts w:ascii="Arial" w:eastAsia="Times New Roman" w:hAnsi="Arial" w:cs="Arial"/>
                    <w:b/>
                    <w:bCs/>
                    <w:color w:val="FFFFFF"/>
                    <w:lang w:eastAsia="en-GB"/>
                  </w:rPr>
                  <w:t>112,304</w:t>
                </w:r>
              </w:p>
            </w:tc>
            <w:tc>
              <w:tcPr>
                <w:tcW w:w="1640" w:type="dxa"/>
                <w:tcBorders>
                  <w:top w:val="single" w:sz="8" w:space="0" w:color="757171"/>
                  <w:left w:val="nil"/>
                  <w:bottom w:val="single" w:sz="8" w:space="0" w:color="757171"/>
                  <w:right w:val="single" w:sz="8" w:space="0" w:color="757171"/>
                </w:tcBorders>
                <w:shd w:val="clear" w:color="000000" w:fill="016574"/>
                <w:noWrap/>
                <w:vAlign w:val="center"/>
                <w:hideMark/>
              </w:tcPr>
              <w:p w14:paraId="18CF9165" w14:textId="77777777" w:rsidR="00054C60" w:rsidRPr="00054C60" w:rsidRDefault="00054C60" w:rsidP="002C6AB9">
                <w:pPr>
                  <w:spacing w:after="0"/>
                  <w:jc w:val="right"/>
                  <w:rPr>
                    <w:rFonts w:ascii="Arial" w:eastAsia="Times New Roman" w:hAnsi="Arial" w:cs="Arial"/>
                    <w:b/>
                    <w:bCs/>
                    <w:color w:val="FFFFFF"/>
                    <w:lang w:eastAsia="en-GB"/>
                  </w:rPr>
                </w:pPr>
                <w:r w:rsidRPr="00054C60">
                  <w:rPr>
                    <w:rFonts w:ascii="Arial" w:eastAsia="Times New Roman" w:hAnsi="Arial" w:cs="Arial"/>
                    <w:b/>
                    <w:bCs/>
                    <w:color w:val="FFFFFF"/>
                    <w:lang w:eastAsia="en-GB"/>
                  </w:rPr>
                  <w:t>576</w:t>
                </w:r>
              </w:p>
            </w:tc>
          </w:tr>
          <w:tr w:rsidR="00054C60" w:rsidRPr="00054C60" w14:paraId="10BD6F3D" w14:textId="77777777" w:rsidTr="006F3FC5">
            <w:trPr>
              <w:trHeight w:val="320"/>
            </w:trPr>
            <w:tc>
              <w:tcPr>
                <w:tcW w:w="4420" w:type="dxa"/>
                <w:tcBorders>
                  <w:top w:val="nil"/>
                  <w:left w:val="single" w:sz="8" w:space="0" w:color="757171"/>
                  <w:bottom w:val="single" w:sz="8" w:space="0" w:color="757171"/>
                  <w:right w:val="single" w:sz="8" w:space="0" w:color="757171"/>
                </w:tcBorders>
                <w:shd w:val="clear" w:color="000000" w:fill="016574"/>
                <w:noWrap/>
                <w:vAlign w:val="center"/>
                <w:hideMark/>
              </w:tcPr>
              <w:p w14:paraId="7CFA05CD" w14:textId="77777777" w:rsidR="00054C60" w:rsidRPr="00054C60" w:rsidRDefault="00054C60" w:rsidP="002C6AB9">
                <w:pPr>
                  <w:spacing w:after="0"/>
                  <w:rPr>
                    <w:rFonts w:ascii="Arial" w:eastAsia="Times New Roman" w:hAnsi="Arial" w:cs="Arial"/>
                    <w:b/>
                    <w:bCs/>
                    <w:color w:val="FFFFFF"/>
                    <w:lang w:eastAsia="en-GB"/>
                  </w:rPr>
                </w:pPr>
                <w:r w:rsidRPr="00054C60">
                  <w:rPr>
                    <w:rFonts w:ascii="Arial" w:eastAsia="Times New Roman" w:hAnsi="Arial" w:cs="Arial"/>
                    <w:b/>
                    <w:bCs/>
                    <w:color w:val="FFFFFF"/>
                    <w:lang w:eastAsia="en-GB"/>
                  </w:rPr>
                  <w:t>Operating surplus/ (deficit)</w:t>
                </w:r>
              </w:p>
            </w:tc>
            <w:tc>
              <w:tcPr>
                <w:tcW w:w="1740" w:type="dxa"/>
                <w:tcBorders>
                  <w:top w:val="nil"/>
                  <w:left w:val="nil"/>
                  <w:bottom w:val="single" w:sz="8" w:space="0" w:color="757171"/>
                  <w:right w:val="nil"/>
                </w:tcBorders>
                <w:shd w:val="clear" w:color="000000" w:fill="016574"/>
                <w:noWrap/>
                <w:vAlign w:val="center"/>
                <w:hideMark/>
              </w:tcPr>
              <w:p w14:paraId="1EBD7872" w14:textId="77777777" w:rsidR="00054C60" w:rsidRPr="00054C60" w:rsidRDefault="00054C60" w:rsidP="002C6AB9">
                <w:pPr>
                  <w:spacing w:after="0"/>
                  <w:jc w:val="right"/>
                  <w:rPr>
                    <w:rFonts w:ascii="Arial" w:eastAsia="Times New Roman" w:hAnsi="Arial" w:cs="Arial"/>
                    <w:b/>
                    <w:bCs/>
                    <w:color w:val="FFFFFF"/>
                    <w:lang w:eastAsia="en-GB"/>
                  </w:rPr>
                </w:pPr>
                <w:r w:rsidRPr="00054C60">
                  <w:rPr>
                    <w:rFonts w:ascii="Arial" w:eastAsia="Times New Roman" w:hAnsi="Arial" w:cs="Arial"/>
                    <w:b/>
                    <w:bCs/>
                    <w:color w:val="FFFFFF"/>
                    <w:lang w:eastAsia="en-GB"/>
                  </w:rPr>
                  <w:t>41</w:t>
                </w:r>
              </w:p>
            </w:tc>
            <w:tc>
              <w:tcPr>
                <w:tcW w:w="1720" w:type="dxa"/>
                <w:tcBorders>
                  <w:top w:val="nil"/>
                  <w:left w:val="single" w:sz="8" w:space="0" w:color="757171"/>
                  <w:bottom w:val="single" w:sz="8" w:space="0" w:color="757171"/>
                  <w:right w:val="nil"/>
                </w:tcBorders>
                <w:shd w:val="clear" w:color="000000" w:fill="016574"/>
                <w:noWrap/>
                <w:vAlign w:val="center"/>
                <w:hideMark/>
              </w:tcPr>
              <w:p w14:paraId="65C26156" w14:textId="77777777" w:rsidR="00054C60" w:rsidRPr="00054C60" w:rsidRDefault="00054C60" w:rsidP="002C6AB9">
                <w:pPr>
                  <w:spacing w:after="0"/>
                  <w:jc w:val="right"/>
                  <w:rPr>
                    <w:rFonts w:ascii="Arial" w:eastAsia="Times New Roman" w:hAnsi="Arial" w:cs="Arial"/>
                    <w:b/>
                    <w:bCs/>
                    <w:color w:val="FFFFFF"/>
                    <w:lang w:eastAsia="en-GB"/>
                  </w:rPr>
                </w:pPr>
                <w:r w:rsidRPr="00054C60">
                  <w:rPr>
                    <w:rFonts w:ascii="Arial" w:eastAsia="Times New Roman" w:hAnsi="Arial" w:cs="Arial"/>
                    <w:b/>
                    <w:bCs/>
                    <w:color w:val="FFFFFF"/>
                    <w:lang w:eastAsia="en-GB"/>
                  </w:rPr>
                  <w:t>0</w:t>
                </w:r>
              </w:p>
            </w:tc>
            <w:tc>
              <w:tcPr>
                <w:tcW w:w="1640" w:type="dxa"/>
                <w:tcBorders>
                  <w:top w:val="nil"/>
                  <w:left w:val="single" w:sz="8" w:space="0" w:color="757171"/>
                  <w:bottom w:val="single" w:sz="8" w:space="0" w:color="757171"/>
                  <w:right w:val="nil"/>
                </w:tcBorders>
                <w:shd w:val="clear" w:color="000000" w:fill="016574"/>
                <w:noWrap/>
                <w:vAlign w:val="center"/>
                <w:hideMark/>
              </w:tcPr>
              <w:p w14:paraId="6D1D1BB9" w14:textId="77777777" w:rsidR="00054C60" w:rsidRPr="00054C60" w:rsidRDefault="00054C60" w:rsidP="002C6AB9">
                <w:pPr>
                  <w:spacing w:after="0"/>
                  <w:jc w:val="right"/>
                  <w:rPr>
                    <w:rFonts w:ascii="Arial" w:eastAsia="Times New Roman" w:hAnsi="Arial" w:cs="Arial"/>
                    <w:b/>
                    <w:bCs/>
                    <w:color w:val="FFFFFF"/>
                    <w:lang w:eastAsia="en-GB"/>
                  </w:rPr>
                </w:pPr>
                <w:r w:rsidRPr="00054C60">
                  <w:rPr>
                    <w:rFonts w:ascii="Arial" w:eastAsia="Times New Roman" w:hAnsi="Arial" w:cs="Arial"/>
                    <w:b/>
                    <w:bCs/>
                    <w:color w:val="FFFFFF"/>
                    <w:lang w:eastAsia="en-GB"/>
                  </w:rPr>
                  <w:t>41</w:t>
                </w:r>
              </w:p>
            </w:tc>
          </w:tr>
        </w:tbl>
        <w:p w14:paraId="77FFECCC" w14:textId="58BA1CF1" w:rsidR="00A74FDB" w:rsidRPr="00A74FDB" w:rsidRDefault="00A74FDB" w:rsidP="00A74FDB"/>
        <w:p w14:paraId="10735444" w14:textId="669F42A8" w:rsidR="00AD788B" w:rsidRPr="0099632F" w:rsidRDefault="00AD788B" w:rsidP="0099632F">
          <w:pPr>
            <w:pStyle w:val="Heading3"/>
            <w:numPr>
              <w:ilvl w:val="0"/>
              <w:numId w:val="3"/>
            </w:numPr>
            <w:ind w:left="426" w:hanging="426"/>
            <w:rPr>
              <w:rStyle w:val="normaltextrun"/>
            </w:rPr>
          </w:pPr>
          <w:r w:rsidRPr="00712063">
            <w:rPr>
              <w:rStyle w:val="normaltextrun"/>
            </w:rPr>
            <w:t>Introduction</w:t>
          </w:r>
          <w:r w:rsidRPr="0099632F">
            <w:rPr>
              <w:rStyle w:val="normaltextrun"/>
            </w:rPr>
            <w:t> </w:t>
          </w:r>
        </w:p>
        <w:p w14:paraId="6662061C" w14:textId="451CE657" w:rsidR="0046472F" w:rsidRDefault="0046472F" w:rsidP="0004549E">
          <w:pPr>
            <w:pStyle w:val="ListParagraph"/>
            <w:widowControl w:val="0"/>
            <w:numPr>
              <w:ilvl w:val="1"/>
              <w:numId w:val="1"/>
            </w:numPr>
            <w:spacing w:after="120"/>
            <w:ind w:left="1077" w:hanging="720"/>
            <w:contextualSpacing w:val="0"/>
          </w:pPr>
          <w:bookmarkStart w:id="2" w:name="_Hlk121845523"/>
          <w:proofErr w:type="gramStart"/>
          <w:r>
            <w:t>At</w:t>
          </w:r>
          <w:proofErr w:type="gramEnd"/>
          <w:r>
            <w:t xml:space="preserve"> </w:t>
          </w:r>
          <w:r w:rsidR="002848B3">
            <w:t>March</w:t>
          </w:r>
          <w:r>
            <w:t xml:space="preserve">, </w:t>
          </w:r>
          <w:r w:rsidR="00BA428A">
            <w:t xml:space="preserve">there is a </w:t>
          </w:r>
          <w:r w:rsidR="002848B3">
            <w:t xml:space="preserve">net </w:t>
          </w:r>
          <w:r w:rsidR="00BA428A">
            <w:t>underspend of £0.0</w:t>
          </w:r>
          <w:r w:rsidR="0059680D">
            <w:t>41</w:t>
          </w:r>
          <w:r w:rsidR="00BA428A">
            <w:t>m</w:t>
          </w:r>
          <w:r w:rsidR="002848B3">
            <w:t xml:space="preserve">. This reflects an </w:t>
          </w:r>
          <w:r w:rsidR="00B2009F">
            <w:t>operating</w:t>
          </w:r>
          <w:r w:rsidR="002848B3">
            <w:t xml:space="preserve"> cost</w:t>
          </w:r>
          <w:r w:rsidR="00B2009F">
            <w:t xml:space="preserve"> underspend of £576k, offset by reduced income of £535k.</w:t>
          </w:r>
          <w:r>
            <w:t xml:space="preserve"> </w:t>
          </w:r>
        </w:p>
        <w:bookmarkEnd w:id="2"/>
        <w:p w14:paraId="608D50F6" w14:textId="77777777" w:rsidR="00B47C44" w:rsidRDefault="00B47C44" w:rsidP="00B47C44">
          <w:pPr>
            <w:pStyle w:val="ListParagraph"/>
            <w:widowControl w:val="0"/>
            <w:spacing w:after="120"/>
            <w:ind w:left="1077"/>
            <w:contextualSpacing w:val="0"/>
          </w:pPr>
        </w:p>
        <w:p w14:paraId="3B0D1601" w14:textId="0F2249F4" w:rsidR="002A685F" w:rsidRDefault="00C44EE3" w:rsidP="0004549E">
          <w:pPr>
            <w:pStyle w:val="Heading3"/>
            <w:numPr>
              <w:ilvl w:val="0"/>
              <w:numId w:val="3"/>
            </w:numPr>
            <w:ind w:left="426" w:hanging="426"/>
            <w:rPr>
              <w:rStyle w:val="normaltextrun"/>
            </w:rPr>
          </w:pPr>
          <w:r>
            <w:rPr>
              <w:rStyle w:val="normaltextrun"/>
            </w:rPr>
            <w:t>Total income - £11</w:t>
          </w:r>
          <w:r w:rsidR="00AD1704">
            <w:rPr>
              <w:rStyle w:val="normaltextrun"/>
            </w:rPr>
            <w:t>1.8</w:t>
          </w:r>
          <w:r>
            <w:rPr>
              <w:rStyle w:val="normaltextrun"/>
            </w:rPr>
            <w:t>m</w:t>
          </w:r>
        </w:p>
        <w:p w14:paraId="1B72D163" w14:textId="77777777" w:rsidR="008C5D28" w:rsidRDefault="00C57B27" w:rsidP="008C5D28">
          <w:pPr>
            <w:pStyle w:val="ListParagraph"/>
            <w:numPr>
              <w:ilvl w:val="1"/>
              <w:numId w:val="4"/>
            </w:numPr>
            <w:spacing w:after="120"/>
            <w:ind w:left="1077" w:hanging="720"/>
            <w:contextualSpacing w:val="0"/>
          </w:pPr>
          <w:r>
            <w:t xml:space="preserve">Total income for the full year </w:t>
          </w:r>
          <w:r w:rsidR="00BA428A">
            <w:t>was</w:t>
          </w:r>
          <w:r>
            <w:t xml:space="preserve"> £11</w:t>
          </w:r>
          <w:r w:rsidR="00AD1704">
            <w:t>1</w:t>
          </w:r>
          <w:r>
            <w:t>.</w:t>
          </w:r>
          <w:r w:rsidR="00AD1704">
            <w:t>8</w:t>
          </w:r>
          <w:r>
            <w:t>m, which is £0.</w:t>
          </w:r>
          <w:r w:rsidR="00AD1704">
            <w:t>5</w:t>
          </w:r>
          <w:r>
            <w:t xml:space="preserve">m </w:t>
          </w:r>
          <w:r w:rsidR="00AD1704">
            <w:t>below the</w:t>
          </w:r>
          <w:r>
            <w:t xml:space="preserve"> full </w:t>
          </w:r>
          <w:r w:rsidRPr="00C75BB9">
            <w:t xml:space="preserve">year budget. </w:t>
          </w:r>
          <w:r w:rsidR="008C5D28">
            <w:t>This is due to:</w:t>
          </w:r>
        </w:p>
        <w:p w14:paraId="1ED7832E" w14:textId="197A51DB" w:rsidR="008C5D28" w:rsidRDefault="008C5D28" w:rsidP="008C5D28">
          <w:pPr>
            <w:pStyle w:val="ListParagraph"/>
            <w:numPr>
              <w:ilvl w:val="2"/>
              <w:numId w:val="4"/>
            </w:numPr>
            <w:spacing w:after="120"/>
            <w:contextualSpacing w:val="0"/>
          </w:pPr>
          <w:r>
            <w:t>£638k - Charging Scheme income lower than budget offset by</w:t>
          </w:r>
          <w:r w:rsidR="00F1141D">
            <w:t>.</w:t>
          </w:r>
        </w:p>
        <w:p w14:paraId="4CD048BD" w14:textId="7DA16D1B" w:rsidR="008C5D28" w:rsidRDefault="008C5D28" w:rsidP="008C5D28">
          <w:pPr>
            <w:pStyle w:val="ListParagraph"/>
            <w:numPr>
              <w:ilvl w:val="2"/>
              <w:numId w:val="4"/>
            </w:numPr>
            <w:spacing w:after="120"/>
            <w:contextualSpacing w:val="0"/>
          </w:pPr>
          <w:r>
            <w:t xml:space="preserve">£103k – </w:t>
          </w:r>
          <w:r w:rsidR="00F1141D">
            <w:t>O</w:t>
          </w:r>
          <w:r>
            <w:t>ther income higher than budget.</w:t>
          </w:r>
        </w:p>
        <w:p w14:paraId="04E31DB1" w14:textId="6D834A02" w:rsidR="00C57B27" w:rsidRDefault="00C57B27" w:rsidP="008C5D28">
          <w:pPr>
            <w:pStyle w:val="ListParagraph"/>
            <w:spacing w:after="120"/>
            <w:ind w:left="1077"/>
          </w:pPr>
        </w:p>
        <w:p w14:paraId="4558DB6D" w14:textId="7F3B4A59" w:rsidR="00B47C44" w:rsidRDefault="00B47C44" w:rsidP="009C69C1">
          <w:pPr>
            <w:pStyle w:val="Heading4"/>
          </w:pPr>
          <w:r>
            <w:lastRenderedPageBreak/>
            <w:t>Charging Scheme income - £56.</w:t>
          </w:r>
          <w:r w:rsidR="001629DA">
            <w:t>4</w:t>
          </w:r>
          <w:r>
            <w:t>m</w:t>
          </w:r>
        </w:p>
        <w:p w14:paraId="4A6C9FFF" w14:textId="6054E7AE" w:rsidR="005479ED" w:rsidRDefault="005479ED" w:rsidP="008962EB">
          <w:pPr>
            <w:pStyle w:val="ListParagraph"/>
            <w:numPr>
              <w:ilvl w:val="1"/>
              <w:numId w:val="4"/>
            </w:numPr>
            <w:spacing w:after="120"/>
            <w:ind w:left="1077" w:hanging="720"/>
            <w:contextualSpacing w:val="0"/>
          </w:pPr>
          <w:r>
            <w:t xml:space="preserve">The full year charging scheme income </w:t>
          </w:r>
          <w:r w:rsidR="005C1395">
            <w:t>for the year was</w:t>
          </w:r>
          <w:r>
            <w:t xml:space="preserve"> £5</w:t>
          </w:r>
          <w:r w:rsidR="008C5D28">
            <w:t>6.4</w:t>
          </w:r>
          <w:r>
            <w:t>m, which is £0.</w:t>
          </w:r>
          <w:r w:rsidR="001629DA">
            <w:t>6</w:t>
          </w:r>
          <w:r>
            <w:t>m lower than budget.</w:t>
          </w:r>
          <w:r w:rsidR="008962EB">
            <w:t xml:space="preserve"> </w:t>
          </w:r>
          <w:r>
            <w:t>The net variance includes:</w:t>
          </w:r>
        </w:p>
        <w:p w14:paraId="4C8C7B21" w14:textId="77777777" w:rsidR="008870F4" w:rsidRPr="004C0807" w:rsidRDefault="008870F4" w:rsidP="004C0807">
          <w:pPr>
            <w:pStyle w:val="ListParagraph"/>
            <w:numPr>
              <w:ilvl w:val="2"/>
              <w:numId w:val="4"/>
            </w:numPr>
            <w:spacing w:after="120"/>
            <w:contextualSpacing w:val="0"/>
          </w:pPr>
          <w:r w:rsidRPr="004C0807">
            <w:t>£85k under on application income (full year budget of £7.1m).</w:t>
          </w:r>
        </w:p>
        <w:p w14:paraId="445C8072" w14:textId="77777777" w:rsidR="008870F4" w:rsidRDefault="008870F4" w:rsidP="004C0807">
          <w:pPr>
            <w:pStyle w:val="ListParagraph"/>
            <w:numPr>
              <w:ilvl w:val="2"/>
              <w:numId w:val="4"/>
            </w:numPr>
            <w:spacing w:after="120"/>
            <w:contextualSpacing w:val="0"/>
          </w:pPr>
          <w:r w:rsidRPr="004C0807">
            <w:t>£553k under subsistence income (full year budget of £49.9m).</w:t>
          </w:r>
        </w:p>
        <w:p w14:paraId="7D130910" w14:textId="77777777" w:rsidR="00913704" w:rsidRPr="00933502" w:rsidRDefault="00913704" w:rsidP="00913704">
          <w:pPr>
            <w:pStyle w:val="ListParagraph"/>
            <w:spacing w:after="120"/>
            <w:ind w:left="1080"/>
            <w:contextualSpacing w:val="0"/>
          </w:pPr>
        </w:p>
        <w:p w14:paraId="2BB87EFD" w14:textId="6D624BFC" w:rsidR="008870F4" w:rsidRDefault="008870F4" w:rsidP="00CB6ED1">
          <w:pPr>
            <w:pStyle w:val="ListParagraph"/>
            <w:numPr>
              <w:ilvl w:val="1"/>
              <w:numId w:val="4"/>
            </w:numPr>
            <w:spacing w:after="120"/>
            <w:ind w:left="1077" w:hanging="720"/>
            <w:contextualSpacing w:val="0"/>
          </w:pPr>
          <w:r w:rsidRPr="00913704">
            <w:t xml:space="preserve">The reduction in income is mainly due to in year changes in licences, mothballed and surrendered licences across all media. These reductions are currently being offset by increased income from </w:t>
          </w:r>
          <w:r w:rsidR="00ED65CA">
            <w:t>Radioactive Substances Activity (</w:t>
          </w:r>
          <w:r w:rsidRPr="00913704">
            <w:t>RSA</w:t>
          </w:r>
          <w:r w:rsidR="00ED65CA">
            <w:t>)</w:t>
          </w:r>
          <w:r w:rsidRPr="00913704">
            <w:t xml:space="preserve"> charges.</w:t>
          </w:r>
        </w:p>
        <w:p w14:paraId="13916997" w14:textId="77777777" w:rsidR="008870F4" w:rsidRPr="00884BF2" w:rsidRDefault="008870F4" w:rsidP="001A104D">
          <w:pPr>
            <w:pStyle w:val="ListParagraph"/>
            <w:spacing w:after="120"/>
            <w:ind w:left="1077"/>
          </w:pPr>
        </w:p>
        <w:p w14:paraId="24B60DA7" w14:textId="6A8053FA" w:rsidR="00DC131B" w:rsidRPr="009C69C1" w:rsidRDefault="00DC131B" w:rsidP="009C69C1">
          <w:pPr>
            <w:pStyle w:val="Heading4"/>
          </w:pPr>
          <w:r w:rsidRPr="009C69C1">
            <w:t>Graph 1: Charging Schemes by media</w:t>
          </w:r>
        </w:p>
        <w:p w14:paraId="6BEEBCB1" w14:textId="7D14A410" w:rsidR="00215B81" w:rsidRDefault="00430DCA" w:rsidP="00DC131B">
          <w:pPr>
            <w:spacing w:after="120"/>
          </w:pPr>
          <w:r>
            <w:rPr>
              <w:noProof/>
            </w:rPr>
            <w:drawing>
              <wp:inline distT="0" distB="0" distL="0" distR="0" wp14:anchorId="2CC4EAE0" wp14:editId="68713540">
                <wp:extent cx="5972175" cy="4434918"/>
                <wp:effectExtent l="0" t="0" r="0" b="3810"/>
                <wp:docPr id="1058797597" name="Picture 9" descr="This graph presents SEPA's Charging Scheme income forecast outturn by media as follows:&#10;&#10;Air - £5,401,000&#10;Land - £111,000&#10;Radioactive substances activity - £ 3,952,000&#10;Waste - £16,693,000&#10;Water - £30,237,00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97597" name="Picture 9" descr="This graph presents SEPA's Charging Scheme income forecast outturn by media as follows:&#10;&#10;Air - £5,401,000&#10;Land - £111,000&#10;Radioactive substances activity - £ 3,952,000&#10;Waste - £16,693,000&#10;Water - £30,237,000&#10;&#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5530" cy="4437409"/>
                        </a:xfrm>
                        <a:prstGeom prst="rect">
                          <a:avLst/>
                        </a:prstGeom>
                        <a:noFill/>
                      </pic:spPr>
                    </pic:pic>
                  </a:graphicData>
                </a:graphic>
              </wp:inline>
            </w:drawing>
          </w:r>
        </w:p>
        <w:p w14:paraId="2E224ABD" w14:textId="591D2558" w:rsidR="00C90DCF" w:rsidRDefault="007778EF" w:rsidP="00DC131B">
          <w:pPr>
            <w:spacing w:after="120"/>
          </w:pPr>
          <w:r>
            <w:t>Note: G</w:t>
          </w:r>
          <w:r w:rsidR="00C90DCF">
            <w:t xml:space="preserve">raph </w:t>
          </w:r>
          <w:r w:rsidR="004543D1">
            <w:t>1</w:t>
          </w:r>
          <w:r w:rsidR="00C90DCF">
            <w:t xml:space="preserve"> acronym: RSA – Radioactive Substances Activity</w:t>
          </w:r>
        </w:p>
        <w:p w14:paraId="5DEF6C97" w14:textId="3453D3B0" w:rsidR="00CB3B10" w:rsidRDefault="00CB3B10" w:rsidP="002B238A">
          <w:pPr>
            <w:spacing w:after="120"/>
          </w:pPr>
          <w:r>
            <w:br w:type="page"/>
          </w:r>
        </w:p>
        <w:p w14:paraId="1BAC2F46" w14:textId="1F7A661D" w:rsidR="00551A8C" w:rsidRPr="002B238A" w:rsidRDefault="00551A8C" w:rsidP="002B238A">
          <w:pPr>
            <w:spacing w:after="120"/>
            <w:rPr>
              <w:b/>
              <w:bCs/>
            </w:rPr>
          </w:pPr>
          <w:r w:rsidRPr="002B238A">
            <w:rPr>
              <w:b/>
              <w:bCs/>
            </w:rPr>
            <w:lastRenderedPageBreak/>
            <w:t>Other income - £</w:t>
          </w:r>
          <w:r w:rsidR="0040290E">
            <w:rPr>
              <w:b/>
              <w:bCs/>
            </w:rPr>
            <w:t>1.6</w:t>
          </w:r>
          <w:r w:rsidRPr="002B238A">
            <w:rPr>
              <w:b/>
              <w:bCs/>
            </w:rPr>
            <w:t>m</w:t>
          </w:r>
        </w:p>
        <w:p w14:paraId="6D065B84" w14:textId="43595C40" w:rsidR="00134244" w:rsidRDefault="00134244" w:rsidP="008962EB">
          <w:pPr>
            <w:pStyle w:val="ListParagraph"/>
            <w:numPr>
              <w:ilvl w:val="1"/>
              <w:numId w:val="4"/>
            </w:numPr>
            <w:spacing w:after="120"/>
            <w:ind w:left="1077" w:hanging="720"/>
            <w:contextualSpacing w:val="0"/>
          </w:pPr>
          <w:r>
            <w:t xml:space="preserve">The full year other income </w:t>
          </w:r>
          <w:r w:rsidR="00443A6C">
            <w:t>was</w:t>
          </w:r>
          <w:r>
            <w:t xml:space="preserve"> £</w:t>
          </w:r>
          <w:r w:rsidR="000158F2">
            <w:t>1</w:t>
          </w:r>
          <w:r w:rsidR="00443A6C">
            <w:t>.6</w:t>
          </w:r>
          <w:r>
            <w:t>m, being £</w:t>
          </w:r>
          <w:r w:rsidR="000158F2">
            <w:t>103k</w:t>
          </w:r>
          <w:r>
            <w:t xml:space="preserve"> higher than the budget, mainly due </w:t>
          </w:r>
          <w:r w:rsidR="00BE3CCE">
            <w:t>higher than budgeted bank interest.</w:t>
          </w:r>
          <w:r w:rsidR="009E1F6F">
            <w:t xml:space="preserve"> </w:t>
          </w:r>
        </w:p>
        <w:p w14:paraId="5C94AD78" w14:textId="77777777" w:rsidR="00535975" w:rsidRPr="00100901" w:rsidRDefault="00535975" w:rsidP="00535975">
          <w:pPr>
            <w:pStyle w:val="ListParagraph"/>
            <w:spacing w:after="120"/>
            <w:ind w:left="1077"/>
          </w:pPr>
        </w:p>
        <w:p w14:paraId="64B6AEEE" w14:textId="0E6D1A6B" w:rsidR="00C90DCF" w:rsidRDefault="00EC4CF1" w:rsidP="00EC4CF1">
          <w:pPr>
            <w:pStyle w:val="Heading4"/>
          </w:pPr>
          <w:r>
            <w:t>Revenue Grant in Aid (</w:t>
          </w:r>
          <w:proofErr w:type="spellStart"/>
          <w:r>
            <w:t>GiA</w:t>
          </w:r>
          <w:proofErr w:type="spellEnd"/>
          <w:r>
            <w:t>) - £53.</w:t>
          </w:r>
          <w:r w:rsidR="00F56D36">
            <w:t>7</w:t>
          </w:r>
          <w:r>
            <w:t>m</w:t>
          </w:r>
        </w:p>
        <w:p w14:paraId="71F5F950" w14:textId="5BC3C946" w:rsidR="00EC4CF1" w:rsidRDefault="00EC4CF1" w:rsidP="007778EF">
          <w:pPr>
            <w:pStyle w:val="Heading4"/>
          </w:pPr>
          <w:r>
            <w:t>Table 2: Grant in Aid</w:t>
          </w:r>
        </w:p>
        <w:tbl>
          <w:tblPr>
            <w:tblW w:w="9204" w:type="dxa"/>
            <w:tblLook w:val="04A0" w:firstRow="1" w:lastRow="0" w:firstColumn="1" w:lastColumn="0" w:noHBand="0" w:noVBand="1"/>
            <w:tblCaption w:val="Table 2: Grant in Aid"/>
          </w:tblPr>
          <w:tblGrid>
            <w:gridCol w:w="3940"/>
            <w:gridCol w:w="1862"/>
            <w:gridCol w:w="1559"/>
            <w:gridCol w:w="1843"/>
          </w:tblGrid>
          <w:tr w:rsidR="00417167" w:rsidRPr="00417167" w14:paraId="79C384E3" w14:textId="77777777" w:rsidTr="009B49F6">
            <w:trPr>
              <w:cantSplit/>
              <w:trHeight w:val="1213"/>
              <w:tblHeader/>
            </w:trPr>
            <w:tc>
              <w:tcPr>
                <w:tcW w:w="3940" w:type="dxa"/>
                <w:tcBorders>
                  <w:top w:val="nil"/>
                  <w:left w:val="single" w:sz="8" w:space="0" w:color="757171"/>
                  <w:bottom w:val="nil"/>
                  <w:right w:val="nil"/>
                </w:tcBorders>
                <w:shd w:val="clear" w:color="000000" w:fill="016574"/>
                <w:noWrap/>
                <w:vAlign w:val="bottom"/>
                <w:hideMark/>
              </w:tcPr>
              <w:p w14:paraId="7C1DD453" w14:textId="77777777" w:rsidR="00417167" w:rsidRPr="00417167" w:rsidRDefault="00417167" w:rsidP="00A07AAE">
                <w:pPr>
                  <w:spacing w:after="0"/>
                  <w:rPr>
                    <w:rFonts w:ascii="Arial" w:eastAsia="Times New Roman" w:hAnsi="Arial" w:cs="Arial"/>
                    <w:b/>
                    <w:bCs/>
                    <w:color w:val="FFFFFF"/>
                    <w:lang w:eastAsia="en-GB"/>
                  </w:rPr>
                </w:pPr>
                <w:r w:rsidRPr="00417167">
                  <w:rPr>
                    <w:rFonts w:ascii="Arial" w:eastAsia="Times New Roman" w:hAnsi="Arial" w:cs="Arial"/>
                    <w:b/>
                    <w:bCs/>
                    <w:color w:val="FFFFFF"/>
                    <w:lang w:eastAsia="en-GB"/>
                  </w:rPr>
                  <w:t> </w:t>
                </w:r>
              </w:p>
            </w:tc>
            <w:tc>
              <w:tcPr>
                <w:tcW w:w="1862" w:type="dxa"/>
                <w:tcBorders>
                  <w:top w:val="single" w:sz="8" w:space="0" w:color="757171"/>
                  <w:left w:val="single" w:sz="8" w:space="0" w:color="757171"/>
                  <w:bottom w:val="single" w:sz="8" w:space="0" w:color="757171"/>
                  <w:right w:val="single" w:sz="8" w:space="0" w:color="757171"/>
                </w:tcBorders>
                <w:shd w:val="clear" w:color="000000" w:fill="016574"/>
                <w:vAlign w:val="bottom"/>
                <w:hideMark/>
              </w:tcPr>
              <w:p w14:paraId="1F6774F5" w14:textId="63AACDAA" w:rsidR="00417167" w:rsidRPr="00417167" w:rsidRDefault="00417167" w:rsidP="00A07AAE">
                <w:pPr>
                  <w:spacing w:after="0"/>
                  <w:jc w:val="center"/>
                  <w:rPr>
                    <w:rFonts w:ascii="Arial" w:eastAsia="Times New Roman" w:hAnsi="Arial" w:cs="Arial"/>
                    <w:b/>
                    <w:bCs/>
                    <w:color w:val="FFFFFF"/>
                    <w:lang w:eastAsia="en-GB"/>
                  </w:rPr>
                </w:pPr>
                <w:r w:rsidRPr="00417167">
                  <w:rPr>
                    <w:rFonts w:ascii="Arial" w:eastAsia="Times New Roman" w:hAnsi="Arial" w:cs="Arial"/>
                    <w:b/>
                    <w:bCs/>
                    <w:color w:val="FFFFFF"/>
                    <w:lang w:eastAsia="en-GB"/>
                  </w:rPr>
                  <w:t xml:space="preserve">Resource budget </w:t>
                </w:r>
                <w:r w:rsidRPr="00417167">
                  <w:rPr>
                    <w:rFonts w:ascii="Arial" w:eastAsia="Times New Roman" w:hAnsi="Arial" w:cs="Arial"/>
                    <w:b/>
                    <w:bCs/>
                    <w:color w:val="FFFFFF"/>
                    <w:lang w:eastAsia="en-GB"/>
                  </w:rPr>
                  <w:br/>
                  <w:t xml:space="preserve">cash </w:t>
                </w:r>
                <w:r w:rsidRPr="00417167">
                  <w:rPr>
                    <w:rFonts w:ascii="Arial" w:eastAsia="Times New Roman" w:hAnsi="Arial" w:cs="Arial"/>
                    <w:b/>
                    <w:bCs/>
                    <w:color w:val="FFFFFF"/>
                    <w:lang w:eastAsia="en-GB"/>
                  </w:rPr>
                  <w:br/>
                  <w:t xml:space="preserve"> £</w:t>
                </w:r>
                <w:r w:rsidR="007B0CEF">
                  <w:rPr>
                    <w:rFonts w:ascii="Arial" w:eastAsia="Times New Roman" w:hAnsi="Arial" w:cs="Arial"/>
                    <w:b/>
                    <w:bCs/>
                    <w:color w:val="FFFFFF"/>
                    <w:lang w:eastAsia="en-GB"/>
                  </w:rPr>
                  <w:t>’</w:t>
                </w:r>
                <w:r w:rsidRPr="00417167">
                  <w:rPr>
                    <w:rFonts w:ascii="Arial" w:eastAsia="Times New Roman" w:hAnsi="Arial" w:cs="Arial"/>
                    <w:b/>
                    <w:bCs/>
                    <w:color w:val="FFFFFF"/>
                    <w:lang w:eastAsia="en-GB"/>
                  </w:rPr>
                  <w:t>000s</w:t>
                </w:r>
              </w:p>
            </w:tc>
            <w:tc>
              <w:tcPr>
                <w:tcW w:w="1559" w:type="dxa"/>
                <w:tcBorders>
                  <w:top w:val="single" w:sz="8" w:space="0" w:color="757171"/>
                  <w:left w:val="nil"/>
                  <w:bottom w:val="single" w:sz="8" w:space="0" w:color="757171"/>
                  <w:right w:val="single" w:sz="8" w:space="0" w:color="757171"/>
                </w:tcBorders>
                <w:shd w:val="clear" w:color="000000" w:fill="016574"/>
                <w:vAlign w:val="bottom"/>
                <w:hideMark/>
              </w:tcPr>
              <w:p w14:paraId="5EFE97C5" w14:textId="766DB75F" w:rsidR="00417167" w:rsidRPr="00417167" w:rsidRDefault="00417167" w:rsidP="00A07AAE">
                <w:pPr>
                  <w:spacing w:after="0"/>
                  <w:jc w:val="center"/>
                  <w:rPr>
                    <w:rFonts w:ascii="Arial" w:eastAsia="Times New Roman" w:hAnsi="Arial" w:cs="Arial"/>
                    <w:b/>
                    <w:bCs/>
                    <w:color w:val="FFFFFF"/>
                    <w:lang w:eastAsia="en-GB"/>
                  </w:rPr>
                </w:pPr>
                <w:r w:rsidRPr="00417167">
                  <w:rPr>
                    <w:rFonts w:ascii="Arial" w:eastAsia="Times New Roman" w:hAnsi="Arial" w:cs="Arial"/>
                    <w:b/>
                    <w:bCs/>
                    <w:color w:val="FFFFFF"/>
                    <w:lang w:eastAsia="en-GB"/>
                  </w:rPr>
                  <w:t>Resource budget non- cash</w:t>
                </w:r>
                <w:r w:rsidRPr="00417167">
                  <w:rPr>
                    <w:rFonts w:ascii="Arial" w:eastAsia="Times New Roman" w:hAnsi="Arial" w:cs="Arial"/>
                    <w:b/>
                    <w:bCs/>
                    <w:color w:val="FFFFFF"/>
                    <w:lang w:eastAsia="en-GB"/>
                  </w:rPr>
                  <w:br/>
                  <w:t xml:space="preserve"> £</w:t>
                </w:r>
                <w:r w:rsidR="007B0CEF">
                  <w:rPr>
                    <w:rFonts w:ascii="Arial" w:eastAsia="Times New Roman" w:hAnsi="Arial" w:cs="Arial"/>
                    <w:b/>
                    <w:bCs/>
                    <w:color w:val="FFFFFF"/>
                    <w:lang w:eastAsia="en-GB"/>
                  </w:rPr>
                  <w:t>’</w:t>
                </w:r>
                <w:r w:rsidRPr="00417167">
                  <w:rPr>
                    <w:rFonts w:ascii="Arial" w:eastAsia="Times New Roman" w:hAnsi="Arial" w:cs="Arial"/>
                    <w:b/>
                    <w:bCs/>
                    <w:color w:val="FFFFFF"/>
                    <w:lang w:eastAsia="en-GB"/>
                  </w:rPr>
                  <w:t>000s</w:t>
                </w:r>
              </w:p>
            </w:tc>
            <w:tc>
              <w:tcPr>
                <w:tcW w:w="1843" w:type="dxa"/>
                <w:tcBorders>
                  <w:top w:val="single" w:sz="8" w:space="0" w:color="757171"/>
                  <w:left w:val="nil"/>
                  <w:bottom w:val="single" w:sz="8" w:space="0" w:color="757171"/>
                  <w:right w:val="single" w:sz="8" w:space="0" w:color="757171"/>
                </w:tcBorders>
                <w:shd w:val="clear" w:color="000000" w:fill="016574"/>
                <w:vAlign w:val="bottom"/>
                <w:hideMark/>
              </w:tcPr>
              <w:p w14:paraId="68114651" w14:textId="114C282E" w:rsidR="00417167" w:rsidRPr="00417167" w:rsidRDefault="00417167" w:rsidP="00A07AAE">
                <w:pPr>
                  <w:spacing w:after="0"/>
                  <w:jc w:val="center"/>
                  <w:rPr>
                    <w:rFonts w:ascii="Arial" w:eastAsia="Times New Roman" w:hAnsi="Arial" w:cs="Arial"/>
                    <w:b/>
                    <w:bCs/>
                    <w:color w:val="FFFFFF"/>
                    <w:lang w:eastAsia="en-GB"/>
                  </w:rPr>
                </w:pPr>
                <w:r w:rsidRPr="00417167">
                  <w:rPr>
                    <w:rFonts w:ascii="Arial" w:eastAsia="Times New Roman" w:hAnsi="Arial" w:cs="Arial"/>
                    <w:b/>
                    <w:bCs/>
                    <w:color w:val="FFFFFF"/>
                    <w:lang w:eastAsia="en-GB"/>
                  </w:rPr>
                  <w:t xml:space="preserve">Total </w:t>
                </w:r>
                <w:r w:rsidRPr="00417167">
                  <w:rPr>
                    <w:rFonts w:ascii="Arial" w:eastAsia="Times New Roman" w:hAnsi="Arial" w:cs="Arial"/>
                    <w:b/>
                    <w:bCs/>
                    <w:color w:val="FFFFFF"/>
                    <w:lang w:eastAsia="en-GB"/>
                  </w:rPr>
                  <w:br/>
                  <w:t>£</w:t>
                </w:r>
                <w:r w:rsidR="007B0CEF">
                  <w:rPr>
                    <w:rFonts w:ascii="Arial" w:eastAsia="Times New Roman" w:hAnsi="Arial" w:cs="Arial"/>
                    <w:b/>
                    <w:bCs/>
                    <w:color w:val="FFFFFF"/>
                    <w:lang w:eastAsia="en-GB"/>
                  </w:rPr>
                  <w:t>’</w:t>
                </w:r>
                <w:r w:rsidRPr="00417167">
                  <w:rPr>
                    <w:rFonts w:ascii="Arial" w:eastAsia="Times New Roman" w:hAnsi="Arial" w:cs="Arial"/>
                    <w:b/>
                    <w:bCs/>
                    <w:color w:val="FFFFFF"/>
                    <w:lang w:eastAsia="en-GB"/>
                  </w:rPr>
                  <w:t>000s</w:t>
                </w:r>
              </w:p>
            </w:tc>
          </w:tr>
          <w:tr w:rsidR="00417167" w:rsidRPr="00417167" w14:paraId="7EE194F5" w14:textId="77777777" w:rsidTr="001142DD">
            <w:trPr>
              <w:trHeight w:val="320"/>
            </w:trPr>
            <w:tc>
              <w:tcPr>
                <w:tcW w:w="3940" w:type="dxa"/>
                <w:tcBorders>
                  <w:top w:val="single" w:sz="8" w:space="0" w:color="757171"/>
                  <w:left w:val="single" w:sz="8" w:space="0" w:color="757171"/>
                  <w:bottom w:val="single" w:sz="4" w:space="0" w:color="auto"/>
                  <w:right w:val="nil"/>
                </w:tcBorders>
                <w:shd w:val="clear" w:color="000000" w:fill="FFFFFF"/>
                <w:noWrap/>
                <w:vAlign w:val="center"/>
                <w:hideMark/>
              </w:tcPr>
              <w:p w14:paraId="5CCDF525" w14:textId="77777777" w:rsidR="00417167" w:rsidRPr="00417167" w:rsidRDefault="00417167" w:rsidP="001142DD">
                <w:pPr>
                  <w:spacing w:after="0"/>
                  <w:rPr>
                    <w:rFonts w:ascii="Arial" w:eastAsia="Times New Roman" w:hAnsi="Arial" w:cs="Arial"/>
                    <w:lang w:eastAsia="en-GB"/>
                  </w:rPr>
                </w:pPr>
                <w:r w:rsidRPr="00417167">
                  <w:rPr>
                    <w:rFonts w:ascii="Arial" w:eastAsia="Times New Roman" w:hAnsi="Arial" w:cs="Arial"/>
                    <w:lang w:eastAsia="en-GB"/>
                  </w:rPr>
                  <w:t>Base budget allocation 2025/26</w:t>
                </w:r>
              </w:p>
            </w:tc>
            <w:tc>
              <w:tcPr>
                <w:tcW w:w="1862" w:type="dxa"/>
                <w:tcBorders>
                  <w:top w:val="nil"/>
                  <w:left w:val="single" w:sz="8" w:space="0" w:color="757171"/>
                  <w:bottom w:val="single" w:sz="4" w:space="0" w:color="auto"/>
                  <w:right w:val="nil"/>
                </w:tcBorders>
                <w:shd w:val="clear" w:color="000000" w:fill="FFFFFF"/>
                <w:noWrap/>
                <w:vAlign w:val="center"/>
                <w:hideMark/>
              </w:tcPr>
              <w:p w14:paraId="64426FDF"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42,400</w:t>
                </w:r>
              </w:p>
            </w:tc>
            <w:tc>
              <w:tcPr>
                <w:tcW w:w="1559" w:type="dxa"/>
                <w:tcBorders>
                  <w:top w:val="nil"/>
                  <w:left w:val="single" w:sz="8" w:space="0" w:color="757171"/>
                  <w:bottom w:val="single" w:sz="4" w:space="0" w:color="auto"/>
                  <w:right w:val="nil"/>
                </w:tcBorders>
                <w:shd w:val="clear" w:color="000000" w:fill="FFFFFF"/>
                <w:noWrap/>
                <w:vAlign w:val="center"/>
                <w:hideMark/>
              </w:tcPr>
              <w:p w14:paraId="63CA9946"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7,377</w:t>
                </w:r>
              </w:p>
            </w:tc>
            <w:tc>
              <w:tcPr>
                <w:tcW w:w="1843" w:type="dxa"/>
                <w:tcBorders>
                  <w:top w:val="nil"/>
                  <w:left w:val="single" w:sz="8" w:space="0" w:color="757171"/>
                  <w:bottom w:val="single" w:sz="4" w:space="0" w:color="auto"/>
                  <w:right w:val="single" w:sz="8" w:space="0" w:color="757171"/>
                </w:tcBorders>
                <w:shd w:val="clear" w:color="000000" w:fill="FFFFFF"/>
                <w:noWrap/>
                <w:vAlign w:val="center"/>
                <w:hideMark/>
              </w:tcPr>
              <w:p w14:paraId="6E66F568"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49,777</w:t>
                </w:r>
              </w:p>
            </w:tc>
          </w:tr>
          <w:tr w:rsidR="00417167" w:rsidRPr="00417167" w14:paraId="7AE6CDD8" w14:textId="77777777" w:rsidTr="001142DD">
            <w:trPr>
              <w:trHeight w:val="320"/>
            </w:trPr>
            <w:tc>
              <w:tcPr>
                <w:tcW w:w="3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1C76B6" w14:textId="77777777" w:rsidR="00417167" w:rsidRPr="00417167" w:rsidRDefault="00417167" w:rsidP="001142DD">
                <w:pPr>
                  <w:spacing w:after="0"/>
                  <w:rPr>
                    <w:rFonts w:ascii="Arial" w:eastAsia="Times New Roman" w:hAnsi="Arial" w:cs="Arial"/>
                    <w:lang w:eastAsia="en-GB"/>
                  </w:rPr>
                </w:pPr>
                <w:r w:rsidRPr="00417167">
                  <w:rPr>
                    <w:rFonts w:ascii="Arial" w:eastAsia="Times New Roman" w:hAnsi="Arial" w:cs="Arial"/>
                    <w:lang w:eastAsia="en-GB"/>
                  </w:rPr>
                  <w:t> </w:t>
                </w:r>
              </w:p>
            </w:tc>
            <w:tc>
              <w:tcPr>
                <w:tcW w:w="18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2F9C2"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3478EA"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0FA983"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 </w:t>
                </w:r>
              </w:p>
            </w:tc>
          </w:tr>
          <w:tr w:rsidR="00417167" w:rsidRPr="00417167" w14:paraId="0E365274" w14:textId="77777777" w:rsidTr="001142DD">
            <w:trPr>
              <w:trHeight w:val="320"/>
            </w:trPr>
            <w:tc>
              <w:tcPr>
                <w:tcW w:w="3940" w:type="dxa"/>
                <w:tcBorders>
                  <w:top w:val="single" w:sz="4" w:space="0" w:color="auto"/>
                  <w:left w:val="single" w:sz="8" w:space="0" w:color="757171"/>
                  <w:bottom w:val="single" w:sz="8" w:space="0" w:color="757171"/>
                  <w:right w:val="nil"/>
                </w:tcBorders>
                <w:shd w:val="clear" w:color="000000" w:fill="016574"/>
                <w:noWrap/>
                <w:vAlign w:val="center"/>
                <w:hideMark/>
              </w:tcPr>
              <w:p w14:paraId="0373CDB6" w14:textId="77777777" w:rsidR="00417167" w:rsidRPr="00417167" w:rsidRDefault="00417167" w:rsidP="001142DD">
                <w:pPr>
                  <w:spacing w:after="0"/>
                  <w:rPr>
                    <w:rFonts w:ascii="Arial" w:eastAsia="Times New Roman" w:hAnsi="Arial" w:cs="Arial"/>
                    <w:b/>
                    <w:bCs/>
                    <w:color w:val="FFFFFF"/>
                    <w:lang w:eastAsia="en-GB"/>
                  </w:rPr>
                </w:pPr>
                <w:r w:rsidRPr="00417167">
                  <w:rPr>
                    <w:rFonts w:ascii="Arial" w:eastAsia="Times New Roman" w:hAnsi="Arial" w:cs="Arial"/>
                    <w:b/>
                    <w:bCs/>
                    <w:color w:val="FFFFFF"/>
                    <w:lang w:eastAsia="en-GB"/>
                  </w:rPr>
                  <w:t>Budget adjustments</w:t>
                </w:r>
              </w:p>
            </w:tc>
            <w:tc>
              <w:tcPr>
                <w:tcW w:w="1862" w:type="dxa"/>
                <w:tcBorders>
                  <w:top w:val="single" w:sz="4" w:space="0" w:color="auto"/>
                  <w:left w:val="nil"/>
                  <w:bottom w:val="nil"/>
                  <w:right w:val="nil"/>
                </w:tcBorders>
                <w:shd w:val="clear" w:color="000000" w:fill="016574"/>
                <w:noWrap/>
                <w:vAlign w:val="center"/>
                <w:hideMark/>
              </w:tcPr>
              <w:p w14:paraId="0CA76483" w14:textId="77777777" w:rsidR="00417167" w:rsidRPr="00417167" w:rsidRDefault="00417167" w:rsidP="00A07AAE">
                <w:pPr>
                  <w:spacing w:after="0"/>
                  <w:jc w:val="right"/>
                  <w:rPr>
                    <w:rFonts w:ascii="Arial" w:eastAsia="Times New Roman" w:hAnsi="Arial" w:cs="Arial"/>
                    <w:b/>
                    <w:bCs/>
                    <w:color w:val="FFFFFF"/>
                    <w:lang w:eastAsia="en-GB"/>
                  </w:rPr>
                </w:pPr>
                <w:r w:rsidRPr="00417167">
                  <w:rPr>
                    <w:rFonts w:ascii="Arial" w:eastAsia="Times New Roman" w:hAnsi="Arial" w:cs="Arial"/>
                    <w:b/>
                    <w:bCs/>
                    <w:color w:val="FFFFFF"/>
                    <w:lang w:eastAsia="en-GB"/>
                  </w:rPr>
                  <w:t> </w:t>
                </w:r>
              </w:p>
            </w:tc>
            <w:tc>
              <w:tcPr>
                <w:tcW w:w="1559" w:type="dxa"/>
                <w:tcBorders>
                  <w:top w:val="single" w:sz="4" w:space="0" w:color="auto"/>
                  <w:left w:val="nil"/>
                  <w:bottom w:val="nil"/>
                  <w:right w:val="nil"/>
                </w:tcBorders>
                <w:shd w:val="clear" w:color="000000" w:fill="016574"/>
                <w:noWrap/>
                <w:vAlign w:val="center"/>
                <w:hideMark/>
              </w:tcPr>
              <w:p w14:paraId="0CC79B35" w14:textId="77777777" w:rsidR="00417167" w:rsidRPr="00417167" w:rsidRDefault="00417167" w:rsidP="00A07AAE">
                <w:pPr>
                  <w:spacing w:after="0"/>
                  <w:jc w:val="right"/>
                  <w:rPr>
                    <w:rFonts w:ascii="Arial" w:eastAsia="Times New Roman" w:hAnsi="Arial" w:cs="Arial"/>
                    <w:b/>
                    <w:bCs/>
                    <w:color w:val="FFFFFF"/>
                    <w:lang w:eastAsia="en-GB"/>
                  </w:rPr>
                </w:pPr>
                <w:r w:rsidRPr="00417167">
                  <w:rPr>
                    <w:rFonts w:ascii="Arial" w:eastAsia="Times New Roman" w:hAnsi="Arial" w:cs="Arial"/>
                    <w:b/>
                    <w:bCs/>
                    <w:color w:val="FFFFFF"/>
                    <w:lang w:eastAsia="en-GB"/>
                  </w:rPr>
                  <w:t> </w:t>
                </w:r>
              </w:p>
            </w:tc>
            <w:tc>
              <w:tcPr>
                <w:tcW w:w="1843" w:type="dxa"/>
                <w:tcBorders>
                  <w:top w:val="single" w:sz="4" w:space="0" w:color="auto"/>
                  <w:left w:val="nil"/>
                  <w:bottom w:val="nil"/>
                  <w:right w:val="single" w:sz="8" w:space="0" w:color="757171"/>
                </w:tcBorders>
                <w:shd w:val="clear" w:color="000000" w:fill="016574"/>
                <w:noWrap/>
                <w:vAlign w:val="center"/>
                <w:hideMark/>
              </w:tcPr>
              <w:p w14:paraId="6099FAC5" w14:textId="77777777" w:rsidR="00417167" w:rsidRPr="00417167" w:rsidRDefault="00417167" w:rsidP="00A07AAE">
                <w:pPr>
                  <w:spacing w:after="0"/>
                  <w:jc w:val="right"/>
                  <w:rPr>
                    <w:rFonts w:ascii="Arial" w:eastAsia="Times New Roman" w:hAnsi="Arial" w:cs="Arial"/>
                    <w:b/>
                    <w:bCs/>
                    <w:color w:val="FFFFFF"/>
                    <w:lang w:eastAsia="en-GB"/>
                  </w:rPr>
                </w:pPr>
                <w:r w:rsidRPr="00417167">
                  <w:rPr>
                    <w:rFonts w:ascii="Arial" w:eastAsia="Times New Roman" w:hAnsi="Arial" w:cs="Arial"/>
                    <w:b/>
                    <w:bCs/>
                    <w:color w:val="FFFFFF"/>
                    <w:lang w:eastAsia="en-GB"/>
                  </w:rPr>
                  <w:t> </w:t>
                </w:r>
              </w:p>
            </w:tc>
          </w:tr>
          <w:tr w:rsidR="00417167" w:rsidRPr="00417167" w14:paraId="06A95408" w14:textId="77777777" w:rsidTr="001142DD">
            <w:trPr>
              <w:trHeight w:val="310"/>
            </w:trPr>
            <w:tc>
              <w:tcPr>
                <w:tcW w:w="3940" w:type="dxa"/>
                <w:tcBorders>
                  <w:top w:val="nil"/>
                  <w:left w:val="single" w:sz="8" w:space="0" w:color="757171"/>
                  <w:bottom w:val="nil"/>
                  <w:right w:val="nil"/>
                </w:tcBorders>
                <w:noWrap/>
                <w:vAlign w:val="center"/>
                <w:hideMark/>
              </w:tcPr>
              <w:p w14:paraId="5505DB6B" w14:textId="77777777" w:rsidR="00417167" w:rsidRPr="00417167" w:rsidRDefault="00417167" w:rsidP="001142DD">
                <w:pPr>
                  <w:spacing w:after="0"/>
                  <w:rPr>
                    <w:rFonts w:ascii="Arial" w:eastAsia="Times New Roman" w:hAnsi="Arial" w:cs="Arial"/>
                    <w:lang w:eastAsia="en-GB"/>
                  </w:rPr>
                </w:pPr>
                <w:r w:rsidRPr="00417167">
                  <w:rPr>
                    <w:rFonts w:ascii="Arial" w:eastAsia="Times New Roman" w:hAnsi="Arial" w:cs="Arial"/>
                    <w:lang w:eastAsia="en-GB"/>
                  </w:rPr>
                  <w:t xml:space="preserve">Regulation systems </w:t>
                </w:r>
              </w:p>
            </w:tc>
            <w:tc>
              <w:tcPr>
                <w:tcW w:w="1862" w:type="dxa"/>
                <w:tcBorders>
                  <w:top w:val="single" w:sz="8" w:space="0" w:color="757171"/>
                  <w:left w:val="single" w:sz="8" w:space="0" w:color="757171"/>
                  <w:bottom w:val="nil"/>
                  <w:right w:val="nil"/>
                </w:tcBorders>
                <w:shd w:val="clear" w:color="000000" w:fill="FFFFFF"/>
                <w:noWrap/>
                <w:vAlign w:val="center"/>
                <w:hideMark/>
              </w:tcPr>
              <w:p w14:paraId="5CBF8950"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995</w:t>
                </w:r>
              </w:p>
            </w:tc>
            <w:tc>
              <w:tcPr>
                <w:tcW w:w="1559" w:type="dxa"/>
                <w:tcBorders>
                  <w:top w:val="single" w:sz="8" w:space="0" w:color="757171"/>
                  <w:left w:val="single" w:sz="8" w:space="0" w:color="757171"/>
                  <w:bottom w:val="nil"/>
                  <w:right w:val="nil"/>
                </w:tcBorders>
                <w:shd w:val="clear" w:color="000000" w:fill="FFFFFF"/>
                <w:noWrap/>
                <w:vAlign w:val="center"/>
                <w:hideMark/>
              </w:tcPr>
              <w:p w14:paraId="3B039C0D"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 </w:t>
                </w:r>
              </w:p>
            </w:tc>
            <w:tc>
              <w:tcPr>
                <w:tcW w:w="1843" w:type="dxa"/>
                <w:tcBorders>
                  <w:top w:val="single" w:sz="8" w:space="0" w:color="auto"/>
                  <w:left w:val="single" w:sz="8" w:space="0" w:color="auto"/>
                  <w:bottom w:val="nil"/>
                  <w:right w:val="single" w:sz="8" w:space="0" w:color="auto"/>
                </w:tcBorders>
                <w:shd w:val="clear" w:color="000000" w:fill="FFFFFF"/>
                <w:noWrap/>
                <w:vAlign w:val="center"/>
                <w:hideMark/>
              </w:tcPr>
              <w:p w14:paraId="14867E56"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995</w:t>
                </w:r>
              </w:p>
            </w:tc>
          </w:tr>
          <w:tr w:rsidR="00417167" w:rsidRPr="00417167" w14:paraId="56F79A33" w14:textId="77777777" w:rsidTr="001142DD">
            <w:trPr>
              <w:trHeight w:val="310"/>
            </w:trPr>
            <w:tc>
              <w:tcPr>
                <w:tcW w:w="3940" w:type="dxa"/>
                <w:tcBorders>
                  <w:top w:val="nil"/>
                  <w:left w:val="single" w:sz="8" w:space="0" w:color="757171"/>
                  <w:bottom w:val="nil"/>
                  <w:right w:val="nil"/>
                </w:tcBorders>
                <w:noWrap/>
                <w:vAlign w:val="center"/>
                <w:hideMark/>
              </w:tcPr>
              <w:p w14:paraId="29095F85" w14:textId="77777777" w:rsidR="00417167" w:rsidRPr="00417167" w:rsidRDefault="00417167" w:rsidP="001142DD">
                <w:pPr>
                  <w:spacing w:after="0"/>
                  <w:rPr>
                    <w:rFonts w:ascii="Arial" w:eastAsia="Times New Roman" w:hAnsi="Arial" w:cs="Arial"/>
                    <w:lang w:eastAsia="en-GB"/>
                  </w:rPr>
                </w:pPr>
                <w:r w:rsidRPr="00417167">
                  <w:rPr>
                    <w:rFonts w:ascii="Arial" w:eastAsia="Times New Roman" w:hAnsi="Arial" w:cs="Arial"/>
                    <w:lang w:eastAsia="en-GB"/>
                  </w:rPr>
                  <w:t xml:space="preserve">Multi agency fish farm consenting </w:t>
                </w:r>
              </w:p>
            </w:tc>
            <w:tc>
              <w:tcPr>
                <w:tcW w:w="1862" w:type="dxa"/>
                <w:tcBorders>
                  <w:top w:val="nil"/>
                  <w:left w:val="single" w:sz="8" w:space="0" w:color="757171"/>
                  <w:bottom w:val="nil"/>
                  <w:right w:val="nil"/>
                </w:tcBorders>
                <w:shd w:val="clear" w:color="000000" w:fill="FFFFFF"/>
                <w:noWrap/>
                <w:vAlign w:val="center"/>
                <w:hideMark/>
              </w:tcPr>
              <w:p w14:paraId="67A23606"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261</w:t>
                </w:r>
              </w:p>
            </w:tc>
            <w:tc>
              <w:tcPr>
                <w:tcW w:w="1559" w:type="dxa"/>
                <w:tcBorders>
                  <w:top w:val="nil"/>
                  <w:left w:val="single" w:sz="8" w:space="0" w:color="757171"/>
                  <w:bottom w:val="nil"/>
                  <w:right w:val="nil"/>
                </w:tcBorders>
                <w:shd w:val="clear" w:color="000000" w:fill="FFFFFF"/>
                <w:noWrap/>
                <w:vAlign w:val="center"/>
                <w:hideMark/>
              </w:tcPr>
              <w:p w14:paraId="54FF73AC"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 </w:t>
                </w:r>
              </w:p>
            </w:tc>
            <w:tc>
              <w:tcPr>
                <w:tcW w:w="1843" w:type="dxa"/>
                <w:tcBorders>
                  <w:top w:val="nil"/>
                  <w:left w:val="single" w:sz="8" w:space="0" w:color="auto"/>
                  <w:bottom w:val="nil"/>
                  <w:right w:val="single" w:sz="8" w:space="0" w:color="auto"/>
                </w:tcBorders>
                <w:shd w:val="clear" w:color="000000" w:fill="FFFFFF"/>
                <w:noWrap/>
                <w:vAlign w:val="center"/>
                <w:hideMark/>
              </w:tcPr>
              <w:p w14:paraId="6705721C"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261</w:t>
                </w:r>
              </w:p>
            </w:tc>
          </w:tr>
          <w:tr w:rsidR="00417167" w:rsidRPr="00417167" w14:paraId="2D1B858A" w14:textId="77777777" w:rsidTr="001142DD">
            <w:trPr>
              <w:trHeight w:val="310"/>
            </w:trPr>
            <w:tc>
              <w:tcPr>
                <w:tcW w:w="3940" w:type="dxa"/>
                <w:tcBorders>
                  <w:top w:val="nil"/>
                  <w:left w:val="single" w:sz="8" w:space="0" w:color="757171"/>
                  <w:bottom w:val="nil"/>
                  <w:right w:val="nil"/>
                </w:tcBorders>
                <w:noWrap/>
                <w:vAlign w:val="center"/>
                <w:hideMark/>
              </w:tcPr>
              <w:p w14:paraId="73E3844B" w14:textId="77777777" w:rsidR="00417167" w:rsidRPr="00417167" w:rsidRDefault="00417167" w:rsidP="001142DD">
                <w:pPr>
                  <w:spacing w:after="0"/>
                  <w:rPr>
                    <w:rFonts w:ascii="Arial" w:eastAsia="Times New Roman" w:hAnsi="Arial" w:cs="Arial"/>
                    <w:lang w:eastAsia="en-GB"/>
                  </w:rPr>
                </w:pPr>
                <w:r w:rsidRPr="00417167">
                  <w:rPr>
                    <w:rFonts w:ascii="Arial" w:eastAsia="Times New Roman" w:hAnsi="Arial" w:cs="Arial"/>
                    <w:lang w:eastAsia="en-GB"/>
                  </w:rPr>
                  <w:t>Water Environment Fund</w:t>
                </w:r>
              </w:p>
            </w:tc>
            <w:tc>
              <w:tcPr>
                <w:tcW w:w="1862" w:type="dxa"/>
                <w:tcBorders>
                  <w:top w:val="nil"/>
                  <w:left w:val="single" w:sz="8" w:space="0" w:color="757171"/>
                  <w:bottom w:val="nil"/>
                  <w:right w:val="nil"/>
                </w:tcBorders>
                <w:shd w:val="clear" w:color="000000" w:fill="FFFFFF"/>
                <w:noWrap/>
                <w:vAlign w:val="center"/>
                <w:hideMark/>
              </w:tcPr>
              <w:p w14:paraId="7A57356B"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1,887</w:t>
                </w:r>
              </w:p>
            </w:tc>
            <w:tc>
              <w:tcPr>
                <w:tcW w:w="1559" w:type="dxa"/>
                <w:tcBorders>
                  <w:top w:val="nil"/>
                  <w:left w:val="single" w:sz="8" w:space="0" w:color="757171"/>
                  <w:bottom w:val="nil"/>
                  <w:right w:val="nil"/>
                </w:tcBorders>
                <w:shd w:val="clear" w:color="000000" w:fill="FFFFFF"/>
                <w:noWrap/>
                <w:vAlign w:val="center"/>
                <w:hideMark/>
              </w:tcPr>
              <w:p w14:paraId="7EA93397"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 </w:t>
                </w:r>
              </w:p>
            </w:tc>
            <w:tc>
              <w:tcPr>
                <w:tcW w:w="1843" w:type="dxa"/>
                <w:tcBorders>
                  <w:top w:val="nil"/>
                  <w:left w:val="single" w:sz="8" w:space="0" w:color="auto"/>
                  <w:bottom w:val="nil"/>
                  <w:right w:val="single" w:sz="8" w:space="0" w:color="auto"/>
                </w:tcBorders>
                <w:shd w:val="clear" w:color="000000" w:fill="FFFFFF"/>
                <w:noWrap/>
                <w:vAlign w:val="center"/>
                <w:hideMark/>
              </w:tcPr>
              <w:p w14:paraId="3C2D3373"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1,887</w:t>
                </w:r>
              </w:p>
            </w:tc>
          </w:tr>
          <w:tr w:rsidR="00417167" w:rsidRPr="00417167" w14:paraId="5D4B7C18" w14:textId="77777777" w:rsidTr="001142DD">
            <w:trPr>
              <w:trHeight w:val="310"/>
            </w:trPr>
            <w:tc>
              <w:tcPr>
                <w:tcW w:w="3940" w:type="dxa"/>
                <w:tcBorders>
                  <w:top w:val="nil"/>
                  <w:left w:val="single" w:sz="8" w:space="0" w:color="757171"/>
                  <w:bottom w:val="nil"/>
                  <w:right w:val="nil"/>
                </w:tcBorders>
                <w:noWrap/>
                <w:vAlign w:val="center"/>
                <w:hideMark/>
              </w:tcPr>
              <w:p w14:paraId="13DED2E8" w14:textId="77777777" w:rsidR="00417167" w:rsidRPr="00417167" w:rsidRDefault="00417167" w:rsidP="001142DD">
                <w:pPr>
                  <w:spacing w:after="0"/>
                  <w:rPr>
                    <w:rFonts w:ascii="Arial" w:eastAsia="Times New Roman" w:hAnsi="Arial" w:cs="Arial"/>
                    <w:lang w:eastAsia="en-GB"/>
                  </w:rPr>
                </w:pPr>
                <w:r w:rsidRPr="00417167">
                  <w:rPr>
                    <w:rFonts w:ascii="Arial" w:eastAsia="Times New Roman" w:hAnsi="Arial" w:cs="Arial"/>
                    <w:lang w:eastAsia="en-GB"/>
                  </w:rPr>
                  <w:t>Flood Advisory Service</w:t>
                </w:r>
              </w:p>
            </w:tc>
            <w:tc>
              <w:tcPr>
                <w:tcW w:w="1862" w:type="dxa"/>
                <w:tcBorders>
                  <w:top w:val="nil"/>
                  <w:left w:val="single" w:sz="8" w:space="0" w:color="757171"/>
                  <w:bottom w:val="nil"/>
                  <w:right w:val="nil"/>
                </w:tcBorders>
                <w:shd w:val="clear" w:color="000000" w:fill="FFFFFF"/>
                <w:noWrap/>
                <w:vAlign w:val="center"/>
                <w:hideMark/>
              </w:tcPr>
              <w:p w14:paraId="664DC49A"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150</w:t>
                </w:r>
              </w:p>
            </w:tc>
            <w:tc>
              <w:tcPr>
                <w:tcW w:w="1559" w:type="dxa"/>
                <w:tcBorders>
                  <w:top w:val="nil"/>
                  <w:left w:val="single" w:sz="8" w:space="0" w:color="757171"/>
                  <w:bottom w:val="nil"/>
                  <w:right w:val="nil"/>
                </w:tcBorders>
                <w:shd w:val="clear" w:color="000000" w:fill="FFFFFF"/>
                <w:noWrap/>
                <w:vAlign w:val="center"/>
                <w:hideMark/>
              </w:tcPr>
              <w:p w14:paraId="507C3C3C"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 </w:t>
                </w:r>
              </w:p>
            </w:tc>
            <w:tc>
              <w:tcPr>
                <w:tcW w:w="1843" w:type="dxa"/>
                <w:tcBorders>
                  <w:top w:val="nil"/>
                  <w:left w:val="single" w:sz="8" w:space="0" w:color="auto"/>
                  <w:bottom w:val="nil"/>
                  <w:right w:val="single" w:sz="8" w:space="0" w:color="auto"/>
                </w:tcBorders>
                <w:shd w:val="clear" w:color="000000" w:fill="FFFFFF"/>
                <w:noWrap/>
                <w:vAlign w:val="center"/>
                <w:hideMark/>
              </w:tcPr>
              <w:p w14:paraId="491FA00A"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150</w:t>
                </w:r>
              </w:p>
            </w:tc>
          </w:tr>
          <w:tr w:rsidR="00417167" w:rsidRPr="00417167" w14:paraId="58A96BC0" w14:textId="77777777" w:rsidTr="001142DD">
            <w:trPr>
              <w:trHeight w:val="310"/>
            </w:trPr>
            <w:tc>
              <w:tcPr>
                <w:tcW w:w="3940" w:type="dxa"/>
                <w:tcBorders>
                  <w:top w:val="nil"/>
                  <w:left w:val="single" w:sz="4" w:space="0" w:color="auto"/>
                  <w:bottom w:val="nil"/>
                  <w:right w:val="single" w:sz="4" w:space="0" w:color="auto"/>
                </w:tcBorders>
                <w:noWrap/>
                <w:vAlign w:val="center"/>
                <w:hideMark/>
              </w:tcPr>
              <w:p w14:paraId="33E4841B" w14:textId="77777777" w:rsidR="00417167" w:rsidRPr="00417167" w:rsidRDefault="00417167" w:rsidP="001142DD">
                <w:pPr>
                  <w:spacing w:after="0"/>
                  <w:rPr>
                    <w:rFonts w:ascii="Arial" w:eastAsia="Times New Roman" w:hAnsi="Arial" w:cs="Arial"/>
                    <w:lang w:eastAsia="en-GB"/>
                  </w:rPr>
                </w:pPr>
                <w:r w:rsidRPr="00417167">
                  <w:rPr>
                    <w:rFonts w:ascii="Arial" w:eastAsia="Times New Roman" w:hAnsi="Arial" w:cs="Arial"/>
                    <w:lang w:eastAsia="en-GB"/>
                  </w:rPr>
                  <w:t>Cleaner Air (CAFS 2)</w:t>
                </w:r>
              </w:p>
            </w:tc>
            <w:tc>
              <w:tcPr>
                <w:tcW w:w="1862" w:type="dxa"/>
                <w:tcBorders>
                  <w:top w:val="nil"/>
                  <w:left w:val="single" w:sz="8" w:space="0" w:color="757171"/>
                  <w:bottom w:val="nil"/>
                  <w:right w:val="nil"/>
                </w:tcBorders>
                <w:shd w:val="clear" w:color="000000" w:fill="FFFFFF"/>
                <w:noWrap/>
                <w:vAlign w:val="center"/>
                <w:hideMark/>
              </w:tcPr>
              <w:p w14:paraId="60ACBC0D"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30</w:t>
                </w:r>
              </w:p>
            </w:tc>
            <w:tc>
              <w:tcPr>
                <w:tcW w:w="1559" w:type="dxa"/>
                <w:tcBorders>
                  <w:top w:val="nil"/>
                  <w:left w:val="single" w:sz="8" w:space="0" w:color="757171"/>
                  <w:bottom w:val="nil"/>
                  <w:right w:val="nil"/>
                </w:tcBorders>
                <w:shd w:val="clear" w:color="000000" w:fill="FFFFFF"/>
                <w:noWrap/>
                <w:vAlign w:val="center"/>
                <w:hideMark/>
              </w:tcPr>
              <w:p w14:paraId="5DB71A0F"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 </w:t>
                </w:r>
              </w:p>
            </w:tc>
            <w:tc>
              <w:tcPr>
                <w:tcW w:w="1843" w:type="dxa"/>
                <w:tcBorders>
                  <w:top w:val="nil"/>
                  <w:left w:val="single" w:sz="8" w:space="0" w:color="auto"/>
                  <w:bottom w:val="nil"/>
                  <w:right w:val="single" w:sz="8" w:space="0" w:color="auto"/>
                </w:tcBorders>
                <w:shd w:val="clear" w:color="000000" w:fill="FFFFFF"/>
                <w:noWrap/>
                <w:vAlign w:val="center"/>
                <w:hideMark/>
              </w:tcPr>
              <w:p w14:paraId="546F9B66"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30</w:t>
                </w:r>
              </w:p>
            </w:tc>
          </w:tr>
          <w:tr w:rsidR="00417167" w:rsidRPr="00417167" w14:paraId="2E098DB9" w14:textId="77777777" w:rsidTr="001142DD">
            <w:trPr>
              <w:trHeight w:val="310"/>
            </w:trPr>
            <w:tc>
              <w:tcPr>
                <w:tcW w:w="3940" w:type="dxa"/>
                <w:tcBorders>
                  <w:top w:val="nil"/>
                  <w:left w:val="single" w:sz="4" w:space="0" w:color="auto"/>
                  <w:bottom w:val="nil"/>
                  <w:right w:val="single" w:sz="4" w:space="0" w:color="auto"/>
                </w:tcBorders>
                <w:noWrap/>
                <w:vAlign w:val="center"/>
                <w:hideMark/>
              </w:tcPr>
              <w:p w14:paraId="76977A77" w14:textId="77777777" w:rsidR="00417167" w:rsidRPr="00417167" w:rsidRDefault="00417167" w:rsidP="001142DD">
                <w:pPr>
                  <w:spacing w:after="0"/>
                  <w:rPr>
                    <w:rFonts w:ascii="Arial" w:eastAsia="Times New Roman" w:hAnsi="Arial" w:cs="Arial"/>
                    <w:lang w:eastAsia="en-GB"/>
                  </w:rPr>
                </w:pPr>
                <w:r w:rsidRPr="00417167">
                  <w:rPr>
                    <w:rFonts w:ascii="Arial" w:eastAsia="Times New Roman" w:hAnsi="Arial" w:cs="Arial"/>
                    <w:lang w:eastAsia="en-GB"/>
                  </w:rPr>
                  <w:t>Air Quality (Volcanic Monitoring)</w:t>
                </w:r>
              </w:p>
            </w:tc>
            <w:tc>
              <w:tcPr>
                <w:tcW w:w="1862" w:type="dxa"/>
                <w:tcBorders>
                  <w:top w:val="nil"/>
                  <w:left w:val="single" w:sz="8" w:space="0" w:color="757171"/>
                  <w:bottom w:val="nil"/>
                  <w:right w:val="nil"/>
                </w:tcBorders>
                <w:shd w:val="clear" w:color="000000" w:fill="FFFFFF"/>
                <w:noWrap/>
                <w:vAlign w:val="center"/>
                <w:hideMark/>
              </w:tcPr>
              <w:p w14:paraId="2C421FA4"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28</w:t>
                </w:r>
              </w:p>
            </w:tc>
            <w:tc>
              <w:tcPr>
                <w:tcW w:w="1559" w:type="dxa"/>
                <w:tcBorders>
                  <w:top w:val="nil"/>
                  <w:left w:val="single" w:sz="8" w:space="0" w:color="757171"/>
                  <w:bottom w:val="nil"/>
                  <w:right w:val="nil"/>
                </w:tcBorders>
                <w:shd w:val="clear" w:color="000000" w:fill="FFFFFF"/>
                <w:noWrap/>
                <w:vAlign w:val="center"/>
                <w:hideMark/>
              </w:tcPr>
              <w:p w14:paraId="7FC4AC84"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 </w:t>
                </w:r>
              </w:p>
            </w:tc>
            <w:tc>
              <w:tcPr>
                <w:tcW w:w="1843" w:type="dxa"/>
                <w:tcBorders>
                  <w:top w:val="nil"/>
                  <w:left w:val="single" w:sz="8" w:space="0" w:color="auto"/>
                  <w:bottom w:val="nil"/>
                  <w:right w:val="single" w:sz="8" w:space="0" w:color="auto"/>
                </w:tcBorders>
                <w:shd w:val="clear" w:color="000000" w:fill="FFFFFF"/>
                <w:noWrap/>
                <w:vAlign w:val="center"/>
                <w:hideMark/>
              </w:tcPr>
              <w:p w14:paraId="371B5145"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28</w:t>
                </w:r>
              </w:p>
            </w:tc>
          </w:tr>
          <w:tr w:rsidR="00417167" w:rsidRPr="00417167" w14:paraId="31A11112" w14:textId="77777777" w:rsidTr="001142DD">
            <w:trPr>
              <w:trHeight w:val="310"/>
            </w:trPr>
            <w:tc>
              <w:tcPr>
                <w:tcW w:w="3940" w:type="dxa"/>
                <w:tcBorders>
                  <w:top w:val="nil"/>
                  <w:left w:val="single" w:sz="4" w:space="0" w:color="auto"/>
                  <w:bottom w:val="nil"/>
                  <w:right w:val="single" w:sz="4" w:space="0" w:color="auto"/>
                </w:tcBorders>
                <w:noWrap/>
                <w:vAlign w:val="center"/>
                <w:hideMark/>
              </w:tcPr>
              <w:p w14:paraId="3F8EBAE3" w14:textId="168641FC" w:rsidR="00417167" w:rsidRPr="00417167" w:rsidRDefault="00417167" w:rsidP="001142DD">
                <w:pPr>
                  <w:spacing w:after="0"/>
                  <w:rPr>
                    <w:rFonts w:ascii="Arial" w:eastAsia="Times New Roman" w:hAnsi="Arial" w:cs="Arial"/>
                    <w:lang w:eastAsia="en-GB"/>
                  </w:rPr>
                </w:pPr>
                <w:r w:rsidRPr="00417167">
                  <w:rPr>
                    <w:rFonts w:ascii="Arial" w:eastAsia="Times New Roman" w:hAnsi="Arial" w:cs="Arial"/>
                    <w:lang w:eastAsia="en-GB"/>
                  </w:rPr>
                  <w:t>Air Quality (</w:t>
                </w:r>
                <w:proofErr w:type="spellStart"/>
                <w:r w:rsidRPr="00417167">
                  <w:rPr>
                    <w:rFonts w:ascii="Arial" w:eastAsia="Times New Roman" w:hAnsi="Arial" w:cs="Arial"/>
                    <w:lang w:eastAsia="en-GB"/>
                  </w:rPr>
                  <w:t>Zephyre</w:t>
                </w:r>
                <w:proofErr w:type="spellEnd"/>
                <w:r w:rsidRPr="00417167">
                  <w:rPr>
                    <w:rFonts w:ascii="Arial" w:eastAsia="Times New Roman" w:hAnsi="Arial" w:cs="Arial"/>
                    <w:lang w:eastAsia="en-GB"/>
                  </w:rPr>
                  <w:t xml:space="preserve"> Maint</w:t>
                </w:r>
                <w:r w:rsidR="002F7F3A">
                  <w:rPr>
                    <w:rFonts w:ascii="Arial" w:eastAsia="Times New Roman" w:hAnsi="Arial" w:cs="Arial"/>
                    <w:lang w:eastAsia="en-GB"/>
                  </w:rPr>
                  <w:t>enance</w:t>
                </w:r>
                <w:r w:rsidRPr="00417167">
                  <w:rPr>
                    <w:rFonts w:ascii="Arial" w:eastAsia="Times New Roman" w:hAnsi="Arial" w:cs="Arial"/>
                    <w:lang w:eastAsia="en-GB"/>
                  </w:rPr>
                  <w:t>)</w:t>
                </w:r>
              </w:p>
            </w:tc>
            <w:tc>
              <w:tcPr>
                <w:tcW w:w="1862" w:type="dxa"/>
                <w:tcBorders>
                  <w:top w:val="nil"/>
                  <w:left w:val="single" w:sz="8" w:space="0" w:color="757171"/>
                  <w:bottom w:val="nil"/>
                  <w:right w:val="nil"/>
                </w:tcBorders>
                <w:shd w:val="clear" w:color="000000" w:fill="FFFFFF"/>
                <w:noWrap/>
                <w:vAlign w:val="center"/>
                <w:hideMark/>
              </w:tcPr>
              <w:p w14:paraId="61A477A5"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12</w:t>
                </w:r>
              </w:p>
            </w:tc>
            <w:tc>
              <w:tcPr>
                <w:tcW w:w="1559" w:type="dxa"/>
                <w:tcBorders>
                  <w:top w:val="nil"/>
                  <w:left w:val="single" w:sz="8" w:space="0" w:color="757171"/>
                  <w:bottom w:val="nil"/>
                  <w:right w:val="nil"/>
                </w:tcBorders>
                <w:shd w:val="clear" w:color="000000" w:fill="FFFFFF"/>
                <w:noWrap/>
                <w:vAlign w:val="center"/>
                <w:hideMark/>
              </w:tcPr>
              <w:p w14:paraId="7D8EE555"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 </w:t>
                </w:r>
              </w:p>
            </w:tc>
            <w:tc>
              <w:tcPr>
                <w:tcW w:w="1843" w:type="dxa"/>
                <w:tcBorders>
                  <w:top w:val="nil"/>
                  <w:left w:val="single" w:sz="8" w:space="0" w:color="auto"/>
                  <w:bottom w:val="nil"/>
                  <w:right w:val="single" w:sz="8" w:space="0" w:color="auto"/>
                </w:tcBorders>
                <w:shd w:val="clear" w:color="000000" w:fill="FFFFFF"/>
                <w:noWrap/>
                <w:vAlign w:val="center"/>
                <w:hideMark/>
              </w:tcPr>
              <w:p w14:paraId="6E00D966"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12</w:t>
                </w:r>
              </w:p>
            </w:tc>
          </w:tr>
          <w:tr w:rsidR="00417167" w:rsidRPr="00417167" w14:paraId="34EC47F1" w14:textId="77777777" w:rsidTr="001142DD">
            <w:trPr>
              <w:trHeight w:val="310"/>
            </w:trPr>
            <w:tc>
              <w:tcPr>
                <w:tcW w:w="3940" w:type="dxa"/>
                <w:tcBorders>
                  <w:top w:val="nil"/>
                  <w:left w:val="single" w:sz="4" w:space="0" w:color="auto"/>
                  <w:bottom w:val="nil"/>
                  <w:right w:val="single" w:sz="4" w:space="0" w:color="auto"/>
                </w:tcBorders>
                <w:noWrap/>
                <w:vAlign w:val="center"/>
                <w:hideMark/>
              </w:tcPr>
              <w:p w14:paraId="0B18B27D" w14:textId="77777777" w:rsidR="00417167" w:rsidRPr="00417167" w:rsidRDefault="00417167" w:rsidP="001142DD">
                <w:pPr>
                  <w:spacing w:after="0"/>
                  <w:rPr>
                    <w:rFonts w:ascii="Arial" w:eastAsia="Times New Roman" w:hAnsi="Arial" w:cs="Arial"/>
                    <w:lang w:eastAsia="en-GB"/>
                  </w:rPr>
                </w:pPr>
                <w:r w:rsidRPr="00417167">
                  <w:rPr>
                    <w:rFonts w:ascii="Arial" w:eastAsia="Times New Roman" w:hAnsi="Arial" w:cs="Arial"/>
                    <w:lang w:eastAsia="en-GB"/>
                  </w:rPr>
                  <w:t xml:space="preserve">Emission Trading Scheme &amp; </w:t>
                </w:r>
                <w:proofErr w:type="spellStart"/>
                <w:r w:rsidRPr="00417167">
                  <w:rPr>
                    <w:rFonts w:ascii="Arial" w:eastAsia="Times New Roman" w:hAnsi="Arial" w:cs="Arial"/>
                    <w:lang w:eastAsia="en-GB"/>
                  </w:rPr>
                  <w:t>Fgas</w:t>
                </w:r>
                <w:proofErr w:type="spellEnd"/>
              </w:p>
            </w:tc>
            <w:tc>
              <w:tcPr>
                <w:tcW w:w="1862" w:type="dxa"/>
                <w:tcBorders>
                  <w:top w:val="nil"/>
                  <w:left w:val="single" w:sz="8" w:space="0" w:color="757171"/>
                  <w:bottom w:val="nil"/>
                  <w:right w:val="nil"/>
                </w:tcBorders>
                <w:shd w:val="clear" w:color="000000" w:fill="FFFFFF"/>
                <w:noWrap/>
                <w:vAlign w:val="center"/>
                <w:hideMark/>
              </w:tcPr>
              <w:p w14:paraId="4D841BCF"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331</w:t>
                </w:r>
              </w:p>
            </w:tc>
            <w:tc>
              <w:tcPr>
                <w:tcW w:w="1559" w:type="dxa"/>
                <w:tcBorders>
                  <w:top w:val="nil"/>
                  <w:left w:val="single" w:sz="8" w:space="0" w:color="757171"/>
                  <w:bottom w:val="nil"/>
                  <w:right w:val="nil"/>
                </w:tcBorders>
                <w:shd w:val="clear" w:color="000000" w:fill="FFFFFF"/>
                <w:noWrap/>
                <w:vAlign w:val="center"/>
                <w:hideMark/>
              </w:tcPr>
              <w:p w14:paraId="602BA917"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 </w:t>
                </w:r>
              </w:p>
            </w:tc>
            <w:tc>
              <w:tcPr>
                <w:tcW w:w="1843" w:type="dxa"/>
                <w:tcBorders>
                  <w:top w:val="nil"/>
                  <w:left w:val="single" w:sz="8" w:space="0" w:color="auto"/>
                  <w:bottom w:val="nil"/>
                  <w:right w:val="single" w:sz="8" w:space="0" w:color="auto"/>
                </w:tcBorders>
                <w:shd w:val="clear" w:color="000000" w:fill="FFFFFF"/>
                <w:noWrap/>
                <w:vAlign w:val="center"/>
                <w:hideMark/>
              </w:tcPr>
              <w:p w14:paraId="0602CFD8"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331</w:t>
                </w:r>
              </w:p>
            </w:tc>
          </w:tr>
          <w:tr w:rsidR="00417167" w:rsidRPr="00417167" w14:paraId="7D2FF54C" w14:textId="77777777" w:rsidTr="001142DD">
            <w:trPr>
              <w:trHeight w:val="310"/>
            </w:trPr>
            <w:tc>
              <w:tcPr>
                <w:tcW w:w="3940" w:type="dxa"/>
                <w:tcBorders>
                  <w:top w:val="nil"/>
                  <w:left w:val="single" w:sz="4" w:space="0" w:color="auto"/>
                  <w:bottom w:val="nil"/>
                  <w:right w:val="single" w:sz="8" w:space="0" w:color="auto"/>
                </w:tcBorders>
                <w:noWrap/>
                <w:vAlign w:val="center"/>
                <w:hideMark/>
              </w:tcPr>
              <w:p w14:paraId="6790C469" w14:textId="77777777" w:rsidR="00417167" w:rsidRPr="00417167" w:rsidRDefault="00417167" w:rsidP="001142DD">
                <w:pPr>
                  <w:spacing w:after="0"/>
                  <w:rPr>
                    <w:rFonts w:ascii="Arial" w:eastAsia="Times New Roman" w:hAnsi="Arial" w:cs="Arial"/>
                    <w:lang w:eastAsia="en-GB"/>
                  </w:rPr>
                </w:pPr>
                <w:r w:rsidRPr="00417167">
                  <w:rPr>
                    <w:rFonts w:ascii="Arial" w:eastAsia="Times New Roman" w:hAnsi="Arial" w:cs="Arial"/>
                    <w:lang w:eastAsia="en-GB"/>
                  </w:rPr>
                  <w:t>Water Environment Fund - SBR</w:t>
                </w:r>
              </w:p>
            </w:tc>
            <w:tc>
              <w:tcPr>
                <w:tcW w:w="1862" w:type="dxa"/>
                <w:tcBorders>
                  <w:top w:val="nil"/>
                  <w:left w:val="nil"/>
                  <w:bottom w:val="nil"/>
                  <w:right w:val="single" w:sz="8" w:space="0" w:color="auto"/>
                </w:tcBorders>
                <w:noWrap/>
                <w:vAlign w:val="center"/>
                <w:hideMark/>
              </w:tcPr>
              <w:p w14:paraId="37CBE482"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250</w:t>
                </w:r>
              </w:p>
            </w:tc>
            <w:tc>
              <w:tcPr>
                <w:tcW w:w="1559" w:type="dxa"/>
                <w:tcBorders>
                  <w:top w:val="nil"/>
                  <w:left w:val="nil"/>
                  <w:bottom w:val="nil"/>
                  <w:right w:val="single" w:sz="8" w:space="0" w:color="auto"/>
                </w:tcBorders>
                <w:shd w:val="clear" w:color="000000" w:fill="FFFFFF"/>
                <w:noWrap/>
                <w:vAlign w:val="center"/>
                <w:hideMark/>
              </w:tcPr>
              <w:p w14:paraId="240A2C70"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 </w:t>
                </w:r>
              </w:p>
            </w:tc>
            <w:tc>
              <w:tcPr>
                <w:tcW w:w="1843" w:type="dxa"/>
                <w:tcBorders>
                  <w:top w:val="nil"/>
                  <w:left w:val="nil"/>
                  <w:bottom w:val="nil"/>
                  <w:right w:val="single" w:sz="8" w:space="0" w:color="auto"/>
                </w:tcBorders>
                <w:shd w:val="clear" w:color="000000" w:fill="FFFFFF"/>
                <w:noWrap/>
                <w:vAlign w:val="center"/>
                <w:hideMark/>
              </w:tcPr>
              <w:p w14:paraId="35579D07" w14:textId="77777777" w:rsidR="00417167" w:rsidRPr="00417167" w:rsidRDefault="00417167" w:rsidP="00A07AAE">
                <w:pPr>
                  <w:spacing w:after="0"/>
                  <w:jc w:val="right"/>
                  <w:rPr>
                    <w:rFonts w:ascii="Arial" w:eastAsia="Times New Roman" w:hAnsi="Arial" w:cs="Arial"/>
                    <w:lang w:eastAsia="en-GB"/>
                  </w:rPr>
                </w:pPr>
                <w:r w:rsidRPr="00417167">
                  <w:rPr>
                    <w:rFonts w:ascii="Arial" w:eastAsia="Times New Roman" w:hAnsi="Arial" w:cs="Arial"/>
                    <w:lang w:eastAsia="en-GB"/>
                  </w:rPr>
                  <w:t>250</w:t>
                </w:r>
              </w:p>
            </w:tc>
          </w:tr>
          <w:tr w:rsidR="00417167" w:rsidRPr="00417167" w14:paraId="67FF808A" w14:textId="77777777" w:rsidTr="001142DD">
            <w:trPr>
              <w:trHeight w:val="320"/>
            </w:trPr>
            <w:tc>
              <w:tcPr>
                <w:tcW w:w="3940" w:type="dxa"/>
                <w:tcBorders>
                  <w:top w:val="nil"/>
                  <w:left w:val="single" w:sz="8" w:space="0" w:color="757171"/>
                  <w:bottom w:val="single" w:sz="4" w:space="0" w:color="auto"/>
                  <w:right w:val="nil"/>
                </w:tcBorders>
                <w:shd w:val="clear" w:color="000000" w:fill="016574"/>
                <w:noWrap/>
                <w:vAlign w:val="center"/>
                <w:hideMark/>
              </w:tcPr>
              <w:p w14:paraId="33E26A0F" w14:textId="77777777" w:rsidR="00417167" w:rsidRPr="00417167" w:rsidRDefault="00417167" w:rsidP="001142DD">
                <w:pPr>
                  <w:spacing w:after="0"/>
                  <w:rPr>
                    <w:rFonts w:ascii="Arial" w:eastAsia="Times New Roman" w:hAnsi="Arial" w:cs="Arial"/>
                    <w:b/>
                    <w:bCs/>
                    <w:color w:val="FFFFFF"/>
                    <w:lang w:eastAsia="en-GB"/>
                  </w:rPr>
                </w:pPr>
                <w:r w:rsidRPr="00417167">
                  <w:rPr>
                    <w:rFonts w:ascii="Arial" w:eastAsia="Times New Roman" w:hAnsi="Arial" w:cs="Arial"/>
                    <w:b/>
                    <w:bCs/>
                    <w:color w:val="FFFFFF"/>
                    <w:lang w:eastAsia="en-GB"/>
                  </w:rPr>
                  <w:t>Total adjustments</w:t>
                </w:r>
              </w:p>
            </w:tc>
            <w:tc>
              <w:tcPr>
                <w:tcW w:w="1862" w:type="dxa"/>
                <w:tcBorders>
                  <w:top w:val="nil"/>
                  <w:left w:val="single" w:sz="8" w:space="0" w:color="757171"/>
                  <w:bottom w:val="single" w:sz="4" w:space="0" w:color="auto"/>
                  <w:right w:val="nil"/>
                </w:tcBorders>
                <w:shd w:val="clear" w:color="000000" w:fill="016574"/>
                <w:noWrap/>
                <w:vAlign w:val="center"/>
                <w:hideMark/>
              </w:tcPr>
              <w:p w14:paraId="100B8842" w14:textId="77777777" w:rsidR="00417167" w:rsidRPr="00417167" w:rsidRDefault="00417167" w:rsidP="00A07AAE">
                <w:pPr>
                  <w:spacing w:after="0"/>
                  <w:jc w:val="right"/>
                  <w:rPr>
                    <w:rFonts w:ascii="Arial" w:eastAsia="Times New Roman" w:hAnsi="Arial" w:cs="Arial"/>
                    <w:b/>
                    <w:bCs/>
                    <w:color w:val="FFFFFF"/>
                    <w:lang w:eastAsia="en-GB"/>
                  </w:rPr>
                </w:pPr>
                <w:r w:rsidRPr="00417167">
                  <w:rPr>
                    <w:rFonts w:ascii="Arial" w:eastAsia="Times New Roman" w:hAnsi="Arial" w:cs="Arial"/>
                    <w:b/>
                    <w:bCs/>
                    <w:color w:val="FFFFFF"/>
                    <w:lang w:eastAsia="en-GB"/>
                  </w:rPr>
                  <w:t>3,944</w:t>
                </w:r>
              </w:p>
            </w:tc>
            <w:tc>
              <w:tcPr>
                <w:tcW w:w="1559" w:type="dxa"/>
                <w:tcBorders>
                  <w:top w:val="nil"/>
                  <w:left w:val="single" w:sz="8" w:space="0" w:color="757171"/>
                  <w:bottom w:val="single" w:sz="4" w:space="0" w:color="auto"/>
                  <w:right w:val="nil"/>
                </w:tcBorders>
                <w:shd w:val="clear" w:color="000000" w:fill="016574"/>
                <w:noWrap/>
                <w:vAlign w:val="center"/>
                <w:hideMark/>
              </w:tcPr>
              <w:p w14:paraId="25771868" w14:textId="77777777" w:rsidR="00417167" w:rsidRPr="00417167" w:rsidRDefault="00417167" w:rsidP="00A07AAE">
                <w:pPr>
                  <w:spacing w:after="0"/>
                  <w:jc w:val="right"/>
                  <w:rPr>
                    <w:rFonts w:ascii="Arial" w:eastAsia="Times New Roman" w:hAnsi="Arial" w:cs="Arial"/>
                    <w:b/>
                    <w:bCs/>
                    <w:color w:val="FFFFFF"/>
                    <w:lang w:eastAsia="en-GB"/>
                  </w:rPr>
                </w:pPr>
                <w:r w:rsidRPr="00417167">
                  <w:rPr>
                    <w:rFonts w:ascii="Arial" w:eastAsia="Times New Roman" w:hAnsi="Arial" w:cs="Arial"/>
                    <w:b/>
                    <w:bCs/>
                    <w:color w:val="FFFFFF"/>
                    <w:lang w:eastAsia="en-GB"/>
                  </w:rPr>
                  <w:t>0</w:t>
                </w:r>
              </w:p>
            </w:tc>
            <w:tc>
              <w:tcPr>
                <w:tcW w:w="1843" w:type="dxa"/>
                <w:tcBorders>
                  <w:top w:val="nil"/>
                  <w:left w:val="single" w:sz="8" w:space="0" w:color="757171"/>
                  <w:bottom w:val="single" w:sz="4" w:space="0" w:color="auto"/>
                  <w:right w:val="nil"/>
                </w:tcBorders>
                <w:shd w:val="clear" w:color="000000" w:fill="016574"/>
                <w:noWrap/>
                <w:vAlign w:val="center"/>
                <w:hideMark/>
              </w:tcPr>
              <w:p w14:paraId="64F00BBF" w14:textId="77777777" w:rsidR="00417167" w:rsidRPr="00417167" w:rsidRDefault="00417167" w:rsidP="00A07AAE">
                <w:pPr>
                  <w:spacing w:after="0"/>
                  <w:jc w:val="right"/>
                  <w:rPr>
                    <w:rFonts w:ascii="Arial" w:eastAsia="Times New Roman" w:hAnsi="Arial" w:cs="Arial"/>
                    <w:b/>
                    <w:bCs/>
                    <w:color w:val="FFFFFF"/>
                    <w:lang w:eastAsia="en-GB"/>
                  </w:rPr>
                </w:pPr>
                <w:r w:rsidRPr="00417167">
                  <w:rPr>
                    <w:rFonts w:ascii="Arial" w:eastAsia="Times New Roman" w:hAnsi="Arial" w:cs="Arial"/>
                    <w:b/>
                    <w:bCs/>
                    <w:color w:val="FFFFFF"/>
                    <w:lang w:eastAsia="en-GB"/>
                  </w:rPr>
                  <w:t>3,944</w:t>
                </w:r>
              </w:p>
            </w:tc>
          </w:tr>
          <w:tr w:rsidR="00417167" w:rsidRPr="00417167" w14:paraId="16EBDD51" w14:textId="77777777" w:rsidTr="001142DD">
            <w:trPr>
              <w:trHeight w:val="320"/>
            </w:trPr>
            <w:tc>
              <w:tcPr>
                <w:tcW w:w="3940" w:type="dxa"/>
                <w:tcBorders>
                  <w:top w:val="single" w:sz="4" w:space="0" w:color="auto"/>
                  <w:left w:val="single" w:sz="4" w:space="0" w:color="auto"/>
                  <w:bottom w:val="single" w:sz="4" w:space="0" w:color="auto"/>
                  <w:right w:val="single" w:sz="4" w:space="0" w:color="auto"/>
                </w:tcBorders>
                <w:noWrap/>
                <w:vAlign w:val="center"/>
                <w:hideMark/>
              </w:tcPr>
              <w:p w14:paraId="4FF32C63" w14:textId="77777777" w:rsidR="00417167" w:rsidRPr="00417167" w:rsidRDefault="00417167" w:rsidP="001142DD">
                <w:pPr>
                  <w:spacing w:after="0"/>
                  <w:rPr>
                    <w:rFonts w:ascii="Arial" w:eastAsia="Times New Roman" w:hAnsi="Arial" w:cs="Arial"/>
                    <w:b/>
                    <w:bCs/>
                    <w:color w:val="FFFFFF"/>
                    <w:lang w:eastAsia="en-GB"/>
                  </w:rPr>
                </w:pPr>
              </w:p>
            </w:tc>
            <w:tc>
              <w:tcPr>
                <w:tcW w:w="1862" w:type="dxa"/>
                <w:tcBorders>
                  <w:top w:val="single" w:sz="4" w:space="0" w:color="auto"/>
                  <w:left w:val="single" w:sz="4" w:space="0" w:color="auto"/>
                  <w:bottom w:val="single" w:sz="4" w:space="0" w:color="auto"/>
                  <w:right w:val="single" w:sz="4" w:space="0" w:color="auto"/>
                </w:tcBorders>
                <w:noWrap/>
                <w:vAlign w:val="center"/>
                <w:hideMark/>
              </w:tcPr>
              <w:p w14:paraId="3EFAAE47" w14:textId="77777777" w:rsidR="00417167" w:rsidRPr="00417167" w:rsidRDefault="00417167" w:rsidP="00A07AAE">
                <w:pPr>
                  <w:spacing w:after="0"/>
                  <w:jc w:val="right"/>
                  <w:rPr>
                    <w:rFonts w:ascii="Times New Roman" w:eastAsia="Times New Roman" w:hAnsi="Times New Roman" w:cs="Times New Roman"/>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1FCAB3E" w14:textId="77777777" w:rsidR="00417167" w:rsidRPr="00417167" w:rsidRDefault="00417167" w:rsidP="00A07AAE">
                <w:pPr>
                  <w:spacing w:after="0"/>
                  <w:jc w:val="right"/>
                  <w:rPr>
                    <w:rFonts w:ascii="Times New Roman" w:eastAsia="Times New Roman" w:hAnsi="Times New Roman" w:cs="Times New Roman"/>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5422E02" w14:textId="77777777" w:rsidR="00417167" w:rsidRPr="00417167" w:rsidRDefault="00417167" w:rsidP="00A07AAE">
                <w:pPr>
                  <w:spacing w:after="0"/>
                  <w:jc w:val="right"/>
                  <w:rPr>
                    <w:rFonts w:ascii="Times New Roman" w:eastAsia="Times New Roman" w:hAnsi="Times New Roman" w:cs="Times New Roman"/>
                    <w:sz w:val="20"/>
                    <w:szCs w:val="20"/>
                    <w:lang w:eastAsia="en-GB"/>
                  </w:rPr>
                </w:pPr>
              </w:p>
            </w:tc>
          </w:tr>
          <w:tr w:rsidR="00417167" w:rsidRPr="00417167" w14:paraId="4984AA33" w14:textId="77777777" w:rsidTr="001142DD">
            <w:trPr>
              <w:trHeight w:val="320"/>
            </w:trPr>
            <w:tc>
              <w:tcPr>
                <w:tcW w:w="3940" w:type="dxa"/>
                <w:tcBorders>
                  <w:top w:val="single" w:sz="4" w:space="0" w:color="auto"/>
                  <w:left w:val="single" w:sz="8" w:space="0" w:color="757171"/>
                  <w:bottom w:val="single" w:sz="8" w:space="0" w:color="757171"/>
                  <w:right w:val="nil"/>
                </w:tcBorders>
                <w:shd w:val="clear" w:color="000000" w:fill="016574"/>
                <w:noWrap/>
                <w:vAlign w:val="center"/>
                <w:hideMark/>
              </w:tcPr>
              <w:p w14:paraId="7196370D" w14:textId="77777777" w:rsidR="00417167" w:rsidRPr="00417167" w:rsidRDefault="00417167" w:rsidP="001142DD">
                <w:pPr>
                  <w:spacing w:after="0"/>
                  <w:rPr>
                    <w:rFonts w:ascii="Arial" w:eastAsia="Times New Roman" w:hAnsi="Arial" w:cs="Arial"/>
                    <w:b/>
                    <w:bCs/>
                    <w:color w:val="FFFFFF"/>
                    <w:lang w:eastAsia="en-GB"/>
                  </w:rPr>
                </w:pPr>
                <w:r w:rsidRPr="00417167">
                  <w:rPr>
                    <w:rFonts w:ascii="Arial" w:eastAsia="Times New Roman" w:hAnsi="Arial" w:cs="Arial"/>
                    <w:b/>
                    <w:bCs/>
                    <w:color w:val="FFFFFF"/>
                    <w:lang w:eastAsia="en-GB"/>
                  </w:rPr>
                  <w:t>Total revenue budget</w:t>
                </w:r>
              </w:p>
            </w:tc>
            <w:tc>
              <w:tcPr>
                <w:tcW w:w="1862" w:type="dxa"/>
                <w:tcBorders>
                  <w:top w:val="single" w:sz="4" w:space="0" w:color="auto"/>
                  <w:left w:val="single" w:sz="8" w:space="0" w:color="757171"/>
                  <w:bottom w:val="single" w:sz="8" w:space="0" w:color="757171"/>
                  <w:right w:val="nil"/>
                </w:tcBorders>
                <w:shd w:val="clear" w:color="000000" w:fill="016574"/>
                <w:noWrap/>
                <w:vAlign w:val="center"/>
                <w:hideMark/>
              </w:tcPr>
              <w:p w14:paraId="2ACAEAA1" w14:textId="77777777" w:rsidR="00417167" w:rsidRPr="00417167" w:rsidRDefault="00417167" w:rsidP="00A07AAE">
                <w:pPr>
                  <w:spacing w:after="0"/>
                  <w:jc w:val="right"/>
                  <w:rPr>
                    <w:rFonts w:ascii="Arial" w:eastAsia="Times New Roman" w:hAnsi="Arial" w:cs="Arial"/>
                    <w:b/>
                    <w:bCs/>
                    <w:color w:val="FFFFFF"/>
                    <w:lang w:eastAsia="en-GB"/>
                  </w:rPr>
                </w:pPr>
                <w:r w:rsidRPr="00417167">
                  <w:rPr>
                    <w:rFonts w:ascii="Arial" w:eastAsia="Times New Roman" w:hAnsi="Arial" w:cs="Arial"/>
                    <w:b/>
                    <w:bCs/>
                    <w:color w:val="FFFFFF"/>
                    <w:lang w:eastAsia="en-GB"/>
                  </w:rPr>
                  <w:t>46,344</w:t>
                </w:r>
              </w:p>
            </w:tc>
            <w:tc>
              <w:tcPr>
                <w:tcW w:w="1559" w:type="dxa"/>
                <w:tcBorders>
                  <w:top w:val="single" w:sz="4" w:space="0" w:color="auto"/>
                  <w:left w:val="single" w:sz="8" w:space="0" w:color="757171"/>
                  <w:bottom w:val="single" w:sz="8" w:space="0" w:color="757171"/>
                  <w:right w:val="nil"/>
                </w:tcBorders>
                <w:shd w:val="clear" w:color="000000" w:fill="016574"/>
                <w:noWrap/>
                <w:vAlign w:val="center"/>
                <w:hideMark/>
              </w:tcPr>
              <w:p w14:paraId="4597F489" w14:textId="77777777" w:rsidR="00417167" w:rsidRPr="00417167" w:rsidRDefault="00417167" w:rsidP="00A07AAE">
                <w:pPr>
                  <w:spacing w:after="0"/>
                  <w:jc w:val="right"/>
                  <w:rPr>
                    <w:rFonts w:ascii="Arial" w:eastAsia="Times New Roman" w:hAnsi="Arial" w:cs="Arial"/>
                    <w:b/>
                    <w:bCs/>
                    <w:color w:val="FFFFFF"/>
                    <w:lang w:eastAsia="en-GB"/>
                  </w:rPr>
                </w:pPr>
                <w:r w:rsidRPr="00417167">
                  <w:rPr>
                    <w:rFonts w:ascii="Arial" w:eastAsia="Times New Roman" w:hAnsi="Arial" w:cs="Arial"/>
                    <w:b/>
                    <w:bCs/>
                    <w:color w:val="FFFFFF"/>
                    <w:lang w:eastAsia="en-GB"/>
                  </w:rPr>
                  <w:t>7,377</w:t>
                </w:r>
              </w:p>
            </w:tc>
            <w:tc>
              <w:tcPr>
                <w:tcW w:w="1843" w:type="dxa"/>
                <w:tcBorders>
                  <w:top w:val="single" w:sz="4" w:space="0" w:color="auto"/>
                  <w:left w:val="single" w:sz="8" w:space="0" w:color="757171"/>
                  <w:bottom w:val="single" w:sz="8" w:space="0" w:color="757171"/>
                  <w:right w:val="single" w:sz="8" w:space="0" w:color="757171"/>
                </w:tcBorders>
                <w:shd w:val="clear" w:color="000000" w:fill="016574"/>
                <w:noWrap/>
                <w:vAlign w:val="center"/>
                <w:hideMark/>
              </w:tcPr>
              <w:p w14:paraId="718D01A2" w14:textId="77777777" w:rsidR="00417167" w:rsidRPr="00417167" w:rsidRDefault="00417167" w:rsidP="00A07AAE">
                <w:pPr>
                  <w:spacing w:after="0"/>
                  <w:jc w:val="right"/>
                  <w:rPr>
                    <w:rFonts w:ascii="Arial" w:eastAsia="Times New Roman" w:hAnsi="Arial" w:cs="Arial"/>
                    <w:b/>
                    <w:bCs/>
                    <w:color w:val="FFFFFF"/>
                    <w:lang w:eastAsia="en-GB"/>
                  </w:rPr>
                </w:pPr>
                <w:r w:rsidRPr="00417167">
                  <w:rPr>
                    <w:rFonts w:ascii="Arial" w:eastAsia="Times New Roman" w:hAnsi="Arial" w:cs="Arial"/>
                    <w:b/>
                    <w:bCs/>
                    <w:color w:val="FFFFFF"/>
                    <w:lang w:eastAsia="en-GB"/>
                  </w:rPr>
                  <w:t>53,721</w:t>
                </w:r>
              </w:p>
            </w:tc>
          </w:tr>
        </w:tbl>
        <w:p w14:paraId="2CA85961" w14:textId="77777777" w:rsidR="00601156" w:rsidRDefault="00601156" w:rsidP="00601156">
          <w:pPr>
            <w:pStyle w:val="ListParagraph"/>
            <w:spacing w:after="120"/>
            <w:ind w:left="1077"/>
          </w:pPr>
        </w:p>
        <w:p w14:paraId="345CE450" w14:textId="3B129B71" w:rsidR="00601156" w:rsidRDefault="00601156" w:rsidP="008962EB">
          <w:pPr>
            <w:pStyle w:val="ListParagraph"/>
            <w:numPr>
              <w:ilvl w:val="1"/>
              <w:numId w:val="4"/>
            </w:numPr>
            <w:spacing w:after="120"/>
            <w:ind w:left="1077" w:hanging="720"/>
            <w:contextualSpacing w:val="0"/>
          </w:pPr>
          <w:r>
            <w:t xml:space="preserve">Revenue </w:t>
          </w:r>
          <w:proofErr w:type="spellStart"/>
          <w:r>
            <w:t>GiA</w:t>
          </w:r>
          <w:proofErr w:type="spellEnd"/>
          <w:r>
            <w:t xml:space="preserve"> for 2025/26 has increased by £3.9m since budget set following additional funds for </w:t>
          </w:r>
          <w:r w:rsidR="00784915">
            <w:t>Water Environment Fund (</w:t>
          </w:r>
          <w:r>
            <w:t>WEF</w:t>
          </w:r>
          <w:r w:rsidR="00784915">
            <w:t>)</w:t>
          </w:r>
          <w:r>
            <w:t xml:space="preserve"> work, regulation systems, fish farm consenting and flood advisory service. The additional funds for fish farm consents and regulation monies were awarded following successful applications to Scottish Government</w:t>
          </w:r>
          <w:r w:rsidR="00792526">
            <w:t>’</w:t>
          </w:r>
          <w:r>
            <w:t xml:space="preserve">s Public Service Reform (PSR) Invest to Save Fund. </w:t>
          </w:r>
        </w:p>
        <w:p w14:paraId="31B07384" w14:textId="760EC435" w:rsidR="00EA4A1E" w:rsidRPr="003619A1" w:rsidRDefault="00601156" w:rsidP="0004549E">
          <w:pPr>
            <w:pStyle w:val="Heading3"/>
            <w:numPr>
              <w:ilvl w:val="0"/>
              <w:numId w:val="3"/>
            </w:numPr>
            <w:ind w:left="426" w:hanging="426"/>
            <w:rPr>
              <w:rStyle w:val="normaltextrun"/>
            </w:rPr>
          </w:pPr>
          <w:r>
            <w:rPr>
              <w:rStyle w:val="normaltextrun"/>
            </w:rPr>
            <w:lastRenderedPageBreak/>
            <w:t>Total revenue expenditure - £112m</w:t>
          </w:r>
        </w:p>
        <w:p w14:paraId="633BC253" w14:textId="4DC329AB" w:rsidR="00437F7B" w:rsidRPr="002F5D61" w:rsidRDefault="00437F7B" w:rsidP="00437F7B">
          <w:pPr>
            <w:pStyle w:val="ListParagraph"/>
            <w:numPr>
              <w:ilvl w:val="1"/>
              <w:numId w:val="8"/>
            </w:numPr>
            <w:spacing w:after="120"/>
            <w:ind w:left="1077" w:hanging="720"/>
            <w:rPr>
              <w:b/>
              <w:bCs/>
            </w:rPr>
          </w:pPr>
          <w:r>
            <w:t xml:space="preserve">Full year operating costs </w:t>
          </w:r>
          <w:r w:rsidR="008F1B45">
            <w:t>are £</w:t>
          </w:r>
          <w:r>
            <w:t>0.</w:t>
          </w:r>
          <w:r w:rsidR="00C21B4B">
            <w:t>6</w:t>
          </w:r>
          <w:r>
            <w:t xml:space="preserve">m </w:t>
          </w:r>
          <w:r w:rsidR="00C21B4B">
            <w:t>less</w:t>
          </w:r>
          <w:r>
            <w:t xml:space="preserve"> than budget. The graph below provides a detailed breakdown by expenditure type.</w:t>
          </w:r>
        </w:p>
        <w:p w14:paraId="4BEF4260" w14:textId="77777777" w:rsidR="002F5D61" w:rsidRPr="00514A60" w:rsidRDefault="002F5D61" w:rsidP="002F5D61">
          <w:pPr>
            <w:pStyle w:val="ListParagraph"/>
            <w:spacing w:after="120"/>
            <w:ind w:left="1077"/>
            <w:rPr>
              <w:b/>
              <w:bCs/>
            </w:rPr>
          </w:pPr>
        </w:p>
        <w:p w14:paraId="3EB0A125" w14:textId="30A8136E" w:rsidR="00514A60" w:rsidRDefault="00F14C5E" w:rsidP="00514A60">
          <w:pPr>
            <w:spacing w:after="120"/>
            <w:ind w:left="357"/>
            <w:rPr>
              <w:b/>
              <w:bCs/>
            </w:rPr>
          </w:pPr>
          <w:r>
            <w:rPr>
              <w:b/>
              <w:bCs/>
              <w:noProof/>
            </w:rPr>
            <w:drawing>
              <wp:anchor distT="0" distB="0" distL="114300" distR="114300" simplePos="0" relativeHeight="251658242" behindDoc="0" locked="0" layoutInCell="1" allowOverlap="1" wp14:anchorId="689286A0" wp14:editId="4AF6F31E">
                <wp:simplePos x="0" y="0"/>
                <wp:positionH relativeFrom="column">
                  <wp:posOffset>252095</wp:posOffset>
                </wp:positionH>
                <wp:positionV relativeFrom="paragraph">
                  <wp:posOffset>336550</wp:posOffset>
                </wp:positionV>
                <wp:extent cx="6345555" cy="2952750"/>
                <wp:effectExtent l="0" t="0" r="0" b="0"/>
                <wp:wrapThrough wrapText="bothSides">
                  <wp:wrapPolygon edited="0">
                    <wp:start x="0" y="0"/>
                    <wp:lineTo x="0" y="21461"/>
                    <wp:lineTo x="21529" y="21461"/>
                    <wp:lineTo x="21529" y="0"/>
                    <wp:lineTo x="0" y="0"/>
                  </wp:wrapPolygon>
                </wp:wrapThrough>
                <wp:docPr id="1481246910" name="Picture 9" descr="Graph 2 details expenditure by type including staff costs, other staff costs, transport costs, supplies and services, property costs and depreciation. The graph shows full year outturn against annual 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46910" name="Picture 9" descr="Graph 2 details expenditure by type including staff costs, other staff costs, transport costs, supplies and services, property costs and depreciation. The graph shows full year outturn against annual budg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45555" cy="2952750"/>
                        </a:xfrm>
                        <a:prstGeom prst="rect">
                          <a:avLst/>
                        </a:prstGeom>
                        <a:noFill/>
                      </pic:spPr>
                    </pic:pic>
                  </a:graphicData>
                </a:graphic>
                <wp14:sizeRelH relativeFrom="margin">
                  <wp14:pctWidth>0</wp14:pctWidth>
                </wp14:sizeRelH>
                <wp14:sizeRelV relativeFrom="margin">
                  <wp14:pctHeight>0</wp14:pctHeight>
                </wp14:sizeRelV>
              </wp:anchor>
            </w:drawing>
          </w:r>
          <w:r w:rsidR="00514A60">
            <w:rPr>
              <w:b/>
              <w:bCs/>
            </w:rPr>
            <w:t>Graph 2: Expenditure by type</w:t>
          </w:r>
        </w:p>
        <w:p w14:paraId="36DBA680" w14:textId="77777777" w:rsidR="00116268" w:rsidRDefault="00116268" w:rsidP="00131F23">
          <w:pPr>
            <w:spacing w:after="120"/>
            <w:rPr>
              <w:b/>
              <w:bCs/>
            </w:rPr>
          </w:pPr>
        </w:p>
        <w:p w14:paraId="01C2DEC6" w14:textId="3CA4AC79" w:rsidR="00116268" w:rsidRDefault="007B2B95" w:rsidP="007B2B95">
          <w:pPr>
            <w:pStyle w:val="Heading4"/>
          </w:pPr>
          <w:r>
            <w:t>Staff costs</w:t>
          </w:r>
        </w:p>
        <w:p w14:paraId="4A34175C" w14:textId="2C9F0E77" w:rsidR="00E04DB0" w:rsidRPr="0054775A" w:rsidRDefault="00E04DB0" w:rsidP="00E04DB0">
          <w:pPr>
            <w:pStyle w:val="ListParagraph"/>
            <w:numPr>
              <w:ilvl w:val="1"/>
              <w:numId w:val="8"/>
            </w:numPr>
            <w:spacing w:after="120"/>
            <w:ind w:left="1077" w:hanging="720"/>
          </w:pPr>
          <w:r>
            <w:t>Budgeted staff costs represent 6</w:t>
          </w:r>
          <w:r w:rsidR="004A28CD">
            <w:t>8</w:t>
          </w:r>
          <w:r>
            <w:t xml:space="preserve">% of total expenditure. </w:t>
          </w:r>
          <w:r w:rsidRPr="003D4EF9">
            <w:t>Th</w:t>
          </w:r>
          <w:r>
            <w:t xml:space="preserve">e full year </w:t>
          </w:r>
          <w:r w:rsidR="00AF6B08">
            <w:t xml:space="preserve">cost </w:t>
          </w:r>
          <w:r>
            <w:t xml:space="preserve">for staff </w:t>
          </w:r>
          <w:r w:rsidR="00C073E9">
            <w:t>was</w:t>
          </w:r>
          <w:r>
            <w:t xml:space="preserve"> £</w:t>
          </w:r>
          <w:r w:rsidR="00C073E9">
            <w:t>1</w:t>
          </w:r>
          <w:r>
            <w:t>m above budget</w:t>
          </w:r>
          <w:r w:rsidR="004830CE">
            <w:t xml:space="preserve">, mainly due </w:t>
          </w:r>
          <w:r w:rsidR="00640C79">
            <w:t>a higher than budgeted pay settlement and</w:t>
          </w:r>
          <w:r>
            <w:t xml:space="preserve"> lower than budgeted vacancy management savings</w:t>
          </w:r>
          <w:r w:rsidR="00561BB5">
            <w:t>.</w:t>
          </w:r>
        </w:p>
        <w:p w14:paraId="12FE3E65" w14:textId="61062D59" w:rsidR="007B2B95" w:rsidRDefault="00820619" w:rsidP="00820619">
          <w:pPr>
            <w:pStyle w:val="Heading4"/>
          </w:pPr>
          <w:r>
            <w:t>Other staff costs</w:t>
          </w:r>
        </w:p>
        <w:p w14:paraId="1ED7DB7B" w14:textId="7E90E5DB" w:rsidR="00820619" w:rsidRDefault="000A200D" w:rsidP="000A200D">
          <w:pPr>
            <w:pStyle w:val="ListParagraph"/>
            <w:numPr>
              <w:ilvl w:val="1"/>
              <w:numId w:val="8"/>
            </w:numPr>
            <w:spacing w:after="120"/>
            <w:ind w:left="1077" w:hanging="720"/>
          </w:pPr>
          <w:r>
            <w:t xml:space="preserve">Other staff costs </w:t>
          </w:r>
          <w:r w:rsidR="00D12597">
            <w:t xml:space="preserve">for the year resulted in </w:t>
          </w:r>
          <w:r>
            <w:t>overspend of £0.5m mainly due to higher than budget forecast expenditure for temporary workers and recruitment costs. These costs are generally funded from vacancy savings, however with targets not currently being achieved they are funded from underspends in corporate costs.</w:t>
          </w:r>
        </w:p>
        <w:p w14:paraId="50390BBC" w14:textId="3A2F40B7" w:rsidR="000A200D" w:rsidRDefault="000A200D" w:rsidP="000A200D">
          <w:pPr>
            <w:pStyle w:val="Heading4"/>
          </w:pPr>
          <w:r>
            <w:t>Transport costs</w:t>
          </w:r>
        </w:p>
        <w:p w14:paraId="415F5B8E" w14:textId="6903F457" w:rsidR="003340C3" w:rsidRPr="003D4EF9" w:rsidRDefault="003340C3" w:rsidP="003340C3">
          <w:pPr>
            <w:pStyle w:val="ListParagraph"/>
            <w:numPr>
              <w:ilvl w:val="1"/>
              <w:numId w:val="8"/>
            </w:numPr>
            <w:spacing w:after="120"/>
            <w:ind w:left="1077" w:hanging="720"/>
          </w:pPr>
          <w:r>
            <w:t xml:space="preserve">Transport costs </w:t>
          </w:r>
          <w:r w:rsidR="00D12597">
            <w:t>for the year resulted in an</w:t>
          </w:r>
          <w:r>
            <w:t xml:space="preserve"> underspend of £0.1m. This is the net movement due to reduced mileage claims primarily due to improved fleet provision.</w:t>
          </w:r>
        </w:p>
        <w:p w14:paraId="42CB7CBB" w14:textId="4C8F51F6" w:rsidR="000A200D" w:rsidRDefault="00CD0C06" w:rsidP="00CD0C06">
          <w:pPr>
            <w:pStyle w:val="Heading4"/>
          </w:pPr>
          <w:r>
            <w:lastRenderedPageBreak/>
            <w:t>Supplies and services</w:t>
          </w:r>
        </w:p>
        <w:p w14:paraId="795AE020" w14:textId="378FEF8E" w:rsidR="003A72C3" w:rsidRPr="00623CE4" w:rsidRDefault="00EB6992" w:rsidP="003A72C3">
          <w:pPr>
            <w:pStyle w:val="ListParagraph"/>
            <w:numPr>
              <w:ilvl w:val="1"/>
              <w:numId w:val="8"/>
            </w:numPr>
            <w:spacing w:after="120"/>
            <w:ind w:left="1077" w:hanging="720"/>
          </w:pPr>
          <w:r>
            <w:t>S</w:t>
          </w:r>
          <w:r w:rsidR="003A72C3">
            <w:t>upplies and services</w:t>
          </w:r>
          <w:r>
            <w:t xml:space="preserve"> for the year resulted in a £2.2m underspend.</w:t>
          </w:r>
          <w:r w:rsidR="003A72C3">
            <w:t xml:space="preserve"> Th</w:t>
          </w:r>
          <w:r w:rsidR="00106C1A">
            <w:t>is</w:t>
          </w:r>
          <w:r w:rsidR="003A72C3">
            <w:t xml:space="preserve"> relates to budget movements between non-staff and staff expenditure lines to fund the pay award and potential in year budget pressures within some portfolios. </w:t>
          </w:r>
        </w:p>
        <w:p w14:paraId="12CA496C" w14:textId="77777777" w:rsidR="003A72C3" w:rsidRDefault="003A72C3" w:rsidP="003A72C3">
          <w:pPr>
            <w:pStyle w:val="Heading4"/>
          </w:pPr>
          <w:r w:rsidRPr="002D2A6A">
            <w:t>Property costs</w:t>
          </w:r>
        </w:p>
        <w:p w14:paraId="756F7AD0" w14:textId="2CB16521" w:rsidR="003A72C3" w:rsidRPr="003A72C3" w:rsidRDefault="00AE7E53" w:rsidP="003A72C3">
          <w:pPr>
            <w:pStyle w:val="ListParagraph"/>
            <w:numPr>
              <w:ilvl w:val="1"/>
              <w:numId w:val="8"/>
            </w:numPr>
            <w:spacing w:after="120"/>
            <w:ind w:left="1077" w:hanging="720"/>
          </w:pPr>
          <w:r>
            <w:t>P</w:t>
          </w:r>
          <w:r w:rsidR="003A72C3">
            <w:t xml:space="preserve">roperty costs </w:t>
          </w:r>
          <w:r>
            <w:t xml:space="preserve">for the year resulted in </w:t>
          </w:r>
          <w:r w:rsidR="003A72C3">
            <w:t>a overspend of £0.</w:t>
          </w:r>
          <w:r w:rsidR="00106C1A">
            <w:t>7</w:t>
          </w:r>
          <w:r w:rsidR="003A72C3">
            <w:t>m, which mostly relates to overspends on maintenance</w:t>
          </w:r>
          <w:r w:rsidR="0078033C">
            <w:t xml:space="preserve"> and lease termination costs.</w:t>
          </w:r>
        </w:p>
        <w:p w14:paraId="374E7AAD" w14:textId="77777777" w:rsidR="00CD0C06" w:rsidRPr="00820619" w:rsidRDefault="00CD0C06" w:rsidP="000A200D">
          <w:pPr>
            <w:spacing w:after="120"/>
          </w:pPr>
        </w:p>
        <w:p w14:paraId="6CC2F7A9" w14:textId="750E5E07" w:rsidR="000B4D5C" w:rsidRPr="003619A1" w:rsidRDefault="003A72C3" w:rsidP="0004549E">
          <w:pPr>
            <w:pStyle w:val="Heading3"/>
            <w:numPr>
              <w:ilvl w:val="0"/>
              <w:numId w:val="3"/>
            </w:numPr>
            <w:ind w:left="426" w:hanging="426"/>
            <w:rPr>
              <w:rStyle w:val="normaltextrun"/>
            </w:rPr>
          </w:pPr>
          <w:r>
            <w:rPr>
              <w:rStyle w:val="normaltextrun"/>
            </w:rPr>
            <w:t>Capital expenditure summary</w:t>
          </w:r>
        </w:p>
        <w:p w14:paraId="109BA404" w14:textId="130B465F" w:rsidR="00C53221" w:rsidRDefault="0098087F" w:rsidP="00B02D35">
          <w:pPr>
            <w:pStyle w:val="ListParagraph"/>
            <w:numPr>
              <w:ilvl w:val="1"/>
              <w:numId w:val="10"/>
            </w:numPr>
            <w:spacing w:after="120"/>
            <w:ind w:left="1077" w:hanging="720"/>
          </w:pPr>
          <w:r>
            <w:t xml:space="preserve">SEPA’s capital budget provided by Scottish Government </w:t>
          </w:r>
          <w:r w:rsidR="006E43C5">
            <w:t xml:space="preserve">((SG) </w:t>
          </w:r>
          <w:r>
            <w:t>for the year is £5.64m. In year, SG confirmed funds of an additional £0.6m to support the creation of a foundational flood and coastal asset database for Scotland and £1m for wave buoy deployment, increasing the total capital budget to £7.21m.</w:t>
          </w:r>
        </w:p>
        <w:p w14:paraId="37F0AC7C" w14:textId="77777777" w:rsidR="00C53221" w:rsidRDefault="00C53221" w:rsidP="00B02D35">
          <w:pPr>
            <w:pStyle w:val="ListParagraph"/>
            <w:spacing w:after="120"/>
            <w:ind w:left="1077" w:hanging="720"/>
          </w:pPr>
        </w:p>
        <w:p w14:paraId="460C5542" w14:textId="578668D0" w:rsidR="000677D7" w:rsidRDefault="0098087F" w:rsidP="00B02D35">
          <w:pPr>
            <w:pStyle w:val="ListParagraph"/>
            <w:numPr>
              <w:ilvl w:val="1"/>
              <w:numId w:val="10"/>
            </w:numPr>
            <w:spacing w:after="120"/>
            <w:ind w:left="1077" w:hanging="720"/>
            <w:sectPr w:rsidR="000677D7" w:rsidSect="00381202">
              <w:headerReference w:type="even" r:id="rId11"/>
              <w:headerReference w:type="default" r:id="rId12"/>
              <w:footerReference w:type="even" r:id="rId13"/>
              <w:footerReference w:type="default" r:id="rId14"/>
              <w:headerReference w:type="first" r:id="rId15"/>
              <w:footerReference w:type="first" r:id="rId16"/>
              <w:pgSz w:w="11900" w:h="16840"/>
              <w:pgMar w:top="839" w:right="839" w:bottom="839" w:left="839" w:header="794" w:footer="283" w:gutter="0"/>
              <w:cols w:space="708"/>
              <w:docGrid w:linePitch="360"/>
            </w:sectPr>
          </w:pPr>
          <w:r>
            <w:t>The base budget was approved with a</w:t>
          </w:r>
          <w:r w:rsidR="00054823">
            <w:t xml:space="preserve"> planned</w:t>
          </w:r>
          <w:r>
            <w:t xml:space="preserve"> over commitment based on the historical knowledge that capital projects are liable to delays, slippage of spend or revision of original budget estimates during the procurement journey. </w:t>
          </w:r>
          <w:r w:rsidR="00054823">
            <w:t>Actual</w:t>
          </w:r>
          <w:r>
            <w:t xml:space="preserve"> expenditure </w:t>
          </w:r>
          <w:r w:rsidR="00F767A4">
            <w:t>for the year was</w:t>
          </w:r>
          <w:r>
            <w:t xml:space="preserve"> £0.</w:t>
          </w:r>
          <w:r w:rsidR="003F32AF">
            <w:t>8</w:t>
          </w:r>
          <w:r>
            <w:t>m below budget</w:t>
          </w:r>
          <w:r w:rsidR="00054823">
            <w:t xml:space="preserve"> relating to </w:t>
          </w:r>
          <w:r w:rsidR="007557E2">
            <w:t xml:space="preserve">capital </w:t>
          </w:r>
          <w:r w:rsidR="00054823">
            <w:t>monies received in year</w:t>
          </w:r>
          <w:r>
            <w:t>.</w:t>
          </w:r>
        </w:p>
        <w:p w14:paraId="0C0C243D" w14:textId="77777777" w:rsidR="00FA6DE1" w:rsidRDefault="00D91323" w:rsidP="00D91323">
          <w:pPr>
            <w:pStyle w:val="Heading4"/>
            <w:rPr>
              <w:rStyle w:val="normaltextrun"/>
            </w:rPr>
          </w:pPr>
          <w:r>
            <w:rPr>
              <w:rStyle w:val="normaltextrun"/>
            </w:rPr>
            <w:lastRenderedPageBreak/>
            <w:t xml:space="preserve">Table 3: Capital </w:t>
          </w:r>
          <w:r w:rsidRPr="00BF2049">
            <w:rPr>
              <w:rStyle w:val="normaltextrun"/>
            </w:rPr>
            <w:t>budget 2025/26</w:t>
          </w:r>
        </w:p>
        <w:tbl>
          <w:tblPr>
            <w:tblW w:w="10461" w:type="dxa"/>
            <w:tblLook w:val="04A0" w:firstRow="1" w:lastRow="0" w:firstColumn="1" w:lastColumn="0" w:noHBand="0" w:noVBand="1"/>
            <w:tblCaption w:val="Table 3: Capital budget 2025-26"/>
          </w:tblPr>
          <w:tblGrid>
            <w:gridCol w:w="2601"/>
            <w:gridCol w:w="1043"/>
            <w:gridCol w:w="1175"/>
            <w:gridCol w:w="5760"/>
          </w:tblGrid>
          <w:tr w:rsidR="00BF2049" w:rsidRPr="00BF2049" w14:paraId="23A8D77C" w14:textId="77777777" w:rsidTr="00E25936">
            <w:trPr>
              <w:cantSplit/>
              <w:trHeight w:val="640"/>
              <w:tblHeader/>
            </w:trPr>
            <w:tc>
              <w:tcPr>
                <w:tcW w:w="2601" w:type="dxa"/>
                <w:tcBorders>
                  <w:top w:val="single" w:sz="4" w:space="0" w:color="auto"/>
                  <w:left w:val="single" w:sz="4" w:space="0" w:color="auto"/>
                  <w:bottom w:val="single" w:sz="4" w:space="0" w:color="auto"/>
                  <w:right w:val="single" w:sz="4" w:space="0" w:color="auto"/>
                </w:tcBorders>
                <w:shd w:val="clear" w:color="auto" w:fill="016574" w:themeFill="accent1"/>
                <w:vAlign w:val="bottom"/>
                <w:hideMark/>
              </w:tcPr>
              <w:p w14:paraId="51A1E7A4" w14:textId="77777777" w:rsidR="00BF2049" w:rsidRPr="00BF2049" w:rsidRDefault="00BF2049" w:rsidP="002C6AB9">
                <w:pPr>
                  <w:spacing w:after="0"/>
                  <w:rPr>
                    <w:rFonts w:ascii="Arial" w:eastAsia="Times New Roman" w:hAnsi="Arial" w:cs="Arial"/>
                    <w:b/>
                    <w:bCs/>
                    <w:color w:val="FFFFFF"/>
                    <w:lang w:eastAsia="en-GB"/>
                  </w:rPr>
                </w:pPr>
                <w:r w:rsidRPr="00BF2049">
                  <w:rPr>
                    <w:rFonts w:ascii="Arial" w:eastAsia="Times New Roman" w:hAnsi="Arial" w:cs="Arial"/>
                    <w:b/>
                    <w:bCs/>
                    <w:color w:val="FFFFFF"/>
                    <w:lang w:eastAsia="en-GB"/>
                  </w:rPr>
                  <w:t>Function</w:t>
                </w:r>
              </w:p>
            </w:tc>
            <w:tc>
              <w:tcPr>
                <w:tcW w:w="925" w:type="dxa"/>
                <w:tcBorders>
                  <w:top w:val="single" w:sz="4" w:space="0" w:color="auto"/>
                  <w:left w:val="nil"/>
                  <w:bottom w:val="single" w:sz="4" w:space="0" w:color="auto"/>
                  <w:right w:val="single" w:sz="4" w:space="0" w:color="auto"/>
                </w:tcBorders>
                <w:shd w:val="clear" w:color="auto" w:fill="016574" w:themeFill="accent1"/>
                <w:vAlign w:val="center"/>
                <w:hideMark/>
              </w:tcPr>
              <w:p w14:paraId="4B406DC5" w14:textId="77777777" w:rsidR="00BF2049" w:rsidRPr="00BF2049" w:rsidRDefault="00BF2049" w:rsidP="002C6AB9">
                <w:pPr>
                  <w:spacing w:after="0"/>
                  <w:rPr>
                    <w:rFonts w:ascii="Arial" w:eastAsia="Times New Roman" w:hAnsi="Arial" w:cs="Arial"/>
                    <w:b/>
                    <w:bCs/>
                    <w:color w:val="FFFFFF"/>
                    <w:lang w:eastAsia="en-GB"/>
                  </w:rPr>
                </w:pPr>
                <w:r w:rsidRPr="00BF2049">
                  <w:rPr>
                    <w:rFonts w:ascii="Arial" w:eastAsia="Times New Roman" w:hAnsi="Arial" w:cs="Arial"/>
                    <w:b/>
                    <w:bCs/>
                    <w:color w:val="FFFFFF"/>
                    <w:lang w:eastAsia="en-GB"/>
                  </w:rPr>
                  <w:t>Budget £'000</w:t>
                </w:r>
              </w:p>
            </w:tc>
            <w:tc>
              <w:tcPr>
                <w:tcW w:w="1175" w:type="dxa"/>
                <w:tcBorders>
                  <w:top w:val="single" w:sz="4" w:space="0" w:color="auto"/>
                  <w:left w:val="nil"/>
                  <w:bottom w:val="single" w:sz="4" w:space="0" w:color="auto"/>
                  <w:right w:val="single" w:sz="4" w:space="0" w:color="auto"/>
                </w:tcBorders>
                <w:shd w:val="clear" w:color="auto" w:fill="016574" w:themeFill="accent1"/>
                <w:vAlign w:val="center"/>
                <w:hideMark/>
              </w:tcPr>
              <w:p w14:paraId="01C00DB0" w14:textId="423EDD8A" w:rsidR="00BF2049" w:rsidRPr="00BF2049" w:rsidRDefault="0022203B" w:rsidP="002C6AB9">
                <w:pPr>
                  <w:spacing w:after="0"/>
                  <w:rPr>
                    <w:rFonts w:ascii="Arial" w:eastAsia="Times New Roman" w:hAnsi="Arial" w:cs="Arial"/>
                    <w:b/>
                    <w:bCs/>
                    <w:color w:val="FFFFFF"/>
                    <w:lang w:eastAsia="en-GB"/>
                  </w:rPr>
                </w:pPr>
                <w:r>
                  <w:rPr>
                    <w:rFonts w:ascii="Arial" w:eastAsia="Times New Roman" w:hAnsi="Arial" w:cs="Arial"/>
                    <w:b/>
                    <w:bCs/>
                    <w:color w:val="FFFFFF"/>
                    <w:lang w:eastAsia="en-GB"/>
                  </w:rPr>
                  <w:t>Outturn</w:t>
                </w:r>
                <w:r w:rsidR="00BF2049" w:rsidRPr="00BF2049">
                  <w:rPr>
                    <w:rFonts w:ascii="Arial" w:eastAsia="Times New Roman" w:hAnsi="Arial" w:cs="Arial"/>
                    <w:b/>
                    <w:bCs/>
                    <w:color w:val="FFFFFF"/>
                    <w:lang w:eastAsia="en-GB"/>
                  </w:rPr>
                  <w:t xml:space="preserve"> £'000</w:t>
                </w:r>
              </w:p>
            </w:tc>
            <w:tc>
              <w:tcPr>
                <w:tcW w:w="5760" w:type="dxa"/>
                <w:tcBorders>
                  <w:top w:val="single" w:sz="4" w:space="0" w:color="auto"/>
                  <w:left w:val="nil"/>
                  <w:bottom w:val="single" w:sz="4" w:space="0" w:color="auto"/>
                  <w:right w:val="single" w:sz="4" w:space="0" w:color="auto"/>
                </w:tcBorders>
                <w:shd w:val="clear" w:color="auto" w:fill="016574" w:themeFill="accent1"/>
                <w:vAlign w:val="center"/>
                <w:hideMark/>
              </w:tcPr>
              <w:p w14:paraId="3FD9DABA" w14:textId="77777777" w:rsidR="00BF2049" w:rsidRPr="00BF2049" w:rsidRDefault="00BF2049" w:rsidP="002C6AB9">
                <w:pPr>
                  <w:spacing w:after="0"/>
                  <w:rPr>
                    <w:rFonts w:ascii="Arial" w:eastAsia="Times New Roman" w:hAnsi="Arial" w:cs="Arial"/>
                    <w:b/>
                    <w:bCs/>
                    <w:color w:val="FFFFFF"/>
                    <w:lang w:eastAsia="en-GB"/>
                  </w:rPr>
                </w:pPr>
                <w:r w:rsidRPr="00BF2049">
                  <w:rPr>
                    <w:rFonts w:ascii="Arial" w:eastAsia="Times New Roman" w:hAnsi="Arial" w:cs="Arial"/>
                    <w:b/>
                    <w:bCs/>
                    <w:color w:val="FFFFFF"/>
                    <w:lang w:eastAsia="en-GB"/>
                  </w:rPr>
                  <w:t>Main projects within function budgets</w:t>
                </w:r>
              </w:p>
            </w:tc>
          </w:tr>
          <w:tr w:rsidR="00BF2049" w:rsidRPr="00BF2049" w14:paraId="509DC261" w14:textId="77777777" w:rsidTr="002C6AB9">
            <w:trPr>
              <w:trHeight w:val="340"/>
            </w:trPr>
            <w:tc>
              <w:tcPr>
                <w:tcW w:w="2601" w:type="dxa"/>
                <w:tcBorders>
                  <w:top w:val="nil"/>
                  <w:left w:val="single" w:sz="4" w:space="0" w:color="auto"/>
                  <w:bottom w:val="single" w:sz="4" w:space="0" w:color="auto"/>
                  <w:right w:val="single" w:sz="4" w:space="0" w:color="auto"/>
                </w:tcBorders>
                <w:noWrap/>
                <w:vAlign w:val="center"/>
                <w:hideMark/>
              </w:tcPr>
              <w:p w14:paraId="1F5F6639" w14:textId="77777777" w:rsidR="00BF2049" w:rsidRPr="00BF2049" w:rsidRDefault="00BF2049" w:rsidP="002C6AB9">
                <w:pPr>
                  <w:spacing w:after="0"/>
                  <w:rPr>
                    <w:rFonts w:ascii="Arial" w:eastAsia="Times New Roman" w:hAnsi="Arial" w:cs="Arial"/>
                    <w:color w:val="000000"/>
                    <w:lang w:eastAsia="en-GB"/>
                  </w:rPr>
                </w:pPr>
                <w:r w:rsidRPr="00BF2049">
                  <w:rPr>
                    <w:rFonts w:ascii="Arial" w:eastAsia="Times New Roman" w:hAnsi="Arial" w:cs="Arial"/>
                    <w:color w:val="000000"/>
                    <w:lang w:eastAsia="en-GB"/>
                  </w:rPr>
                  <w:t>Digital Transformation</w:t>
                </w:r>
              </w:p>
            </w:tc>
            <w:tc>
              <w:tcPr>
                <w:tcW w:w="925" w:type="dxa"/>
                <w:tcBorders>
                  <w:top w:val="nil"/>
                  <w:left w:val="nil"/>
                  <w:bottom w:val="single" w:sz="4" w:space="0" w:color="auto"/>
                  <w:right w:val="single" w:sz="4" w:space="0" w:color="auto"/>
                </w:tcBorders>
                <w:noWrap/>
                <w:vAlign w:val="center"/>
                <w:hideMark/>
              </w:tcPr>
              <w:p w14:paraId="29E158B3" w14:textId="77777777" w:rsidR="00BF2049" w:rsidRPr="00BF2049" w:rsidRDefault="00BF2049" w:rsidP="002C6AB9">
                <w:pPr>
                  <w:spacing w:after="0"/>
                  <w:jc w:val="right"/>
                  <w:rPr>
                    <w:rFonts w:ascii="Arial" w:eastAsia="Times New Roman" w:hAnsi="Arial" w:cs="Arial"/>
                    <w:color w:val="000000"/>
                    <w:lang w:eastAsia="en-GB"/>
                  </w:rPr>
                </w:pPr>
                <w:r w:rsidRPr="00BF2049">
                  <w:rPr>
                    <w:rFonts w:ascii="Arial" w:eastAsia="Times New Roman" w:hAnsi="Arial" w:cs="Arial"/>
                    <w:color w:val="000000"/>
                    <w:lang w:eastAsia="en-GB"/>
                  </w:rPr>
                  <w:t>495</w:t>
                </w:r>
              </w:p>
            </w:tc>
            <w:tc>
              <w:tcPr>
                <w:tcW w:w="1175" w:type="dxa"/>
                <w:tcBorders>
                  <w:top w:val="nil"/>
                  <w:left w:val="nil"/>
                  <w:bottom w:val="single" w:sz="4" w:space="0" w:color="auto"/>
                  <w:right w:val="single" w:sz="4" w:space="0" w:color="auto"/>
                </w:tcBorders>
                <w:noWrap/>
                <w:vAlign w:val="center"/>
                <w:hideMark/>
              </w:tcPr>
              <w:p w14:paraId="45148326" w14:textId="77777777" w:rsidR="00BF2049" w:rsidRPr="00BF2049" w:rsidRDefault="00BF2049" w:rsidP="002C6AB9">
                <w:pPr>
                  <w:spacing w:after="0"/>
                  <w:jc w:val="right"/>
                  <w:rPr>
                    <w:rFonts w:ascii="Arial" w:eastAsia="Times New Roman" w:hAnsi="Arial" w:cs="Arial"/>
                    <w:color w:val="000000"/>
                    <w:lang w:eastAsia="en-GB"/>
                  </w:rPr>
                </w:pPr>
                <w:r w:rsidRPr="00BF2049">
                  <w:rPr>
                    <w:rFonts w:ascii="Arial" w:eastAsia="Times New Roman" w:hAnsi="Arial" w:cs="Arial"/>
                    <w:color w:val="000000"/>
                    <w:lang w:eastAsia="en-GB"/>
                  </w:rPr>
                  <w:t>38</w:t>
                </w:r>
              </w:p>
            </w:tc>
            <w:tc>
              <w:tcPr>
                <w:tcW w:w="5760" w:type="dxa"/>
                <w:tcBorders>
                  <w:top w:val="nil"/>
                  <w:left w:val="nil"/>
                  <w:bottom w:val="single" w:sz="4" w:space="0" w:color="auto"/>
                  <w:right w:val="single" w:sz="4" w:space="0" w:color="auto"/>
                </w:tcBorders>
                <w:noWrap/>
                <w:vAlign w:val="center"/>
                <w:hideMark/>
              </w:tcPr>
              <w:p w14:paraId="3EF82484" w14:textId="77777777" w:rsidR="00BF2049" w:rsidRPr="00BF2049" w:rsidRDefault="00BF2049" w:rsidP="002C6AB9">
                <w:pPr>
                  <w:spacing w:after="0"/>
                  <w:rPr>
                    <w:rFonts w:ascii="Arial" w:eastAsia="Times New Roman" w:hAnsi="Arial" w:cs="Arial"/>
                    <w:color w:val="000000"/>
                    <w:lang w:eastAsia="en-GB"/>
                  </w:rPr>
                </w:pPr>
                <w:r w:rsidRPr="00BF2049">
                  <w:rPr>
                    <w:rFonts w:ascii="Arial" w:eastAsia="Times New Roman" w:hAnsi="Arial" w:cs="Arial"/>
                    <w:color w:val="000000"/>
                    <w:lang w:eastAsia="en-GB"/>
                  </w:rPr>
                  <w:t>Compliance Project</w:t>
                </w:r>
              </w:p>
            </w:tc>
          </w:tr>
          <w:tr w:rsidR="00BF2049" w:rsidRPr="00BF2049" w14:paraId="6EF43E38" w14:textId="77777777" w:rsidTr="002C6AB9">
            <w:trPr>
              <w:trHeight w:val="340"/>
            </w:trPr>
            <w:tc>
              <w:tcPr>
                <w:tcW w:w="2601" w:type="dxa"/>
                <w:tcBorders>
                  <w:top w:val="nil"/>
                  <w:left w:val="single" w:sz="4" w:space="0" w:color="auto"/>
                  <w:bottom w:val="single" w:sz="4" w:space="0" w:color="auto"/>
                  <w:right w:val="single" w:sz="4" w:space="0" w:color="auto"/>
                </w:tcBorders>
                <w:noWrap/>
                <w:vAlign w:val="center"/>
                <w:hideMark/>
              </w:tcPr>
              <w:p w14:paraId="4F36E8B1" w14:textId="77777777" w:rsidR="00BF2049" w:rsidRPr="00BF2049" w:rsidRDefault="00BF2049" w:rsidP="002C6AB9">
                <w:pPr>
                  <w:spacing w:after="0"/>
                  <w:rPr>
                    <w:rFonts w:ascii="Arial" w:eastAsia="Times New Roman" w:hAnsi="Arial" w:cs="Arial"/>
                    <w:color w:val="000000"/>
                    <w:lang w:eastAsia="en-GB"/>
                  </w:rPr>
                </w:pPr>
                <w:r w:rsidRPr="00BF2049">
                  <w:rPr>
                    <w:rFonts w:ascii="Arial" w:eastAsia="Times New Roman" w:hAnsi="Arial" w:cs="Arial"/>
                    <w:color w:val="000000"/>
                    <w:lang w:eastAsia="en-GB"/>
                  </w:rPr>
                  <w:t>Governance</w:t>
                </w:r>
              </w:p>
            </w:tc>
            <w:tc>
              <w:tcPr>
                <w:tcW w:w="925" w:type="dxa"/>
                <w:tcBorders>
                  <w:top w:val="nil"/>
                  <w:left w:val="nil"/>
                  <w:bottom w:val="single" w:sz="4" w:space="0" w:color="auto"/>
                  <w:right w:val="single" w:sz="4" w:space="0" w:color="auto"/>
                </w:tcBorders>
                <w:noWrap/>
                <w:vAlign w:val="center"/>
                <w:hideMark/>
              </w:tcPr>
              <w:p w14:paraId="0889A5E5" w14:textId="77777777" w:rsidR="00BF2049" w:rsidRPr="00BF2049" w:rsidRDefault="00BF2049" w:rsidP="002C6AB9">
                <w:pPr>
                  <w:spacing w:after="0"/>
                  <w:jc w:val="right"/>
                  <w:rPr>
                    <w:rFonts w:ascii="Arial" w:eastAsia="Times New Roman" w:hAnsi="Arial" w:cs="Arial"/>
                    <w:color w:val="000000"/>
                    <w:lang w:eastAsia="en-GB"/>
                  </w:rPr>
                </w:pPr>
                <w:r w:rsidRPr="00BF2049">
                  <w:rPr>
                    <w:rFonts w:ascii="Arial" w:eastAsia="Times New Roman" w:hAnsi="Arial" w:cs="Arial"/>
                    <w:color w:val="000000"/>
                    <w:lang w:eastAsia="en-GB"/>
                  </w:rPr>
                  <w:t>1,450</w:t>
                </w:r>
              </w:p>
            </w:tc>
            <w:tc>
              <w:tcPr>
                <w:tcW w:w="1175" w:type="dxa"/>
                <w:tcBorders>
                  <w:top w:val="nil"/>
                  <w:left w:val="nil"/>
                  <w:bottom w:val="single" w:sz="4" w:space="0" w:color="auto"/>
                  <w:right w:val="single" w:sz="4" w:space="0" w:color="auto"/>
                </w:tcBorders>
                <w:noWrap/>
                <w:vAlign w:val="center"/>
                <w:hideMark/>
              </w:tcPr>
              <w:p w14:paraId="23AE02A2" w14:textId="77777777" w:rsidR="00BF2049" w:rsidRPr="00BF2049" w:rsidRDefault="00BF2049" w:rsidP="002C6AB9">
                <w:pPr>
                  <w:spacing w:after="0"/>
                  <w:jc w:val="right"/>
                  <w:rPr>
                    <w:rFonts w:ascii="Arial" w:eastAsia="Times New Roman" w:hAnsi="Arial" w:cs="Arial"/>
                    <w:color w:val="000000"/>
                    <w:lang w:eastAsia="en-GB"/>
                  </w:rPr>
                </w:pPr>
                <w:r w:rsidRPr="00BF2049">
                  <w:rPr>
                    <w:rFonts w:ascii="Arial" w:eastAsia="Times New Roman" w:hAnsi="Arial" w:cs="Arial"/>
                    <w:color w:val="000000"/>
                    <w:lang w:eastAsia="en-GB"/>
                  </w:rPr>
                  <w:t>107</w:t>
                </w:r>
              </w:p>
            </w:tc>
            <w:tc>
              <w:tcPr>
                <w:tcW w:w="5760" w:type="dxa"/>
                <w:tcBorders>
                  <w:top w:val="nil"/>
                  <w:left w:val="nil"/>
                  <w:bottom w:val="single" w:sz="4" w:space="0" w:color="auto"/>
                  <w:right w:val="single" w:sz="4" w:space="0" w:color="auto"/>
                </w:tcBorders>
                <w:noWrap/>
                <w:vAlign w:val="center"/>
                <w:hideMark/>
              </w:tcPr>
              <w:p w14:paraId="65A7BC6B" w14:textId="77777777" w:rsidR="00BF2049" w:rsidRPr="00BF2049" w:rsidRDefault="00BF2049" w:rsidP="002C6AB9">
                <w:pPr>
                  <w:spacing w:after="0"/>
                  <w:rPr>
                    <w:rFonts w:ascii="Arial" w:eastAsia="Times New Roman" w:hAnsi="Arial" w:cs="Arial"/>
                    <w:color w:val="000000"/>
                    <w:lang w:eastAsia="en-GB"/>
                  </w:rPr>
                </w:pPr>
                <w:r w:rsidRPr="00BF2049">
                  <w:rPr>
                    <w:rFonts w:ascii="Arial" w:eastAsia="Times New Roman" w:hAnsi="Arial" w:cs="Arial"/>
                    <w:color w:val="000000"/>
                    <w:lang w:eastAsia="en-GB"/>
                  </w:rPr>
                  <w:t xml:space="preserve">Digital Data Architecture </w:t>
                </w:r>
              </w:p>
            </w:tc>
          </w:tr>
          <w:tr w:rsidR="00BF2049" w:rsidRPr="00BF2049" w14:paraId="6B694568" w14:textId="77777777" w:rsidTr="002C6AB9">
            <w:trPr>
              <w:trHeight w:val="340"/>
            </w:trPr>
            <w:tc>
              <w:tcPr>
                <w:tcW w:w="2601" w:type="dxa"/>
                <w:tcBorders>
                  <w:top w:val="nil"/>
                  <w:left w:val="single" w:sz="4" w:space="0" w:color="auto"/>
                  <w:bottom w:val="single" w:sz="4" w:space="0" w:color="auto"/>
                  <w:right w:val="single" w:sz="4" w:space="0" w:color="auto"/>
                </w:tcBorders>
                <w:noWrap/>
                <w:vAlign w:val="center"/>
                <w:hideMark/>
              </w:tcPr>
              <w:p w14:paraId="2B03D305" w14:textId="77777777" w:rsidR="00BF2049" w:rsidRPr="00BF2049" w:rsidRDefault="00BF2049" w:rsidP="002C6AB9">
                <w:pPr>
                  <w:spacing w:after="0"/>
                  <w:rPr>
                    <w:rFonts w:ascii="Arial" w:eastAsia="Times New Roman" w:hAnsi="Arial" w:cs="Arial"/>
                    <w:color w:val="000000"/>
                    <w:lang w:eastAsia="en-GB"/>
                  </w:rPr>
                </w:pPr>
                <w:r w:rsidRPr="00BF2049">
                  <w:rPr>
                    <w:rFonts w:ascii="Arial" w:eastAsia="Times New Roman" w:hAnsi="Arial" w:cs="Arial"/>
                    <w:color w:val="000000"/>
                    <w:lang w:eastAsia="en-GB"/>
                  </w:rPr>
                  <w:t>Chemistry</w:t>
                </w:r>
              </w:p>
            </w:tc>
            <w:tc>
              <w:tcPr>
                <w:tcW w:w="925" w:type="dxa"/>
                <w:tcBorders>
                  <w:top w:val="nil"/>
                  <w:left w:val="nil"/>
                  <w:bottom w:val="single" w:sz="4" w:space="0" w:color="auto"/>
                  <w:right w:val="single" w:sz="4" w:space="0" w:color="auto"/>
                </w:tcBorders>
                <w:noWrap/>
                <w:vAlign w:val="center"/>
                <w:hideMark/>
              </w:tcPr>
              <w:p w14:paraId="4CC33737" w14:textId="77777777" w:rsidR="00BF2049" w:rsidRPr="00BF2049" w:rsidRDefault="00BF2049" w:rsidP="002C6AB9">
                <w:pPr>
                  <w:spacing w:after="0"/>
                  <w:jc w:val="right"/>
                  <w:rPr>
                    <w:rFonts w:ascii="Arial" w:eastAsia="Times New Roman" w:hAnsi="Arial" w:cs="Arial"/>
                    <w:color w:val="000000"/>
                    <w:lang w:eastAsia="en-GB"/>
                  </w:rPr>
                </w:pPr>
                <w:r w:rsidRPr="00BF2049">
                  <w:rPr>
                    <w:rFonts w:ascii="Arial" w:eastAsia="Times New Roman" w:hAnsi="Arial" w:cs="Arial"/>
                    <w:color w:val="000000"/>
                    <w:lang w:eastAsia="en-GB"/>
                  </w:rPr>
                  <w:t>124</w:t>
                </w:r>
              </w:p>
            </w:tc>
            <w:tc>
              <w:tcPr>
                <w:tcW w:w="1175" w:type="dxa"/>
                <w:tcBorders>
                  <w:top w:val="nil"/>
                  <w:left w:val="nil"/>
                  <w:bottom w:val="single" w:sz="4" w:space="0" w:color="auto"/>
                  <w:right w:val="single" w:sz="4" w:space="0" w:color="auto"/>
                </w:tcBorders>
                <w:noWrap/>
                <w:vAlign w:val="center"/>
                <w:hideMark/>
              </w:tcPr>
              <w:p w14:paraId="782A0EFF" w14:textId="77777777" w:rsidR="00BF2049" w:rsidRPr="00BF2049" w:rsidRDefault="00BF2049" w:rsidP="002C6AB9">
                <w:pPr>
                  <w:spacing w:after="0"/>
                  <w:jc w:val="right"/>
                  <w:rPr>
                    <w:rFonts w:ascii="Arial" w:eastAsia="Times New Roman" w:hAnsi="Arial" w:cs="Arial"/>
                    <w:color w:val="000000"/>
                    <w:lang w:eastAsia="en-GB"/>
                  </w:rPr>
                </w:pPr>
                <w:r w:rsidRPr="00BF2049">
                  <w:rPr>
                    <w:rFonts w:ascii="Arial" w:eastAsia="Times New Roman" w:hAnsi="Arial" w:cs="Arial"/>
                    <w:color w:val="000000"/>
                    <w:lang w:eastAsia="en-GB"/>
                  </w:rPr>
                  <w:t>429</w:t>
                </w:r>
              </w:p>
            </w:tc>
            <w:tc>
              <w:tcPr>
                <w:tcW w:w="5760" w:type="dxa"/>
                <w:tcBorders>
                  <w:top w:val="nil"/>
                  <w:left w:val="nil"/>
                  <w:bottom w:val="single" w:sz="4" w:space="0" w:color="auto"/>
                  <w:right w:val="single" w:sz="4" w:space="0" w:color="auto"/>
                </w:tcBorders>
                <w:noWrap/>
                <w:vAlign w:val="center"/>
                <w:hideMark/>
              </w:tcPr>
              <w:p w14:paraId="008E3A90" w14:textId="77777777" w:rsidR="00BF2049" w:rsidRPr="00BF2049" w:rsidRDefault="00BF2049" w:rsidP="002C6AB9">
                <w:pPr>
                  <w:spacing w:after="0"/>
                  <w:rPr>
                    <w:rFonts w:ascii="Arial" w:eastAsia="Times New Roman" w:hAnsi="Arial" w:cs="Arial"/>
                    <w:color w:val="000000"/>
                    <w:lang w:eastAsia="en-GB"/>
                  </w:rPr>
                </w:pPr>
                <w:r w:rsidRPr="00BF2049">
                  <w:rPr>
                    <w:rFonts w:ascii="Arial" w:eastAsia="Times New Roman" w:hAnsi="Arial" w:cs="Arial"/>
                    <w:color w:val="000000"/>
                    <w:lang w:eastAsia="en-GB"/>
                  </w:rPr>
                  <w:t>Nutrients Analysers &amp; Lab Balances</w:t>
                </w:r>
              </w:p>
            </w:tc>
          </w:tr>
          <w:tr w:rsidR="00BF2049" w:rsidRPr="00BF2049" w14:paraId="0C6195B1" w14:textId="77777777" w:rsidTr="002C6AB9">
            <w:trPr>
              <w:trHeight w:val="340"/>
            </w:trPr>
            <w:tc>
              <w:tcPr>
                <w:tcW w:w="2601" w:type="dxa"/>
                <w:tcBorders>
                  <w:top w:val="nil"/>
                  <w:left w:val="single" w:sz="4" w:space="0" w:color="auto"/>
                  <w:bottom w:val="single" w:sz="4" w:space="0" w:color="auto"/>
                  <w:right w:val="single" w:sz="4" w:space="0" w:color="auto"/>
                </w:tcBorders>
                <w:noWrap/>
                <w:vAlign w:val="center"/>
                <w:hideMark/>
              </w:tcPr>
              <w:p w14:paraId="40988F3C" w14:textId="77777777" w:rsidR="00BF2049" w:rsidRPr="00BF2049" w:rsidRDefault="00BF2049" w:rsidP="002C6AB9">
                <w:pPr>
                  <w:spacing w:after="0"/>
                  <w:rPr>
                    <w:rFonts w:ascii="Arial" w:eastAsia="Times New Roman" w:hAnsi="Arial" w:cs="Arial"/>
                    <w:color w:val="000000"/>
                    <w:lang w:eastAsia="en-GB"/>
                  </w:rPr>
                </w:pPr>
                <w:r w:rsidRPr="00BF2049">
                  <w:rPr>
                    <w:rFonts w:ascii="Arial" w:eastAsia="Times New Roman" w:hAnsi="Arial" w:cs="Arial"/>
                    <w:color w:val="000000"/>
                    <w:lang w:eastAsia="en-GB"/>
                  </w:rPr>
                  <w:t>Environmental quality</w:t>
                </w:r>
              </w:p>
            </w:tc>
            <w:tc>
              <w:tcPr>
                <w:tcW w:w="925" w:type="dxa"/>
                <w:tcBorders>
                  <w:top w:val="nil"/>
                  <w:left w:val="nil"/>
                  <w:bottom w:val="single" w:sz="4" w:space="0" w:color="auto"/>
                  <w:right w:val="single" w:sz="4" w:space="0" w:color="auto"/>
                </w:tcBorders>
                <w:noWrap/>
                <w:vAlign w:val="center"/>
                <w:hideMark/>
              </w:tcPr>
              <w:p w14:paraId="37BBB7C1" w14:textId="77777777" w:rsidR="00BF2049" w:rsidRPr="00BF2049" w:rsidRDefault="00BF2049" w:rsidP="002C6AB9">
                <w:pPr>
                  <w:spacing w:after="0"/>
                  <w:jc w:val="right"/>
                  <w:rPr>
                    <w:rFonts w:ascii="Arial" w:eastAsia="Times New Roman" w:hAnsi="Arial" w:cs="Arial"/>
                    <w:color w:val="000000"/>
                    <w:lang w:eastAsia="en-GB"/>
                  </w:rPr>
                </w:pPr>
                <w:r w:rsidRPr="00BF2049">
                  <w:rPr>
                    <w:rFonts w:ascii="Arial" w:eastAsia="Times New Roman" w:hAnsi="Arial" w:cs="Arial"/>
                    <w:color w:val="000000"/>
                    <w:lang w:eastAsia="en-GB"/>
                  </w:rPr>
                  <w:t>93</w:t>
                </w:r>
              </w:p>
            </w:tc>
            <w:tc>
              <w:tcPr>
                <w:tcW w:w="1175" w:type="dxa"/>
                <w:tcBorders>
                  <w:top w:val="nil"/>
                  <w:left w:val="nil"/>
                  <w:bottom w:val="single" w:sz="4" w:space="0" w:color="auto"/>
                  <w:right w:val="single" w:sz="4" w:space="0" w:color="auto"/>
                </w:tcBorders>
                <w:noWrap/>
                <w:vAlign w:val="center"/>
                <w:hideMark/>
              </w:tcPr>
              <w:p w14:paraId="3785417A" w14:textId="77777777" w:rsidR="00BF2049" w:rsidRPr="00BF2049" w:rsidRDefault="00BF2049" w:rsidP="002C6AB9">
                <w:pPr>
                  <w:spacing w:after="0"/>
                  <w:jc w:val="right"/>
                  <w:rPr>
                    <w:rFonts w:ascii="Arial" w:eastAsia="Times New Roman" w:hAnsi="Arial" w:cs="Arial"/>
                    <w:color w:val="000000"/>
                    <w:lang w:eastAsia="en-GB"/>
                  </w:rPr>
                </w:pPr>
                <w:r w:rsidRPr="00BF2049">
                  <w:rPr>
                    <w:rFonts w:ascii="Arial" w:eastAsia="Times New Roman" w:hAnsi="Arial" w:cs="Arial"/>
                    <w:color w:val="000000"/>
                    <w:lang w:eastAsia="en-GB"/>
                  </w:rPr>
                  <w:t>72</w:t>
                </w:r>
              </w:p>
            </w:tc>
            <w:tc>
              <w:tcPr>
                <w:tcW w:w="5760" w:type="dxa"/>
                <w:tcBorders>
                  <w:top w:val="nil"/>
                  <w:left w:val="nil"/>
                  <w:bottom w:val="single" w:sz="4" w:space="0" w:color="auto"/>
                  <w:right w:val="single" w:sz="4" w:space="0" w:color="auto"/>
                </w:tcBorders>
                <w:noWrap/>
                <w:vAlign w:val="center"/>
                <w:hideMark/>
              </w:tcPr>
              <w:p w14:paraId="0E2DC169" w14:textId="77777777" w:rsidR="00BF2049" w:rsidRPr="00BF2049" w:rsidRDefault="00BF2049" w:rsidP="002C6AB9">
                <w:pPr>
                  <w:spacing w:after="0"/>
                  <w:rPr>
                    <w:rFonts w:ascii="Arial" w:eastAsia="Times New Roman" w:hAnsi="Arial" w:cs="Arial"/>
                    <w:color w:val="000000"/>
                    <w:lang w:eastAsia="en-GB"/>
                  </w:rPr>
                </w:pPr>
                <w:r w:rsidRPr="00BF2049">
                  <w:rPr>
                    <w:rFonts w:ascii="Arial" w:eastAsia="Times New Roman" w:hAnsi="Arial" w:cs="Arial"/>
                    <w:color w:val="000000"/>
                    <w:lang w:eastAsia="en-GB"/>
                  </w:rPr>
                  <w:t>Bathing Waters Signage</w:t>
                </w:r>
              </w:p>
            </w:tc>
          </w:tr>
          <w:tr w:rsidR="00BF2049" w:rsidRPr="00BF2049" w14:paraId="225787E3" w14:textId="77777777" w:rsidTr="002C6AB9">
            <w:trPr>
              <w:trHeight w:val="340"/>
            </w:trPr>
            <w:tc>
              <w:tcPr>
                <w:tcW w:w="2601" w:type="dxa"/>
                <w:tcBorders>
                  <w:top w:val="nil"/>
                  <w:left w:val="single" w:sz="4" w:space="0" w:color="auto"/>
                  <w:bottom w:val="single" w:sz="4" w:space="0" w:color="auto"/>
                  <w:right w:val="single" w:sz="4" w:space="0" w:color="auto"/>
                </w:tcBorders>
                <w:noWrap/>
                <w:vAlign w:val="center"/>
                <w:hideMark/>
              </w:tcPr>
              <w:p w14:paraId="16B851CA" w14:textId="77777777" w:rsidR="00BF2049" w:rsidRPr="00BF2049" w:rsidRDefault="00BF2049" w:rsidP="002C6AB9">
                <w:pPr>
                  <w:spacing w:after="0"/>
                  <w:rPr>
                    <w:rFonts w:ascii="Arial" w:eastAsia="Times New Roman" w:hAnsi="Arial" w:cs="Arial"/>
                    <w:color w:val="000000"/>
                    <w:lang w:eastAsia="en-GB"/>
                  </w:rPr>
                </w:pPr>
                <w:r w:rsidRPr="00BF2049">
                  <w:rPr>
                    <w:rFonts w:ascii="Arial" w:eastAsia="Times New Roman" w:hAnsi="Arial" w:cs="Arial"/>
                    <w:color w:val="000000"/>
                    <w:lang w:eastAsia="en-GB"/>
                  </w:rPr>
                  <w:t>Info Systems</w:t>
                </w:r>
              </w:p>
            </w:tc>
            <w:tc>
              <w:tcPr>
                <w:tcW w:w="925" w:type="dxa"/>
                <w:tcBorders>
                  <w:top w:val="nil"/>
                  <w:left w:val="nil"/>
                  <w:bottom w:val="single" w:sz="4" w:space="0" w:color="auto"/>
                  <w:right w:val="single" w:sz="4" w:space="0" w:color="auto"/>
                </w:tcBorders>
                <w:noWrap/>
                <w:vAlign w:val="center"/>
                <w:hideMark/>
              </w:tcPr>
              <w:p w14:paraId="3826657C" w14:textId="77777777" w:rsidR="00BF2049" w:rsidRPr="00BF2049" w:rsidRDefault="00BF2049" w:rsidP="002C6AB9">
                <w:pPr>
                  <w:spacing w:after="0"/>
                  <w:jc w:val="right"/>
                  <w:rPr>
                    <w:rFonts w:ascii="Arial" w:eastAsia="Times New Roman" w:hAnsi="Arial" w:cs="Arial"/>
                    <w:color w:val="000000"/>
                    <w:lang w:eastAsia="en-GB"/>
                  </w:rPr>
                </w:pPr>
                <w:r w:rsidRPr="00BF2049">
                  <w:rPr>
                    <w:rFonts w:ascii="Arial" w:eastAsia="Times New Roman" w:hAnsi="Arial" w:cs="Arial"/>
                    <w:color w:val="000000"/>
                    <w:lang w:eastAsia="en-GB"/>
                  </w:rPr>
                  <w:t>250</w:t>
                </w:r>
              </w:p>
            </w:tc>
            <w:tc>
              <w:tcPr>
                <w:tcW w:w="1175" w:type="dxa"/>
                <w:tcBorders>
                  <w:top w:val="nil"/>
                  <w:left w:val="nil"/>
                  <w:bottom w:val="single" w:sz="4" w:space="0" w:color="auto"/>
                  <w:right w:val="single" w:sz="4" w:space="0" w:color="auto"/>
                </w:tcBorders>
                <w:noWrap/>
                <w:vAlign w:val="center"/>
                <w:hideMark/>
              </w:tcPr>
              <w:p w14:paraId="34101B3E" w14:textId="77777777" w:rsidR="00BF2049" w:rsidRPr="00BF2049" w:rsidRDefault="00BF2049" w:rsidP="002C6AB9">
                <w:pPr>
                  <w:spacing w:after="0"/>
                  <w:jc w:val="right"/>
                  <w:rPr>
                    <w:rFonts w:ascii="Arial" w:eastAsia="Times New Roman" w:hAnsi="Arial" w:cs="Arial"/>
                    <w:color w:val="000000"/>
                    <w:lang w:eastAsia="en-GB"/>
                  </w:rPr>
                </w:pPr>
                <w:r w:rsidRPr="00BF2049">
                  <w:rPr>
                    <w:rFonts w:ascii="Arial" w:eastAsia="Times New Roman" w:hAnsi="Arial" w:cs="Arial"/>
                    <w:color w:val="000000"/>
                    <w:lang w:eastAsia="en-GB"/>
                  </w:rPr>
                  <w:t>434</w:t>
                </w:r>
              </w:p>
            </w:tc>
            <w:tc>
              <w:tcPr>
                <w:tcW w:w="5760" w:type="dxa"/>
                <w:tcBorders>
                  <w:top w:val="nil"/>
                  <w:left w:val="nil"/>
                  <w:bottom w:val="single" w:sz="4" w:space="0" w:color="auto"/>
                  <w:right w:val="single" w:sz="4" w:space="0" w:color="auto"/>
                </w:tcBorders>
                <w:noWrap/>
                <w:vAlign w:val="center"/>
                <w:hideMark/>
              </w:tcPr>
              <w:p w14:paraId="68F1E127" w14:textId="77777777" w:rsidR="00BF2049" w:rsidRPr="00BF2049" w:rsidRDefault="00BF2049" w:rsidP="002C6AB9">
                <w:pPr>
                  <w:spacing w:after="0"/>
                  <w:rPr>
                    <w:rFonts w:ascii="Arial" w:eastAsia="Times New Roman" w:hAnsi="Arial" w:cs="Arial"/>
                    <w:color w:val="000000"/>
                    <w:lang w:eastAsia="en-GB"/>
                  </w:rPr>
                </w:pPr>
                <w:r w:rsidRPr="00BF2049">
                  <w:rPr>
                    <w:rFonts w:ascii="Arial" w:eastAsia="Times New Roman" w:hAnsi="Arial" w:cs="Arial"/>
                    <w:color w:val="000000"/>
                    <w:lang w:eastAsia="en-GB"/>
                  </w:rPr>
                  <w:t>High Performance Computing &amp; Laptop Replacement</w:t>
                </w:r>
              </w:p>
            </w:tc>
          </w:tr>
          <w:tr w:rsidR="00BF2049" w:rsidRPr="00BF2049" w14:paraId="37CDF6CC" w14:textId="77777777" w:rsidTr="002C6AB9">
            <w:trPr>
              <w:trHeight w:val="340"/>
            </w:trPr>
            <w:tc>
              <w:tcPr>
                <w:tcW w:w="2601" w:type="dxa"/>
                <w:tcBorders>
                  <w:top w:val="nil"/>
                  <w:left w:val="single" w:sz="4" w:space="0" w:color="auto"/>
                  <w:bottom w:val="single" w:sz="4" w:space="0" w:color="auto"/>
                  <w:right w:val="single" w:sz="4" w:space="0" w:color="auto"/>
                </w:tcBorders>
                <w:noWrap/>
                <w:vAlign w:val="center"/>
                <w:hideMark/>
              </w:tcPr>
              <w:p w14:paraId="1304C677" w14:textId="77777777" w:rsidR="00BF2049" w:rsidRPr="00BF2049" w:rsidRDefault="00BF2049" w:rsidP="002C6AB9">
                <w:pPr>
                  <w:spacing w:after="0"/>
                  <w:rPr>
                    <w:rFonts w:ascii="Arial" w:eastAsia="Times New Roman" w:hAnsi="Arial" w:cs="Arial"/>
                    <w:color w:val="000000"/>
                    <w:lang w:eastAsia="en-GB"/>
                  </w:rPr>
                </w:pPr>
                <w:r w:rsidRPr="00BF2049">
                  <w:rPr>
                    <w:rFonts w:ascii="Arial" w:eastAsia="Times New Roman" w:hAnsi="Arial" w:cs="Arial"/>
                    <w:color w:val="000000"/>
                    <w:lang w:eastAsia="en-GB"/>
                  </w:rPr>
                  <w:t>Info Systems (Digital)</w:t>
                </w:r>
              </w:p>
            </w:tc>
            <w:tc>
              <w:tcPr>
                <w:tcW w:w="925" w:type="dxa"/>
                <w:tcBorders>
                  <w:top w:val="nil"/>
                  <w:left w:val="nil"/>
                  <w:bottom w:val="single" w:sz="4" w:space="0" w:color="auto"/>
                  <w:right w:val="single" w:sz="4" w:space="0" w:color="auto"/>
                </w:tcBorders>
                <w:noWrap/>
                <w:vAlign w:val="center"/>
                <w:hideMark/>
              </w:tcPr>
              <w:p w14:paraId="393E8325" w14:textId="77777777" w:rsidR="00BF2049" w:rsidRPr="00BF2049" w:rsidRDefault="00BF2049" w:rsidP="002C6AB9">
                <w:pPr>
                  <w:spacing w:after="0"/>
                  <w:jc w:val="right"/>
                  <w:rPr>
                    <w:rFonts w:ascii="Arial" w:eastAsia="Times New Roman" w:hAnsi="Arial" w:cs="Arial"/>
                    <w:color w:val="000000"/>
                    <w:lang w:eastAsia="en-GB"/>
                  </w:rPr>
                </w:pPr>
                <w:r w:rsidRPr="00BF2049">
                  <w:rPr>
                    <w:rFonts w:ascii="Arial" w:eastAsia="Times New Roman" w:hAnsi="Arial" w:cs="Arial"/>
                    <w:color w:val="000000"/>
                    <w:lang w:eastAsia="en-GB"/>
                  </w:rPr>
                  <w:t>1,150</w:t>
                </w:r>
              </w:p>
            </w:tc>
            <w:tc>
              <w:tcPr>
                <w:tcW w:w="1175" w:type="dxa"/>
                <w:tcBorders>
                  <w:top w:val="nil"/>
                  <w:left w:val="nil"/>
                  <w:bottom w:val="single" w:sz="4" w:space="0" w:color="auto"/>
                  <w:right w:val="single" w:sz="4" w:space="0" w:color="auto"/>
                </w:tcBorders>
                <w:noWrap/>
                <w:vAlign w:val="center"/>
                <w:hideMark/>
              </w:tcPr>
              <w:p w14:paraId="2E39F9F6" w14:textId="77777777" w:rsidR="00BF2049" w:rsidRPr="00BF2049" w:rsidRDefault="00BF2049" w:rsidP="002C6AB9">
                <w:pPr>
                  <w:spacing w:after="0"/>
                  <w:jc w:val="right"/>
                  <w:rPr>
                    <w:rFonts w:ascii="Arial" w:eastAsia="Times New Roman" w:hAnsi="Arial" w:cs="Arial"/>
                    <w:color w:val="000000"/>
                    <w:lang w:eastAsia="en-GB"/>
                  </w:rPr>
                </w:pPr>
                <w:r w:rsidRPr="00BF2049">
                  <w:rPr>
                    <w:rFonts w:ascii="Arial" w:eastAsia="Times New Roman" w:hAnsi="Arial" w:cs="Arial"/>
                    <w:color w:val="000000"/>
                    <w:lang w:eastAsia="en-GB"/>
                  </w:rPr>
                  <w:t>1,312</w:t>
                </w:r>
              </w:p>
            </w:tc>
            <w:tc>
              <w:tcPr>
                <w:tcW w:w="5760" w:type="dxa"/>
                <w:tcBorders>
                  <w:top w:val="nil"/>
                  <w:left w:val="nil"/>
                  <w:bottom w:val="single" w:sz="4" w:space="0" w:color="auto"/>
                  <w:right w:val="single" w:sz="4" w:space="0" w:color="auto"/>
                </w:tcBorders>
                <w:noWrap/>
                <w:vAlign w:val="center"/>
                <w:hideMark/>
              </w:tcPr>
              <w:p w14:paraId="01370BD7" w14:textId="77777777" w:rsidR="00BF2049" w:rsidRPr="00BF2049" w:rsidRDefault="00BF2049" w:rsidP="002C6AB9">
                <w:pPr>
                  <w:spacing w:after="0"/>
                  <w:rPr>
                    <w:rFonts w:ascii="Arial" w:eastAsia="Times New Roman" w:hAnsi="Arial" w:cs="Arial"/>
                    <w:color w:val="000000"/>
                    <w:lang w:eastAsia="en-GB"/>
                  </w:rPr>
                </w:pPr>
                <w:r w:rsidRPr="00BF2049">
                  <w:rPr>
                    <w:rFonts w:ascii="Arial" w:eastAsia="Times New Roman" w:hAnsi="Arial" w:cs="Arial"/>
                    <w:color w:val="000000"/>
                    <w:lang w:eastAsia="en-GB"/>
                  </w:rPr>
                  <w:t>Integrated Authorisation Framework Implementation</w:t>
                </w:r>
              </w:p>
            </w:tc>
          </w:tr>
          <w:tr w:rsidR="00BF2049" w:rsidRPr="00BF2049" w14:paraId="05887F9D" w14:textId="77777777" w:rsidTr="002C6AB9">
            <w:trPr>
              <w:trHeight w:val="340"/>
            </w:trPr>
            <w:tc>
              <w:tcPr>
                <w:tcW w:w="2601" w:type="dxa"/>
                <w:tcBorders>
                  <w:top w:val="nil"/>
                  <w:left w:val="single" w:sz="4" w:space="0" w:color="auto"/>
                  <w:bottom w:val="single" w:sz="4" w:space="0" w:color="auto"/>
                  <w:right w:val="single" w:sz="4" w:space="0" w:color="auto"/>
                </w:tcBorders>
                <w:noWrap/>
                <w:vAlign w:val="center"/>
                <w:hideMark/>
              </w:tcPr>
              <w:p w14:paraId="7381B2B8" w14:textId="77777777" w:rsidR="00BF2049" w:rsidRPr="00BF2049" w:rsidRDefault="00BF2049" w:rsidP="002C6AB9">
                <w:pPr>
                  <w:spacing w:after="0"/>
                  <w:rPr>
                    <w:rFonts w:ascii="Arial" w:eastAsia="Times New Roman" w:hAnsi="Arial" w:cs="Arial"/>
                    <w:color w:val="000000"/>
                    <w:lang w:eastAsia="en-GB"/>
                  </w:rPr>
                </w:pPr>
                <w:r w:rsidRPr="00BF2049">
                  <w:rPr>
                    <w:rFonts w:ascii="Arial" w:eastAsia="Times New Roman" w:hAnsi="Arial" w:cs="Arial"/>
                    <w:color w:val="000000"/>
                    <w:lang w:eastAsia="en-GB"/>
                  </w:rPr>
                  <w:t>People Systems</w:t>
                </w:r>
              </w:p>
            </w:tc>
            <w:tc>
              <w:tcPr>
                <w:tcW w:w="925" w:type="dxa"/>
                <w:tcBorders>
                  <w:top w:val="nil"/>
                  <w:left w:val="nil"/>
                  <w:bottom w:val="single" w:sz="4" w:space="0" w:color="auto"/>
                  <w:right w:val="single" w:sz="4" w:space="0" w:color="auto"/>
                </w:tcBorders>
                <w:noWrap/>
                <w:vAlign w:val="center"/>
                <w:hideMark/>
              </w:tcPr>
              <w:p w14:paraId="51B23481" w14:textId="77777777" w:rsidR="00BF2049" w:rsidRPr="00BF2049" w:rsidRDefault="00BF2049" w:rsidP="002C6AB9">
                <w:pPr>
                  <w:spacing w:after="0"/>
                  <w:jc w:val="right"/>
                  <w:rPr>
                    <w:rFonts w:ascii="Arial" w:eastAsia="Times New Roman" w:hAnsi="Arial" w:cs="Arial"/>
                    <w:color w:val="000000"/>
                    <w:lang w:eastAsia="en-GB"/>
                  </w:rPr>
                </w:pPr>
                <w:r w:rsidRPr="00BF2049">
                  <w:rPr>
                    <w:rFonts w:ascii="Arial" w:eastAsia="Times New Roman" w:hAnsi="Arial" w:cs="Arial"/>
                    <w:color w:val="000000"/>
                    <w:lang w:eastAsia="en-GB"/>
                  </w:rPr>
                  <w:t>70</w:t>
                </w:r>
              </w:p>
            </w:tc>
            <w:tc>
              <w:tcPr>
                <w:tcW w:w="1175" w:type="dxa"/>
                <w:tcBorders>
                  <w:top w:val="nil"/>
                  <w:left w:val="nil"/>
                  <w:bottom w:val="single" w:sz="4" w:space="0" w:color="auto"/>
                  <w:right w:val="single" w:sz="4" w:space="0" w:color="auto"/>
                </w:tcBorders>
                <w:noWrap/>
                <w:vAlign w:val="center"/>
                <w:hideMark/>
              </w:tcPr>
              <w:p w14:paraId="3C9515DA" w14:textId="77777777" w:rsidR="00BF2049" w:rsidRPr="00BF2049" w:rsidRDefault="00BF2049" w:rsidP="002C6AB9">
                <w:pPr>
                  <w:spacing w:after="0"/>
                  <w:jc w:val="right"/>
                  <w:rPr>
                    <w:rFonts w:ascii="Arial" w:eastAsia="Times New Roman" w:hAnsi="Arial" w:cs="Arial"/>
                    <w:color w:val="000000"/>
                    <w:lang w:eastAsia="en-GB"/>
                  </w:rPr>
                </w:pPr>
                <w:r w:rsidRPr="00BF2049">
                  <w:rPr>
                    <w:rFonts w:ascii="Arial" w:eastAsia="Times New Roman" w:hAnsi="Arial" w:cs="Arial"/>
                    <w:color w:val="000000"/>
                    <w:lang w:eastAsia="en-GB"/>
                  </w:rPr>
                  <w:t>50</w:t>
                </w:r>
              </w:p>
            </w:tc>
            <w:tc>
              <w:tcPr>
                <w:tcW w:w="5760" w:type="dxa"/>
                <w:tcBorders>
                  <w:top w:val="nil"/>
                  <w:left w:val="nil"/>
                  <w:bottom w:val="single" w:sz="4" w:space="0" w:color="auto"/>
                  <w:right w:val="single" w:sz="4" w:space="0" w:color="auto"/>
                </w:tcBorders>
                <w:noWrap/>
                <w:vAlign w:val="center"/>
                <w:hideMark/>
              </w:tcPr>
              <w:p w14:paraId="3E740FA2" w14:textId="77777777" w:rsidR="00BF2049" w:rsidRPr="00BF2049" w:rsidRDefault="00BF2049" w:rsidP="002C6AB9">
                <w:pPr>
                  <w:spacing w:after="0"/>
                  <w:rPr>
                    <w:rFonts w:ascii="Arial" w:eastAsia="Times New Roman" w:hAnsi="Arial" w:cs="Arial"/>
                    <w:color w:val="000000"/>
                    <w:lang w:eastAsia="en-GB"/>
                  </w:rPr>
                </w:pPr>
                <w:r w:rsidRPr="00BF2049">
                  <w:rPr>
                    <w:rFonts w:ascii="Arial" w:eastAsia="Times New Roman" w:hAnsi="Arial" w:cs="Arial"/>
                    <w:color w:val="000000"/>
                    <w:lang w:eastAsia="en-GB"/>
                  </w:rPr>
                  <w:t>Applicant Tracking System</w:t>
                </w:r>
              </w:p>
            </w:tc>
          </w:tr>
          <w:tr w:rsidR="00BF2049" w:rsidRPr="00BF2049" w14:paraId="5182A0F1" w14:textId="77777777" w:rsidTr="002C6AB9">
            <w:trPr>
              <w:trHeight w:val="340"/>
            </w:trPr>
            <w:tc>
              <w:tcPr>
                <w:tcW w:w="2601" w:type="dxa"/>
                <w:tcBorders>
                  <w:top w:val="nil"/>
                  <w:left w:val="single" w:sz="4" w:space="0" w:color="auto"/>
                  <w:bottom w:val="single" w:sz="4" w:space="0" w:color="auto"/>
                  <w:right w:val="single" w:sz="4" w:space="0" w:color="auto"/>
                </w:tcBorders>
                <w:noWrap/>
                <w:vAlign w:val="center"/>
                <w:hideMark/>
              </w:tcPr>
              <w:p w14:paraId="609461A1" w14:textId="77777777" w:rsidR="00BF2049" w:rsidRPr="00BF2049" w:rsidRDefault="00BF2049" w:rsidP="002C6AB9">
                <w:pPr>
                  <w:spacing w:after="0"/>
                  <w:rPr>
                    <w:rFonts w:ascii="Arial" w:eastAsia="Times New Roman" w:hAnsi="Arial" w:cs="Arial"/>
                    <w:color w:val="000000"/>
                    <w:lang w:eastAsia="en-GB"/>
                  </w:rPr>
                </w:pPr>
                <w:r w:rsidRPr="00BF2049">
                  <w:rPr>
                    <w:rFonts w:ascii="Arial" w:eastAsia="Times New Roman" w:hAnsi="Arial" w:cs="Arial"/>
                    <w:color w:val="000000"/>
                    <w:lang w:eastAsia="en-GB"/>
                  </w:rPr>
                  <w:t>Finance Systems</w:t>
                </w:r>
              </w:p>
            </w:tc>
            <w:tc>
              <w:tcPr>
                <w:tcW w:w="925" w:type="dxa"/>
                <w:tcBorders>
                  <w:top w:val="nil"/>
                  <w:left w:val="nil"/>
                  <w:bottom w:val="single" w:sz="4" w:space="0" w:color="auto"/>
                  <w:right w:val="single" w:sz="4" w:space="0" w:color="auto"/>
                </w:tcBorders>
                <w:noWrap/>
                <w:vAlign w:val="center"/>
                <w:hideMark/>
              </w:tcPr>
              <w:p w14:paraId="37725526" w14:textId="77777777" w:rsidR="00BF2049" w:rsidRPr="00BF2049" w:rsidRDefault="00BF2049" w:rsidP="002C6AB9">
                <w:pPr>
                  <w:spacing w:after="0"/>
                  <w:jc w:val="right"/>
                  <w:rPr>
                    <w:rFonts w:ascii="Arial" w:eastAsia="Times New Roman" w:hAnsi="Arial" w:cs="Arial"/>
                    <w:color w:val="000000"/>
                    <w:lang w:eastAsia="en-GB"/>
                  </w:rPr>
                </w:pPr>
                <w:r w:rsidRPr="00BF2049">
                  <w:rPr>
                    <w:rFonts w:ascii="Arial" w:eastAsia="Times New Roman" w:hAnsi="Arial" w:cs="Arial"/>
                    <w:color w:val="000000"/>
                    <w:lang w:eastAsia="en-GB"/>
                  </w:rPr>
                  <w:t>50</w:t>
                </w:r>
              </w:p>
            </w:tc>
            <w:tc>
              <w:tcPr>
                <w:tcW w:w="1175" w:type="dxa"/>
                <w:tcBorders>
                  <w:top w:val="nil"/>
                  <w:left w:val="nil"/>
                  <w:bottom w:val="single" w:sz="4" w:space="0" w:color="auto"/>
                  <w:right w:val="single" w:sz="4" w:space="0" w:color="auto"/>
                </w:tcBorders>
                <w:noWrap/>
                <w:vAlign w:val="center"/>
                <w:hideMark/>
              </w:tcPr>
              <w:p w14:paraId="38396FB7" w14:textId="77777777" w:rsidR="00BF2049" w:rsidRPr="00BF2049" w:rsidRDefault="00BF2049" w:rsidP="002C6AB9">
                <w:pPr>
                  <w:spacing w:after="0"/>
                  <w:jc w:val="right"/>
                  <w:rPr>
                    <w:rFonts w:ascii="Arial" w:eastAsia="Times New Roman" w:hAnsi="Arial" w:cs="Arial"/>
                    <w:color w:val="000000"/>
                    <w:lang w:eastAsia="en-GB"/>
                  </w:rPr>
                </w:pPr>
                <w:r w:rsidRPr="00BF2049">
                  <w:rPr>
                    <w:rFonts w:ascii="Arial" w:eastAsia="Times New Roman" w:hAnsi="Arial" w:cs="Arial"/>
                    <w:color w:val="000000"/>
                    <w:lang w:eastAsia="en-GB"/>
                  </w:rPr>
                  <w:t>55</w:t>
                </w:r>
              </w:p>
            </w:tc>
            <w:tc>
              <w:tcPr>
                <w:tcW w:w="5760" w:type="dxa"/>
                <w:tcBorders>
                  <w:top w:val="nil"/>
                  <w:left w:val="nil"/>
                  <w:bottom w:val="single" w:sz="4" w:space="0" w:color="auto"/>
                  <w:right w:val="single" w:sz="4" w:space="0" w:color="auto"/>
                </w:tcBorders>
                <w:noWrap/>
                <w:vAlign w:val="center"/>
                <w:hideMark/>
              </w:tcPr>
              <w:p w14:paraId="0E7FA250" w14:textId="77777777" w:rsidR="00BF2049" w:rsidRPr="00BF2049" w:rsidRDefault="00BF2049" w:rsidP="002C6AB9">
                <w:pPr>
                  <w:spacing w:after="0"/>
                  <w:rPr>
                    <w:rFonts w:ascii="Arial" w:eastAsia="Times New Roman" w:hAnsi="Arial" w:cs="Arial"/>
                    <w:color w:val="000000"/>
                    <w:lang w:eastAsia="en-GB"/>
                  </w:rPr>
                </w:pPr>
                <w:r w:rsidRPr="00BF2049">
                  <w:rPr>
                    <w:rFonts w:ascii="Arial" w:eastAsia="Times New Roman" w:hAnsi="Arial" w:cs="Arial"/>
                    <w:color w:val="000000"/>
                    <w:lang w:eastAsia="en-GB"/>
                  </w:rPr>
                  <w:t>Charging Cost Review</w:t>
                </w:r>
              </w:p>
            </w:tc>
          </w:tr>
          <w:tr w:rsidR="00BF2049" w:rsidRPr="00BF2049" w14:paraId="742FB3EF" w14:textId="77777777" w:rsidTr="002C6AB9">
            <w:trPr>
              <w:trHeight w:val="340"/>
            </w:trPr>
            <w:tc>
              <w:tcPr>
                <w:tcW w:w="2601" w:type="dxa"/>
                <w:tcBorders>
                  <w:top w:val="nil"/>
                  <w:left w:val="single" w:sz="4" w:space="0" w:color="auto"/>
                  <w:bottom w:val="single" w:sz="4" w:space="0" w:color="auto"/>
                  <w:right w:val="single" w:sz="4" w:space="0" w:color="auto"/>
                </w:tcBorders>
                <w:noWrap/>
                <w:vAlign w:val="center"/>
                <w:hideMark/>
              </w:tcPr>
              <w:p w14:paraId="1B651B24" w14:textId="77777777" w:rsidR="00BF2049" w:rsidRPr="00BF2049" w:rsidRDefault="00BF2049" w:rsidP="002C6AB9">
                <w:pPr>
                  <w:spacing w:after="0"/>
                  <w:rPr>
                    <w:rFonts w:ascii="Arial" w:eastAsia="Times New Roman" w:hAnsi="Arial" w:cs="Arial"/>
                    <w:color w:val="000000"/>
                    <w:lang w:eastAsia="en-GB"/>
                  </w:rPr>
                </w:pPr>
                <w:r w:rsidRPr="00BF2049">
                  <w:rPr>
                    <w:rFonts w:ascii="Arial" w:eastAsia="Times New Roman" w:hAnsi="Arial" w:cs="Arial"/>
                    <w:color w:val="000000"/>
                    <w:lang w:eastAsia="en-GB"/>
                  </w:rPr>
                  <w:t>Workspaces</w:t>
                </w:r>
              </w:p>
            </w:tc>
            <w:tc>
              <w:tcPr>
                <w:tcW w:w="925" w:type="dxa"/>
                <w:tcBorders>
                  <w:top w:val="nil"/>
                  <w:left w:val="nil"/>
                  <w:bottom w:val="single" w:sz="4" w:space="0" w:color="auto"/>
                  <w:right w:val="single" w:sz="4" w:space="0" w:color="auto"/>
                </w:tcBorders>
                <w:noWrap/>
                <w:vAlign w:val="center"/>
                <w:hideMark/>
              </w:tcPr>
              <w:p w14:paraId="10CEE289" w14:textId="77777777" w:rsidR="00BF2049" w:rsidRPr="00BF2049" w:rsidRDefault="00BF2049" w:rsidP="002C6AB9">
                <w:pPr>
                  <w:spacing w:after="0"/>
                  <w:jc w:val="right"/>
                  <w:rPr>
                    <w:rFonts w:ascii="Arial" w:eastAsia="Times New Roman" w:hAnsi="Arial" w:cs="Arial"/>
                    <w:color w:val="000000"/>
                    <w:lang w:eastAsia="en-GB"/>
                  </w:rPr>
                </w:pPr>
                <w:r w:rsidRPr="00BF2049">
                  <w:rPr>
                    <w:rFonts w:ascii="Arial" w:eastAsia="Times New Roman" w:hAnsi="Arial" w:cs="Arial"/>
                    <w:color w:val="000000"/>
                    <w:lang w:eastAsia="en-GB"/>
                  </w:rPr>
                  <w:t>1,045</w:t>
                </w:r>
              </w:p>
            </w:tc>
            <w:tc>
              <w:tcPr>
                <w:tcW w:w="1175" w:type="dxa"/>
                <w:tcBorders>
                  <w:top w:val="nil"/>
                  <w:left w:val="nil"/>
                  <w:bottom w:val="single" w:sz="4" w:space="0" w:color="auto"/>
                  <w:right w:val="single" w:sz="4" w:space="0" w:color="auto"/>
                </w:tcBorders>
                <w:noWrap/>
                <w:vAlign w:val="center"/>
                <w:hideMark/>
              </w:tcPr>
              <w:p w14:paraId="6BD56CEC" w14:textId="77777777" w:rsidR="00BF2049" w:rsidRPr="00BF2049" w:rsidRDefault="00BF2049" w:rsidP="002C6AB9">
                <w:pPr>
                  <w:spacing w:after="0"/>
                  <w:jc w:val="right"/>
                  <w:rPr>
                    <w:rFonts w:ascii="Arial" w:eastAsia="Times New Roman" w:hAnsi="Arial" w:cs="Arial"/>
                    <w:color w:val="000000"/>
                    <w:lang w:eastAsia="en-GB"/>
                  </w:rPr>
                </w:pPr>
                <w:r w:rsidRPr="00BF2049">
                  <w:rPr>
                    <w:rFonts w:ascii="Arial" w:eastAsia="Times New Roman" w:hAnsi="Arial" w:cs="Arial"/>
                    <w:color w:val="000000"/>
                    <w:lang w:eastAsia="en-GB"/>
                  </w:rPr>
                  <w:t>1,781</w:t>
                </w:r>
              </w:p>
            </w:tc>
            <w:tc>
              <w:tcPr>
                <w:tcW w:w="5760" w:type="dxa"/>
                <w:tcBorders>
                  <w:top w:val="nil"/>
                  <w:left w:val="nil"/>
                  <w:bottom w:val="single" w:sz="4" w:space="0" w:color="auto"/>
                  <w:right w:val="single" w:sz="4" w:space="0" w:color="auto"/>
                </w:tcBorders>
                <w:noWrap/>
                <w:vAlign w:val="center"/>
                <w:hideMark/>
              </w:tcPr>
              <w:p w14:paraId="75C07AB0" w14:textId="77777777" w:rsidR="00BF2049" w:rsidRPr="00BF2049" w:rsidRDefault="00BF2049" w:rsidP="002C6AB9">
                <w:pPr>
                  <w:spacing w:after="0"/>
                  <w:rPr>
                    <w:rFonts w:ascii="Arial" w:eastAsia="Times New Roman" w:hAnsi="Arial" w:cs="Arial"/>
                    <w:color w:val="000000"/>
                    <w:lang w:eastAsia="en-GB"/>
                  </w:rPr>
                </w:pPr>
                <w:r w:rsidRPr="00BF2049">
                  <w:rPr>
                    <w:rFonts w:ascii="Arial" w:eastAsia="Times New Roman" w:hAnsi="Arial" w:cs="Arial"/>
                    <w:color w:val="000000"/>
                    <w:lang w:eastAsia="en-GB"/>
                  </w:rPr>
                  <w:t>Stirling Office Dilapidations &amp; Fleet Replacement</w:t>
                </w:r>
              </w:p>
            </w:tc>
          </w:tr>
          <w:tr w:rsidR="00BF2049" w:rsidRPr="00BF2049" w14:paraId="0051BDAA" w14:textId="77777777" w:rsidTr="002C6AB9">
            <w:trPr>
              <w:trHeight w:val="340"/>
            </w:trPr>
            <w:tc>
              <w:tcPr>
                <w:tcW w:w="2601" w:type="dxa"/>
                <w:tcBorders>
                  <w:top w:val="nil"/>
                  <w:left w:val="single" w:sz="4" w:space="0" w:color="auto"/>
                  <w:bottom w:val="single" w:sz="4" w:space="0" w:color="auto"/>
                  <w:right w:val="single" w:sz="4" w:space="0" w:color="auto"/>
                </w:tcBorders>
                <w:noWrap/>
                <w:vAlign w:val="center"/>
                <w:hideMark/>
              </w:tcPr>
              <w:p w14:paraId="6516DDB8" w14:textId="77777777" w:rsidR="00BF2049" w:rsidRPr="00BF2049" w:rsidRDefault="00BF2049" w:rsidP="002C6AB9">
                <w:pPr>
                  <w:spacing w:after="0"/>
                  <w:rPr>
                    <w:rFonts w:ascii="Arial" w:eastAsia="Times New Roman" w:hAnsi="Arial" w:cs="Arial"/>
                    <w:color w:val="000000"/>
                    <w:lang w:eastAsia="en-GB"/>
                  </w:rPr>
                </w:pPr>
                <w:r w:rsidRPr="00BF2049">
                  <w:rPr>
                    <w:rFonts w:ascii="Arial" w:eastAsia="Times New Roman" w:hAnsi="Arial" w:cs="Arial"/>
                    <w:color w:val="000000"/>
                    <w:lang w:eastAsia="en-GB"/>
                  </w:rPr>
                  <w:t>Hydrology</w:t>
                </w:r>
              </w:p>
            </w:tc>
            <w:tc>
              <w:tcPr>
                <w:tcW w:w="925" w:type="dxa"/>
                <w:tcBorders>
                  <w:top w:val="nil"/>
                  <w:left w:val="nil"/>
                  <w:bottom w:val="single" w:sz="4" w:space="0" w:color="auto"/>
                  <w:right w:val="single" w:sz="4" w:space="0" w:color="auto"/>
                </w:tcBorders>
                <w:noWrap/>
                <w:vAlign w:val="center"/>
                <w:hideMark/>
              </w:tcPr>
              <w:p w14:paraId="3944CC76" w14:textId="77777777" w:rsidR="00BF2049" w:rsidRPr="00BF2049" w:rsidRDefault="00BF2049" w:rsidP="002C6AB9">
                <w:pPr>
                  <w:spacing w:after="0"/>
                  <w:jc w:val="right"/>
                  <w:rPr>
                    <w:rFonts w:ascii="Arial" w:eastAsia="Times New Roman" w:hAnsi="Arial" w:cs="Arial"/>
                    <w:color w:val="000000"/>
                    <w:lang w:eastAsia="en-GB"/>
                  </w:rPr>
                </w:pPr>
                <w:r w:rsidRPr="00BF2049">
                  <w:rPr>
                    <w:rFonts w:ascii="Arial" w:eastAsia="Times New Roman" w:hAnsi="Arial" w:cs="Arial"/>
                    <w:color w:val="000000"/>
                    <w:lang w:eastAsia="en-GB"/>
                  </w:rPr>
                  <w:t>3,466</w:t>
                </w:r>
              </w:p>
            </w:tc>
            <w:tc>
              <w:tcPr>
                <w:tcW w:w="1175" w:type="dxa"/>
                <w:tcBorders>
                  <w:top w:val="nil"/>
                  <w:left w:val="nil"/>
                  <w:bottom w:val="single" w:sz="4" w:space="0" w:color="auto"/>
                  <w:right w:val="single" w:sz="4" w:space="0" w:color="auto"/>
                </w:tcBorders>
                <w:noWrap/>
                <w:vAlign w:val="center"/>
                <w:hideMark/>
              </w:tcPr>
              <w:p w14:paraId="1F64A4EF" w14:textId="77777777" w:rsidR="00BF2049" w:rsidRPr="00BF2049" w:rsidRDefault="00BF2049" w:rsidP="002C6AB9">
                <w:pPr>
                  <w:spacing w:after="0"/>
                  <w:jc w:val="right"/>
                  <w:rPr>
                    <w:rFonts w:ascii="Arial" w:eastAsia="Times New Roman" w:hAnsi="Arial" w:cs="Arial"/>
                    <w:color w:val="000000"/>
                    <w:lang w:eastAsia="en-GB"/>
                  </w:rPr>
                </w:pPr>
                <w:r w:rsidRPr="00BF2049">
                  <w:rPr>
                    <w:rFonts w:ascii="Arial" w:eastAsia="Times New Roman" w:hAnsi="Arial" w:cs="Arial"/>
                    <w:color w:val="000000"/>
                    <w:lang w:eastAsia="en-GB"/>
                  </w:rPr>
                  <w:t>2,160</w:t>
                </w:r>
              </w:p>
            </w:tc>
            <w:tc>
              <w:tcPr>
                <w:tcW w:w="5760" w:type="dxa"/>
                <w:tcBorders>
                  <w:top w:val="nil"/>
                  <w:left w:val="nil"/>
                  <w:bottom w:val="single" w:sz="4" w:space="0" w:color="auto"/>
                  <w:right w:val="single" w:sz="4" w:space="0" w:color="auto"/>
                </w:tcBorders>
                <w:vAlign w:val="center"/>
                <w:hideMark/>
              </w:tcPr>
              <w:p w14:paraId="73182509" w14:textId="77777777" w:rsidR="00BF2049" w:rsidRPr="00BF2049" w:rsidRDefault="00BF2049" w:rsidP="002C6AB9">
                <w:pPr>
                  <w:spacing w:after="0"/>
                  <w:rPr>
                    <w:rFonts w:ascii="Arial" w:eastAsia="Times New Roman" w:hAnsi="Arial" w:cs="Arial"/>
                    <w:color w:val="000000"/>
                    <w:lang w:eastAsia="en-GB"/>
                  </w:rPr>
                </w:pPr>
                <w:r w:rsidRPr="00BF2049">
                  <w:rPr>
                    <w:rFonts w:ascii="Arial" w:eastAsia="Times New Roman" w:hAnsi="Arial" w:cs="Arial"/>
                    <w:color w:val="000000"/>
                    <w:lang w:eastAsia="en-GB"/>
                  </w:rPr>
                  <w:t>Gauging Stations &amp; Flooding projects, flood &amp; coastal asset database and wave buoy deployment</w:t>
                </w:r>
              </w:p>
            </w:tc>
          </w:tr>
          <w:tr w:rsidR="00BF2049" w:rsidRPr="00BF2049" w14:paraId="6983FD07" w14:textId="77777777" w:rsidTr="002C6AB9">
            <w:trPr>
              <w:trHeight w:val="340"/>
            </w:trPr>
            <w:tc>
              <w:tcPr>
                <w:tcW w:w="2601" w:type="dxa"/>
                <w:tcBorders>
                  <w:top w:val="nil"/>
                  <w:left w:val="single" w:sz="4" w:space="0" w:color="auto"/>
                  <w:bottom w:val="single" w:sz="4" w:space="0" w:color="auto"/>
                  <w:right w:val="single" w:sz="4" w:space="0" w:color="auto"/>
                </w:tcBorders>
                <w:noWrap/>
                <w:vAlign w:val="center"/>
                <w:hideMark/>
              </w:tcPr>
              <w:p w14:paraId="5AE5CBBE" w14:textId="5FF93C87" w:rsidR="00BF2049" w:rsidRPr="00BF2049" w:rsidRDefault="007557E2" w:rsidP="002C6AB9">
                <w:pPr>
                  <w:spacing w:after="0"/>
                  <w:rPr>
                    <w:rFonts w:ascii="Arial" w:eastAsia="Times New Roman" w:hAnsi="Arial" w:cs="Arial"/>
                    <w:color w:val="000000"/>
                    <w:lang w:eastAsia="en-GB"/>
                  </w:rPr>
                </w:pPr>
                <w:r>
                  <w:rPr>
                    <w:rFonts w:ascii="Arial" w:eastAsia="Times New Roman" w:hAnsi="Arial" w:cs="Arial"/>
                    <w:color w:val="000000"/>
                    <w:lang w:eastAsia="en-GB"/>
                  </w:rPr>
                  <w:t>Planned overcommitment</w:t>
                </w:r>
              </w:p>
            </w:tc>
            <w:tc>
              <w:tcPr>
                <w:tcW w:w="925" w:type="dxa"/>
                <w:tcBorders>
                  <w:top w:val="nil"/>
                  <w:left w:val="nil"/>
                  <w:bottom w:val="single" w:sz="4" w:space="0" w:color="auto"/>
                  <w:right w:val="single" w:sz="4" w:space="0" w:color="auto"/>
                </w:tcBorders>
                <w:noWrap/>
                <w:vAlign w:val="center"/>
                <w:hideMark/>
              </w:tcPr>
              <w:p w14:paraId="3CC61F94" w14:textId="77777777" w:rsidR="00BF2049" w:rsidRPr="00BF2049" w:rsidRDefault="00BF2049" w:rsidP="002C6AB9">
                <w:pPr>
                  <w:spacing w:after="0"/>
                  <w:jc w:val="right"/>
                  <w:rPr>
                    <w:rFonts w:ascii="Arial" w:eastAsia="Times New Roman" w:hAnsi="Arial" w:cs="Arial"/>
                    <w:color w:val="000000"/>
                    <w:lang w:eastAsia="en-GB"/>
                  </w:rPr>
                </w:pPr>
                <w:r w:rsidRPr="00BF2049">
                  <w:rPr>
                    <w:rFonts w:ascii="Arial" w:eastAsia="Times New Roman" w:hAnsi="Arial" w:cs="Arial"/>
                    <w:color w:val="000000"/>
                    <w:lang w:eastAsia="en-GB"/>
                  </w:rPr>
                  <w:t>(983)</w:t>
                </w:r>
              </w:p>
            </w:tc>
            <w:tc>
              <w:tcPr>
                <w:tcW w:w="1175" w:type="dxa"/>
                <w:tcBorders>
                  <w:top w:val="nil"/>
                  <w:left w:val="nil"/>
                  <w:bottom w:val="single" w:sz="4" w:space="0" w:color="auto"/>
                  <w:right w:val="single" w:sz="4" w:space="0" w:color="auto"/>
                </w:tcBorders>
                <w:noWrap/>
                <w:vAlign w:val="center"/>
                <w:hideMark/>
              </w:tcPr>
              <w:p w14:paraId="17B633AE" w14:textId="77777777" w:rsidR="00BF2049" w:rsidRPr="00BF2049" w:rsidRDefault="00BF2049" w:rsidP="002C6AB9">
                <w:pPr>
                  <w:spacing w:after="0"/>
                  <w:jc w:val="right"/>
                  <w:rPr>
                    <w:rFonts w:ascii="Arial" w:eastAsia="Times New Roman" w:hAnsi="Arial" w:cs="Arial"/>
                    <w:color w:val="000000"/>
                    <w:lang w:eastAsia="en-GB"/>
                  </w:rPr>
                </w:pPr>
                <w:r w:rsidRPr="00BF2049">
                  <w:rPr>
                    <w:rFonts w:ascii="Arial" w:eastAsia="Times New Roman" w:hAnsi="Arial" w:cs="Arial"/>
                    <w:color w:val="000000"/>
                    <w:lang w:eastAsia="en-GB"/>
                  </w:rPr>
                  <w:t>0</w:t>
                </w:r>
              </w:p>
            </w:tc>
            <w:tc>
              <w:tcPr>
                <w:tcW w:w="5760" w:type="dxa"/>
                <w:tcBorders>
                  <w:top w:val="nil"/>
                  <w:left w:val="nil"/>
                  <w:bottom w:val="single" w:sz="4" w:space="0" w:color="auto"/>
                  <w:right w:val="single" w:sz="4" w:space="0" w:color="auto"/>
                </w:tcBorders>
                <w:noWrap/>
                <w:vAlign w:val="center"/>
                <w:hideMark/>
              </w:tcPr>
              <w:p w14:paraId="43E9558E" w14:textId="77777777" w:rsidR="00BF2049" w:rsidRPr="00BF2049" w:rsidRDefault="00BF2049" w:rsidP="002C6AB9">
                <w:pPr>
                  <w:spacing w:after="0"/>
                  <w:rPr>
                    <w:rFonts w:ascii="Arial" w:eastAsia="Times New Roman" w:hAnsi="Arial" w:cs="Arial"/>
                    <w:color w:val="000000"/>
                    <w:lang w:eastAsia="en-GB"/>
                  </w:rPr>
                </w:pPr>
                <w:r w:rsidRPr="00BF2049">
                  <w:rPr>
                    <w:rFonts w:ascii="Arial" w:eastAsia="Times New Roman" w:hAnsi="Arial" w:cs="Arial"/>
                    <w:color w:val="000000"/>
                    <w:lang w:eastAsia="en-GB"/>
                  </w:rPr>
                  <w:t> </w:t>
                </w:r>
              </w:p>
            </w:tc>
          </w:tr>
          <w:tr w:rsidR="00BF2049" w:rsidRPr="00BF2049" w14:paraId="74AD6EA6" w14:textId="77777777" w:rsidTr="00E25936">
            <w:trPr>
              <w:trHeight w:val="312"/>
            </w:trPr>
            <w:tc>
              <w:tcPr>
                <w:tcW w:w="2601" w:type="dxa"/>
                <w:tcBorders>
                  <w:top w:val="nil"/>
                  <w:left w:val="single" w:sz="4" w:space="0" w:color="auto"/>
                  <w:bottom w:val="single" w:sz="4" w:space="0" w:color="auto"/>
                  <w:right w:val="single" w:sz="4" w:space="0" w:color="auto"/>
                </w:tcBorders>
                <w:shd w:val="clear" w:color="auto" w:fill="016574" w:themeFill="accent1"/>
                <w:noWrap/>
                <w:vAlign w:val="bottom"/>
                <w:hideMark/>
              </w:tcPr>
              <w:p w14:paraId="078EEA96" w14:textId="77777777" w:rsidR="00BF2049" w:rsidRPr="00BF2049" w:rsidRDefault="00BF2049" w:rsidP="002C6AB9">
                <w:pPr>
                  <w:spacing w:after="0"/>
                  <w:rPr>
                    <w:rFonts w:ascii="Arial" w:eastAsia="Times New Roman" w:hAnsi="Arial" w:cs="Arial"/>
                    <w:b/>
                    <w:bCs/>
                    <w:color w:val="FFFFFF"/>
                    <w:lang w:eastAsia="en-GB"/>
                  </w:rPr>
                </w:pPr>
                <w:r w:rsidRPr="00BF2049">
                  <w:rPr>
                    <w:rFonts w:ascii="Arial" w:eastAsia="Times New Roman" w:hAnsi="Arial" w:cs="Arial"/>
                    <w:b/>
                    <w:bCs/>
                    <w:color w:val="FFFFFF"/>
                    <w:lang w:eastAsia="en-GB"/>
                  </w:rPr>
                  <w:t>Totals</w:t>
                </w:r>
              </w:p>
            </w:tc>
            <w:tc>
              <w:tcPr>
                <w:tcW w:w="925" w:type="dxa"/>
                <w:tcBorders>
                  <w:top w:val="nil"/>
                  <w:left w:val="nil"/>
                  <w:bottom w:val="single" w:sz="4" w:space="0" w:color="auto"/>
                  <w:right w:val="single" w:sz="4" w:space="0" w:color="auto"/>
                </w:tcBorders>
                <w:shd w:val="clear" w:color="auto" w:fill="016574" w:themeFill="accent1"/>
                <w:noWrap/>
                <w:vAlign w:val="center"/>
                <w:hideMark/>
              </w:tcPr>
              <w:p w14:paraId="10CA2555" w14:textId="77777777" w:rsidR="00BF2049" w:rsidRPr="00BF2049" w:rsidRDefault="00BF2049" w:rsidP="002C6AB9">
                <w:pPr>
                  <w:spacing w:after="0"/>
                  <w:jc w:val="right"/>
                  <w:rPr>
                    <w:rFonts w:ascii="Arial" w:eastAsia="Times New Roman" w:hAnsi="Arial" w:cs="Arial"/>
                    <w:b/>
                    <w:bCs/>
                    <w:color w:val="FFFFFF"/>
                    <w:lang w:eastAsia="en-GB"/>
                  </w:rPr>
                </w:pPr>
                <w:r w:rsidRPr="00BF2049">
                  <w:rPr>
                    <w:rFonts w:ascii="Arial" w:eastAsia="Times New Roman" w:hAnsi="Arial" w:cs="Arial"/>
                    <w:b/>
                    <w:bCs/>
                    <w:color w:val="FFFFFF"/>
                    <w:lang w:eastAsia="en-GB"/>
                  </w:rPr>
                  <w:t>7,210</w:t>
                </w:r>
              </w:p>
            </w:tc>
            <w:tc>
              <w:tcPr>
                <w:tcW w:w="1175" w:type="dxa"/>
                <w:tcBorders>
                  <w:top w:val="nil"/>
                  <w:left w:val="nil"/>
                  <w:bottom w:val="single" w:sz="4" w:space="0" w:color="auto"/>
                  <w:right w:val="single" w:sz="4" w:space="0" w:color="auto"/>
                </w:tcBorders>
                <w:shd w:val="clear" w:color="auto" w:fill="016574" w:themeFill="accent1"/>
                <w:noWrap/>
                <w:vAlign w:val="center"/>
                <w:hideMark/>
              </w:tcPr>
              <w:p w14:paraId="3606E121" w14:textId="77777777" w:rsidR="00BF2049" w:rsidRPr="00BF2049" w:rsidRDefault="00BF2049" w:rsidP="002C6AB9">
                <w:pPr>
                  <w:spacing w:after="0"/>
                  <w:jc w:val="right"/>
                  <w:rPr>
                    <w:rFonts w:ascii="Arial" w:eastAsia="Times New Roman" w:hAnsi="Arial" w:cs="Arial"/>
                    <w:b/>
                    <w:bCs/>
                    <w:color w:val="FFFFFF"/>
                    <w:lang w:eastAsia="en-GB"/>
                  </w:rPr>
                </w:pPr>
                <w:r w:rsidRPr="00BF2049">
                  <w:rPr>
                    <w:rFonts w:ascii="Arial" w:eastAsia="Times New Roman" w:hAnsi="Arial" w:cs="Arial"/>
                    <w:b/>
                    <w:bCs/>
                    <w:color w:val="FFFFFF"/>
                    <w:lang w:eastAsia="en-GB"/>
                  </w:rPr>
                  <w:t>6,438</w:t>
                </w:r>
              </w:p>
            </w:tc>
            <w:tc>
              <w:tcPr>
                <w:tcW w:w="5760" w:type="dxa"/>
                <w:tcBorders>
                  <w:top w:val="nil"/>
                  <w:left w:val="nil"/>
                  <w:bottom w:val="single" w:sz="4" w:space="0" w:color="auto"/>
                  <w:right w:val="single" w:sz="4" w:space="0" w:color="auto"/>
                </w:tcBorders>
                <w:shd w:val="clear" w:color="auto" w:fill="016574" w:themeFill="accent1"/>
                <w:noWrap/>
                <w:vAlign w:val="bottom"/>
                <w:hideMark/>
              </w:tcPr>
              <w:p w14:paraId="40F7921E" w14:textId="77777777" w:rsidR="00BF2049" w:rsidRPr="00BF2049" w:rsidRDefault="00BF2049" w:rsidP="002C6AB9">
                <w:pPr>
                  <w:spacing w:after="0"/>
                  <w:rPr>
                    <w:rFonts w:ascii="Arial" w:eastAsia="Times New Roman" w:hAnsi="Arial" w:cs="Arial"/>
                    <w:b/>
                    <w:bCs/>
                    <w:color w:val="FFFFFF"/>
                    <w:lang w:eastAsia="en-GB"/>
                  </w:rPr>
                </w:pPr>
                <w:r w:rsidRPr="00BF2049">
                  <w:rPr>
                    <w:rFonts w:ascii="Arial" w:eastAsia="Times New Roman" w:hAnsi="Arial" w:cs="Arial"/>
                    <w:b/>
                    <w:bCs/>
                    <w:color w:val="FFFFFF"/>
                    <w:lang w:eastAsia="en-GB"/>
                  </w:rPr>
                  <w:t> </w:t>
                </w:r>
              </w:p>
            </w:tc>
          </w:tr>
        </w:tbl>
        <w:p w14:paraId="28AA4E2D" w14:textId="77777777" w:rsidR="003D236C" w:rsidRDefault="003D236C" w:rsidP="003D236C">
          <w:pPr>
            <w:pStyle w:val="BodyText1"/>
            <w:spacing w:after="120"/>
            <w:rPr>
              <w:rStyle w:val="normaltextrun"/>
            </w:rPr>
          </w:pPr>
        </w:p>
        <w:p w14:paraId="31F8FCAD" w14:textId="65C6B4F7" w:rsidR="003D236C" w:rsidRDefault="000B5E85" w:rsidP="000B5E85">
          <w:pPr>
            <w:pStyle w:val="Heading3"/>
            <w:numPr>
              <w:ilvl w:val="0"/>
              <w:numId w:val="3"/>
            </w:numPr>
            <w:ind w:left="426" w:hanging="426"/>
            <w:rPr>
              <w:rStyle w:val="normaltextrun"/>
            </w:rPr>
          </w:pPr>
          <w:r w:rsidRPr="000B5E85">
            <w:rPr>
              <w:rStyle w:val="normaltextrun"/>
            </w:rPr>
            <w:t>Statement of financial position</w:t>
          </w:r>
        </w:p>
        <w:p w14:paraId="79D36D1C" w14:textId="77777777" w:rsidR="00BE6A7E" w:rsidRDefault="00BE6A7E" w:rsidP="00B02D35">
          <w:pPr>
            <w:pStyle w:val="ListParagraph"/>
            <w:numPr>
              <w:ilvl w:val="1"/>
              <w:numId w:val="12"/>
            </w:numPr>
            <w:spacing w:after="120"/>
            <w:ind w:left="1077" w:hanging="720"/>
          </w:pPr>
          <w:r>
            <w:t>The Statement of financial position is provided over the page.</w:t>
          </w:r>
        </w:p>
        <w:p w14:paraId="0E59FDF9" w14:textId="7631E849" w:rsidR="00FB67FD" w:rsidRDefault="00FB67FD" w:rsidP="00BE6A7E">
          <w:pPr>
            <w:pStyle w:val="ListParagraph"/>
            <w:spacing w:after="120"/>
            <w:ind w:left="360"/>
          </w:pPr>
          <w:r>
            <w:br w:type="page"/>
          </w:r>
        </w:p>
        <w:p w14:paraId="73A93A5E" w14:textId="1BC2A816" w:rsidR="00BE6A7E" w:rsidRDefault="002707FF" w:rsidP="002707FF">
          <w:pPr>
            <w:pStyle w:val="Heading4"/>
          </w:pPr>
          <w:r>
            <w:lastRenderedPageBreak/>
            <w:t>Table 4: Statement of financial position</w:t>
          </w:r>
        </w:p>
        <w:tbl>
          <w:tblPr>
            <w:tblW w:w="9760" w:type="dxa"/>
            <w:tblLook w:val="04A0" w:firstRow="1" w:lastRow="0" w:firstColumn="1" w:lastColumn="0" w:noHBand="0" w:noVBand="1"/>
            <w:tblCaption w:val="Table 4: Statement of financial position"/>
          </w:tblPr>
          <w:tblGrid>
            <w:gridCol w:w="6080"/>
            <w:gridCol w:w="2000"/>
            <w:gridCol w:w="1680"/>
          </w:tblGrid>
          <w:tr w:rsidR="002B7590" w:rsidRPr="00224CBA" w14:paraId="2B139189" w14:textId="77777777" w:rsidTr="00C93D7E">
            <w:trPr>
              <w:cantSplit/>
              <w:trHeight w:val="1125"/>
              <w:tblHeader/>
            </w:trPr>
            <w:tc>
              <w:tcPr>
                <w:tcW w:w="6080" w:type="dxa"/>
                <w:tcBorders>
                  <w:top w:val="single" w:sz="4" w:space="0" w:color="auto"/>
                  <w:left w:val="single" w:sz="4" w:space="0" w:color="auto"/>
                  <w:bottom w:val="nil"/>
                  <w:right w:val="single" w:sz="4" w:space="0" w:color="auto"/>
                </w:tcBorders>
                <w:shd w:val="clear" w:color="000000" w:fill="016574"/>
                <w:vAlign w:val="center"/>
                <w:hideMark/>
              </w:tcPr>
              <w:p w14:paraId="1568EB38" w14:textId="77777777" w:rsidR="002B7590" w:rsidRPr="00224CBA" w:rsidRDefault="002B7590" w:rsidP="00380857">
                <w:pPr>
                  <w:spacing w:after="0" w:line="240" w:lineRule="auto"/>
                  <w:rPr>
                    <w:rFonts w:ascii="Arial" w:eastAsia="Times New Roman" w:hAnsi="Arial" w:cs="Arial"/>
                    <w:b/>
                    <w:bCs/>
                    <w:color w:val="FFFFFF"/>
                    <w:lang w:eastAsia="en-GB"/>
                  </w:rPr>
                </w:pPr>
                <w:r w:rsidRPr="00224CBA">
                  <w:rPr>
                    <w:rFonts w:ascii="Arial" w:eastAsia="Times New Roman" w:hAnsi="Arial" w:cs="Arial"/>
                    <w:b/>
                    <w:bCs/>
                    <w:color w:val="FFFFFF"/>
                    <w:lang w:eastAsia="en-GB"/>
                  </w:rPr>
                  <w:t xml:space="preserve">Statement of financial position </w:t>
                </w:r>
              </w:p>
            </w:tc>
            <w:tc>
              <w:tcPr>
                <w:tcW w:w="2000" w:type="dxa"/>
                <w:tcBorders>
                  <w:top w:val="single" w:sz="4" w:space="0" w:color="auto"/>
                  <w:left w:val="nil"/>
                  <w:bottom w:val="nil"/>
                  <w:right w:val="single" w:sz="4" w:space="0" w:color="auto"/>
                </w:tcBorders>
                <w:shd w:val="clear" w:color="000000" w:fill="016574"/>
                <w:vAlign w:val="center"/>
                <w:hideMark/>
              </w:tcPr>
              <w:p w14:paraId="75147864" w14:textId="29B7D15B" w:rsidR="002B7590" w:rsidRPr="00224CBA" w:rsidRDefault="000C610F" w:rsidP="00380857">
                <w:pPr>
                  <w:spacing w:after="0" w:line="240"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Year to 31 March </w:t>
                </w:r>
                <w:r w:rsidR="002B7590" w:rsidRPr="00224CBA">
                  <w:rPr>
                    <w:rFonts w:ascii="Arial" w:eastAsia="Times New Roman" w:hAnsi="Arial" w:cs="Arial"/>
                    <w:b/>
                    <w:bCs/>
                    <w:color w:val="FFFFFF"/>
                    <w:lang w:eastAsia="en-GB"/>
                  </w:rPr>
                  <w:t>202</w:t>
                </w:r>
                <w:r>
                  <w:rPr>
                    <w:rFonts w:ascii="Arial" w:eastAsia="Times New Roman" w:hAnsi="Arial" w:cs="Arial"/>
                    <w:b/>
                    <w:bCs/>
                    <w:color w:val="FFFFFF"/>
                    <w:lang w:eastAsia="en-GB"/>
                  </w:rPr>
                  <w:t>6</w:t>
                </w:r>
                <w:r w:rsidR="002B7590" w:rsidRPr="00224CBA">
                  <w:rPr>
                    <w:rFonts w:ascii="Arial" w:eastAsia="Times New Roman" w:hAnsi="Arial" w:cs="Arial"/>
                    <w:b/>
                    <w:bCs/>
                    <w:color w:val="FFFFFF"/>
                    <w:lang w:eastAsia="en-GB"/>
                  </w:rPr>
                  <w:br/>
                  <w:t xml:space="preserve"> £'000</w:t>
                </w:r>
              </w:p>
            </w:tc>
            <w:tc>
              <w:tcPr>
                <w:tcW w:w="1680" w:type="dxa"/>
                <w:tcBorders>
                  <w:top w:val="single" w:sz="4" w:space="0" w:color="auto"/>
                  <w:left w:val="nil"/>
                  <w:bottom w:val="nil"/>
                  <w:right w:val="single" w:sz="4" w:space="0" w:color="auto"/>
                </w:tcBorders>
                <w:shd w:val="clear" w:color="000000" w:fill="016574"/>
                <w:vAlign w:val="center"/>
                <w:hideMark/>
              </w:tcPr>
              <w:p w14:paraId="2D5B853F" w14:textId="77777777" w:rsidR="002B7590" w:rsidRPr="00224CBA" w:rsidRDefault="002B7590" w:rsidP="00380857">
                <w:pPr>
                  <w:spacing w:after="0" w:line="240" w:lineRule="auto"/>
                  <w:jc w:val="center"/>
                  <w:rPr>
                    <w:rFonts w:ascii="Arial" w:eastAsia="Times New Roman" w:hAnsi="Arial" w:cs="Arial"/>
                    <w:b/>
                    <w:bCs/>
                    <w:color w:val="FFFFFF"/>
                    <w:lang w:eastAsia="en-GB"/>
                  </w:rPr>
                </w:pPr>
                <w:r w:rsidRPr="00224CBA">
                  <w:rPr>
                    <w:rFonts w:ascii="Arial" w:eastAsia="Times New Roman" w:hAnsi="Arial" w:cs="Arial"/>
                    <w:b/>
                    <w:bCs/>
                    <w:color w:val="FFFFFF"/>
                    <w:lang w:eastAsia="en-GB"/>
                  </w:rPr>
                  <w:t xml:space="preserve">Year to March 2025 </w:t>
                </w:r>
                <w:r w:rsidRPr="00224CBA">
                  <w:rPr>
                    <w:rFonts w:ascii="Arial" w:eastAsia="Times New Roman" w:hAnsi="Arial" w:cs="Arial"/>
                    <w:b/>
                    <w:bCs/>
                    <w:color w:val="FFFFFF"/>
                    <w:lang w:eastAsia="en-GB"/>
                  </w:rPr>
                  <w:br/>
                  <w:t>£'000</w:t>
                </w:r>
              </w:p>
            </w:tc>
          </w:tr>
          <w:tr w:rsidR="002B7590" w:rsidRPr="00224CBA" w14:paraId="6DCBDD5D" w14:textId="77777777" w:rsidTr="00380857">
            <w:trPr>
              <w:trHeight w:val="310"/>
            </w:trPr>
            <w:tc>
              <w:tcPr>
                <w:tcW w:w="6080" w:type="dxa"/>
                <w:tcBorders>
                  <w:top w:val="single" w:sz="4" w:space="0" w:color="auto"/>
                  <w:left w:val="single" w:sz="4" w:space="0" w:color="auto"/>
                  <w:bottom w:val="single" w:sz="4" w:space="0" w:color="auto"/>
                  <w:right w:val="single" w:sz="4" w:space="0" w:color="auto"/>
                </w:tcBorders>
                <w:vAlign w:val="center"/>
                <w:hideMark/>
              </w:tcPr>
              <w:p w14:paraId="28C311D5" w14:textId="77777777" w:rsidR="002B7590" w:rsidRPr="00224CBA" w:rsidRDefault="002B7590" w:rsidP="00380857">
                <w:pPr>
                  <w:spacing w:after="0"/>
                  <w:rPr>
                    <w:rFonts w:ascii="Arial" w:eastAsia="Times New Roman" w:hAnsi="Arial" w:cs="Arial"/>
                    <w:b/>
                    <w:bCs/>
                    <w:lang w:eastAsia="en-GB"/>
                  </w:rPr>
                </w:pPr>
                <w:r w:rsidRPr="00224CBA">
                  <w:rPr>
                    <w:rFonts w:ascii="Arial" w:eastAsia="Times New Roman" w:hAnsi="Arial" w:cs="Arial"/>
                    <w:b/>
                    <w:bCs/>
                    <w:lang w:eastAsia="en-GB"/>
                  </w:rPr>
                  <w:t>Non</w:t>
                </w:r>
                <w:r>
                  <w:rPr>
                    <w:rFonts w:ascii="Arial" w:eastAsia="Times New Roman" w:hAnsi="Arial" w:cs="Arial"/>
                    <w:b/>
                    <w:bCs/>
                    <w:lang w:eastAsia="en-GB"/>
                  </w:rPr>
                  <w:t>-</w:t>
                </w:r>
                <w:r w:rsidRPr="00224CBA">
                  <w:rPr>
                    <w:rFonts w:ascii="Arial" w:eastAsia="Times New Roman" w:hAnsi="Arial" w:cs="Arial"/>
                    <w:b/>
                    <w:bCs/>
                    <w:lang w:eastAsia="en-GB"/>
                  </w:rPr>
                  <w:t>current assets</w:t>
                </w:r>
              </w:p>
            </w:tc>
            <w:tc>
              <w:tcPr>
                <w:tcW w:w="2000" w:type="dxa"/>
                <w:tcBorders>
                  <w:top w:val="single" w:sz="4" w:space="0" w:color="auto"/>
                  <w:left w:val="nil"/>
                  <w:bottom w:val="single" w:sz="4" w:space="0" w:color="auto"/>
                  <w:right w:val="single" w:sz="4" w:space="0" w:color="auto"/>
                </w:tcBorders>
                <w:noWrap/>
                <w:vAlign w:val="bottom"/>
                <w:hideMark/>
              </w:tcPr>
              <w:p w14:paraId="5E8FE2C8" w14:textId="77777777" w:rsidR="002B7590" w:rsidRPr="00224CBA" w:rsidRDefault="002B7590" w:rsidP="00380857">
                <w:pPr>
                  <w:spacing w:after="0"/>
                  <w:rPr>
                    <w:rFonts w:ascii="Calibri" w:eastAsia="Times New Roman" w:hAnsi="Calibri" w:cs="Calibri"/>
                    <w:color w:val="000000"/>
                    <w:lang w:eastAsia="en-GB"/>
                  </w:rPr>
                </w:pPr>
                <w:r w:rsidRPr="00224CBA">
                  <w:rPr>
                    <w:rFonts w:ascii="Calibri" w:eastAsia="Times New Roman" w:hAnsi="Calibri" w:cs="Calibri"/>
                    <w:color w:val="000000"/>
                    <w:lang w:eastAsia="en-GB"/>
                  </w:rPr>
                  <w:t> </w:t>
                </w:r>
              </w:p>
            </w:tc>
            <w:tc>
              <w:tcPr>
                <w:tcW w:w="1680" w:type="dxa"/>
                <w:tcBorders>
                  <w:top w:val="single" w:sz="4" w:space="0" w:color="auto"/>
                  <w:left w:val="nil"/>
                  <w:bottom w:val="single" w:sz="4" w:space="0" w:color="auto"/>
                  <w:right w:val="single" w:sz="4" w:space="0" w:color="auto"/>
                </w:tcBorders>
                <w:vAlign w:val="bottom"/>
                <w:hideMark/>
              </w:tcPr>
              <w:p w14:paraId="50FBFAA8" w14:textId="77777777" w:rsidR="002B7590" w:rsidRPr="00224CBA" w:rsidRDefault="002B7590" w:rsidP="00380857">
                <w:pPr>
                  <w:spacing w:after="0"/>
                  <w:jc w:val="right"/>
                  <w:rPr>
                    <w:rFonts w:ascii="Arial" w:eastAsia="Times New Roman" w:hAnsi="Arial" w:cs="Arial"/>
                    <w:b/>
                    <w:bCs/>
                    <w:lang w:eastAsia="en-GB"/>
                  </w:rPr>
                </w:pPr>
                <w:r w:rsidRPr="00224CBA">
                  <w:rPr>
                    <w:rFonts w:ascii="Arial" w:eastAsia="Times New Roman" w:hAnsi="Arial" w:cs="Arial"/>
                    <w:b/>
                    <w:bCs/>
                    <w:lang w:eastAsia="en-GB"/>
                  </w:rPr>
                  <w:t> </w:t>
                </w:r>
              </w:p>
            </w:tc>
          </w:tr>
          <w:tr w:rsidR="002B7590" w:rsidRPr="00224CBA" w14:paraId="25A163AE" w14:textId="77777777" w:rsidTr="00380857">
            <w:trPr>
              <w:trHeight w:val="310"/>
            </w:trPr>
            <w:tc>
              <w:tcPr>
                <w:tcW w:w="6080" w:type="dxa"/>
                <w:tcBorders>
                  <w:top w:val="nil"/>
                  <w:left w:val="single" w:sz="4" w:space="0" w:color="auto"/>
                  <w:bottom w:val="single" w:sz="4" w:space="0" w:color="auto"/>
                  <w:right w:val="single" w:sz="4" w:space="0" w:color="auto"/>
                </w:tcBorders>
                <w:vAlign w:val="center"/>
                <w:hideMark/>
              </w:tcPr>
              <w:p w14:paraId="40F82CED" w14:textId="77777777" w:rsidR="002B7590" w:rsidRPr="00224CBA" w:rsidRDefault="002B7590" w:rsidP="00380857">
                <w:pPr>
                  <w:spacing w:after="0"/>
                  <w:rPr>
                    <w:rFonts w:ascii="Arial" w:eastAsia="Times New Roman" w:hAnsi="Arial" w:cs="Arial"/>
                    <w:lang w:eastAsia="en-GB"/>
                  </w:rPr>
                </w:pPr>
                <w:r w:rsidRPr="00224CBA">
                  <w:rPr>
                    <w:rFonts w:ascii="Arial" w:eastAsia="Times New Roman" w:hAnsi="Arial" w:cs="Arial"/>
                    <w:lang w:eastAsia="en-GB"/>
                  </w:rPr>
                  <w:t>Property, plant and equipment</w:t>
                </w:r>
              </w:p>
            </w:tc>
            <w:tc>
              <w:tcPr>
                <w:tcW w:w="2000" w:type="dxa"/>
                <w:tcBorders>
                  <w:top w:val="nil"/>
                  <w:left w:val="nil"/>
                  <w:bottom w:val="single" w:sz="4" w:space="0" w:color="auto"/>
                  <w:right w:val="single" w:sz="4" w:space="0" w:color="auto"/>
                </w:tcBorders>
                <w:noWrap/>
                <w:vAlign w:val="center"/>
                <w:hideMark/>
              </w:tcPr>
              <w:p w14:paraId="0BE0488F" w14:textId="50095373" w:rsidR="002B7590" w:rsidRPr="00224CBA" w:rsidRDefault="00BA03B2" w:rsidP="00380857">
                <w:pPr>
                  <w:spacing w:after="0"/>
                  <w:jc w:val="right"/>
                  <w:rPr>
                    <w:rFonts w:ascii="Arial" w:eastAsia="Times New Roman" w:hAnsi="Arial" w:cs="Arial"/>
                    <w:lang w:eastAsia="en-GB"/>
                  </w:rPr>
                </w:pPr>
                <w:r>
                  <w:rPr>
                    <w:rFonts w:ascii="Arial" w:eastAsia="Times New Roman" w:hAnsi="Arial" w:cs="Arial"/>
                    <w:lang w:eastAsia="en-GB"/>
                  </w:rPr>
                  <w:t>38,555</w:t>
                </w:r>
              </w:p>
            </w:tc>
            <w:tc>
              <w:tcPr>
                <w:tcW w:w="1680" w:type="dxa"/>
                <w:tcBorders>
                  <w:top w:val="nil"/>
                  <w:left w:val="nil"/>
                  <w:bottom w:val="single" w:sz="4" w:space="0" w:color="auto"/>
                  <w:right w:val="single" w:sz="4" w:space="0" w:color="auto"/>
                </w:tcBorders>
                <w:noWrap/>
                <w:vAlign w:val="center"/>
                <w:hideMark/>
              </w:tcPr>
              <w:p w14:paraId="364C3BDD" w14:textId="77777777" w:rsidR="002B7590" w:rsidRPr="00224CBA" w:rsidRDefault="002B7590" w:rsidP="00380857">
                <w:pPr>
                  <w:spacing w:after="0"/>
                  <w:jc w:val="right"/>
                  <w:rPr>
                    <w:rFonts w:ascii="Arial" w:eastAsia="Times New Roman" w:hAnsi="Arial" w:cs="Arial"/>
                    <w:lang w:eastAsia="en-GB"/>
                  </w:rPr>
                </w:pPr>
                <w:r w:rsidRPr="00224CBA">
                  <w:rPr>
                    <w:rFonts w:ascii="Arial" w:eastAsia="Times New Roman" w:hAnsi="Arial" w:cs="Arial"/>
                    <w:lang w:eastAsia="en-GB"/>
                  </w:rPr>
                  <w:t>42,075</w:t>
                </w:r>
              </w:p>
            </w:tc>
          </w:tr>
          <w:tr w:rsidR="002B7590" w:rsidRPr="00224CBA" w14:paraId="0CB0ACDA" w14:textId="77777777" w:rsidTr="00380857">
            <w:trPr>
              <w:trHeight w:val="310"/>
            </w:trPr>
            <w:tc>
              <w:tcPr>
                <w:tcW w:w="6080" w:type="dxa"/>
                <w:tcBorders>
                  <w:top w:val="nil"/>
                  <w:left w:val="single" w:sz="4" w:space="0" w:color="auto"/>
                  <w:bottom w:val="single" w:sz="4" w:space="0" w:color="auto"/>
                  <w:right w:val="single" w:sz="4" w:space="0" w:color="auto"/>
                </w:tcBorders>
                <w:vAlign w:val="center"/>
                <w:hideMark/>
              </w:tcPr>
              <w:p w14:paraId="3B79CE3F" w14:textId="77777777" w:rsidR="002B7590" w:rsidRPr="00224CBA" w:rsidRDefault="002B7590" w:rsidP="00380857">
                <w:pPr>
                  <w:spacing w:after="0"/>
                  <w:rPr>
                    <w:rFonts w:ascii="Arial" w:eastAsia="Times New Roman" w:hAnsi="Arial" w:cs="Arial"/>
                    <w:lang w:eastAsia="en-GB"/>
                  </w:rPr>
                </w:pPr>
                <w:r w:rsidRPr="00224CBA">
                  <w:rPr>
                    <w:rFonts w:ascii="Arial" w:eastAsia="Times New Roman" w:hAnsi="Arial" w:cs="Arial"/>
                    <w:lang w:eastAsia="en-GB"/>
                  </w:rPr>
                  <w:t>Intangible assets</w:t>
                </w:r>
              </w:p>
            </w:tc>
            <w:tc>
              <w:tcPr>
                <w:tcW w:w="2000" w:type="dxa"/>
                <w:tcBorders>
                  <w:top w:val="nil"/>
                  <w:left w:val="nil"/>
                  <w:bottom w:val="single" w:sz="4" w:space="0" w:color="auto"/>
                  <w:right w:val="single" w:sz="4" w:space="0" w:color="auto"/>
                </w:tcBorders>
                <w:noWrap/>
                <w:vAlign w:val="center"/>
                <w:hideMark/>
              </w:tcPr>
              <w:p w14:paraId="4AEA1E07" w14:textId="2A095B57" w:rsidR="002B7590" w:rsidRPr="00224CBA" w:rsidRDefault="00BA03B2" w:rsidP="00380857">
                <w:pPr>
                  <w:spacing w:after="0"/>
                  <w:jc w:val="right"/>
                  <w:rPr>
                    <w:rFonts w:ascii="Arial" w:eastAsia="Times New Roman" w:hAnsi="Arial" w:cs="Arial"/>
                    <w:lang w:eastAsia="en-GB"/>
                  </w:rPr>
                </w:pPr>
                <w:r>
                  <w:rPr>
                    <w:rFonts w:ascii="Arial" w:eastAsia="Times New Roman" w:hAnsi="Arial" w:cs="Arial"/>
                    <w:lang w:eastAsia="en-GB"/>
                  </w:rPr>
                  <w:t>3,618</w:t>
                </w:r>
              </w:p>
            </w:tc>
            <w:tc>
              <w:tcPr>
                <w:tcW w:w="1680" w:type="dxa"/>
                <w:tcBorders>
                  <w:top w:val="nil"/>
                  <w:left w:val="nil"/>
                  <w:bottom w:val="single" w:sz="4" w:space="0" w:color="auto"/>
                  <w:right w:val="single" w:sz="4" w:space="0" w:color="auto"/>
                </w:tcBorders>
                <w:noWrap/>
                <w:vAlign w:val="center"/>
                <w:hideMark/>
              </w:tcPr>
              <w:p w14:paraId="128ED5E7" w14:textId="77777777" w:rsidR="002B7590" w:rsidRPr="00224CBA" w:rsidRDefault="002B7590" w:rsidP="00380857">
                <w:pPr>
                  <w:spacing w:after="0"/>
                  <w:jc w:val="right"/>
                  <w:rPr>
                    <w:rFonts w:ascii="Arial" w:eastAsia="Times New Roman" w:hAnsi="Arial" w:cs="Arial"/>
                    <w:lang w:eastAsia="en-GB"/>
                  </w:rPr>
                </w:pPr>
                <w:r w:rsidRPr="00224CBA">
                  <w:rPr>
                    <w:rFonts w:ascii="Arial" w:eastAsia="Times New Roman" w:hAnsi="Arial" w:cs="Arial"/>
                    <w:lang w:eastAsia="en-GB"/>
                  </w:rPr>
                  <w:t>4,027</w:t>
                </w:r>
              </w:p>
            </w:tc>
          </w:tr>
          <w:tr w:rsidR="002B7590" w:rsidRPr="00224CBA" w14:paraId="210134CC" w14:textId="77777777" w:rsidTr="00380857">
            <w:trPr>
              <w:trHeight w:val="310"/>
            </w:trPr>
            <w:tc>
              <w:tcPr>
                <w:tcW w:w="6080" w:type="dxa"/>
                <w:tcBorders>
                  <w:top w:val="nil"/>
                  <w:left w:val="single" w:sz="4" w:space="0" w:color="auto"/>
                  <w:bottom w:val="single" w:sz="4" w:space="0" w:color="auto"/>
                  <w:right w:val="single" w:sz="4" w:space="0" w:color="auto"/>
                </w:tcBorders>
                <w:vAlign w:val="center"/>
                <w:hideMark/>
              </w:tcPr>
              <w:p w14:paraId="70E3E7EE" w14:textId="77777777" w:rsidR="002B7590" w:rsidRPr="00224CBA" w:rsidRDefault="002B7590" w:rsidP="00380857">
                <w:pPr>
                  <w:spacing w:after="0"/>
                  <w:rPr>
                    <w:rFonts w:ascii="Arial" w:eastAsia="Times New Roman" w:hAnsi="Arial" w:cs="Arial"/>
                    <w:lang w:eastAsia="en-GB"/>
                  </w:rPr>
                </w:pPr>
                <w:r w:rsidRPr="00224CBA">
                  <w:rPr>
                    <w:rFonts w:ascii="Arial" w:eastAsia="Times New Roman" w:hAnsi="Arial" w:cs="Arial"/>
                    <w:lang w:eastAsia="en-GB"/>
                  </w:rPr>
                  <w:t>Assets under construction</w:t>
                </w:r>
              </w:p>
            </w:tc>
            <w:tc>
              <w:tcPr>
                <w:tcW w:w="2000" w:type="dxa"/>
                <w:tcBorders>
                  <w:top w:val="nil"/>
                  <w:left w:val="nil"/>
                  <w:bottom w:val="single" w:sz="4" w:space="0" w:color="auto"/>
                  <w:right w:val="single" w:sz="4" w:space="0" w:color="auto"/>
                </w:tcBorders>
                <w:noWrap/>
                <w:vAlign w:val="center"/>
                <w:hideMark/>
              </w:tcPr>
              <w:p w14:paraId="72459343" w14:textId="3D44A3B7" w:rsidR="002B7590" w:rsidRPr="00224CBA" w:rsidRDefault="00BA03B2" w:rsidP="00380857">
                <w:pPr>
                  <w:spacing w:after="0"/>
                  <w:jc w:val="right"/>
                  <w:rPr>
                    <w:rFonts w:ascii="Arial" w:eastAsia="Times New Roman" w:hAnsi="Arial" w:cs="Arial"/>
                    <w:lang w:eastAsia="en-GB"/>
                  </w:rPr>
                </w:pPr>
                <w:r>
                  <w:rPr>
                    <w:rFonts w:ascii="Arial" w:eastAsia="Times New Roman" w:hAnsi="Arial" w:cs="Arial"/>
                    <w:lang w:eastAsia="en-GB"/>
                  </w:rPr>
                  <w:t>5,008</w:t>
                </w:r>
              </w:p>
            </w:tc>
            <w:tc>
              <w:tcPr>
                <w:tcW w:w="1680" w:type="dxa"/>
                <w:tcBorders>
                  <w:top w:val="nil"/>
                  <w:left w:val="nil"/>
                  <w:bottom w:val="single" w:sz="4" w:space="0" w:color="auto"/>
                  <w:right w:val="single" w:sz="4" w:space="0" w:color="auto"/>
                </w:tcBorders>
                <w:noWrap/>
                <w:vAlign w:val="center"/>
                <w:hideMark/>
              </w:tcPr>
              <w:p w14:paraId="722F70A4" w14:textId="77777777" w:rsidR="002B7590" w:rsidRPr="00224CBA" w:rsidRDefault="002B7590" w:rsidP="00380857">
                <w:pPr>
                  <w:spacing w:after="0"/>
                  <w:jc w:val="right"/>
                  <w:rPr>
                    <w:rFonts w:ascii="Arial" w:eastAsia="Times New Roman" w:hAnsi="Arial" w:cs="Arial"/>
                    <w:lang w:eastAsia="en-GB"/>
                  </w:rPr>
                </w:pPr>
                <w:r w:rsidRPr="00224CBA">
                  <w:rPr>
                    <w:rFonts w:ascii="Arial" w:eastAsia="Times New Roman" w:hAnsi="Arial" w:cs="Arial"/>
                    <w:lang w:eastAsia="en-GB"/>
                  </w:rPr>
                  <w:t>2,380</w:t>
                </w:r>
              </w:p>
            </w:tc>
          </w:tr>
          <w:tr w:rsidR="002B7590" w:rsidRPr="00224CBA" w14:paraId="07462B64" w14:textId="77777777" w:rsidTr="00380857">
            <w:trPr>
              <w:trHeight w:val="310"/>
            </w:trPr>
            <w:tc>
              <w:tcPr>
                <w:tcW w:w="6080" w:type="dxa"/>
                <w:tcBorders>
                  <w:top w:val="nil"/>
                  <w:left w:val="single" w:sz="4" w:space="0" w:color="auto"/>
                  <w:bottom w:val="single" w:sz="4" w:space="0" w:color="auto"/>
                  <w:right w:val="single" w:sz="4" w:space="0" w:color="auto"/>
                </w:tcBorders>
                <w:vAlign w:val="center"/>
                <w:hideMark/>
              </w:tcPr>
              <w:p w14:paraId="46533B45" w14:textId="77777777" w:rsidR="002B7590" w:rsidRPr="00224CBA" w:rsidRDefault="002B7590" w:rsidP="00380857">
                <w:pPr>
                  <w:spacing w:after="0"/>
                  <w:rPr>
                    <w:rFonts w:ascii="Arial" w:eastAsia="Times New Roman" w:hAnsi="Arial" w:cs="Arial"/>
                    <w:lang w:eastAsia="en-GB"/>
                  </w:rPr>
                </w:pPr>
                <w:r w:rsidRPr="00224CBA">
                  <w:rPr>
                    <w:rFonts w:ascii="Arial" w:eastAsia="Times New Roman" w:hAnsi="Arial" w:cs="Arial"/>
                    <w:lang w:eastAsia="en-GB"/>
                  </w:rPr>
                  <w:t>Employee retirement benefits</w:t>
                </w:r>
              </w:p>
            </w:tc>
            <w:tc>
              <w:tcPr>
                <w:tcW w:w="2000" w:type="dxa"/>
                <w:tcBorders>
                  <w:top w:val="nil"/>
                  <w:left w:val="nil"/>
                  <w:bottom w:val="single" w:sz="4" w:space="0" w:color="auto"/>
                  <w:right w:val="single" w:sz="4" w:space="0" w:color="auto"/>
                </w:tcBorders>
                <w:noWrap/>
                <w:vAlign w:val="center"/>
                <w:hideMark/>
              </w:tcPr>
              <w:p w14:paraId="021592A6" w14:textId="77777777" w:rsidR="002B7590" w:rsidRPr="00224CBA" w:rsidRDefault="002B7590" w:rsidP="00380857">
                <w:pPr>
                  <w:spacing w:after="0"/>
                  <w:jc w:val="right"/>
                  <w:rPr>
                    <w:rFonts w:ascii="Arial" w:eastAsia="Times New Roman" w:hAnsi="Arial" w:cs="Arial"/>
                    <w:lang w:eastAsia="en-GB"/>
                  </w:rPr>
                </w:pPr>
                <w:r w:rsidRPr="00224CBA">
                  <w:rPr>
                    <w:rFonts w:ascii="Arial" w:eastAsia="Times New Roman" w:hAnsi="Arial" w:cs="Arial"/>
                    <w:lang w:eastAsia="en-GB"/>
                  </w:rPr>
                  <w:t>0</w:t>
                </w:r>
              </w:p>
            </w:tc>
            <w:tc>
              <w:tcPr>
                <w:tcW w:w="1680" w:type="dxa"/>
                <w:tcBorders>
                  <w:top w:val="nil"/>
                  <w:left w:val="nil"/>
                  <w:bottom w:val="single" w:sz="4" w:space="0" w:color="auto"/>
                  <w:right w:val="single" w:sz="4" w:space="0" w:color="auto"/>
                </w:tcBorders>
                <w:noWrap/>
                <w:vAlign w:val="center"/>
                <w:hideMark/>
              </w:tcPr>
              <w:p w14:paraId="10A78FD9" w14:textId="77777777" w:rsidR="002B7590" w:rsidRPr="00224CBA" w:rsidRDefault="002B7590" w:rsidP="00380857">
                <w:pPr>
                  <w:spacing w:after="0"/>
                  <w:jc w:val="right"/>
                  <w:rPr>
                    <w:rFonts w:ascii="Arial" w:eastAsia="Times New Roman" w:hAnsi="Arial" w:cs="Arial"/>
                    <w:lang w:eastAsia="en-GB"/>
                  </w:rPr>
                </w:pPr>
                <w:r w:rsidRPr="00224CBA">
                  <w:rPr>
                    <w:rFonts w:ascii="Arial" w:eastAsia="Times New Roman" w:hAnsi="Arial" w:cs="Arial"/>
                    <w:lang w:eastAsia="en-GB"/>
                  </w:rPr>
                  <w:t>0</w:t>
                </w:r>
              </w:p>
            </w:tc>
          </w:tr>
          <w:tr w:rsidR="002B7590" w:rsidRPr="00224CBA" w14:paraId="408F78D0" w14:textId="77777777" w:rsidTr="00380857">
            <w:trPr>
              <w:trHeight w:val="310"/>
            </w:trPr>
            <w:tc>
              <w:tcPr>
                <w:tcW w:w="6080" w:type="dxa"/>
                <w:tcBorders>
                  <w:top w:val="nil"/>
                  <w:left w:val="single" w:sz="4" w:space="0" w:color="auto"/>
                  <w:bottom w:val="nil"/>
                  <w:right w:val="single" w:sz="4" w:space="0" w:color="auto"/>
                </w:tcBorders>
                <w:vAlign w:val="center"/>
                <w:hideMark/>
              </w:tcPr>
              <w:p w14:paraId="29FB3E3F" w14:textId="77777777" w:rsidR="002B7590" w:rsidRPr="00224CBA" w:rsidRDefault="002B7590" w:rsidP="00380857">
                <w:pPr>
                  <w:spacing w:after="0"/>
                  <w:rPr>
                    <w:rFonts w:ascii="Arial" w:eastAsia="Times New Roman" w:hAnsi="Arial" w:cs="Arial"/>
                    <w:lang w:eastAsia="en-GB"/>
                  </w:rPr>
                </w:pPr>
                <w:r w:rsidRPr="00224CBA">
                  <w:rPr>
                    <w:rFonts w:ascii="Arial" w:eastAsia="Times New Roman" w:hAnsi="Arial" w:cs="Arial"/>
                    <w:lang w:eastAsia="en-GB"/>
                  </w:rPr>
                  <w:t>Trade and other receivables</w:t>
                </w:r>
              </w:p>
            </w:tc>
            <w:tc>
              <w:tcPr>
                <w:tcW w:w="2000" w:type="dxa"/>
                <w:tcBorders>
                  <w:top w:val="nil"/>
                  <w:left w:val="single" w:sz="4" w:space="0" w:color="auto"/>
                  <w:bottom w:val="single" w:sz="4" w:space="0" w:color="auto"/>
                  <w:right w:val="single" w:sz="4" w:space="0" w:color="auto"/>
                </w:tcBorders>
                <w:noWrap/>
                <w:vAlign w:val="center"/>
                <w:hideMark/>
              </w:tcPr>
              <w:p w14:paraId="268FC317" w14:textId="6F781397" w:rsidR="002B7590" w:rsidRPr="00224CBA" w:rsidRDefault="00BA03B2" w:rsidP="00380857">
                <w:pPr>
                  <w:spacing w:after="0"/>
                  <w:jc w:val="right"/>
                  <w:rPr>
                    <w:rFonts w:ascii="Arial" w:eastAsia="Times New Roman" w:hAnsi="Arial" w:cs="Arial"/>
                    <w:lang w:eastAsia="en-GB"/>
                  </w:rPr>
                </w:pPr>
                <w:r>
                  <w:rPr>
                    <w:rFonts w:ascii="Arial" w:eastAsia="Times New Roman" w:hAnsi="Arial" w:cs="Arial"/>
                    <w:lang w:eastAsia="en-GB"/>
                  </w:rPr>
                  <w:t>86</w:t>
                </w:r>
              </w:p>
            </w:tc>
            <w:tc>
              <w:tcPr>
                <w:tcW w:w="1680" w:type="dxa"/>
                <w:tcBorders>
                  <w:top w:val="nil"/>
                  <w:left w:val="nil"/>
                  <w:bottom w:val="single" w:sz="4" w:space="0" w:color="auto"/>
                  <w:right w:val="single" w:sz="4" w:space="0" w:color="auto"/>
                </w:tcBorders>
                <w:noWrap/>
                <w:vAlign w:val="center"/>
                <w:hideMark/>
              </w:tcPr>
              <w:p w14:paraId="743C18C7" w14:textId="77777777" w:rsidR="002B7590" w:rsidRPr="00224CBA" w:rsidRDefault="002B7590" w:rsidP="00380857">
                <w:pPr>
                  <w:spacing w:after="0"/>
                  <w:jc w:val="right"/>
                  <w:rPr>
                    <w:rFonts w:ascii="Arial" w:eastAsia="Times New Roman" w:hAnsi="Arial" w:cs="Arial"/>
                    <w:lang w:eastAsia="en-GB"/>
                  </w:rPr>
                </w:pPr>
                <w:r w:rsidRPr="00224CBA">
                  <w:rPr>
                    <w:rFonts w:ascii="Arial" w:eastAsia="Times New Roman" w:hAnsi="Arial" w:cs="Arial"/>
                    <w:lang w:eastAsia="en-GB"/>
                  </w:rPr>
                  <w:t>232</w:t>
                </w:r>
              </w:p>
            </w:tc>
          </w:tr>
          <w:tr w:rsidR="002B7590" w:rsidRPr="00224CBA" w14:paraId="74A33E80" w14:textId="77777777" w:rsidTr="00380857">
            <w:trPr>
              <w:trHeight w:val="310"/>
            </w:trPr>
            <w:tc>
              <w:tcPr>
                <w:tcW w:w="6080" w:type="dxa"/>
                <w:tcBorders>
                  <w:top w:val="single" w:sz="4" w:space="0" w:color="auto"/>
                  <w:left w:val="single" w:sz="4" w:space="0" w:color="auto"/>
                  <w:bottom w:val="single" w:sz="4" w:space="0" w:color="auto"/>
                  <w:right w:val="single" w:sz="4" w:space="0" w:color="auto"/>
                </w:tcBorders>
                <w:shd w:val="clear" w:color="000000" w:fill="016574"/>
                <w:vAlign w:val="center"/>
                <w:hideMark/>
              </w:tcPr>
              <w:p w14:paraId="5B1A9A67" w14:textId="77777777" w:rsidR="002B7590" w:rsidRPr="00224CBA" w:rsidRDefault="002B7590" w:rsidP="00380857">
                <w:pPr>
                  <w:spacing w:after="0"/>
                  <w:rPr>
                    <w:rFonts w:ascii="Arial" w:eastAsia="Times New Roman" w:hAnsi="Arial" w:cs="Arial"/>
                    <w:b/>
                    <w:bCs/>
                    <w:color w:val="FFFFFF"/>
                    <w:lang w:eastAsia="en-GB"/>
                  </w:rPr>
                </w:pPr>
                <w:r w:rsidRPr="00224CBA">
                  <w:rPr>
                    <w:rFonts w:ascii="Arial" w:eastAsia="Times New Roman" w:hAnsi="Arial" w:cs="Arial"/>
                    <w:b/>
                    <w:bCs/>
                    <w:color w:val="FFFFFF"/>
                    <w:lang w:eastAsia="en-GB"/>
                  </w:rPr>
                  <w:t xml:space="preserve">Total non-current assets </w:t>
                </w:r>
              </w:p>
            </w:tc>
            <w:tc>
              <w:tcPr>
                <w:tcW w:w="2000" w:type="dxa"/>
                <w:tcBorders>
                  <w:top w:val="nil"/>
                  <w:left w:val="nil"/>
                  <w:bottom w:val="single" w:sz="4" w:space="0" w:color="auto"/>
                  <w:right w:val="single" w:sz="4" w:space="0" w:color="auto"/>
                </w:tcBorders>
                <w:shd w:val="clear" w:color="000000" w:fill="016574"/>
                <w:vAlign w:val="center"/>
                <w:hideMark/>
              </w:tcPr>
              <w:p w14:paraId="26A24F44" w14:textId="5EC3B7D3" w:rsidR="002B7590" w:rsidRPr="00224CBA" w:rsidRDefault="00BA03B2" w:rsidP="00380857">
                <w:pPr>
                  <w:spacing w:after="0"/>
                  <w:jc w:val="right"/>
                  <w:rPr>
                    <w:rFonts w:ascii="Arial" w:eastAsia="Times New Roman" w:hAnsi="Arial" w:cs="Arial"/>
                    <w:b/>
                    <w:bCs/>
                    <w:color w:val="FFFFFF"/>
                    <w:lang w:eastAsia="en-GB"/>
                  </w:rPr>
                </w:pPr>
                <w:r>
                  <w:rPr>
                    <w:rFonts w:ascii="Arial" w:eastAsia="Times New Roman" w:hAnsi="Arial" w:cs="Arial"/>
                    <w:b/>
                    <w:bCs/>
                    <w:color w:val="FFFFFF"/>
                    <w:lang w:eastAsia="en-GB"/>
                  </w:rPr>
                  <w:t>47,267</w:t>
                </w:r>
              </w:p>
            </w:tc>
            <w:tc>
              <w:tcPr>
                <w:tcW w:w="1680" w:type="dxa"/>
                <w:tcBorders>
                  <w:top w:val="nil"/>
                  <w:left w:val="nil"/>
                  <w:bottom w:val="single" w:sz="4" w:space="0" w:color="auto"/>
                  <w:right w:val="single" w:sz="4" w:space="0" w:color="auto"/>
                </w:tcBorders>
                <w:shd w:val="clear" w:color="000000" w:fill="016574"/>
                <w:vAlign w:val="center"/>
                <w:hideMark/>
              </w:tcPr>
              <w:p w14:paraId="3BC7A21E" w14:textId="77777777" w:rsidR="002B7590" w:rsidRPr="00224CBA" w:rsidRDefault="002B7590" w:rsidP="00380857">
                <w:pPr>
                  <w:spacing w:after="0"/>
                  <w:jc w:val="right"/>
                  <w:rPr>
                    <w:rFonts w:ascii="Arial" w:eastAsia="Times New Roman" w:hAnsi="Arial" w:cs="Arial"/>
                    <w:b/>
                    <w:bCs/>
                    <w:color w:val="FFFFFF"/>
                    <w:lang w:eastAsia="en-GB"/>
                  </w:rPr>
                </w:pPr>
                <w:r w:rsidRPr="00224CBA">
                  <w:rPr>
                    <w:rFonts w:ascii="Arial" w:eastAsia="Times New Roman" w:hAnsi="Arial" w:cs="Arial"/>
                    <w:b/>
                    <w:bCs/>
                    <w:color w:val="FFFFFF"/>
                    <w:lang w:eastAsia="en-GB"/>
                  </w:rPr>
                  <w:t>48,714</w:t>
                </w:r>
              </w:p>
            </w:tc>
          </w:tr>
          <w:tr w:rsidR="002B7590" w:rsidRPr="00224CBA" w14:paraId="700544D2" w14:textId="77777777" w:rsidTr="00380857">
            <w:trPr>
              <w:trHeight w:val="310"/>
            </w:trPr>
            <w:tc>
              <w:tcPr>
                <w:tcW w:w="6080" w:type="dxa"/>
                <w:tcBorders>
                  <w:top w:val="nil"/>
                  <w:left w:val="single" w:sz="4" w:space="0" w:color="auto"/>
                  <w:bottom w:val="single" w:sz="4" w:space="0" w:color="auto"/>
                  <w:right w:val="single" w:sz="4" w:space="0" w:color="auto"/>
                </w:tcBorders>
                <w:vAlign w:val="center"/>
                <w:hideMark/>
              </w:tcPr>
              <w:p w14:paraId="35A19A07" w14:textId="77777777" w:rsidR="002B7590" w:rsidRPr="00224CBA" w:rsidRDefault="002B7590" w:rsidP="00380857">
                <w:pPr>
                  <w:spacing w:after="0"/>
                  <w:rPr>
                    <w:rFonts w:ascii="Arial" w:eastAsia="Times New Roman" w:hAnsi="Arial" w:cs="Arial"/>
                    <w:b/>
                    <w:bCs/>
                    <w:lang w:eastAsia="en-GB"/>
                  </w:rPr>
                </w:pPr>
                <w:r w:rsidRPr="00224CBA">
                  <w:rPr>
                    <w:rFonts w:ascii="Arial" w:eastAsia="Times New Roman" w:hAnsi="Arial" w:cs="Arial"/>
                    <w:b/>
                    <w:bCs/>
                    <w:lang w:eastAsia="en-GB"/>
                  </w:rPr>
                  <w:t>Current assets</w:t>
                </w:r>
              </w:p>
            </w:tc>
            <w:tc>
              <w:tcPr>
                <w:tcW w:w="2000" w:type="dxa"/>
                <w:tcBorders>
                  <w:top w:val="nil"/>
                  <w:left w:val="nil"/>
                  <w:bottom w:val="single" w:sz="4" w:space="0" w:color="auto"/>
                  <w:right w:val="single" w:sz="4" w:space="0" w:color="auto"/>
                </w:tcBorders>
                <w:noWrap/>
                <w:vAlign w:val="center"/>
                <w:hideMark/>
              </w:tcPr>
              <w:p w14:paraId="139EDD2E" w14:textId="77777777" w:rsidR="002B7590" w:rsidRPr="00224CBA" w:rsidRDefault="002B7590" w:rsidP="00380857">
                <w:pPr>
                  <w:spacing w:after="0"/>
                  <w:jc w:val="right"/>
                  <w:rPr>
                    <w:rFonts w:ascii="Calibri" w:eastAsia="Times New Roman" w:hAnsi="Calibri" w:cs="Calibri"/>
                    <w:color w:val="000000"/>
                    <w:lang w:eastAsia="en-GB"/>
                  </w:rPr>
                </w:pPr>
                <w:r w:rsidRPr="00224CBA">
                  <w:rPr>
                    <w:rFonts w:ascii="Calibri" w:eastAsia="Times New Roman" w:hAnsi="Calibri" w:cs="Calibri"/>
                    <w:color w:val="000000"/>
                    <w:lang w:eastAsia="en-GB"/>
                  </w:rPr>
                  <w:t> </w:t>
                </w:r>
              </w:p>
            </w:tc>
            <w:tc>
              <w:tcPr>
                <w:tcW w:w="1680" w:type="dxa"/>
                <w:tcBorders>
                  <w:top w:val="nil"/>
                  <w:left w:val="nil"/>
                  <w:bottom w:val="single" w:sz="4" w:space="0" w:color="auto"/>
                  <w:right w:val="single" w:sz="4" w:space="0" w:color="auto"/>
                </w:tcBorders>
                <w:noWrap/>
                <w:vAlign w:val="center"/>
                <w:hideMark/>
              </w:tcPr>
              <w:p w14:paraId="5097F0FF" w14:textId="77777777" w:rsidR="002B7590" w:rsidRPr="00224CBA" w:rsidRDefault="002B7590" w:rsidP="00380857">
                <w:pPr>
                  <w:spacing w:after="0"/>
                  <w:jc w:val="right"/>
                  <w:rPr>
                    <w:rFonts w:ascii="Arial" w:eastAsia="Times New Roman" w:hAnsi="Arial" w:cs="Arial"/>
                    <w:lang w:eastAsia="en-GB"/>
                  </w:rPr>
                </w:pPr>
                <w:r w:rsidRPr="00224CBA">
                  <w:rPr>
                    <w:rFonts w:ascii="Arial" w:eastAsia="Times New Roman" w:hAnsi="Arial" w:cs="Arial"/>
                    <w:lang w:eastAsia="en-GB"/>
                  </w:rPr>
                  <w:t> </w:t>
                </w:r>
              </w:p>
            </w:tc>
          </w:tr>
          <w:tr w:rsidR="002B7590" w:rsidRPr="00224CBA" w14:paraId="6E3FD3B3" w14:textId="77777777" w:rsidTr="00380857">
            <w:trPr>
              <w:trHeight w:val="310"/>
            </w:trPr>
            <w:tc>
              <w:tcPr>
                <w:tcW w:w="6080" w:type="dxa"/>
                <w:tcBorders>
                  <w:top w:val="nil"/>
                  <w:left w:val="single" w:sz="4" w:space="0" w:color="auto"/>
                  <w:bottom w:val="single" w:sz="4" w:space="0" w:color="auto"/>
                  <w:right w:val="single" w:sz="4" w:space="0" w:color="auto"/>
                </w:tcBorders>
                <w:vAlign w:val="center"/>
                <w:hideMark/>
              </w:tcPr>
              <w:p w14:paraId="152E127F" w14:textId="77777777" w:rsidR="002B7590" w:rsidRPr="00224CBA" w:rsidRDefault="002B7590" w:rsidP="00380857">
                <w:pPr>
                  <w:spacing w:after="0"/>
                  <w:rPr>
                    <w:rFonts w:ascii="Arial" w:eastAsia="Times New Roman" w:hAnsi="Arial" w:cs="Arial"/>
                    <w:lang w:eastAsia="en-GB"/>
                  </w:rPr>
                </w:pPr>
                <w:r w:rsidRPr="00224CBA">
                  <w:rPr>
                    <w:rFonts w:ascii="Arial" w:eastAsia="Times New Roman" w:hAnsi="Arial" w:cs="Arial"/>
                    <w:lang w:eastAsia="en-GB"/>
                  </w:rPr>
                  <w:t>Trade and other receivables</w:t>
                </w:r>
              </w:p>
            </w:tc>
            <w:tc>
              <w:tcPr>
                <w:tcW w:w="2000" w:type="dxa"/>
                <w:tcBorders>
                  <w:top w:val="nil"/>
                  <w:left w:val="nil"/>
                  <w:bottom w:val="single" w:sz="4" w:space="0" w:color="auto"/>
                  <w:right w:val="single" w:sz="4" w:space="0" w:color="auto"/>
                </w:tcBorders>
                <w:noWrap/>
                <w:vAlign w:val="center"/>
                <w:hideMark/>
              </w:tcPr>
              <w:p w14:paraId="23883C53" w14:textId="233D8230" w:rsidR="002B7590" w:rsidRPr="00224CBA" w:rsidRDefault="00046FE5" w:rsidP="00380857">
                <w:pPr>
                  <w:spacing w:after="0"/>
                  <w:jc w:val="right"/>
                  <w:rPr>
                    <w:rFonts w:ascii="Arial" w:eastAsia="Times New Roman" w:hAnsi="Arial" w:cs="Arial"/>
                    <w:lang w:eastAsia="en-GB"/>
                  </w:rPr>
                </w:pPr>
                <w:r>
                  <w:rPr>
                    <w:rFonts w:ascii="Arial" w:eastAsia="Times New Roman" w:hAnsi="Arial" w:cs="Arial"/>
                    <w:lang w:eastAsia="en-GB"/>
                  </w:rPr>
                  <w:t>7,501</w:t>
                </w:r>
              </w:p>
            </w:tc>
            <w:tc>
              <w:tcPr>
                <w:tcW w:w="1680" w:type="dxa"/>
                <w:tcBorders>
                  <w:top w:val="nil"/>
                  <w:left w:val="nil"/>
                  <w:bottom w:val="single" w:sz="4" w:space="0" w:color="auto"/>
                  <w:right w:val="single" w:sz="4" w:space="0" w:color="auto"/>
                </w:tcBorders>
                <w:noWrap/>
                <w:vAlign w:val="center"/>
                <w:hideMark/>
              </w:tcPr>
              <w:p w14:paraId="3C7EF9BE" w14:textId="77777777" w:rsidR="002B7590" w:rsidRPr="00224CBA" w:rsidRDefault="002B7590" w:rsidP="00380857">
                <w:pPr>
                  <w:spacing w:after="0"/>
                  <w:jc w:val="right"/>
                  <w:rPr>
                    <w:rFonts w:ascii="Arial" w:eastAsia="Times New Roman" w:hAnsi="Arial" w:cs="Arial"/>
                    <w:lang w:eastAsia="en-GB"/>
                  </w:rPr>
                </w:pPr>
                <w:r w:rsidRPr="00224CBA">
                  <w:rPr>
                    <w:rFonts w:ascii="Arial" w:eastAsia="Times New Roman" w:hAnsi="Arial" w:cs="Arial"/>
                    <w:lang w:eastAsia="en-GB"/>
                  </w:rPr>
                  <w:t>5,029</w:t>
                </w:r>
              </w:p>
            </w:tc>
          </w:tr>
          <w:tr w:rsidR="002B7590" w:rsidRPr="00224CBA" w14:paraId="05355194" w14:textId="77777777" w:rsidTr="00380857">
            <w:trPr>
              <w:trHeight w:val="310"/>
            </w:trPr>
            <w:tc>
              <w:tcPr>
                <w:tcW w:w="6080" w:type="dxa"/>
                <w:tcBorders>
                  <w:top w:val="nil"/>
                  <w:left w:val="single" w:sz="4" w:space="0" w:color="auto"/>
                  <w:bottom w:val="single" w:sz="4" w:space="0" w:color="auto"/>
                  <w:right w:val="single" w:sz="4" w:space="0" w:color="auto"/>
                </w:tcBorders>
                <w:vAlign w:val="center"/>
                <w:hideMark/>
              </w:tcPr>
              <w:p w14:paraId="21A96687" w14:textId="77777777" w:rsidR="002B7590" w:rsidRPr="00224CBA" w:rsidRDefault="002B7590" w:rsidP="00380857">
                <w:pPr>
                  <w:spacing w:after="0"/>
                  <w:rPr>
                    <w:rFonts w:ascii="Arial" w:eastAsia="Times New Roman" w:hAnsi="Arial" w:cs="Arial"/>
                    <w:lang w:eastAsia="en-GB"/>
                  </w:rPr>
                </w:pPr>
                <w:r w:rsidRPr="00224CBA">
                  <w:rPr>
                    <w:rFonts w:ascii="Arial" w:eastAsia="Times New Roman" w:hAnsi="Arial" w:cs="Arial"/>
                    <w:lang w:eastAsia="en-GB"/>
                  </w:rPr>
                  <w:t>Cash and cash equivalents</w:t>
                </w:r>
              </w:p>
            </w:tc>
            <w:tc>
              <w:tcPr>
                <w:tcW w:w="2000" w:type="dxa"/>
                <w:tcBorders>
                  <w:top w:val="nil"/>
                  <w:left w:val="nil"/>
                  <w:bottom w:val="single" w:sz="4" w:space="0" w:color="auto"/>
                  <w:right w:val="single" w:sz="4" w:space="0" w:color="auto"/>
                </w:tcBorders>
                <w:noWrap/>
                <w:vAlign w:val="center"/>
                <w:hideMark/>
              </w:tcPr>
              <w:p w14:paraId="7ACEFD1D" w14:textId="3D546AD1" w:rsidR="002B7590" w:rsidRPr="00224CBA" w:rsidRDefault="00DC6B6A" w:rsidP="00380857">
                <w:pPr>
                  <w:spacing w:after="0"/>
                  <w:jc w:val="right"/>
                  <w:rPr>
                    <w:rFonts w:ascii="Arial" w:eastAsia="Times New Roman" w:hAnsi="Arial" w:cs="Arial"/>
                    <w:lang w:eastAsia="en-GB"/>
                  </w:rPr>
                </w:pPr>
                <w:r>
                  <w:rPr>
                    <w:rFonts w:ascii="Arial" w:eastAsia="Times New Roman" w:hAnsi="Arial" w:cs="Arial"/>
                    <w:lang w:eastAsia="en-GB"/>
                  </w:rPr>
                  <w:t>4,275</w:t>
                </w:r>
              </w:p>
            </w:tc>
            <w:tc>
              <w:tcPr>
                <w:tcW w:w="1680" w:type="dxa"/>
                <w:tcBorders>
                  <w:top w:val="nil"/>
                  <w:left w:val="nil"/>
                  <w:bottom w:val="single" w:sz="4" w:space="0" w:color="auto"/>
                  <w:right w:val="single" w:sz="4" w:space="0" w:color="auto"/>
                </w:tcBorders>
                <w:noWrap/>
                <w:vAlign w:val="center"/>
                <w:hideMark/>
              </w:tcPr>
              <w:p w14:paraId="71D14AF3" w14:textId="77777777" w:rsidR="002B7590" w:rsidRPr="00224CBA" w:rsidRDefault="002B7590" w:rsidP="00380857">
                <w:pPr>
                  <w:spacing w:after="0"/>
                  <w:jc w:val="right"/>
                  <w:rPr>
                    <w:rFonts w:ascii="Arial" w:eastAsia="Times New Roman" w:hAnsi="Arial" w:cs="Arial"/>
                    <w:lang w:eastAsia="en-GB"/>
                  </w:rPr>
                </w:pPr>
                <w:r w:rsidRPr="00224CBA">
                  <w:rPr>
                    <w:rFonts w:ascii="Arial" w:eastAsia="Times New Roman" w:hAnsi="Arial" w:cs="Arial"/>
                    <w:lang w:eastAsia="en-GB"/>
                  </w:rPr>
                  <w:t>2,346</w:t>
                </w:r>
              </w:p>
            </w:tc>
          </w:tr>
          <w:tr w:rsidR="002B7590" w:rsidRPr="00224CBA" w14:paraId="6D82C168" w14:textId="77777777" w:rsidTr="00380857">
            <w:trPr>
              <w:trHeight w:val="310"/>
            </w:trPr>
            <w:tc>
              <w:tcPr>
                <w:tcW w:w="6080" w:type="dxa"/>
                <w:tcBorders>
                  <w:top w:val="nil"/>
                  <w:left w:val="single" w:sz="4" w:space="0" w:color="auto"/>
                  <w:bottom w:val="single" w:sz="4" w:space="0" w:color="auto"/>
                  <w:right w:val="single" w:sz="4" w:space="0" w:color="auto"/>
                </w:tcBorders>
                <w:shd w:val="clear" w:color="000000" w:fill="016574"/>
                <w:vAlign w:val="center"/>
                <w:hideMark/>
              </w:tcPr>
              <w:p w14:paraId="698753A2" w14:textId="77777777" w:rsidR="002B7590" w:rsidRPr="00224CBA" w:rsidRDefault="002B7590" w:rsidP="00380857">
                <w:pPr>
                  <w:spacing w:after="0"/>
                  <w:rPr>
                    <w:rFonts w:ascii="Arial" w:eastAsia="Times New Roman" w:hAnsi="Arial" w:cs="Arial"/>
                    <w:b/>
                    <w:bCs/>
                    <w:color w:val="FFFFFF"/>
                    <w:lang w:eastAsia="en-GB"/>
                  </w:rPr>
                </w:pPr>
                <w:r w:rsidRPr="00224CBA">
                  <w:rPr>
                    <w:rFonts w:ascii="Arial" w:eastAsia="Times New Roman" w:hAnsi="Arial" w:cs="Arial"/>
                    <w:b/>
                    <w:bCs/>
                    <w:color w:val="FFFFFF"/>
                    <w:lang w:eastAsia="en-GB"/>
                  </w:rPr>
                  <w:t>Total current assets</w:t>
                </w:r>
              </w:p>
            </w:tc>
            <w:tc>
              <w:tcPr>
                <w:tcW w:w="2000" w:type="dxa"/>
                <w:tcBorders>
                  <w:top w:val="nil"/>
                  <w:left w:val="nil"/>
                  <w:bottom w:val="single" w:sz="4" w:space="0" w:color="auto"/>
                  <w:right w:val="single" w:sz="4" w:space="0" w:color="auto"/>
                </w:tcBorders>
                <w:shd w:val="clear" w:color="000000" w:fill="016574"/>
                <w:vAlign w:val="center"/>
                <w:hideMark/>
              </w:tcPr>
              <w:p w14:paraId="07A068E3" w14:textId="1ED699B7" w:rsidR="002B7590" w:rsidRPr="00224CBA" w:rsidRDefault="00E16CD5" w:rsidP="00380857">
                <w:pPr>
                  <w:spacing w:after="0"/>
                  <w:jc w:val="right"/>
                  <w:rPr>
                    <w:rFonts w:ascii="Arial" w:eastAsia="Times New Roman" w:hAnsi="Arial" w:cs="Arial"/>
                    <w:b/>
                    <w:bCs/>
                    <w:color w:val="FFFFFF"/>
                    <w:lang w:eastAsia="en-GB"/>
                  </w:rPr>
                </w:pPr>
                <w:r>
                  <w:rPr>
                    <w:rFonts w:ascii="Arial" w:eastAsia="Times New Roman" w:hAnsi="Arial" w:cs="Arial"/>
                    <w:b/>
                    <w:bCs/>
                    <w:color w:val="FFFFFF"/>
                    <w:lang w:eastAsia="en-GB"/>
                  </w:rPr>
                  <w:t>11,776</w:t>
                </w:r>
              </w:p>
            </w:tc>
            <w:tc>
              <w:tcPr>
                <w:tcW w:w="1680" w:type="dxa"/>
                <w:tcBorders>
                  <w:top w:val="nil"/>
                  <w:left w:val="nil"/>
                  <w:bottom w:val="single" w:sz="4" w:space="0" w:color="auto"/>
                  <w:right w:val="single" w:sz="4" w:space="0" w:color="auto"/>
                </w:tcBorders>
                <w:shd w:val="clear" w:color="000000" w:fill="016574"/>
                <w:vAlign w:val="center"/>
                <w:hideMark/>
              </w:tcPr>
              <w:p w14:paraId="2FE489AF" w14:textId="77777777" w:rsidR="002B7590" w:rsidRPr="00224CBA" w:rsidRDefault="002B7590" w:rsidP="00380857">
                <w:pPr>
                  <w:spacing w:after="0"/>
                  <w:jc w:val="right"/>
                  <w:rPr>
                    <w:rFonts w:ascii="Arial" w:eastAsia="Times New Roman" w:hAnsi="Arial" w:cs="Arial"/>
                    <w:b/>
                    <w:bCs/>
                    <w:color w:val="FFFFFF"/>
                    <w:lang w:eastAsia="en-GB"/>
                  </w:rPr>
                </w:pPr>
                <w:r w:rsidRPr="00224CBA">
                  <w:rPr>
                    <w:rFonts w:ascii="Arial" w:eastAsia="Times New Roman" w:hAnsi="Arial" w:cs="Arial"/>
                    <w:b/>
                    <w:bCs/>
                    <w:color w:val="FFFFFF"/>
                    <w:lang w:eastAsia="en-GB"/>
                  </w:rPr>
                  <w:t>7,375</w:t>
                </w:r>
              </w:p>
            </w:tc>
          </w:tr>
          <w:tr w:rsidR="002B7590" w:rsidRPr="00224CBA" w14:paraId="5ADDC6D8" w14:textId="77777777" w:rsidTr="00380857">
            <w:trPr>
              <w:trHeight w:val="310"/>
            </w:trPr>
            <w:tc>
              <w:tcPr>
                <w:tcW w:w="6080" w:type="dxa"/>
                <w:tcBorders>
                  <w:top w:val="nil"/>
                  <w:left w:val="single" w:sz="4" w:space="0" w:color="auto"/>
                  <w:bottom w:val="single" w:sz="4" w:space="0" w:color="auto"/>
                  <w:right w:val="single" w:sz="4" w:space="0" w:color="auto"/>
                </w:tcBorders>
                <w:shd w:val="clear" w:color="000000" w:fill="016574"/>
                <w:vAlign w:val="center"/>
                <w:hideMark/>
              </w:tcPr>
              <w:p w14:paraId="4C42B3E2" w14:textId="77777777" w:rsidR="002B7590" w:rsidRPr="00224CBA" w:rsidRDefault="002B7590" w:rsidP="00380857">
                <w:pPr>
                  <w:spacing w:after="0"/>
                  <w:rPr>
                    <w:rFonts w:ascii="Arial" w:eastAsia="Times New Roman" w:hAnsi="Arial" w:cs="Arial"/>
                    <w:b/>
                    <w:bCs/>
                    <w:color w:val="FFFFFF"/>
                    <w:lang w:eastAsia="en-GB"/>
                  </w:rPr>
                </w:pPr>
                <w:r w:rsidRPr="00224CBA">
                  <w:rPr>
                    <w:rFonts w:ascii="Arial" w:eastAsia="Times New Roman" w:hAnsi="Arial" w:cs="Arial"/>
                    <w:b/>
                    <w:bCs/>
                    <w:color w:val="FFFFFF"/>
                    <w:lang w:eastAsia="en-GB"/>
                  </w:rPr>
                  <w:t>Total assets</w:t>
                </w:r>
              </w:p>
            </w:tc>
            <w:tc>
              <w:tcPr>
                <w:tcW w:w="2000" w:type="dxa"/>
                <w:tcBorders>
                  <w:top w:val="nil"/>
                  <w:left w:val="nil"/>
                  <w:bottom w:val="single" w:sz="4" w:space="0" w:color="auto"/>
                  <w:right w:val="single" w:sz="4" w:space="0" w:color="auto"/>
                </w:tcBorders>
                <w:shd w:val="clear" w:color="000000" w:fill="016574"/>
                <w:vAlign w:val="center"/>
                <w:hideMark/>
              </w:tcPr>
              <w:p w14:paraId="35FBBDBE" w14:textId="14A3C3BE" w:rsidR="002B7590" w:rsidRPr="00224CBA" w:rsidRDefault="00D33A6C" w:rsidP="00380857">
                <w:pPr>
                  <w:spacing w:after="0"/>
                  <w:jc w:val="right"/>
                  <w:rPr>
                    <w:rFonts w:ascii="Arial" w:eastAsia="Times New Roman" w:hAnsi="Arial" w:cs="Arial"/>
                    <w:b/>
                    <w:bCs/>
                    <w:color w:val="FFFFFF"/>
                    <w:lang w:eastAsia="en-GB"/>
                  </w:rPr>
                </w:pPr>
                <w:r>
                  <w:rPr>
                    <w:rFonts w:ascii="Arial" w:eastAsia="Times New Roman" w:hAnsi="Arial" w:cs="Arial"/>
                    <w:b/>
                    <w:bCs/>
                    <w:color w:val="FFFFFF"/>
                    <w:lang w:eastAsia="en-GB"/>
                  </w:rPr>
                  <w:t>59,042</w:t>
                </w:r>
              </w:p>
            </w:tc>
            <w:tc>
              <w:tcPr>
                <w:tcW w:w="1680" w:type="dxa"/>
                <w:tcBorders>
                  <w:top w:val="nil"/>
                  <w:left w:val="nil"/>
                  <w:bottom w:val="single" w:sz="4" w:space="0" w:color="auto"/>
                  <w:right w:val="single" w:sz="4" w:space="0" w:color="auto"/>
                </w:tcBorders>
                <w:shd w:val="clear" w:color="000000" w:fill="016574"/>
                <w:vAlign w:val="center"/>
                <w:hideMark/>
              </w:tcPr>
              <w:p w14:paraId="15AAF74B" w14:textId="77777777" w:rsidR="002B7590" w:rsidRPr="00224CBA" w:rsidRDefault="002B7590" w:rsidP="00380857">
                <w:pPr>
                  <w:spacing w:after="0"/>
                  <w:jc w:val="right"/>
                  <w:rPr>
                    <w:rFonts w:ascii="Arial" w:eastAsia="Times New Roman" w:hAnsi="Arial" w:cs="Arial"/>
                    <w:b/>
                    <w:bCs/>
                    <w:color w:val="FFFFFF"/>
                    <w:lang w:eastAsia="en-GB"/>
                  </w:rPr>
                </w:pPr>
                <w:r w:rsidRPr="00224CBA">
                  <w:rPr>
                    <w:rFonts w:ascii="Arial" w:eastAsia="Times New Roman" w:hAnsi="Arial" w:cs="Arial"/>
                    <w:b/>
                    <w:bCs/>
                    <w:color w:val="FFFFFF"/>
                    <w:lang w:eastAsia="en-GB"/>
                  </w:rPr>
                  <w:t>56,089</w:t>
                </w:r>
              </w:p>
            </w:tc>
          </w:tr>
          <w:tr w:rsidR="002B7590" w:rsidRPr="00224CBA" w14:paraId="0A757B50" w14:textId="77777777" w:rsidTr="00380857">
            <w:trPr>
              <w:trHeight w:val="310"/>
            </w:trPr>
            <w:tc>
              <w:tcPr>
                <w:tcW w:w="6080" w:type="dxa"/>
                <w:tcBorders>
                  <w:top w:val="nil"/>
                  <w:left w:val="single" w:sz="4" w:space="0" w:color="auto"/>
                  <w:bottom w:val="single" w:sz="4" w:space="0" w:color="auto"/>
                  <w:right w:val="single" w:sz="4" w:space="0" w:color="auto"/>
                </w:tcBorders>
                <w:vAlign w:val="center"/>
                <w:hideMark/>
              </w:tcPr>
              <w:p w14:paraId="09223B11" w14:textId="77777777" w:rsidR="002B7590" w:rsidRPr="00224CBA" w:rsidRDefault="002B7590" w:rsidP="00380857">
                <w:pPr>
                  <w:spacing w:after="0"/>
                  <w:rPr>
                    <w:rFonts w:ascii="Arial" w:eastAsia="Times New Roman" w:hAnsi="Arial" w:cs="Arial"/>
                    <w:b/>
                    <w:bCs/>
                    <w:lang w:eastAsia="en-GB"/>
                  </w:rPr>
                </w:pPr>
                <w:r w:rsidRPr="00224CBA">
                  <w:rPr>
                    <w:rFonts w:ascii="Arial" w:eastAsia="Times New Roman" w:hAnsi="Arial" w:cs="Arial"/>
                    <w:b/>
                    <w:bCs/>
                    <w:lang w:eastAsia="en-GB"/>
                  </w:rPr>
                  <w:t>Current liabilities</w:t>
                </w:r>
              </w:p>
            </w:tc>
            <w:tc>
              <w:tcPr>
                <w:tcW w:w="2000" w:type="dxa"/>
                <w:tcBorders>
                  <w:top w:val="nil"/>
                  <w:left w:val="nil"/>
                  <w:bottom w:val="single" w:sz="4" w:space="0" w:color="auto"/>
                  <w:right w:val="single" w:sz="4" w:space="0" w:color="auto"/>
                </w:tcBorders>
                <w:noWrap/>
                <w:vAlign w:val="center"/>
                <w:hideMark/>
              </w:tcPr>
              <w:p w14:paraId="0140B28D" w14:textId="77777777" w:rsidR="002B7590" w:rsidRPr="00224CBA" w:rsidRDefault="002B7590" w:rsidP="00380857">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 </w:t>
                </w:r>
              </w:p>
            </w:tc>
            <w:tc>
              <w:tcPr>
                <w:tcW w:w="1680" w:type="dxa"/>
                <w:tcBorders>
                  <w:top w:val="nil"/>
                  <w:left w:val="nil"/>
                  <w:bottom w:val="single" w:sz="4" w:space="0" w:color="auto"/>
                  <w:right w:val="single" w:sz="4" w:space="0" w:color="auto"/>
                </w:tcBorders>
                <w:vAlign w:val="center"/>
                <w:hideMark/>
              </w:tcPr>
              <w:p w14:paraId="2A0E879E" w14:textId="77777777" w:rsidR="002B7590" w:rsidRPr="00224CBA" w:rsidRDefault="002B7590" w:rsidP="00380857">
                <w:pPr>
                  <w:spacing w:after="0"/>
                  <w:jc w:val="right"/>
                  <w:rPr>
                    <w:rFonts w:ascii="Arial" w:eastAsia="Times New Roman" w:hAnsi="Arial" w:cs="Arial"/>
                    <w:lang w:eastAsia="en-GB"/>
                  </w:rPr>
                </w:pPr>
                <w:r w:rsidRPr="00224CBA">
                  <w:rPr>
                    <w:rFonts w:ascii="Arial" w:eastAsia="Times New Roman" w:hAnsi="Arial" w:cs="Arial"/>
                    <w:lang w:eastAsia="en-GB"/>
                  </w:rPr>
                  <w:t> </w:t>
                </w:r>
              </w:p>
            </w:tc>
          </w:tr>
          <w:tr w:rsidR="002B7590" w:rsidRPr="00224CBA" w14:paraId="644955A5" w14:textId="77777777" w:rsidTr="00380857">
            <w:trPr>
              <w:trHeight w:val="310"/>
            </w:trPr>
            <w:tc>
              <w:tcPr>
                <w:tcW w:w="6080" w:type="dxa"/>
                <w:tcBorders>
                  <w:top w:val="nil"/>
                  <w:left w:val="single" w:sz="4" w:space="0" w:color="auto"/>
                  <w:bottom w:val="single" w:sz="4" w:space="0" w:color="auto"/>
                  <w:right w:val="single" w:sz="4" w:space="0" w:color="auto"/>
                </w:tcBorders>
                <w:vAlign w:val="center"/>
                <w:hideMark/>
              </w:tcPr>
              <w:p w14:paraId="580872E8" w14:textId="77777777" w:rsidR="002B7590" w:rsidRPr="00224CBA" w:rsidRDefault="002B7590" w:rsidP="00380857">
                <w:pPr>
                  <w:spacing w:after="0"/>
                  <w:rPr>
                    <w:rFonts w:ascii="Arial" w:eastAsia="Times New Roman" w:hAnsi="Arial" w:cs="Arial"/>
                    <w:lang w:eastAsia="en-GB"/>
                  </w:rPr>
                </w:pPr>
                <w:r w:rsidRPr="00224CBA">
                  <w:rPr>
                    <w:rFonts w:ascii="Arial" w:eastAsia="Times New Roman" w:hAnsi="Arial" w:cs="Arial"/>
                    <w:lang w:eastAsia="en-GB"/>
                  </w:rPr>
                  <w:t>Trade and other payables</w:t>
                </w:r>
              </w:p>
            </w:tc>
            <w:tc>
              <w:tcPr>
                <w:tcW w:w="2000" w:type="dxa"/>
                <w:tcBorders>
                  <w:top w:val="nil"/>
                  <w:left w:val="nil"/>
                  <w:bottom w:val="single" w:sz="4" w:space="0" w:color="auto"/>
                  <w:right w:val="single" w:sz="4" w:space="0" w:color="auto"/>
                </w:tcBorders>
                <w:noWrap/>
                <w:vAlign w:val="center"/>
                <w:hideMark/>
              </w:tcPr>
              <w:p w14:paraId="572D115F" w14:textId="3E762ED6" w:rsidR="002B7590" w:rsidRPr="00224CBA" w:rsidRDefault="002B7590" w:rsidP="00380857">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w:t>
                </w:r>
                <w:r w:rsidR="00CB0107">
                  <w:rPr>
                    <w:rFonts w:ascii="Arial" w:eastAsia="Times New Roman" w:hAnsi="Arial" w:cs="Arial"/>
                    <w:color w:val="000000"/>
                    <w:lang w:eastAsia="en-GB"/>
                  </w:rPr>
                  <w:t>16,</w:t>
                </w:r>
                <w:r w:rsidR="00C5470E">
                  <w:rPr>
                    <w:rFonts w:ascii="Arial" w:eastAsia="Times New Roman" w:hAnsi="Arial" w:cs="Arial"/>
                    <w:color w:val="000000"/>
                    <w:lang w:eastAsia="en-GB"/>
                  </w:rPr>
                  <w:t>752</w:t>
                </w:r>
                <w:r w:rsidRPr="00224CBA">
                  <w:rPr>
                    <w:rFonts w:ascii="Arial" w:eastAsia="Times New Roman" w:hAnsi="Arial" w:cs="Arial"/>
                    <w:color w:val="000000"/>
                    <w:lang w:eastAsia="en-GB"/>
                  </w:rPr>
                  <w:t>)</w:t>
                </w:r>
              </w:p>
            </w:tc>
            <w:tc>
              <w:tcPr>
                <w:tcW w:w="1680" w:type="dxa"/>
                <w:tcBorders>
                  <w:top w:val="nil"/>
                  <w:left w:val="nil"/>
                  <w:bottom w:val="single" w:sz="4" w:space="0" w:color="auto"/>
                  <w:right w:val="single" w:sz="4" w:space="0" w:color="auto"/>
                </w:tcBorders>
                <w:noWrap/>
                <w:vAlign w:val="center"/>
                <w:hideMark/>
              </w:tcPr>
              <w:p w14:paraId="77005EFF" w14:textId="77777777" w:rsidR="002B7590" w:rsidRPr="00224CBA" w:rsidRDefault="002B7590" w:rsidP="00380857">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(13,683)</w:t>
                </w:r>
              </w:p>
            </w:tc>
          </w:tr>
          <w:tr w:rsidR="002B7590" w:rsidRPr="00224CBA" w14:paraId="39F4E7BF" w14:textId="77777777" w:rsidTr="00380857">
            <w:trPr>
              <w:trHeight w:val="310"/>
            </w:trPr>
            <w:tc>
              <w:tcPr>
                <w:tcW w:w="6080" w:type="dxa"/>
                <w:tcBorders>
                  <w:top w:val="nil"/>
                  <w:left w:val="single" w:sz="4" w:space="0" w:color="auto"/>
                  <w:bottom w:val="single" w:sz="4" w:space="0" w:color="auto"/>
                  <w:right w:val="single" w:sz="4" w:space="0" w:color="auto"/>
                </w:tcBorders>
                <w:vAlign w:val="center"/>
                <w:hideMark/>
              </w:tcPr>
              <w:p w14:paraId="6C678244" w14:textId="77777777" w:rsidR="002B7590" w:rsidRPr="00224CBA" w:rsidRDefault="002B7590" w:rsidP="00380857">
                <w:pPr>
                  <w:spacing w:after="0"/>
                  <w:rPr>
                    <w:rFonts w:ascii="Arial" w:eastAsia="Times New Roman" w:hAnsi="Arial" w:cs="Arial"/>
                    <w:lang w:eastAsia="en-GB"/>
                  </w:rPr>
                </w:pPr>
                <w:r w:rsidRPr="00224CBA">
                  <w:rPr>
                    <w:rFonts w:ascii="Arial" w:eastAsia="Times New Roman" w:hAnsi="Arial" w:cs="Arial"/>
                    <w:lang w:eastAsia="en-GB"/>
                  </w:rPr>
                  <w:t>Provisions</w:t>
                </w:r>
              </w:p>
            </w:tc>
            <w:tc>
              <w:tcPr>
                <w:tcW w:w="2000" w:type="dxa"/>
                <w:tcBorders>
                  <w:top w:val="nil"/>
                  <w:left w:val="nil"/>
                  <w:bottom w:val="single" w:sz="4" w:space="0" w:color="auto"/>
                  <w:right w:val="single" w:sz="4" w:space="0" w:color="auto"/>
                </w:tcBorders>
                <w:noWrap/>
                <w:vAlign w:val="center"/>
                <w:hideMark/>
              </w:tcPr>
              <w:p w14:paraId="59FD570C" w14:textId="037485CD" w:rsidR="002B7590" w:rsidRPr="00224CBA" w:rsidRDefault="002B7590" w:rsidP="00380857">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w:t>
                </w:r>
                <w:r w:rsidR="00C5470E">
                  <w:rPr>
                    <w:rFonts w:ascii="Arial" w:eastAsia="Times New Roman" w:hAnsi="Arial" w:cs="Arial"/>
                    <w:color w:val="000000"/>
                    <w:lang w:eastAsia="en-GB"/>
                  </w:rPr>
                  <w:t>422</w:t>
                </w:r>
                <w:r w:rsidRPr="00224CBA">
                  <w:rPr>
                    <w:rFonts w:ascii="Arial" w:eastAsia="Times New Roman" w:hAnsi="Arial" w:cs="Arial"/>
                    <w:color w:val="000000"/>
                    <w:lang w:eastAsia="en-GB"/>
                  </w:rPr>
                  <w:t>)</w:t>
                </w:r>
              </w:p>
            </w:tc>
            <w:tc>
              <w:tcPr>
                <w:tcW w:w="1680" w:type="dxa"/>
                <w:tcBorders>
                  <w:top w:val="nil"/>
                  <w:left w:val="nil"/>
                  <w:bottom w:val="single" w:sz="4" w:space="0" w:color="auto"/>
                  <w:right w:val="single" w:sz="4" w:space="0" w:color="auto"/>
                </w:tcBorders>
                <w:noWrap/>
                <w:vAlign w:val="center"/>
                <w:hideMark/>
              </w:tcPr>
              <w:p w14:paraId="67015A5F" w14:textId="77777777" w:rsidR="002B7590" w:rsidRPr="00224CBA" w:rsidRDefault="002B7590" w:rsidP="00380857">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(231)</w:t>
                </w:r>
              </w:p>
            </w:tc>
          </w:tr>
          <w:tr w:rsidR="002B7590" w:rsidRPr="00224CBA" w14:paraId="6F4895C8" w14:textId="77777777" w:rsidTr="00380857">
            <w:trPr>
              <w:trHeight w:val="310"/>
            </w:trPr>
            <w:tc>
              <w:tcPr>
                <w:tcW w:w="6080" w:type="dxa"/>
                <w:tcBorders>
                  <w:top w:val="nil"/>
                  <w:left w:val="single" w:sz="4" w:space="0" w:color="auto"/>
                  <w:bottom w:val="single" w:sz="4" w:space="0" w:color="auto"/>
                  <w:right w:val="single" w:sz="4" w:space="0" w:color="auto"/>
                </w:tcBorders>
                <w:vAlign w:val="center"/>
                <w:hideMark/>
              </w:tcPr>
              <w:p w14:paraId="036B602F" w14:textId="77777777" w:rsidR="002B7590" w:rsidRPr="00224CBA" w:rsidRDefault="002B7590" w:rsidP="00380857">
                <w:pPr>
                  <w:spacing w:after="0"/>
                  <w:rPr>
                    <w:rFonts w:ascii="Arial" w:eastAsia="Times New Roman" w:hAnsi="Arial" w:cs="Arial"/>
                    <w:lang w:eastAsia="en-GB"/>
                  </w:rPr>
                </w:pPr>
                <w:r w:rsidRPr="00224CBA">
                  <w:rPr>
                    <w:rFonts w:ascii="Arial" w:eastAsia="Times New Roman" w:hAnsi="Arial" w:cs="Arial"/>
                    <w:lang w:eastAsia="en-GB"/>
                  </w:rPr>
                  <w:t xml:space="preserve">Future lease payments </w:t>
                </w:r>
              </w:p>
            </w:tc>
            <w:tc>
              <w:tcPr>
                <w:tcW w:w="2000" w:type="dxa"/>
                <w:tcBorders>
                  <w:top w:val="nil"/>
                  <w:left w:val="nil"/>
                  <w:bottom w:val="single" w:sz="4" w:space="0" w:color="auto"/>
                  <w:right w:val="single" w:sz="4" w:space="0" w:color="auto"/>
                </w:tcBorders>
                <w:noWrap/>
                <w:vAlign w:val="center"/>
                <w:hideMark/>
              </w:tcPr>
              <w:p w14:paraId="49559DBA" w14:textId="29852201" w:rsidR="002B7590" w:rsidRPr="00224CBA" w:rsidRDefault="002B7590" w:rsidP="00380857">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w:t>
                </w:r>
                <w:r w:rsidR="00C5470E">
                  <w:rPr>
                    <w:rFonts w:ascii="Arial" w:eastAsia="Times New Roman" w:hAnsi="Arial" w:cs="Arial"/>
                    <w:color w:val="000000"/>
                    <w:lang w:eastAsia="en-GB"/>
                  </w:rPr>
                  <w:t>1,070</w:t>
                </w:r>
                <w:r w:rsidRPr="00224CBA">
                  <w:rPr>
                    <w:rFonts w:ascii="Arial" w:eastAsia="Times New Roman" w:hAnsi="Arial" w:cs="Arial"/>
                    <w:color w:val="000000"/>
                    <w:lang w:eastAsia="en-GB"/>
                  </w:rPr>
                  <w:t>)</w:t>
                </w:r>
              </w:p>
            </w:tc>
            <w:tc>
              <w:tcPr>
                <w:tcW w:w="1680" w:type="dxa"/>
                <w:tcBorders>
                  <w:top w:val="nil"/>
                  <w:left w:val="nil"/>
                  <w:bottom w:val="single" w:sz="4" w:space="0" w:color="auto"/>
                  <w:right w:val="single" w:sz="4" w:space="0" w:color="auto"/>
                </w:tcBorders>
                <w:noWrap/>
                <w:vAlign w:val="center"/>
                <w:hideMark/>
              </w:tcPr>
              <w:p w14:paraId="7490BA50" w14:textId="77777777" w:rsidR="002B7590" w:rsidRPr="00224CBA" w:rsidRDefault="002B7590" w:rsidP="00380857">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(1,306)</w:t>
                </w:r>
              </w:p>
            </w:tc>
          </w:tr>
          <w:tr w:rsidR="002B7590" w:rsidRPr="00224CBA" w14:paraId="4C3DDCC3" w14:textId="77777777" w:rsidTr="00380857">
            <w:trPr>
              <w:trHeight w:val="310"/>
            </w:trPr>
            <w:tc>
              <w:tcPr>
                <w:tcW w:w="6080" w:type="dxa"/>
                <w:tcBorders>
                  <w:top w:val="nil"/>
                  <w:left w:val="single" w:sz="4" w:space="0" w:color="auto"/>
                  <w:bottom w:val="single" w:sz="4" w:space="0" w:color="auto"/>
                  <w:right w:val="single" w:sz="4" w:space="0" w:color="auto"/>
                </w:tcBorders>
                <w:shd w:val="clear" w:color="000000" w:fill="016574"/>
                <w:vAlign w:val="center"/>
                <w:hideMark/>
              </w:tcPr>
              <w:p w14:paraId="4EA70A46" w14:textId="77777777" w:rsidR="002B7590" w:rsidRPr="00224CBA" w:rsidRDefault="002B7590" w:rsidP="00380857">
                <w:pPr>
                  <w:spacing w:after="0"/>
                  <w:rPr>
                    <w:rFonts w:ascii="Arial" w:eastAsia="Times New Roman" w:hAnsi="Arial" w:cs="Arial"/>
                    <w:b/>
                    <w:bCs/>
                    <w:color w:val="FFFFFF"/>
                    <w:lang w:eastAsia="en-GB"/>
                  </w:rPr>
                </w:pPr>
                <w:r w:rsidRPr="00224CBA">
                  <w:rPr>
                    <w:rFonts w:ascii="Arial" w:eastAsia="Times New Roman" w:hAnsi="Arial" w:cs="Arial"/>
                    <w:b/>
                    <w:bCs/>
                    <w:color w:val="FFFFFF"/>
                    <w:lang w:eastAsia="en-GB"/>
                  </w:rPr>
                  <w:t>Total current liabilities</w:t>
                </w:r>
              </w:p>
            </w:tc>
            <w:tc>
              <w:tcPr>
                <w:tcW w:w="2000" w:type="dxa"/>
                <w:tcBorders>
                  <w:top w:val="nil"/>
                  <w:left w:val="nil"/>
                  <w:bottom w:val="single" w:sz="4" w:space="0" w:color="auto"/>
                  <w:right w:val="single" w:sz="4" w:space="0" w:color="auto"/>
                </w:tcBorders>
                <w:shd w:val="clear" w:color="000000" w:fill="016574"/>
                <w:noWrap/>
                <w:vAlign w:val="center"/>
                <w:hideMark/>
              </w:tcPr>
              <w:p w14:paraId="7941F991" w14:textId="3ADF8306" w:rsidR="002B7590" w:rsidRPr="00224CBA" w:rsidRDefault="002B7590" w:rsidP="00380857">
                <w:pPr>
                  <w:spacing w:after="0"/>
                  <w:jc w:val="right"/>
                  <w:rPr>
                    <w:rFonts w:ascii="Arial" w:eastAsia="Times New Roman" w:hAnsi="Arial" w:cs="Arial"/>
                    <w:b/>
                    <w:bCs/>
                    <w:color w:val="000000"/>
                    <w:lang w:eastAsia="en-GB"/>
                  </w:rPr>
                </w:pPr>
                <w:r w:rsidRPr="00224CBA">
                  <w:rPr>
                    <w:rFonts w:ascii="Arial" w:eastAsia="Times New Roman" w:hAnsi="Arial" w:cs="Arial"/>
                    <w:b/>
                    <w:bCs/>
                    <w:color w:val="FFFFFF"/>
                    <w:lang w:eastAsia="en-GB"/>
                  </w:rPr>
                  <w:t>(</w:t>
                </w:r>
                <w:r w:rsidR="00C5470E">
                  <w:rPr>
                    <w:rFonts w:ascii="Arial" w:eastAsia="Times New Roman" w:hAnsi="Arial" w:cs="Arial"/>
                    <w:b/>
                    <w:bCs/>
                    <w:color w:val="FFFFFF"/>
                    <w:lang w:eastAsia="en-GB"/>
                  </w:rPr>
                  <w:t>18,244</w:t>
                </w:r>
                <w:r w:rsidRPr="00224CBA">
                  <w:rPr>
                    <w:rFonts w:ascii="Arial" w:eastAsia="Times New Roman" w:hAnsi="Arial" w:cs="Arial"/>
                    <w:b/>
                    <w:bCs/>
                    <w:color w:val="FFFFFF"/>
                    <w:lang w:eastAsia="en-GB"/>
                  </w:rPr>
                  <w:t>)</w:t>
                </w:r>
              </w:p>
            </w:tc>
            <w:tc>
              <w:tcPr>
                <w:tcW w:w="1680" w:type="dxa"/>
                <w:tcBorders>
                  <w:top w:val="nil"/>
                  <w:left w:val="nil"/>
                  <w:bottom w:val="single" w:sz="4" w:space="0" w:color="auto"/>
                  <w:right w:val="single" w:sz="4" w:space="0" w:color="auto"/>
                </w:tcBorders>
                <w:shd w:val="clear" w:color="000000" w:fill="016574"/>
                <w:noWrap/>
                <w:vAlign w:val="center"/>
                <w:hideMark/>
              </w:tcPr>
              <w:p w14:paraId="73101D38" w14:textId="77777777" w:rsidR="002B7590" w:rsidRPr="00224CBA" w:rsidRDefault="002B7590" w:rsidP="00380857">
                <w:pPr>
                  <w:spacing w:after="0"/>
                  <w:jc w:val="right"/>
                  <w:rPr>
                    <w:rFonts w:ascii="Arial" w:eastAsia="Times New Roman" w:hAnsi="Arial" w:cs="Arial"/>
                    <w:b/>
                    <w:bCs/>
                    <w:color w:val="000000"/>
                    <w:lang w:eastAsia="en-GB"/>
                  </w:rPr>
                </w:pPr>
                <w:r w:rsidRPr="00224CBA">
                  <w:rPr>
                    <w:rFonts w:ascii="Arial" w:eastAsia="Times New Roman" w:hAnsi="Arial" w:cs="Arial"/>
                    <w:b/>
                    <w:bCs/>
                    <w:color w:val="FFFFFF"/>
                    <w:lang w:eastAsia="en-GB"/>
                  </w:rPr>
                  <w:t>(15,220)</w:t>
                </w:r>
              </w:p>
            </w:tc>
          </w:tr>
          <w:tr w:rsidR="002B7590" w:rsidRPr="00224CBA" w14:paraId="178C2F49" w14:textId="77777777" w:rsidTr="00380857">
            <w:trPr>
              <w:trHeight w:val="310"/>
            </w:trPr>
            <w:tc>
              <w:tcPr>
                <w:tcW w:w="6080" w:type="dxa"/>
                <w:tcBorders>
                  <w:top w:val="nil"/>
                  <w:left w:val="single" w:sz="4" w:space="0" w:color="auto"/>
                  <w:bottom w:val="single" w:sz="4" w:space="0" w:color="auto"/>
                  <w:right w:val="single" w:sz="4" w:space="0" w:color="auto"/>
                </w:tcBorders>
                <w:shd w:val="clear" w:color="000000" w:fill="016574"/>
                <w:vAlign w:val="center"/>
                <w:hideMark/>
              </w:tcPr>
              <w:p w14:paraId="7C4B0292" w14:textId="77777777" w:rsidR="002B7590" w:rsidRPr="00224CBA" w:rsidRDefault="002B7590" w:rsidP="00380857">
                <w:pPr>
                  <w:spacing w:after="0"/>
                  <w:rPr>
                    <w:rFonts w:ascii="Arial" w:eastAsia="Times New Roman" w:hAnsi="Arial" w:cs="Arial"/>
                    <w:b/>
                    <w:bCs/>
                    <w:color w:val="FFFFFF"/>
                    <w:lang w:eastAsia="en-GB"/>
                  </w:rPr>
                </w:pPr>
                <w:r w:rsidRPr="00224CBA">
                  <w:rPr>
                    <w:rFonts w:ascii="Arial" w:eastAsia="Times New Roman" w:hAnsi="Arial" w:cs="Arial"/>
                    <w:b/>
                    <w:bCs/>
                    <w:color w:val="FFFFFF"/>
                    <w:lang w:eastAsia="en-GB"/>
                  </w:rPr>
                  <w:t xml:space="preserve">Total assets </w:t>
                </w:r>
                <w:proofErr w:type="gramStart"/>
                <w:r w:rsidRPr="00224CBA">
                  <w:rPr>
                    <w:rFonts w:ascii="Arial" w:eastAsia="Times New Roman" w:hAnsi="Arial" w:cs="Arial"/>
                    <w:b/>
                    <w:bCs/>
                    <w:color w:val="FFFFFF"/>
                    <w:lang w:eastAsia="en-GB"/>
                  </w:rPr>
                  <w:t>less</w:t>
                </w:r>
                <w:proofErr w:type="gramEnd"/>
                <w:r w:rsidRPr="00224CBA">
                  <w:rPr>
                    <w:rFonts w:ascii="Arial" w:eastAsia="Times New Roman" w:hAnsi="Arial" w:cs="Arial"/>
                    <w:b/>
                    <w:bCs/>
                    <w:color w:val="FFFFFF"/>
                    <w:lang w:eastAsia="en-GB"/>
                  </w:rPr>
                  <w:t xml:space="preserve"> current liabilities</w:t>
                </w:r>
              </w:p>
            </w:tc>
            <w:tc>
              <w:tcPr>
                <w:tcW w:w="2000" w:type="dxa"/>
                <w:tcBorders>
                  <w:top w:val="nil"/>
                  <w:left w:val="nil"/>
                  <w:bottom w:val="single" w:sz="4" w:space="0" w:color="auto"/>
                  <w:right w:val="single" w:sz="4" w:space="0" w:color="auto"/>
                </w:tcBorders>
                <w:shd w:val="clear" w:color="000000" w:fill="016574"/>
                <w:vAlign w:val="center"/>
                <w:hideMark/>
              </w:tcPr>
              <w:p w14:paraId="64AEA428" w14:textId="11D671B8" w:rsidR="002B7590" w:rsidRPr="00224CBA" w:rsidRDefault="00254497" w:rsidP="00380857">
                <w:pPr>
                  <w:spacing w:after="0"/>
                  <w:jc w:val="right"/>
                  <w:rPr>
                    <w:rFonts w:ascii="Arial" w:eastAsia="Times New Roman" w:hAnsi="Arial" w:cs="Arial"/>
                    <w:b/>
                    <w:bCs/>
                    <w:color w:val="FFFFFF"/>
                    <w:lang w:eastAsia="en-GB"/>
                  </w:rPr>
                </w:pPr>
                <w:r>
                  <w:rPr>
                    <w:rFonts w:ascii="Arial" w:eastAsia="Times New Roman" w:hAnsi="Arial" w:cs="Arial"/>
                    <w:b/>
                    <w:bCs/>
                    <w:color w:val="FFFFFF"/>
                    <w:lang w:eastAsia="en-GB"/>
                  </w:rPr>
                  <w:t>40,798</w:t>
                </w:r>
              </w:p>
            </w:tc>
            <w:tc>
              <w:tcPr>
                <w:tcW w:w="1680" w:type="dxa"/>
                <w:tcBorders>
                  <w:top w:val="nil"/>
                  <w:left w:val="nil"/>
                  <w:bottom w:val="single" w:sz="4" w:space="0" w:color="auto"/>
                  <w:right w:val="single" w:sz="4" w:space="0" w:color="auto"/>
                </w:tcBorders>
                <w:shd w:val="clear" w:color="000000" w:fill="016574"/>
                <w:vAlign w:val="center"/>
                <w:hideMark/>
              </w:tcPr>
              <w:p w14:paraId="1ADC7BF5" w14:textId="77777777" w:rsidR="002B7590" w:rsidRPr="00224CBA" w:rsidRDefault="002B7590" w:rsidP="00380857">
                <w:pPr>
                  <w:spacing w:after="0"/>
                  <w:jc w:val="right"/>
                  <w:rPr>
                    <w:rFonts w:ascii="Arial" w:eastAsia="Times New Roman" w:hAnsi="Arial" w:cs="Arial"/>
                    <w:b/>
                    <w:bCs/>
                    <w:color w:val="FFFFFF"/>
                    <w:lang w:eastAsia="en-GB"/>
                  </w:rPr>
                </w:pPr>
                <w:r w:rsidRPr="00224CBA">
                  <w:rPr>
                    <w:rFonts w:ascii="Arial" w:eastAsia="Times New Roman" w:hAnsi="Arial" w:cs="Arial"/>
                    <w:b/>
                    <w:bCs/>
                    <w:color w:val="FFFFFF"/>
                    <w:lang w:eastAsia="en-GB"/>
                  </w:rPr>
                  <w:t>40,869</w:t>
                </w:r>
              </w:p>
            </w:tc>
          </w:tr>
          <w:tr w:rsidR="002B7590" w:rsidRPr="00224CBA" w14:paraId="35AA697F" w14:textId="77777777" w:rsidTr="00380857">
            <w:trPr>
              <w:trHeight w:val="310"/>
            </w:trPr>
            <w:tc>
              <w:tcPr>
                <w:tcW w:w="6080" w:type="dxa"/>
                <w:tcBorders>
                  <w:top w:val="nil"/>
                  <w:left w:val="single" w:sz="4" w:space="0" w:color="auto"/>
                  <w:bottom w:val="single" w:sz="4" w:space="0" w:color="auto"/>
                  <w:right w:val="single" w:sz="4" w:space="0" w:color="auto"/>
                </w:tcBorders>
                <w:vAlign w:val="center"/>
                <w:hideMark/>
              </w:tcPr>
              <w:p w14:paraId="77FECFB8" w14:textId="77777777" w:rsidR="002B7590" w:rsidRPr="00224CBA" w:rsidRDefault="002B7590" w:rsidP="00380857">
                <w:pPr>
                  <w:spacing w:after="0"/>
                  <w:rPr>
                    <w:rFonts w:ascii="Arial" w:eastAsia="Times New Roman" w:hAnsi="Arial" w:cs="Arial"/>
                    <w:b/>
                    <w:bCs/>
                    <w:lang w:eastAsia="en-GB"/>
                  </w:rPr>
                </w:pPr>
                <w:proofErr w:type="spellStart"/>
                <w:proofErr w:type="gramStart"/>
                <w:r w:rsidRPr="00224CBA">
                  <w:rPr>
                    <w:rFonts w:ascii="Arial" w:eastAsia="Times New Roman" w:hAnsi="Arial" w:cs="Arial"/>
                    <w:b/>
                    <w:bCs/>
                    <w:lang w:eastAsia="en-GB"/>
                  </w:rPr>
                  <w:t>Non current</w:t>
                </w:r>
                <w:proofErr w:type="spellEnd"/>
                <w:proofErr w:type="gramEnd"/>
                <w:r w:rsidRPr="00224CBA">
                  <w:rPr>
                    <w:rFonts w:ascii="Arial" w:eastAsia="Times New Roman" w:hAnsi="Arial" w:cs="Arial"/>
                    <w:b/>
                    <w:bCs/>
                    <w:lang w:eastAsia="en-GB"/>
                  </w:rPr>
                  <w:t xml:space="preserve"> liabilities</w:t>
                </w:r>
              </w:p>
            </w:tc>
            <w:tc>
              <w:tcPr>
                <w:tcW w:w="2000" w:type="dxa"/>
                <w:tcBorders>
                  <w:top w:val="nil"/>
                  <w:left w:val="nil"/>
                  <w:bottom w:val="single" w:sz="4" w:space="0" w:color="auto"/>
                  <w:right w:val="single" w:sz="4" w:space="0" w:color="auto"/>
                </w:tcBorders>
                <w:noWrap/>
                <w:vAlign w:val="center"/>
                <w:hideMark/>
              </w:tcPr>
              <w:p w14:paraId="0573BBA3" w14:textId="77777777" w:rsidR="002B7590" w:rsidRPr="00224CBA" w:rsidRDefault="002B7590" w:rsidP="00380857">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 </w:t>
                </w:r>
              </w:p>
            </w:tc>
            <w:tc>
              <w:tcPr>
                <w:tcW w:w="1680" w:type="dxa"/>
                <w:tcBorders>
                  <w:top w:val="nil"/>
                  <w:left w:val="nil"/>
                  <w:bottom w:val="single" w:sz="4" w:space="0" w:color="auto"/>
                  <w:right w:val="single" w:sz="4" w:space="0" w:color="auto"/>
                </w:tcBorders>
                <w:vAlign w:val="center"/>
                <w:hideMark/>
              </w:tcPr>
              <w:p w14:paraId="43F1FE02" w14:textId="77777777" w:rsidR="002B7590" w:rsidRPr="00224CBA" w:rsidRDefault="002B7590" w:rsidP="00380857">
                <w:pPr>
                  <w:spacing w:after="0"/>
                  <w:jc w:val="right"/>
                  <w:rPr>
                    <w:rFonts w:ascii="Arial" w:eastAsia="Times New Roman" w:hAnsi="Arial" w:cs="Arial"/>
                    <w:lang w:eastAsia="en-GB"/>
                  </w:rPr>
                </w:pPr>
                <w:r w:rsidRPr="00224CBA">
                  <w:rPr>
                    <w:rFonts w:ascii="Arial" w:eastAsia="Times New Roman" w:hAnsi="Arial" w:cs="Arial"/>
                    <w:lang w:eastAsia="en-GB"/>
                  </w:rPr>
                  <w:t> </w:t>
                </w:r>
              </w:p>
            </w:tc>
          </w:tr>
          <w:tr w:rsidR="002B7590" w:rsidRPr="00224CBA" w14:paraId="6502CA05" w14:textId="77777777" w:rsidTr="00380857">
            <w:trPr>
              <w:trHeight w:val="375"/>
            </w:trPr>
            <w:tc>
              <w:tcPr>
                <w:tcW w:w="6080" w:type="dxa"/>
                <w:tcBorders>
                  <w:top w:val="nil"/>
                  <w:left w:val="single" w:sz="4" w:space="0" w:color="auto"/>
                  <w:bottom w:val="single" w:sz="4" w:space="0" w:color="auto"/>
                  <w:right w:val="single" w:sz="4" w:space="0" w:color="auto"/>
                </w:tcBorders>
                <w:vAlign w:val="center"/>
                <w:hideMark/>
              </w:tcPr>
              <w:p w14:paraId="659DEDA6" w14:textId="77777777" w:rsidR="002B7590" w:rsidRPr="00224CBA" w:rsidRDefault="002B7590" w:rsidP="00380857">
                <w:pPr>
                  <w:spacing w:after="0"/>
                  <w:rPr>
                    <w:rFonts w:ascii="Arial" w:eastAsia="Times New Roman" w:hAnsi="Arial" w:cs="Arial"/>
                    <w:lang w:eastAsia="en-GB"/>
                  </w:rPr>
                </w:pPr>
                <w:r w:rsidRPr="00224CBA">
                  <w:rPr>
                    <w:rFonts w:ascii="Arial" w:eastAsia="Times New Roman" w:hAnsi="Arial" w:cs="Arial"/>
                    <w:lang w:eastAsia="en-GB"/>
                  </w:rPr>
                  <w:t>Provisions for liabilities and charges &gt;1 year</w:t>
                </w:r>
              </w:p>
            </w:tc>
            <w:tc>
              <w:tcPr>
                <w:tcW w:w="2000" w:type="dxa"/>
                <w:tcBorders>
                  <w:top w:val="nil"/>
                  <w:left w:val="nil"/>
                  <w:bottom w:val="single" w:sz="4" w:space="0" w:color="auto"/>
                  <w:right w:val="single" w:sz="4" w:space="0" w:color="auto"/>
                </w:tcBorders>
                <w:noWrap/>
                <w:vAlign w:val="center"/>
                <w:hideMark/>
              </w:tcPr>
              <w:p w14:paraId="76B2E234" w14:textId="6EB7C763" w:rsidR="002B7590" w:rsidRPr="00224CBA" w:rsidRDefault="002B7590" w:rsidP="00380857">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w:t>
                </w:r>
                <w:r w:rsidR="007878C2">
                  <w:rPr>
                    <w:rFonts w:ascii="Arial" w:eastAsia="Times New Roman" w:hAnsi="Arial" w:cs="Arial"/>
                    <w:color w:val="000000"/>
                    <w:lang w:eastAsia="en-GB"/>
                  </w:rPr>
                  <w:t>4</w:t>
                </w:r>
                <w:r w:rsidR="006428FF">
                  <w:rPr>
                    <w:rFonts w:ascii="Arial" w:eastAsia="Times New Roman" w:hAnsi="Arial" w:cs="Arial"/>
                    <w:color w:val="000000"/>
                    <w:lang w:eastAsia="en-GB"/>
                  </w:rPr>
                  <w:t>,435</w:t>
                </w:r>
                <w:r w:rsidRPr="00224CBA">
                  <w:rPr>
                    <w:rFonts w:ascii="Arial" w:eastAsia="Times New Roman" w:hAnsi="Arial" w:cs="Arial"/>
                    <w:color w:val="000000"/>
                    <w:lang w:eastAsia="en-GB"/>
                  </w:rPr>
                  <w:t>)</w:t>
                </w:r>
              </w:p>
            </w:tc>
            <w:tc>
              <w:tcPr>
                <w:tcW w:w="1680" w:type="dxa"/>
                <w:tcBorders>
                  <w:top w:val="nil"/>
                  <w:left w:val="nil"/>
                  <w:bottom w:val="single" w:sz="4" w:space="0" w:color="auto"/>
                  <w:right w:val="single" w:sz="4" w:space="0" w:color="auto"/>
                </w:tcBorders>
                <w:noWrap/>
                <w:vAlign w:val="center"/>
                <w:hideMark/>
              </w:tcPr>
              <w:p w14:paraId="479CCA1E" w14:textId="77777777" w:rsidR="002B7590" w:rsidRPr="00224CBA" w:rsidRDefault="002B7590" w:rsidP="00380857">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(6,059)</w:t>
                </w:r>
              </w:p>
            </w:tc>
          </w:tr>
          <w:tr w:rsidR="002B7590" w:rsidRPr="00224CBA" w14:paraId="66FC6D46" w14:textId="77777777" w:rsidTr="00380857">
            <w:trPr>
              <w:trHeight w:val="310"/>
            </w:trPr>
            <w:tc>
              <w:tcPr>
                <w:tcW w:w="6080" w:type="dxa"/>
                <w:tcBorders>
                  <w:top w:val="nil"/>
                  <w:left w:val="single" w:sz="4" w:space="0" w:color="auto"/>
                  <w:bottom w:val="single" w:sz="4" w:space="0" w:color="auto"/>
                  <w:right w:val="single" w:sz="4" w:space="0" w:color="auto"/>
                </w:tcBorders>
                <w:vAlign w:val="center"/>
                <w:hideMark/>
              </w:tcPr>
              <w:p w14:paraId="370D1BF3" w14:textId="77777777" w:rsidR="002B7590" w:rsidRPr="00224CBA" w:rsidRDefault="002B7590" w:rsidP="00380857">
                <w:pPr>
                  <w:spacing w:after="0"/>
                  <w:rPr>
                    <w:rFonts w:ascii="Arial" w:eastAsia="Times New Roman" w:hAnsi="Arial" w:cs="Arial"/>
                    <w:lang w:eastAsia="en-GB"/>
                  </w:rPr>
                </w:pPr>
                <w:r w:rsidRPr="00224CBA">
                  <w:rPr>
                    <w:rFonts w:ascii="Arial" w:eastAsia="Times New Roman" w:hAnsi="Arial" w:cs="Arial"/>
                    <w:lang w:eastAsia="en-GB"/>
                  </w:rPr>
                  <w:t xml:space="preserve">Future lease payments </w:t>
                </w:r>
              </w:p>
            </w:tc>
            <w:tc>
              <w:tcPr>
                <w:tcW w:w="2000" w:type="dxa"/>
                <w:tcBorders>
                  <w:top w:val="nil"/>
                  <w:left w:val="nil"/>
                  <w:bottom w:val="single" w:sz="4" w:space="0" w:color="auto"/>
                  <w:right w:val="single" w:sz="4" w:space="0" w:color="auto"/>
                </w:tcBorders>
                <w:noWrap/>
                <w:vAlign w:val="center"/>
                <w:hideMark/>
              </w:tcPr>
              <w:p w14:paraId="0CF615F8" w14:textId="21EA3F3A" w:rsidR="002B7590" w:rsidRPr="00224CBA" w:rsidRDefault="002B7590" w:rsidP="00380857">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w:t>
                </w:r>
                <w:r w:rsidR="006428FF">
                  <w:rPr>
                    <w:rFonts w:ascii="Arial" w:eastAsia="Times New Roman" w:hAnsi="Arial" w:cs="Arial"/>
                    <w:color w:val="000000"/>
                    <w:lang w:eastAsia="en-GB"/>
                  </w:rPr>
                  <w:t>3</w:t>
                </w:r>
                <w:r w:rsidR="00961DF6">
                  <w:rPr>
                    <w:rFonts w:ascii="Arial" w:eastAsia="Times New Roman" w:hAnsi="Arial" w:cs="Arial"/>
                    <w:color w:val="000000"/>
                    <w:lang w:eastAsia="en-GB"/>
                  </w:rPr>
                  <w:t>,523</w:t>
                </w:r>
                <w:r w:rsidRPr="00224CBA">
                  <w:rPr>
                    <w:rFonts w:ascii="Arial" w:eastAsia="Times New Roman" w:hAnsi="Arial" w:cs="Arial"/>
                    <w:color w:val="000000"/>
                    <w:lang w:eastAsia="en-GB"/>
                  </w:rPr>
                  <w:t>)</w:t>
                </w:r>
              </w:p>
            </w:tc>
            <w:tc>
              <w:tcPr>
                <w:tcW w:w="1680" w:type="dxa"/>
                <w:tcBorders>
                  <w:top w:val="nil"/>
                  <w:left w:val="nil"/>
                  <w:bottom w:val="single" w:sz="4" w:space="0" w:color="auto"/>
                  <w:right w:val="single" w:sz="4" w:space="0" w:color="auto"/>
                </w:tcBorders>
                <w:noWrap/>
                <w:vAlign w:val="center"/>
                <w:hideMark/>
              </w:tcPr>
              <w:p w14:paraId="57B572A8" w14:textId="77777777" w:rsidR="002B7590" w:rsidRPr="00224CBA" w:rsidRDefault="002B7590" w:rsidP="00380857">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(5,475)</w:t>
                </w:r>
              </w:p>
            </w:tc>
          </w:tr>
          <w:tr w:rsidR="002B7590" w:rsidRPr="00224CBA" w14:paraId="7B10ABFD" w14:textId="77777777" w:rsidTr="00380857">
            <w:trPr>
              <w:trHeight w:val="310"/>
            </w:trPr>
            <w:tc>
              <w:tcPr>
                <w:tcW w:w="6080" w:type="dxa"/>
                <w:tcBorders>
                  <w:top w:val="nil"/>
                  <w:left w:val="single" w:sz="4" w:space="0" w:color="auto"/>
                  <w:bottom w:val="single" w:sz="4" w:space="0" w:color="auto"/>
                  <w:right w:val="single" w:sz="4" w:space="0" w:color="auto"/>
                </w:tcBorders>
                <w:shd w:val="clear" w:color="000000" w:fill="016574"/>
                <w:vAlign w:val="center"/>
                <w:hideMark/>
              </w:tcPr>
              <w:p w14:paraId="7CF8F2E3" w14:textId="77777777" w:rsidR="002B7590" w:rsidRPr="00224CBA" w:rsidRDefault="002B7590" w:rsidP="00380857">
                <w:pPr>
                  <w:spacing w:after="0"/>
                  <w:rPr>
                    <w:rFonts w:ascii="Arial" w:eastAsia="Times New Roman" w:hAnsi="Arial" w:cs="Arial"/>
                    <w:b/>
                    <w:bCs/>
                    <w:color w:val="FFFFFF"/>
                    <w:lang w:eastAsia="en-GB"/>
                  </w:rPr>
                </w:pPr>
                <w:r w:rsidRPr="00224CBA">
                  <w:rPr>
                    <w:rFonts w:ascii="Arial" w:eastAsia="Times New Roman" w:hAnsi="Arial" w:cs="Arial"/>
                    <w:b/>
                    <w:bCs/>
                    <w:color w:val="FFFFFF"/>
                    <w:lang w:eastAsia="en-GB"/>
                  </w:rPr>
                  <w:t>Total non-current liabilities</w:t>
                </w:r>
              </w:p>
            </w:tc>
            <w:tc>
              <w:tcPr>
                <w:tcW w:w="2000" w:type="dxa"/>
                <w:tcBorders>
                  <w:top w:val="nil"/>
                  <w:left w:val="nil"/>
                  <w:bottom w:val="single" w:sz="4" w:space="0" w:color="auto"/>
                  <w:right w:val="single" w:sz="4" w:space="0" w:color="auto"/>
                </w:tcBorders>
                <w:shd w:val="clear" w:color="000000" w:fill="016574"/>
                <w:noWrap/>
                <w:vAlign w:val="center"/>
                <w:hideMark/>
              </w:tcPr>
              <w:p w14:paraId="758AF435" w14:textId="4B1BE3F7" w:rsidR="002B7590" w:rsidRPr="00224CBA" w:rsidRDefault="002B7590" w:rsidP="00380857">
                <w:pPr>
                  <w:spacing w:after="0"/>
                  <w:jc w:val="right"/>
                  <w:rPr>
                    <w:rFonts w:ascii="Arial" w:eastAsia="Times New Roman" w:hAnsi="Arial" w:cs="Arial"/>
                    <w:b/>
                    <w:bCs/>
                    <w:color w:val="000000"/>
                    <w:lang w:eastAsia="en-GB"/>
                  </w:rPr>
                </w:pPr>
                <w:r w:rsidRPr="00224CBA">
                  <w:rPr>
                    <w:rFonts w:ascii="Arial" w:eastAsia="Times New Roman" w:hAnsi="Arial" w:cs="Arial"/>
                    <w:b/>
                    <w:bCs/>
                    <w:color w:val="FFFFFF"/>
                    <w:lang w:eastAsia="en-GB"/>
                  </w:rPr>
                  <w:t>(</w:t>
                </w:r>
                <w:r w:rsidR="00961DF6">
                  <w:rPr>
                    <w:rFonts w:ascii="Arial" w:eastAsia="Times New Roman" w:hAnsi="Arial" w:cs="Arial"/>
                    <w:b/>
                    <w:bCs/>
                    <w:color w:val="FFFFFF"/>
                    <w:lang w:eastAsia="en-GB"/>
                  </w:rPr>
                  <w:t>7,958</w:t>
                </w:r>
                <w:r w:rsidRPr="00224CBA">
                  <w:rPr>
                    <w:rFonts w:ascii="Arial" w:eastAsia="Times New Roman" w:hAnsi="Arial" w:cs="Arial"/>
                    <w:b/>
                    <w:bCs/>
                    <w:color w:val="FFFFFF"/>
                    <w:lang w:eastAsia="en-GB"/>
                  </w:rPr>
                  <w:t>)</w:t>
                </w:r>
              </w:p>
            </w:tc>
            <w:tc>
              <w:tcPr>
                <w:tcW w:w="1680" w:type="dxa"/>
                <w:tcBorders>
                  <w:top w:val="nil"/>
                  <w:left w:val="nil"/>
                  <w:bottom w:val="single" w:sz="4" w:space="0" w:color="auto"/>
                  <w:right w:val="single" w:sz="4" w:space="0" w:color="auto"/>
                </w:tcBorders>
                <w:shd w:val="clear" w:color="000000" w:fill="016574"/>
                <w:noWrap/>
                <w:vAlign w:val="center"/>
                <w:hideMark/>
              </w:tcPr>
              <w:p w14:paraId="6EC79E4C" w14:textId="77777777" w:rsidR="002B7590" w:rsidRPr="00224CBA" w:rsidRDefault="002B7590" w:rsidP="00380857">
                <w:pPr>
                  <w:spacing w:after="0"/>
                  <w:jc w:val="right"/>
                  <w:rPr>
                    <w:rFonts w:ascii="Arial" w:eastAsia="Times New Roman" w:hAnsi="Arial" w:cs="Arial"/>
                    <w:b/>
                    <w:bCs/>
                    <w:color w:val="000000"/>
                    <w:lang w:eastAsia="en-GB"/>
                  </w:rPr>
                </w:pPr>
                <w:r w:rsidRPr="00224CBA">
                  <w:rPr>
                    <w:rFonts w:ascii="Arial" w:eastAsia="Times New Roman" w:hAnsi="Arial" w:cs="Arial"/>
                    <w:b/>
                    <w:bCs/>
                    <w:color w:val="FFFFFF"/>
                    <w:lang w:eastAsia="en-GB"/>
                  </w:rPr>
                  <w:t>(11,534)</w:t>
                </w:r>
              </w:p>
            </w:tc>
          </w:tr>
          <w:tr w:rsidR="002B7590" w:rsidRPr="00224CBA" w14:paraId="1FBFA6BF" w14:textId="77777777" w:rsidTr="00380857">
            <w:trPr>
              <w:trHeight w:val="310"/>
            </w:trPr>
            <w:tc>
              <w:tcPr>
                <w:tcW w:w="6080" w:type="dxa"/>
                <w:tcBorders>
                  <w:top w:val="nil"/>
                  <w:left w:val="single" w:sz="4" w:space="0" w:color="auto"/>
                  <w:bottom w:val="single" w:sz="4" w:space="0" w:color="auto"/>
                  <w:right w:val="single" w:sz="4" w:space="0" w:color="auto"/>
                </w:tcBorders>
                <w:shd w:val="clear" w:color="000000" w:fill="016574"/>
                <w:vAlign w:val="center"/>
                <w:hideMark/>
              </w:tcPr>
              <w:p w14:paraId="49A2F5C8" w14:textId="77777777" w:rsidR="002B7590" w:rsidRPr="00224CBA" w:rsidRDefault="002B7590" w:rsidP="00380857">
                <w:pPr>
                  <w:spacing w:after="0"/>
                  <w:rPr>
                    <w:rFonts w:ascii="Arial" w:eastAsia="Times New Roman" w:hAnsi="Arial" w:cs="Arial"/>
                    <w:b/>
                    <w:bCs/>
                    <w:color w:val="FFFFFF"/>
                    <w:lang w:eastAsia="en-GB"/>
                  </w:rPr>
                </w:pPr>
                <w:r w:rsidRPr="00224CBA">
                  <w:rPr>
                    <w:rFonts w:ascii="Arial" w:eastAsia="Times New Roman" w:hAnsi="Arial" w:cs="Arial"/>
                    <w:b/>
                    <w:bCs/>
                    <w:color w:val="FFFFFF"/>
                    <w:lang w:eastAsia="en-GB"/>
                  </w:rPr>
                  <w:t xml:space="preserve">Total assets </w:t>
                </w:r>
                <w:proofErr w:type="gramStart"/>
                <w:r w:rsidRPr="00224CBA">
                  <w:rPr>
                    <w:rFonts w:ascii="Arial" w:eastAsia="Times New Roman" w:hAnsi="Arial" w:cs="Arial"/>
                    <w:b/>
                    <w:bCs/>
                    <w:color w:val="FFFFFF"/>
                    <w:lang w:eastAsia="en-GB"/>
                  </w:rPr>
                  <w:t>less</w:t>
                </w:r>
                <w:proofErr w:type="gramEnd"/>
                <w:r w:rsidRPr="00224CBA">
                  <w:rPr>
                    <w:rFonts w:ascii="Arial" w:eastAsia="Times New Roman" w:hAnsi="Arial" w:cs="Arial"/>
                    <w:b/>
                    <w:bCs/>
                    <w:color w:val="FFFFFF"/>
                    <w:lang w:eastAsia="en-GB"/>
                  </w:rPr>
                  <w:t xml:space="preserve"> total liabilities</w:t>
                </w:r>
              </w:p>
            </w:tc>
            <w:tc>
              <w:tcPr>
                <w:tcW w:w="2000" w:type="dxa"/>
                <w:tcBorders>
                  <w:top w:val="nil"/>
                  <w:left w:val="nil"/>
                  <w:bottom w:val="single" w:sz="4" w:space="0" w:color="auto"/>
                  <w:right w:val="single" w:sz="4" w:space="0" w:color="auto"/>
                </w:tcBorders>
                <w:shd w:val="clear" w:color="000000" w:fill="016574"/>
                <w:vAlign w:val="center"/>
                <w:hideMark/>
              </w:tcPr>
              <w:p w14:paraId="0BBBD0A7" w14:textId="272CD7A4" w:rsidR="002B7590" w:rsidRPr="00224CBA" w:rsidRDefault="00B47AB4" w:rsidP="00380857">
                <w:pPr>
                  <w:spacing w:after="0"/>
                  <w:jc w:val="right"/>
                  <w:rPr>
                    <w:rFonts w:ascii="Arial" w:eastAsia="Times New Roman" w:hAnsi="Arial" w:cs="Arial"/>
                    <w:b/>
                    <w:bCs/>
                    <w:color w:val="FFFFFF"/>
                    <w:lang w:eastAsia="en-GB"/>
                  </w:rPr>
                </w:pPr>
                <w:r>
                  <w:rPr>
                    <w:rFonts w:ascii="Arial" w:eastAsia="Times New Roman" w:hAnsi="Arial" w:cs="Arial"/>
                    <w:b/>
                    <w:bCs/>
                    <w:color w:val="FFFFFF"/>
                    <w:lang w:eastAsia="en-GB"/>
                  </w:rPr>
                  <w:t>32</w:t>
                </w:r>
                <w:r w:rsidR="003D4587">
                  <w:rPr>
                    <w:rFonts w:ascii="Arial" w:eastAsia="Times New Roman" w:hAnsi="Arial" w:cs="Arial"/>
                    <w:b/>
                    <w:bCs/>
                    <w:color w:val="FFFFFF"/>
                    <w:lang w:eastAsia="en-GB"/>
                  </w:rPr>
                  <w:t>,840</w:t>
                </w:r>
              </w:p>
            </w:tc>
            <w:tc>
              <w:tcPr>
                <w:tcW w:w="1680" w:type="dxa"/>
                <w:tcBorders>
                  <w:top w:val="nil"/>
                  <w:left w:val="nil"/>
                  <w:bottom w:val="single" w:sz="4" w:space="0" w:color="auto"/>
                  <w:right w:val="single" w:sz="4" w:space="0" w:color="auto"/>
                </w:tcBorders>
                <w:shd w:val="clear" w:color="000000" w:fill="016574"/>
                <w:vAlign w:val="center"/>
                <w:hideMark/>
              </w:tcPr>
              <w:p w14:paraId="3F4045B9" w14:textId="77777777" w:rsidR="002B7590" w:rsidRPr="00224CBA" w:rsidRDefault="002B7590" w:rsidP="00380857">
                <w:pPr>
                  <w:spacing w:after="0"/>
                  <w:jc w:val="right"/>
                  <w:rPr>
                    <w:rFonts w:ascii="Arial" w:eastAsia="Times New Roman" w:hAnsi="Arial" w:cs="Arial"/>
                    <w:b/>
                    <w:bCs/>
                    <w:color w:val="FFFFFF"/>
                    <w:lang w:eastAsia="en-GB"/>
                  </w:rPr>
                </w:pPr>
                <w:r w:rsidRPr="00224CBA">
                  <w:rPr>
                    <w:rFonts w:ascii="Arial" w:eastAsia="Times New Roman" w:hAnsi="Arial" w:cs="Arial"/>
                    <w:b/>
                    <w:bCs/>
                    <w:color w:val="FFFFFF"/>
                    <w:lang w:eastAsia="en-GB"/>
                  </w:rPr>
                  <w:t>29,335</w:t>
                </w:r>
              </w:p>
            </w:tc>
          </w:tr>
          <w:tr w:rsidR="002B7590" w:rsidRPr="00224CBA" w14:paraId="3CE859C7" w14:textId="77777777" w:rsidTr="00380857">
            <w:trPr>
              <w:trHeight w:val="330"/>
            </w:trPr>
            <w:tc>
              <w:tcPr>
                <w:tcW w:w="6080" w:type="dxa"/>
                <w:tcBorders>
                  <w:top w:val="nil"/>
                  <w:left w:val="single" w:sz="4" w:space="0" w:color="auto"/>
                  <w:bottom w:val="single" w:sz="4" w:space="0" w:color="auto"/>
                  <w:right w:val="single" w:sz="4" w:space="0" w:color="auto"/>
                </w:tcBorders>
                <w:vAlign w:val="center"/>
                <w:hideMark/>
              </w:tcPr>
              <w:p w14:paraId="166CAD61" w14:textId="77777777" w:rsidR="002B7590" w:rsidRPr="00224CBA" w:rsidRDefault="002B7590" w:rsidP="00380857">
                <w:pPr>
                  <w:spacing w:after="0"/>
                  <w:rPr>
                    <w:rFonts w:ascii="Arial" w:eastAsia="Times New Roman" w:hAnsi="Arial" w:cs="Arial"/>
                    <w:b/>
                    <w:bCs/>
                    <w:lang w:eastAsia="en-GB"/>
                  </w:rPr>
                </w:pPr>
                <w:r w:rsidRPr="00224CBA">
                  <w:rPr>
                    <w:rFonts w:ascii="Arial" w:eastAsia="Times New Roman" w:hAnsi="Arial" w:cs="Arial"/>
                    <w:b/>
                    <w:bCs/>
                    <w:lang w:eastAsia="en-GB"/>
                  </w:rPr>
                  <w:t>Taxpayers' equity and other reserves</w:t>
                </w:r>
              </w:p>
            </w:tc>
            <w:tc>
              <w:tcPr>
                <w:tcW w:w="2000" w:type="dxa"/>
                <w:tcBorders>
                  <w:top w:val="nil"/>
                  <w:left w:val="nil"/>
                  <w:bottom w:val="single" w:sz="4" w:space="0" w:color="auto"/>
                  <w:right w:val="single" w:sz="4" w:space="0" w:color="auto"/>
                </w:tcBorders>
                <w:noWrap/>
                <w:vAlign w:val="center"/>
                <w:hideMark/>
              </w:tcPr>
              <w:p w14:paraId="62441A5C" w14:textId="77777777" w:rsidR="002B7590" w:rsidRPr="00224CBA" w:rsidRDefault="002B7590" w:rsidP="00380857">
                <w:pPr>
                  <w:spacing w:after="0"/>
                  <w:jc w:val="right"/>
                  <w:rPr>
                    <w:rFonts w:ascii="Arial" w:eastAsia="Times New Roman" w:hAnsi="Arial" w:cs="Arial"/>
                    <w:color w:val="000000"/>
                    <w:lang w:eastAsia="en-GB"/>
                  </w:rPr>
                </w:pPr>
                <w:r w:rsidRPr="00224CBA">
                  <w:rPr>
                    <w:rFonts w:ascii="Arial" w:eastAsia="Times New Roman" w:hAnsi="Arial" w:cs="Arial"/>
                    <w:color w:val="000000"/>
                    <w:lang w:eastAsia="en-GB"/>
                  </w:rPr>
                  <w:t> </w:t>
                </w:r>
              </w:p>
            </w:tc>
            <w:tc>
              <w:tcPr>
                <w:tcW w:w="1680" w:type="dxa"/>
                <w:tcBorders>
                  <w:top w:val="nil"/>
                  <w:left w:val="nil"/>
                  <w:bottom w:val="single" w:sz="4" w:space="0" w:color="auto"/>
                  <w:right w:val="single" w:sz="4" w:space="0" w:color="auto"/>
                </w:tcBorders>
                <w:vAlign w:val="center"/>
                <w:hideMark/>
              </w:tcPr>
              <w:p w14:paraId="69B41722" w14:textId="77777777" w:rsidR="002B7590" w:rsidRPr="00224CBA" w:rsidRDefault="002B7590" w:rsidP="00380857">
                <w:pPr>
                  <w:spacing w:after="0"/>
                  <w:jc w:val="right"/>
                  <w:rPr>
                    <w:rFonts w:ascii="Arial" w:eastAsia="Times New Roman" w:hAnsi="Arial" w:cs="Arial"/>
                    <w:lang w:eastAsia="en-GB"/>
                  </w:rPr>
                </w:pPr>
                <w:r w:rsidRPr="00224CBA">
                  <w:rPr>
                    <w:rFonts w:ascii="Arial" w:eastAsia="Times New Roman" w:hAnsi="Arial" w:cs="Arial"/>
                    <w:lang w:eastAsia="en-GB"/>
                  </w:rPr>
                  <w:t> </w:t>
                </w:r>
              </w:p>
            </w:tc>
          </w:tr>
          <w:tr w:rsidR="002B7590" w:rsidRPr="00224CBA" w14:paraId="013760B2" w14:textId="77777777" w:rsidTr="00380857">
            <w:trPr>
              <w:trHeight w:val="310"/>
            </w:trPr>
            <w:tc>
              <w:tcPr>
                <w:tcW w:w="6080" w:type="dxa"/>
                <w:tcBorders>
                  <w:top w:val="nil"/>
                  <w:left w:val="single" w:sz="4" w:space="0" w:color="auto"/>
                  <w:bottom w:val="single" w:sz="4" w:space="0" w:color="auto"/>
                  <w:right w:val="single" w:sz="4" w:space="0" w:color="auto"/>
                </w:tcBorders>
                <w:vAlign w:val="center"/>
                <w:hideMark/>
              </w:tcPr>
              <w:p w14:paraId="38C90CBF" w14:textId="77777777" w:rsidR="002B7590" w:rsidRPr="00224CBA" w:rsidRDefault="002B7590" w:rsidP="00380857">
                <w:pPr>
                  <w:spacing w:after="0"/>
                  <w:rPr>
                    <w:rFonts w:ascii="Arial" w:eastAsia="Times New Roman" w:hAnsi="Arial" w:cs="Arial"/>
                    <w:lang w:eastAsia="en-GB"/>
                  </w:rPr>
                </w:pPr>
                <w:r w:rsidRPr="00224CBA">
                  <w:rPr>
                    <w:rFonts w:ascii="Arial" w:eastAsia="Times New Roman" w:hAnsi="Arial" w:cs="Arial"/>
                    <w:lang w:eastAsia="en-GB"/>
                  </w:rPr>
                  <w:t>General fund</w:t>
                </w:r>
              </w:p>
            </w:tc>
            <w:tc>
              <w:tcPr>
                <w:tcW w:w="2000" w:type="dxa"/>
                <w:tcBorders>
                  <w:top w:val="nil"/>
                  <w:left w:val="nil"/>
                  <w:bottom w:val="single" w:sz="4" w:space="0" w:color="auto"/>
                  <w:right w:val="single" w:sz="4" w:space="0" w:color="auto"/>
                </w:tcBorders>
                <w:noWrap/>
                <w:vAlign w:val="center"/>
                <w:hideMark/>
              </w:tcPr>
              <w:p w14:paraId="13FAD2FB" w14:textId="52EF3EC4" w:rsidR="002B7590" w:rsidRPr="00224CBA" w:rsidRDefault="003D4587" w:rsidP="00380857">
                <w:pPr>
                  <w:spacing w:after="0"/>
                  <w:jc w:val="right"/>
                  <w:rPr>
                    <w:rFonts w:ascii="Arial" w:eastAsia="Times New Roman" w:hAnsi="Arial" w:cs="Arial"/>
                    <w:lang w:eastAsia="en-GB"/>
                  </w:rPr>
                </w:pPr>
                <w:r>
                  <w:rPr>
                    <w:rFonts w:ascii="Arial" w:eastAsia="Times New Roman" w:hAnsi="Arial" w:cs="Arial"/>
                    <w:lang w:eastAsia="en-GB"/>
                  </w:rPr>
                  <w:t>13,621</w:t>
                </w:r>
              </w:p>
            </w:tc>
            <w:tc>
              <w:tcPr>
                <w:tcW w:w="1680" w:type="dxa"/>
                <w:tcBorders>
                  <w:top w:val="nil"/>
                  <w:left w:val="nil"/>
                  <w:bottom w:val="single" w:sz="4" w:space="0" w:color="auto"/>
                  <w:right w:val="single" w:sz="4" w:space="0" w:color="auto"/>
                </w:tcBorders>
                <w:noWrap/>
                <w:vAlign w:val="center"/>
                <w:hideMark/>
              </w:tcPr>
              <w:p w14:paraId="187CA7A0" w14:textId="77777777" w:rsidR="002B7590" w:rsidRPr="00224CBA" w:rsidRDefault="002B7590" w:rsidP="00380857">
                <w:pPr>
                  <w:spacing w:after="0"/>
                  <w:jc w:val="right"/>
                  <w:rPr>
                    <w:rFonts w:ascii="Arial" w:eastAsia="Times New Roman" w:hAnsi="Arial" w:cs="Arial"/>
                    <w:lang w:eastAsia="en-GB"/>
                  </w:rPr>
                </w:pPr>
                <w:r w:rsidRPr="00224CBA">
                  <w:rPr>
                    <w:rFonts w:ascii="Arial" w:eastAsia="Times New Roman" w:hAnsi="Arial" w:cs="Arial"/>
                    <w:lang w:eastAsia="en-GB"/>
                  </w:rPr>
                  <w:t>10,295</w:t>
                </w:r>
              </w:p>
            </w:tc>
          </w:tr>
          <w:tr w:rsidR="002B7590" w:rsidRPr="00224CBA" w14:paraId="00FC427E" w14:textId="77777777" w:rsidTr="00380857">
            <w:trPr>
              <w:trHeight w:val="310"/>
            </w:trPr>
            <w:tc>
              <w:tcPr>
                <w:tcW w:w="6080" w:type="dxa"/>
                <w:tcBorders>
                  <w:top w:val="nil"/>
                  <w:left w:val="single" w:sz="4" w:space="0" w:color="auto"/>
                  <w:bottom w:val="single" w:sz="4" w:space="0" w:color="auto"/>
                  <w:right w:val="single" w:sz="4" w:space="0" w:color="auto"/>
                </w:tcBorders>
                <w:vAlign w:val="center"/>
                <w:hideMark/>
              </w:tcPr>
              <w:p w14:paraId="44854FA6" w14:textId="77777777" w:rsidR="002B7590" w:rsidRPr="00224CBA" w:rsidRDefault="002B7590" w:rsidP="00380857">
                <w:pPr>
                  <w:spacing w:after="0"/>
                  <w:rPr>
                    <w:rFonts w:ascii="Arial" w:eastAsia="Times New Roman" w:hAnsi="Arial" w:cs="Arial"/>
                    <w:lang w:eastAsia="en-GB"/>
                  </w:rPr>
                </w:pPr>
                <w:r w:rsidRPr="00224CBA">
                  <w:rPr>
                    <w:rFonts w:ascii="Arial" w:eastAsia="Times New Roman" w:hAnsi="Arial" w:cs="Arial"/>
                    <w:lang w:eastAsia="en-GB"/>
                  </w:rPr>
                  <w:t>Revaluation reserve</w:t>
                </w:r>
              </w:p>
            </w:tc>
            <w:tc>
              <w:tcPr>
                <w:tcW w:w="2000" w:type="dxa"/>
                <w:tcBorders>
                  <w:top w:val="nil"/>
                  <w:left w:val="nil"/>
                  <w:bottom w:val="single" w:sz="4" w:space="0" w:color="auto"/>
                  <w:right w:val="single" w:sz="4" w:space="0" w:color="auto"/>
                </w:tcBorders>
                <w:noWrap/>
                <w:vAlign w:val="center"/>
                <w:hideMark/>
              </w:tcPr>
              <w:p w14:paraId="494D7BFB" w14:textId="0A18D37E" w:rsidR="002B7590" w:rsidRPr="00224CBA" w:rsidRDefault="003D4587" w:rsidP="00380857">
                <w:pPr>
                  <w:spacing w:after="0"/>
                  <w:jc w:val="right"/>
                  <w:rPr>
                    <w:rFonts w:ascii="Arial" w:eastAsia="Times New Roman" w:hAnsi="Arial" w:cs="Arial"/>
                    <w:lang w:eastAsia="en-GB"/>
                  </w:rPr>
                </w:pPr>
                <w:r>
                  <w:rPr>
                    <w:rFonts w:ascii="Arial" w:eastAsia="Times New Roman" w:hAnsi="Arial" w:cs="Arial"/>
                    <w:lang w:eastAsia="en-GB"/>
                  </w:rPr>
                  <w:t>19</w:t>
                </w:r>
                <w:r w:rsidR="001E1116">
                  <w:rPr>
                    <w:rFonts w:ascii="Arial" w:eastAsia="Times New Roman" w:hAnsi="Arial" w:cs="Arial"/>
                    <w:lang w:eastAsia="en-GB"/>
                  </w:rPr>
                  <w:t>,219</w:t>
                </w:r>
              </w:p>
            </w:tc>
            <w:tc>
              <w:tcPr>
                <w:tcW w:w="1680" w:type="dxa"/>
                <w:tcBorders>
                  <w:top w:val="nil"/>
                  <w:left w:val="nil"/>
                  <w:bottom w:val="single" w:sz="4" w:space="0" w:color="auto"/>
                  <w:right w:val="single" w:sz="4" w:space="0" w:color="auto"/>
                </w:tcBorders>
                <w:noWrap/>
                <w:vAlign w:val="center"/>
                <w:hideMark/>
              </w:tcPr>
              <w:p w14:paraId="3C9A27F9" w14:textId="77777777" w:rsidR="002B7590" w:rsidRPr="00224CBA" w:rsidRDefault="002B7590" w:rsidP="00380857">
                <w:pPr>
                  <w:spacing w:after="0"/>
                  <w:jc w:val="right"/>
                  <w:rPr>
                    <w:rFonts w:ascii="Arial" w:eastAsia="Times New Roman" w:hAnsi="Arial" w:cs="Arial"/>
                    <w:lang w:eastAsia="en-GB"/>
                  </w:rPr>
                </w:pPr>
                <w:r w:rsidRPr="00224CBA">
                  <w:rPr>
                    <w:rFonts w:ascii="Arial" w:eastAsia="Times New Roman" w:hAnsi="Arial" w:cs="Arial"/>
                    <w:lang w:eastAsia="en-GB"/>
                  </w:rPr>
                  <w:t>19,040</w:t>
                </w:r>
              </w:p>
            </w:tc>
          </w:tr>
          <w:tr w:rsidR="002B7590" w:rsidRPr="00224CBA" w14:paraId="662C2857" w14:textId="77777777" w:rsidTr="00380857">
            <w:trPr>
              <w:trHeight w:val="310"/>
            </w:trPr>
            <w:tc>
              <w:tcPr>
                <w:tcW w:w="6080" w:type="dxa"/>
                <w:tcBorders>
                  <w:top w:val="nil"/>
                  <w:left w:val="single" w:sz="4" w:space="0" w:color="auto"/>
                  <w:bottom w:val="single" w:sz="4" w:space="0" w:color="auto"/>
                  <w:right w:val="single" w:sz="4" w:space="0" w:color="auto"/>
                </w:tcBorders>
                <w:shd w:val="clear" w:color="000000" w:fill="016574"/>
                <w:vAlign w:val="center"/>
                <w:hideMark/>
              </w:tcPr>
              <w:p w14:paraId="688F96BD" w14:textId="77777777" w:rsidR="002B7590" w:rsidRPr="00224CBA" w:rsidRDefault="002B7590" w:rsidP="00380857">
                <w:pPr>
                  <w:spacing w:after="0"/>
                  <w:rPr>
                    <w:rFonts w:ascii="Arial" w:eastAsia="Times New Roman" w:hAnsi="Arial" w:cs="Arial"/>
                    <w:b/>
                    <w:bCs/>
                    <w:color w:val="FFFFFF"/>
                    <w:lang w:eastAsia="en-GB"/>
                  </w:rPr>
                </w:pPr>
                <w:r w:rsidRPr="00224CBA">
                  <w:rPr>
                    <w:rFonts w:ascii="Arial" w:eastAsia="Times New Roman" w:hAnsi="Arial" w:cs="Arial"/>
                    <w:b/>
                    <w:bCs/>
                    <w:color w:val="FFFFFF"/>
                    <w:lang w:eastAsia="en-GB"/>
                  </w:rPr>
                  <w:t xml:space="preserve">Total </w:t>
                </w:r>
                <w:proofErr w:type="gramStart"/>
                <w:r w:rsidRPr="00224CBA">
                  <w:rPr>
                    <w:rFonts w:ascii="Arial" w:eastAsia="Times New Roman" w:hAnsi="Arial" w:cs="Arial"/>
                    <w:b/>
                    <w:bCs/>
                    <w:color w:val="FFFFFF"/>
                    <w:lang w:eastAsia="en-GB"/>
                  </w:rPr>
                  <w:t>tax payers</w:t>
                </w:r>
                <w:r>
                  <w:rPr>
                    <w:rFonts w:ascii="Arial" w:eastAsia="Times New Roman" w:hAnsi="Arial" w:cs="Arial"/>
                    <w:b/>
                    <w:bCs/>
                    <w:color w:val="FFFFFF"/>
                    <w:lang w:eastAsia="en-GB"/>
                  </w:rPr>
                  <w:t>’</w:t>
                </w:r>
                <w:proofErr w:type="gramEnd"/>
                <w:r w:rsidRPr="00224CBA">
                  <w:rPr>
                    <w:rFonts w:ascii="Arial" w:eastAsia="Times New Roman" w:hAnsi="Arial" w:cs="Arial"/>
                    <w:b/>
                    <w:bCs/>
                    <w:color w:val="FFFFFF"/>
                    <w:lang w:eastAsia="en-GB"/>
                  </w:rPr>
                  <w:t xml:space="preserve"> equity</w:t>
                </w:r>
              </w:p>
            </w:tc>
            <w:tc>
              <w:tcPr>
                <w:tcW w:w="2000" w:type="dxa"/>
                <w:tcBorders>
                  <w:top w:val="nil"/>
                  <w:left w:val="nil"/>
                  <w:bottom w:val="single" w:sz="4" w:space="0" w:color="auto"/>
                  <w:right w:val="single" w:sz="4" w:space="0" w:color="auto"/>
                </w:tcBorders>
                <w:shd w:val="clear" w:color="000000" w:fill="016574"/>
                <w:vAlign w:val="center"/>
                <w:hideMark/>
              </w:tcPr>
              <w:p w14:paraId="6796CEFD" w14:textId="776CC286" w:rsidR="002B7590" w:rsidRPr="00224CBA" w:rsidRDefault="002B7590" w:rsidP="00380857">
                <w:pPr>
                  <w:spacing w:after="0"/>
                  <w:jc w:val="right"/>
                  <w:rPr>
                    <w:rFonts w:ascii="Arial" w:eastAsia="Times New Roman" w:hAnsi="Arial" w:cs="Arial"/>
                    <w:b/>
                    <w:bCs/>
                    <w:color w:val="FFFFFF"/>
                    <w:lang w:eastAsia="en-GB"/>
                  </w:rPr>
                </w:pPr>
                <w:r w:rsidRPr="00224CBA">
                  <w:rPr>
                    <w:rFonts w:ascii="Arial" w:eastAsia="Times New Roman" w:hAnsi="Arial" w:cs="Arial"/>
                    <w:b/>
                    <w:bCs/>
                    <w:color w:val="FFFFFF"/>
                    <w:lang w:eastAsia="en-GB"/>
                  </w:rPr>
                  <w:t>3</w:t>
                </w:r>
                <w:r w:rsidR="001E1116">
                  <w:rPr>
                    <w:rFonts w:ascii="Arial" w:eastAsia="Times New Roman" w:hAnsi="Arial" w:cs="Arial"/>
                    <w:b/>
                    <w:bCs/>
                    <w:color w:val="FFFFFF"/>
                    <w:lang w:eastAsia="en-GB"/>
                  </w:rPr>
                  <w:t>2</w:t>
                </w:r>
                <w:r w:rsidR="00C93D7E">
                  <w:rPr>
                    <w:rFonts w:ascii="Arial" w:eastAsia="Times New Roman" w:hAnsi="Arial" w:cs="Arial"/>
                    <w:b/>
                    <w:bCs/>
                    <w:color w:val="FFFFFF"/>
                    <w:lang w:eastAsia="en-GB"/>
                  </w:rPr>
                  <w:t>,840</w:t>
                </w:r>
              </w:p>
            </w:tc>
            <w:tc>
              <w:tcPr>
                <w:tcW w:w="1680" w:type="dxa"/>
                <w:tcBorders>
                  <w:top w:val="nil"/>
                  <w:left w:val="nil"/>
                  <w:bottom w:val="single" w:sz="4" w:space="0" w:color="auto"/>
                  <w:right w:val="single" w:sz="4" w:space="0" w:color="auto"/>
                </w:tcBorders>
                <w:shd w:val="clear" w:color="000000" w:fill="016574"/>
                <w:vAlign w:val="center"/>
                <w:hideMark/>
              </w:tcPr>
              <w:p w14:paraId="1F8FAEA8" w14:textId="77777777" w:rsidR="002B7590" w:rsidRPr="00224CBA" w:rsidRDefault="002B7590" w:rsidP="00380857">
                <w:pPr>
                  <w:spacing w:after="0"/>
                  <w:jc w:val="right"/>
                  <w:rPr>
                    <w:rFonts w:ascii="Arial" w:eastAsia="Times New Roman" w:hAnsi="Arial" w:cs="Arial"/>
                    <w:b/>
                    <w:bCs/>
                    <w:color w:val="FFFFFF"/>
                    <w:lang w:eastAsia="en-GB"/>
                  </w:rPr>
                </w:pPr>
                <w:r w:rsidRPr="00224CBA">
                  <w:rPr>
                    <w:rFonts w:ascii="Arial" w:eastAsia="Times New Roman" w:hAnsi="Arial" w:cs="Arial"/>
                    <w:b/>
                    <w:bCs/>
                    <w:color w:val="FFFFFF"/>
                    <w:lang w:eastAsia="en-GB"/>
                  </w:rPr>
                  <w:t>29,335</w:t>
                </w:r>
              </w:p>
            </w:tc>
          </w:tr>
        </w:tbl>
        <w:p w14:paraId="2C0DC5DB" w14:textId="46BB274A" w:rsidR="002707FF" w:rsidRDefault="002707FF" w:rsidP="00BE6A7E">
          <w:pPr>
            <w:spacing w:after="120"/>
          </w:pPr>
        </w:p>
        <w:p w14:paraId="7E27E8CB" w14:textId="5E361C93" w:rsidR="002707FF" w:rsidRPr="002D4FF3" w:rsidRDefault="002D4FF3" w:rsidP="002D4FF3">
          <w:pPr>
            <w:pStyle w:val="Heading3"/>
            <w:numPr>
              <w:ilvl w:val="0"/>
              <w:numId w:val="3"/>
            </w:numPr>
            <w:ind w:left="426" w:hanging="426"/>
            <w:rPr>
              <w:rStyle w:val="normaltextrun"/>
            </w:rPr>
          </w:pPr>
          <w:r w:rsidRPr="002D4FF3">
            <w:rPr>
              <w:rStyle w:val="normaltextrun"/>
            </w:rPr>
            <w:lastRenderedPageBreak/>
            <w:t>Recommendation</w:t>
          </w:r>
        </w:p>
        <w:p w14:paraId="6A94698C" w14:textId="45BCC405" w:rsidR="00D73B93" w:rsidRPr="004D3B82" w:rsidRDefault="000103AB" w:rsidP="00846C14">
          <w:pPr>
            <w:pStyle w:val="ListParagraph"/>
            <w:numPr>
              <w:ilvl w:val="1"/>
              <w:numId w:val="18"/>
            </w:numPr>
            <w:spacing w:after="120"/>
            <w:ind w:left="1077" w:hanging="720"/>
          </w:pPr>
          <w:r w:rsidRPr="004D3B82">
            <w:t>The Board is asked to note:</w:t>
          </w:r>
        </w:p>
        <w:p w14:paraId="5EB79F38" w14:textId="77777777" w:rsidR="000103AB" w:rsidRDefault="000103AB" w:rsidP="000103AB">
          <w:pPr>
            <w:pStyle w:val="ListParagraph"/>
            <w:numPr>
              <w:ilvl w:val="0"/>
              <w:numId w:val="2"/>
            </w:numPr>
          </w:pPr>
          <w:r>
            <w:t>SEPA’s financial performance for the period ending 31 March 2026.</w:t>
          </w:r>
        </w:p>
        <w:p w14:paraId="45641B2F" w14:textId="77777777" w:rsidR="000103AB" w:rsidRDefault="000103AB" w:rsidP="000103AB">
          <w:pPr>
            <w:pStyle w:val="ListParagraph"/>
            <w:numPr>
              <w:ilvl w:val="0"/>
              <w:numId w:val="2"/>
            </w:numPr>
          </w:pPr>
          <w:r>
            <w:t>That the results reported are draft results as they may be subject to year-end adjustments and external audit.</w:t>
          </w:r>
        </w:p>
        <w:p w14:paraId="26539B34" w14:textId="77777777" w:rsidR="00800D11" w:rsidRDefault="00800D11" w:rsidP="00BE6A7E">
          <w:pPr>
            <w:spacing w:after="120"/>
          </w:pPr>
        </w:p>
        <w:p w14:paraId="0296F05C" w14:textId="07641A5A" w:rsidR="0097313C" w:rsidRPr="00FA460F" w:rsidRDefault="000A115D" w:rsidP="00BE6A7E">
          <w:pPr>
            <w:spacing w:after="120"/>
          </w:pPr>
          <w:r w:rsidRPr="000A115D">
            <w:t>END</w:t>
          </w:r>
        </w:p>
        <w:p w14:paraId="2184785B" w14:textId="38F4998E" w:rsidR="006243FF" w:rsidRPr="00114EA4" w:rsidRDefault="0097313C" w:rsidP="00114EA4">
          <w:pPr>
            <w:pStyle w:val="BodyText1"/>
          </w:pPr>
          <w:r w:rsidRPr="00FA460F">
            <w:rPr>
              <w:rStyle w:val="eop"/>
            </w:rPr>
            <w:t> </w:t>
          </w:r>
          <w:r w:rsidR="00281BB1" w:rsidRPr="00EA297B">
            <w:rPr>
              <w:noProof/>
            </w:rPr>
            <mc:AlternateContent>
              <mc:Choice Requires="wps">
                <w:drawing>
                  <wp:anchor distT="0" distB="0" distL="114300" distR="114300" simplePos="0" relativeHeight="251658240" behindDoc="0" locked="1" layoutInCell="1" allowOverlap="1" wp14:anchorId="17CDE28A" wp14:editId="297EE6EC">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6F352F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DE28A"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46F352F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sectPr w:rsidR="006243FF" w:rsidRPr="00114EA4" w:rsidSect="00381202">
      <w:pgSz w:w="11900" w:h="16840"/>
      <w:pgMar w:top="839" w:right="839" w:bottom="839" w:left="839" w:header="79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E13A5" w14:textId="77777777" w:rsidR="006654BC" w:rsidRDefault="006654BC" w:rsidP="00660C79">
      <w:pPr>
        <w:spacing w:line="240" w:lineRule="auto"/>
      </w:pPr>
      <w:r>
        <w:separator/>
      </w:r>
    </w:p>
  </w:endnote>
  <w:endnote w:type="continuationSeparator" w:id="0">
    <w:p w14:paraId="15E5FC77" w14:textId="77777777" w:rsidR="006654BC" w:rsidRDefault="006654BC" w:rsidP="00660C79">
      <w:pPr>
        <w:spacing w:line="240" w:lineRule="auto"/>
      </w:pPr>
      <w:r>
        <w:continuationSeparator/>
      </w:r>
    </w:p>
  </w:endnote>
  <w:endnote w:type="continuationNotice" w:id="1">
    <w:p w14:paraId="7F16A986" w14:textId="77777777" w:rsidR="006654BC" w:rsidRDefault="006654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ECAC" w14:textId="04CB5B5B" w:rsidR="00EC6A73" w:rsidRDefault="00A63B38">
    <w:pPr>
      <w:pStyle w:val="Footer"/>
      <w:framePr w:wrap="none" w:vAnchor="text" w:hAnchor="margin" w:xAlign="right" w:y="1"/>
      <w:rPr>
        <w:rStyle w:val="PageNumber"/>
      </w:rPr>
    </w:pPr>
    <w:r>
      <w:rPr>
        <w:noProof/>
      </w:rPr>
      <mc:AlternateContent>
        <mc:Choice Requires="wps">
          <w:drawing>
            <wp:anchor distT="0" distB="0" distL="0" distR="0" simplePos="0" relativeHeight="251663365" behindDoc="0" locked="0" layoutInCell="1" allowOverlap="1" wp14:anchorId="087C6F0E" wp14:editId="4CDCAB18">
              <wp:simplePos x="635" y="635"/>
              <wp:positionH relativeFrom="page">
                <wp:align>center</wp:align>
              </wp:positionH>
              <wp:positionV relativeFrom="page">
                <wp:align>bottom</wp:align>
              </wp:positionV>
              <wp:extent cx="518795" cy="422910"/>
              <wp:effectExtent l="0" t="0" r="14605" b="0"/>
              <wp:wrapNone/>
              <wp:docPr id="421792908"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799BF28D" w14:textId="6EB50906" w:rsidR="00A63B38" w:rsidRPr="00A63B38" w:rsidRDefault="00A63B38" w:rsidP="00A63B38">
                          <w:pPr>
                            <w:spacing w:after="0"/>
                            <w:rPr>
                              <w:rFonts w:ascii="Aptos" w:eastAsia="Aptos" w:hAnsi="Aptos" w:cs="Aptos"/>
                              <w:noProof/>
                              <w:color w:val="0000FF"/>
                              <w:sz w:val="20"/>
                              <w:szCs w:val="20"/>
                            </w:rPr>
                          </w:pPr>
                          <w:r w:rsidRPr="00A63B38">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7C6F0E" id="_x0000_t202" coordsize="21600,21600" o:spt="202" path="m,l,21600r21600,l21600,xe">
              <v:stroke joinstyle="miter"/>
              <v:path gradientshapeok="t" o:connecttype="rect"/>
            </v:shapetype>
            <v:shape id="Text Box 13" o:spid="_x0000_s1029" type="#_x0000_t202" alt="OFFICIAL" style="position:absolute;margin-left:0;margin-top:0;width:40.85pt;height:33.3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mt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XfHpOP0W6iMthXDi2zu5bqn1g/DhWSARTHuQ&#10;aMMTHdpAX3E4W5w1gD/+5o/5hDtFOetJMBW3pGjOzDdLfERtjQaOxjYZxTyf5RS3++4OSIYFvQgn&#10;k0leDGY0NUL3SnJexUYUElZSu4pvR/MunJRLz0Gq1SolkYycCA9242QsHeGKWL4MrwLdGfBATD3C&#10;qCZRvsH9lBtverfaB0I/kRKhPQF5RpwkmLg6P5eo8V//U9b1US9/Ag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nOpr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799BF28D" w14:textId="6EB50906" w:rsidR="00A63B38" w:rsidRPr="00A63B38" w:rsidRDefault="00A63B38" w:rsidP="00A63B38">
                    <w:pPr>
                      <w:spacing w:after="0"/>
                      <w:rPr>
                        <w:rFonts w:ascii="Aptos" w:eastAsia="Aptos" w:hAnsi="Aptos" w:cs="Aptos"/>
                        <w:noProof/>
                        <w:color w:val="0000FF"/>
                        <w:sz w:val="20"/>
                        <w:szCs w:val="20"/>
                      </w:rPr>
                    </w:pPr>
                    <w:r w:rsidRPr="00A63B38">
                      <w:rPr>
                        <w:rFonts w:ascii="Aptos" w:eastAsia="Aptos" w:hAnsi="Aptos" w:cs="Aptos"/>
                        <w:noProof/>
                        <w:color w:val="0000FF"/>
                        <w:sz w:val="20"/>
                        <w:szCs w:val="20"/>
                      </w:rPr>
                      <w:t>OFFICIAL</w:t>
                    </w:r>
                  </w:p>
                </w:txbxContent>
              </v:textbox>
              <w10:wrap anchorx="page" anchory="page"/>
            </v:shape>
          </w:pict>
        </mc:Fallback>
      </mc:AlternateContent>
    </w:r>
    <w:sdt>
      <w:sdtPr>
        <w:rPr>
          <w:rStyle w:val="PageNumber"/>
        </w:rPr>
        <w:id w:val="236994185"/>
        <w:docPartObj>
          <w:docPartGallery w:val="Page Numbers (Bottom of Page)"/>
          <w:docPartUnique/>
        </w:docPartObj>
      </w:sdtPr>
      <w:sdtContent>
        <w:r w:rsidR="00EC6A73">
          <w:rPr>
            <w:rStyle w:val="PageNumber"/>
          </w:rPr>
          <w:fldChar w:fldCharType="begin"/>
        </w:r>
        <w:r w:rsidR="00EC6A73">
          <w:rPr>
            <w:rStyle w:val="PageNumber"/>
          </w:rPr>
          <w:instrText xml:space="preserve"> PAGE </w:instrText>
        </w:r>
        <w:r w:rsidR="00EC6A73">
          <w:rPr>
            <w:rStyle w:val="PageNumber"/>
          </w:rPr>
          <w:fldChar w:fldCharType="separate"/>
        </w:r>
        <w:r w:rsidR="00394103">
          <w:rPr>
            <w:rStyle w:val="PageNumber"/>
            <w:noProof/>
          </w:rPr>
          <w:t>2</w:t>
        </w:r>
        <w:r w:rsidR="00EC6A73">
          <w:rPr>
            <w:rStyle w:val="PageNumber"/>
          </w:rPr>
          <w:fldChar w:fldCharType="end"/>
        </w:r>
      </w:sdtContent>
    </w:sdt>
  </w:p>
  <w:sdt>
    <w:sdtPr>
      <w:rPr>
        <w:rStyle w:val="PageNumber"/>
      </w:rPr>
      <w:id w:val="-1749717889"/>
      <w:docPartObj>
        <w:docPartGallery w:val="Page Numbers (Bottom of Page)"/>
        <w:docPartUnique/>
      </w:docPartObj>
    </w:sdtPr>
    <w:sdtContent>
      <w:p w14:paraId="50D43DD4" w14:textId="770235F4"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394103">
          <w:rPr>
            <w:rStyle w:val="PageNumber"/>
            <w:noProof/>
          </w:rPr>
          <w:t>2</w:t>
        </w:r>
        <w:r>
          <w:rPr>
            <w:rStyle w:val="PageNumber"/>
          </w:rPr>
          <w:fldChar w:fldCharType="end"/>
        </w:r>
      </w:p>
    </w:sdtContent>
  </w:sdt>
  <w:p w14:paraId="7954C27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6C06" w14:textId="3943EFBA" w:rsidR="00917BB1" w:rsidRDefault="00A63B38" w:rsidP="00917BB1">
    <w:pPr>
      <w:pStyle w:val="Footer"/>
      <w:ind w:right="360"/>
    </w:pPr>
    <w:r>
      <w:rPr>
        <w:noProof/>
      </w:rPr>
      <mc:AlternateContent>
        <mc:Choice Requires="wps">
          <w:drawing>
            <wp:anchor distT="0" distB="0" distL="0" distR="0" simplePos="0" relativeHeight="251664389" behindDoc="0" locked="0" layoutInCell="1" allowOverlap="1" wp14:anchorId="7E507BC6" wp14:editId="07FEA6FF">
              <wp:simplePos x="533400" y="9768840"/>
              <wp:positionH relativeFrom="page">
                <wp:align>center</wp:align>
              </wp:positionH>
              <wp:positionV relativeFrom="page">
                <wp:align>bottom</wp:align>
              </wp:positionV>
              <wp:extent cx="518795" cy="422910"/>
              <wp:effectExtent l="0" t="0" r="14605" b="0"/>
              <wp:wrapNone/>
              <wp:docPr id="63880741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29037C97" w14:textId="05CF74B7" w:rsidR="00A63B38" w:rsidRPr="00A63B38" w:rsidRDefault="00A63B38" w:rsidP="00A63B38">
                          <w:pPr>
                            <w:spacing w:after="0"/>
                            <w:rPr>
                              <w:rFonts w:ascii="Aptos" w:eastAsia="Aptos" w:hAnsi="Aptos" w:cs="Aptos"/>
                              <w:noProof/>
                              <w:color w:val="0000FF"/>
                              <w:sz w:val="20"/>
                              <w:szCs w:val="20"/>
                            </w:rPr>
                          </w:pPr>
                          <w:r w:rsidRPr="00A63B38">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507BC6" id="_x0000_t202" coordsize="21600,21600" o:spt="202" path="m,l,21600r21600,l21600,xe">
              <v:stroke joinstyle="miter"/>
              <v:path gradientshapeok="t" o:connecttype="rect"/>
            </v:shapetype>
            <v:shape id="Text Box 14" o:spid="_x0000_s1030" type="#_x0000_t202" alt="OFFICIAL" style="position:absolute;margin-left:0;margin-top:0;width:40.85pt;height:33.3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uQ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" filled="f" stroked="f">
              <v:fill o:detectmouseclick="t"/>
              <v:textbox style="mso-fit-shape-to-text:t" inset="0,0,0,15pt">
                <w:txbxContent>
                  <w:p w14:paraId="29037C97" w14:textId="05CF74B7" w:rsidR="00A63B38" w:rsidRPr="00A63B38" w:rsidRDefault="00A63B38" w:rsidP="00A63B38">
                    <w:pPr>
                      <w:spacing w:after="0"/>
                      <w:rPr>
                        <w:rFonts w:ascii="Aptos" w:eastAsia="Aptos" w:hAnsi="Aptos" w:cs="Aptos"/>
                        <w:noProof/>
                        <w:color w:val="0000FF"/>
                        <w:sz w:val="20"/>
                        <w:szCs w:val="20"/>
                      </w:rPr>
                    </w:pPr>
                    <w:r w:rsidRPr="00A63B38">
                      <w:rPr>
                        <w:rFonts w:ascii="Aptos" w:eastAsia="Aptos" w:hAnsi="Aptos" w:cs="Aptos"/>
                        <w:noProof/>
                        <w:color w:val="0000FF"/>
                        <w:sz w:val="20"/>
                        <w:szCs w:val="20"/>
                      </w:rPr>
                      <w:t>OFFICIAL</w:t>
                    </w:r>
                  </w:p>
                </w:txbxContent>
              </v:textbox>
              <w10:wrap anchorx="page" anchory="page"/>
            </v:shape>
          </w:pict>
        </mc:Fallback>
      </mc:AlternateContent>
    </w:r>
  </w:p>
  <w:sdt>
    <w:sdtPr>
      <w:rPr>
        <w:rStyle w:val="PageNumber"/>
      </w:rPr>
      <w:id w:val="-1560629883"/>
      <w:docPartObj>
        <w:docPartGallery w:val="Page Numbers (Bottom of Page)"/>
        <w:docPartUnique/>
      </w:docPartObj>
    </w:sdtPr>
    <w:sdtContent>
      <w:p w14:paraId="3B24D6B4" w14:textId="77777777" w:rsidR="00EC6A73" w:rsidRDefault="00EC6A73" w:rsidP="00D048D7">
        <w:pPr>
          <w:pStyle w:val="Footer"/>
          <w:framePr w:wrap="none" w:vAnchor="text" w:hAnchor="page" w:x="10955" w:y="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4D9DE6" w14:textId="77777777" w:rsidR="00917BB1" w:rsidRDefault="00917BB1" w:rsidP="00917BB1">
    <w:pPr>
      <w:pStyle w:val="Footer"/>
      <w:ind w:right="360"/>
    </w:pPr>
    <w:r>
      <w:rPr>
        <w:noProof/>
      </w:rPr>
      <w:drawing>
        <wp:inline distT="0" distB="0" distL="0" distR="0" wp14:anchorId="7D7A9B3E" wp14:editId="63A29EBE">
          <wp:extent cx="1007167" cy="265044"/>
          <wp:effectExtent l="0" t="0" r="0" b="1905"/>
          <wp:docPr id="82000910" name="Picture 820009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B965" w14:textId="671A4573" w:rsidR="002369CA" w:rsidRDefault="00A63B38">
    <w:pPr>
      <w:pStyle w:val="Footer"/>
    </w:pPr>
    <w:r>
      <w:rPr>
        <w:noProof/>
      </w:rPr>
      <mc:AlternateContent>
        <mc:Choice Requires="wps">
          <w:drawing>
            <wp:anchor distT="0" distB="0" distL="0" distR="0" simplePos="0" relativeHeight="251662341" behindDoc="0" locked="0" layoutInCell="1" allowOverlap="1" wp14:anchorId="75E73227" wp14:editId="650DE3E8">
              <wp:simplePos x="635" y="635"/>
              <wp:positionH relativeFrom="page">
                <wp:align>center</wp:align>
              </wp:positionH>
              <wp:positionV relativeFrom="page">
                <wp:align>bottom</wp:align>
              </wp:positionV>
              <wp:extent cx="518795" cy="422910"/>
              <wp:effectExtent l="0" t="0" r="14605" b="0"/>
              <wp:wrapNone/>
              <wp:docPr id="193539594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C123817" w14:textId="71FEABE9" w:rsidR="00A63B38" w:rsidRPr="00A63B38" w:rsidRDefault="00A63B38" w:rsidP="00A63B38">
                          <w:pPr>
                            <w:spacing w:after="0"/>
                            <w:rPr>
                              <w:rFonts w:ascii="Aptos" w:eastAsia="Aptos" w:hAnsi="Aptos" w:cs="Aptos"/>
                              <w:noProof/>
                              <w:color w:val="0000FF"/>
                              <w:sz w:val="20"/>
                              <w:szCs w:val="20"/>
                            </w:rPr>
                          </w:pPr>
                          <w:r w:rsidRPr="00A63B38">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E73227" id="_x0000_t202" coordsize="21600,21600" o:spt="202" path="m,l,21600r21600,l21600,xe">
              <v:stroke joinstyle="miter"/>
              <v:path gradientshapeok="t" o:connecttype="rect"/>
            </v:shapetype>
            <v:shape id="Text Box 12" o:spid="_x0000_s1032" type="#_x0000_t202" alt="OFFICIAL" style="position:absolute;margin-left:0;margin-top:0;width:40.85pt;height:33.3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Qd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TYOM02+hPtJSCCe+vZPrllo/CB+eBRLBtAeJ&#10;NjzRoQ30FYezxVkD+ONv/phPuFOUs54EU3FLiubMfLPER9TWaOBobJNRzPNZTnG77+6AZFjQi3Ay&#10;meTFYEZTI3SvJOdVbEQhYSW1q/h2NO/CSbn0HKRarVISyciJ8GA3TsbSEa6I5cvwKtCdAQ/E1COM&#10;ahLlG9xPufGmd6t9IPQTKRHaE5BnxEmCiavzc4ka//U/ZV0f9fInAA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U+0H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4C123817" w14:textId="71FEABE9" w:rsidR="00A63B38" w:rsidRPr="00A63B38" w:rsidRDefault="00A63B38" w:rsidP="00A63B38">
                    <w:pPr>
                      <w:spacing w:after="0"/>
                      <w:rPr>
                        <w:rFonts w:ascii="Aptos" w:eastAsia="Aptos" w:hAnsi="Aptos" w:cs="Aptos"/>
                        <w:noProof/>
                        <w:color w:val="0000FF"/>
                        <w:sz w:val="20"/>
                        <w:szCs w:val="20"/>
                      </w:rPr>
                    </w:pPr>
                    <w:r w:rsidRPr="00A63B38">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E068" w14:textId="77777777" w:rsidR="006654BC" w:rsidRDefault="006654BC" w:rsidP="00660C79">
      <w:pPr>
        <w:spacing w:line="240" w:lineRule="auto"/>
      </w:pPr>
      <w:r>
        <w:separator/>
      </w:r>
    </w:p>
  </w:footnote>
  <w:footnote w:type="continuationSeparator" w:id="0">
    <w:p w14:paraId="51ADAC27" w14:textId="77777777" w:rsidR="006654BC" w:rsidRDefault="006654BC" w:rsidP="00660C79">
      <w:pPr>
        <w:spacing w:line="240" w:lineRule="auto"/>
      </w:pPr>
      <w:r>
        <w:continuationSeparator/>
      </w:r>
    </w:p>
  </w:footnote>
  <w:footnote w:type="continuationNotice" w:id="1">
    <w:p w14:paraId="63D57D52" w14:textId="77777777" w:rsidR="006654BC" w:rsidRDefault="006654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0F41" w14:textId="25675DFC" w:rsidR="00D804A9" w:rsidRDefault="00A63B38">
    <w:pPr>
      <w:pStyle w:val="Header"/>
    </w:pPr>
    <w:r>
      <w:rPr>
        <w:noProof/>
      </w:rPr>
      <mc:AlternateContent>
        <mc:Choice Requires="wps">
          <w:drawing>
            <wp:anchor distT="0" distB="0" distL="0" distR="0" simplePos="0" relativeHeight="251660293" behindDoc="0" locked="0" layoutInCell="1" allowOverlap="1" wp14:anchorId="098D5455" wp14:editId="46899C71">
              <wp:simplePos x="635" y="635"/>
              <wp:positionH relativeFrom="page">
                <wp:align>center</wp:align>
              </wp:positionH>
              <wp:positionV relativeFrom="page">
                <wp:align>top</wp:align>
              </wp:positionV>
              <wp:extent cx="518795" cy="422910"/>
              <wp:effectExtent l="0" t="0" r="14605" b="15240"/>
              <wp:wrapNone/>
              <wp:docPr id="81641036"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3D0457F4" w14:textId="6AAF12AA" w:rsidR="00A63B38" w:rsidRPr="00A63B38" w:rsidRDefault="00A63B38" w:rsidP="00A63B38">
                          <w:pPr>
                            <w:spacing w:after="0"/>
                            <w:rPr>
                              <w:rFonts w:ascii="Aptos" w:eastAsia="Aptos" w:hAnsi="Aptos" w:cs="Aptos"/>
                              <w:noProof/>
                              <w:color w:val="0000FF"/>
                              <w:sz w:val="20"/>
                              <w:szCs w:val="20"/>
                            </w:rPr>
                          </w:pPr>
                          <w:r w:rsidRPr="00A63B38">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8D5455" id="_x0000_t202" coordsize="21600,21600" o:spt="202" path="m,l,21600r21600,l21600,xe">
              <v:stroke joinstyle="miter"/>
              <v:path gradientshapeok="t" o:connecttype="rect"/>
            </v:shapetype>
            <v:shape id="Text Box 10" o:spid="_x0000_s1027" type="#_x0000_t202" alt="OFFICIAL" style="position:absolute;margin-left:0;margin-top:0;width:40.85pt;height:33.3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" filled="f" stroked="f">
              <v:fill o:detectmouseclick="t"/>
              <v:textbox style="mso-fit-shape-to-text:t" inset="0,15pt,0,0">
                <w:txbxContent>
                  <w:p w14:paraId="3D0457F4" w14:textId="6AAF12AA" w:rsidR="00A63B38" w:rsidRPr="00A63B38" w:rsidRDefault="00A63B38" w:rsidP="00A63B38">
                    <w:pPr>
                      <w:spacing w:after="0"/>
                      <w:rPr>
                        <w:rFonts w:ascii="Aptos" w:eastAsia="Aptos" w:hAnsi="Aptos" w:cs="Aptos"/>
                        <w:noProof/>
                        <w:color w:val="0000FF"/>
                        <w:sz w:val="20"/>
                        <w:szCs w:val="20"/>
                      </w:rPr>
                    </w:pPr>
                    <w:r w:rsidRPr="00A63B38">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EE3C" w14:textId="3F5DFB33" w:rsidR="00114EA4" w:rsidRDefault="00A63B38" w:rsidP="006D4F45">
    <w:pPr>
      <w:pStyle w:val="BodyText1"/>
      <w:jc w:val="right"/>
    </w:pPr>
    <w:r>
      <w:rPr>
        <w:noProof/>
      </w:rPr>
      <mc:AlternateContent>
        <mc:Choice Requires="wps">
          <w:drawing>
            <wp:anchor distT="0" distB="0" distL="0" distR="0" simplePos="0" relativeHeight="251661317" behindDoc="0" locked="0" layoutInCell="1" allowOverlap="1" wp14:anchorId="137A9D69" wp14:editId="199DAA51">
              <wp:simplePos x="533400" y="502920"/>
              <wp:positionH relativeFrom="page">
                <wp:align>center</wp:align>
              </wp:positionH>
              <wp:positionV relativeFrom="page">
                <wp:align>top</wp:align>
              </wp:positionV>
              <wp:extent cx="518795" cy="422910"/>
              <wp:effectExtent l="0" t="0" r="14605" b="15240"/>
              <wp:wrapNone/>
              <wp:docPr id="1191899548"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21B0F6F8" w14:textId="1CFF5340" w:rsidR="00A63B38" w:rsidRPr="00A63B38" w:rsidRDefault="00A63B38" w:rsidP="00A63B38">
                          <w:pPr>
                            <w:spacing w:after="0"/>
                            <w:rPr>
                              <w:rFonts w:ascii="Aptos" w:eastAsia="Aptos" w:hAnsi="Aptos" w:cs="Aptos"/>
                              <w:noProof/>
                              <w:color w:val="0000FF"/>
                              <w:sz w:val="20"/>
                              <w:szCs w:val="20"/>
                            </w:rPr>
                          </w:pPr>
                          <w:r w:rsidRPr="00A63B38">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7A9D69" id="_x0000_t202" coordsize="21600,21600" o:spt="202" path="m,l,21600r21600,l21600,xe">
              <v:stroke joinstyle="miter"/>
              <v:path gradientshapeok="t" o:connecttype="rect"/>
            </v:shapetype>
            <v:shape id="Text Box 11" o:spid="_x0000_s1028" type="#_x0000_t202" alt="OFFICIAL" style="position:absolute;left:0;text-align:left;margin-left:0;margin-top:0;width:40.85pt;height:33.3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" filled="f" stroked="f">
              <v:fill o:detectmouseclick="t"/>
              <v:textbox style="mso-fit-shape-to-text:t" inset="0,15pt,0,0">
                <w:txbxContent>
                  <w:p w14:paraId="21B0F6F8" w14:textId="1CFF5340" w:rsidR="00A63B38" w:rsidRPr="00A63B38" w:rsidRDefault="00A63B38" w:rsidP="00A63B38">
                    <w:pPr>
                      <w:spacing w:after="0"/>
                      <w:rPr>
                        <w:rFonts w:ascii="Aptos" w:eastAsia="Aptos" w:hAnsi="Aptos" w:cs="Aptos"/>
                        <w:noProof/>
                        <w:color w:val="0000FF"/>
                        <w:sz w:val="20"/>
                        <w:szCs w:val="20"/>
                      </w:rPr>
                    </w:pPr>
                    <w:r w:rsidRPr="00A63B38">
                      <w:rPr>
                        <w:rFonts w:ascii="Aptos" w:eastAsia="Aptos" w:hAnsi="Aptos" w:cs="Aptos"/>
                        <w:noProof/>
                        <w:color w:val="0000FF"/>
                        <w:sz w:val="20"/>
                        <w:szCs w:val="20"/>
                      </w:rPr>
                      <w:t>OFFICIAL</w:t>
                    </w:r>
                  </w:p>
                </w:txbxContent>
              </v:textbox>
              <w10:wrap anchorx="page" anchory="page"/>
            </v:shape>
          </w:pict>
        </mc:Fallback>
      </mc:AlternateContent>
    </w:r>
    <w:r w:rsidR="006D4F45">
      <w:t>SEPA</w:t>
    </w:r>
    <w:r w:rsidR="006D4F45" w:rsidRPr="007906F3">
      <w:t xml:space="preserve"> </w:t>
    </w:r>
    <w:r w:rsidR="002E6C52">
      <w:t>26-27/007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D6EE" w14:textId="79A21FB7" w:rsidR="002369CA" w:rsidRDefault="00A63B38" w:rsidP="00D61975">
    <w:pPr>
      <w:pStyle w:val="BodyText1"/>
      <w:jc w:val="right"/>
    </w:pPr>
    <w:r>
      <w:rPr>
        <w:noProof/>
      </w:rPr>
      <mc:AlternateContent>
        <mc:Choice Requires="wps">
          <w:drawing>
            <wp:anchor distT="0" distB="0" distL="0" distR="0" simplePos="0" relativeHeight="251659269" behindDoc="0" locked="0" layoutInCell="1" allowOverlap="1" wp14:anchorId="5BA7B407" wp14:editId="7E3D3EA5">
              <wp:simplePos x="635" y="635"/>
              <wp:positionH relativeFrom="page">
                <wp:align>center</wp:align>
              </wp:positionH>
              <wp:positionV relativeFrom="page">
                <wp:align>top</wp:align>
              </wp:positionV>
              <wp:extent cx="518795" cy="422910"/>
              <wp:effectExtent l="0" t="0" r="14605" b="15240"/>
              <wp:wrapNone/>
              <wp:docPr id="212707940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13B98DCF" w14:textId="5081F7AB" w:rsidR="00A63B38" w:rsidRPr="00A63B38" w:rsidRDefault="00A63B38" w:rsidP="00A63B38">
                          <w:pPr>
                            <w:spacing w:after="0"/>
                            <w:rPr>
                              <w:rFonts w:ascii="Aptos" w:eastAsia="Aptos" w:hAnsi="Aptos" w:cs="Aptos"/>
                              <w:noProof/>
                              <w:color w:val="0000FF"/>
                              <w:sz w:val="20"/>
                              <w:szCs w:val="20"/>
                            </w:rPr>
                          </w:pPr>
                          <w:r w:rsidRPr="00A63B38">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A7B407" id="_x0000_t202" coordsize="21600,21600" o:spt="202" path="m,l,21600r21600,l21600,xe">
              <v:stroke joinstyle="miter"/>
              <v:path gradientshapeok="t" o:connecttype="rect"/>
            </v:shapetype>
            <v:shape id="Text Box 9" o:spid="_x0000_s1031" type="#_x0000_t202" alt="OFFICIAL" style="position:absolute;left:0;text-align:left;margin-left:0;margin-top:0;width:40.85pt;height:33.3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" filled="f" stroked="f">
              <v:fill o:detectmouseclick="t"/>
              <v:textbox style="mso-fit-shape-to-text:t" inset="0,15pt,0,0">
                <w:txbxContent>
                  <w:p w14:paraId="13B98DCF" w14:textId="5081F7AB" w:rsidR="00A63B38" w:rsidRPr="00A63B38" w:rsidRDefault="00A63B38" w:rsidP="00A63B38">
                    <w:pPr>
                      <w:spacing w:after="0"/>
                      <w:rPr>
                        <w:rFonts w:ascii="Aptos" w:eastAsia="Aptos" w:hAnsi="Aptos" w:cs="Aptos"/>
                        <w:noProof/>
                        <w:color w:val="0000FF"/>
                        <w:sz w:val="20"/>
                        <w:szCs w:val="20"/>
                      </w:rPr>
                    </w:pPr>
                    <w:r w:rsidRPr="00A63B38">
                      <w:rPr>
                        <w:rFonts w:ascii="Aptos" w:eastAsia="Aptos" w:hAnsi="Aptos" w:cs="Aptos"/>
                        <w:noProof/>
                        <w:color w:val="0000FF"/>
                        <w:sz w:val="20"/>
                        <w:szCs w:val="20"/>
                      </w:rPr>
                      <w:t>OFFICIAL</w:t>
                    </w:r>
                  </w:p>
                </w:txbxContent>
              </v:textbox>
              <w10:wrap anchorx="page" anchory="page"/>
            </v:shape>
          </w:pict>
        </mc:Fallback>
      </mc:AlternateContent>
    </w:r>
    <w:r w:rsidR="00D61975">
      <w:tab/>
    </w:r>
    <w:r w:rsidR="00D61975">
      <w:tab/>
    </w:r>
    <w:r w:rsidR="00D61975">
      <w:tab/>
    </w:r>
    <w:r w:rsidR="00D61975">
      <w:tab/>
    </w:r>
    <w:r w:rsidR="00D61975" w:rsidRPr="007906F3">
      <w:t>SEPA/ARC/PRC/</w:t>
    </w:r>
    <w:proofErr w:type="gramStart"/>
    <w:r w:rsidR="00D61975" w:rsidRPr="007906F3">
      <w:t>CLT  XX</w:t>
    </w:r>
    <w:proofErr w:type="gramEnd"/>
    <w:r w:rsidR="00D61975" w:rsidRPr="007906F3">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24B3E"/>
    <w:multiLevelType w:val="multilevel"/>
    <w:tmpl w:val="F85A2D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C12ACF"/>
    <w:multiLevelType w:val="multilevel"/>
    <w:tmpl w:val="8F60E4A6"/>
    <w:lvl w:ilvl="0">
      <w:start w:val="1"/>
      <w:numFmt w:val="decimal"/>
      <w:lvlText w:val="%1."/>
      <w:lvlJc w:val="left"/>
      <w:pPr>
        <w:ind w:left="360" w:hanging="360"/>
      </w:pPr>
    </w:lvl>
    <w:lvl w:ilvl="1">
      <w:start w:val="1"/>
      <w:numFmt w:val="decimal"/>
      <w:lvlText w:val="3.%2 "/>
      <w:lvlJc w:val="left"/>
      <w:pPr>
        <w:ind w:left="785" w:hanging="360"/>
      </w:pPr>
      <w:rPr>
        <w:rFonts w:ascii="Arial" w:hAnsi="Arial" w:hint="default"/>
        <w:b w:val="0"/>
        <w:i w:val="0"/>
        <w:sz w:val="24"/>
        <w:szCs w:val="24"/>
        <w:u w:val="none"/>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B1D98"/>
    <w:multiLevelType w:val="multilevel"/>
    <w:tmpl w:val="372A8D18"/>
    <w:lvl w:ilvl="0">
      <w:start w:val="1"/>
      <w:numFmt w:val="decimal"/>
      <w:lvlText w:val="%1."/>
      <w:lvlJc w:val="left"/>
      <w:pPr>
        <w:ind w:left="360" w:hanging="360"/>
      </w:pPr>
    </w:lvl>
    <w:lvl w:ilvl="1">
      <w:start w:val="1"/>
      <w:numFmt w:val="decimal"/>
      <w:lvlText w:val="2.%2 "/>
      <w:lvlJc w:val="left"/>
      <w:pPr>
        <w:ind w:left="720" w:hanging="360"/>
      </w:pPr>
      <w:rPr>
        <w:rFonts w:ascii="Arial" w:hAnsi="Arial" w:hint="default"/>
        <w:b w:val="0"/>
        <w:i w:val="0"/>
        <w:color w:val="3C4741" w:themeColor="text1"/>
        <w:sz w:val="24"/>
        <w:szCs w:val="24"/>
        <w:u w:val="none"/>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71754F"/>
    <w:multiLevelType w:val="multilevel"/>
    <w:tmpl w:val="6652C1E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F5822A5"/>
    <w:multiLevelType w:val="multilevel"/>
    <w:tmpl w:val="F85A2D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F41B8E"/>
    <w:multiLevelType w:val="hybridMultilevel"/>
    <w:tmpl w:val="E38E82EA"/>
    <w:lvl w:ilvl="0" w:tplc="08090001">
      <w:start w:val="1"/>
      <w:numFmt w:val="bullet"/>
      <w:lvlText w:val=""/>
      <w:lvlJc w:val="left"/>
      <w:pPr>
        <w:ind w:left="1778" w:hanging="360"/>
      </w:pPr>
      <w:rPr>
        <w:rFonts w:ascii="Symbol" w:hAnsi="Symbol" w:hint="default"/>
      </w:rPr>
    </w:lvl>
    <w:lvl w:ilvl="1" w:tplc="08090013">
      <w:start w:val="1"/>
      <w:numFmt w:val="upperRoman"/>
      <w:lvlText w:val="%2."/>
      <w:lvlJc w:val="right"/>
      <w:pPr>
        <w:ind w:left="1440" w:hanging="360"/>
      </w:p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E4223A"/>
    <w:multiLevelType w:val="multilevel"/>
    <w:tmpl w:val="F85A2D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5A4530"/>
    <w:multiLevelType w:val="multilevel"/>
    <w:tmpl w:val="36B65F4E"/>
    <w:lvl w:ilvl="0">
      <w:start w:val="1"/>
      <w:numFmt w:val="decimal"/>
      <w:lvlText w:val="%1."/>
      <w:lvlJc w:val="left"/>
      <w:pPr>
        <w:ind w:left="360" w:hanging="360"/>
      </w:pPr>
      <w:rPr>
        <w:rFonts w:hint="default"/>
        <w:color w:val="auto"/>
      </w:rPr>
    </w:lvl>
    <w:lvl w:ilvl="1">
      <w:start w:val="1"/>
      <w:numFmt w:val="decimal"/>
      <w:lvlText w:val="%1.%2."/>
      <w:lvlJc w:val="left"/>
      <w:pPr>
        <w:ind w:left="858" w:hanging="432"/>
      </w:pPr>
      <w:rPr>
        <w:rFonts w:hint="default"/>
        <w:b w:val="0"/>
        <w:bCs w:val="0"/>
        <w:color w:val="auto"/>
        <w:sz w:val="24"/>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9135B18"/>
    <w:multiLevelType w:val="multilevel"/>
    <w:tmpl w:val="C03446B8"/>
    <w:lvl w:ilvl="0">
      <w:start w:val="1"/>
      <w:numFmt w:val="decimal"/>
      <w:lvlText w:val="%1."/>
      <w:lvlJc w:val="left"/>
      <w:pPr>
        <w:ind w:left="360" w:hanging="360"/>
      </w:pPr>
      <w:rPr>
        <w:rFonts w:hint="default"/>
      </w:rPr>
    </w:lvl>
    <w:lvl w:ilvl="1">
      <w:start w:val="1"/>
      <w:numFmt w:val="decimal"/>
      <w:lvlText w:val="4.%2 "/>
      <w:lvlJc w:val="left"/>
      <w:pPr>
        <w:ind w:left="720" w:hanging="360"/>
      </w:pPr>
      <w:rPr>
        <w:rFonts w:ascii="Arial" w:hAnsi="Arial" w:hint="default"/>
        <w:b w:val="0"/>
        <w:i w:val="0"/>
        <w:sz w:val="24"/>
        <w:szCs w:val="24"/>
        <w:u w:val="none"/>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E367A4"/>
    <w:multiLevelType w:val="multilevel"/>
    <w:tmpl w:val="7792B0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1A48AE"/>
    <w:multiLevelType w:val="hybridMultilevel"/>
    <w:tmpl w:val="C8FCF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350CC"/>
    <w:multiLevelType w:val="hybridMultilevel"/>
    <w:tmpl w:val="CF188930"/>
    <w:lvl w:ilvl="0" w:tplc="47944ED4">
      <w:start w:val="1"/>
      <w:numFmt w:val="decimal"/>
      <w:lvlText w:val="%1."/>
      <w:lvlJc w:val="left"/>
      <w:pPr>
        <w:ind w:left="720" w:hanging="360"/>
      </w:pPr>
      <w:rPr>
        <w:rFonts w:ascii="Arial Bold" w:hAnsi="Arial Bold" w:hint="default"/>
        <w:b/>
        <w:i w:val="0"/>
        <w:color w:val="auto"/>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A32AAE"/>
    <w:multiLevelType w:val="hybridMultilevel"/>
    <w:tmpl w:val="DCDA42E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F2858B8"/>
    <w:multiLevelType w:val="multilevel"/>
    <w:tmpl w:val="8BBAC2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643D6B"/>
    <w:multiLevelType w:val="multilevel"/>
    <w:tmpl w:val="61C8A7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48689F"/>
    <w:multiLevelType w:val="multilevel"/>
    <w:tmpl w:val="C7442D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9A0C84"/>
    <w:multiLevelType w:val="hybridMultilevel"/>
    <w:tmpl w:val="7902D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DE68E0"/>
    <w:multiLevelType w:val="multilevel"/>
    <w:tmpl w:val="671C091C"/>
    <w:lvl w:ilvl="0">
      <w:start w:val="1"/>
      <w:numFmt w:val="decimal"/>
      <w:lvlText w:val="%1."/>
      <w:lvlJc w:val="left"/>
      <w:pPr>
        <w:ind w:left="720" w:hanging="360"/>
      </w:pPr>
      <w:rPr>
        <w:rFonts w:hint="default"/>
        <w:b/>
        <w:i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77915854">
    <w:abstractNumId w:val="7"/>
  </w:num>
  <w:num w:numId="2" w16cid:durableId="194541437">
    <w:abstractNumId w:val="10"/>
  </w:num>
  <w:num w:numId="3" w16cid:durableId="55714132">
    <w:abstractNumId w:val="11"/>
  </w:num>
  <w:num w:numId="4" w16cid:durableId="282660628">
    <w:abstractNumId w:val="2"/>
  </w:num>
  <w:num w:numId="5" w16cid:durableId="108819230">
    <w:abstractNumId w:val="14"/>
  </w:num>
  <w:num w:numId="6" w16cid:durableId="190805060">
    <w:abstractNumId w:val="5"/>
  </w:num>
  <w:num w:numId="7" w16cid:durableId="2053458780">
    <w:abstractNumId w:val="1"/>
  </w:num>
  <w:num w:numId="8" w16cid:durableId="1060597974">
    <w:abstractNumId w:val="3"/>
  </w:num>
  <w:num w:numId="9" w16cid:durableId="1887913893">
    <w:abstractNumId w:val="8"/>
  </w:num>
  <w:num w:numId="10" w16cid:durableId="266159886">
    <w:abstractNumId w:val="15"/>
  </w:num>
  <w:num w:numId="11" w16cid:durableId="1438599368">
    <w:abstractNumId w:val="17"/>
  </w:num>
  <w:num w:numId="12" w16cid:durableId="1161890140">
    <w:abstractNumId w:val="13"/>
  </w:num>
  <w:num w:numId="13" w16cid:durableId="1456020787">
    <w:abstractNumId w:val="9"/>
  </w:num>
  <w:num w:numId="14" w16cid:durableId="945577495">
    <w:abstractNumId w:val="16"/>
  </w:num>
  <w:num w:numId="15" w16cid:durableId="259997328">
    <w:abstractNumId w:val="12"/>
  </w:num>
  <w:num w:numId="16" w16cid:durableId="383218061">
    <w:abstractNumId w:val="0"/>
  </w:num>
  <w:num w:numId="17" w16cid:durableId="1435711878">
    <w:abstractNumId w:val="6"/>
  </w:num>
  <w:num w:numId="18" w16cid:durableId="103981841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FA"/>
    <w:rsid w:val="00001EBE"/>
    <w:rsid w:val="000028A2"/>
    <w:rsid w:val="00004ED5"/>
    <w:rsid w:val="000103AB"/>
    <w:rsid w:val="00012804"/>
    <w:rsid w:val="000145FE"/>
    <w:rsid w:val="000149A4"/>
    <w:rsid w:val="000158F2"/>
    <w:rsid w:val="000211FA"/>
    <w:rsid w:val="000238A1"/>
    <w:rsid w:val="00026F13"/>
    <w:rsid w:val="00032829"/>
    <w:rsid w:val="00040561"/>
    <w:rsid w:val="0004131E"/>
    <w:rsid w:val="000453FA"/>
    <w:rsid w:val="0004549E"/>
    <w:rsid w:val="00046F28"/>
    <w:rsid w:val="00046FE5"/>
    <w:rsid w:val="00050B5B"/>
    <w:rsid w:val="00050D0D"/>
    <w:rsid w:val="000528CA"/>
    <w:rsid w:val="000535D5"/>
    <w:rsid w:val="0005400B"/>
    <w:rsid w:val="00054532"/>
    <w:rsid w:val="00054823"/>
    <w:rsid w:val="00054C60"/>
    <w:rsid w:val="000561D2"/>
    <w:rsid w:val="00056E36"/>
    <w:rsid w:val="00061A81"/>
    <w:rsid w:val="000632C4"/>
    <w:rsid w:val="000677D7"/>
    <w:rsid w:val="00070937"/>
    <w:rsid w:val="00082F40"/>
    <w:rsid w:val="00093BF0"/>
    <w:rsid w:val="00097EB2"/>
    <w:rsid w:val="000A115D"/>
    <w:rsid w:val="000A200D"/>
    <w:rsid w:val="000A4107"/>
    <w:rsid w:val="000A4F02"/>
    <w:rsid w:val="000B1677"/>
    <w:rsid w:val="000B2606"/>
    <w:rsid w:val="000B42DD"/>
    <w:rsid w:val="000B487E"/>
    <w:rsid w:val="000B4D5C"/>
    <w:rsid w:val="000B5E85"/>
    <w:rsid w:val="000B7559"/>
    <w:rsid w:val="000C40DE"/>
    <w:rsid w:val="000C610F"/>
    <w:rsid w:val="000C736E"/>
    <w:rsid w:val="000D42ED"/>
    <w:rsid w:val="000E0D15"/>
    <w:rsid w:val="000E4665"/>
    <w:rsid w:val="000E46F2"/>
    <w:rsid w:val="000F38A7"/>
    <w:rsid w:val="000F59C5"/>
    <w:rsid w:val="00100778"/>
    <w:rsid w:val="00100A57"/>
    <w:rsid w:val="00100C85"/>
    <w:rsid w:val="001042C5"/>
    <w:rsid w:val="001047CB"/>
    <w:rsid w:val="00105F31"/>
    <w:rsid w:val="00106C1A"/>
    <w:rsid w:val="001101DF"/>
    <w:rsid w:val="0011153B"/>
    <w:rsid w:val="00113828"/>
    <w:rsid w:val="001142DD"/>
    <w:rsid w:val="0011450E"/>
    <w:rsid w:val="00114EA4"/>
    <w:rsid w:val="00116268"/>
    <w:rsid w:val="00117D1E"/>
    <w:rsid w:val="001223EC"/>
    <w:rsid w:val="00126E64"/>
    <w:rsid w:val="00131F23"/>
    <w:rsid w:val="00134244"/>
    <w:rsid w:val="00136626"/>
    <w:rsid w:val="00137780"/>
    <w:rsid w:val="00140C6E"/>
    <w:rsid w:val="00142AB9"/>
    <w:rsid w:val="00142CBE"/>
    <w:rsid w:val="00145980"/>
    <w:rsid w:val="0015789D"/>
    <w:rsid w:val="001629DA"/>
    <w:rsid w:val="001674F9"/>
    <w:rsid w:val="001723F3"/>
    <w:rsid w:val="001728F1"/>
    <w:rsid w:val="00173E04"/>
    <w:rsid w:val="00175B82"/>
    <w:rsid w:val="001774FA"/>
    <w:rsid w:val="001813BF"/>
    <w:rsid w:val="001846F6"/>
    <w:rsid w:val="001861B8"/>
    <w:rsid w:val="001863C8"/>
    <w:rsid w:val="00193AC2"/>
    <w:rsid w:val="001945CB"/>
    <w:rsid w:val="001A0833"/>
    <w:rsid w:val="001A104D"/>
    <w:rsid w:val="001A26E6"/>
    <w:rsid w:val="001A718B"/>
    <w:rsid w:val="001B0571"/>
    <w:rsid w:val="001B063A"/>
    <w:rsid w:val="001B4487"/>
    <w:rsid w:val="001B507E"/>
    <w:rsid w:val="001B687E"/>
    <w:rsid w:val="001B6CAA"/>
    <w:rsid w:val="001C5AD6"/>
    <w:rsid w:val="001C5ADD"/>
    <w:rsid w:val="001C5EF7"/>
    <w:rsid w:val="001C6F53"/>
    <w:rsid w:val="001D0BE1"/>
    <w:rsid w:val="001D2E12"/>
    <w:rsid w:val="001D74E0"/>
    <w:rsid w:val="001E1105"/>
    <w:rsid w:val="001E1116"/>
    <w:rsid w:val="001E2241"/>
    <w:rsid w:val="001E4288"/>
    <w:rsid w:val="001E43C9"/>
    <w:rsid w:val="001E78B0"/>
    <w:rsid w:val="001F1233"/>
    <w:rsid w:val="001F436D"/>
    <w:rsid w:val="00200FD2"/>
    <w:rsid w:val="002016EE"/>
    <w:rsid w:val="00211B0B"/>
    <w:rsid w:val="002154A7"/>
    <w:rsid w:val="00215B81"/>
    <w:rsid w:val="00215F69"/>
    <w:rsid w:val="00216206"/>
    <w:rsid w:val="002209B0"/>
    <w:rsid w:val="0022203B"/>
    <w:rsid w:val="002220E0"/>
    <w:rsid w:val="00222CF5"/>
    <w:rsid w:val="00224CBA"/>
    <w:rsid w:val="00225D55"/>
    <w:rsid w:val="00226B73"/>
    <w:rsid w:val="00230F6A"/>
    <w:rsid w:val="00232F14"/>
    <w:rsid w:val="00236552"/>
    <w:rsid w:val="002369CA"/>
    <w:rsid w:val="002428A5"/>
    <w:rsid w:val="00244AA5"/>
    <w:rsid w:val="00245CDD"/>
    <w:rsid w:val="00253CE3"/>
    <w:rsid w:val="00254497"/>
    <w:rsid w:val="00254D6A"/>
    <w:rsid w:val="00255F82"/>
    <w:rsid w:val="0026185B"/>
    <w:rsid w:val="00267ACF"/>
    <w:rsid w:val="002707FF"/>
    <w:rsid w:val="00270AEB"/>
    <w:rsid w:val="00271E3B"/>
    <w:rsid w:val="00272C22"/>
    <w:rsid w:val="00273089"/>
    <w:rsid w:val="002811DE"/>
    <w:rsid w:val="00281BB1"/>
    <w:rsid w:val="002848B3"/>
    <w:rsid w:val="0028595F"/>
    <w:rsid w:val="00291622"/>
    <w:rsid w:val="002A1E37"/>
    <w:rsid w:val="002A2AF8"/>
    <w:rsid w:val="002A2FF6"/>
    <w:rsid w:val="002A67E8"/>
    <w:rsid w:val="002A685F"/>
    <w:rsid w:val="002B17CF"/>
    <w:rsid w:val="002B238A"/>
    <w:rsid w:val="002B69AD"/>
    <w:rsid w:val="002B7590"/>
    <w:rsid w:val="002C0C40"/>
    <w:rsid w:val="002C1B22"/>
    <w:rsid w:val="002C1F47"/>
    <w:rsid w:val="002C37CE"/>
    <w:rsid w:val="002C59C1"/>
    <w:rsid w:val="002C6AB9"/>
    <w:rsid w:val="002C7710"/>
    <w:rsid w:val="002C7A28"/>
    <w:rsid w:val="002D0B98"/>
    <w:rsid w:val="002D2AF6"/>
    <w:rsid w:val="002D2F6E"/>
    <w:rsid w:val="002D46A5"/>
    <w:rsid w:val="002D4C64"/>
    <w:rsid w:val="002D4FF3"/>
    <w:rsid w:val="002D6158"/>
    <w:rsid w:val="002D7B91"/>
    <w:rsid w:val="002E1B57"/>
    <w:rsid w:val="002E34D7"/>
    <w:rsid w:val="002E51AD"/>
    <w:rsid w:val="002E6C52"/>
    <w:rsid w:val="002F28BC"/>
    <w:rsid w:val="002F2AA3"/>
    <w:rsid w:val="002F4D17"/>
    <w:rsid w:val="002F5D61"/>
    <w:rsid w:val="002F7F3A"/>
    <w:rsid w:val="0030096D"/>
    <w:rsid w:val="00302825"/>
    <w:rsid w:val="0030479F"/>
    <w:rsid w:val="0030681A"/>
    <w:rsid w:val="0031080B"/>
    <w:rsid w:val="003165EF"/>
    <w:rsid w:val="00317618"/>
    <w:rsid w:val="00323468"/>
    <w:rsid w:val="00325EBE"/>
    <w:rsid w:val="003326AD"/>
    <w:rsid w:val="00332B11"/>
    <w:rsid w:val="003340C3"/>
    <w:rsid w:val="00341E22"/>
    <w:rsid w:val="003420DC"/>
    <w:rsid w:val="00342A41"/>
    <w:rsid w:val="003433F3"/>
    <w:rsid w:val="00343453"/>
    <w:rsid w:val="0034501F"/>
    <w:rsid w:val="0034780A"/>
    <w:rsid w:val="00360855"/>
    <w:rsid w:val="003619A1"/>
    <w:rsid w:val="00361AFC"/>
    <w:rsid w:val="00370EA1"/>
    <w:rsid w:val="0037304B"/>
    <w:rsid w:val="00374882"/>
    <w:rsid w:val="00381202"/>
    <w:rsid w:val="0038382D"/>
    <w:rsid w:val="003854D3"/>
    <w:rsid w:val="00392B3D"/>
    <w:rsid w:val="00394103"/>
    <w:rsid w:val="00396ACD"/>
    <w:rsid w:val="00397FED"/>
    <w:rsid w:val="003A2F82"/>
    <w:rsid w:val="003A72C3"/>
    <w:rsid w:val="003B21C5"/>
    <w:rsid w:val="003B78A4"/>
    <w:rsid w:val="003C328B"/>
    <w:rsid w:val="003D0C59"/>
    <w:rsid w:val="003D16A2"/>
    <w:rsid w:val="003D214E"/>
    <w:rsid w:val="003D236C"/>
    <w:rsid w:val="003D362E"/>
    <w:rsid w:val="003D4485"/>
    <w:rsid w:val="003D4587"/>
    <w:rsid w:val="003D5181"/>
    <w:rsid w:val="003E6B34"/>
    <w:rsid w:val="003E6C88"/>
    <w:rsid w:val="003F14F4"/>
    <w:rsid w:val="003F32AF"/>
    <w:rsid w:val="003F5384"/>
    <w:rsid w:val="004003DF"/>
    <w:rsid w:val="00401DA0"/>
    <w:rsid w:val="0040290E"/>
    <w:rsid w:val="0040492B"/>
    <w:rsid w:val="0040510D"/>
    <w:rsid w:val="00407156"/>
    <w:rsid w:val="004073BC"/>
    <w:rsid w:val="00411B57"/>
    <w:rsid w:val="00412609"/>
    <w:rsid w:val="00413590"/>
    <w:rsid w:val="00415755"/>
    <w:rsid w:val="00417167"/>
    <w:rsid w:val="004258BC"/>
    <w:rsid w:val="00427A68"/>
    <w:rsid w:val="00430DCA"/>
    <w:rsid w:val="00436852"/>
    <w:rsid w:val="00436C80"/>
    <w:rsid w:val="00437F7B"/>
    <w:rsid w:val="00442BB7"/>
    <w:rsid w:val="00443A6C"/>
    <w:rsid w:val="00443C5B"/>
    <w:rsid w:val="00443F5E"/>
    <w:rsid w:val="00444AA1"/>
    <w:rsid w:val="00444CD6"/>
    <w:rsid w:val="0044605D"/>
    <w:rsid w:val="004461B6"/>
    <w:rsid w:val="00452605"/>
    <w:rsid w:val="004543D1"/>
    <w:rsid w:val="00456309"/>
    <w:rsid w:val="004607A8"/>
    <w:rsid w:val="0046080F"/>
    <w:rsid w:val="0046472F"/>
    <w:rsid w:val="00466D27"/>
    <w:rsid w:val="00467FC2"/>
    <w:rsid w:val="00476999"/>
    <w:rsid w:val="00476F79"/>
    <w:rsid w:val="00481F06"/>
    <w:rsid w:val="004830CE"/>
    <w:rsid w:val="00484D97"/>
    <w:rsid w:val="0049099B"/>
    <w:rsid w:val="0049700C"/>
    <w:rsid w:val="004A1369"/>
    <w:rsid w:val="004A28CD"/>
    <w:rsid w:val="004A4E53"/>
    <w:rsid w:val="004A4E88"/>
    <w:rsid w:val="004A6660"/>
    <w:rsid w:val="004B3D6A"/>
    <w:rsid w:val="004B4252"/>
    <w:rsid w:val="004B4491"/>
    <w:rsid w:val="004B6BF5"/>
    <w:rsid w:val="004B7A05"/>
    <w:rsid w:val="004C0807"/>
    <w:rsid w:val="004C1117"/>
    <w:rsid w:val="004C5737"/>
    <w:rsid w:val="004C6884"/>
    <w:rsid w:val="004C6C0D"/>
    <w:rsid w:val="004D3B82"/>
    <w:rsid w:val="004D6A54"/>
    <w:rsid w:val="004D6DB1"/>
    <w:rsid w:val="004D7F8B"/>
    <w:rsid w:val="004E0229"/>
    <w:rsid w:val="004E65D2"/>
    <w:rsid w:val="004E6946"/>
    <w:rsid w:val="004F042E"/>
    <w:rsid w:val="004F3231"/>
    <w:rsid w:val="004F5080"/>
    <w:rsid w:val="004F727A"/>
    <w:rsid w:val="005001E1"/>
    <w:rsid w:val="00502D3D"/>
    <w:rsid w:val="00503752"/>
    <w:rsid w:val="005046BE"/>
    <w:rsid w:val="00504EC7"/>
    <w:rsid w:val="0051442A"/>
    <w:rsid w:val="00514A60"/>
    <w:rsid w:val="00516DF7"/>
    <w:rsid w:val="00517794"/>
    <w:rsid w:val="00517AF8"/>
    <w:rsid w:val="00520E41"/>
    <w:rsid w:val="00524DD4"/>
    <w:rsid w:val="00527522"/>
    <w:rsid w:val="005300B3"/>
    <w:rsid w:val="00532704"/>
    <w:rsid w:val="0053557C"/>
    <w:rsid w:val="00535975"/>
    <w:rsid w:val="00543ACC"/>
    <w:rsid w:val="005479ED"/>
    <w:rsid w:val="00550742"/>
    <w:rsid w:val="00551A8C"/>
    <w:rsid w:val="00552A64"/>
    <w:rsid w:val="00557369"/>
    <w:rsid w:val="00557B13"/>
    <w:rsid w:val="00561BB5"/>
    <w:rsid w:val="005664E4"/>
    <w:rsid w:val="005674D5"/>
    <w:rsid w:val="00567BB5"/>
    <w:rsid w:val="0057086E"/>
    <w:rsid w:val="005759EF"/>
    <w:rsid w:val="005768CD"/>
    <w:rsid w:val="005872DA"/>
    <w:rsid w:val="005900AA"/>
    <w:rsid w:val="0059680D"/>
    <w:rsid w:val="005A0321"/>
    <w:rsid w:val="005A0B65"/>
    <w:rsid w:val="005A1168"/>
    <w:rsid w:val="005A12F1"/>
    <w:rsid w:val="005A355E"/>
    <w:rsid w:val="005A6885"/>
    <w:rsid w:val="005C1395"/>
    <w:rsid w:val="005C18EE"/>
    <w:rsid w:val="005C3F43"/>
    <w:rsid w:val="005C5A91"/>
    <w:rsid w:val="005C7F64"/>
    <w:rsid w:val="005D1213"/>
    <w:rsid w:val="005D1DB0"/>
    <w:rsid w:val="005D5F9D"/>
    <w:rsid w:val="005D7437"/>
    <w:rsid w:val="005E2594"/>
    <w:rsid w:val="005E33BA"/>
    <w:rsid w:val="005E5A0E"/>
    <w:rsid w:val="005F1259"/>
    <w:rsid w:val="005F3F7D"/>
    <w:rsid w:val="005F4B20"/>
    <w:rsid w:val="005F59EE"/>
    <w:rsid w:val="005F7297"/>
    <w:rsid w:val="00600185"/>
    <w:rsid w:val="00601156"/>
    <w:rsid w:val="006033E7"/>
    <w:rsid w:val="006036A6"/>
    <w:rsid w:val="00603A47"/>
    <w:rsid w:val="006069CA"/>
    <w:rsid w:val="00610DF4"/>
    <w:rsid w:val="00614CCE"/>
    <w:rsid w:val="006161AF"/>
    <w:rsid w:val="006212C2"/>
    <w:rsid w:val="00623B96"/>
    <w:rsid w:val="006243FF"/>
    <w:rsid w:val="00626ACE"/>
    <w:rsid w:val="006329D6"/>
    <w:rsid w:val="00632BC6"/>
    <w:rsid w:val="00637525"/>
    <w:rsid w:val="00640C79"/>
    <w:rsid w:val="0064100A"/>
    <w:rsid w:val="0064139D"/>
    <w:rsid w:val="006427D3"/>
    <w:rsid w:val="006428FF"/>
    <w:rsid w:val="00643CDF"/>
    <w:rsid w:val="00647219"/>
    <w:rsid w:val="00650880"/>
    <w:rsid w:val="00660C79"/>
    <w:rsid w:val="00660FDA"/>
    <w:rsid w:val="0066220B"/>
    <w:rsid w:val="00663680"/>
    <w:rsid w:val="00664090"/>
    <w:rsid w:val="00664D1B"/>
    <w:rsid w:val="00665385"/>
    <w:rsid w:val="006654BC"/>
    <w:rsid w:val="0066702A"/>
    <w:rsid w:val="00672A7B"/>
    <w:rsid w:val="00674287"/>
    <w:rsid w:val="00674BA2"/>
    <w:rsid w:val="0067515F"/>
    <w:rsid w:val="0067585C"/>
    <w:rsid w:val="0067771D"/>
    <w:rsid w:val="00682725"/>
    <w:rsid w:val="00682EA0"/>
    <w:rsid w:val="006848AE"/>
    <w:rsid w:val="006A7A90"/>
    <w:rsid w:val="006B29E3"/>
    <w:rsid w:val="006B4AE1"/>
    <w:rsid w:val="006B547F"/>
    <w:rsid w:val="006B6343"/>
    <w:rsid w:val="006C200D"/>
    <w:rsid w:val="006C5765"/>
    <w:rsid w:val="006C591E"/>
    <w:rsid w:val="006C5BC0"/>
    <w:rsid w:val="006C7F46"/>
    <w:rsid w:val="006D0F97"/>
    <w:rsid w:val="006D16CE"/>
    <w:rsid w:val="006D4F45"/>
    <w:rsid w:val="006D7C05"/>
    <w:rsid w:val="006E0BD5"/>
    <w:rsid w:val="006E1229"/>
    <w:rsid w:val="006E32A4"/>
    <w:rsid w:val="006E43C5"/>
    <w:rsid w:val="006E489C"/>
    <w:rsid w:val="006E6526"/>
    <w:rsid w:val="006F22D7"/>
    <w:rsid w:val="006F2CD3"/>
    <w:rsid w:val="006F34D8"/>
    <w:rsid w:val="006F3FC5"/>
    <w:rsid w:val="006F72E4"/>
    <w:rsid w:val="006F7688"/>
    <w:rsid w:val="0070131F"/>
    <w:rsid w:val="00701BC5"/>
    <w:rsid w:val="007031EA"/>
    <w:rsid w:val="007037CE"/>
    <w:rsid w:val="0070789C"/>
    <w:rsid w:val="00712063"/>
    <w:rsid w:val="0071306D"/>
    <w:rsid w:val="007142B5"/>
    <w:rsid w:val="0071503A"/>
    <w:rsid w:val="007158D9"/>
    <w:rsid w:val="00716030"/>
    <w:rsid w:val="007176B3"/>
    <w:rsid w:val="00721183"/>
    <w:rsid w:val="00726D79"/>
    <w:rsid w:val="00727699"/>
    <w:rsid w:val="00730D92"/>
    <w:rsid w:val="00731DC5"/>
    <w:rsid w:val="00733A4A"/>
    <w:rsid w:val="00736CCA"/>
    <w:rsid w:val="007407DD"/>
    <w:rsid w:val="00743C70"/>
    <w:rsid w:val="00745A6F"/>
    <w:rsid w:val="00750438"/>
    <w:rsid w:val="0075234E"/>
    <w:rsid w:val="00752EDF"/>
    <w:rsid w:val="007557E2"/>
    <w:rsid w:val="00757F6A"/>
    <w:rsid w:val="00760F9A"/>
    <w:rsid w:val="00766162"/>
    <w:rsid w:val="00773993"/>
    <w:rsid w:val="00775F26"/>
    <w:rsid w:val="0077674C"/>
    <w:rsid w:val="007778EF"/>
    <w:rsid w:val="0078033C"/>
    <w:rsid w:val="007818BA"/>
    <w:rsid w:val="00782863"/>
    <w:rsid w:val="00784915"/>
    <w:rsid w:val="00786231"/>
    <w:rsid w:val="007878C2"/>
    <w:rsid w:val="007903DE"/>
    <w:rsid w:val="00792526"/>
    <w:rsid w:val="00797AD2"/>
    <w:rsid w:val="007A2D14"/>
    <w:rsid w:val="007A5B64"/>
    <w:rsid w:val="007A70AD"/>
    <w:rsid w:val="007A7F20"/>
    <w:rsid w:val="007B08AF"/>
    <w:rsid w:val="007B0CEF"/>
    <w:rsid w:val="007B2B95"/>
    <w:rsid w:val="007B44C3"/>
    <w:rsid w:val="007B47CF"/>
    <w:rsid w:val="007B5644"/>
    <w:rsid w:val="007C0BB5"/>
    <w:rsid w:val="007C11C1"/>
    <w:rsid w:val="007C3F12"/>
    <w:rsid w:val="007C787A"/>
    <w:rsid w:val="007D227C"/>
    <w:rsid w:val="007D441B"/>
    <w:rsid w:val="007D7C1A"/>
    <w:rsid w:val="007E253A"/>
    <w:rsid w:val="007E387C"/>
    <w:rsid w:val="007E5427"/>
    <w:rsid w:val="007E7F64"/>
    <w:rsid w:val="007F1299"/>
    <w:rsid w:val="007F2553"/>
    <w:rsid w:val="007F2F30"/>
    <w:rsid w:val="007F3876"/>
    <w:rsid w:val="007F6300"/>
    <w:rsid w:val="008004F6"/>
    <w:rsid w:val="00800D11"/>
    <w:rsid w:val="00801105"/>
    <w:rsid w:val="00801DF8"/>
    <w:rsid w:val="008039B7"/>
    <w:rsid w:val="008056E2"/>
    <w:rsid w:val="008065B9"/>
    <w:rsid w:val="0080674A"/>
    <w:rsid w:val="00806942"/>
    <w:rsid w:val="00807160"/>
    <w:rsid w:val="00807CC9"/>
    <w:rsid w:val="00812BB1"/>
    <w:rsid w:val="008130F5"/>
    <w:rsid w:val="00813561"/>
    <w:rsid w:val="00814E99"/>
    <w:rsid w:val="00820619"/>
    <w:rsid w:val="008207FC"/>
    <w:rsid w:val="00820899"/>
    <w:rsid w:val="00826A29"/>
    <w:rsid w:val="00830783"/>
    <w:rsid w:val="00833C44"/>
    <w:rsid w:val="00835C2A"/>
    <w:rsid w:val="00841D56"/>
    <w:rsid w:val="00845A85"/>
    <w:rsid w:val="00846C14"/>
    <w:rsid w:val="008477FE"/>
    <w:rsid w:val="00851961"/>
    <w:rsid w:val="00851BC2"/>
    <w:rsid w:val="00852E1C"/>
    <w:rsid w:val="0085310A"/>
    <w:rsid w:val="00853594"/>
    <w:rsid w:val="00853AE4"/>
    <w:rsid w:val="00861A91"/>
    <w:rsid w:val="00861B46"/>
    <w:rsid w:val="00864EE5"/>
    <w:rsid w:val="0087031D"/>
    <w:rsid w:val="008709C4"/>
    <w:rsid w:val="00870DE5"/>
    <w:rsid w:val="00874CB5"/>
    <w:rsid w:val="00876F86"/>
    <w:rsid w:val="00877C92"/>
    <w:rsid w:val="008842B0"/>
    <w:rsid w:val="00884A48"/>
    <w:rsid w:val="0088550D"/>
    <w:rsid w:val="00886275"/>
    <w:rsid w:val="008870F4"/>
    <w:rsid w:val="00891C85"/>
    <w:rsid w:val="00893693"/>
    <w:rsid w:val="00893B53"/>
    <w:rsid w:val="008940F1"/>
    <w:rsid w:val="0089465B"/>
    <w:rsid w:val="008956B8"/>
    <w:rsid w:val="008962EB"/>
    <w:rsid w:val="0089704B"/>
    <w:rsid w:val="008A070B"/>
    <w:rsid w:val="008A25E3"/>
    <w:rsid w:val="008A3F2A"/>
    <w:rsid w:val="008A419E"/>
    <w:rsid w:val="008A4C37"/>
    <w:rsid w:val="008A5264"/>
    <w:rsid w:val="008A5426"/>
    <w:rsid w:val="008A7E4D"/>
    <w:rsid w:val="008B2B9B"/>
    <w:rsid w:val="008B6A27"/>
    <w:rsid w:val="008C1A73"/>
    <w:rsid w:val="008C3D9B"/>
    <w:rsid w:val="008C420D"/>
    <w:rsid w:val="008C47F3"/>
    <w:rsid w:val="008C5D28"/>
    <w:rsid w:val="008C77B4"/>
    <w:rsid w:val="008D113C"/>
    <w:rsid w:val="008D23DB"/>
    <w:rsid w:val="008D2C7D"/>
    <w:rsid w:val="008D376F"/>
    <w:rsid w:val="008D5426"/>
    <w:rsid w:val="008D7988"/>
    <w:rsid w:val="008E177F"/>
    <w:rsid w:val="008E19BA"/>
    <w:rsid w:val="008E2A19"/>
    <w:rsid w:val="008E347A"/>
    <w:rsid w:val="008F1563"/>
    <w:rsid w:val="008F1B45"/>
    <w:rsid w:val="008F5658"/>
    <w:rsid w:val="00902FF1"/>
    <w:rsid w:val="00903B26"/>
    <w:rsid w:val="00903DCD"/>
    <w:rsid w:val="00907278"/>
    <w:rsid w:val="00907F45"/>
    <w:rsid w:val="009113AE"/>
    <w:rsid w:val="00912694"/>
    <w:rsid w:val="00913704"/>
    <w:rsid w:val="00917BB1"/>
    <w:rsid w:val="00920B6A"/>
    <w:rsid w:val="009222E4"/>
    <w:rsid w:val="009248D2"/>
    <w:rsid w:val="00931B27"/>
    <w:rsid w:val="00932AAC"/>
    <w:rsid w:val="00932DA8"/>
    <w:rsid w:val="00936258"/>
    <w:rsid w:val="00941B4D"/>
    <w:rsid w:val="00943F18"/>
    <w:rsid w:val="00945EDF"/>
    <w:rsid w:val="009472FC"/>
    <w:rsid w:val="00947A5D"/>
    <w:rsid w:val="009544C6"/>
    <w:rsid w:val="0095549A"/>
    <w:rsid w:val="0095599A"/>
    <w:rsid w:val="00961233"/>
    <w:rsid w:val="009614D6"/>
    <w:rsid w:val="00961DF6"/>
    <w:rsid w:val="0096745E"/>
    <w:rsid w:val="009700C4"/>
    <w:rsid w:val="009704B0"/>
    <w:rsid w:val="009718FB"/>
    <w:rsid w:val="00971C08"/>
    <w:rsid w:val="00972FB0"/>
    <w:rsid w:val="0097313C"/>
    <w:rsid w:val="00974B8F"/>
    <w:rsid w:val="009750C5"/>
    <w:rsid w:val="00975D21"/>
    <w:rsid w:val="0097672F"/>
    <w:rsid w:val="00980531"/>
    <w:rsid w:val="0098087F"/>
    <w:rsid w:val="00980E67"/>
    <w:rsid w:val="009878D4"/>
    <w:rsid w:val="009931F3"/>
    <w:rsid w:val="009958A8"/>
    <w:rsid w:val="0099632F"/>
    <w:rsid w:val="009A240D"/>
    <w:rsid w:val="009A543B"/>
    <w:rsid w:val="009B3B09"/>
    <w:rsid w:val="009B49F6"/>
    <w:rsid w:val="009C2AF1"/>
    <w:rsid w:val="009C69C1"/>
    <w:rsid w:val="009C7CCC"/>
    <w:rsid w:val="009C7FB8"/>
    <w:rsid w:val="009D4381"/>
    <w:rsid w:val="009D4833"/>
    <w:rsid w:val="009E1F6F"/>
    <w:rsid w:val="009E3A37"/>
    <w:rsid w:val="009E4E82"/>
    <w:rsid w:val="009E56A7"/>
    <w:rsid w:val="009F5244"/>
    <w:rsid w:val="009F69BA"/>
    <w:rsid w:val="00A02F1B"/>
    <w:rsid w:val="00A07AAE"/>
    <w:rsid w:val="00A14316"/>
    <w:rsid w:val="00A256A8"/>
    <w:rsid w:val="00A27224"/>
    <w:rsid w:val="00A37547"/>
    <w:rsid w:val="00A427F6"/>
    <w:rsid w:val="00A4285B"/>
    <w:rsid w:val="00A4691F"/>
    <w:rsid w:val="00A50D6F"/>
    <w:rsid w:val="00A52B33"/>
    <w:rsid w:val="00A5782B"/>
    <w:rsid w:val="00A60FAA"/>
    <w:rsid w:val="00A6151F"/>
    <w:rsid w:val="00A61729"/>
    <w:rsid w:val="00A63730"/>
    <w:rsid w:val="00A63A9B"/>
    <w:rsid w:val="00A63AEE"/>
    <w:rsid w:val="00A63B38"/>
    <w:rsid w:val="00A64A11"/>
    <w:rsid w:val="00A65780"/>
    <w:rsid w:val="00A6644A"/>
    <w:rsid w:val="00A74FDB"/>
    <w:rsid w:val="00A75930"/>
    <w:rsid w:val="00A75AC1"/>
    <w:rsid w:val="00A815AD"/>
    <w:rsid w:val="00A81F8F"/>
    <w:rsid w:val="00A8382D"/>
    <w:rsid w:val="00A853DF"/>
    <w:rsid w:val="00A8795C"/>
    <w:rsid w:val="00A9349C"/>
    <w:rsid w:val="00A95DD9"/>
    <w:rsid w:val="00AA491F"/>
    <w:rsid w:val="00AA5C47"/>
    <w:rsid w:val="00AB2A63"/>
    <w:rsid w:val="00AB3736"/>
    <w:rsid w:val="00AC25C4"/>
    <w:rsid w:val="00AC2C47"/>
    <w:rsid w:val="00AC56D4"/>
    <w:rsid w:val="00AD1704"/>
    <w:rsid w:val="00AD2A0C"/>
    <w:rsid w:val="00AD6561"/>
    <w:rsid w:val="00AD7726"/>
    <w:rsid w:val="00AD788B"/>
    <w:rsid w:val="00AE068C"/>
    <w:rsid w:val="00AE1248"/>
    <w:rsid w:val="00AE1B91"/>
    <w:rsid w:val="00AE28EE"/>
    <w:rsid w:val="00AE480F"/>
    <w:rsid w:val="00AE4C85"/>
    <w:rsid w:val="00AE704C"/>
    <w:rsid w:val="00AE7E53"/>
    <w:rsid w:val="00AF158A"/>
    <w:rsid w:val="00AF39C3"/>
    <w:rsid w:val="00AF4DE3"/>
    <w:rsid w:val="00AF6B08"/>
    <w:rsid w:val="00B00F4F"/>
    <w:rsid w:val="00B01331"/>
    <w:rsid w:val="00B02D35"/>
    <w:rsid w:val="00B11384"/>
    <w:rsid w:val="00B120EB"/>
    <w:rsid w:val="00B142CA"/>
    <w:rsid w:val="00B15086"/>
    <w:rsid w:val="00B2009F"/>
    <w:rsid w:val="00B213B1"/>
    <w:rsid w:val="00B25C29"/>
    <w:rsid w:val="00B26B28"/>
    <w:rsid w:val="00B26D1F"/>
    <w:rsid w:val="00B3309A"/>
    <w:rsid w:val="00B33AA1"/>
    <w:rsid w:val="00B352D2"/>
    <w:rsid w:val="00B43F8B"/>
    <w:rsid w:val="00B46D7D"/>
    <w:rsid w:val="00B46E48"/>
    <w:rsid w:val="00B47AB4"/>
    <w:rsid w:val="00B47C44"/>
    <w:rsid w:val="00B51F7A"/>
    <w:rsid w:val="00B54CF4"/>
    <w:rsid w:val="00B57D41"/>
    <w:rsid w:val="00B62427"/>
    <w:rsid w:val="00B62BD4"/>
    <w:rsid w:val="00B62CE7"/>
    <w:rsid w:val="00B652BD"/>
    <w:rsid w:val="00B758D5"/>
    <w:rsid w:val="00B76D71"/>
    <w:rsid w:val="00B86699"/>
    <w:rsid w:val="00B93023"/>
    <w:rsid w:val="00B93A00"/>
    <w:rsid w:val="00B964BA"/>
    <w:rsid w:val="00B96932"/>
    <w:rsid w:val="00B97447"/>
    <w:rsid w:val="00B97F06"/>
    <w:rsid w:val="00BA03B2"/>
    <w:rsid w:val="00BA1C82"/>
    <w:rsid w:val="00BA209C"/>
    <w:rsid w:val="00BA264A"/>
    <w:rsid w:val="00BA2749"/>
    <w:rsid w:val="00BA428A"/>
    <w:rsid w:val="00BA61FA"/>
    <w:rsid w:val="00BA769B"/>
    <w:rsid w:val="00BB24F3"/>
    <w:rsid w:val="00BB6C63"/>
    <w:rsid w:val="00BC2CE3"/>
    <w:rsid w:val="00BC5A2F"/>
    <w:rsid w:val="00BC7DDB"/>
    <w:rsid w:val="00BD21B6"/>
    <w:rsid w:val="00BD293E"/>
    <w:rsid w:val="00BD3950"/>
    <w:rsid w:val="00BD5B7E"/>
    <w:rsid w:val="00BE2ED3"/>
    <w:rsid w:val="00BE3CCE"/>
    <w:rsid w:val="00BE60E1"/>
    <w:rsid w:val="00BE6A7E"/>
    <w:rsid w:val="00BE6AE7"/>
    <w:rsid w:val="00BE6B57"/>
    <w:rsid w:val="00BE6EDC"/>
    <w:rsid w:val="00BE76A7"/>
    <w:rsid w:val="00BF021F"/>
    <w:rsid w:val="00BF0CD6"/>
    <w:rsid w:val="00BF2049"/>
    <w:rsid w:val="00BF24B4"/>
    <w:rsid w:val="00BF3AD9"/>
    <w:rsid w:val="00BF513F"/>
    <w:rsid w:val="00BF54C0"/>
    <w:rsid w:val="00BF5880"/>
    <w:rsid w:val="00C00721"/>
    <w:rsid w:val="00C007CB"/>
    <w:rsid w:val="00C02AE5"/>
    <w:rsid w:val="00C04FB8"/>
    <w:rsid w:val="00C073E9"/>
    <w:rsid w:val="00C12900"/>
    <w:rsid w:val="00C152E9"/>
    <w:rsid w:val="00C20D6C"/>
    <w:rsid w:val="00C21B4B"/>
    <w:rsid w:val="00C24C05"/>
    <w:rsid w:val="00C26657"/>
    <w:rsid w:val="00C2732A"/>
    <w:rsid w:val="00C30057"/>
    <w:rsid w:val="00C313EB"/>
    <w:rsid w:val="00C42C7A"/>
    <w:rsid w:val="00C44EE3"/>
    <w:rsid w:val="00C46436"/>
    <w:rsid w:val="00C46560"/>
    <w:rsid w:val="00C50C18"/>
    <w:rsid w:val="00C51552"/>
    <w:rsid w:val="00C52DFB"/>
    <w:rsid w:val="00C53221"/>
    <w:rsid w:val="00C540AC"/>
    <w:rsid w:val="00C5470E"/>
    <w:rsid w:val="00C55106"/>
    <w:rsid w:val="00C569B9"/>
    <w:rsid w:val="00C57B27"/>
    <w:rsid w:val="00C6296C"/>
    <w:rsid w:val="00C636BD"/>
    <w:rsid w:val="00C63AF5"/>
    <w:rsid w:val="00C641E6"/>
    <w:rsid w:val="00C66349"/>
    <w:rsid w:val="00C665B9"/>
    <w:rsid w:val="00C71A0B"/>
    <w:rsid w:val="00C7615E"/>
    <w:rsid w:val="00C76A1D"/>
    <w:rsid w:val="00C76A1F"/>
    <w:rsid w:val="00C82ABC"/>
    <w:rsid w:val="00C84576"/>
    <w:rsid w:val="00C84757"/>
    <w:rsid w:val="00C84D2D"/>
    <w:rsid w:val="00C90DCF"/>
    <w:rsid w:val="00C93D7E"/>
    <w:rsid w:val="00C94412"/>
    <w:rsid w:val="00C94AFD"/>
    <w:rsid w:val="00CA1D03"/>
    <w:rsid w:val="00CA2466"/>
    <w:rsid w:val="00CA4CA2"/>
    <w:rsid w:val="00CA6399"/>
    <w:rsid w:val="00CB0107"/>
    <w:rsid w:val="00CB0475"/>
    <w:rsid w:val="00CB1252"/>
    <w:rsid w:val="00CB3B10"/>
    <w:rsid w:val="00CB49EA"/>
    <w:rsid w:val="00CB6ED1"/>
    <w:rsid w:val="00CC0870"/>
    <w:rsid w:val="00CC4112"/>
    <w:rsid w:val="00CC6729"/>
    <w:rsid w:val="00CD0C06"/>
    <w:rsid w:val="00CD318B"/>
    <w:rsid w:val="00CD6DE7"/>
    <w:rsid w:val="00CD7AE5"/>
    <w:rsid w:val="00CE5D58"/>
    <w:rsid w:val="00CF1FA6"/>
    <w:rsid w:val="00CF26A5"/>
    <w:rsid w:val="00CF2ECE"/>
    <w:rsid w:val="00CF58B8"/>
    <w:rsid w:val="00CF5F1C"/>
    <w:rsid w:val="00CF7EFB"/>
    <w:rsid w:val="00D016BA"/>
    <w:rsid w:val="00D01C7E"/>
    <w:rsid w:val="00D048D7"/>
    <w:rsid w:val="00D111CD"/>
    <w:rsid w:val="00D1178C"/>
    <w:rsid w:val="00D1190C"/>
    <w:rsid w:val="00D12597"/>
    <w:rsid w:val="00D13E0F"/>
    <w:rsid w:val="00D14464"/>
    <w:rsid w:val="00D145A0"/>
    <w:rsid w:val="00D16BAD"/>
    <w:rsid w:val="00D17C3A"/>
    <w:rsid w:val="00D21C21"/>
    <w:rsid w:val="00D302F3"/>
    <w:rsid w:val="00D31990"/>
    <w:rsid w:val="00D31E09"/>
    <w:rsid w:val="00D33A6C"/>
    <w:rsid w:val="00D35448"/>
    <w:rsid w:val="00D36BD1"/>
    <w:rsid w:val="00D55F8C"/>
    <w:rsid w:val="00D57ABD"/>
    <w:rsid w:val="00D61975"/>
    <w:rsid w:val="00D64789"/>
    <w:rsid w:val="00D64AA9"/>
    <w:rsid w:val="00D65BBE"/>
    <w:rsid w:val="00D6603E"/>
    <w:rsid w:val="00D661AD"/>
    <w:rsid w:val="00D673B2"/>
    <w:rsid w:val="00D7364E"/>
    <w:rsid w:val="00D73B93"/>
    <w:rsid w:val="00D75114"/>
    <w:rsid w:val="00D75E6D"/>
    <w:rsid w:val="00D762F5"/>
    <w:rsid w:val="00D804A9"/>
    <w:rsid w:val="00D837E0"/>
    <w:rsid w:val="00D872B9"/>
    <w:rsid w:val="00D90508"/>
    <w:rsid w:val="00D91274"/>
    <w:rsid w:val="00D91323"/>
    <w:rsid w:val="00D96B7C"/>
    <w:rsid w:val="00D975ED"/>
    <w:rsid w:val="00DA0302"/>
    <w:rsid w:val="00DA0BE5"/>
    <w:rsid w:val="00DA38D8"/>
    <w:rsid w:val="00DA41B4"/>
    <w:rsid w:val="00DA5A2C"/>
    <w:rsid w:val="00DB1A48"/>
    <w:rsid w:val="00DC131B"/>
    <w:rsid w:val="00DC1FC5"/>
    <w:rsid w:val="00DC2396"/>
    <w:rsid w:val="00DC4FE5"/>
    <w:rsid w:val="00DC5501"/>
    <w:rsid w:val="00DC68E9"/>
    <w:rsid w:val="00DC6B6A"/>
    <w:rsid w:val="00DD0031"/>
    <w:rsid w:val="00DD50B5"/>
    <w:rsid w:val="00DE1552"/>
    <w:rsid w:val="00DE2692"/>
    <w:rsid w:val="00DE314E"/>
    <w:rsid w:val="00DE5162"/>
    <w:rsid w:val="00DE5AE0"/>
    <w:rsid w:val="00DF19F5"/>
    <w:rsid w:val="00E0156D"/>
    <w:rsid w:val="00E04DB0"/>
    <w:rsid w:val="00E07F59"/>
    <w:rsid w:val="00E13B9E"/>
    <w:rsid w:val="00E16CD5"/>
    <w:rsid w:val="00E211B6"/>
    <w:rsid w:val="00E2122F"/>
    <w:rsid w:val="00E2261E"/>
    <w:rsid w:val="00E22F34"/>
    <w:rsid w:val="00E245AC"/>
    <w:rsid w:val="00E25936"/>
    <w:rsid w:val="00E27372"/>
    <w:rsid w:val="00E30745"/>
    <w:rsid w:val="00E401E3"/>
    <w:rsid w:val="00E557DA"/>
    <w:rsid w:val="00E62524"/>
    <w:rsid w:val="00E62733"/>
    <w:rsid w:val="00E6342D"/>
    <w:rsid w:val="00E64420"/>
    <w:rsid w:val="00E65D4F"/>
    <w:rsid w:val="00E67C75"/>
    <w:rsid w:val="00E7094C"/>
    <w:rsid w:val="00E839BC"/>
    <w:rsid w:val="00E83B1D"/>
    <w:rsid w:val="00E87A06"/>
    <w:rsid w:val="00E91CBC"/>
    <w:rsid w:val="00E94442"/>
    <w:rsid w:val="00E973BC"/>
    <w:rsid w:val="00EA1C08"/>
    <w:rsid w:val="00EA297B"/>
    <w:rsid w:val="00EA4A1E"/>
    <w:rsid w:val="00EA68D6"/>
    <w:rsid w:val="00EA7E0C"/>
    <w:rsid w:val="00EB478B"/>
    <w:rsid w:val="00EB4F52"/>
    <w:rsid w:val="00EB5BD3"/>
    <w:rsid w:val="00EB5E89"/>
    <w:rsid w:val="00EB6992"/>
    <w:rsid w:val="00EB79DF"/>
    <w:rsid w:val="00EC43F4"/>
    <w:rsid w:val="00EC4CF1"/>
    <w:rsid w:val="00EC578F"/>
    <w:rsid w:val="00EC6A73"/>
    <w:rsid w:val="00ED07ED"/>
    <w:rsid w:val="00ED3EE7"/>
    <w:rsid w:val="00ED65CA"/>
    <w:rsid w:val="00ED6ACC"/>
    <w:rsid w:val="00ED6EAF"/>
    <w:rsid w:val="00ED7666"/>
    <w:rsid w:val="00EE007D"/>
    <w:rsid w:val="00EE6265"/>
    <w:rsid w:val="00EF48FB"/>
    <w:rsid w:val="00EF6225"/>
    <w:rsid w:val="00EF7C23"/>
    <w:rsid w:val="00F00259"/>
    <w:rsid w:val="00F01F94"/>
    <w:rsid w:val="00F028B2"/>
    <w:rsid w:val="00F06701"/>
    <w:rsid w:val="00F07048"/>
    <w:rsid w:val="00F10C50"/>
    <w:rsid w:val="00F1141D"/>
    <w:rsid w:val="00F13BA7"/>
    <w:rsid w:val="00F14C5E"/>
    <w:rsid w:val="00F20F33"/>
    <w:rsid w:val="00F230A8"/>
    <w:rsid w:val="00F32988"/>
    <w:rsid w:val="00F32C71"/>
    <w:rsid w:val="00F417D5"/>
    <w:rsid w:val="00F42BBA"/>
    <w:rsid w:val="00F46858"/>
    <w:rsid w:val="00F56D36"/>
    <w:rsid w:val="00F60833"/>
    <w:rsid w:val="00F60DD8"/>
    <w:rsid w:val="00F60DFD"/>
    <w:rsid w:val="00F62D77"/>
    <w:rsid w:val="00F67F2B"/>
    <w:rsid w:val="00F72274"/>
    <w:rsid w:val="00F72C83"/>
    <w:rsid w:val="00F741E8"/>
    <w:rsid w:val="00F767A4"/>
    <w:rsid w:val="00F77915"/>
    <w:rsid w:val="00F83330"/>
    <w:rsid w:val="00F86A1B"/>
    <w:rsid w:val="00F90D23"/>
    <w:rsid w:val="00F94D20"/>
    <w:rsid w:val="00FA1F68"/>
    <w:rsid w:val="00FA3691"/>
    <w:rsid w:val="00FA460F"/>
    <w:rsid w:val="00FA6A28"/>
    <w:rsid w:val="00FA6DE1"/>
    <w:rsid w:val="00FA7442"/>
    <w:rsid w:val="00FA7C64"/>
    <w:rsid w:val="00FB2641"/>
    <w:rsid w:val="00FB67FD"/>
    <w:rsid w:val="00FC2B57"/>
    <w:rsid w:val="00FD00B8"/>
    <w:rsid w:val="00FD13E8"/>
    <w:rsid w:val="00FD2516"/>
    <w:rsid w:val="00FD28B4"/>
    <w:rsid w:val="00FD3D0E"/>
    <w:rsid w:val="00FE4C0A"/>
    <w:rsid w:val="00FF5D5A"/>
    <w:rsid w:val="00FF669F"/>
    <w:rsid w:val="1829289E"/>
    <w:rsid w:val="376FDEB7"/>
    <w:rsid w:val="4A7558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4A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D"/>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character" w:customStyle="1" w:styleId="normaltextrun">
    <w:name w:val="normaltextrun"/>
    <w:basedOn w:val="DefaultParagraphFont"/>
    <w:rsid w:val="00BD5B7E"/>
  </w:style>
  <w:style w:type="character" w:customStyle="1" w:styleId="eop">
    <w:name w:val="eop"/>
    <w:basedOn w:val="DefaultParagraphFont"/>
    <w:rsid w:val="00BD5B7E"/>
  </w:style>
  <w:style w:type="paragraph" w:styleId="TOCHeading">
    <w:name w:val="TOC Heading"/>
    <w:basedOn w:val="Heading1"/>
    <w:next w:val="Normal"/>
    <w:uiPriority w:val="39"/>
    <w:unhideWhenUsed/>
    <w:qFormat/>
    <w:rsid w:val="00BD5B7E"/>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BD5B7E"/>
    <w:pPr>
      <w:spacing w:after="100"/>
    </w:pPr>
  </w:style>
  <w:style w:type="paragraph" w:styleId="TOC2">
    <w:name w:val="toc 2"/>
    <w:basedOn w:val="Normal"/>
    <w:next w:val="Normal"/>
    <w:autoRedefine/>
    <w:uiPriority w:val="39"/>
    <w:unhideWhenUsed/>
    <w:rsid w:val="00BD5B7E"/>
    <w:pPr>
      <w:spacing w:after="100"/>
      <w:ind w:left="240"/>
    </w:pPr>
  </w:style>
  <w:style w:type="paragraph" w:styleId="TOC3">
    <w:name w:val="toc 3"/>
    <w:basedOn w:val="Normal"/>
    <w:next w:val="Normal"/>
    <w:autoRedefine/>
    <w:uiPriority w:val="39"/>
    <w:unhideWhenUsed/>
    <w:rsid w:val="00BD5B7E"/>
    <w:pPr>
      <w:spacing w:after="100"/>
      <w:ind w:left="480"/>
    </w:pPr>
  </w:style>
  <w:style w:type="paragraph" w:customStyle="1" w:styleId="paragraph">
    <w:name w:val="paragraph"/>
    <w:basedOn w:val="Normal"/>
    <w:rsid w:val="0097313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abchar">
    <w:name w:val="tabchar"/>
    <w:basedOn w:val="DefaultParagraphFont"/>
    <w:rsid w:val="0097313C"/>
  </w:style>
  <w:style w:type="character" w:styleId="CommentReference">
    <w:name w:val="annotation reference"/>
    <w:basedOn w:val="DefaultParagraphFont"/>
    <w:uiPriority w:val="99"/>
    <w:semiHidden/>
    <w:unhideWhenUsed/>
    <w:rsid w:val="00ED07ED"/>
    <w:rPr>
      <w:sz w:val="16"/>
      <w:szCs w:val="16"/>
    </w:rPr>
  </w:style>
  <w:style w:type="paragraph" w:styleId="CommentText">
    <w:name w:val="annotation text"/>
    <w:basedOn w:val="Normal"/>
    <w:link w:val="CommentTextChar"/>
    <w:uiPriority w:val="99"/>
    <w:unhideWhenUsed/>
    <w:rsid w:val="00ED07ED"/>
    <w:pPr>
      <w:spacing w:line="240" w:lineRule="auto"/>
    </w:pPr>
    <w:rPr>
      <w:sz w:val="20"/>
      <w:szCs w:val="20"/>
    </w:rPr>
  </w:style>
  <w:style w:type="character" w:customStyle="1" w:styleId="CommentTextChar">
    <w:name w:val="Comment Text Char"/>
    <w:basedOn w:val="DefaultParagraphFont"/>
    <w:link w:val="CommentText"/>
    <w:uiPriority w:val="99"/>
    <w:rsid w:val="00ED07E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D07ED"/>
    <w:rPr>
      <w:b/>
      <w:bCs/>
    </w:rPr>
  </w:style>
  <w:style w:type="character" w:customStyle="1" w:styleId="CommentSubjectChar">
    <w:name w:val="Comment Subject Char"/>
    <w:basedOn w:val="CommentTextChar"/>
    <w:link w:val="CommentSubject"/>
    <w:uiPriority w:val="99"/>
    <w:semiHidden/>
    <w:rsid w:val="00ED07ED"/>
    <w:rPr>
      <w:rFonts w:eastAsiaTheme="minorEastAsia"/>
      <w:b/>
      <w:bCs/>
      <w:sz w:val="20"/>
      <w:szCs w:val="20"/>
    </w:rPr>
  </w:style>
  <w:style w:type="paragraph" w:styleId="ListParagraph">
    <w:name w:val="List Paragraph"/>
    <w:aliases w:val="Dot pt,No Spacing1,List Paragraph Char Char Char,Indicator Text,Numbered Para 1,List Paragraph1,Bullet 1,Bullet Points,MAIN CONTENT,List Paragraph12,F5 List Paragraph,List Paragraph11,OBC Bullet,Colorful List - Accent 11,Normal numbered"/>
    <w:basedOn w:val="Normal"/>
    <w:link w:val="ListParagraphChar"/>
    <w:uiPriority w:val="34"/>
    <w:qFormat/>
    <w:rsid w:val="00AE1B91"/>
    <w:pPr>
      <w:ind w:left="720"/>
      <w:contextualSpacing/>
    </w:pPr>
  </w:style>
  <w:style w:type="character" w:styleId="FollowedHyperlink">
    <w:name w:val="FollowedHyperlink"/>
    <w:basedOn w:val="DefaultParagraphFont"/>
    <w:uiPriority w:val="99"/>
    <w:semiHidden/>
    <w:unhideWhenUsed/>
    <w:rsid w:val="00D837E0"/>
    <w:rPr>
      <w:color w:val="016574" w:themeColor="followedHyperlink"/>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
    <w:basedOn w:val="DefaultParagraphFont"/>
    <w:link w:val="ListParagraph"/>
    <w:locked/>
    <w:rsid w:val="00637525"/>
    <w:rPr>
      <w:rFonts w:eastAsiaTheme="minorEastAsia"/>
    </w:rPr>
  </w:style>
  <w:style w:type="character" w:styleId="PlaceholderText">
    <w:name w:val="Placeholder Text"/>
    <w:basedOn w:val="DefaultParagraphFont"/>
    <w:uiPriority w:val="99"/>
    <w:semiHidden/>
    <w:rsid w:val="00082F40"/>
    <w:rPr>
      <w:color w:val="666666"/>
    </w:rPr>
  </w:style>
  <w:style w:type="character" w:styleId="Mention">
    <w:name w:val="Mention"/>
    <w:basedOn w:val="DefaultParagraphFont"/>
    <w:uiPriority w:val="99"/>
    <w:unhideWhenUsed/>
    <w:rsid w:val="00C551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46830">
      <w:bodyDiv w:val="1"/>
      <w:marLeft w:val="0"/>
      <w:marRight w:val="0"/>
      <w:marTop w:val="0"/>
      <w:marBottom w:val="0"/>
      <w:divBdr>
        <w:top w:val="none" w:sz="0" w:space="0" w:color="auto"/>
        <w:left w:val="none" w:sz="0" w:space="0" w:color="auto"/>
        <w:bottom w:val="none" w:sz="0" w:space="0" w:color="auto"/>
        <w:right w:val="none" w:sz="0" w:space="0" w:color="auto"/>
      </w:divBdr>
    </w:div>
    <w:div w:id="822619322">
      <w:bodyDiv w:val="1"/>
      <w:marLeft w:val="0"/>
      <w:marRight w:val="0"/>
      <w:marTop w:val="0"/>
      <w:marBottom w:val="0"/>
      <w:divBdr>
        <w:top w:val="none" w:sz="0" w:space="0" w:color="auto"/>
        <w:left w:val="none" w:sz="0" w:space="0" w:color="auto"/>
        <w:bottom w:val="none" w:sz="0" w:space="0" w:color="auto"/>
        <w:right w:val="none" w:sz="0" w:space="0" w:color="auto"/>
      </w:divBdr>
      <w:divsChild>
        <w:div w:id="3169517">
          <w:marLeft w:val="0"/>
          <w:marRight w:val="0"/>
          <w:marTop w:val="0"/>
          <w:marBottom w:val="0"/>
          <w:divBdr>
            <w:top w:val="none" w:sz="0" w:space="0" w:color="auto"/>
            <w:left w:val="none" w:sz="0" w:space="0" w:color="auto"/>
            <w:bottom w:val="none" w:sz="0" w:space="0" w:color="auto"/>
            <w:right w:val="none" w:sz="0" w:space="0" w:color="auto"/>
          </w:divBdr>
        </w:div>
        <w:div w:id="175659363">
          <w:marLeft w:val="0"/>
          <w:marRight w:val="0"/>
          <w:marTop w:val="0"/>
          <w:marBottom w:val="0"/>
          <w:divBdr>
            <w:top w:val="none" w:sz="0" w:space="0" w:color="auto"/>
            <w:left w:val="none" w:sz="0" w:space="0" w:color="auto"/>
            <w:bottom w:val="none" w:sz="0" w:space="0" w:color="auto"/>
            <w:right w:val="none" w:sz="0" w:space="0" w:color="auto"/>
          </w:divBdr>
        </w:div>
        <w:div w:id="185872256">
          <w:marLeft w:val="0"/>
          <w:marRight w:val="0"/>
          <w:marTop w:val="0"/>
          <w:marBottom w:val="0"/>
          <w:divBdr>
            <w:top w:val="none" w:sz="0" w:space="0" w:color="auto"/>
            <w:left w:val="none" w:sz="0" w:space="0" w:color="auto"/>
            <w:bottom w:val="none" w:sz="0" w:space="0" w:color="auto"/>
            <w:right w:val="none" w:sz="0" w:space="0" w:color="auto"/>
          </w:divBdr>
        </w:div>
        <w:div w:id="230892914">
          <w:marLeft w:val="0"/>
          <w:marRight w:val="0"/>
          <w:marTop w:val="0"/>
          <w:marBottom w:val="0"/>
          <w:divBdr>
            <w:top w:val="none" w:sz="0" w:space="0" w:color="auto"/>
            <w:left w:val="none" w:sz="0" w:space="0" w:color="auto"/>
            <w:bottom w:val="none" w:sz="0" w:space="0" w:color="auto"/>
            <w:right w:val="none" w:sz="0" w:space="0" w:color="auto"/>
          </w:divBdr>
        </w:div>
        <w:div w:id="235209750">
          <w:marLeft w:val="0"/>
          <w:marRight w:val="0"/>
          <w:marTop w:val="0"/>
          <w:marBottom w:val="0"/>
          <w:divBdr>
            <w:top w:val="none" w:sz="0" w:space="0" w:color="auto"/>
            <w:left w:val="none" w:sz="0" w:space="0" w:color="auto"/>
            <w:bottom w:val="none" w:sz="0" w:space="0" w:color="auto"/>
            <w:right w:val="none" w:sz="0" w:space="0" w:color="auto"/>
          </w:divBdr>
        </w:div>
        <w:div w:id="295988631">
          <w:marLeft w:val="0"/>
          <w:marRight w:val="0"/>
          <w:marTop w:val="0"/>
          <w:marBottom w:val="0"/>
          <w:divBdr>
            <w:top w:val="none" w:sz="0" w:space="0" w:color="auto"/>
            <w:left w:val="none" w:sz="0" w:space="0" w:color="auto"/>
            <w:bottom w:val="none" w:sz="0" w:space="0" w:color="auto"/>
            <w:right w:val="none" w:sz="0" w:space="0" w:color="auto"/>
          </w:divBdr>
        </w:div>
        <w:div w:id="301497382">
          <w:marLeft w:val="0"/>
          <w:marRight w:val="0"/>
          <w:marTop w:val="0"/>
          <w:marBottom w:val="0"/>
          <w:divBdr>
            <w:top w:val="none" w:sz="0" w:space="0" w:color="auto"/>
            <w:left w:val="none" w:sz="0" w:space="0" w:color="auto"/>
            <w:bottom w:val="none" w:sz="0" w:space="0" w:color="auto"/>
            <w:right w:val="none" w:sz="0" w:space="0" w:color="auto"/>
          </w:divBdr>
        </w:div>
        <w:div w:id="330257647">
          <w:marLeft w:val="0"/>
          <w:marRight w:val="0"/>
          <w:marTop w:val="0"/>
          <w:marBottom w:val="0"/>
          <w:divBdr>
            <w:top w:val="none" w:sz="0" w:space="0" w:color="auto"/>
            <w:left w:val="none" w:sz="0" w:space="0" w:color="auto"/>
            <w:bottom w:val="none" w:sz="0" w:space="0" w:color="auto"/>
            <w:right w:val="none" w:sz="0" w:space="0" w:color="auto"/>
          </w:divBdr>
          <w:divsChild>
            <w:div w:id="352344996">
              <w:marLeft w:val="0"/>
              <w:marRight w:val="0"/>
              <w:marTop w:val="0"/>
              <w:marBottom w:val="0"/>
              <w:divBdr>
                <w:top w:val="none" w:sz="0" w:space="0" w:color="auto"/>
                <w:left w:val="none" w:sz="0" w:space="0" w:color="auto"/>
                <w:bottom w:val="none" w:sz="0" w:space="0" w:color="auto"/>
                <w:right w:val="none" w:sz="0" w:space="0" w:color="auto"/>
              </w:divBdr>
            </w:div>
            <w:div w:id="418217115">
              <w:marLeft w:val="0"/>
              <w:marRight w:val="0"/>
              <w:marTop w:val="0"/>
              <w:marBottom w:val="0"/>
              <w:divBdr>
                <w:top w:val="none" w:sz="0" w:space="0" w:color="auto"/>
                <w:left w:val="none" w:sz="0" w:space="0" w:color="auto"/>
                <w:bottom w:val="none" w:sz="0" w:space="0" w:color="auto"/>
                <w:right w:val="none" w:sz="0" w:space="0" w:color="auto"/>
              </w:divBdr>
            </w:div>
            <w:div w:id="429618482">
              <w:marLeft w:val="0"/>
              <w:marRight w:val="0"/>
              <w:marTop w:val="0"/>
              <w:marBottom w:val="0"/>
              <w:divBdr>
                <w:top w:val="none" w:sz="0" w:space="0" w:color="auto"/>
                <w:left w:val="none" w:sz="0" w:space="0" w:color="auto"/>
                <w:bottom w:val="none" w:sz="0" w:space="0" w:color="auto"/>
                <w:right w:val="none" w:sz="0" w:space="0" w:color="auto"/>
              </w:divBdr>
            </w:div>
            <w:div w:id="680746122">
              <w:marLeft w:val="0"/>
              <w:marRight w:val="0"/>
              <w:marTop w:val="0"/>
              <w:marBottom w:val="0"/>
              <w:divBdr>
                <w:top w:val="none" w:sz="0" w:space="0" w:color="auto"/>
                <w:left w:val="none" w:sz="0" w:space="0" w:color="auto"/>
                <w:bottom w:val="none" w:sz="0" w:space="0" w:color="auto"/>
                <w:right w:val="none" w:sz="0" w:space="0" w:color="auto"/>
              </w:divBdr>
            </w:div>
            <w:div w:id="901716613">
              <w:marLeft w:val="0"/>
              <w:marRight w:val="0"/>
              <w:marTop w:val="0"/>
              <w:marBottom w:val="0"/>
              <w:divBdr>
                <w:top w:val="none" w:sz="0" w:space="0" w:color="auto"/>
                <w:left w:val="none" w:sz="0" w:space="0" w:color="auto"/>
                <w:bottom w:val="none" w:sz="0" w:space="0" w:color="auto"/>
                <w:right w:val="none" w:sz="0" w:space="0" w:color="auto"/>
              </w:divBdr>
            </w:div>
            <w:div w:id="988050585">
              <w:marLeft w:val="0"/>
              <w:marRight w:val="0"/>
              <w:marTop w:val="0"/>
              <w:marBottom w:val="0"/>
              <w:divBdr>
                <w:top w:val="none" w:sz="0" w:space="0" w:color="auto"/>
                <w:left w:val="none" w:sz="0" w:space="0" w:color="auto"/>
                <w:bottom w:val="none" w:sz="0" w:space="0" w:color="auto"/>
                <w:right w:val="none" w:sz="0" w:space="0" w:color="auto"/>
              </w:divBdr>
            </w:div>
            <w:div w:id="1047989346">
              <w:marLeft w:val="0"/>
              <w:marRight w:val="0"/>
              <w:marTop w:val="0"/>
              <w:marBottom w:val="0"/>
              <w:divBdr>
                <w:top w:val="none" w:sz="0" w:space="0" w:color="auto"/>
                <w:left w:val="none" w:sz="0" w:space="0" w:color="auto"/>
                <w:bottom w:val="none" w:sz="0" w:space="0" w:color="auto"/>
                <w:right w:val="none" w:sz="0" w:space="0" w:color="auto"/>
              </w:divBdr>
            </w:div>
            <w:div w:id="1080954483">
              <w:marLeft w:val="0"/>
              <w:marRight w:val="0"/>
              <w:marTop w:val="0"/>
              <w:marBottom w:val="0"/>
              <w:divBdr>
                <w:top w:val="none" w:sz="0" w:space="0" w:color="auto"/>
                <w:left w:val="none" w:sz="0" w:space="0" w:color="auto"/>
                <w:bottom w:val="none" w:sz="0" w:space="0" w:color="auto"/>
                <w:right w:val="none" w:sz="0" w:space="0" w:color="auto"/>
              </w:divBdr>
            </w:div>
            <w:div w:id="1198351637">
              <w:marLeft w:val="0"/>
              <w:marRight w:val="0"/>
              <w:marTop w:val="0"/>
              <w:marBottom w:val="0"/>
              <w:divBdr>
                <w:top w:val="none" w:sz="0" w:space="0" w:color="auto"/>
                <w:left w:val="none" w:sz="0" w:space="0" w:color="auto"/>
                <w:bottom w:val="none" w:sz="0" w:space="0" w:color="auto"/>
                <w:right w:val="none" w:sz="0" w:space="0" w:color="auto"/>
              </w:divBdr>
            </w:div>
            <w:div w:id="1448543771">
              <w:marLeft w:val="0"/>
              <w:marRight w:val="0"/>
              <w:marTop w:val="0"/>
              <w:marBottom w:val="0"/>
              <w:divBdr>
                <w:top w:val="none" w:sz="0" w:space="0" w:color="auto"/>
                <w:left w:val="none" w:sz="0" w:space="0" w:color="auto"/>
                <w:bottom w:val="none" w:sz="0" w:space="0" w:color="auto"/>
                <w:right w:val="none" w:sz="0" w:space="0" w:color="auto"/>
              </w:divBdr>
            </w:div>
            <w:div w:id="1653874147">
              <w:marLeft w:val="0"/>
              <w:marRight w:val="0"/>
              <w:marTop w:val="0"/>
              <w:marBottom w:val="0"/>
              <w:divBdr>
                <w:top w:val="none" w:sz="0" w:space="0" w:color="auto"/>
                <w:left w:val="none" w:sz="0" w:space="0" w:color="auto"/>
                <w:bottom w:val="none" w:sz="0" w:space="0" w:color="auto"/>
                <w:right w:val="none" w:sz="0" w:space="0" w:color="auto"/>
              </w:divBdr>
            </w:div>
            <w:div w:id="1686595484">
              <w:marLeft w:val="0"/>
              <w:marRight w:val="0"/>
              <w:marTop w:val="0"/>
              <w:marBottom w:val="0"/>
              <w:divBdr>
                <w:top w:val="none" w:sz="0" w:space="0" w:color="auto"/>
                <w:left w:val="none" w:sz="0" w:space="0" w:color="auto"/>
                <w:bottom w:val="none" w:sz="0" w:space="0" w:color="auto"/>
                <w:right w:val="none" w:sz="0" w:space="0" w:color="auto"/>
              </w:divBdr>
            </w:div>
            <w:div w:id="1737702898">
              <w:marLeft w:val="0"/>
              <w:marRight w:val="0"/>
              <w:marTop w:val="0"/>
              <w:marBottom w:val="0"/>
              <w:divBdr>
                <w:top w:val="none" w:sz="0" w:space="0" w:color="auto"/>
                <w:left w:val="none" w:sz="0" w:space="0" w:color="auto"/>
                <w:bottom w:val="none" w:sz="0" w:space="0" w:color="auto"/>
                <w:right w:val="none" w:sz="0" w:space="0" w:color="auto"/>
              </w:divBdr>
            </w:div>
            <w:div w:id="1888058681">
              <w:marLeft w:val="0"/>
              <w:marRight w:val="0"/>
              <w:marTop w:val="0"/>
              <w:marBottom w:val="0"/>
              <w:divBdr>
                <w:top w:val="none" w:sz="0" w:space="0" w:color="auto"/>
                <w:left w:val="none" w:sz="0" w:space="0" w:color="auto"/>
                <w:bottom w:val="none" w:sz="0" w:space="0" w:color="auto"/>
                <w:right w:val="none" w:sz="0" w:space="0" w:color="auto"/>
              </w:divBdr>
            </w:div>
            <w:div w:id="1891459511">
              <w:marLeft w:val="0"/>
              <w:marRight w:val="0"/>
              <w:marTop w:val="0"/>
              <w:marBottom w:val="0"/>
              <w:divBdr>
                <w:top w:val="none" w:sz="0" w:space="0" w:color="auto"/>
                <w:left w:val="none" w:sz="0" w:space="0" w:color="auto"/>
                <w:bottom w:val="none" w:sz="0" w:space="0" w:color="auto"/>
                <w:right w:val="none" w:sz="0" w:space="0" w:color="auto"/>
              </w:divBdr>
            </w:div>
          </w:divsChild>
        </w:div>
        <w:div w:id="509881517">
          <w:marLeft w:val="0"/>
          <w:marRight w:val="0"/>
          <w:marTop w:val="0"/>
          <w:marBottom w:val="0"/>
          <w:divBdr>
            <w:top w:val="none" w:sz="0" w:space="0" w:color="auto"/>
            <w:left w:val="none" w:sz="0" w:space="0" w:color="auto"/>
            <w:bottom w:val="none" w:sz="0" w:space="0" w:color="auto"/>
            <w:right w:val="none" w:sz="0" w:space="0" w:color="auto"/>
          </w:divBdr>
        </w:div>
        <w:div w:id="744037183">
          <w:marLeft w:val="0"/>
          <w:marRight w:val="0"/>
          <w:marTop w:val="0"/>
          <w:marBottom w:val="0"/>
          <w:divBdr>
            <w:top w:val="none" w:sz="0" w:space="0" w:color="auto"/>
            <w:left w:val="none" w:sz="0" w:space="0" w:color="auto"/>
            <w:bottom w:val="none" w:sz="0" w:space="0" w:color="auto"/>
            <w:right w:val="none" w:sz="0" w:space="0" w:color="auto"/>
          </w:divBdr>
        </w:div>
        <w:div w:id="774135881">
          <w:marLeft w:val="0"/>
          <w:marRight w:val="0"/>
          <w:marTop w:val="0"/>
          <w:marBottom w:val="0"/>
          <w:divBdr>
            <w:top w:val="none" w:sz="0" w:space="0" w:color="auto"/>
            <w:left w:val="none" w:sz="0" w:space="0" w:color="auto"/>
            <w:bottom w:val="none" w:sz="0" w:space="0" w:color="auto"/>
            <w:right w:val="none" w:sz="0" w:space="0" w:color="auto"/>
          </w:divBdr>
        </w:div>
        <w:div w:id="968978028">
          <w:marLeft w:val="0"/>
          <w:marRight w:val="0"/>
          <w:marTop w:val="0"/>
          <w:marBottom w:val="0"/>
          <w:divBdr>
            <w:top w:val="none" w:sz="0" w:space="0" w:color="auto"/>
            <w:left w:val="none" w:sz="0" w:space="0" w:color="auto"/>
            <w:bottom w:val="none" w:sz="0" w:space="0" w:color="auto"/>
            <w:right w:val="none" w:sz="0" w:space="0" w:color="auto"/>
          </w:divBdr>
        </w:div>
        <w:div w:id="969943568">
          <w:marLeft w:val="0"/>
          <w:marRight w:val="0"/>
          <w:marTop w:val="0"/>
          <w:marBottom w:val="0"/>
          <w:divBdr>
            <w:top w:val="none" w:sz="0" w:space="0" w:color="auto"/>
            <w:left w:val="none" w:sz="0" w:space="0" w:color="auto"/>
            <w:bottom w:val="none" w:sz="0" w:space="0" w:color="auto"/>
            <w:right w:val="none" w:sz="0" w:space="0" w:color="auto"/>
          </w:divBdr>
        </w:div>
        <w:div w:id="1244146317">
          <w:marLeft w:val="0"/>
          <w:marRight w:val="0"/>
          <w:marTop w:val="0"/>
          <w:marBottom w:val="0"/>
          <w:divBdr>
            <w:top w:val="none" w:sz="0" w:space="0" w:color="auto"/>
            <w:left w:val="none" w:sz="0" w:space="0" w:color="auto"/>
            <w:bottom w:val="none" w:sz="0" w:space="0" w:color="auto"/>
            <w:right w:val="none" w:sz="0" w:space="0" w:color="auto"/>
          </w:divBdr>
        </w:div>
        <w:div w:id="1246769847">
          <w:marLeft w:val="0"/>
          <w:marRight w:val="0"/>
          <w:marTop w:val="0"/>
          <w:marBottom w:val="0"/>
          <w:divBdr>
            <w:top w:val="none" w:sz="0" w:space="0" w:color="auto"/>
            <w:left w:val="none" w:sz="0" w:space="0" w:color="auto"/>
            <w:bottom w:val="none" w:sz="0" w:space="0" w:color="auto"/>
            <w:right w:val="none" w:sz="0" w:space="0" w:color="auto"/>
          </w:divBdr>
          <w:divsChild>
            <w:div w:id="5715073">
              <w:marLeft w:val="0"/>
              <w:marRight w:val="0"/>
              <w:marTop w:val="0"/>
              <w:marBottom w:val="0"/>
              <w:divBdr>
                <w:top w:val="none" w:sz="0" w:space="0" w:color="auto"/>
                <w:left w:val="none" w:sz="0" w:space="0" w:color="auto"/>
                <w:bottom w:val="none" w:sz="0" w:space="0" w:color="auto"/>
                <w:right w:val="none" w:sz="0" w:space="0" w:color="auto"/>
              </w:divBdr>
            </w:div>
            <w:div w:id="8138992">
              <w:marLeft w:val="0"/>
              <w:marRight w:val="0"/>
              <w:marTop w:val="0"/>
              <w:marBottom w:val="0"/>
              <w:divBdr>
                <w:top w:val="none" w:sz="0" w:space="0" w:color="auto"/>
                <w:left w:val="none" w:sz="0" w:space="0" w:color="auto"/>
                <w:bottom w:val="none" w:sz="0" w:space="0" w:color="auto"/>
                <w:right w:val="none" w:sz="0" w:space="0" w:color="auto"/>
              </w:divBdr>
            </w:div>
            <w:div w:id="62996532">
              <w:marLeft w:val="0"/>
              <w:marRight w:val="0"/>
              <w:marTop w:val="0"/>
              <w:marBottom w:val="0"/>
              <w:divBdr>
                <w:top w:val="none" w:sz="0" w:space="0" w:color="auto"/>
                <w:left w:val="none" w:sz="0" w:space="0" w:color="auto"/>
                <w:bottom w:val="none" w:sz="0" w:space="0" w:color="auto"/>
                <w:right w:val="none" w:sz="0" w:space="0" w:color="auto"/>
              </w:divBdr>
            </w:div>
            <w:div w:id="124011126">
              <w:marLeft w:val="0"/>
              <w:marRight w:val="0"/>
              <w:marTop w:val="0"/>
              <w:marBottom w:val="0"/>
              <w:divBdr>
                <w:top w:val="none" w:sz="0" w:space="0" w:color="auto"/>
                <w:left w:val="none" w:sz="0" w:space="0" w:color="auto"/>
                <w:bottom w:val="none" w:sz="0" w:space="0" w:color="auto"/>
                <w:right w:val="none" w:sz="0" w:space="0" w:color="auto"/>
              </w:divBdr>
            </w:div>
            <w:div w:id="169300664">
              <w:marLeft w:val="0"/>
              <w:marRight w:val="0"/>
              <w:marTop w:val="0"/>
              <w:marBottom w:val="0"/>
              <w:divBdr>
                <w:top w:val="none" w:sz="0" w:space="0" w:color="auto"/>
                <w:left w:val="none" w:sz="0" w:space="0" w:color="auto"/>
                <w:bottom w:val="none" w:sz="0" w:space="0" w:color="auto"/>
                <w:right w:val="none" w:sz="0" w:space="0" w:color="auto"/>
              </w:divBdr>
            </w:div>
            <w:div w:id="185214739">
              <w:marLeft w:val="0"/>
              <w:marRight w:val="0"/>
              <w:marTop w:val="0"/>
              <w:marBottom w:val="0"/>
              <w:divBdr>
                <w:top w:val="none" w:sz="0" w:space="0" w:color="auto"/>
                <w:left w:val="none" w:sz="0" w:space="0" w:color="auto"/>
                <w:bottom w:val="none" w:sz="0" w:space="0" w:color="auto"/>
                <w:right w:val="none" w:sz="0" w:space="0" w:color="auto"/>
              </w:divBdr>
            </w:div>
            <w:div w:id="197742407">
              <w:marLeft w:val="0"/>
              <w:marRight w:val="0"/>
              <w:marTop w:val="0"/>
              <w:marBottom w:val="0"/>
              <w:divBdr>
                <w:top w:val="none" w:sz="0" w:space="0" w:color="auto"/>
                <w:left w:val="none" w:sz="0" w:space="0" w:color="auto"/>
                <w:bottom w:val="none" w:sz="0" w:space="0" w:color="auto"/>
                <w:right w:val="none" w:sz="0" w:space="0" w:color="auto"/>
              </w:divBdr>
            </w:div>
            <w:div w:id="268200421">
              <w:marLeft w:val="0"/>
              <w:marRight w:val="0"/>
              <w:marTop w:val="0"/>
              <w:marBottom w:val="0"/>
              <w:divBdr>
                <w:top w:val="none" w:sz="0" w:space="0" w:color="auto"/>
                <w:left w:val="none" w:sz="0" w:space="0" w:color="auto"/>
                <w:bottom w:val="none" w:sz="0" w:space="0" w:color="auto"/>
                <w:right w:val="none" w:sz="0" w:space="0" w:color="auto"/>
              </w:divBdr>
            </w:div>
            <w:div w:id="311763220">
              <w:marLeft w:val="0"/>
              <w:marRight w:val="0"/>
              <w:marTop w:val="0"/>
              <w:marBottom w:val="0"/>
              <w:divBdr>
                <w:top w:val="none" w:sz="0" w:space="0" w:color="auto"/>
                <w:left w:val="none" w:sz="0" w:space="0" w:color="auto"/>
                <w:bottom w:val="none" w:sz="0" w:space="0" w:color="auto"/>
                <w:right w:val="none" w:sz="0" w:space="0" w:color="auto"/>
              </w:divBdr>
            </w:div>
            <w:div w:id="442921047">
              <w:marLeft w:val="0"/>
              <w:marRight w:val="0"/>
              <w:marTop w:val="0"/>
              <w:marBottom w:val="0"/>
              <w:divBdr>
                <w:top w:val="none" w:sz="0" w:space="0" w:color="auto"/>
                <w:left w:val="none" w:sz="0" w:space="0" w:color="auto"/>
                <w:bottom w:val="none" w:sz="0" w:space="0" w:color="auto"/>
                <w:right w:val="none" w:sz="0" w:space="0" w:color="auto"/>
              </w:divBdr>
            </w:div>
            <w:div w:id="479880408">
              <w:marLeft w:val="0"/>
              <w:marRight w:val="0"/>
              <w:marTop w:val="0"/>
              <w:marBottom w:val="0"/>
              <w:divBdr>
                <w:top w:val="none" w:sz="0" w:space="0" w:color="auto"/>
                <w:left w:val="none" w:sz="0" w:space="0" w:color="auto"/>
                <w:bottom w:val="none" w:sz="0" w:space="0" w:color="auto"/>
                <w:right w:val="none" w:sz="0" w:space="0" w:color="auto"/>
              </w:divBdr>
            </w:div>
            <w:div w:id="568424315">
              <w:marLeft w:val="0"/>
              <w:marRight w:val="0"/>
              <w:marTop w:val="0"/>
              <w:marBottom w:val="0"/>
              <w:divBdr>
                <w:top w:val="none" w:sz="0" w:space="0" w:color="auto"/>
                <w:left w:val="none" w:sz="0" w:space="0" w:color="auto"/>
                <w:bottom w:val="none" w:sz="0" w:space="0" w:color="auto"/>
                <w:right w:val="none" w:sz="0" w:space="0" w:color="auto"/>
              </w:divBdr>
            </w:div>
            <w:div w:id="620067643">
              <w:marLeft w:val="0"/>
              <w:marRight w:val="0"/>
              <w:marTop w:val="0"/>
              <w:marBottom w:val="0"/>
              <w:divBdr>
                <w:top w:val="none" w:sz="0" w:space="0" w:color="auto"/>
                <w:left w:val="none" w:sz="0" w:space="0" w:color="auto"/>
                <w:bottom w:val="none" w:sz="0" w:space="0" w:color="auto"/>
                <w:right w:val="none" w:sz="0" w:space="0" w:color="auto"/>
              </w:divBdr>
            </w:div>
            <w:div w:id="675615416">
              <w:marLeft w:val="0"/>
              <w:marRight w:val="0"/>
              <w:marTop w:val="0"/>
              <w:marBottom w:val="0"/>
              <w:divBdr>
                <w:top w:val="none" w:sz="0" w:space="0" w:color="auto"/>
                <w:left w:val="none" w:sz="0" w:space="0" w:color="auto"/>
                <w:bottom w:val="none" w:sz="0" w:space="0" w:color="auto"/>
                <w:right w:val="none" w:sz="0" w:space="0" w:color="auto"/>
              </w:divBdr>
            </w:div>
            <w:div w:id="750272366">
              <w:marLeft w:val="0"/>
              <w:marRight w:val="0"/>
              <w:marTop w:val="0"/>
              <w:marBottom w:val="0"/>
              <w:divBdr>
                <w:top w:val="none" w:sz="0" w:space="0" w:color="auto"/>
                <w:left w:val="none" w:sz="0" w:space="0" w:color="auto"/>
                <w:bottom w:val="none" w:sz="0" w:space="0" w:color="auto"/>
                <w:right w:val="none" w:sz="0" w:space="0" w:color="auto"/>
              </w:divBdr>
            </w:div>
            <w:div w:id="771782535">
              <w:marLeft w:val="0"/>
              <w:marRight w:val="0"/>
              <w:marTop w:val="0"/>
              <w:marBottom w:val="0"/>
              <w:divBdr>
                <w:top w:val="none" w:sz="0" w:space="0" w:color="auto"/>
                <w:left w:val="none" w:sz="0" w:space="0" w:color="auto"/>
                <w:bottom w:val="none" w:sz="0" w:space="0" w:color="auto"/>
                <w:right w:val="none" w:sz="0" w:space="0" w:color="auto"/>
              </w:divBdr>
            </w:div>
            <w:div w:id="779034691">
              <w:marLeft w:val="0"/>
              <w:marRight w:val="0"/>
              <w:marTop w:val="0"/>
              <w:marBottom w:val="0"/>
              <w:divBdr>
                <w:top w:val="none" w:sz="0" w:space="0" w:color="auto"/>
                <w:left w:val="none" w:sz="0" w:space="0" w:color="auto"/>
                <w:bottom w:val="none" w:sz="0" w:space="0" w:color="auto"/>
                <w:right w:val="none" w:sz="0" w:space="0" w:color="auto"/>
              </w:divBdr>
            </w:div>
            <w:div w:id="799498009">
              <w:marLeft w:val="0"/>
              <w:marRight w:val="0"/>
              <w:marTop w:val="0"/>
              <w:marBottom w:val="0"/>
              <w:divBdr>
                <w:top w:val="none" w:sz="0" w:space="0" w:color="auto"/>
                <w:left w:val="none" w:sz="0" w:space="0" w:color="auto"/>
                <w:bottom w:val="none" w:sz="0" w:space="0" w:color="auto"/>
                <w:right w:val="none" w:sz="0" w:space="0" w:color="auto"/>
              </w:divBdr>
            </w:div>
            <w:div w:id="824006725">
              <w:marLeft w:val="0"/>
              <w:marRight w:val="0"/>
              <w:marTop w:val="0"/>
              <w:marBottom w:val="0"/>
              <w:divBdr>
                <w:top w:val="none" w:sz="0" w:space="0" w:color="auto"/>
                <w:left w:val="none" w:sz="0" w:space="0" w:color="auto"/>
                <w:bottom w:val="none" w:sz="0" w:space="0" w:color="auto"/>
                <w:right w:val="none" w:sz="0" w:space="0" w:color="auto"/>
              </w:divBdr>
            </w:div>
            <w:div w:id="989333982">
              <w:marLeft w:val="0"/>
              <w:marRight w:val="0"/>
              <w:marTop w:val="0"/>
              <w:marBottom w:val="0"/>
              <w:divBdr>
                <w:top w:val="none" w:sz="0" w:space="0" w:color="auto"/>
                <w:left w:val="none" w:sz="0" w:space="0" w:color="auto"/>
                <w:bottom w:val="none" w:sz="0" w:space="0" w:color="auto"/>
                <w:right w:val="none" w:sz="0" w:space="0" w:color="auto"/>
              </w:divBdr>
            </w:div>
            <w:div w:id="1009212322">
              <w:marLeft w:val="0"/>
              <w:marRight w:val="0"/>
              <w:marTop w:val="0"/>
              <w:marBottom w:val="0"/>
              <w:divBdr>
                <w:top w:val="none" w:sz="0" w:space="0" w:color="auto"/>
                <w:left w:val="none" w:sz="0" w:space="0" w:color="auto"/>
                <w:bottom w:val="none" w:sz="0" w:space="0" w:color="auto"/>
                <w:right w:val="none" w:sz="0" w:space="0" w:color="auto"/>
              </w:divBdr>
            </w:div>
            <w:div w:id="1045638958">
              <w:marLeft w:val="0"/>
              <w:marRight w:val="0"/>
              <w:marTop w:val="0"/>
              <w:marBottom w:val="0"/>
              <w:divBdr>
                <w:top w:val="none" w:sz="0" w:space="0" w:color="auto"/>
                <w:left w:val="none" w:sz="0" w:space="0" w:color="auto"/>
                <w:bottom w:val="none" w:sz="0" w:space="0" w:color="auto"/>
                <w:right w:val="none" w:sz="0" w:space="0" w:color="auto"/>
              </w:divBdr>
            </w:div>
            <w:div w:id="1047416475">
              <w:marLeft w:val="0"/>
              <w:marRight w:val="0"/>
              <w:marTop w:val="0"/>
              <w:marBottom w:val="0"/>
              <w:divBdr>
                <w:top w:val="none" w:sz="0" w:space="0" w:color="auto"/>
                <w:left w:val="none" w:sz="0" w:space="0" w:color="auto"/>
                <w:bottom w:val="none" w:sz="0" w:space="0" w:color="auto"/>
                <w:right w:val="none" w:sz="0" w:space="0" w:color="auto"/>
              </w:divBdr>
            </w:div>
            <w:div w:id="1230267039">
              <w:marLeft w:val="0"/>
              <w:marRight w:val="0"/>
              <w:marTop w:val="0"/>
              <w:marBottom w:val="0"/>
              <w:divBdr>
                <w:top w:val="none" w:sz="0" w:space="0" w:color="auto"/>
                <w:left w:val="none" w:sz="0" w:space="0" w:color="auto"/>
                <w:bottom w:val="none" w:sz="0" w:space="0" w:color="auto"/>
                <w:right w:val="none" w:sz="0" w:space="0" w:color="auto"/>
              </w:divBdr>
            </w:div>
            <w:div w:id="1239751200">
              <w:marLeft w:val="0"/>
              <w:marRight w:val="0"/>
              <w:marTop w:val="0"/>
              <w:marBottom w:val="0"/>
              <w:divBdr>
                <w:top w:val="none" w:sz="0" w:space="0" w:color="auto"/>
                <w:left w:val="none" w:sz="0" w:space="0" w:color="auto"/>
                <w:bottom w:val="none" w:sz="0" w:space="0" w:color="auto"/>
                <w:right w:val="none" w:sz="0" w:space="0" w:color="auto"/>
              </w:divBdr>
            </w:div>
            <w:div w:id="1361009659">
              <w:marLeft w:val="0"/>
              <w:marRight w:val="0"/>
              <w:marTop w:val="0"/>
              <w:marBottom w:val="0"/>
              <w:divBdr>
                <w:top w:val="none" w:sz="0" w:space="0" w:color="auto"/>
                <w:left w:val="none" w:sz="0" w:space="0" w:color="auto"/>
                <w:bottom w:val="none" w:sz="0" w:space="0" w:color="auto"/>
                <w:right w:val="none" w:sz="0" w:space="0" w:color="auto"/>
              </w:divBdr>
            </w:div>
            <w:div w:id="1495410112">
              <w:marLeft w:val="0"/>
              <w:marRight w:val="0"/>
              <w:marTop w:val="0"/>
              <w:marBottom w:val="0"/>
              <w:divBdr>
                <w:top w:val="none" w:sz="0" w:space="0" w:color="auto"/>
                <w:left w:val="none" w:sz="0" w:space="0" w:color="auto"/>
                <w:bottom w:val="none" w:sz="0" w:space="0" w:color="auto"/>
                <w:right w:val="none" w:sz="0" w:space="0" w:color="auto"/>
              </w:divBdr>
            </w:div>
            <w:div w:id="1495680774">
              <w:marLeft w:val="0"/>
              <w:marRight w:val="0"/>
              <w:marTop w:val="0"/>
              <w:marBottom w:val="0"/>
              <w:divBdr>
                <w:top w:val="none" w:sz="0" w:space="0" w:color="auto"/>
                <w:left w:val="none" w:sz="0" w:space="0" w:color="auto"/>
                <w:bottom w:val="none" w:sz="0" w:space="0" w:color="auto"/>
                <w:right w:val="none" w:sz="0" w:space="0" w:color="auto"/>
              </w:divBdr>
            </w:div>
            <w:div w:id="1739790935">
              <w:marLeft w:val="0"/>
              <w:marRight w:val="0"/>
              <w:marTop w:val="0"/>
              <w:marBottom w:val="0"/>
              <w:divBdr>
                <w:top w:val="none" w:sz="0" w:space="0" w:color="auto"/>
                <w:left w:val="none" w:sz="0" w:space="0" w:color="auto"/>
                <w:bottom w:val="none" w:sz="0" w:space="0" w:color="auto"/>
                <w:right w:val="none" w:sz="0" w:space="0" w:color="auto"/>
              </w:divBdr>
            </w:div>
            <w:div w:id="1902055709">
              <w:marLeft w:val="0"/>
              <w:marRight w:val="0"/>
              <w:marTop w:val="0"/>
              <w:marBottom w:val="0"/>
              <w:divBdr>
                <w:top w:val="none" w:sz="0" w:space="0" w:color="auto"/>
                <w:left w:val="none" w:sz="0" w:space="0" w:color="auto"/>
                <w:bottom w:val="none" w:sz="0" w:space="0" w:color="auto"/>
                <w:right w:val="none" w:sz="0" w:space="0" w:color="auto"/>
              </w:divBdr>
            </w:div>
            <w:div w:id="1961260695">
              <w:marLeft w:val="0"/>
              <w:marRight w:val="0"/>
              <w:marTop w:val="0"/>
              <w:marBottom w:val="0"/>
              <w:divBdr>
                <w:top w:val="none" w:sz="0" w:space="0" w:color="auto"/>
                <w:left w:val="none" w:sz="0" w:space="0" w:color="auto"/>
                <w:bottom w:val="none" w:sz="0" w:space="0" w:color="auto"/>
                <w:right w:val="none" w:sz="0" w:space="0" w:color="auto"/>
              </w:divBdr>
            </w:div>
            <w:div w:id="1994411190">
              <w:marLeft w:val="0"/>
              <w:marRight w:val="0"/>
              <w:marTop w:val="0"/>
              <w:marBottom w:val="0"/>
              <w:divBdr>
                <w:top w:val="none" w:sz="0" w:space="0" w:color="auto"/>
                <w:left w:val="none" w:sz="0" w:space="0" w:color="auto"/>
                <w:bottom w:val="none" w:sz="0" w:space="0" w:color="auto"/>
                <w:right w:val="none" w:sz="0" w:space="0" w:color="auto"/>
              </w:divBdr>
            </w:div>
            <w:div w:id="2100903411">
              <w:marLeft w:val="0"/>
              <w:marRight w:val="0"/>
              <w:marTop w:val="0"/>
              <w:marBottom w:val="0"/>
              <w:divBdr>
                <w:top w:val="none" w:sz="0" w:space="0" w:color="auto"/>
                <w:left w:val="none" w:sz="0" w:space="0" w:color="auto"/>
                <w:bottom w:val="none" w:sz="0" w:space="0" w:color="auto"/>
                <w:right w:val="none" w:sz="0" w:space="0" w:color="auto"/>
              </w:divBdr>
            </w:div>
            <w:div w:id="2135975187">
              <w:marLeft w:val="0"/>
              <w:marRight w:val="0"/>
              <w:marTop w:val="0"/>
              <w:marBottom w:val="0"/>
              <w:divBdr>
                <w:top w:val="none" w:sz="0" w:space="0" w:color="auto"/>
                <w:left w:val="none" w:sz="0" w:space="0" w:color="auto"/>
                <w:bottom w:val="none" w:sz="0" w:space="0" w:color="auto"/>
                <w:right w:val="none" w:sz="0" w:space="0" w:color="auto"/>
              </w:divBdr>
            </w:div>
          </w:divsChild>
        </w:div>
        <w:div w:id="1303385240">
          <w:marLeft w:val="0"/>
          <w:marRight w:val="0"/>
          <w:marTop w:val="0"/>
          <w:marBottom w:val="0"/>
          <w:divBdr>
            <w:top w:val="none" w:sz="0" w:space="0" w:color="auto"/>
            <w:left w:val="none" w:sz="0" w:space="0" w:color="auto"/>
            <w:bottom w:val="none" w:sz="0" w:space="0" w:color="auto"/>
            <w:right w:val="none" w:sz="0" w:space="0" w:color="auto"/>
          </w:divBdr>
        </w:div>
        <w:div w:id="1353068146">
          <w:marLeft w:val="0"/>
          <w:marRight w:val="0"/>
          <w:marTop w:val="0"/>
          <w:marBottom w:val="0"/>
          <w:divBdr>
            <w:top w:val="none" w:sz="0" w:space="0" w:color="auto"/>
            <w:left w:val="none" w:sz="0" w:space="0" w:color="auto"/>
            <w:bottom w:val="none" w:sz="0" w:space="0" w:color="auto"/>
            <w:right w:val="none" w:sz="0" w:space="0" w:color="auto"/>
          </w:divBdr>
        </w:div>
        <w:div w:id="1382825654">
          <w:marLeft w:val="0"/>
          <w:marRight w:val="0"/>
          <w:marTop w:val="0"/>
          <w:marBottom w:val="0"/>
          <w:divBdr>
            <w:top w:val="none" w:sz="0" w:space="0" w:color="auto"/>
            <w:left w:val="none" w:sz="0" w:space="0" w:color="auto"/>
            <w:bottom w:val="none" w:sz="0" w:space="0" w:color="auto"/>
            <w:right w:val="none" w:sz="0" w:space="0" w:color="auto"/>
          </w:divBdr>
        </w:div>
        <w:div w:id="1389112003">
          <w:marLeft w:val="0"/>
          <w:marRight w:val="0"/>
          <w:marTop w:val="0"/>
          <w:marBottom w:val="0"/>
          <w:divBdr>
            <w:top w:val="none" w:sz="0" w:space="0" w:color="auto"/>
            <w:left w:val="none" w:sz="0" w:space="0" w:color="auto"/>
            <w:bottom w:val="none" w:sz="0" w:space="0" w:color="auto"/>
            <w:right w:val="none" w:sz="0" w:space="0" w:color="auto"/>
          </w:divBdr>
        </w:div>
        <w:div w:id="1430615292">
          <w:marLeft w:val="0"/>
          <w:marRight w:val="0"/>
          <w:marTop w:val="0"/>
          <w:marBottom w:val="0"/>
          <w:divBdr>
            <w:top w:val="none" w:sz="0" w:space="0" w:color="auto"/>
            <w:left w:val="none" w:sz="0" w:space="0" w:color="auto"/>
            <w:bottom w:val="none" w:sz="0" w:space="0" w:color="auto"/>
            <w:right w:val="none" w:sz="0" w:space="0" w:color="auto"/>
          </w:divBdr>
        </w:div>
        <w:div w:id="1513642391">
          <w:marLeft w:val="0"/>
          <w:marRight w:val="0"/>
          <w:marTop w:val="0"/>
          <w:marBottom w:val="0"/>
          <w:divBdr>
            <w:top w:val="none" w:sz="0" w:space="0" w:color="auto"/>
            <w:left w:val="none" w:sz="0" w:space="0" w:color="auto"/>
            <w:bottom w:val="none" w:sz="0" w:space="0" w:color="auto"/>
            <w:right w:val="none" w:sz="0" w:space="0" w:color="auto"/>
          </w:divBdr>
        </w:div>
        <w:div w:id="1544639248">
          <w:marLeft w:val="0"/>
          <w:marRight w:val="0"/>
          <w:marTop w:val="0"/>
          <w:marBottom w:val="0"/>
          <w:divBdr>
            <w:top w:val="none" w:sz="0" w:space="0" w:color="auto"/>
            <w:left w:val="none" w:sz="0" w:space="0" w:color="auto"/>
            <w:bottom w:val="none" w:sz="0" w:space="0" w:color="auto"/>
            <w:right w:val="none" w:sz="0" w:space="0" w:color="auto"/>
          </w:divBdr>
        </w:div>
        <w:div w:id="1564441706">
          <w:marLeft w:val="0"/>
          <w:marRight w:val="0"/>
          <w:marTop w:val="0"/>
          <w:marBottom w:val="0"/>
          <w:divBdr>
            <w:top w:val="none" w:sz="0" w:space="0" w:color="auto"/>
            <w:left w:val="none" w:sz="0" w:space="0" w:color="auto"/>
            <w:bottom w:val="none" w:sz="0" w:space="0" w:color="auto"/>
            <w:right w:val="none" w:sz="0" w:space="0" w:color="auto"/>
          </w:divBdr>
        </w:div>
        <w:div w:id="1719817727">
          <w:marLeft w:val="0"/>
          <w:marRight w:val="0"/>
          <w:marTop w:val="0"/>
          <w:marBottom w:val="0"/>
          <w:divBdr>
            <w:top w:val="none" w:sz="0" w:space="0" w:color="auto"/>
            <w:left w:val="none" w:sz="0" w:space="0" w:color="auto"/>
            <w:bottom w:val="none" w:sz="0" w:space="0" w:color="auto"/>
            <w:right w:val="none" w:sz="0" w:space="0" w:color="auto"/>
          </w:divBdr>
        </w:div>
        <w:div w:id="1758987030">
          <w:marLeft w:val="0"/>
          <w:marRight w:val="0"/>
          <w:marTop w:val="0"/>
          <w:marBottom w:val="0"/>
          <w:divBdr>
            <w:top w:val="none" w:sz="0" w:space="0" w:color="auto"/>
            <w:left w:val="none" w:sz="0" w:space="0" w:color="auto"/>
            <w:bottom w:val="none" w:sz="0" w:space="0" w:color="auto"/>
            <w:right w:val="none" w:sz="0" w:space="0" w:color="auto"/>
          </w:divBdr>
        </w:div>
        <w:div w:id="1769233411">
          <w:marLeft w:val="0"/>
          <w:marRight w:val="0"/>
          <w:marTop w:val="0"/>
          <w:marBottom w:val="0"/>
          <w:divBdr>
            <w:top w:val="none" w:sz="0" w:space="0" w:color="auto"/>
            <w:left w:val="none" w:sz="0" w:space="0" w:color="auto"/>
            <w:bottom w:val="none" w:sz="0" w:space="0" w:color="auto"/>
            <w:right w:val="none" w:sz="0" w:space="0" w:color="auto"/>
          </w:divBdr>
        </w:div>
        <w:div w:id="1817338126">
          <w:marLeft w:val="0"/>
          <w:marRight w:val="0"/>
          <w:marTop w:val="0"/>
          <w:marBottom w:val="0"/>
          <w:divBdr>
            <w:top w:val="none" w:sz="0" w:space="0" w:color="auto"/>
            <w:left w:val="none" w:sz="0" w:space="0" w:color="auto"/>
            <w:bottom w:val="none" w:sz="0" w:space="0" w:color="auto"/>
            <w:right w:val="none" w:sz="0" w:space="0" w:color="auto"/>
          </w:divBdr>
        </w:div>
        <w:div w:id="1838809780">
          <w:marLeft w:val="0"/>
          <w:marRight w:val="0"/>
          <w:marTop w:val="0"/>
          <w:marBottom w:val="0"/>
          <w:divBdr>
            <w:top w:val="none" w:sz="0" w:space="0" w:color="auto"/>
            <w:left w:val="none" w:sz="0" w:space="0" w:color="auto"/>
            <w:bottom w:val="none" w:sz="0" w:space="0" w:color="auto"/>
            <w:right w:val="none" w:sz="0" w:space="0" w:color="auto"/>
          </w:divBdr>
        </w:div>
        <w:div w:id="1856074676">
          <w:marLeft w:val="0"/>
          <w:marRight w:val="0"/>
          <w:marTop w:val="0"/>
          <w:marBottom w:val="0"/>
          <w:divBdr>
            <w:top w:val="none" w:sz="0" w:space="0" w:color="auto"/>
            <w:left w:val="none" w:sz="0" w:space="0" w:color="auto"/>
            <w:bottom w:val="none" w:sz="0" w:space="0" w:color="auto"/>
            <w:right w:val="none" w:sz="0" w:space="0" w:color="auto"/>
          </w:divBdr>
        </w:div>
        <w:div w:id="1901086755">
          <w:marLeft w:val="0"/>
          <w:marRight w:val="0"/>
          <w:marTop w:val="0"/>
          <w:marBottom w:val="0"/>
          <w:divBdr>
            <w:top w:val="none" w:sz="0" w:space="0" w:color="auto"/>
            <w:left w:val="none" w:sz="0" w:space="0" w:color="auto"/>
            <w:bottom w:val="none" w:sz="0" w:space="0" w:color="auto"/>
            <w:right w:val="none" w:sz="0" w:space="0" w:color="auto"/>
          </w:divBdr>
        </w:div>
        <w:div w:id="1981417919">
          <w:marLeft w:val="0"/>
          <w:marRight w:val="0"/>
          <w:marTop w:val="0"/>
          <w:marBottom w:val="0"/>
          <w:divBdr>
            <w:top w:val="none" w:sz="0" w:space="0" w:color="auto"/>
            <w:left w:val="none" w:sz="0" w:space="0" w:color="auto"/>
            <w:bottom w:val="none" w:sz="0" w:space="0" w:color="auto"/>
            <w:right w:val="none" w:sz="0" w:space="0" w:color="auto"/>
          </w:divBdr>
        </w:div>
        <w:div w:id="1993213471">
          <w:marLeft w:val="0"/>
          <w:marRight w:val="0"/>
          <w:marTop w:val="0"/>
          <w:marBottom w:val="0"/>
          <w:divBdr>
            <w:top w:val="none" w:sz="0" w:space="0" w:color="auto"/>
            <w:left w:val="none" w:sz="0" w:space="0" w:color="auto"/>
            <w:bottom w:val="none" w:sz="0" w:space="0" w:color="auto"/>
            <w:right w:val="none" w:sz="0" w:space="0" w:color="auto"/>
          </w:divBdr>
        </w:div>
        <w:div w:id="2144230714">
          <w:marLeft w:val="0"/>
          <w:marRight w:val="0"/>
          <w:marTop w:val="0"/>
          <w:marBottom w:val="0"/>
          <w:divBdr>
            <w:top w:val="none" w:sz="0" w:space="0" w:color="auto"/>
            <w:left w:val="none" w:sz="0" w:space="0" w:color="auto"/>
            <w:bottom w:val="none" w:sz="0" w:space="0" w:color="auto"/>
            <w:right w:val="none" w:sz="0" w:space="0" w:color="auto"/>
          </w:divBdr>
        </w:div>
      </w:divsChild>
    </w:div>
    <w:div w:id="1555389585">
      <w:bodyDiv w:val="1"/>
      <w:marLeft w:val="0"/>
      <w:marRight w:val="0"/>
      <w:marTop w:val="0"/>
      <w:marBottom w:val="0"/>
      <w:divBdr>
        <w:top w:val="none" w:sz="0" w:space="0" w:color="auto"/>
        <w:left w:val="none" w:sz="0" w:space="0" w:color="auto"/>
        <w:bottom w:val="none" w:sz="0" w:space="0" w:color="auto"/>
        <w:right w:val="none" w:sz="0" w:space="0" w:color="auto"/>
      </w:divBdr>
    </w:div>
    <w:div w:id="204868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2026-06-25T08:18:00Z</dcterms:created>
  <dcterms:modified xsi:type="dcterms:W3CDTF">2026-06-29T18:45:00Z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7ec8a7ee,4ddbe4c,470af19c</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735bcc6c,19240c8c,26136d72</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2026-06-25T08:19:08Z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4f5081d4-4ac3-4455-9052-4d2b308b68d8</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