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00EBC85C" w14:textId="77777777" w:rsidR="004073BC" w:rsidRDefault="00F72274" w:rsidP="00C077FC">
          <w:pPr>
            <w:pStyle w:val="BodyText1"/>
          </w:pPr>
          <w:r>
            <w:rPr>
              <w:noProof/>
            </w:rPr>
            <w:drawing>
              <wp:anchor distT="0" distB="0" distL="114300" distR="114300" simplePos="0" relativeHeight="251658241" behindDoc="1" locked="0" layoutInCell="1" allowOverlap="1" wp14:anchorId="5F002A67" wp14:editId="5E5FF22B">
                <wp:simplePos x="0" y="0"/>
                <wp:positionH relativeFrom="page">
                  <wp:align>left</wp:align>
                </wp:positionH>
                <wp:positionV relativeFrom="paragraph">
                  <wp:posOffset>-711200</wp:posOffset>
                </wp:positionV>
                <wp:extent cx="8168640" cy="11744911"/>
                <wp:effectExtent l="0" t="0" r="381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68640" cy="11744911"/>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3370137C" wp14:editId="6DA856B5">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707234A1" w14:textId="77777777" w:rsidR="004073BC" w:rsidRDefault="004073BC" w:rsidP="008C1A73"/>
        <w:p w14:paraId="685A0211" w14:textId="77777777" w:rsidR="004073BC" w:rsidRDefault="004073BC" w:rsidP="008C1A73"/>
        <w:p w14:paraId="4C38B1F8" w14:textId="2B931B40" w:rsidR="00801105" w:rsidRPr="00D83E8A" w:rsidRDefault="00281BB1" w:rsidP="00D83E8A">
          <w:pPr>
            <w:ind w:left="-851"/>
            <w:rPr>
              <w:b/>
              <w:bCs/>
              <w:color w:val="FFFFFF" w:themeColor="background1"/>
              <w:sz w:val="96"/>
              <w:szCs w:val="96"/>
            </w:rPr>
          </w:pPr>
          <w:r w:rsidRPr="00D83E8A">
            <w:rPr>
              <w:noProof/>
              <w:sz w:val="28"/>
              <w:szCs w:val="28"/>
            </w:rPr>
            <mc:AlternateContent>
              <mc:Choice Requires="wps">
                <w:drawing>
                  <wp:anchor distT="0" distB="0" distL="114300" distR="114300" simplePos="0" relativeHeight="251658240" behindDoc="0" locked="1" layoutInCell="1" allowOverlap="1" wp14:anchorId="6E1355B6" wp14:editId="24493998">
                    <wp:simplePos x="0" y="0"/>
                    <wp:positionH relativeFrom="column">
                      <wp:posOffset>-476250</wp:posOffset>
                    </wp:positionH>
                    <wp:positionV relativeFrom="paragraph">
                      <wp:posOffset>7749540</wp:posOffset>
                    </wp:positionV>
                    <wp:extent cx="4308475" cy="600075"/>
                    <wp:effectExtent l="0" t="0" r="0" b="952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600075"/>
                            </a:xfrm>
                            <a:prstGeom prst="rect">
                              <a:avLst/>
                            </a:prstGeom>
                            <a:noFill/>
                            <a:ln w="6350">
                              <a:noFill/>
                            </a:ln>
                          </wps:spPr>
                          <wps:txbx>
                            <w:txbxContent>
                              <w:p w14:paraId="1E41F69F" w14:textId="00CF06FA" w:rsidR="00281BB1" w:rsidRDefault="00B8653F" w:rsidP="00281BB1">
                                <w:pPr>
                                  <w:pStyle w:val="BodyText1"/>
                                  <w:rPr>
                                    <w:color w:val="FFFFFF" w:themeColor="background1"/>
                                  </w:rPr>
                                </w:pPr>
                                <w:r>
                                  <w:rPr>
                                    <w:color w:val="FFFFFF" w:themeColor="background1"/>
                                  </w:rPr>
                                  <w:t xml:space="preserve">Version </w:t>
                                </w:r>
                                <w:r w:rsidR="00D83E8A">
                                  <w:rPr>
                                    <w:color w:val="FFFFFF" w:themeColor="background1"/>
                                  </w:rPr>
                                  <w:t>2.0 August</w:t>
                                </w:r>
                                <w:r w:rsidR="00BB6EB1">
                                  <w:rPr>
                                    <w:color w:val="FFFFFF" w:themeColor="background1"/>
                                  </w:rPr>
                                  <w:t xml:space="preserve"> 2025</w:t>
                                </w:r>
                              </w:p>
                              <w:p w14:paraId="5F70B0D8" w14:textId="62231128" w:rsidR="00D83E8A" w:rsidRPr="009A240D" w:rsidRDefault="00D83E8A" w:rsidP="00281BB1">
                                <w:pPr>
                                  <w:pStyle w:val="BodyText1"/>
                                  <w:rPr>
                                    <w:color w:val="FFFFFF" w:themeColor="background1"/>
                                  </w:rPr>
                                </w:pPr>
                                <w:r>
                                  <w:rPr>
                                    <w:color w:val="FFFFFF" w:themeColor="background1"/>
                                  </w:rPr>
                                  <w:t>IND-G-020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355B6" id="_x0000_t202" coordsize="21600,21600" o:spt="202" path="m,l,21600r21600,l21600,xe">
                    <v:stroke joinstyle="miter"/>
                    <v:path gradientshapeok="t" o:connecttype="rect"/>
                  </v:shapetype>
                  <v:shape id="Text Box 3" o:spid="_x0000_s1026" type="#_x0000_t202" alt="&quot;&quot;" style="position:absolute;left:0;text-align:left;margin-left:-37.5pt;margin-top:610.2pt;width:339.2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qDAIAABwEAAAOAAAAZHJzL2Uyb0RvYy54bWysU01v2zAMvQ/YfxB0X+z0a4VRp8haZBgQ&#10;tAXSoWdFlmIDsqhRSuzs14+S7WTodhp2kZ9F6lF8fLq771vDDgp9A7bk81nOmbISqsbuSv79dfXp&#10;ljMfhK2EAatKflSe3y8+frjrXKEuoAZTKWREYn3RuZLXIbgiy7ysVSv8DJyyFNSArQj0i7usQtER&#10;e2uyizy/yTrAyiFI5T3tPg5Bvkj8WisZnrX2KjBTcrpbSCumdRvXbHEnih0KVzdyvIb4h1u0orFU&#10;9ET1KIJge2z+oGobieBBh5mENgOtG6lSD9TNPH/XzaYWTqVeSBzvTjL5/0crnw4b94Is9F+gpwFG&#10;QTrnC0+bsZ9eYxu/dFNGcZLweJJN9YFJ2ry6zG+vPl9zJil2k+c5YaLJzqcd+vBVQcsiKDnSWJJa&#10;4rD2YUidUmIxC6vGmDQaY1lHpJfXeTpwihC5sVTjfNeIQr/txwa2UB2pL4Rh5N7JVUPF18KHF4E0&#10;Y2qFfBueadEGqAiMiLMa8Off9mM+SU9RzjryTMn9j71AxZn5Zmko0WATwAlsJ2D37QOQDef0IpxM&#10;kA5gMBPUCO0b2XkZq1BIWEm1Sh4m+BAG59JzkGq5TElkIyfC2m6cjNRRvijla/8m0I16B5rUE0xu&#10;EsU72YfcQfjlPoBu0kyioIOKo85kwTTV8blEj//+n7LOj3rxCwAA//8DAFBLAwQUAAYACAAAACEA&#10;3yjS/OIAAAANAQAADwAAAGRycy9kb3ducmV2LnhtbEyPS0/DMBCE70j8B2uRuLV20heEOBXicaNQ&#10;Ckhwc2KTRPgRxZs0/HuWExx3ZjT7Tb6dnGWj6WMbvIRkLoAZXwXd+lrC68v97AJYROW1ssEbCd8m&#10;wrY4PclVpsPRP5vxgDWjEh8zJaFB7DLOY9UYp+I8dMaT9xl6p5DOvua6V0cqd5anQqy5U62nD43q&#10;zE1jqq/D4CTY99g/lAI/xtt6h/snPrzdJY9Snp9N11fA0Ez4F4ZffEKHgpjKMHgdmZUw26xoC5KR&#10;pmIJjCJrsVgBK0laJMtL4EXO/68ofgAAAP//AwBQSwECLQAUAAYACAAAACEAtoM4kv4AAADhAQAA&#10;EwAAAAAAAAAAAAAAAAAAAAAAW0NvbnRlbnRfVHlwZXNdLnhtbFBLAQItABQABgAIAAAAIQA4/SH/&#10;1gAAAJQBAAALAAAAAAAAAAAAAAAAAC8BAABfcmVscy8ucmVsc1BLAQItABQABgAIAAAAIQDCdZdq&#10;DAIAABwEAAAOAAAAAAAAAAAAAAAAAC4CAABkcnMvZTJvRG9jLnhtbFBLAQItABQABgAIAAAAIQDf&#10;KNL84gAAAA0BAAAPAAAAAAAAAAAAAAAAAGYEAABkcnMvZG93bnJldi54bWxQSwUGAAAAAAQABADz&#10;AAAAdQUAAAAA&#10;" filled="f" stroked="f" strokeweight=".5pt">
                    <v:textbox inset="0,0,0,0">
                      <w:txbxContent>
                        <w:p w14:paraId="1E41F69F" w14:textId="00CF06FA" w:rsidR="00281BB1" w:rsidRDefault="00B8653F" w:rsidP="00281BB1">
                          <w:pPr>
                            <w:pStyle w:val="BodyText1"/>
                            <w:rPr>
                              <w:color w:val="FFFFFF" w:themeColor="background1"/>
                            </w:rPr>
                          </w:pPr>
                          <w:r>
                            <w:rPr>
                              <w:color w:val="FFFFFF" w:themeColor="background1"/>
                            </w:rPr>
                            <w:t xml:space="preserve">Version </w:t>
                          </w:r>
                          <w:r w:rsidR="00D83E8A">
                            <w:rPr>
                              <w:color w:val="FFFFFF" w:themeColor="background1"/>
                            </w:rPr>
                            <w:t>2.0 August</w:t>
                          </w:r>
                          <w:r w:rsidR="00BB6EB1">
                            <w:rPr>
                              <w:color w:val="FFFFFF" w:themeColor="background1"/>
                            </w:rPr>
                            <w:t xml:space="preserve"> 2025</w:t>
                          </w:r>
                        </w:p>
                        <w:p w14:paraId="5F70B0D8" w14:textId="62231128" w:rsidR="00D83E8A" w:rsidRPr="009A240D" w:rsidRDefault="00D83E8A" w:rsidP="00281BB1">
                          <w:pPr>
                            <w:pStyle w:val="BodyText1"/>
                            <w:rPr>
                              <w:color w:val="FFFFFF" w:themeColor="background1"/>
                            </w:rPr>
                          </w:pPr>
                          <w:r>
                            <w:rPr>
                              <w:color w:val="FFFFFF" w:themeColor="background1"/>
                            </w:rPr>
                            <w:t>IND-G-020</w:t>
                          </w:r>
                        </w:p>
                      </w:txbxContent>
                    </v:textbox>
                    <w10:anchorlock/>
                  </v:shape>
                </w:pict>
              </mc:Fallback>
            </mc:AlternateContent>
          </w:r>
          <w:r w:rsidR="00E83A47" w:rsidRPr="00D83E8A">
            <w:rPr>
              <w:b/>
              <w:bCs/>
              <w:color w:val="FFFFFF" w:themeColor="background1"/>
              <w:sz w:val="96"/>
              <w:szCs w:val="96"/>
            </w:rPr>
            <w:t>SEPA</w:t>
          </w:r>
          <w:r w:rsidR="00B8653F" w:rsidRPr="00D83E8A">
            <w:rPr>
              <w:b/>
              <w:bCs/>
              <w:color w:val="FFFFFF" w:themeColor="background1"/>
              <w:sz w:val="96"/>
              <w:szCs w:val="96"/>
            </w:rPr>
            <w:t xml:space="preserve"> Guidance</w:t>
          </w:r>
          <w:r w:rsidR="00E83A47" w:rsidRPr="00D83E8A">
            <w:rPr>
              <w:b/>
              <w:bCs/>
              <w:color w:val="FFFFFF" w:themeColor="background1"/>
              <w:sz w:val="96"/>
              <w:szCs w:val="96"/>
            </w:rPr>
            <w:t>:</w:t>
          </w:r>
        </w:p>
        <w:p w14:paraId="73B5CF72" w14:textId="11BE64FF" w:rsidR="00B8653F" w:rsidRPr="00D83E8A" w:rsidRDefault="00B8653F" w:rsidP="00D83E8A">
          <w:pPr>
            <w:ind w:left="-851"/>
            <w:rPr>
              <w:b/>
              <w:bCs/>
              <w:color w:val="FFFFFF" w:themeColor="background1"/>
              <w:sz w:val="96"/>
              <w:szCs w:val="96"/>
            </w:rPr>
          </w:pPr>
          <w:r w:rsidRPr="00D83E8A">
            <w:rPr>
              <w:b/>
              <w:bCs/>
              <w:color w:val="FFFFFF" w:themeColor="background1"/>
              <w:sz w:val="96"/>
              <w:szCs w:val="96"/>
            </w:rPr>
            <w:t>Identifying</w:t>
          </w:r>
          <w:r w:rsidR="00E83A47" w:rsidRPr="00D83E8A">
            <w:rPr>
              <w:b/>
              <w:bCs/>
              <w:color w:val="FFFFFF" w:themeColor="background1"/>
              <w:sz w:val="96"/>
              <w:szCs w:val="96"/>
            </w:rPr>
            <w:t xml:space="preserve"> a</w:t>
          </w:r>
          <w:r w:rsidRPr="00D83E8A">
            <w:rPr>
              <w:b/>
              <w:bCs/>
              <w:color w:val="FFFFFF" w:themeColor="background1"/>
              <w:sz w:val="96"/>
              <w:szCs w:val="96"/>
            </w:rPr>
            <w:t xml:space="preserve"> </w:t>
          </w:r>
          <w:r w:rsidR="001213D4">
            <w:rPr>
              <w:b/>
              <w:bCs/>
              <w:color w:val="FFFFFF" w:themeColor="background1"/>
              <w:sz w:val="96"/>
              <w:szCs w:val="96"/>
            </w:rPr>
            <w:t>s</w:t>
          </w:r>
          <w:r w:rsidRPr="00D83E8A">
            <w:rPr>
              <w:b/>
              <w:bCs/>
              <w:color w:val="FFFFFF" w:themeColor="background1"/>
              <w:sz w:val="96"/>
              <w:szCs w:val="96"/>
            </w:rPr>
            <w:t xml:space="preserve">ubstantial </w:t>
          </w:r>
          <w:r w:rsidR="001213D4">
            <w:rPr>
              <w:b/>
              <w:bCs/>
              <w:color w:val="FFFFFF" w:themeColor="background1"/>
              <w:sz w:val="96"/>
              <w:szCs w:val="96"/>
            </w:rPr>
            <w:t>c</w:t>
          </w:r>
          <w:r w:rsidRPr="00D83E8A">
            <w:rPr>
              <w:b/>
              <w:bCs/>
              <w:color w:val="FFFFFF" w:themeColor="background1"/>
              <w:sz w:val="96"/>
              <w:szCs w:val="96"/>
            </w:rPr>
            <w:t>hange</w:t>
          </w:r>
          <w:r w:rsidR="00E83A47" w:rsidRPr="00D83E8A">
            <w:rPr>
              <w:b/>
              <w:bCs/>
              <w:color w:val="FFFFFF" w:themeColor="background1"/>
              <w:sz w:val="96"/>
              <w:szCs w:val="96"/>
            </w:rPr>
            <w:t xml:space="preserve"> for Industrial Activities</w:t>
          </w:r>
        </w:p>
        <w:p w14:paraId="46C6C684" w14:textId="77777777" w:rsidR="00B8653F" w:rsidRDefault="00B8653F" w:rsidP="00801105">
          <w:pPr>
            <w:rPr>
              <w:b/>
              <w:bCs/>
              <w:color w:val="FFFFFF" w:themeColor="background1"/>
              <w:sz w:val="84"/>
              <w:szCs w:val="84"/>
            </w:rPr>
          </w:pPr>
        </w:p>
        <w:p w14:paraId="361047B8" w14:textId="77777777" w:rsidR="008C1A73" w:rsidRPr="00CF7EFB" w:rsidRDefault="008C1A73" w:rsidP="00CF7EFB">
          <w:pPr>
            <w:rPr>
              <w:b/>
              <w:bCs/>
              <w:color w:val="FFFFFF" w:themeColor="background1"/>
              <w:sz w:val="84"/>
              <w:szCs w:val="84"/>
            </w:rPr>
          </w:pPr>
          <w:r>
            <w:br w:type="page"/>
          </w:r>
        </w:p>
      </w:sdtContent>
    </w:sdt>
    <w:p w14:paraId="42521FA6" w14:textId="77777777" w:rsidR="00331306" w:rsidRDefault="00331306" w:rsidP="00331306">
      <w:pPr>
        <w:tabs>
          <w:tab w:val="left" w:pos="720"/>
        </w:tabs>
        <w:spacing w:before="674" w:line="247" w:lineRule="exact"/>
        <w:textAlignment w:val="baseline"/>
        <w:rPr>
          <w:rFonts w:ascii="Arial" w:eastAsia="Arial" w:hAnsi="Arial"/>
          <w:b/>
          <w:color w:val="000000"/>
          <w:spacing w:val="-2"/>
          <w:sz w:val="22"/>
          <w:lang w:val="en-US"/>
        </w:rPr>
        <w:sectPr w:rsidR="00331306" w:rsidSect="00D83E8A">
          <w:pgSz w:w="11899" w:h="16843"/>
          <w:pgMar w:top="700" w:right="1126" w:bottom="487" w:left="1800" w:header="720" w:footer="720" w:gutter="0"/>
          <w:cols w:space="720"/>
        </w:sectPr>
      </w:pPr>
    </w:p>
    <w:p w14:paraId="4FEF1FD5" w14:textId="77777777" w:rsidR="00BE5281" w:rsidRDefault="00BE5281" w:rsidP="00ED1802">
      <w:pPr>
        <w:pStyle w:val="Heading4"/>
      </w:pPr>
      <w:r>
        <w:lastRenderedPageBreak/>
        <w:t>Table of contents</w:t>
      </w:r>
    </w:p>
    <w:p w14:paraId="135B6080" w14:textId="7E76FC38" w:rsidR="00C91A52" w:rsidRDefault="00BE5281">
      <w:pPr>
        <w:pStyle w:val="TOC2"/>
        <w:tabs>
          <w:tab w:val="left" w:pos="720"/>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2257463" w:history="1">
        <w:r w:rsidR="00C91A52" w:rsidRPr="00A2097D">
          <w:rPr>
            <w:rStyle w:val="Hyperlink"/>
            <w:rFonts w:eastAsia="Times New Roman"/>
            <w:noProof/>
          </w:rPr>
          <w:t>1.</w:t>
        </w:r>
        <w:r w:rsidR="00C91A52">
          <w:rPr>
            <w:noProof/>
            <w:kern w:val="2"/>
            <w:lang w:eastAsia="en-GB"/>
            <w14:ligatures w14:val="standardContextual"/>
          </w:rPr>
          <w:tab/>
        </w:r>
        <w:r w:rsidR="00C91A52" w:rsidRPr="00A2097D">
          <w:rPr>
            <w:rStyle w:val="Hyperlink"/>
            <w:rFonts w:eastAsia="Times New Roman"/>
            <w:noProof/>
          </w:rPr>
          <w:t>Introduction</w:t>
        </w:r>
        <w:r w:rsidR="00C91A52">
          <w:rPr>
            <w:noProof/>
            <w:webHidden/>
          </w:rPr>
          <w:tab/>
        </w:r>
        <w:r w:rsidR="00C91A52">
          <w:rPr>
            <w:noProof/>
            <w:webHidden/>
          </w:rPr>
          <w:fldChar w:fldCharType="begin"/>
        </w:r>
        <w:r w:rsidR="00C91A52">
          <w:rPr>
            <w:noProof/>
            <w:webHidden/>
          </w:rPr>
          <w:instrText xml:space="preserve"> PAGEREF _Toc192257463 \h </w:instrText>
        </w:r>
        <w:r w:rsidR="00C91A52">
          <w:rPr>
            <w:noProof/>
            <w:webHidden/>
          </w:rPr>
        </w:r>
        <w:r w:rsidR="00C91A52">
          <w:rPr>
            <w:noProof/>
            <w:webHidden/>
          </w:rPr>
          <w:fldChar w:fldCharType="separate"/>
        </w:r>
        <w:r w:rsidR="00C91A52">
          <w:rPr>
            <w:noProof/>
            <w:webHidden/>
          </w:rPr>
          <w:t>4</w:t>
        </w:r>
        <w:r w:rsidR="00C91A52">
          <w:rPr>
            <w:noProof/>
            <w:webHidden/>
          </w:rPr>
          <w:fldChar w:fldCharType="end"/>
        </w:r>
      </w:hyperlink>
    </w:p>
    <w:p w14:paraId="3391C7E5" w14:textId="704630BD" w:rsidR="00C91A52" w:rsidRDefault="00C91A52">
      <w:pPr>
        <w:pStyle w:val="TOC2"/>
        <w:tabs>
          <w:tab w:val="left" w:pos="720"/>
          <w:tab w:val="right" w:leader="dot" w:pos="10212"/>
        </w:tabs>
        <w:rPr>
          <w:noProof/>
          <w:kern w:val="2"/>
          <w:lang w:eastAsia="en-GB"/>
          <w14:ligatures w14:val="standardContextual"/>
        </w:rPr>
      </w:pPr>
      <w:hyperlink w:anchor="_Toc192257464" w:history="1">
        <w:r w:rsidRPr="00A2097D">
          <w:rPr>
            <w:rStyle w:val="Hyperlink"/>
            <w:rFonts w:eastAsia="Times New Roman"/>
            <w:noProof/>
          </w:rPr>
          <w:t>2.</w:t>
        </w:r>
        <w:r>
          <w:rPr>
            <w:noProof/>
            <w:kern w:val="2"/>
            <w:lang w:eastAsia="en-GB"/>
            <w14:ligatures w14:val="standardContextual"/>
          </w:rPr>
          <w:tab/>
        </w:r>
        <w:r w:rsidRPr="00A2097D">
          <w:rPr>
            <w:rStyle w:val="Hyperlink"/>
            <w:rFonts w:eastAsia="Times New Roman"/>
            <w:noProof/>
          </w:rPr>
          <w:t>What is a change in operation?</w:t>
        </w:r>
        <w:r>
          <w:rPr>
            <w:noProof/>
            <w:webHidden/>
          </w:rPr>
          <w:tab/>
        </w:r>
        <w:r>
          <w:rPr>
            <w:noProof/>
            <w:webHidden/>
          </w:rPr>
          <w:fldChar w:fldCharType="begin"/>
        </w:r>
        <w:r>
          <w:rPr>
            <w:noProof/>
            <w:webHidden/>
          </w:rPr>
          <w:instrText xml:space="preserve"> PAGEREF _Toc192257464 \h </w:instrText>
        </w:r>
        <w:r>
          <w:rPr>
            <w:noProof/>
            <w:webHidden/>
          </w:rPr>
        </w:r>
        <w:r>
          <w:rPr>
            <w:noProof/>
            <w:webHidden/>
          </w:rPr>
          <w:fldChar w:fldCharType="separate"/>
        </w:r>
        <w:r>
          <w:rPr>
            <w:noProof/>
            <w:webHidden/>
          </w:rPr>
          <w:t>4</w:t>
        </w:r>
        <w:r>
          <w:rPr>
            <w:noProof/>
            <w:webHidden/>
          </w:rPr>
          <w:fldChar w:fldCharType="end"/>
        </w:r>
      </w:hyperlink>
    </w:p>
    <w:p w14:paraId="7AAE7B46" w14:textId="0C0F19FA" w:rsidR="00C91A52" w:rsidRDefault="00C91A52">
      <w:pPr>
        <w:pStyle w:val="TOC3"/>
        <w:tabs>
          <w:tab w:val="left" w:pos="1200"/>
          <w:tab w:val="right" w:leader="dot" w:pos="10212"/>
        </w:tabs>
        <w:rPr>
          <w:noProof/>
          <w:kern w:val="2"/>
          <w:lang w:eastAsia="en-GB"/>
          <w14:ligatures w14:val="standardContextual"/>
        </w:rPr>
      </w:pPr>
      <w:hyperlink w:anchor="_Toc192257465" w:history="1">
        <w:r w:rsidRPr="00A2097D">
          <w:rPr>
            <w:rStyle w:val="Hyperlink"/>
            <w:noProof/>
          </w:rPr>
          <w:t>2.1</w:t>
        </w:r>
        <w:r>
          <w:rPr>
            <w:noProof/>
            <w:kern w:val="2"/>
            <w:lang w:eastAsia="en-GB"/>
            <w14:ligatures w14:val="standardContextual"/>
          </w:rPr>
          <w:tab/>
        </w:r>
        <w:r w:rsidRPr="00A2097D">
          <w:rPr>
            <w:rStyle w:val="Hyperlink"/>
            <w:noProof/>
          </w:rPr>
          <w:t>Change in the nature of an installation</w:t>
        </w:r>
        <w:r>
          <w:rPr>
            <w:noProof/>
            <w:webHidden/>
          </w:rPr>
          <w:tab/>
        </w:r>
        <w:r>
          <w:rPr>
            <w:noProof/>
            <w:webHidden/>
          </w:rPr>
          <w:fldChar w:fldCharType="begin"/>
        </w:r>
        <w:r>
          <w:rPr>
            <w:noProof/>
            <w:webHidden/>
          </w:rPr>
          <w:instrText xml:space="preserve"> PAGEREF _Toc192257465 \h </w:instrText>
        </w:r>
        <w:r>
          <w:rPr>
            <w:noProof/>
            <w:webHidden/>
          </w:rPr>
        </w:r>
        <w:r>
          <w:rPr>
            <w:noProof/>
            <w:webHidden/>
          </w:rPr>
          <w:fldChar w:fldCharType="separate"/>
        </w:r>
        <w:r>
          <w:rPr>
            <w:noProof/>
            <w:webHidden/>
          </w:rPr>
          <w:t>4</w:t>
        </w:r>
        <w:r>
          <w:rPr>
            <w:noProof/>
            <w:webHidden/>
          </w:rPr>
          <w:fldChar w:fldCharType="end"/>
        </w:r>
      </w:hyperlink>
    </w:p>
    <w:p w14:paraId="12BC1987" w14:textId="54E26E1D" w:rsidR="00C91A52" w:rsidRDefault="00C91A52">
      <w:pPr>
        <w:pStyle w:val="TOC3"/>
        <w:tabs>
          <w:tab w:val="left" w:pos="1200"/>
          <w:tab w:val="right" w:leader="dot" w:pos="10212"/>
        </w:tabs>
        <w:rPr>
          <w:noProof/>
          <w:kern w:val="2"/>
          <w:lang w:eastAsia="en-GB"/>
          <w14:ligatures w14:val="standardContextual"/>
        </w:rPr>
      </w:pPr>
      <w:hyperlink w:anchor="_Toc192257466" w:history="1">
        <w:r w:rsidRPr="00A2097D">
          <w:rPr>
            <w:rStyle w:val="Hyperlink"/>
            <w:noProof/>
          </w:rPr>
          <w:t>2.2</w:t>
        </w:r>
        <w:r>
          <w:rPr>
            <w:noProof/>
            <w:kern w:val="2"/>
            <w:lang w:eastAsia="en-GB"/>
            <w14:ligatures w14:val="standardContextual"/>
          </w:rPr>
          <w:tab/>
        </w:r>
        <w:r w:rsidRPr="00A2097D">
          <w:rPr>
            <w:rStyle w:val="Hyperlink"/>
            <w:noProof/>
          </w:rPr>
          <w:t>Change in the functioning of an installation</w:t>
        </w:r>
        <w:r>
          <w:rPr>
            <w:noProof/>
            <w:webHidden/>
          </w:rPr>
          <w:tab/>
        </w:r>
        <w:r>
          <w:rPr>
            <w:noProof/>
            <w:webHidden/>
          </w:rPr>
          <w:fldChar w:fldCharType="begin"/>
        </w:r>
        <w:r>
          <w:rPr>
            <w:noProof/>
            <w:webHidden/>
          </w:rPr>
          <w:instrText xml:space="preserve"> PAGEREF _Toc192257466 \h </w:instrText>
        </w:r>
        <w:r>
          <w:rPr>
            <w:noProof/>
            <w:webHidden/>
          </w:rPr>
        </w:r>
        <w:r>
          <w:rPr>
            <w:noProof/>
            <w:webHidden/>
          </w:rPr>
          <w:fldChar w:fldCharType="separate"/>
        </w:r>
        <w:r>
          <w:rPr>
            <w:noProof/>
            <w:webHidden/>
          </w:rPr>
          <w:t>4</w:t>
        </w:r>
        <w:r>
          <w:rPr>
            <w:noProof/>
            <w:webHidden/>
          </w:rPr>
          <w:fldChar w:fldCharType="end"/>
        </w:r>
      </w:hyperlink>
    </w:p>
    <w:p w14:paraId="552C1580" w14:textId="4A999807" w:rsidR="00C91A52" w:rsidRDefault="00C91A52">
      <w:pPr>
        <w:pStyle w:val="TOC3"/>
        <w:tabs>
          <w:tab w:val="left" w:pos="1200"/>
          <w:tab w:val="right" w:leader="dot" w:pos="10212"/>
        </w:tabs>
        <w:rPr>
          <w:noProof/>
          <w:kern w:val="2"/>
          <w:lang w:eastAsia="en-GB"/>
          <w14:ligatures w14:val="standardContextual"/>
        </w:rPr>
      </w:pPr>
      <w:hyperlink w:anchor="_Toc192257467" w:history="1">
        <w:r w:rsidRPr="00A2097D">
          <w:rPr>
            <w:rStyle w:val="Hyperlink"/>
            <w:noProof/>
          </w:rPr>
          <w:t>2.3</w:t>
        </w:r>
        <w:r>
          <w:rPr>
            <w:noProof/>
            <w:kern w:val="2"/>
            <w:lang w:eastAsia="en-GB"/>
            <w14:ligatures w14:val="standardContextual"/>
          </w:rPr>
          <w:tab/>
        </w:r>
        <w:r w:rsidRPr="00A2097D">
          <w:rPr>
            <w:rStyle w:val="Hyperlink"/>
            <w:noProof/>
          </w:rPr>
          <w:t>An extension of an installation or authorised place</w:t>
        </w:r>
        <w:r>
          <w:rPr>
            <w:noProof/>
            <w:webHidden/>
          </w:rPr>
          <w:tab/>
        </w:r>
        <w:r>
          <w:rPr>
            <w:noProof/>
            <w:webHidden/>
          </w:rPr>
          <w:fldChar w:fldCharType="begin"/>
        </w:r>
        <w:r>
          <w:rPr>
            <w:noProof/>
            <w:webHidden/>
          </w:rPr>
          <w:instrText xml:space="preserve"> PAGEREF _Toc192257467 \h </w:instrText>
        </w:r>
        <w:r>
          <w:rPr>
            <w:noProof/>
            <w:webHidden/>
          </w:rPr>
        </w:r>
        <w:r>
          <w:rPr>
            <w:noProof/>
            <w:webHidden/>
          </w:rPr>
          <w:fldChar w:fldCharType="separate"/>
        </w:r>
        <w:r>
          <w:rPr>
            <w:noProof/>
            <w:webHidden/>
          </w:rPr>
          <w:t>5</w:t>
        </w:r>
        <w:r>
          <w:rPr>
            <w:noProof/>
            <w:webHidden/>
          </w:rPr>
          <w:fldChar w:fldCharType="end"/>
        </w:r>
      </w:hyperlink>
    </w:p>
    <w:p w14:paraId="1741B7F4" w14:textId="190AA399" w:rsidR="00C91A52" w:rsidRDefault="00C91A52">
      <w:pPr>
        <w:pStyle w:val="TOC2"/>
        <w:tabs>
          <w:tab w:val="left" w:pos="720"/>
          <w:tab w:val="right" w:leader="dot" w:pos="10212"/>
        </w:tabs>
        <w:rPr>
          <w:noProof/>
          <w:kern w:val="2"/>
          <w:lang w:eastAsia="en-GB"/>
          <w14:ligatures w14:val="standardContextual"/>
        </w:rPr>
      </w:pPr>
      <w:hyperlink w:anchor="_Toc192257468" w:history="1">
        <w:r w:rsidRPr="00A2097D">
          <w:rPr>
            <w:rStyle w:val="Hyperlink"/>
            <w:rFonts w:eastAsia="Times New Roman"/>
            <w:noProof/>
          </w:rPr>
          <w:t>3.</w:t>
        </w:r>
        <w:r>
          <w:rPr>
            <w:noProof/>
            <w:kern w:val="2"/>
            <w:lang w:eastAsia="en-GB"/>
            <w14:ligatures w14:val="standardContextual"/>
          </w:rPr>
          <w:tab/>
        </w:r>
        <w:r w:rsidRPr="00A2097D">
          <w:rPr>
            <w:rStyle w:val="Hyperlink"/>
            <w:rFonts w:eastAsia="Times New Roman"/>
            <w:noProof/>
          </w:rPr>
          <w:t>What is a substantial change in operation?</w:t>
        </w:r>
        <w:r>
          <w:rPr>
            <w:noProof/>
            <w:webHidden/>
          </w:rPr>
          <w:tab/>
        </w:r>
        <w:r>
          <w:rPr>
            <w:noProof/>
            <w:webHidden/>
          </w:rPr>
          <w:fldChar w:fldCharType="begin"/>
        </w:r>
        <w:r>
          <w:rPr>
            <w:noProof/>
            <w:webHidden/>
          </w:rPr>
          <w:instrText xml:space="preserve"> PAGEREF _Toc192257468 \h </w:instrText>
        </w:r>
        <w:r>
          <w:rPr>
            <w:noProof/>
            <w:webHidden/>
          </w:rPr>
        </w:r>
        <w:r>
          <w:rPr>
            <w:noProof/>
            <w:webHidden/>
          </w:rPr>
          <w:fldChar w:fldCharType="separate"/>
        </w:r>
        <w:r>
          <w:rPr>
            <w:noProof/>
            <w:webHidden/>
          </w:rPr>
          <w:t>5</w:t>
        </w:r>
        <w:r>
          <w:rPr>
            <w:noProof/>
            <w:webHidden/>
          </w:rPr>
          <w:fldChar w:fldCharType="end"/>
        </w:r>
      </w:hyperlink>
    </w:p>
    <w:p w14:paraId="4F3AC70F" w14:textId="694668CA" w:rsidR="00C91A52" w:rsidRDefault="00C91A52">
      <w:pPr>
        <w:pStyle w:val="TOC3"/>
        <w:tabs>
          <w:tab w:val="left" w:pos="1200"/>
          <w:tab w:val="right" w:leader="dot" w:pos="10212"/>
        </w:tabs>
        <w:rPr>
          <w:noProof/>
          <w:kern w:val="2"/>
          <w:lang w:eastAsia="en-GB"/>
          <w14:ligatures w14:val="standardContextual"/>
        </w:rPr>
      </w:pPr>
      <w:hyperlink w:anchor="_Toc192257469" w:history="1">
        <w:r w:rsidRPr="00A2097D">
          <w:rPr>
            <w:rStyle w:val="Hyperlink"/>
            <w:noProof/>
          </w:rPr>
          <w:t>3.1</w:t>
        </w:r>
        <w:r>
          <w:rPr>
            <w:noProof/>
            <w:kern w:val="2"/>
            <w:lang w:eastAsia="en-GB"/>
            <w14:ligatures w14:val="standardContextual"/>
          </w:rPr>
          <w:tab/>
        </w:r>
        <w:r w:rsidRPr="00A2097D">
          <w:rPr>
            <w:rStyle w:val="Hyperlink"/>
            <w:noProof/>
          </w:rPr>
          <w:t>Who decides if the change is substantial?</w:t>
        </w:r>
        <w:r>
          <w:rPr>
            <w:noProof/>
            <w:webHidden/>
          </w:rPr>
          <w:tab/>
        </w:r>
        <w:r>
          <w:rPr>
            <w:noProof/>
            <w:webHidden/>
          </w:rPr>
          <w:fldChar w:fldCharType="begin"/>
        </w:r>
        <w:r>
          <w:rPr>
            <w:noProof/>
            <w:webHidden/>
          </w:rPr>
          <w:instrText xml:space="preserve"> PAGEREF _Toc192257469 \h </w:instrText>
        </w:r>
        <w:r>
          <w:rPr>
            <w:noProof/>
            <w:webHidden/>
          </w:rPr>
        </w:r>
        <w:r>
          <w:rPr>
            <w:noProof/>
            <w:webHidden/>
          </w:rPr>
          <w:fldChar w:fldCharType="separate"/>
        </w:r>
        <w:r>
          <w:rPr>
            <w:noProof/>
            <w:webHidden/>
          </w:rPr>
          <w:t>5</w:t>
        </w:r>
        <w:r>
          <w:rPr>
            <w:noProof/>
            <w:webHidden/>
          </w:rPr>
          <w:fldChar w:fldCharType="end"/>
        </w:r>
      </w:hyperlink>
    </w:p>
    <w:p w14:paraId="1CF365DD" w14:textId="10E17238" w:rsidR="00C91A52" w:rsidRDefault="00C91A52">
      <w:pPr>
        <w:pStyle w:val="TOC3"/>
        <w:tabs>
          <w:tab w:val="left" w:pos="1200"/>
          <w:tab w:val="right" w:leader="dot" w:pos="10212"/>
        </w:tabs>
        <w:rPr>
          <w:noProof/>
          <w:kern w:val="2"/>
          <w:lang w:eastAsia="en-GB"/>
          <w14:ligatures w14:val="standardContextual"/>
        </w:rPr>
      </w:pPr>
      <w:hyperlink w:anchor="_Toc192257470" w:history="1">
        <w:r w:rsidRPr="00A2097D">
          <w:rPr>
            <w:rStyle w:val="Hyperlink"/>
            <w:noProof/>
          </w:rPr>
          <w:t>3.2</w:t>
        </w:r>
        <w:r>
          <w:rPr>
            <w:noProof/>
            <w:kern w:val="2"/>
            <w:lang w:eastAsia="en-GB"/>
            <w14:ligatures w14:val="standardContextual"/>
          </w:rPr>
          <w:tab/>
        </w:r>
        <w:r w:rsidRPr="00A2097D">
          <w:rPr>
            <w:rStyle w:val="Hyperlink"/>
            <w:noProof/>
          </w:rPr>
          <w:t>Constitutes the carrying on of a listed activity</w:t>
        </w:r>
        <w:r>
          <w:rPr>
            <w:noProof/>
            <w:webHidden/>
          </w:rPr>
          <w:tab/>
        </w:r>
        <w:r>
          <w:rPr>
            <w:noProof/>
            <w:webHidden/>
          </w:rPr>
          <w:fldChar w:fldCharType="begin"/>
        </w:r>
        <w:r>
          <w:rPr>
            <w:noProof/>
            <w:webHidden/>
          </w:rPr>
          <w:instrText xml:space="preserve"> PAGEREF _Toc192257470 \h </w:instrText>
        </w:r>
        <w:r>
          <w:rPr>
            <w:noProof/>
            <w:webHidden/>
          </w:rPr>
        </w:r>
        <w:r>
          <w:rPr>
            <w:noProof/>
            <w:webHidden/>
          </w:rPr>
          <w:fldChar w:fldCharType="separate"/>
        </w:r>
        <w:r>
          <w:rPr>
            <w:noProof/>
            <w:webHidden/>
          </w:rPr>
          <w:t>5</w:t>
        </w:r>
        <w:r>
          <w:rPr>
            <w:noProof/>
            <w:webHidden/>
          </w:rPr>
          <w:fldChar w:fldCharType="end"/>
        </w:r>
      </w:hyperlink>
    </w:p>
    <w:p w14:paraId="409799D7" w14:textId="78C82E9B" w:rsidR="00C91A52" w:rsidRDefault="00C91A52">
      <w:pPr>
        <w:pStyle w:val="TOC3"/>
        <w:tabs>
          <w:tab w:val="left" w:pos="1200"/>
          <w:tab w:val="right" w:leader="dot" w:pos="10212"/>
        </w:tabs>
        <w:rPr>
          <w:noProof/>
          <w:kern w:val="2"/>
          <w:lang w:eastAsia="en-GB"/>
          <w14:ligatures w14:val="standardContextual"/>
        </w:rPr>
      </w:pPr>
      <w:hyperlink w:anchor="_Toc192257471" w:history="1">
        <w:r w:rsidRPr="00A2097D">
          <w:rPr>
            <w:rStyle w:val="Hyperlink"/>
            <w:noProof/>
          </w:rPr>
          <w:t>3.3</w:t>
        </w:r>
        <w:r>
          <w:rPr>
            <w:noProof/>
            <w:kern w:val="2"/>
            <w:lang w:eastAsia="en-GB"/>
            <w14:ligatures w14:val="standardContextual"/>
          </w:rPr>
          <w:tab/>
        </w:r>
        <w:r w:rsidRPr="00A2097D">
          <w:rPr>
            <w:rStyle w:val="Hyperlink"/>
            <w:noProof/>
          </w:rPr>
          <w:t>Significant negative effect</w:t>
        </w:r>
        <w:r>
          <w:rPr>
            <w:noProof/>
            <w:webHidden/>
          </w:rPr>
          <w:tab/>
        </w:r>
        <w:r>
          <w:rPr>
            <w:noProof/>
            <w:webHidden/>
          </w:rPr>
          <w:fldChar w:fldCharType="begin"/>
        </w:r>
        <w:r>
          <w:rPr>
            <w:noProof/>
            <w:webHidden/>
          </w:rPr>
          <w:instrText xml:space="preserve"> PAGEREF _Toc192257471 \h </w:instrText>
        </w:r>
        <w:r>
          <w:rPr>
            <w:noProof/>
            <w:webHidden/>
          </w:rPr>
        </w:r>
        <w:r>
          <w:rPr>
            <w:noProof/>
            <w:webHidden/>
          </w:rPr>
          <w:fldChar w:fldCharType="separate"/>
        </w:r>
        <w:r>
          <w:rPr>
            <w:noProof/>
            <w:webHidden/>
          </w:rPr>
          <w:t>6</w:t>
        </w:r>
        <w:r>
          <w:rPr>
            <w:noProof/>
            <w:webHidden/>
          </w:rPr>
          <w:fldChar w:fldCharType="end"/>
        </w:r>
      </w:hyperlink>
    </w:p>
    <w:p w14:paraId="12F59CAF" w14:textId="6F167EA0" w:rsidR="00C91A52" w:rsidRDefault="00C91A52">
      <w:pPr>
        <w:pStyle w:val="TOC3"/>
        <w:tabs>
          <w:tab w:val="left" w:pos="1200"/>
          <w:tab w:val="right" w:leader="dot" w:pos="10212"/>
        </w:tabs>
        <w:rPr>
          <w:noProof/>
          <w:kern w:val="2"/>
          <w:lang w:eastAsia="en-GB"/>
          <w14:ligatures w14:val="standardContextual"/>
        </w:rPr>
      </w:pPr>
      <w:hyperlink w:anchor="_Toc192257472" w:history="1">
        <w:r w:rsidRPr="00A2097D">
          <w:rPr>
            <w:rStyle w:val="Hyperlink"/>
            <w:noProof/>
          </w:rPr>
          <w:t>3.4</w:t>
        </w:r>
        <w:r>
          <w:rPr>
            <w:noProof/>
            <w:kern w:val="2"/>
            <w:lang w:eastAsia="en-GB"/>
            <w14:ligatures w14:val="standardContextual"/>
          </w:rPr>
          <w:tab/>
        </w:r>
        <w:r w:rsidRPr="00A2097D">
          <w:rPr>
            <w:rStyle w:val="Hyperlink"/>
            <w:noProof/>
          </w:rPr>
          <w:t>Carrying out of a Solvent Emissions Activity</w:t>
        </w:r>
        <w:r>
          <w:rPr>
            <w:noProof/>
            <w:webHidden/>
          </w:rPr>
          <w:tab/>
        </w:r>
        <w:r>
          <w:rPr>
            <w:noProof/>
            <w:webHidden/>
          </w:rPr>
          <w:fldChar w:fldCharType="begin"/>
        </w:r>
        <w:r>
          <w:rPr>
            <w:noProof/>
            <w:webHidden/>
          </w:rPr>
          <w:instrText xml:space="preserve"> PAGEREF _Toc192257472 \h </w:instrText>
        </w:r>
        <w:r>
          <w:rPr>
            <w:noProof/>
            <w:webHidden/>
          </w:rPr>
        </w:r>
        <w:r>
          <w:rPr>
            <w:noProof/>
            <w:webHidden/>
          </w:rPr>
          <w:fldChar w:fldCharType="separate"/>
        </w:r>
        <w:r>
          <w:rPr>
            <w:noProof/>
            <w:webHidden/>
          </w:rPr>
          <w:t>6</w:t>
        </w:r>
        <w:r>
          <w:rPr>
            <w:noProof/>
            <w:webHidden/>
          </w:rPr>
          <w:fldChar w:fldCharType="end"/>
        </w:r>
      </w:hyperlink>
    </w:p>
    <w:p w14:paraId="7388954D" w14:textId="51B02A8B" w:rsidR="00C91A52" w:rsidRDefault="00C91A52">
      <w:pPr>
        <w:pStyle w:val="TOC3"/>
        <w:tabs>
          <w:tab w:val="left" w:pos="1200"/>
          <w:tab w:val="right" w:leader="dot" w:pos="10212"/>
        </w:tabs>
        <w:rPr>
          <w:noProof/>
          <w:kern w:val="2"/>
          <w:lang w:eastAsia="en-GB"/>
          <w14:ligatures w14:val="standardContextual"/>
        </w:rPr>
      </w:pPr>
      <w:hyperlink w:anchor="_Toc192257473" w:history="1">
        <w:r w:rsidRPr="00A2097D">
          <w:rPr>
            <w:rStyle w:val="Hyperlink"/>
            <w:noProof/>
          </w:rPr>
          <w:t>3.5</w:t>
        </w:r>
        <w:r>
          <w:rPr>
            <w:noProof/>
            <w:kern w:val="2"/>
            <w:lang w:eastAsia="en-GB"/>
            <w14:ligatures w14:val="standardContextual"/>
          </w:rPr>
          <w:tab/>
        </w:r>
        <w:r w:rsidRPr="00A2097D">
          <w:rPr>
            <w:rStyle w:val="Hyperlink"/>
            <w:noProof/>
          </w:rPr>
          <w:t>Extension of a Large Combustion Plant Activity</w:t>
        </w:r>
        <w:r>
          <w:rPr>
            <w:noProof/>
            <w:webHidden/>
          </w:rPr>
          <w:tab/>
        </w:r>
        <w:r>
          <w:rPr>
            <w:noProof/>
            <w:webHidden/>
          </w:rPr>
          <w:fldChar w:fldCharType="begin"/>
        </w:r>
        <w:r>
          <w:rPr>
            <w:noProof/>
            <w:webHidden/>
          </w:rPr>
          <w:instrText xml:space="preserve"> PAGEREF _Toc192257473 \h </w:instrText>
        </w:r>
        <w:r>
          <w:rPr>
            <w:noProof/>
            <w:webHidden/>
          </w:rPr>
        </w:r>
        <w:r>
          <w:rPr>
            <w:noProof/>
            <w:webHidden/>
          </w:rPr>
          <w:fldChar w:fldCharType="separate"/>
        </w:r>
        <w:r>
          <w:rPr>
            <w:noProof/>
            <w:webHidden/>
          </w:rPr>
          <w:t>10</w:t>
        </w:r>
        <w:r>
          <w:rPr>
            <w:noProof/>
            <w:webHidden/>
          </w:rPr>
          <w:fldChar w:fldCharType="end"/>
        </w:r>
      </w:hyperlink>
    </w:p>
    <w:p w14:paraId="59D49FDC" w14:textId="7AE678BB" w:rsidR="00C91A52" w:rsidRDefault="00C91A52">
      <w:pPr>
        <w:pStyle w:val="TOC3"/>
        <w:tabs>
          <w:tab w:val="left" w:pos="1200"/>
          <w:tab w:val="right" w:leader="dot" w:pos="10212"/>
        </w:tabs>
        <w:rPr>
          <w:noProof/>
          <w:kern w:val="2"/>
          <w:lang w:eastAsia="en-GB"/>
          <w14:ligatures w14:val="standardContextual"/>
        </w:rPr>
      </w:pPr>
      <w:hyperlink w:anchor="_Toc192257474" w:history="1">
        <w:r w:rsidRPr="00A2097D">
          <w:rPr>
            <w:rStyle w:val="Hyperlink"/>
            <w:noProof/>
          </w:rPr>
          <w:t>3.6</w:t>
        </w:r>
        <w:r>
          <w:rPr>
            <w:noProof/>
            <w:kern w:val="2"/>
            <w:lang w:eastAsia="en-GB"/>
            <w14:ligatures w14:val="standardContextual"/>
          </w:rPr>
          <w:tab/>
        </w:r>
        <w:r w:rsidRPr="00A2097D">
          <w:rPr>
            <w:rStyle w:val="Hyperlink"/>
            <w:noProof/>
          </w:rPr>
          <w:t>Incineration or Co-incineration Activity</w:t>
        </w:r>
        <w:r>
          <w:rPr>
            <w:noProof/>
            <w:webHidden/>
          </w:rPr>
          <w:tab/>
        </w:r>
        <w:r>
          <w:rPr>
            <w:noProof/>
            <w:webHidden/>
          </w:rPr>
          <w:fldChar w:fldCharType="begin"/>
        </w:r>
        <w:r>
          <w:rPr>
            <w:noProof/>
            <w:webHidden/>
          </w:rPr>
          <w:instrText xml:space="preserve"> PAGEREF _Toc192257474 \h </w:instrText>
        </w:r>
        <w:r>
          <w:rPr>
            <w:noProof/>
            <w:webHidden/>
          </w:rPr>
        </w:r>
        <w:r>
          <w:rPr>
            <w:noProof/>
            <w:webHidden/>
          </w:rPr>
          <w:fldChar w:fldCharType="separate"/>
        </w:r>
        <w:r>
          <w:rPr>
            <w:noProof/>
            <w:webHidden/>
          </w:rPr>
          <w:t>10</w:t>
        </w:r>
        <w:r>
          <w:rPr>
            <w:noProof/>
            <w:webHidden/>
          </w:rPr>
          <w:fldChar w:fldCharType="end"/>
        </w:r>
      </w:hyperlink>
    </w:p>
    <w:p w14:paraId="4D05A28C" w14:textId="473E4CBC" w:rsidR="00C91A52" w:rsidRDefault="00C91A52">
      <w:pPr>
        <w:pStyle w:val="TOC2"/>
        <w:tabs>
          <w:tab w:val="left" w:pos="720"/>
          <w:tab w:val="right" w:leader="dot" w:pos="10212"/>
        </w:tabs>
        <w:rPr>
          <w:noProof/>
          <w:kern w:val="2"/>
          <w:lang w:eastAsia="en-GB"/>
          <w14:ligatures w14:val="standardContextual"/>
        </w:rPr>
      </w:pPr>
      <w:hyperlink w:anchor="_Toc192257475" w:history="1">
        <w:r w:rsidRPr="00A2097D">
          <w:rPr>
            <w:rStyle w:val="Hyperlink"/>
            <w:rFonts w:eastAsia="Times New Roman"/>
            <w:noProof/>
          </w:rPr>
          <w:t>4.</w:t>
        </w:r>
        <w:r>
          <w:rPr>
            <w:noProof/>
            <w:kern w:val="2"/>
            <w:lang w:eastAsia="en-GB"/>
            <w14:ligatures w14:val="standardContextual"/>
          </w:rPr>
          <w:tab/>
        </w:r>
        <w:r w:rsidRPr="00A2097D">
          <w:rPr>
            <w:rStyle w:val="Hyperlink"/>
            <w:rFonts w:eastAsia="Times New Roman"/>
            <w:noProof/>
          </w:rPr>
          <w:t>Criteria for assessing significance</w:t>
        </w:r>
        <w:r>
          <w:rPr>
            <w:noProof/>
            <w:webHidden/>
          </w:rPr>
          <w:tab/>
        </w:r>
        <w:r>
          <w:rPr>
            <w:noProof/>
            <w:webHidden/>
          </w:rPr>
          <w:fldChar w:fldCharType="begin"/>
        </w:r>
        <w:r>
          <w:rPr>
            <w:noProof/>
            <w:webHidden/>
          </w:rPr>
          <w:instrText xml:space="preserve"> PAGEREF _Toc192257475 \h </w:instrText>
        </w:r>
        <w:r>
          <w:rPr>
            <w:noProof/>
            <w:webHidden/>
          </w:rPr>
        </w:r>
        <w:r>
          <w:rPr>
            <w:noProof/>
            <w:webHidden/>
          </w:rPr>
          <w:fldChar w:fldCharType="separate"/>
        </w:r>
        <w:r>
          <w:rPr>
            <w:noProof/>
            <w:webHidden/>
          </w:rPr>
          <w:t>10</w:t>
        </w:r>
        <w:r>
          <w:rPr>
            <w:noProof/>
            <w:webHidden/>
          </w:rPr>
          <w:fldChar w:fldCharType="end"/>
        </w:r>
      </w:hyperlink>
    </w:p>
    <w:p w14:paraId="6C39B6B7" w14:textId="1A677158" w:rsidR="00C91A52" w:rsidRDefault="00C91A52">
      <w:pPr>
        <w:pStyle w:val="TOC3"/>
        <w:tabs>
          <w:tab w:val="left" w:pos="1200"/>
          <w:tab w:val="right" w:leader="dot" w:pos="10212"/>
        </w:tabs>
        <w:rPr>
          <w:noProof/>
          <w:kern w:val="2"/>
          <w:lang w:eastAsia="en-GB"/>
          <w14:ligatures w14:val="standardContextual"/>
        </w:rPr>
      </w:pPr>
      <w:hyperlink w:anchor="_Toc192257476" w:history="1">
        <w:r w:rsidRPr="00A2097D">
          <w:rPr>
            <w:rStyle w:val="Hyperlink"/>
            <w:noProof/>
          </w:rPr>
          <w:t>4.1</w:t>
        </w:r>
        <w:r>
          <w:rPr>
            <w:noProof/>
            <w:kern w:val="2"/>
            <w:lang w:eastAsia="en-GB"/>
            <w14:ligatures w14:val="standardContextual"/>
          </w:rPr>
          <w:tab/>
        </w:r>
        <w:r w:rsidRPr="00A2097D">
          <w:rPr>
            <w:rStyle w:val="Hyperlink"/>
            <w:noProof/>
          </w:rPr>
          <w:t>Extension of the installation boundary</w:t>
        </w:r>
        <w:r>
          <w:rPr>
            <w:noProof/>
            <w:webHidden/>
          </w:rPr>
          <w:tab/>
        </w:r>
        <w:r>
          <w:rPr>
            <w:noProof/>
            <w:webHidden/>
          </w:rPr>
          <w:fldChar w:fldCharType="begin"/>
        </w:r>
        <w:r>
          <w:rPr>
            <w:noProof/>
            <w:webHidden/>
          </w:rPr>
          <w:instrText xml:space="preserve"> PAGEREF _Toc192257476 \h </w:instrText>
        </w:r>
        <w:r>
          <w:rPr>
            <w:noProof/>
            <w:webHidden/>
          </w:rPr>
        </w:r>
        <w:r>
          <w:rPr>
            <w:noProof/>
            <w:webHidden/>
          </w:rPr>
          <w:fldChar w:fldCharType="separate"/>
        </w:r>
        <w:r>
          <w:rPr>
            <w:noProof/>
            <w:webHidden/>
          </w:rPr>
          <w:t>10</w:t>
        </w:r>
        <w:r>
          <w:rPr>
            <w:noProof/>
            <w:webHidden/>
          </w:rPr>
          <w:fldChar w:fldCharType="end"/>
        </w:r>
      </w:hyperlink>
    </w:p>
    <w:p w14:paraId="7D236CDC" w14:textId="4E702343" w:rsidR="00C91A52" w:rsidRDefault="00C91A52">
      <w:pPr>
        <w:pStyle w:val="TOC3"/>
        <w:tabs>
          <w:tab w:val="left" w:pos="1200"/>
          <w:tab w:val="right" w:leader="dot" w:pos="10212"/>
        </w:tabs>
        <w:rPr>
          <w:noProof/>
          <w:kern w:val="2"/>
          <w:lang w:eastAsia="en-GB"/>
          <w14:ligatures w14:val="standardContextual"/>
        </w:rPr>
      </w:pPr>
      <w:hyperlink w:anchor="_Toc192257477" w:history="1">
        <w:r w:rsidRPr="00A2097D">
          <w:rPr>
            <w:rStyle w:val="Hyperlink"/>
            <w:noProof/>
          </w:rPr>
          <w:t>4.2</w:t>
        </w:r>
        <w:r>
          <w:rPr>
            <w:noProof/>
            <w:kern w:val="2"/>
            <w:lang w:eastAsia="en-GB"/>
            <w14:ligatures w14:val="standardContextual"/>
          </w:rPr>
          <w:tab/>
        </w:r>
        <w:r w:rsidRPr="00A2097D">
          <w:rPr>
            <w:rStyle w:val="Hyperlink"/>
            <w:noProof/>
          </w:rPr>
          <w:t>Changes to Ambient Pollutant Concentrations</w:t>
        </w:r>
        <w:r>
          <w:rPr>
            <w:noProof/>
            <w:webHidden/>
          </w:rPr>
          <w:tab/>
        </w:r>
        <w:r>
          <w:rPr>
            <w:noProof/>
            <w:webHidden/>
          </w:rPr>
          <w:fldChar w:fldCharType="begin"/>
        </w:r>
        <w:r>
          <w:rPr>
            <w:noProof/>
            <w:webHidden/>
          </w:rPr>
          <w:instrText xml:space="preserve"> PAGEREF _Toc192257477 \h </w:instrText>
        </w:r>
        <w:r>
          <w:rPr>
            <w:noProof/>
            <w:webHidden/>
          </w:rPr>
        </w:r>
        <w:r>
          <w:rPr>
            <w:noProof/>
            <w:webHidden/>
          </w:rPr>
          <w:fldChar w:fldCharType="separate"/>
        </w:r>
        <w:r>
          <w:rPr>
            <w:noProof/>
            <w:webHidden/>
          </w:rPr>
          <w:t>10</w:t>
        </w:r>
        <w:r>
          <w:rPr>
            <w:noProof/>
            <w:webHidden/>
          </w:rPr>
          <w:fldChar w:fldCharType="end"/>
        </w:r>
      </w:hyperlink>
    </w:p>
    <w:p w14:paraId="531420CB" w14:textId="45B0A351" w:rsidR="00C91A52" w:rsidRDefault="00C91A52">
      <w:pPr>
        <w:pStyle w:val="TOC3"/>
        <w:tabs>
          <w:tab w:val="left" w:pos="1200"/>
          <w:tab w:val="right" w:leader="dot" w:pos="10212"/>
        </w:tabs>
        <w:rPr>
          <w:noProof/>
          <w:kern w:val="2"/>
          <w:lang w:eastAsia="en-GB"/>
          <w14:ligatures w14:val="standardContextual"/>
        </w:rPr>
      </w:pPr>
      <w:hyperlink w:anchor="_Toc192257478" w:history="1">
        <w:r w:rsidRPr="00A2097D">
          <w:rPr>
            <w:rStyle w:val="Hyperlink"/>
            <w:noProof/>
          </w:rPr>
          <w:t>4.3</w:t>
        </w:r>
        <w:r>
          <w:rPr>
            <w:noProof/>
            <w:kern w:val="2"/>
            <w:lang w:eastAsia="en-GB"/>
            <w14:ligatures w14:val="standardContextual"/>
          </w:rPr>
          <w:tab/>
        </w:r>
        <w:r w:rsidRPr="00A2097D">
          <w:rPr>
            <w:rStyle w:val="Hyperlink"/>
            <w:noProof/>
          </w:rPr>
          <w:t>Releases of Substances to Groundwater</w:t>
        </w:r>
        <w:r>
          <w:rPr>
            <w:noProof/>
            <w:webHidden/>
          </w:rPr>
          <w:tab/>
        </w:r>
        <w:r>
          <w:rPr>
            <w:noProof/>
            <w:webHidden/>
          </w:rPr>
          <w:fldChar w:fldCharType="begin"/>
        </w:r>
        <w:r>
          <w:rPr>
            <w:noProof/>
            <w:webHidden/>
          </w:rPr>
          <w:instrText xml:space="preserve"> PAGEREF _Toc192257478 \h </w:instrText>
        </w:r>
        <w:r>
          <w:rPr>
            <w:noProof/>
            <w:webHidden/>
          </w:rPr>
        </w:r>
        <w:r>
          <w:rPr>
            <w:noProof/>
            <w:webHidden/>
          </w:rPr>
          <w:fldChar w:fldCharType="separate"/>
        </w:r>
        <w:r>
          <w:rPr>
            <w:noProof/>
            <w:webHidden/>
          </w:rPr>
          <w:t>11</w:t>
        </w:r>
        <w:r>
          <w:rPr>
            <w:noProof/>
            <w:webHidden/>
          </w:rPr>
          <w:fldChar w:fldCharType="end"/>
        </w:r>
      </w:hyperlink>
    </w:p>
    <w:p w14:paraId="463AE2BD" w14:textId="0802E3DD" w:rsidR="00C91A52" w:rsidRDefault="00C91A52">
      <w:pPr>
        <w:pStyle w:val="TOC3"/>
        <w:tabs>
          <w:tab w:val="left" w:pos="1200"/>
          <w:tab w:val="right" w:leader="dot" w:pos="10212"/>
        </w:tabs>
        <w:rPr>
          <w:noProof/>
          <w:kern w:val="2"/>
          <w:lang w:eastAsia="en-GB"/>
          <w14:ligatures w14:val="standardContextual"/>
        </w:rPr>
      </w:pPr>
      <w:hyperlink w:anchor="_Toc192257479" w:history="1">
        <w:r w:rsidRPr="00A2097D">
          <w:rPr>
            <w:rStyle w:val="Hyperlink"/>
            <w:noProof/>
          </w:rPr>
          <w:t>4.4</w:t>
        </w:r>
        <w:r>
          <w:rPr>
            <w:noProof/>
            <w:kern w:val="2"/>
            <w:lang w:eastAsia="en-GB"/>
            <w14:ligatures w14:val="standardContextual"/>
          </w:rPr>
          <w:tab/>
        </w:r>
        <w:r w:rsidRPr="00A2097D">
          <w:rPr>
            <w:rStyle w:val="Hyperlink"/>
            <w:noProof/>
          </w:rPr>
          <w:t>Accumulation of Released Substances in the Environment</w:t>
        </w:r>
        <w:r>
          <w:rPr>
            <w:noProof/>
            <w:webHidden/>
          </w:rPr>
          <w:tab/>
        </w:r>
        <w:r>
          <w:rPr>
            <w:noProof/>
            <w:webHidden/>
          </w:rPr>
          <w:fldChar w:fldCharType="begin"/>
        </w:r>
        <w:r>
          <w:rPr>
            <w:noProof/>
            <w:webHidden/>
          </w:rPr>
          <w:instrText xml:space="preserve"> PAGEREF _Toc192257479 \h </w:instrText>
        </w:r>
        <w:r>
          <w:rPr>
            <w:noProof/>
            <w:webHidden/>
          </w:rPr>
        </w:r>
        <w:r>
          <w:rPr>
            <w:noProof/>
            <w:webHidden/>
          </w:rPr>
          <w:fldChar w:fldCharType="separate"/>
        </w:r>
        <w:r>
          <w:rPr>
            <w:noProof/>
            <w:webHidden/>
          </w:rPr>
          <w:t>11</w:t>
        </w:r>
        <w:r>
          <w:rPr>
            <w:noProof/>
            <w:webHidden/>
          </w:rPr>
          <w:fldChar w:fldCharType="end"/>
        </w:r>
      </w:hyperlink>
    </w:p>
    <w:p w14:paraId="5C194214" w14:textId="702E07F9" w:rsidR="00C91A52" w:rsidRDefault="00C91A52">
      <w:pPr>
        <w:pStyle w:val="TOC3"/>
        <w:tabs>
          <w:tab w:val="left" w:pos="1200"/>
          <w:tab w:val="right" w:leader="dot" w:pos="10212"/>
        </w:tabs>
        <w:rPr>
          <w:noProof/>
          <w:kern w:val="2"/>
          <w:lang w:eastAsia="en-GB"/>
          <w14:ligatures w14:val="standardContextual"/>
        </w:rPr>
      </w:pPr>
      <w:hyperlink w:anchor="_Toc192257480" w:history="1">
        <w:r w:rsidRPr="00A2097D">
          <w:rPr>
            <w:rStyle w:val="Hyperlink"/>
            <w:noProof/>
          </w:rPr>
          <w:t>4.5</w:t>
        </w:r>
        <w:r>
          <w:rPr>
            <w:noProof/>
            <w:kern w:val="2"/>
            <w:lang w:eastAsia="en-GB"/>
            <w14:ligatures w14:val="standardContextual"/>
          </w:rPr>
          <w:tab/>
        </w:r>
        <w:r w:rsidRPr="00A2097D">
          <w:rPr>
            <w:rStyle w:val="Hyperlink"/>
            <w:noProof/>
          </w:rPr>
          <w:t>Releases of “Special Substances” (The Precautionary Principle)</w:t>
        </w:r>
        <w:r>
          <w:rPr>
            <w:noProof/>
            <w:webHidden/>
          </w:rPr>
          <w:tab/>
        </w:r>
        <w:r>
          <w:rPr>
            <w:noProof/>
            <w:webHidden/>
          </w:rPr>
          <w:fldChar w:fldCharType="begin"/>
        </w:r>
        <w:r>
          <w:rPr>
            <w:noProof/>
            <w:webHidden/>
          </w:rPr>
          <w:instrText xml:space="preserve"> PAGEREF _Toc192257480 \h </w:instrText>
        </w:r>
        <w:r>
          <w:rPr>
            <w:noProof/>
            <w:webHidden/>
          </w:rPr>
        </w:r>
        <w:r>
          <w:rPr>
            <w:noProof/>
            <w:webHidden/>
          </w:rPr>
          <w:fldChar w:fldCharType="separate"/>
        </w:r>
        <w:r>
          <w:rPr>
            <w:noProof/>
            <w:webHidden/>
          </w:rPr>
          <w:t>12</w:t>
        </w:r>
        <w:r>
          <w:rPr>
            <w:noProof/>
            <w:webHidden/>
          </w:rPr>
          <w:fldChar w:fldCharType="end"/>
        </w:r>
      </w:hyperlink>
    </w:p>
    <w:p w14:paraId="5008D5CD" w14:textId="1B6712F3" w:rsidR="00C91A52" w:rsidRDefault="00C91A52">
      <w:pPr>
        <w:pStyle w:val="TOC3"/>
        <w:tabs>
          <w:tab w:val="left" w:pos="1200"/>
          <w:tab w:val="right" w:leader="dot" w:pos="10212"/>
        </w:tabs>
        <w:rPr>
          <w:noProof/>
          <w:kern w:val="2"/>
          <w:lang w:eastAsia="en-GB"/>
          <w14:ligatures w14:val="standardContextual"/>
        </w:rPr>
      </w:pPr>
      <w:hyperlink w:anchor="_Toc192257481" w:history="1">
        <w:r w:rsidRPr="00A2097D">
          <w:rPr>
            <w:rStyle w:val="Hyperlink"/>
            <w:noProof/>
          </w:rPr>
          <w:t>4.6</w:t>
        </w:r>
        <w:r>
          <w:rPr>
            <w:noProof/>
            <w:kern w:val="2"/>
            <w:lang w:eastAsia="en-GB"/>
            <w14:ligatures w14:val="standardContextual"/>
          </w:rPr>
          <w:tab/>
        </w:r>
        <w:r w:rsidRPr="00A2097D">
          <w:rPr>
            <w:rStyle w:val="Hyperlink"/>
            <w:noProof/>
          </w:rPr>
          <w:t>Energy Efficiency and Releases of Greenhouse Gases</w:t>
        </w:r>
        <w:r>
          <w:rPr>
            <w:noProof/>
            <w:webHidden/>
          </w:rPr>
          <w:tab/>
        </w:r>
        <w:r>
          <w:rPr>
            <w:noProof/>
            <w:webHidden/>
          </w:rPr>
          <w:fldChar w:fldCharType="begin"/>
        </w:r>
        <w:r>
          <w:rPr>
            <w:noProof/>
            <w:webHidden/>
          </w:rPr>
          <w:instrText xml:space="preserve"> PAGEREF _Toc192257481 \h </w:instrText>
        </w:r>
        <w:r>
          <w:rPr>
            <w:noProof/>
            <w:webHidden/>
          </w:rPr>
        </w:r>
        <w:r>
          <w:rPr>
            <w:noProof/>
            <w:webHidden/>
          </w:rPr>
          <w:fldChar w:fldCharType="separate"/>
        </w:r>
        <w:r>
          <w:rPr>
            <w:noProof/>
            <w:webHidden/>
          </w:rPr>
          <w:t>12</w:t>
        </w:r>
        <w:r>
          <w:rPr>
            <w:noProof/>
            <w:webHidden/>
          </w:rPr>
          <w:fldChar w:fldCharType="end"/>
        </w:r>
      </w:hyperlink>
    </w:p>
    <w:p w14:paraId="7DFEFFD2" w14:textId="0C946A51" w:rsidR="00C91A52" w:rsidRDefault="00C91A52">
      <w:pPr>
        <w:pStyle w:val="TOC3"/>
        <w:tabs>
          <w:tab w:val="left" w:pos="1200"/>
          <w:tab w:val="right" w:leader="dot" w:pos="10212"/>
        </w:tabs>
        <w:rPr>
          <w:noProof/>
          <w:kern w:val="2"/>
          <w:lang w:eastAsia="en-GB"/>
          <w14:ligatures w14:val="standardContextual"/>
        </w:rPr>
      </w:pPr>
      <w:hyperlink w:anchor="_Toc192257482" w:history="1">
        <w:r w:rsidRPr="00A2097D">
          <w:rPr>
            <w:rStyle w:val="Hyperlink"/>
            <w:noProof/>
          </w:rPr>
          <w:t>4.7</w:t>
        </w:r>
        <w:r>
          <w:rPr>
            <w:noProof/>
            <w:kern w:val="2"/>
            <w:lang w:eastAsia="en-GB"/>
            <w14:ligatures w14:val="standardContextual"/>
          </w:rPr>
          <w:tab/>
        </w:r>
        <w:r w:rsidRPr="00A2097D">
          <w:rPr>
            <w:rStyle w:val="Hyperlink"/>
            <w:noProof/>
          </w:rPr>
          <w:t>Releases of Substances that Deplete the Ozone Layer</w:t>
        </w:r>
        <w:r>
          <w:rPr>
            <w:noProof/>
            <w:webHidden/>
          </w:rPr>
          <w:tab/>
        </w:r>
        <w:r>
          <w:rPr>
            <w:noProof/>
            <w:webHidden/>
          </w:rPr>
          <w:fldChar w:fldCharType="begin"/>
        </w:r>
        <w:r>
          <w:rPr>
            <w:noProof/>
            <w:webHidden/>
          </w:rPr>
          <w:instrText xml:space="preserve"> PAGEREF _Toc192257482 \h </w:instrText>
        </w:r>
        <w:r>
          <w:rPr>
            <w:noProof/>
            <w:webHidden/>
          </w:rPr>
        </w:r>
        <w:r>
          <w:rPr>
            <w:noProof/>
            <w:webHidden/>
          </w:rPr>
          <w:fldChar w:fldCharType="separate"/>
        </w:r>
        <w:r>
          <w:rPr>
            <w:noProof/>
            <w:webHidden/>
          </w:rPr>
          <w:t>13</w:t>
        </w:r>
        <w:r>
          <w:rPr>
            <w:noProof/>
            <w:webHidden/>
          </w:rPr>
          <w:fldChar w:fldCharType="end"/>
        </w:r>
      </w:hyperlink>
    </w:p>
    <w:p w14:paraId="3AA92023" w14:textId="55FAE1BB" w:rsidR="00C91A52" w:rsidRDefault="00C91A52">
      <w:pPr>
        <w:pStyle w:val="TOC3"/>
        <w:tabs>
          <w:tab w:val="left" w:pos="1200"/>
          <w:tab w:val="right" w:leader="dot" w:pos="10212"/>
        </w:tabs>
        <w:rPr>
          <w:noProof/>
          <w:kern w:val="2"/>
          <w:lang w:eastAsia="en-GB"/>
          <w14:ligatures w14:val="standardContextual"/>
        </w:rPr>
      </w:pPr>
      <w:hyperlink w:anchor="_Toc192257483" w:history="1">
        <w:r w:rsidRPr="00A2097D">
          <w:rPr>
            <w:rStyle w:val="Hyperlink"/>
            <w:noProof/>
          </w:rPr>
          <w:t>4.8</w:t>
        </w:r>
        <w:r>
          <w:rPr>
            <w:noProof/>
            <w:kern w:val="2"/>
            <w:lang w:eastAsia="en-GB"/>
            <w14:ligatures w14:val="standardContextual"/>
          </w:rPr>
          <w:tab/>
        </w:r>
        <w:r w:rsidRPr="00A2097D">
          <w:rPr>
            <w:rStyle w:val="Hyperlink"/>
            <w:noProof/>
          </w:rPr>
          <w:t>Releases of Substances Causing Low Level Ozone Formation</w:t>
        </w:r>
        <w:r>
          <w:rPr>
            <w:noProof/>
            <w:webHidden/>
          </w:rPr>
          <w:tab/>
        </w:r>
        <w:r>
          <w:rPr>
            <w:noProof/>
            <w:webHidden/>
          </w:rPr>
          <w:fldChar w:fldCharType="begin"/>
        </w:r>
        <w:r>
          <w:rPr>
            <w:noProof/>
            <w:webHidden/>
          </w:rPr>
          <w:instrText xml:space="preserve"> PAGEREF _Toc192257483 \h </w:instrText>
        </w:r>
        <w:r>
          <w:rPr>
            <w:noProof/>
            <w:webHidden/>
          </w:rPr>
        </w:r>
        <w:r>
          <w:rPr>
            <w:noProof/>
            <w:webHidden/>
          </w:rPr>
          <w:fldChar w:fldCharType="separate"/>
        </w:r>
        <w:r>
          <w:rPr>
            <w:noProof/>
            <w:webHidden/>
          </w:rPr>
          <w:t>13</w:t>
        </w:r>
        <w:r>
          <w:rPr>
            <w:noProof/>
            <w:webHidden/>
          </w:rPr>
          <w:fldChar w:fldCharType="end"/>
        </w:r>
      </w:hyperlink>
    </w:p>
    <w:p w14:paraId="0542BA82" w14:textId="668DA3B8" w:rsidR="00C91A52" w:rsidRDefault="00C91A52">
      <w:pPr>
        <w:pStyle w:val="TOC3"/>
        <w:tabs>
          <w:tab w:val="left" w:pos="1200"/>
          <w:tab w:val="right" w:leader="dot" w:pos="10212"/>
        </w:tabs>
        <w:rPr>
          <w:noProof/>
          <w:kern w:val="2"/>
          <w:lang w:eastAsia="en-GB"/>
          <w14:ligatures w14:val="standardContextual"/>
        </w:rPr>
      </w:pPr>
      <w:hyperlink w:anchor="_Toc192257484" w:history="1">
        <w:r w:rsidRPr="00A2097D">
          <w:rPr>
            <w:rStyle w:val="Hyperlink"/>
            <w:noProof/>
          </w:rPr>
          <w:t>4.9</w:t>
        </w:r>
        <w:r>
          <w:rPr>
            <w:noProof/>
            <w:kern w:val="2"/>
            <w:lang w:eastAsia="en-GB"/>
            <w14:ligatures w14:val="standardContextual"/>
          </w:rPr>
          <w:tab/>
        </w:r>
        <w:r w:rsidRPr="00A2097D">
          <w:rPr>
            <w:rStyle w:val="Hyperlink"/>
            <w:noProof/>
          </w:rPr>
          <w:t>Effects of Releases on Visual Amenity</w:t>
        </w:r>
        <w:r>
          <w:rPr>
            <w:noProof/>
            <w:webHidden/>
          </w:rPr>
          <w:tab/>
        </w:r>
        <w:r>
          <w:rPr>
            <w:noProof/>
            <w:webHidden/>
          </w:rPr>
          <w:fldChar w:fldCharType="begin"/>
        </w:r>
        <w:r>
          <w:rPr>
            <w:noProof/>
            <w:webHidden/>
          </w:rPr>
          <w:instrText xml:space="preserve"> PAGEREF _Toc192257484 \h </w:instrText>
        </w:r>
        <w:r>
          <w:rPr>
            <w:noProof/>
            <w:webHidden/>
          </w:rPr>
        </w:r>
        <w:r>
          <w:rPr>
            <w:noProof/>
            <w:webHidden/>
          </w:rPr>
          <w:fldChar w:fldCharType="separate"/>
        </w:r>
        <w:r>
          <w:rPr>
            <w:noProof/>
            <w:webHidden/>
          </w:rPr>
          <w:t>14</w:t>
        </w:r>
        <w:r>
          <w:rPr>
            <w:noProof/>
            <w:webHidden/>
          </w:rPr>
          <w:fldChar w:fldCharType="end"/>
        </w:r>
      </w:hyperlink>
    </w:p>
    <w:p w14:paraId="6BF9ADE5" w14:textId="3645AE1D" w:rsidR="00C91A52" w:rsidRDefault="00C91A52">
      <w:pPr>
        <w:pStyle w:val="TOC3"/>
        <w:tabs>
          <w:tab w:val="left" w:pos="1200"/>
          <w:tab w:val="right" w:leader="dot" w:pos="10212"/>
        </w:tabs>
        <w:rPr>
          <w:noProof/>
          <w:kern w:val="2"/>
          <w:lang w:eastAsia="en-GB"/>
          <w14:ligatures w14:val="standardContextual"/>
        </w:rPr>
      </w:pPr>
      <w:hyperlink w:anchor="_Toc192257485" w:history="1">
        <w:r w:rsidRPr="00A2097D">
          <w:rPr>
            <w:rStyle w:val="Hyperlink"/>
            <w:noProof/>
          </w:rPr>
          <w:t>4.10</w:t>
        </w:r>
        <w:r>
          <w:rPr>
            <w:noProof/>
            <w:kern w:val="2"/>
            <w:lang w:eastAsia="en-GB"/>
            <w14:ligatures w14:val="standardContextual"/>
          </w:rPr>
          <w:tab/>
        </w:r>
        <w:r w:rsidRPr="00A2097D">
          <w:rPr>
            <w:rStyle w:val="Hyperlink"/>
            <w:noProof/>
          </w:rPr>
          <w:t>Odour Effects of Releases</w:t>
        </w:r>
        <w:r>
          <w:rPr>
            <w:noProof/>
            <w:webHidden/>
          </w:rPr>
          <w:tab/>
        </w:r>
        <w:r>
          <w:rPr>
            <w:noProof/>
            <w:webHidden/>
          </w:rPr>
          <w:fldChar w:fldCharType="begin"/>
        </w:r>
        <w:r>
          <w:rPr>
            <w:noProof/>
            <w:webHidden/>
          </w:rPr>
          <w:instrText xml:space="preserve"> PAGEREF _Toc192257485 \h </w:instrText>
        </w:r>
        <w:r>
          <w:rPr>
            <w:noProof/>
            <w:webHidden/>
          </w:rPr>
        </w:r>
        <w:r>
          <w:rPr>
            <w:noProof/>
            <w:webHidden/>
          </w:rPr>
          <w:fldChar w:fldCharType="separate"/>
        </w:r>
        <w:r>
          <w:rPr>
            <w:noProof/>
            <w:webHidden/>
          </w:rPr>
          <w:t>14</w:t>
        </w:r>
        <w:r>
          <w:rPr>
            <w:noProof/>
            <w:webHidden/>
          </w:rPr>
          <w:fldChar w:fldCharType="end"/>
        </w:r>
      </w:hyperlink>
    </w:p>
    <w:p w14:paraId="64910B85" w14:textId="4717C457" w:rsidR="00C91A52" w:rsidRDefault="00C91A52">
      <w:pPr>
        <w:pStyle w:val="TOC3"/>
        <w:tabs>
          <w:tab w:val="left" w:pos="1200"/>
          <w:tab w:val="right" w:leader="dot" w:pos="10212"/>
        </w:tabs>
        <w:rPr>
          <w:noProof/>
          <w:kern w:val="2"/>
          <w:lang w:eastAsia="en-GB"/>
          <w14:ligatures w14:val="standardContextual"/>
        </w:rPr>
      </w:pPr>
      <w:hyperlink w:anchor="_Toc192257486" w:history="1">
        <w:r w:rsidRPr="00A2097D">
          <w:rPr>
            <w:rStyle w:val="Hyperlink"/>
            <w:noProof/>
          </w:rPr>
          <w:t>4.11</w:t>
        </w:r>
        <w:r>
          <w:rPr>
            <w:noProof/>
            <w:kern w:val="2"/>
            <w:lang w:eastAsia="en-GB"/>
            <w14:ligatures w14:val="standardContextual"/>
          </w:rPr>
          <w:tab/>
        </w:r>
        <w:r w:rsidRPr="00A2097D">
          <w:rPr>
            <w:rStyle w:val="Hyperlink"/>
            <w:noProof/>
          </w:rPr>
          <w:t>Increased Likelihood or Consequences of Accidents</w:t>
        </w:r>
        <w:r>
          <w:rPr>
            <w:noProof/>
            <w:webHidden/>
          </w:rPr>
          <w:tab/>
        </w:r>
        <w:r>
          <w:rPr>
            <w:noProof/>
            <w:webHidden/>
          </w:rPr>
          <w:fldChar w:fldCharType="begin"/>
        </w:r>
        <w:r>
          <w:rPr>
            <w:noProof/>
            <w:webHidden/>
          </w:rPr>
          <w:instrText xml:space="preserve"> PAGEREF _Toc192257486 \h </w:instrText>
        </w:r>
        <w:r>
          <w:rPr>
            <w:noProof/>
            <w:webHidden/>
          </w:rPr>
        </w:r>
        <w:r>
          <w:rPr>
            <w:noProof/>
            <w:webHidden/>
          </w:rPr>
          <w:fldChar w:fldCharType="separate"/>
        </w:r>
        <w:r>
          <w:rPr>
            <w:noProof/>
            <w:webHidden/>
          </w:rPr>
          <w:t>14</w:t>
        </w:r>
        <w:r>
          <w:rPr>
            <w:noProof/>
            <w:webHidden/>
          </w:rPr>
          <w:fldChar w:fldCharType="end"/>
        </w:r>
      </w:hyperlink>
    </w:p>
    <w:p w14:paraId="2B73EBB9" w14:textId="0D24BEE2" w:rsidR="00C91A52" w:rsidRDefault="00C91A52">
      <w:pPr>
        <w:pStyle w:val="TOC3"/>
        <w:tabs>
          <w:tab w:val="left" w:pos="1200"/>
          <w:tab w:val="right" w:leader="dot" w:pos="10212"/>
        </w:tabs>
        <w:rPr>
          <w:noProof/>
          <w:kern w:val="2"/>
          <w:lang w:eastAsia="en-GB"/>
          <w14:ligatures w14:val="standardContextual"/>
        </w:rPr>
      </w:pPr>
      <w:hyperlink w:anchor="_Toc192257487" w:history="1">
        <w:r w:rsidRPr="00A2097D">
          <w:rPr>
            <w:rStyle w:val="Hyperlink"/>
            <w:noProof/>
          </w:rPr>
          <w:t>4.12</w:t>
        </w:r>
        <w:r>
          <w:rPr>
            <w:noProof/>
            <w:kern w:val="2"/>
            <w:lang w:eastAsia="en-GB"/>
            <w14:ligatures w14:val="standardContextual"/>
          </w:rPr>
          <w:tab/>
        </w:r>
        <w:r w:rsidRPr="00A2097D">
          <w:rPr>
            <w:rStyle w:val="Hyperlink"/>
            <w:noProof/>
          </w:rPr>
          <w:t>Increases in Production of Waste</w:t>
        </w:r>
        <w:r>
          <w:rPr>
            <w:noProof/>
            <w:webHidden/>
          </w:rPr>
          <w:tab/>
        </w:r>
        <w:r>
          <w:rPr>
            <w:noProof/>
            <w:webHidden/>
          </w:rPr>
          <w:fldChar w:fldCharType="begin"/>
        </w:r>
        <w:r>
          <w:rPr>
            <w:noProof/>
            <w:webHidden/>
          </w:rPr>
          <w:instrText xml:space="preserve"> PAGEREF _Toc192257487 \h </w:instrText>
        </w:r>
        <w:r>
          <w:rPr>
            <w:noProof/>
            <w:webHidden/>
          </w:rPr>
        </w:r>
        <w:r>
          <w:rPr>
            <w:noProof/>
            <w:webHidden/>
          </w:rPr>
          <w:fldChar w:fldCharType="separate"/>
        </w:r>
        <w:r>
          <w:rPr>
            <w:noProof/>
            <w:webHidden/>
          </w:rPr>
          <w:t>15</w:t>
        </w:r>
        <w:r>
          <w:rPr>
            <w:noProof/>
            <w:webHidden/>
          </w:rPr>
          <w:fldChar w:fldCharType="end"/>
        </w:r>
      </w:hyperlink>
    </w:p>
    <w:p w14:paraId="1926DC18" w14:textId="6B844BF6" w:rsidR="00C91A52" w:rsidRDefault="00C91A52">
      <w:pPr>
        <w:pStyle w:val="TOC3"/>
        <w:tabs>
          <w:tab w:val="left" w:pos="1200"/>
          <w:tab w:val="right" w:leader="dot" w:pos="10212"/>
        </w:tabs>
        <w:rPr>
          <w:noProof/>
          <w:kern w:val="2"/>
          <w:lang w:eastAsia="en-GB"/>
          <w14:ligatures w14:val="standardContextual"/>
        </w:rPr>
      </w:pPr>
      <w:hyperlink w:anchor="_Toc192257488" w:history="1">
        <w:r w:rsidRPr="00A2097D">
          <w:rPr>
            <w:rStyle w:val="Hyperlink"/>
            <w:noProof/>
          </w:rPr>
          <w:t>4.13</w:t>
        </w:r>
        <w:r>
          <w:rPr>
            <w:noProof/>
            <w:kern w:val="2"/>
            <w:lang w:eastAsia="en-GB"/>
            <w14:ligatures w14:val="standardContextual"/>
          </w:rPr>
          <w:tab/>
        </w:r>
        <w:r w:rsidRPr="00A2097D">
          <w:rPr>
            <w:rStyle w:val="Hyperlink"/>
            <w:noProof/>
          </w:rPr>
          <w:t>Heat</w:t>
        </w:r>
        <w:r>
          <w:rPr>
            <w:noProof/>
            <w:webHidden/>
          </w:rPr>
          <w:tab/>
        </w:r>
        <w:r>
          <w:rPr>
            <w:noProof/>
            <w:webHidden/>
          </w:rPr>
          <w:fldChar w:fldCharType="begin"/>
        </w:r>
        <w:r>
          <w:rPr>
            <w:noProof/>
            <w:webHidden/>
          </w:rPr>
          <w:instrText xml:space="preserve"> PAGEREF _Toc192257488 \h </w:instrText>
        </w:r>
        <w:r>
          <w:rPr>
            <w:noProof/>
            <w:webHidden/>
          </w:rPr>
        </w:r>
        <w:r>
          <w:rPr>
            <w:noProof/>
            <w:webHidden/>
          </w:rPr>
          <w:fldChar w:fldCharType="separate"/>
        </w:r>
        <w:r>
          <w:rPr>
            <w:noProof/>
            <w:webHidden/>
          </w:rPr>
          <w:t>15</w:t>
        </w:r>
        <w:r>
          <w:rPr>
            <w:noProof/>
            <w:webHidden/>
          </w:rPr>
          <w:fldChar w:fldCharType="end"/>
        </w:r>
      </w:hyperlink>
    </w:p>
    <w:p w14:paraId="02D64DEE" w14:textId="2F37A7C6" w:rsidR="00C91A52" w:rsidRDefault="00C91A52">
      <w:pPr>
        <w:pStyle w:val="TOC3"/>
        <w:tabs>
          <w:tab w:val="left" w:pos="1200"/>
          <w:tab w:val="right" w:leader="dot" w:pos="10212"/>
        </w:tabs>
        <w:rPr>
          <w:noProof/>
          <w:kern w:val="2"/>
          <w:lang w:eastAsia="en-GB"/>
          <w14:ligatures w14:val="standardContextual"/>
        </w:rPr>
      </w:pPr>
      <w:hyperlink w:anchor="_Toc192257489" w:history="1">
        <w:r w:rsidRPr="00A2097D">
          <w:rPr>
            <w:rStyle w:val="Hyperlink"/>
            <w:noProof/>
          </w:rPr>
          <w:t>4.14</w:t>
        </w:r>
        <w:r>
          <w:rPr>
            <w:noProof/>
            <w:kern w:val="2"/>
            <w:lang w:eastAsia="en-GB"/>
            <w14:ligatures w14:val="standardContextual"/>
          </w:rPr>
          <w:tab/>
        </w:r>
        <w:r w:rsidRPr="00A2097D">
          <w:rPr>
            <w:rStyle w:val="Hyperlink"/>
            <w:noProof/>
          </w:rPr>
          <w:t>Noise and Vibration</w:t>
        </w:r>
        <w:r>
          <w:rPr>
            <w:noProof/>
            <w:webHidden/>
          </w:rPr>
          <w:tab/>
        </w:r>
        <w:r>
          <w:rPr>
            <w:noProof/>
            <w:webHidden/>
          </w:rPr>
          <w:fldChar w:fldCharType="begin"/>
        </w:r>
        <w:r>
          <w:rPr>
            <w:noProof/>
            <w:webHidden/>
          </w:rPr>
          <w:instrText xml:space="preserve"> PAGEREF _Toc192257489 \h </w:instrText>
        </w:r>
        <w:r>
          <w:rPr>
            <w:noProof/>
            <w:webHidden/>
          </w:rPr>
        </w:r>
        <w:r>
          <w:rPr>
            <w:noProof/>
            <w:webHidden/>
          </w:rPr>
          <w:fldChar w:fldCharType="separate"/>
        </w:r>
        <w:r>
          <w:rPr>
            <w:noProof/>
            <w:webHidden/>
          </w:rPr>
          <w:t>16</w:t>
        </w:r>
        <w:r>
          <w:rPr>
            <w:noProof/>
            <w:webHidden/>
          </w:rPr>
          <w:fldChar w:fldCharType="end"/>
        </w:r>
      </w:hyperlink>
    </w:p>
    <w:p w14:paraId="72784254" w14:textId="2FE8CF8C" w:rsidR="00C91A52" w:rsidRDefault="00C91A52">
      <w:pPr>
        <w:pStyle w:val="TOC3"/>
        <w:tabs>
          <w:tab w:val="left" w:pos="1200"/>
          <w:tab w:val="right" w:leader="dot" w:pos="10212"/>
        </w:tabs>
        <w:rPr>
          <w:noProof/>
          <w:kern w:val="2"/>
          <w:lang w:eastAsia="en-GB"/>
          <w14:ligatures w14:val="standardContextual"/>
        </w:rPr>
      </w:pPr>
      <w:hyperlink w:anchor="_Toc192257490" w:history="1">
        <w:r w:rsidRPr="00A2097D">
          <w:rPr>
            <w:rStyle w:val="Hyperlink"/>
            <w:noProof/>
          </w:rPr>
          <w:t>4.15</w:t>
        </w:r>
        <w:r>
          <w:rPr>
            <w:noProof/>
            <w:kern w:val="2"/>
            <w:lang w:eastAsia="en-GB"/>
            <w14:ligatures w14:val="standardContextual"/>
          </w:rPr>
          <w:tab/>
        </w:r>
        <w:r w:rsidRPr="00A2097D">
          <w:rPr>
            <w:rStyle w:val="Hyperlink"/>
            <w:noProof/>
          </w:rPr>
          <w:t>Effects on designated/sensitive receptors</w:t>
        </w:r>
        <w:r>
          <w:rPr>
            <w:noProof/>
            <w:webHidden/>
          </w:rPr>
          <w:tab/>
        </w:r>
        <w:r>
          <w:rPr>
            <w:noProof/>
            <w:webHidden/>
          </w:rPr>
          <w:fldChar w:fldCharType="begin"/>
        </w:r>
        <w:r>
          <w:rPr>
            <w:noProof/>
            <w:webHidden/>
          </w:rPr>
          <w:instrText xml:space="preserve"> PAGEREF _Toc192257490 \h </w:instrText>
        </w:r>
        <w:r>
          <w:rPr>
            <w:noProof/>
            <w:webHidden/>
          </w:rPr>
        </w:r>
        <w:r>
          <w:rPr>
            <w:noProof/>
            <w:webHidden/>
          </w:rPr>
          <w:fldChar w:fldCharType="separate"/>
        </w:r>
        <w:r>
          <w:rPr>
            <w:noProof/>
            <w:webHidden/>
          </w:rPr>
          <w:t>16</w:t>
        </w:r>
        <w:r>
          <w:rPr>
            <w:noProof/>
            <w:webHidden/>
          </w:rPr>
          <w:fldChar w:fldCharType="end"/>
        </w:r>
      </w:hyperlink>
    </w:p>
    <w:p w14:paraId="0A958A6E" w14:textId="2C6B0D5F" w:rsidR="00C91A52" w:rsidRDefault="00C91A52">
      <w:pPr>
        <w:pStyle w:val="TOC3"/>
        <w:tabs>
          <w:tab w:val="left" w:pos="1200"/>
          <w:tab w:val="right" w:leader="dot" w:pos="10212"/>
        </w:tabs>
        <w:rPr>
          <w:noProof/>
          <w:kern w:val="2"/>
          <w:lang w:eastAsia="en-GB"/>
          <w14:ligatures w14:val="standardContextual"/>
        </w:rPr>
      </w:pPr>
      <w:hyperlink w:anchor="_Toc192257491" w:history="1">
        <w:r w:rsidRPr="00A2097D">
          <w:rPr>
            <w:rStyle w:val="Hyperlink"/>
            <w:noProof/>
          </w:rPr>
          <w:t>4.16</w:t>
        </w:r>
        <w:r>
          <w:rPr>
            <w:noProof/>
            <w:kern w:val="2"/>
            <w:lang w:eastAsia="en-GB"/>
            <w14:ligatures w14:val="standardContextual"/>
          </w:rPr>
          <w:tab/>
        </w:r>
        <w:r w:rsidRPr="00A2097D">
          <w:rPr>
            <w:rStyle w:val="Hyperlink"/>
            <w:noProof/>
          </w:rPr>
          <w:t>Environmental Impact Assessment (Scotland) Regulations 2010</w:t>
        </w:r>
        <w:r>
          <w:rPr>
            <w:noProof/>
            <w:webHidden/>
          </w:rPr>
          <w:tab/>
        </w:r>
        <w:r>
          <w:rPr>
            <w:noProof/>
            <w:webHidden/>
          </w:rPr>
          <w:fldChar w:fldCharType="begin"/>
        </w:r>
        <w:r>
          <w:rPr>
            <w:noProof/>
            <w:webHidden/>
          </w:rPr>
          <w:instrText xml:space="preserve"> PAGEREF _Toc192257491 \h </w:instrText>
        </w:r>
        <w:r>
          <w:rPr>
            <w:noProof/>
            <w:webHidden/>
          </w:rPr>
        </w:r>
        <w:r>
          <w:rPr>
            <w:noProof/>
            <w:webHidden/>
          </w:rPr>
          <w:fldChar w:fldCharType="separate"/>
        </w:r>
        <w:r>
          <w:rPr>
            <w:noProof/>
            <w:webHidden/>
          </w:rPr>
          <w:t>17</w:t>
        </w:r>
        <w:r>
          <w:rPr>
            <w:noProof/>
            <w:webHidden/>
          </w:rPr>
          <w:fldChar w:fldCharType="end"/>
        </w:r>
      </w:hyperlink>
    </w:p>
    <w:p w14:paraId="25EC5662" w14:textId="0CCC090B" w:rsidR="00C91A52" w:rsidRDefault="00C91A52">
      <w:pPr>
        <w:pStyle w:val="TOC2"/>
        <w:tabs>
          <w:tab w:val="right" w:leader="dot" w:pos="10212"/>
        </w:tabs>
        <w:rPr>
          <w:noProof/>
          <w:kern w:val="2"/>
          <w:lang w:eastAsia="en-GB"/>
          <w14:ligatures w14:val="standardContextual"/>
        </w:rPr>
      </w:pPr>
      <w:hyperlink w:anchor="_Toc192257492" w:history="1">
        <w:r w:rsidRPr="00A2097D">
          <w:rPr>
            <w:rStyle w:val="Hyperlink"/>
            <w:rFonts w:ascii="Arial" w:hAnsi="Arial" w:cs="Arial"/>
            <w:noProof/>
          </w:rPr>
          <w:t>Disclaimer</w:t>
        </w:r>
        <w:r>
          <w:rPr>
            <w:noProof/>
            <w:webHidden/>
          </w:rPr>
          <w:tab/>
        </w:r>
        <w:r>
          <w:rPr>
            <w:noProof/>
            <w:webHidden/>
          </w:rPr>
          <w:fldChar w:fldCharType="begin"/>
        </w:r>
        <w:r>
          <w:rPr>
            <w:noProof/>
            <w:webHidden/>
          </w:rPr>
          <w:instrText xml:space="preserve"> PAGEREF _Toc192257492 \h </w:instrText>
        </w:r>
        <w:r>
          <w:rPr>
            <w:noProof/>
            <w:webHidden/>
          </w:rPr>
        </w:r>
        <w:r>
          <w:rPr>
            <w:noProof/>
            <w:webHidden/>
          </w:rPr>
          <w:fldChar w:fldCharType="separate"/>
        </w:r>
        <w:r>
          <w:rPr>
            <w:noProof/>
            <w:webHidden/>
          </w:rPr>
          <w:t>18</w:t>
        </w:r>
        <w:r>
          <w:rPr>
            <w:noProof/>
            <w:webHidden/>
          </w:rPr>
          <w:fldChar w:fldCharType="end"/>
        </w:r>
      </w:hyperlink>
    </w:p>
    <w:p w14:paraId="167B84CF" w14:textId="76BABED2" w:rsidR="00BE5281" w:rsidRDefault="00BE5281" w:rsidP="00BE5281">
      <w:pPr>
        <w:jc w:val="both"/>
      </w:pPr>
      <w:r>
        <w:fldChar w:fldCharType="end"/>
      </w:r>
    </w:p>
    <w:p w14:paraId="1C4D21FE" w14:textId="3B276DA2" w:rsidR="00CC406B" w:rsidRPr="001213D4" w:rsidRDefault="00CC406B" w:rsidP="00BE5281">
      <w:pPr>
        <w:jc w:val="both"/>
        <w:rPr>
          <w:rFonts w:ascii="Arial" w:hAnsi="Arial" w:cs="Arial"/>
          <w:b/>
          <w:bCs/>
        </w:rPr>
      </w:pPr>
      <w:r w:rsidRPr="001213D4">
        <w:rPr>
          <w:rFonts w:ascii="Arial" w:hAnsi="Arial" w:cs="Arial"/>
          <w:b/>
          <w:bCs/>
        </w:rPr>
        <w:t>This guidance has been updated to meet accessibility standards and to replace certain references to legislation with references to the Environmental Authorisations (Scotland) Regulations 2018.</w:t>
      </w:r>
      <w:r w:rsidR="000107ED">
        <w:rPr>
          <w:rFonts w:ascii="Arial" w:hAnsi="Arial" w:cs="Arial"/>
          <w:b/>
          <w:bCs/>
        </w:rPr>
        <w:t xml:space="preserve"> </w:t>
      </w:r>
      <w:r w:rsidRPr="001213D4">
        <w:rPr>
          <w:rFonts w:ascii="Arial" w:hAnsi="Arial" w:cs="Arial"/>
          <w:b/>
          <w:bCs/>
        </w:rPr>
        <w:t>It has not been reviewed beyond this.</w:t>
      </w:r>
      <w:r w:rsidR="000107ED">
        <w:rPr>
          <w:rFonts w:ascii="Arial" w:hAnsi="Arial" w:cs="Arial"/>
          <w:b/>
          <w:bCs/>
        </w:rPr>
        <w:t xml:space="preserve"> </w:t>
      </w:r>
      <w:r w:rsidRPr="001213D4">
        <w:rPr>
          <w:rFonts w:ascii="Arial" w:hAnsi="Arial" w:cs="Arial"/>
          <w:b/>
          <w:bCs/>
        </w:rPr>
        <w:t>We are aware that sections of this guidance may need to be updated, and this work will be completed in due course.</w:t>
      </w:r>
    </w:p>
    <w:p w14:paraId="3EB5ED8A" w14:textId="77777777" w:rsidR="004F3144" w:rsidRDefault="004F3144" w:rsidP="00BE5281">
      <w:pPr>
        <w:jc w:val="both"/>
        <w:rPr>
          <w:rFonts w:ascii="Arial" w:hAnsi="Arial" w:cs="Arial"/>
          <w:b/>
          <w:bCs/>
          <w:sz w:val="32"/>
          <w:szCs w:val="32"/>
        </w:rPr>
      </w:pPr>
    </w:p>
    <w:p w14:paraId="4806036E" w14:textId="5781931F" w:rsidR="004F3144" w:rsidRPr="00794FB4" w:rsidRDefault="004F3144" w:rsidP="004F3144">
      <w:pPr>
        <w:pStyle w:val="BodyText1"/>
        <w:rPr>
          <w:rFonts w:eastAsia="Times New Roman"/>
          <w:sz w:val="32"/>
          <w:szCs w:val="32"/>
        </w:rPr>
      </w:pPr>
      <w:r w:rsidRPr="00794FB4">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94FB4">
          <w:rPr>
            <w:rStyle w:val="Hyperlink"/>
            <w:rFonts w:eastAsia="Times New Roman"/>
            <w:sz w:val="32"/>
            <w:szCs w:val="32"/>
          </w:rPr>
          <w:t>equalities@sepa.org.uk</w:t>
        </w:r>
      </w:hyperlink>
      <w:r w:rsidR="000107ED">
        <w:rPr>
          <w:rFonts w:eastAsia="Times New Roman"/>
          <w:sz w:val="32"/>
          <w:szCs w:val="32"/>
        </w:rPr>
        <w:t xml:space="preserve"> </w:t>
      </w:r>
    </w:p>
    <w:p w14:paraId="195409BB" w14:textId="77777777" w:rsidR="004F3144" w:rsidRDefault="004F3144" w:rsidP="00BE5281">
      <w:pPr>
        <w:jc w:val="both"/>
        <w:rPr>
          <w:rFonts w:ascii="Arial" w:hAnsi="Arial" w:cs="Arial"/>
        </w:rPr>
      </w:pPr>
    </w:p>
    <w:p w14:paraId="377B5E97" w14:textId="77777777" w:rsidR="004F3144" w:rsidRDefault="004F3144" w:rsidP="00BE5281">
      <w:pPr>
        <w:jc w:val="both"/>
        <w:rPr>
          <w:rFonts w:ascii="Arial" w:hAnsi="Arial" w:cs="Arial"/>
        </w:rPr>
      </w:pPr>
    </w:p>
    <w:p w14:paraId="7DB50903" w14:textId="77777777" w:rsidR="004F3144" w:rsidRDefault="004F3144" w:rsidP="00BE5281">
      <w:pPr>
        <w:jc w:val="both"/>
        <w:rPr>
          <w:rFonts w:ascii="Arial" w:hAnsi="Arial" w:cs="Arial"/>
        </w:rPr>
      </w:pPr>
    </w:p>
    <w:p w14:paraId="7C9A0C3C" w14:textId="77777777" w:rsidR="004F3144" w:rsidRDefault="004F3144" w:rsidP="00BE5281">
      <w:pPr>
        <w:jc w:val="both"/>
        <w:rPr>
          <w:rFonts w:ascii="Arial" w:hAnsi="Arial" w:cs="Arial"/>
        </w:rPr>
      </w:pPr>
    </w:p>
    <w:p w14:paraId="3A2B9CB6" w14:textId="77777777" w:rsidR="004F3144" w:rsidRDefault="004F3144" w:rsidP="00BE5281">
      <w:pPr>
        <w:jc w:val="both"/>
        <w:rPr>
          <w:rFonts w:ascii="Arial" w:hAnsi="Arial" w:cs="Arial"/>
        </w:rPr>
      </w:pPr>
    </w:p>
    <w:p w14:paraId="2C950C89" w14:textId="77777777" w:rsidR="004F3144" w:rsidRDefault="004F3144" w:rsidP="00BE5281">
      <w:pPr>
        <w:jc w:val="both"/>
        <w:rPr>
          <w:rFonts w:ascii="Arial" w:hAnsi="Arial" w:cs="Arial"/>
        </w:rPr>
      </w:pPr>
    </w:p>
    <w:p w14:paraId="67455598" w14:textId="77777777" w:rsidR="004F3144" w:rsidRDefault="004F3144" w:rsidP="00BE5281">
      <w:pPr>
        <w:jc w:val="both"/>
        <w:rPr>
          <w:rFonts w:ascii="Arial" w:hAnsi="Arial" w:cs="Arial"/>
        </w:rPr>
      </w:pPr>
    </w:p>
    <w:p w14:paraId="75AC165A" w14:textId="77777777" w:rsidR="004F3144" w:rsidRDefault="004F3144" w:rsidP="00BE5281">
      <w:pPr>
        <w:jc w:val="both"/>
        <w:rPr>
          <w:rFonts w:ascii="Arial" w:hAnsi="Arial" w:cs="Arial"/>
        </w:rPr>
      </w:pPr>
    </w:p>
    <w:p w14:paraId="21587C67" w14:textId="77777777" w:rsidR="001213D4" w:rsidRDefault="001213D4" w:rsidP="00BE5281">
      <w:pPr>
        <w:jc w:val="both"/>
        <w:rPr>
          <w:rFonts w:ascii="Arial" w:hAnsi="Arial" w:cs="Arial"/>
        </w:rPr>
      </w:pPr>
    </w:p>
    <w:p w14:paraId="2AA09486" w14:textId="77777777" w:rsidR="001213D4" w:rsidRDefault="001213D4" w:rsidP="00BE5281">
      <w:pPr>
        <w:jc w:val="both"/>
        <w:rPr>
          <w:rFonts w:ascii="Arial" w:hAnsi="Arial" w:cs="Arial"/>
        </w:rPr>
      </w:pPr>
    </w:p>
    <w:p w14:paraId="49A1170D" w14:textId="77777777" w:rsidR="001213D4" w:rsidRDefault="001213D4" w:rsidP="00BE5281">
      <w:pPr>
        <w:jc w:val="both"/>
        <w:rPr>
          <w:rFonts w:ascii="Arial" w:hAnsi="Arial" w:cs="Arial"/>
        </w:rPr>
      </w:pPr>
    </w:p>
    <w:p w14:paraId="0754DB98" w14:textId="77777777" w:rsidR="001213D4" w:rsidRDefault="001213D4" w:rsidP="00BE5281">
      <w:pPr>
        <w:jc w:val="both"/>
        <w:rPr>
          <w:rFonts w:ascii="Arial" w:hAnsi="Arial" w:cs="Arial"/>
        </w:rPr>
      </w:pPr>
    </w:p>
    <w:p w14:paraId="3D7D50B2" w14:textId="77777777" w:rsidR="004F3144" w:rsidRDefault="004F3144" w:rsidP="00BE5281">
      <w:pPr>
        <w:jc w:val="both"/>
        <w:rPr>
          <w:rFonts w:ascii="Arial" w:hAnsi="Arial" w:cs="Arial"/>
        </w:rPr>
      </w:pPr>
    </w:p>
    <w:p w14:paraId="48433A53" w14:textId="77777777" w:rsidR="00C077FC" w:rsidRDefault="00C077FC" w:rsidP="00C077FC"/>
    <w:p w14:paraId="6C87AFEB" w14:textId="56C02D9D" w:rsidR="00331306" w:rsidRPr="00331306" w:rsidRDefault="00331306" w:rsidP="00B164AF">
      <w:pPr>
        <w:pStyle w:val="Heading2"/>
        <w:numPr>
          <w:ilvl w:val="0"/>
          <w:numId w:val="20"/>
        </w:numPr>
        <w:spacing w:after="120"/>
        <w:ind w:left="0" w:firstLine="0"/>
        <w:rPr>
          <w:rFonts w:eastAsia="Times New Roman"/>
        </w:rPr>
      </w:pPr>
      <w:bookmarkStart w:id="0" w:name="_Toc192257463"/>
      <w:r w:rsidRPr="00331306">
        <w:rPr>
          <w:rFonts w:eastAsia="Times New Roman"/>
        </w:rPr>
        <w:lastRenderedPageBreak/>
        <w:t>I</w:t>
      </w:r>
      <w:r w:rsidR="003C193F">
        <w:rPr>
          <w:rFonts w:eastAsia="Times New Roman"/>
        </w:rPr>
        <w:t>ntroduction</w:t>
      </w:r>
      <w:bookmarkEnd w:id="0"/>
    </w:p>
    <w:p w14:paraId="7186BB1D" w14:textId="6F8E9F7F" w:rsidR="007C27B0" w:rsidRPr="00B568E3" w:rsidRDefault="007C27B0" w:rsidP="00B164AF">
      <w:pPr>
        <w:spacing w:after="240"/>
        <w:textAlignment w:val="baseline"/>
      </w:pPr>
      <w:r w:rsidRPr="00B568E3">
        <w:t xml:space="preserve">This note </w:t>
      </w:r>
      <w:r w:rsidR="00EF195F" w:rsidRPr="00B568E3">
        <w:t xml:space="preserve">provides </w:t>
      </w:r>
      <w:r w:rsidRPr="00B568E3">
        <w:t>guidance on how to de</w:t>
      </w:r>
      <w:r w:rsidR="003015B5" w:rsidRPr="00B568E3">
        <w:t>termine</w:t>
      </w:r>
      <w:r w:rsidRPr="00B568E3">
        <w:t xml:space="preserve"> </w:t>
      </w:r>
      <w:r w:rsidR="00693D78" w:rsidRPr="00B568E3">
        <w:t>if</w:t>
      </w:r>
      <w:r w:rsidRPr="00B568E3">
        <w:t xml:space="preserve"> a proposed change </w:t>
      </w:r>
      <w:r w:rsidR="003015B5" w:rsidRPr="00B568E3">
        <w:t xml:space="preserve">in the operation of an activity </w:t>
      </w:r>
      <w:r w:rsidR="005D1902" w:rsidRPr="00B568E3">
        <w:t xml:space="preserve">under </w:t>
      </w:r>
      <w:r w:rsidR="00531FF7" w:rsidRPr="00B568E3">
        <w:t>a</w:t>
      </w:r>
      <w:r w:rsidR="00F06D11" w:rsidRPr="00B568E3">
        <w:t xml:space="preserve"> schedule 20</w:t>
      </w:r>
      <w:r w:rsidR="005D1902" w:rsidRPr="00B568E3">
        <w:t xml:space="preserve"> </w:t>
      </w:r>
      <w:r w:rsidR="00EC47E1" w:rsidRPr="00B568E3">
        <w:t xml:space="preserve">Industrial </w:t>
      </w:r>
      <w:r w:rsidR="00EF195F" w:rsidRPr="00B568E3">
        <w:t>E</w:t>
      </w:r>
      <w:r w:rsidR="00EC47E1" w:rsidRPr="00B568E3">
        <w:t xml:space="preserve">missions Activity </w:t>
      </w:r>
      <w:r w:rsidR="00EF195F" w:rsidRPr="00B568E3">
        <w:t xml:space="preserve">permit </w:t>
      </w:r>
      <w:r w:rsidR="003015B5" w:rsidRPr="00B568E3">
        <w:t xml:space="preserve">or a Schedule 23 Organic Solvent emissions permit </w:t>
      </w:r>
      <w:r w:rsidR="00EF195F" w:rsidRPr="00B568E3">
        <w:t>(</w:t>
      </w:r>
      <w:r w:rsidR="00EC47E1" w:rsidRPr="00B568E3">
        <w:t xml:space="preserve">defined in schedule 19 of </w:t>
      </w:r>
      <w:r w:rsidR="0091516A" w:rsidRPr="00B568E3">
        <w:t>The Environmental Authorisations (Scotland) Regulations 2018 (EASR)</w:t>
      </w:r>
      <w:r w:rsidR="00EF195F" w:rsidRPr="00B568E3">
        <w:t xml:space="preserve">) </w:t>
      </w:r>
      <w:r w:rsidR="00F06D11" w:rsidRPr="00B568E3">
        <w:t>is considered</w:t>
      </w:r>
      <w:r w:rsidR="00EF195F" w:rsidRPr="00B568E3">
        <w:t xml:space="preserve"> a substantial change.</w:t>
      </w:r>
    </w:p>
    <w:p w14:paraId="3781E556" w14:textId="1871981D" w:rsidR="007C27B0" w:rsidRPr="00B568E3" w:rsidRDefault="00C46D54" w:rsidP="00B164AF">
      <w:pPr>
        <w:spacing w:after="240"/>
        <w:textAlignment w:val="baseline"/>
      </w:pPr>
      <w:r w:rsidRPr="00B568E3">
        <w:t xml:space="preserve">If a proposed change is </w:t>
      </w:r>
      <w:r w:rsidR="00A03658" w:rsidRPr="00B568E3">
        <w:t>considered</w:t>
      </w:r>
      <w:r w:rsidR="001F3F4F" w:rsidRPr="00B568E3">
        <w:t xml:space="preserve"> to be</w:t>
      </w:r>
      <w:r w:rsidRPr="00B568E3">
        <w:t xml:space="preserve"> substantial, </w:t>
      </w:r>
      <w:r w:rsidR="00C62EC9" w:rsidRPr="00B568E3">
        <w:t xml:space="preserve">the </w:t>
      </w:r>
      <w:r w:rsidR="00F06D11" w:rsidRPr="00B568E3">
        <w:t xml:space="preserve">application will require </w:t>
      </w:r>
      <w:r w:rsidR="00AE1CF7" w:rsidRPr="00B568E3">
        <w:t xml:space="preserve">public </w:t>
      </w:r>
      <w:r w:rsidR="00F06D11" w:rsidRPr="00B568E3">
        <w:t xml:space="preserve">consultation </w:t>
      </w:r>
      <w:r w:rsidR="00AE1CF7" w:rsidRPr="00B568E3">
        <w:t>(</w:t>
      </w:r>
      <w:r w:rsidR="006D5765" w:rsidRPr="00B568E3">
        <w:t>s</w:t>
      </w:r>
      <w:r w:rsidR="003466B5" w:rsidRPr="00B568E3">
        <w:t>chedule 20(</w:t>
      </w:r>
      <w:r w:rsidR="002358B7" w:rsidRPr="00B568E3">
        <w:t>1</w:t>
      </w:r>
      <w:r w:rsidR="003466B5" w:rsidRPr="00B568E3">
        <w:t xml:space="preserve">7) </w:t>
      </w:r>
      <w:r w:rsidR="003F5D6E" w:rsidRPr="00B568E3">
        <w:t>(</w:t>
      </w:r>
      <w:r w:rsidR="006D5765" w:rsidRPr="00B568E3">
        <w:t>p</w:t>
      </w:r>
      <w:r w:rsidR="003F5D6E" w:rsidRPr="00B568E3">
        <w:t>ublic consultation)</w:t>
      </w:r>
      <w:r w:rsidR="00AE1CF7" w:rsidRPr="00B568E3">
        <w:t>)</w:t>
      </w:r>
      <w:r w:rsidR="003F5D6E" w:rsidRPr="00B568E3">
        <w:t>, along with a higher application fee.</w:t>
      </w:r>
      <w:r w:rsidR="000107ED">
        <w:t xml:space="preserve"> </w:t>
      </w:r>
      <w:r w:rsidR="001C5113" w:rsidRPr="00B568E3">
        <w:t>It will also</w:t>
      </w:r>
      <w:r w:rsidR="008B51A6" w:rsidRPr="00B568E3">
        <w:t xml:space="preserve"> likely require </w:t>
      </w:r>
      <w:r w:rsidR="001F3F4F" w:rsidRPr="00B568E3">
        <w:t xml:space="preserve">work </w:t>
      </w:r>
      <w:r w:rsidR="008B51A6" w:rsidRPr="00B568E3">
        <w:t>with</w:t>
      </w:r>
      <w:r w:rsidR="001F3F4F" w:rsidRPr="00B568E3">
        <w:t xml:space="preserve"> our</w:t>
      </w:r>
      <w:r w:rsidR="008B51A6" w:rsidRPr="00B568E3">
        <w:t xml:space="preserve"> public bod</w:t>
      </w:r>
      <w:r w:rsidR="001F3F4F" w:rsidRPr="00B568E3">
        <w:t>y partners</w:t>
      </w:r>
      <w:r w:rsidR="008B51A6" w:rsidRPr="00B568E3">
        <w:t xml:space="preserve"> and potentially require pre-application community engagement</w:t>
      </w:r>
      <w:r w:rsidR="001F3F4F" w:rsidRPr="00B568E3">
        <w:t xml:space="preserve"> as stated in our </w:t>
      </w:r>
      <w:r w:rsidR="007352C4" w:rsidRPr="00B568E3">
        <w:t>P</w:t>
      </w:r>
      <w:r w:rsidR="001F3F4F" w:rsidRPr="00B568E3">
        <w:t xml:space="preserve">ublic </w:t>
      </w:r>
      <w:r w:rsidR="007352C4" w:rsidRPr="00B568E3">
        <w:t>P</w:t>
      </w:r>
      <w:r w:rsidR="001F3F4F" w:rsidRPr="00B568E3">
        <w:t xml:space="preserve">articipation </w:t>
      </w:r>
      <w:r w:rsidR="007352C4" w:rsidRPr="00B568E3">
        <w:t>S</w:t>
      </w:r>
      <w:r w:rsidR="001F3F4F" w:rsidRPr="00B568E3">
        <w:t>tatement.</w:t>
      </w:r>
    </w:p>
    <w:p w14:paraId="772299F8" w14:textId="19A85079" w:rsidR="00602146" w:rsidRPr="00B568E3" w:rsidRDefault="00602146" w:rsidP="00B164AF">
      <w:pPr>
        <w:spacing w:after="240"/>
        <w:textAlignment w:val="baseline"/>
      </w:pPr>
      <w:r w:rsidRPr="00B568E3">
        <w:t xml:space="preserve">It is possible for SEPA initiated variations to allow a substantial change </w:t>
      </w:r>
      <w:r w:rsidR="00E65411" w:rsidRPr="00B568E3">
        <w:t>and this guidance should be used to assess this.</w:t>
      </w:r>
    </w:p>
    <w:p w14:paraId="20AFCA4D" w14:textId="6E0A47DF" w:rsidR="00B65BB0" w:rsidRPr="00B568E3" w:rsidRDefault="00B65BB0" w:rsidP="00B164AF">
      <w:pPr>
        <w:spacing w:after="240"/>
        <w:textAlignment w:val="baseline"/>
      </w:pPr>
      <w:r w:rsidRPr="00B568E3">
        <w:t xml:space="preserve">While the legislative requirements of </w:t>
      </w:r>
      <w:r w:rsidR="00175328" w:rsidRPr="00B568E3">
        <w:t xml:space="preserve">this guidance apply to </w:t>
      </w:r>
      <w:r w:rsidR="00875E1C" w:rsidRPr="00B568E3">
        <w:t xml:space="preserve">the activities in </w:t>
      </w:r>
      <w:r w:rsidR="00175328" w:rsidRPr="00B568E3">
        <w:t xml:space="preserve">schedules 20 </w:t>
      </w:r>
      <w:r w:rsidR="00C91A52">
        <w:t xml:space="preserve">(emission activities) </w:t>
      </w:r>
      <w:r w:rsidR="00175328" w:rsidRPr="00B568E3">
        <w:t>and 23</w:t>
      </w:r>
      <w:r w:rsidR="00C91A52">
        <w:t xml:space="preserve"> (organic solvent activities)</w:t>
      </w:r>
      <w:r w:rsidR="00175328" w:rsidRPr="00B568E3">
        <w:t>,</w:t>
      </w:r>
      <w:r w:rsidR="001F26A3" w:rsidRPr="00B568E3">
        <w:t xml:space="preserve"> </w:t>
      </w:r>
      <w:r w:rsidR="001D14F8" w:rsidRPr="00B568E3">
        <w:t xml:space="preserve">SEPA may apply </w:t>
      </w:r>
      <w:r w:rsidR="001C3C8A" w:rsidRPr="00B568E3">
        <w:t>this guidance</w:t>
      </w:r>
      <w:r w:rsidR="009F127F" w:rsidRPr="00B568E3">
        <w:t xml:space="preserve"> to other industrial activities</w:t>
      </w:r>
      <w:r w:rsidR="00875E1C" w:rsidRPr="00B568E3">
        <w:t xml:space="preserve"> when assessing substantiality</w:t>
      </w:r>
      <w:r w:rsidR="009F127F" w:rsidRPr="00B568E3">
        <w:t>.</w:t>
      </w:r>
    </w:p>
    <w:p w14:paraId="45C29C64" w14:textId="2F94FBDF" w:rsidR="00331306" w:rsidRPr="00143F3E" w:rsidRDefault="003C193F" w:rsidP="00B164AF">
      <w:pPr>
        <w:pStyle w:val="Heading2"/>
        <w:numPr>
          <w:ilvl w:val="0"/>
          <w:numId w:val="20"/>
        </w:numPr>
        <w:spacing w:after="120"/>
        <w:ind w:left="0" w:firstLine="0"/>
        <w:rPr>
          <w:rFonts w:eastAsia="Times New Roman"/>
        </w:rPr>
      </w:pPr>
      <w:bookmarkStart w:id="1" w:name="_Toc192257464"/>
      <w:r w:rsidRPr="00143F3E">
        <w:rPr>
          <w:rFonts w:eastAsia="Times New Roman"/>
        </w:rPr>
        <w:t>What is a change in operation</w:t>
      </w:r>
      <w:r w:rsidR="00331306" w:rsidRPr="00143F3E">
        <w:rPr>
          <w:rFonts w:eastAsia="Times New Roman"/>
        </w:rPr>
        <w:t>?</w:t>
      </w:r>
      <w:bookmarkEnd w:id="1"/>
    </w:p>
    <w:p w14:paraId="55F67175" w14:textId="69B827E1" w:rsidR="00331306" w:rsidRPr="00B568E3" w:rsidRDefault="001A4090" w:rsidP="00B164AF">
      <w:pPr>
        <w:spacing w:after="240"/>
        <w:textAlignment w:val="baseline"/>
      </w:pPr>
      <w:r w:rsidRPr="00B568E3">
        <w:t xml:space="preserve">Schedule 19, </w:t>
      </w:r>
      <w:r w:rsidR="00331306" w:rsidRPr="00B568E3">
        <w:t xml:space="preserve">Regulation </w:t>
      </w:r>
      <w:r w:rsidR="00301724" w:rsidRPr="00B568E3">
        <w:t>4</w:t>
      </w:r>
      <w:r w:rsidR="00331306" w:rsidRPr="00B568E3">
        <w:t xml:space="preserve">(1) of </w:t>
      </w:r>
      <w:r w:rsidRPr="00B568E3">
        <w:t>EASR</w:t>
      </w:r>
      <w:r w:rsidR="00331306" w:rsidRPr="00B568E3">
        <w:t xml:space="preserve"> defines a</w:t>
      </w:r>
      <w:r w:rsidR="00A33819" w:rsidRPr="00B568E3">
        <w:t xml:space="preserve"> change </w:t>
      </w:r>
      <w:r w:rsidR="0015468A" w:rsidRPr="00B568E3">
        <w:t xml:space="preserve">in operation </w:t>
      </w:r>
      <w:r w:rsidR="00837CAF" w:rsidRPr="00B568E3">
        <w:t>a</w:t>
      </w:r>
      <w:r w:rsidR="00D4194B" w:rsidRPr="00B568E3">
        <w:t>s</w:t>
      </w:r>
      <w:r w:rsidR="0013238E" w:rsidRPr="00B568E3">
        <w:t>:</w:t>
      </w:r>
    </w:p>
    <w:p w14:paraId="68DE9224" w14:textId="28B2AF0F" w:rsidR="00726679" w:rsidRPr="0003464C" w:rsidRDefault="009512A8" w:rsidP="00B164AF">
      <w:pPr>
        <w:spacing w:after="240"/>
        <w:textAlignment w:val="baseline"/>
      </w:pPr>
      <w:r w:rsidRPr="0003464C">
        <w:t>“</w:t>
      </w:r>
      <w:r w:rsidR="00726679" w:rsidRPr="0003464C">
        <w:t>a change in the nature or functioning, or an extension, of an installation or combustion plant, waste incineration or waste co-incineration plant</w:t>
      </w:r>
      <w:r w:rsidR="003F5CE2" w:rsidRPr="0003464C">
        <w:t>”</w:t>
      </w:r>
      <w:r w:rsidR="0003464C">
        <w:t>.</w:t>
      </w:r>
    </w:p>
    <w:p w14:paraId="38394205" w14:textId="77777777" w:rsidR="00331306" w:rsidRPr="00331306" w:rsidRDefault="00331306" w:rsidP="00B164AF">
      <w:pPr>
        <w:pStyle w:val="Heading3"/>
        <w:spacing w:after="120"/>
      </w:pPr>
      <w:bookmarkStart w:id="2" w:name="_Toc192257465"/>
      <w:r w:rsidRPr="00B568E3">
        <w:t>2.1</w:t>
      </w:r>
      <w:r w:rsidRPr="00B568E3">
        <w:tab/>
        <w:t>Change in the nature of an installation</w:t>
      </w:r>
      <w:bookmarkEnd w:id="2"/>
    </w:p>
    <w:p w14:paraId="07A6813A" w14:textId="71419718" w:rsidR="00331306" w:rsidRPr="00B568E3" w:rsidRDefault="00331306" w:rsidP="001E56DA">
      <w:pPr>
        <w:spacing w:after="240"/>
        <w:textAlignment w:val="baseline"/>
      </w:pPr>
      <w:r w:rsidRPr="00B568E3">
        <w:t xml:space="preserve">A ‘change in the nature of an installation’ </w:t>
      </w:r>
      <w:r w:rsidR="00D4194B" w:rsidRPr="00B568E3">
        <w:t>refers to</w:t>
      </w:r>
      <w:r w:rsidRPr="00B568E3">
        <w:t xml:space="preserve"> a change made in the activities carried out at the installation.</w:t>
      </w:r>
    </w:p>
    <w:p w14:paraId="19B84585" w14:textId="7C4E787D" w:rsidR="00331306" w:rsidRPr="00B568E3" w:rsidRDefault="00344283" w:rsidP="001E56DA">
      <w:pPr>
        <w:spacing w:after="240"/>
        <w:textAlignment w:val="baseline"/>
      </w:pPr>
      <w:r w:rsidRPr="00B568E3">
        <w:t>However,</w:t>
      </w:r>
      <w:r w:rsidR="00331306" w:rsidRPr="00B568E3">
        <w:t xml:space="preserve"> where the purpose of an installation is changed entirely, with one set of activities replacing a completely different set, SEPA would consider this to constitute a new installation, not a change in operation.</w:t>
      </w:r>
    </w:p>
    <w:p w14:paraId="4D4FC2AD" w14:textId="77777777" w:rsidR="00331306" w:rsidRPr="00331306" w:rsidRDefault="00331306" w:rsidP="001E56DA">
      <w:pPr>
        <w:pStyle w:val="Heading3"/>
        <w:spacing w:after="120"/>
      </w:pPr>
      <w:bookmarkStart w:id="3" w:name="_Toc192257466"/>
      <w:r w:rsidRPr="00B568E3">
        <w:lastRenderedPageBreak/>
        <w:t>2.2</w:t>
      </w:r>
      <w:r w:rsidRPr="00B568E3">
        <w:tab/>
        <w:t>Change in the functioning of an installation</w:t>
      </w:r>
      <w:bookmarkEnd w:id="3"/>
    </w:p>
    <w:p w14:paraId="07EC4C01" w14:textId="4A754C34" w:rsidR="00331306" w:rsidRPr="00B568E3" w:rsidRDefault="00331306" w:rsidP="001E56DA">
      <w:pPr>
        <w:spacing w:after="240"/>
        <w:textAlignment w:val="baseline"/>
      </w:pPr>
      <w:r w:rsidRPr="00B568E3">
        <w:t xml:space="preserve">A ‘change in the functioning of an installation’ </w:t>
      </w:r>
      <w:r w:rsidR="00EA4244" w:rsidRPr="00B568E3">
        <w:t xml:space="preserve">refers </w:t>
      </w:r>
      <w:r w:rsidRPr="00B568E3">
        <w:t xml:space="preserve">to change in how </w:t>
      </w:r>
      <w:r w:rsidR="00EA4244" w:rsidRPr="00B568E3">
        <w:t xml:space="preserve">the </w:t>
      </w:r>
      <w:r w:rsidRPr="00B568E3">
        <w:t xml:space="preserve">activities are carried out </w:t>
      </w:r>
      <w:r w:rsidR="00BB0916" w:rsidRPr="00B568E3">
        <w:t xml:space="preserve">such as changes </w:t>
      </w:r>
      <w:r w:rsidRPr="00B568E3">
        <w:t>in procedures, control programs</w:t>
      </w:r>
      <w:r w:rsidR="00BB0916" w:rsidRPr="00B568E3">
        <w:t xml:space="preserve"> or the </w:t>
      </w:r>
      <w:r w:rsidRPr="00B568E3">
        <w:t>process (</w:t>
      </w:r>
      <w:r w:rsidR="00BB0916" w:rsidRPr="00B568E3">
        <w:t xml:space="preserve">like the order </w:t>
      </w:r>
      <w:r w:rsidR="000C3854" w:rsidRPr="00B568E3">
        <w:t>components</w:t>
      </w:r>
      <w:r w:rsidR="00BB0916" w:rsidRPr="00B568E3">
        <w:t xml:space="preserve"> are added)</w:t>
      </w:r>
      <w:r w:rsidRPr="00B568E3">
        <w:t xml:space="preserve">, as well as </w:t>
      </w:r>
      <w:r w:rsidR="008D40AA" w:rsidRPr="00B568E3">
        <w:t xml:space="preserve">any new </w:t>
      </w:r>
      <w:r w:rsidRPr="00B568E3">
        <w:t>techniques used to carry out activities.</w:t>
      </w:r>
    </w:p>
    <w:p w14:paraId="0F2C7E16" w14:textId="10F938CA" w:rsidR="00331306" w:rsidRPr="00331306" w:rsidRDefault="00331306" w:rsidP="001E56DA">
      <w:pPr>
        <w:pStyle w:val="Heading3"/>
        <w:spacing w:after="120"/>
      </w:pPr>
      <w:bookmarkStart w:id="4" w:name="_Toc192257467"/>
      <w:r w:rsidRPr="00B568E3">
        <w:t>2.3</w:t>
      </w:r>
      <w:r w:rsidRPr="00B568E3">
        <w:tab/>
        <w:t xml:space="preserve">An extension of an installation or </w:t>
      </w:r>
      <w:r w:rsidR="00AA7910" w:rsidRPr="00B568E3">
        <w:t>authorised place</w:t>
      </w:r>
      <w:bookmarkEnd w:id="4"/>
    </w:p>
    <w:p w14:paraId="781A9EFD" w14:textId="4F13B521" w:rsidR="00C14825" w:rsidRPr="00B568E3" w:rsidRDefault="00331306" w:rsidP="001E56DA">
      <w:pPr>
        <w:spacing w:after="240"/>
        <w:textAlignment w:val="baseline"/>
      </w:pPr>
      <w:r w:rsidRPr="00B568E3">
        <w:t>‘An extension’ covers physical extensions</w:t>
      </w:r>
      <w:r w:rsidR="00E10E2D" w:rsidRPr="00B568E3">
        <w:t xml:space="preserve"> such as increasing the size or capacity of the </w:t>
      </w:r>
      <w:r w:rsidRPr="00B568E3">
        <w:t>installation or</w:t>
      </w:r>
      <w:r w:rsidR="00AA7910" w:rsidRPr="00B568E3">
        <w:t xml:space="preserve"> authorised place</w:t>
      </w:r>
      <w:r w:rsidRPr="00B568E3">
        <w:t>.</w:t>
      </w:r>
    </w:p>
    <w:p w14:paraId="13674DA9" w14:textId="3B6B588D" w:rsidR="00331306" w:rsidRPr="00143F3E" w:rsidRDefault="003C193F" w:rsidP="001E56DA">
      <w:pPr>
        <w:pStyle w:val="Heading2"/>
        <w:numPr>
          <w:ilvl w:val="0"/>
          <w:numId w:val="20"/>
        </w:numPr>
        <w:spacing w:after="120"/>
        <w:ind w:left="0" w:firstLine="0"/>
        <w:rPr>
          <w:rFonts w:eastAsia="Times New Roman"/>
        </w:rPr>
      </w:pPr>
      <w:bookmarkStart w:id="5" w:name="_Toc192257468"/>
      <w:r w:rsidRPr="00143F3E">
        <w:rPr>
          <w:rFonts w:eastAsia="Times New Roman"/>
        </w:rPr>
        <w:t>What is a substantial change in operation</w:t>
      </w:r>
      <w:r w:rsidR="00331306" w:rsidRPr="00143F3E">
        <w:rPr>
          <w:rFonts w:eastAsia="Times New Roman"/>
        </w:rPr>
        <w:t>?</w:t>
      </w:r>
      <w:bookmarkEnd w:id="5"/>
    </w:p>
    <w:p w14:paraId="7D1AF71A" w14:textId="6E8FC6F2" w:rsidR="00331306" w:rsidRPr="00B568E3" w:rsidRDefault="00D60C12" w:rsidP="001E56DA">
      <w:pPr>
        <w:spacing w:after="240"/>
        <w:textAlignment w:val="baseline"/>
      </w:pPr>
      <w:r w:rsidRPr="00B568E3">
        <w:t>Schedule 19</w:t>
      </w:r>
      <w:r w:rsidR="00D24CB9" w:rsidRPr="00B568E3">
        <w:t>,</w:t>
      </w:r>
      <w:r w:rsidRPr="00B568E3">
        <w:t xml:space="preserve"> </w:t>
      </w:r>
      <w:r w:rsidR="00331306" w:rsidRPr="00B568E3">
        <w:t xml:space="preserve">Regulation </w:t>
      </w:r>
      <w:r w:rsidRPr="00B568E3">
        <w:t>4</w:t>
      </w:r>
      <w:r w:rsidR="00331306" w:rsidRPr="00B568E3">
        <w:t xml:space="preserve">(1) of the </w:t>
      </w:r>
      <w:r w:rsidRPr="00B568E3">
        <w:t xml:space="preserve">EASR 2025 </w:t>
      </w:r>
      <w:r w:rsidR="00331306" w:rsidRPr="00B568E3">
        <w:t>Regulations defines a substantial change as:</w:t>
      </w:r>
    </w:p>
    <w:p w14:paraId="10E5A558" w14:textId="77777777" w:rsidR="00C70E7E" w:rsidRPr="00B568E3" w:rsidRDefault="00D60C12" w:rsidP="001E56DA">
      <w:pPr>
        <w:spacing w:after="240"/>
        <w:textAlignment w:val="baseline"/>
      </w:pPr>
      <w:r w:rsidRPr="00B568E3">
        <w:t xml:space="preserve"> “substantial change” means— </w:t>
      </w:r>
    </w:p>
    <w:p w14:paraId="3C1C6704" w14:textId="77777777" w:rsidR="00C70E7E" w:rsidRPr="00B568E3" w:rsidRDefault="00D60C12" w:rsidP="001E56DA">
      <w:pPr>
        <w:spacing w:after="240"/>
        <w:textAlignment w:val="baseline"/>
      </w:pPr>
      <w:r w:rsidRPr="00B568E3">
        <w:t xml:space="preserve">(a) a change in the nature or functioning, or an extension, of an installation or combustion plant, waste incineration or waste co-incineration plant which SEPA considers may— </w:t>
      </w:r>
    </w:p>
    <w:p w14:paraId="67A3A038" w14:textId="77777777" w:rsidR="00C70E7E" w:rsidRPr="00B568E3" w:rsidRDefault="00D60C12" w:rsidP="00B66366">
      <w:pPr>
        <w:spacing w:after="240"/>
        <w:ind w:firstLine="720"/>
        <w:textAlignment w:val="baseline"/>
      </w:pPr>
      <w:r w:rsidRPr="00B568E3">
        <w:t xml:space="preserve">(i) have significant negative effect on human health or the environment, or </w:t>
      </w:r>
    </w:p>
    <w:p w14:paraId="7C18C9CE" w14:textId="77777777" w:rsidR="00C70E7E" w:rsidRPr="00B568E3" w:rsidRDefault="00D60C12" w:rsidP="00B66366">
      <w:pPr>
        <w:spacing w:after="240"/>
        <w:ind w:left="720"/>
        <w:textAlignment w:val="baseline"/>
      </w:pPr>
      <w:r w:rsidRPr="00B568E3">
        <w:t xml:space="preserve">(ii) which in itself constitutes the carrying on of an activity to which any of schedules 20-24 apply, that reaches any threshold capacity specified in those schedules and includes the activities in sub-paragraphs (2) and (3), </w:t>
      </w:r>
    </w:p>
    <w:p w14:paraId="5908FAF5" w14:textId="77777777" w:rsidR="00331306" w:rsidRPr="00331306" w:rsidRDefault="00331306" w:rsidP="001E56DA">
      <w:pPr>
        <w:pStyle w:val="Heading3"/>
        <w:spacing w:after="120"/>
      </w:pPr>
      <w:bookmarkStart w:id="6" w:name="_Toc192257469"/>
      <w:r w:rsidRPr="00B568E3">
        <w:t>3.1</w:t>
      </w:r>
      <w:r w:rsidRPr="00B568E3">
        <w:tab/>
        <w:t>Who decides if the change is substantial?</w:t>
      </w:r>
      <w:bookmarkEnd w:id="6"/>
    </w:p>
    <w:p w14:paraId="48906910" w14:textId="1F6E41C9" w:rsidR="00331306" w:rsidRPr="00B568E3" w:rsidRDefault="00331306" w:rsidP="001E56DA">
      <w:pPr>
        <w:spacing w:after="240"/>
        <w:textAlignment w:val="baseline"/>
      </w:pPr>
      <w:r w:rsidRPr="00B568E3">
        <w:t>SEPA</w:t>
      </w:r>
      <w:r w:rsidR="00D24CB9" w:rsidRPr="00B568E3">
        <w:t xml:space="preserve"> is responsible for </w:t>
      </w:r>
      <w:r w:rsidR="000C3854" w:rsidRPr="00B568E3">
        <w:t>determining</w:t>
      </w:r>
      <w:r w:rsidRPr="00B568E3">
        <w:t xml:space="preserve"> if a proposed change is substantial or not.</w:t>
      </w:r>
    </w:p>
    <w:p w14:paraId="671B5F68" w14:textId="63DE8DEB" w:rsidR="00331306" w:rsidRPr="00B568E3" w:rsidRDefault="00331306" w:rsidP="001E56DA">
      <w:pPr>
        <w:spacing w:after="240"/>
        <w:textAlignment w:val="baseline"/>
      </w:pPr>
      <w:r w:rsidRPr="00B568E3">
        <w:t xml:space="preserve">The use of ‘may’ </w:t>
      </w:r>
      <w:r w:rsidR="00F70A4E" w:rsidRPr="00B568E3">
        <w:t xml:space="preserve">allows SEPA to consider </w:t>
      </w:r>
      <w:r w:rsidRPr="00B568E3">
        <w:t>possible or potential environmental impacts</w:t>
      </w:r>
      <w:r w:rsidR="00F60D5B" w:rsidRPr="00B568E3">
        <w:t xml:space="preserve">, even if it is not certain that will </w:t>
      </w:r>
      <w:r w:rsidR="00C20DE7" w:rsidRPr="00B568E3">
        <w:t>harm will occur.</w:t>
      </w:r>
      <w:r w:rsidRPr="00B568E3">
        <w:t xml:space="preserve"> However, potential impacts should not be too speculative.</w:t>
      </w:r>
    </w:p>
    <w:p w14:paraId="2027F565" w14:textId="7EC6DBC4" w:rsidR="00331306" w:rsidRPr="00B568E3" w:rsidRDefault="00331306" w:rsidP="001E56DA">
      <w:pPr>
        <w:spacing w:after="240"/>
        <w:textAlignment w:val="baseline"/>
      </w:pPr>
      <w:r w:rsidRPr="00B568E3">
        <w:t>The ‘</w:t>
      </w:r>
      <w:r w:rsidR="00544A39" w:rsidRPr="00B568E3">
        <w:t>effects on human health or the environment</w:t>
      </w:r>
      <w:r w:rsidRPr="00B568E3">
        <w:t xml:space="preserve">’ should be considered in relation to the scope of the </w:t>
      </w:r>
      <w:r w:rsidR="00544A39" w:rsidRPr="00B568E3">
        <w:t xml:space="preserve">EASR </w:t>
      </w:r>
      <w:r w:rsidRPr="00B568E3">
        <w:t xml:space="preserve">Regulations. Effects on the environment </w:t>
      </w:r>
      <w:r w:rsidR="00C20DE7" w:rsidRPr="00B568E3">
        <w:t>out with</w:t>
      </w:r>
      <w:r w:rsidRPr="00B568E3">
        <w:t xml:space="preserve"> the scope of </w:t>
      </w:r>
      <w:r w:rsidR="00544A39" w:rsidRPr="00B568E3">
        <w:t xml:space="preserve">EASR </w:t>
      </w:r>
      <w:r w:rsidRPr="00B568E3">
        <w:t>should not normally be considered.</w:t>
      </w:r>
    </w:p>
    <w:p w14:paraId="37FDEAA6" w14:textId="77777777" w:rsidR="00331306" w:rsidRPr="00331306" w:rsidRDefault="00331306" w:rsidP="001E56DA">
      <w:pPr>
        <w:pStyle w:val="Heading3"/>
        <w:spacing w:after="120"/>
      </w:pPr>
      <w:bookmarkStart w:id="7" w:name="_Toc192257470"/>
      <w:r w:rsidRPr="00B568E3">
        <w:lastRenderedPageBreak/>
        <w:t>3.2</w:t>
      </w:r>
      <w:r w:rsidRPr="00B568E3">
        <w:tab/>
        <w:t>Constitutes the carrying on of a listed activity</w:t>
      </w:r>
      <w:bookmarkEnd w:id="7"/>
    </w:p>
    <w:p w14:paraId="231FBCAC" w14:textId="5D5E3D46" w:rsidR="00331306" w:rsidRPr="00B568E3" w:rsidRDefault="00331306" w:rsidP="001E56DA">
      <w:pPr>
        <w:spacing w:after="240"/>
        <w:textAlignment w:val="baseline"/>
      </w:pPr>
      <w:r w:rsidRPr="00B568E3">
        <w:t xml:space="preserve">If the </w:t>
      </w:r>
      <w:r w:rsidR="006B0D54" w:rsidRPr="00B568E3">
        <w:t xml:space="preserve">proposed </w:t>
      </w:r>
      <w:r w:rsidRPr="00B568E3">
        <w:t xml:space="preserve">change itself would </w:t>
      </w:r>
      <w:r w:rsidR="006B0D54" w:rsidRPr="00B568E3">
        <w:t>count as</w:t>
      </w:r>
      <w:r w:rsidR="00222251" w:rsidRPr="00B568E3">
        <w:t xml:space="preserve"> </w:t>
      </w:r>
      <w:r w:rsidRPr="00B568E3">
        <w:t>a listed activity</w:t>
      </w:r>
      <w:r w:rsidR="008B396D" w:rsidRPr="00B568E3">
        <w:t>, then is</w:t>
      </w:r>
      <w:r w:rsidRPr="00B568E3">
        <w:t xml:space="preserve"> then it should </w:t>
      </w:r>
      <w:r w:rsidR="005F6327" w:rsidRPr="00B568E3">
        <w:t xml:space="preserve">be treated as </w:t>
      </w:r>
      <w:r w:rsidRPr="00B568E3">
        <w:t>a substantial change</w:t>
      </w:r>
      <w:r w:rsidR="00D83EA5" w:rsidRPr="00B568E3">
        <w:t xml:space="preserve"> i.e.</w:t>
      </w:r>
      <w:r w:rsidRPr="00B568E3">
        <w:t xml:space="preserve"> if the increase in the capacity of the plant by itself would exceed the activity threshold.</w:t>
      </w:r>
    </w:p>
    <w:p w14:paraId="144B7521" w14:textId="4872C3D4" w:rsidR="00BD4A15" w:rsidRPr="00B568E3" w:rsidRDefault="002B6E9D" w:rsidP="001E56DA">
      <w:pPr>
        <w:spacing w:after="240"/>
        <w:textAlignment w:val="baseline"/>
      </w:pPr>
      <w:r w:rsidRPr="00B568E3">
        <w:t xml:space="preserve">For example, a slaughterhouse needs a permit if it processes over 50 tonnes of carcasses per day. If </w:t>
      </w:r>
      <w:r w:rsidR="00AD1E9D" w:rsidRPr="00B568E3">
        <w:t xml:space="preserve">an already authorised </w:t>
      </w:r>
      <w:r w:rsidRPr="00B568E3">
        <w:t xml:space="preserve">operator wants to increase their capacity by </w:t>
      </w:r>
      <w:r w:rsidR="009A2932" w:rsidRPr="00B568E3">
        <w:t xml:space="preserve">a further </w:t>
      </w:r>
      <w:r w:rsidRPr="00B568E3">
        <w:t>51 tonnes per day, it would be considered a substantial change.</w:t>
      </w:r>
    </w:p>
    <w:p w14:paraId="742E7C28" w14:textId="4716626B" w:rsidR="00331306" w:rsidRPr="00B568E3" w:rsidRDefault="00331306" w:rsidP="001E56DA">
      <w:pPr>
        <w:spacing w:after="240"/>
        <w:textAlignment w:val="baseline"/>
      </w:pPr>
      <w:r w:rsidRPr="00B568E3">
        <w:t xml:space="preserve">Please note this does not apply to an activity described in Schedule </w:t>
      </w:r>
      <w:r w:rsidR="00BD4A15" w:rsidRPr="00B568E3">
        <w:t>20</w:t>
      </w:r>
      <w:r w:rsidRPr="00B568E3">
        <w:t xml:space="preserve"> that does not specify a threshold – only the test of significant negative effect would be relevant to such activities.</w:t>
      </w:r>
    </w:p>
    <w:p w14:paraId="365E01BE" w14:textId="77777777" w:rsidR="00331306" w:rsidRPr="00331306" w:rsidRDefault="00331306" w:rsidP="001E56DA">
      <w:pPr>
        <w:pStyle w:val="Heading3"/>
        <w:spacing w:after="120"/>
      </w:pPr>
      <w:bookmarkStart w:id="8" w:name="_Toc192257471"/>
      <w:r w:rsidRPr="00B568E3">
        <w:t>3.3</w:t>
      </w:r>
      <w:r w:rsidRPr="00B568E3">
        <w:tab/>
        <w:t>Significant negative effect</w:t>
      </w:r>
      <w:bookmarkEnd w:id="8"/>
    </w:p>
    <w:p w14:paraId="4F75AF90" w14:textId="017C40C9" w:rsidR="00331306" w:rsidRPr="00B568E3" w:rsidRDefault="00331306" w:rsidP="001E56DA">
      <w:pPr>
        <w:spacing w:after="240"/>
        <w:textAlignment w:val="baseline"/>
      </w:pPr>
      <w:r w:rsidRPr="00B568E3">
        <w:t xml:space="preserve">To </w:t>
      </w:r>
      <w:r w:rsidR="00CE36E1" w:rsidRPr="00B568E3">
        <w:t>determine if there is a</w:t>
      </w:r>
      <w:r w:rsidRPr="00B568E3">
        <w:t xml:space="preserve"> significant negative effect on human </w:t>
      </w:r>
      <w:r w:rsidR="00544A39" w:rsidRPr="00B568E3">
        <w:t xml:space="preserve">health </w:t>
      </w:r>
      <w:r w:rsidRPr="00B568E3">
        <w:t>or the environment</w:t>
      </w:r>
      <w:r w:rsidR="00CE36E1" w:rsidRPr="00B568E3">
        <w:t>,</w:t>
      </w:r>
      <w:r w:rsidR="00BD4A15" w:rsidRPr="00B568E3">
        <w:t xml:space="preserve"> SEPA shoul</w:t>
      </w:r>
      <w:r w:rsidR="00CE36E1" w:rsidRPr="00B568E3">
        <w:t>d</w:t>
      </w:r>
      <w:r w:rsidRPr="00B568E3">
        <w:t>:</w:t>
      </w:r>
    </w:p>
    <w:p w14:paraId="4C596EDE" w14:textId="130431BA" w:rsidR="00331306" w:rsidRPr="00B568E3" w:rsidRDefault="00331306" w:rsidP="00B66366">
      <w:pPr>
        <w:pStyle w:val="ListParagraph"/>
        <w:numPr>
          <w:ilvl w:val="0"/>
          <w:numId w:val="23"/>
        </w:numPr>
        <w:spacing w:after="240"/>
        <w:ind w:left="714" w:hanging="357"/>
        <w:textAlignment w:val="baseline"/>
      </w:pPr>
      <w:r w:rsidRPr="00B568E3">
        <w:t xml:space="preserve">Consider the likely effect of individual substances released </w:t>
      </w:r>
      <w:r w:rsidR="00CE36E1" w:rsidRPr="00B568E3">
        <w:t>into the environment</w:t>
      </w:r>
      <w:r w:rsidRPr="00B568E3">
        <w:t xml:space="preserve">. If a </w:t>
      </w:r>
      <w:r w:rsidR="00887B25" w:rsidRPr="00B568E3">
        <w:t xml:space="preserve">substance could have a </w:t>
      </w:r>
      <w:r w:rsidRPr="00B568E3">
        <w:t xml:space="preserve">significant negative effect on human beings or the environment then the change should be </w:t>
      </w:r>
      <w:r w:rsidR="00982EE2" w:rsidRPr="00B568E3">
        <w:t>consider</w:t>
      </w:r>
      <w:r w:rsidRPr="00B568E3">
        <w:t>e</w:t>
      </w:r>
      <w:r w:rsidR="00982EE2" w:rsidRPr="00B568E3">
        <w:t>d</w:t>
      </w:r>
      <w:r w:rsidRPr="00B568E3">
        <w:t xml:space="preserve"> substantial.</w:t>
      </w:r>
    </w:p>
    <w:p w14:paraId="1DFF146A" w14:textId="1D457E7D" w:rsidR="00331306" w:rsidRPr="00B568E3" w:rsidRDefault="00331306" w:rsidP="00B66366">
      <w:pPr>
        <w:pStyle w:val="ListParagraph"/>
        <w:numPr>
          <w:ilvl w:val="0"/>
          <w:numId w:val="23"/>
        </w:numPr>
        <w:spacing w:after="240"/>
        <w:ind w:left="714" w:hanging="357"/>
        <w:textAlignment w:val="baseline"/>
      </w:pPr>
      <w:r w:rsidRPr="00B568E3">
        <w:t>Consider potential impact on the</w:t>
      </w:r>
      <w:r w:rsidR="00721568" w:rsidRPr="00B568E3">
        <w:t xml:space="preserve"> whole</w:t>
      </w:r>
      <w:r w:rsidRPr="00B568E3">
        <w:t xml:space="preserve"> environment. Collectively, even small individual changes could have an overall significant negative effect. Similarly, if a mixture of substances is released then ‘in combination’ effects’ should be </w:t>
      </w:r>
      <w:r w:rsidR="00721568" w:rsidRPr="00B568E3">
        <w:t>considered</w:t>
      </w:r>
      <w:r w:rsidRPr="00B568E3">
        <w:t>.</w:t>
      </w:r>
    </w:p>
    <w:p w14:paraId="4AF1A6F7" w14:textId="16AF11EC" w:rsidR="00817CFD" w:rsidRPr="00B568E3" w:rsidRDefault="00721568" w:rsidP="00B66366">
      <w:pPr>
        <w:pStyle w:val="ListParagraph"/>
        <w:numPr>
          <w:ilvl w:val="0"/>
          <w:numId w:val="23"/>
        </w:numPr>
        <w:spacing w:after="240"/>
        <w:ind w:left="714" w:hanging="357"/>
        <w:textAlignment w:val="baseline"/>
      </w:pPr>
      <w:r w:rsidRPr="00B568E3">
        <w:t>Consider</w:t>
      </w:r>
      <w:r w:rsidR="00331306" w:rsidRPr="00B568E3">
        <w:t xml:space="preserve"> that even </w:t>
      </w:r>
      <w:r w:rsidR="00D90A3F" w:rsidRPr="00B568E3">
        <w:t xml:space="preserve">if </w:t>
      </w:r>
      <w:r w:rsidR="00331306" w:rsidRPr="00B568E3">
        <w:t xml:space="preserve">the overall impact of a proposal </w:t>
      </w:r>
      <w:r w:rsidR="00817CFD" w:rsidRPr="00B568E3">
        <w:t>is</w:t>
      </w:r>
      <w:r w:rsidR="00331306" w:rsidRPr="00B568E3">
        <w:t xml:space="preserve"> positive; there </w:t>
      </w:r>
      <w:r w:rsidR="00D90A3F" w:rsidRPr="00B568E3">
        <w:t xml:space="preserve">could still be </w:t>
      </w:r>
      <w:r w:rsidR="00331306" w:rsidRPr="00B568E3">
        <w:t xml:space="preserve">significant negative effects on </w:t>
      </w:r>
      <w:r w:rsidR="00817CFD" w:rsidRPr="00B568E3">
        <w:t>individual environmental media.</w:t>
      </w:r>
      <w:r w:rsidR="008C2776" w:rsidRPr="00B568E3">
        <w:t xml:space="preserve"> </w:t>
      </w:r>
      <w:r w:rsidR="00817CFD" w:rsidRPr="00B568E3">
        <w:t>In such circumstances the proposed change should be considered substantial.</w:t>
      </w:r>
    </w:p>
    <w:p w14:paraId="6FE4F9D6" w14:textId="554F3E49" w:rsidR="00331306" w:rsidRPr="00B568E3" w:rsidRDefault="0089342C" w:rsidP="00B66366">
      <w:pPr>
        <w:pStyle w:val="ListParagraph"/>
        <w:numPr>
          <w:ilvl w:val="0"/>
          <w:numId w:val="23"/>
        </w:numPr>
        <w:spacing w:after="240"/>
        <w:ind w:left="714" w:hanging="357"/>
        <w:textAlignment w:val="baseline"/>
      </w:pPr>
      <w:r w:rsidRPr="00B568E3">
        <w:t xml:space="preserve">Compare the potential impact of the proposed change with the current impact of the installation. </w:t>
      </w:r>
    </w:p>
    <w:p w14:paraId="3E517C62" w14:textId="5C154F29" w:rsidR="00331306" w:rsidRPr="00B568E3" w:rsidRDefault="0007215B" w:rsidP="00B66366">
      <w:pPr>
        <w:pStyle w:val="ListParagraph"/>
        <w:numPr>
          <w:ilvl w:val="0"/>
          <w:numId w:val="23"/>
        </w:numPr>
        <w:spacing w:after="240"/>
        <w:ind w:left="714" w:hanging="357"/>
        <w:textAlignment w:val="baseline"/>
      </w:pPr>
      <w:r w:rsidRPr="00B568E3">
        <w:t xml:space="preserve">Look at the scale of any potential impact, </w:t>
      </w:r>
      <w:r w:rsidR="00C44111" w:rsidRPr="00B568E3">
        <w:t xml:space="preserve">including the geographical area effected, the </w:t>
      </w:r>
      <w:r w:rsidR="00CD0F8C" w:rsidRPr="00B568E3">
        <w:t>population</w:t>
      </w:r>
      <w:r w:rsidR="00C44111" w:rsidRPr="00B568E3">
        <w:t xml:space="preserve">, the </w:t>
      </w:r>
      <w:r w:rsidR="00331306" w:rsidRPr="00B568E3">
        <w:t>probability, magnitude, duration, frequency, or reversibility of any effect. Any transboundary implications or effects on protected areas, species, or assets of particular significance.</w:t>
      </w:r>
    </w:p>
    <w:p w14:paraId="571D815C" w14:textId="71EA10AB" w:rsidR="00331306" w:rsidRPr="00B568E3" w:rsidRDefault="00740969" w:rsidP="00B66366">
      <w:pPr>
        <w:pStyle w:val="ListParagraph"/>
        <w:numPr>
          <w:ilvl w:val="0"/>
          <w:numId w:val="23"/>
        </w:numPr>
        <w:spacing w:after="240"/>
        <w:ind w:left="714" w:hanging="357"/>
        <w:textAlignment w:val="baseline"/>
      </w:pPr>
      <w:r w:rsidRPr="00B568E3">
        <w:t xml:space="preserve">If an installation undergoes a series of small changes over time, </w:t>
      </w:r>
      <w:r w:rsidR="006F7002" w:rsidRPr="00B568E3">
        <w:t xml:space="preserve">each change should be </w:t>
      </w:r>
      <w:r w:rsidR="00315300" w:rsidRPr="00B568E3">
        <w:t>assessed</w:t>
      </w:r>
      <w:r w:rsidR="006F7002" w:rsidRPr="00B568E3">
        <w:t xml:space="preserve"> individually.</w:t>
      </w:r>
      <w:r w:rsidR="000107ED">
        <w:t xml:space="preserve"> </w:t>
      </w:r>
      <w:r w:rsidR="006F7002" w:rsidRPr="00B568E3">
        <w:t xml:space="preserve">However, after a certain point, these changes could add up </w:t>
      </w:r>
      <w:r w:rsidR="0019257C" w:rsidRPr="00B568E3">
        <w:t xml:space="preserve">to a </w:t>
      </w:r>
      <w:r w:rsidR="0019257C" w:rsidRPr="00B568E3">
        <w:lastRenderedPageBreak/>
        <w:t>significant negative effect.</w:t>
      </w:r>
      <w:r w:rsidR="00331306" w:rsidRPr="00B568E3">
        <w:t xml:space="preserve"> In such a case consideration should be given to requiring statutory/public participation of a variation application even although it does not in itself constitute a substantial change</w:t>
      </w:r>
      <w:r w:rsidR="00383376" w:rsidRPr="00B568E3">
        <w:t>.</w:t>
      </w:r>
    </w:p>
    <w:p w14:paraId="21F88462" w14:textId="77777777" w:rsidR="00331306" w:rsidRPr="00331306" w:rsidRDefault="00331306" w:rsidP="001E56DA">
      <w:pPr>
        <w:pStyle w:val="Heading3"/>
        <w:spacing w:after="120"/>
      </w:pPr>
      <w:bookmarkStart w:id="9" w:name="_Toc192257472"/>
      <w:r w:rsidRPr="00B568E3">
        <w:t>3.4</w:t>
      </w:r>
      <w:r w:rsidRPr="00B568E3">
        <w:tab/>
        <w:t>Carrying out of a Solvent Emissions Activity</w:t>
      </w:r>
      <w:bookmarkEnd w:id="9"/>
    </w:p>
    <w:p w14:paraId="0CD1CAFB" w14:textId="77777777" w:rsidR="00A71424" w:rsidRPr="00B568E3" w:rsidRDefault="00A71424" w:rsidP="001E56DA">
      <w:pPr>
        <w:spacing w:after="240"/>
        <w:textAlignment w:val="baseline"/>
      </w:pPr>
      <w:r w:rsidRPr="00B568E3">
        <w:t>For solvent emissions activities, a substantial change is more clearly defined by specific percentage limits on the increase in solvent emissions. These limits determine whether the change is considered substantial:</w:t>
      </w:r>
    </w:p>
    <w:p w14:paraId="08E39432" w14:textId="3AE20B21" w:rsidR="005F6327" w:rsidRPr="00B568E3" w:rsidRDefault="00331306" w:rsidP="00B66366">
      <w:pPr>
        <w:pStyle w:val="ListParagraph"/>
        <w:numPr>
          <w:ilvl w:val="0"/>
          <w:numId w:val="24"/>
        </w:numPr>
        <w:spacing w:after="240"/>
        <w:textAlignment w:val="baseline"/>
      </w:pPr>
      <w:r w:rsidRPr="00B568E3">
        <w:t>For a small solvents installation - more than a 25% increase in solvent emissions due to the change in nominal capacity.</w:t>
      </w:r>
    </w:p>
    <w:p w14:paraId="64595D6A" w14:textId="2C851782" w:rsidR="005F6327" w:rsidRPr="00B568E3" w:rsidRDefault="00331306" w:rsidP="00B66366">
      <w:pPr>
        <w:pStyle w:val="ListParagraph"/>
        <w:numPr>
          <w:ilvl w:val="0"/>
          <w:numId w:val="24"/>
        </w:numPr>
        <w:spacing w:after="240"/>
        <w:textAlignment w:val="baseline"/>
      </w:pPr>
      <w:r w:rsidRPr="00B568E3">
        <w:t>For other solvents installations - more than a 10% increase in solvent emissions due to the change in nominal capacity.</w:t>
      </w:r>
      <w:r w:rsidR="005F6327" w:rsidRPr="00B568E3">
        <w:t xml:space="preserve"> </w:t>
      </w:r>
    </w:p>
    <w:p w14:paraId="331C7A9C" w14:textId="3B7DCE1F" w:rsidR="005F6327" w:rsidRPr="00B66366" w:rsidRDefault="005F6327" w:rsidP="00B66366">
      <w:pPr>
        <w:pStyle w:val="Heading4"/>
      </w:pPr>
      <w:r w:rsidRPr="00B66366">
        <w:t>NOTE:</w:t>
      </w:r>
      <w:r w:rsidRPr="00B66366">
        <w:tab/>
        <w:t xml:space="preserve"> </w:t>
      </w:r>
    </w:p>
    <w:p w14:paraId="669890EE" w14:textId="5D0119A7" w:rsidR="005F6327" w:rsidRPr="00B568E3" w:rsidRDefault="005F6327" w:rsidP="001E56DA">
      <w:pPr>
        <w:spacing w:after="240"/>
        <w:textAlignment w:val="baseline"/>
      </w:pPr>
      <w:r w:rsidRPr="00B568E3">
        <w:t>A schedule 23 activity</w:t>
      </w:r>
      <w:r w:rsidR="00B164AF">
        <w:t xml:space="preserve"> (Such as those listed in Table 1 overleaf)</w:t>
      </w:r>
      <w:r w:rsidRPr="00B568E3">
        <w:t xml:space="preserve"> can form part of an installation with a schedule 20 activity or be carried out alongside a schedule 26 activity.</w:t>
      </w:r>
    </w:p>
    <w:p w14:paraId="26165E7C" w14:textId="77777777" w:rsidR="00331306" w:rsidRPr="00B568E3" w:rsidRDefault="00331306" w:rsidP="00B66366">
      <w:pPr>
        <w:pStyle w:val="Heading4"/>
      </w:pPr>
      <w:r w:rsidRPr="00B568E3">
        <w:t>Small solvents installation:</w:t>
      </w:r>
    </w:p>
    <w:p w14:paraId="69F2556A" w14:textId="2FA13795" w:rsidR="00331306" w:rsidRPr="00B568E3" w:rsidRDefault="00331306" w:rsidP="00B66366">
      <w:pPr>
        <w:pStyle w:val="ListParagraph"/>
        <w:numPr>
          <w:ilvl w:val="0"/>
          <w:numId w:val="25"/>
        </w:numPr>
        <w:spacing w:after="240"/>
        <w:textAlignment w:val="baseline"/>
      </w:pPr>
      <w:r w:rsidRPr="00B568E3">
        <w:t>Falls within the lower threshold band of activities 1, 3</w:t>
      </w:r>
      <w:r w:rsidR="0012005B" w:rsidRPr="00B568E3">
        <w:t>(a), 3(b)</w:t>
      </w:r>
      <w:r w:rsidRPr="00B568E3">
        <w:t xml:space="preserve">, 4, 5, 8, 10, 13, 16 or 17 of </w:t>
      </w:r>
      <w:r w:rsidR="009661D6" w:rsidRPr="00B568E3">
        <w:t>Table 2 in schedule 23 of the regulations.</w:t>
      </w:r>
    </w:p>
    <w:p w14:paraId="10C3BC5F" w14:textId="44ADC1CB" w:rsidR="00331306" w:rsidRDefault="00331306" w:rsidP="00B66366">
      <w:pPr>
        <w:pStyle w:val="ListParagraph"/>
        <w:numPr>
          <w:ilvl w:val="0"/>
          <w:numId w:val="25"/>
        </w:numPr>
        <w:spacing w:after="240"/>
        <w:textAlignment w:val="baseline"/>
      </w:pPr>
      <w:r w:rsidRPr="00B568E3">
        <w:t>Or, for all the other activities in the table, has a solvent consumption of less than 10 tonnes per year.</w:t>
      </w:r>
    </w:p>
    <w:p w14:paraId="5BBF1CF5" w14:textId="77777777" w:rsidR="00B164AF" w:rsidRDefault="00B164AF" w:rsidP="00B164AF">
      <w:pPr>
        <w:pStyle w:val="ListParagraph"/>
        <w:spacing w:after="240"/>
        <w:textAlignment w:val="baseline"/>
      </w:pPr>
    </w:p>
    <w:p w14:paraId="5E38C5C4" w14:textId="77777777" w:rsidR="00B164AF" w:rsidRDefault="00B164AF" w:rsidP="00B164AF">
      <w:pPr>
        <w:pStyle w:val="ListParagraph"/>
        <w:spacing w:after="240"/>
        <w:textAlignment w:val="baseline"/>
      </w:pPr>
    </w:p>
    <w:p w14:paraId="1F31DEE6" w14:textId="77777777" w:rsidR="00B164AF" w:rsidRDefault="00B164AF" w:rsidP="00B164AF">
      <w:pPr>
        <w:pStyle w:val="ListParagraph"/>
        <w:spacing w:after="240"/>
        <w:textAlignment w:val="baseline"/>
      </w:pPr>
    </w:p>
    <w:p w14:paraId="70F29FC9" w14:textId="77777777" w:rsidR="00B164AF" w:rsidRDefault="00B164AF" w:rsidP="00B164AF">
      <w:pPr>
        <w:pStyle w:val="ListParagraph"/>
        <w:spacing w:after="240"/>
        <w:textAlignment w:val="baseline"/>
      </w:pPr>
    </w:p>
    <w:p w14:paraId="4D1C2EF9" w14:textId="77777777" w:rsidR="00B164AF" w:rsidRDefault="00B164AF" w:rsidP="00B164AF">
      <w:pPr>
        <w:pStyle w:val="ListParagraph"/>
        <w:spacing w:after="240"/>
        <w:textAlignment w:val="baseline"/>
      </w:pPr>
    </w:p>
    <w:p w14:paraId="17A6CC2D" w14:textId="77777777" w:rsidR="00B164AF" w:rsidRDefault="00B164AF" w:rsidP="00B164AF">
      <w:pPr>
        <w:pStyle w:val="ListParagraph"/>
        <w:spacing w:after="240"/>
        <w:textAlignment w:val="baseline"/>
      </w:pPr>
    </w:p>
    <w:p w14:paraId="3E978932" w14:textId="77777777" w:rsidR="00B164AF" w:rsidRDefault="00B164AF" w:rsidP="00B164AF">
      <w:pPr>
        <w:pStyle w:val="ListParagraph"/>
        <w:spacing w:after="240"/>
        <w:textAlignment w:val="baseline"/>
      </w:pPr>
    </w:p>
    <w:p w14:paraId="31F408CC" w14:textId="77777777" w:rsidR="00B164AF" w:rsidRDefault="00B164AF" w:rsidP="00B164AF">
      <w:pPr>
        <w:pStyle w:val="ListParagraph"/>
        <w:spacing w:after="240"/>
        <w:textAlignment w:val="baseline"/>
      </w:pPr>
    </w:p>
    <w:p w14:paraId="30CCF889" w14:textId="77777777" w:rsidR="00B164AF" w:rsidRDefault="00B164AF" w:rsidP="00B164AF">
      <w:pPr>
        <w:pStyle w:val="ListParagraph"/>
        <w:spacing w:after="240"/>
        <w:ind w:left="0"/>
        <w:textAlignment w:val="baseline"/>
      </w:pPr>
    </w:p>
    <w:p w14:paraId="54A93FD7" w14:textId="77777777" w:rsidR="00B164AF" w:rsidRDefault="00B164AF" w:rsidP="00B164AF">
      <w:pPr>
        <w:pStyle w:val="ListParagraph"/>
        <w:spacing w:after="240"/>
        <w:ind w:left="0"/>
        <w:textAlignment w:val="baseline"/>
      </w:pPr>
    </w:p>
    <w:p w14:paraId="1BC313D3" w14:textId="4A6396FD" w:rsidR="00B164AF" w:rsidRPr="00B164AF" w:rsidRDefault="00B164AF" w:rsidP="00B164AF">
      <w:pPr>
        <w:pStyle w:val="ListParagraph"/>
        <w:spacing w:after="240"/>
        <w:ind w:left="0"/>
        <w:textAlignment w:val="baseline"/>
        <w:rPr>
          <w:b/>
          <w:bCs/>
        </w:rPr>
      </w:pPr>
      <w:r w:rsidRPr="00B164AF">
        <w:rPr>
          <w:b/>
          <w:bCs/>
        </w:rPr>
        <w:lastRenderedPageBreak/>
        <w:t>Table 1 Table Organic solvent emission activities and their solvent consumption thresholds</w:t>
      </w:r>
    </w:p>
    <w:tbl>
      <w:tblPr>
        <w:tblW w:w="0" w:type="auto"/>
        <w:tblCellMar>
          <w:left w:w="0" w:type="dxa"/>
          <w:right w:w="0" w:type="dxa"/>
        </w:tblCellMar>
        <w:tblLook w:val="04A0" w:firstRow="1" w:lastRow="0" w:firstColumn="1" w:lastColumn="0" w:noHBand="0" w:noVBand="1"/>
        <w:tblDescription w:val="Table listing organic solvent emission activities and their solvent consumption thresholds which is taken from Schedule 23, table 2 of EASR. Column one is the number of the activity, column 2 the activity description and column 3 the  solvent consumption thresholds which are the total input of solvents into an installation per yer, less any volatile organic compounds which are recovered for reuse."/>
      </w:tblPr>
      <w:tblGrid>
        <w:gridCol w:w="439"/>
        <w:gridCol w:w="4929"/>
        <w:gridCol w:w="4842"/>
      </w:tblGrid>
      <w:tr w:rsidR="00A41EAF" w:rsidRPr="00331306" w14:paraId="2AE02FAB" w14:textId="77777777" w:rsidTr="009546D4">
        <w:trPr>
          <w:trHeight w:hRule="exact" w:val="2584"/>
        </w:trPr>
        <w:tc>
          <w:tcPr>
            <w:tcW w:w="0" w:type="auto"/>
            <w:tcBorders>
              <w:top w:val="single" w:sz="5" w:space="0" w:color="000000"/>
              <w:left w:val="single" w:sz="5" w:space="0" w:color="000000"/>
              <w:bottom w:val="single" w:sz="5" w:space="0" w:color="000000"/>
              <w:right w:val="single" w:sz="5" w:space="0" w:color="000000"/>
            </w:tcBorders>
            <w:shd w:val="clear" w:color="auto" w:fill="016574" w:themeFill="accent1"/>
            <w:vAlign w:val="center"/>
          </w:tcPr>
          <w:p w14:paraId="401E3B77" w14:textId="77777777" w:rsidR="00331306" w:rsidRPr="00B568E3" w:rsidRDefault="00331306" w:rsidP="001E56DA">
            <w:pPr>
              <w:spacing w:after="240"/>
              <w:textAlignment w:val="baseline"/>
            </w:pPr>
            <w:r w:rsidRPr="00B568E3">
              <w:t xml:space="preserve"> </w:t>
            </w:r>
          </w:p>
        </w:tc>
        <w:tc>
          <w:tcPr>
            <w:tcW w:w="0" w:type="auto"/>
            <w:tcBorders>
              <w:top w:val="single" w:sz="5" w:space="0" w:color="000000"/>
              <w:left w:val="single" w:sz="5" w:space="0" w:color="000000"/>
              <w:bottom w:val="single" w:sz="5" w:space="0" w:color="000000"/>
              <w:right w:val="single" w:sz="5" w:space="0" w:color="000000"/>
            </w:tcBorders>
            <w:shd w:val="clear" w:color="auto" w:fill="016574" w:themeFill="accent1"/>
            <w:vAlign w:val="center"/>
          </w:tcPr>
          <w:p w14:paraId="62DC0B7C" w14:textId="42C0957E" w:rsidR="00331306" w:rsidRPr="009546D4" w:rsidRDefault="00331306" w:rsidP="009546D4">
            <w:pPr>
              <w:spacing w:before="120" w:after="120" w:line="276" w:lineRule="auto"/>
              <w:ind w:left="108" w:right="108"/>
              <w:rPr>
                <w:rFonts w:ascii="Arial" w:eastAsia="Times New Roman" w:hAnsi="Arial" w:cs="Arial"/>
                <w:b/>
                <w:bCs/>
                <w:color w:val="FFFFFF"/>
                <w:lang w:eastAsia="en-GB"/>
              </w:rPr>
            </w:pPr>
            <w:r w:rsidRPr="009546D4">
              <w:rPr>
                <w:rFonts w:ascii="Arial" w:eastAsia="Times New Roman" w:hAnsi="Arial" w:cs="Arial"/>
                <w:b/>
                <w:bCs/>
                <w:color w:val="FFFFFF"/>
                <w:lang w:eastAsia="en-GB"/>
              </w:rPr>
              <w:t xml:space="preserve">Activity </w:t>
            </w:r>
            <w:r w:rsidR="00C174D6">
              <w:rPr>
                <w:rFonts w:ascii="Arial" w:eastAsia="Times New Roman" w:hAnsi="Arial" w:cs="Arial"/>
                <w:b/>
                <w:bCs/>
                <w:color w:val="FFFFFF"/>
                <w:lang w:eastAsia="en-GB"/>
              </w:rPr>
              <w:t>description</w:t>
            </w:r>
          </w:p>
        </w:tc>
        <w:tc>
          <w:tcPr>
            <w:tcW w:w="0" w:type="auto"/>
            <w:tcBorders>
              <w:top w:val="single" w:sz="5" w:space="0" w:color="000000"/>
              <w:left w:val="single" w:sz="5" w:space="0" w:color="000000"/>
              <w:bottom w:val="single" w:sz="5" w:space="0" w:color="000000"/>
              <w:right w:val="single" w:sz="5" w:space="0" w:color="000000"/>
            </w:tcBorders>
            <w:shd w:val="clear" w:color="auto" w:fill="016574" w:themeFill="accent1"/>
            <w:vAlign w:val="center"/>
          </w:tcPr>
          <w:p w14:paraId="6C12DE1F" w14:textId="138738D4" w:rsidR="00331306" w:rsidRPr="009546D4" w:rsidRDefault="00331306" w:rsidP="009546D4">
            <w:pPr>
              <w:spacing w:after="240"/>
              <w:ind w:left="108" w:right="108"/>
              <w:rPr>
                <w:rFonts w:ascii="Arial" w:eastAsia="Times New Roman" w:hAnsi="Arial" w:cs="Arial"/>
                <w:b/>
                <w:bCs/>
                <w:color w:val="FFFFFF"/>
                <w:lang w:eastAsia="en-GB"/>
              </w:rPr>
            </w:pPr>
            <w:r w:rsidRPr="009546D4">
              <w:rPr>
                <w:rFonts w:ascii="Arial" w:eastAsia="Times New Roman" w:hAnsi="Arial" w:cs="Arial"/>
                <w:b/>
                <w:bCs/>
                <w:color w:val="FFFFFF"/>
                <w:lang w:eastAsia="en-GB"/>
              </w:rPr>
              <w:t>Solvent</w:t>
            </w:r>
            <w:r w:rsidR="009546D4">
              <w:rPr>
                <w:rFonts w:ascii="Arial" w:eastAsia="Times New Roman" w:hAnsi="Arial" w:cs="Arial"/>
                <w:b/>
                <w:bCs/>
                <w:color w:val="FFFFFF"/>
                <w:lang w:eastAsia="en-GB"/>
              </w:rPr>
              <w:t xml:space="preserve"> </w:t>
            </w:r>
            <w:r w:rsidRPr="009546D4">
              <w:rPr>
                <w:rFonts w:ascii="Arial" w:eastAsia="Times New Roman" w:hAnsi="Arial" w:cs="Arial"/>
                <w:b/>
                <w:bCs/>
                <w:color w:val="FFFFFF"/>
                <w:lang w:eastAsia="en-GB"/>
              </w:rPr>
              <w:t>consumption</w:t>
            </w:r>
            <w:r w:rsidR="00C918E6" w:rsidRPr="009546D4">
              <w:rPr>
                <w:rFonts w:ascii="Arial" w:eastAsia="Times New Roman" w:hAnsi="Arial" w:cs="Arial"/>
                <w:b/>
                <w:bCs/>
                <w:color w:val="FFFFFF"/>
                <w:lang w:eastAsia="en-GB"/>
              </w:rPr>
              <w:t xml:space="preserve"> </w:t>
            </w:r>
            <w:r w:rsidRPr="009546D4">
              <w:rPr>
                <w:rFonts w:ascii="Arial" w:eastAsia="Times New Roman" w:hAnsi="Arial" w:cs="Arial"/>
                <w:b/>
                <w:bCs/>
                <w:color w:val="FFFFFF"/>
                <w:lang w:eastAsia="en-GB"/>
              </w:rPr>
              <w:t>threshold</w:t>
            </w:r>
            <w:r w:rsidR="00FF68CF" w:rsidRPr="009546D4">
              <w:rPr>
                <w:rFonts w:ascii="Arial" w:eastAsia="Times New Roman" w:hAnsi="Arial" w:cs="Arial"/>
                <w:b/>
                <w:bCs/>
                <w:color w:val="FFFFFF"/>
                <w:lang w:eastAsia="en-GB"/>
              </w:rPr>
              <w:t xml:space="preserve"> </w:t>
            </w:r>
            <w:r w:rsidRPr="009546D4">
              <w:rPr>
                <w:rFonts w:ascii="Arial" w:eastAsia="Times New Roman" w:hAnsi="Arial" w:cs="Arial"/>
                <w:b/>
                <w:bCs/>
                <w:color w:val="FFFFFF"/>
                <w:lang w:eastAsia="en-GB"/>
              </w:rPr>
              <w:t>in</w:t>
            </w:r>
            <w:r w:rsidR="009546D4">
              <w:rPr>
                <w:rFonts w:ascii="Arial" w:eastAsia="Times New Roman" w:hAnsi="Arial" w:cs="Arial"/>
                <w:b/>
                <w:bCs/>
                <w:color w:val="FFFFFF"/>
                <w:lang w:eastAsia="en-GB"/>
              </w:rPr>
              <w:t xml:space="preserve"> </w:t>
            </w:r>
            <w:r w:rsidRPr="009546D4">
              <w:rPr>
                <w:rFonts w:ascii="Arial" w:eastAsia="Times New Roman" w:hAnsi="Arial" w:cs="Arial"/>
                <w:b/>
                <w:bCs/>
                <w:color w:val="FFFFFF"/>
                <w:lang w:eastAsia="en-GB"/>
              </w:rPr>
              <w:t>tonnes/year</w:t>
            </w:r>
          </w:p>
        </w:tc>
      </w:tr>
      <w:tr w:rsidR="00331306" w:rsidRPr="00583370" w14:paraId="38A913AA" w14:textId="77777777" w:rsidTr="00583370">
        <w:trPr>
          <w:trHeight w:hRule="exact" w:val="957"/>
        </w:trPr>
        <w:tc>
          <w:tcPr>
            <w:tcW w:w="0" w:type="auto"/>
            <w:tcBorders>
              <w:top w:val="single" w:sz="5" w:space="0" w:color="000000"/>
              <w:left w:val="single" w:sz="5" w:space="0" w:color="000000"/>
              <w:bottom w:val="single" w:sz="5" w:space="0" w:color="000000"/>
              <w:right w:val="single" w:sz="5" w:space="0" w:color="000000"/>
            </w:tcBorders>
          </w:tcPr>
          <w:p w14:paraId="759175E1" w14:textId="77777777" w:rsidR="00331306" w:rsidRPr="00B568E3" w:rsidRDefault="00331306" w:rsidP="001E56DA">
            <w:pPr>
              <w:spacing w:after="240"/>
              <w:textAlignment w:val="baseline"/>
            </w:pPr>
            <w:r w:rsidRPr="00B568E3">
              <w:t>1</w:t>
            </w:r>
          </w:p>
        </w:tc>
        <w:tc>
          <w:tcPr>
            <w:tcW w:w="0" w:type="auto"/>
            <w:tcBorders>
              <w:top w:val="single" w:sz="5" w:space="0" w:color="000000"/>
              <w:left w:val="single" w:sz="5" w:space="0" w:color="000000"/>
              <w:bottom w:val="single" w:sz="5" w:space="0" w:color="000000"/>
              <w:right w:val="single" w:sz="5" w:space="0" w:color="000000"/>
            </w:tcBorders>
          </w:tcPr>
          <w:p w14:paraId="686432DF" w14:textId="77777777" w:rsidR="00331306" w:rsidRPr="00B568E3" w:rsidRDefault="00331306" w:rsidP="001E56DA">
            <w:pPr>
              <w:spacing w:after="240"/>
              <w:textAlignment w:val="baseline"/>
            </w:pPr>
            <w:r w:rsidRPr="00B568E3">
              <w:t>Heatset web offset printing</w:t>
            </w:r>
          </w:p>
        </w:tc>
        <w:tc>
          <w:tcPr>
            <w:tcW w:w="0" w:type="auto"/>
            <w:tcBorders>
              <w:top w:val="single" w:sz="5" w:space="0" w:color="000000"/>
              <w:left w:val="single" w:sz="5" w:space="0" w:color="000000"/>
              <w:bottom w:val="single" w:sz="5" w:space="0" w:color="000000"/>
              <w:right w:val="single" w:sz="5" w:space="0" w:color="000000"/>
            </w:tcBorders>
          </w:tcPr>
          <w:p w14:paraId="670071D9" w14:textId="77777777" w:rsidR="00331306" w:rsidRPr="00B568E3" w:rsidRDefault="00331306" w:rsidP="001E56DA">
            <w:pPr>
              <w:spacing w:after="240"/>
              <w:textAlignment w:val="baseline"/>
            </w:pPr>
            <w:r w:rsidRPr="00B568E3">
              <w:t>15-25</w:t>
            </w:r>
          </w:p>
          <w:p w14:paraId="171C6DB2" w14:textId="77777777" w:rsidR="00331306" w:rsidRPr="00B568E3" w:rsidRDefault="00331306" w:rsidP="001E56DA">
            <w:pPr>
              <w:spacing w:after="240"/>
              <w:textAlignment w:val="baseline"/>
            </w:pPr>
            <w:r w:rsidRPr="00B568E3">
              <w:t>&gt;25</w:t>
            </w:r>
          </w:p>
        </w:tc>
      </w:tr>
      <w:tr w:rsidR="00331306" w:rsidRPr="00583370" w14:paraId="1F6F01B7" w14:textId="77777777" w:rsidTr="00FF68CF">
        <w:trPr>
          <w:trHeight w:hRule="exact" w:val="864"/>
        </w:trPr>
        <w:tc>
          <w:tcPr>
            <w:tcW w:w="0" w:type="auto"/>
            <w:tcBorders>
              <w:top w:val="single" w:sz="5" w:space="0" w:color="000000"/>
              <w:left w:val="single" w:sz="5" w:space="0" w:color="000000"/>
              <w:bottom w:val="single" w:sz="5" w:space="0" w:color="000000"/>
              <w:right w:val="single" w:sz="5" w:space="0" w:color="000000"/>
            </w:tcBorders>
            <w:vAlign w:val="center"/>
          </w:tcPr>
          <w:p w14:paraId="49643DF8" w14:textId="77777777" w:rsidR="00331306" w:rsidRPr="00B568E3" w:rsidRDefault="00331306" w:rsidP="001E56DA">
            <w:pPr>
              <w:spacing w:after="240"/>
              <w:textAlignment w:val="baseline"/>
            </w:pPr>
            <w:r w:rsidRPr="00B568E3">
              <w:t>2</w:t>
            </w:r>
          </w:p>
        </w:tc>
        <w:tc>
          <w:tcPr>
            <w:tcW w:w="0" w:type="auto"/>
            <w:tcBorders>
              <w:top w:val="single" w:sz="5" w:space="0" w:color="000000"/>
              <w:left w:val="single" w:sz="5" w:space="0" w:color="000000"/>
              <w:bottom w:val="single" w:sz="5" w:space="0" w:color="000000"/>
              <w:right w:val="single" w:sz="5" w:space="0" w:color="000000"/>
            </w:tcBorders>
            <w:vAlign w:val="center"/>
          </w:tcPr>
          <w:p w14:paraId="25AA2B70" w14:textId="77777777" w:rsidR="00331306" w:rsidRPr="00B568E3" w:rsidRDefault="00331306" w:rsidP="001E56DA">
            <w:pPr>
              <w:spacing w:after="240"/>
              <w:textAlignment w:val="baseline"/>
            </w:pPr>
            <w:r w:rsidRPr="00B568E3">
              <w:t>Publication rotogravure</w:t>
            </w:r>
          </w:p>
        </w:tc>
        <w:tc>
          <w:tcPr>
            <w:tcW w:w="0" w:type="auto"/>
            <w:tcBorders>
              <w:top w:val="single" w:sz="5" w:space="0" w:color="000000"/>
              <w:left w:val="single" w:sz="5" w:space="0" w:color="000000"/>
              <w:bottom w:val="single" w:sz="5" w:space="0" w:color="000000"/>
              <w:right w:val="single" w:sz="5" w:space="0" w:color="000000"/>
            </w:tcBorders>
            <w:vAlign w:val="center"/>
          </w:tcPr>
          <w:p w14:paraId="0C512116" w14:textId="77777777" w:rsidR="00331306" w:rsidRPr="00B568E3" w:rsidRDefault="00331306" w:rsidP="001E56DA">
            <w:pPr>
              <w:spacing w:after="240"/>
              <w:textAlignment w:val="baseline"/>
            </w:pPr>
            <w:r w:rsidRPr="00B568E3">
              <w:t>&gt;25</w:t>
            </w:r>
          </w:p>
        </w:tc>
      </w:tr>
      <w:tr w:rsidR="00331306" w:rsidRPr="00583370" w14:paraId="20D922E4" w14:textId="77777777" w:rsidTr="007858DE">
        <w:trPr>
          <w:trHeight w:hRule="exact" w:val="1854"/>
        </w:trPr>
        <w:tc>
          <w:tcPr>
            <w:tcW w:w="0" w:type="auto"/>
            <w:tcBorders>
              <w:top w:val="single" w:sz="5" w:space="0" w:color="000000"/>
              <w:left w:val="single" w:sz="5" w:space="0" w:color="000000"/>
              <w:bottom w:val="single" w:sz="5" w:space="0" w:color="000000"/>
              <w:right w:val="single" w:sz="5" w:space="0" w:color="000000"/>
            </w:tcBorders>
          </w:tcPr>
          <w:p w14:paraId="00A19038" w14:textId="38779093" w:rsidR="00331306" w:rsidRPr="00B568E3" w:rsidRDefault="00331306" w:rsidP="001E56DA">
            <w:pPr>
              <w:spacing w:after="240"/>
              <w:textAlignment w:val="baseline"/>
            </w:pPr>
            <w:r w:rsidRPr="00B568E3">
              <w:t>3</w:t>
            </w:r>
            <w:r w:rsidR="000E3BDA" w:rsidRPr="00B568E3">
              <w:t>(a)</w:t>
            </w:r>
          </w:p>
        </w:tc>
        <w:tc>
          <w:tcPr>
            <w:tcW w:w="0" w:type="auto"/>
            <w:tcBorders>
              <w:top w:val="single" w:sz="5" w:space="0" w:color="000000"/>
              <w:left w:val="single" w:sz="5" w:space="0" w:color="000000"/>
              <w:bottom w:val="single" w:sz="5" w:space="0" w:color="000000"/>
              <w:right w:val="single" w:sz="5" w:space="0" w:color="000000"/>
            </w:tcBorders>
          </w:tcPr>
          <w:p w14:paraId="51265370" w14:textId="77777777" w:rsidR="00331306" w:rsidRPr="00B568E3" w:rsidRDefault="00331306" w:rsidP="001E56DA">
            <w:pPr>
              <w:spacing w:after="240"/>
              <w:textAlignment w:val="baseline"/>
            </w:pPr>
            <w:r w:rsidRPr="00B568E3">
              <w:t>Other rotogravure, flexography, rotary screen printing, laminating or varnishing units (&gt;15)</w:t>
            </w:r>
          </w:p>
          <w:p w14:paraId="465BD823" w14:textId="56DE1D21" w:rsidR="00331306" w:rsidRPr="00B568E3" w:rsidRDefault="00331306" w:rsidP="001E56DA">
            <w:pPr>
              <w:spacing w:after="240"/>
              <w:textAlignment w:val="baseline"/>
            </w:pPr>
          </w:p>
        </w:tc>
        <w:tc>
          <w:tcPr>
            <w:tcW w:w="0" w:type="auto"/>
            <w:tcBorders>
              <w:top w:val="single" w:sz="5" w:space="0" w:color="000000"/>
              <w:left w:val="single" w:sz="5" w:space="0" w:color="000000"/>
              <w:bottom w:val="single" w:sz="5" w:space="0" w:color="000000"/>
              <w:right w:val="single" w:sz="5" w:space="0" w:color="000000"/>
            </w:tcBorders>
          </w:tcPr>
          <w:p w14:paraId="4C7FA3F6" w14:textId="77777777" w:rsidR="00331306" w:rsidRPr="00B568E3" w:rsidRDefault="00331306" w:rsidP="001E56DA">
            <w:pPr>
              <w:spacing w:after="240"/>
              <w:textAlignment w:val="baseline"/>
            </w:pPr>
            <w:r w:rsidRPr="00B568E3">
              <w:t>15-25</w:t>
            </w:r>
          </w:p>
          <w:p w14:paraId="57C1E7C3" w14:textId="77777777" w:rsidR="00331306" w:rsidRPr="00B568E3" w:rsidRDefault="00331306" w:rsidP="001E56DA">
            <w:pPr>
              <w:spacing w:after="240"/>
              <w:textAlignment w:val="baseline"/>
            </w:pPr>
            <w:r w:rsidRPr="00B568E3">
              <w:t>&gt;25</w:t>
            </w:r>
          </w:p>
          <w:p w14:paraId="44E5040C" w14:textId="22105834" w:rsidR="00331306" w:rsidRPr="00B568E3" w:rsidRDefault="00331306" w:rsidP="001E56DA">
            <w:pPr>
              <w:spacing w:after="240"/>
              <w:textAlignment w:val="baseline"/>
            </w:pPr>
          </w:p>
        </w:tc>
      </w:tr>
      <w:tr w:rsidR="000E3BDA" w:rsidRPr="00583370" w14:paraId="4E805D9F" w14:textId="77777777" w:rsidTr="007858DE">
        <w:trPr>
          <w:trHeight w:hRule="exact" w:val="1854"/>
        </w:trPr>
        <w:tc>
          <w:tcPr>
            <w:tcW w:w="0" w:type="auto"/>
            <w:tcBorders>
              <w:top w:val="single" w:sz="5" w:space="0" w:color="000000"/>
              <w:left w:val="single" w:sz="5" w:space="0" w:color="000000"/>
              <w:bottom w:val="single" w:sz="5" w:space="0" w:color="000000"/>
              <w:right w:val="single" w:sz="5" w:space="0" w:color="000000"/>
            </w:tcBorders>
          </w:tcPr>
          <w:p w14:paraId="747A6189" w14:textId="0E25D09A" w:rsidR="000E3BDA" w:rsidRPr="00B568E3" w:rsidRDefault="000E3BDA" w:rsidP="001E56DA">
            <w:pPr>
              <w:spacing w:after="240"/>
              <w:textAlignment w:val="baseline"/>
            </w:pPr>
            <w:r w:rsidRPr="00B568E3">
              <w:t>3(b)</w:t>
            </w:r>
          </w:p>
        </w:tc>
        <w:tc>
          <w:tcPr>
            <w:tcW w:w="0" w:type="auto"/>
            <w:tcBorders>
              <w:top w:val="single" w:sz="5" w:space="0" w:color="000000"/>
              <w:left w:val="single" w:sz="5" w:space="0" w:color="000000"/>
              <w:bottom w:val="single" w:sz="5" w:space="0" w:color="000000"/>
              <w:right w:val="single" w:sz="5" w:space="0" w:color="000000"/>
            </w:tcBorders>
          </w:tcPr>
          <w:p w14:paraId="15FCC1FA" w14:textId="4FB74B17" w:rsidR="000E3BDA" w:rsidRPr="00B568E3" w:rsidRDefault="000E3BDA" w:rsidP="001E56DA">
            <w:pPr>
              <w:spacing w:after="240"/>
              <w:textAlignment w:val="baseline"/>
            </w:pPr>
            <w:r w:rsidRPr="00B568E3">
              <w:t>Rotary screen printing on textile/cardboard (&gt;30)</w:t>
            </w:r>
          </w:p>
        </w:tc>
        <w:tc>
          <w:tcPr>
            <w:tcW w:w="0" w:type="auto"/>
            <w:tcBorders>
              <w:top w:val="single" w:sz="5" w:space="0" w:color="000000"/>
              <w:left w:val="single" w:sz="5" w:space="0" w:color="000000"/>
              <w:bottom w:val="single" w:sz="5" w:space="0" w:color="000000"/>
              <w:right w:val="single" w:sz="5" w:space="0" w:color="000000"/>
            </w:tcBorders>
          </w:tcPr>
          <w:p w14:paraId="1CAA5B61" w14:textId="7D0FEF61" w:rsidR="000E3BDA" w:rsidRPr="00B568E3" w:rsidRDefault="00DA0083" w:rsidP="001E56DA">
            <w:pPr>
              <w:spacing w:after="240"/>
              <w:textAlignment w:val="baseline"/>
            </w:pPr>
            <w:r w:rsidRPr="00B568E3">
              <w:t>&gt;30</w:t>
            </w:r>
          </w:p>
        </w:tc>
      </w:tr>
      <w:tr w:rsidR="00331306" w:rsidRPr="00583370" w14:paraId="4596FB5E" w14:textId="77777777" w:rsidTr="00FF68CF">
        <w:trPr>
          <w:trHeight w:hRule="exact" w:val="1506"/>
        </w:trPr>
        <w:tc>
          <w:tcPr>
            <w:tcW w:w="0" w:type="auto"/>
            <w:tcBorders>
              <w:top w:val="single" w:sz="5" w:space="0" w:color="000000"/>
              <w:left w:val="single" w:sz="5" w:space="0" w:color="000000"/>
              <w:bottom w:val="single" w:sz="5" w:space="0" w:color="000000"/>
              <w:right w:val="single" w:sz="5" w:space="0" w:color="000000"/>
            </w:tcBorders>
          </w:tcPr>
          <w:p w14:paraId="451C5933" w14:textId="77777777" w:rsidR="00331306" w:rsidRPr="00B568E3" w:rsidRDefault="00331306" w:rsidP="001E56DA">
            <w:pPr>
              <w:spacing w:after="240"/>
              <w:textAlignment w:val="baseline"/>
            </w:pPr>
            <w:r w:rsidRPr="00B568E3">
              <w:t>4</w:t>
            </w:r>
          </w:p>
        </w:tc>
        <w:tc>
          <w:tcPr>
            <w:tcW w:w="0" w:type="auto"/>
            <w:tcBorders>
              <w:top w:val="single" w:sz="5" w:space="0" w:color="000000"/>
              <w:left w:val="single" w:sz="5" w:space="0" w:color="000000"/>
              <w:bottom w:val="single" w:sz="5" w:space="0" w:color="000000"/>
              <w:right w:val="single" w:sz="5" w:space="0" w:color="000000"/>
            </w:tcBorders>
          </w:tcPr>
          <w:p w14:paraId="6B96C13B" w14:textId="681474DE" w:rsidR="00331306" w:rsidRPr="00B568E3" w:rsidRDefault="00331306" w:rsidP="001E56DA">
            <w:pPr>
              <w:spacing w:after="240"/>
              <w:textAlignment w:val="baseline"/>
            </w:pPr>
            <w:r w:rsidRPr="00B568E3">
              <w:t xml:space="preserve">Surface cleaning using </w:t>
            </w:r>
            <w:r w:rsidR="00A41EAF" w:rsidRPr="00B568E3">
              <w:t xml:space="preserve">using substances containing </w:t>
            </w:r>
            <w:r w:rsidR="00122156" w:rsidRPr="00B568E3">
              <w:t>hazard statement</w:t>
            </w:r>
            <w:r w:rsidR="00A41EAF" w:rsidRPr="00B568E3">
              <w:t xml:space="preserve"> solvent</w:t>
            </w:r>
            <w:r w:rsidR="00122156" w:rsidRPr="00B568E3">
              <w:t xml:space="preserve"> substances</w:t>
            </w:r>
          </w:p>
        </w:tc>
        <w:tc>
          <w:tcPr>
            <w:tcW w:w="0" w:type="auto"/>
            <w:tcBorders>
              <w:top w:val="single" w:sz="5" w:space="0" w:color="000000"/>
              <w:left w:val="single" w:sz="5" w:space="0" w:color="000000"/>
              <w:bottom w:val="single" w:sz="5" w:space="0" w:color="000000"/>
              <w:right w:val="single" w:sz="5" w:space="0" w:color="000000"/>
            </w:tcBorders>
          </w:tcPr>
          <w:p w14:paraId="117FEE1F" w14:textId="77777777" w:rsidR="00331306" w:rsidRPr="00B568E3" w:rsidRDefault="00331306" w:rsidP="001E56DA">
            <w:pPr>
              <w:spacing w:after="240"/>
              <w:textAlignment w:val="baseline"/>
            </w:pPr>
            <w:r w:rsidRPr="00B568E3">
              <w:t>1-5</w:t>
            </w:r>
          </w:p>
          <w:p w14:paraId="73DECE23" w14:textId="77777777" w:rsidR="00331306" w:rsidRPr="00B568E3" w:rsidRDefault="00331306" w:rsidP="001E56DA">
            <w:pPr>
              <w:spacing w:after="240"/>
              <w:textAlignment w:val="baseline"/>
            </w:pPr>
            <w:r w:rsidRPr="00B568E3">
              <w:t>&gt;5</w:t>
            </w:r>
          </w:p>
        </w:tc>
      </w:tr>
      <w:tr w:rsidR="00331306" w:rsidRPr="00583370" w14:paraId="3D5B7635" w14:textId="77777777" w:rsidTr="00583370">
        <w:trPr>
          <w:trHeight w:hRule="exact" w:val="1087"/>
        </w:trPr>
        <w:tc>
          <w:tcPr>
            <w:tcW w:w="0" w:type="auto"/>
            <w:tcBorders>
              <w:top w:val="single" w:sz="5" w:space="0" w:color="000000"/>
              <w:left w:val="single" w:sz="5" w:space="0" w:color="000000"/>
              <w:bottom w:val="single" w:sz="5" w:space="0" w:color="000000"/>
              <w:right w:val="single" w:sz="5" w:space="0" w:color="000000"/>
            </w:tcBorders>
          </w:tcPr>
          <w:p w14:paraId="4C36194B" w14:textId="77777777" w:rsidR="00331306" w:rsidRPr="00B568E3" w:rsidRDefault="00331306" w:rsidP="001E56DA">
            <w:pPr>
              <w:spacing w:after="240"/>
              <w:textAlignment w:val="baseline"/>
            </w:pPr>
            <w:r w:rsidRPr="00B568E3">
              <w:t>5</w:t>
            </w:r>
          </w:p>
        </w:tc>
        <w:tc>
          <w:tcPr>
            <w:tcW w:w="0" w:type="auto"/>
            <w:tcBorders>
              <w:top w:val="single" w:sz="5" w:space="0" w:color="000000"/>
              <w:left w:val="single" w:sz="5" w:space="0" w:color="000000"/>
              <w:bottom w:val="single" w:sz="5" w:space="0" w:color="000000"/>
              <w:right w:val="single" w:sz="5" w:space="0" w:color="000000"/>
            </w:tcBorders>
          </w:tcPr>
          <w:p w14:paraId="52752B69" w14:textId="77777777" w:rsidR="00331306" w:rsidRPr="00B568E3" w:rsidRDefault="00331306" w:rsidP="001E56DA">
            <w:pPr>
              <w:spacing w:after="240"/>
              <w:textAlignment w:val="baseline"/>
            </w:pPr>
            <w:r w:rsidRPr="00B568E3">
              <w:t>Other surface cleaning</w:t>
            </w:r>
          </w:p>
        </w:tc>
        <w:tc>
          <w:tcPr>
            <w:tcW w:w="0" w:type="auto"/>
            <w:tcBorders>
              <w:top w:val="single" w:sz="5" w:space="0" w:color="000000"/>
              <w:left w:val="single" w:sz="5" w:space="0" w:color="000000"/>
              <w:bottom w:val="single" w:sz="5" w:space="0" w:color="000000"/>
              <w:right w:val="single" w:sz="5" w:space="0" w:color="000000"/>
            </w:tcBorders>
          </w:tcPr>
          <w:p w14:paraId="740F3AD3" w14:textId="77777777" w:rsidR="00331306" w:rsidRPr="00B568E3" w:rsidRDefault="00331306" w:rsidP="001E56DA">
            <w:pPr>
              <w:spacing w:after="240"/>
              <w:textAlignment w:val="baseline"/>
            </w:pPr>
            <w:r w:rsidRPr="00B568E3">
              <w:t>2-10</w:t>
            </w:r>
          </w:p>
          <w:p w14:paraId="0750AF23" w14:textId="77777777" w:rsidR="00331306" w:rsidRPr="00B568E3" w:rsidRDefault="00331306" w:rsidP="001E56DA">
            <w:pPr>
              <w:spacing w:after="240"/>
              <w:textAlignment w:val="baseline"/>
            </w:pPr>
            <w:r w:rsidRPr="00B568E3">
              <w:t>&gt;10</w:t>
            </w:r>
          </w:p>
        </w:tc>
      </w:tr>
      <w:tr w:rsidR="00331306" w:rsidRPr="00583370" w14:paraId="339D60C6" w14:textId="77777777" w:rsidTr="00FF68CF">
        <w:trPr>
          <w:trHeight w:hRule="exact" w:val="1854"/>
        </w:trPr>
        <w:tc>
          <w:tcPr>
            <w:tcW w:w="0" w:type="auto"/>
            <w:tcBorders>
              <w:top w:val="single" w:sz="5" w:space="0" w:color="000000"/>
              <w:left w:val="single" w:sz="5" w:space="0" w:color="000000"/>
              <w:bottom w:val="single" w:sz="5" w:space="0" w:color="000000"/>
              <w:right w:val="single" w:sz="5" w:space="0" w:color="000000"/>
            </w:tcBorders>
          </w:tcPr>
          <w:p w14:paraId="78D29456" w14:textId="77777777" w:rsidR="00331306" w:rsidRPr="00B568E3" w:rsidRDefault="00331306" w:rsidP="001E56DA">
            <w:pPr>
              <w:spacing w:after="240"/>
              <w:textAlignment w:val="baseline"/>
            </w:pPr>
            <w:r w:rsidRPr="00B568E3">
              <w:lastRenderedPageBreak/>
              <w:t>6</w:t>
            </w:r>
          </w:p>
        </w:tc>
        <w:tc>
          <w:tcPr>
            <w:tcW w:w="0" w:type="auto"/>
            <w:tcBorders>
              <w:top w:val="single" w:sz="5" w:space="0" w:color="000000"/>
              <w:left w:val="single" w:sz="5" w:space="0" w:color="000000"/>
              <w:bottom w:val="single" w:sz="5" w:space="0" w:color="000000"/>
              <w:right w:val="single" w:sz="5" w:space="0" w:color="000000"/>
            </w:tcBorders>
          </w:tcPr>
          <w:p w14:paraId="41919337" w14:textId="77777777" w:rsidR="00331306" w:rsidRPr="00B568E3" w:rsidRDefault="00331306" w:rsidP="001E56DA">
            <w:pPr>
              <w:spacing w:after="240"/>
              <w:textAlignment w:val="baseline"/>
            </w:pPr>
            <w:r w:rsidRPr="00B568E3">
              <w:t>Vehicle coating (&lt;15) and vehicle refinishing (applies to original coating away from the manufacturing line)</w:t>
            </w:r>
          </w:p>
        </w:tc>
        <w:tc>
          <w:tcPr>
            <w:tcW w:w="0" w:type="auto"/>
            <w:tcBorders>
              <w:top w:val="single" w:sz="5" w:space="0" w:color="000000"/>
              <w:left w:val="single" w:sz="5" w:space="0" w:color="000000"/>
              <w:bottom w:val="single" w:sz="5" w:space="0" w:color="000000"/>
              <w:right w:val="single" w:sz="5" w:space="0" w:color="000000"/>
            </w:tcBorders>
          </w:tcPr>
          <w:p w14:paraId="08C97515" w14:textId="77777777" w:rsidR="00331306" w:rsidRPr="00B568E3" w:rsidRDefault="00331306" w:rsidP="001E56DA">
            <w:pPr>
              <w:spacing w:after="240"/>
              <w:textAlignment w:val="baseline"/>
            </w:pPr>
            <w:r w:rsidRPr="00B568E3">
              <w:t>0.5</w:t>
            </w:r>
          </w:p>
        </w:tc>
      </w:tr>
      <w:tr w:rsidR="00331306" w:rsidRPr="00583370" w14:paraId="39D69B95" w14:textId="77777777" w:rsidTr="00FF68CF">
        <w:trPr>
          <w:trHeight w:hRule="exact" w:val="826"/>
        </w:trPr>
        <w:tc>
          <w:tcPr>
            <w:tcW w:w="0" w:type="auto"/>
            <w:tcBorders>
              <w:top w:val="single" w:sz="5" w:space="0" w:color="000000"/>
              <w:left w:val="single" w:sz="5" w:space="0" w:color="000000"/>
              <w:bottom w:val="single" w:sz="5" w:space="0" w:color="000000"/>
              <w:right w:val="single" w:sz="5" w:space="0" w:color="000000"/>
            </w:tcBorders>
            <w:vAlign w:val="center"/>
          </w:tcPr>
          <w:p w14:paraId="379663F9" w14:textId="77777777" w:rsidR="00331306" w:rsidRPr="00B568E3" w:rsidRDefault="00331306" w:rsidP="001E56DA">
            <w:pPr>
              <w:spacing w:after="240"/>
              <w:textAlignment w:val="baseline"/>
            </w:pPr>
            <w:r w:rsidRPr="00B568E3">
              <w:t>7</w:t>
            </w:r>
          </w:p>
        </w:tc>
        <w:tc>
          <w:tcPr>
            <w:tcW w:w="0" w:type="auto"/>
            <w:tcBorders>
              <w:top w:val="single" w:sz="5" w:space="0" w:color="000000"/>
              <w:left w:val="single" w:sz="5" w:space="0" w:color="000000"/>
              <w:bottom w:val="single" w:sz="5" w:space="0" w:color="000000"/>
              <w:right w:val="single" w:sz="5" w:space="0" w:color="000000"/>
            </w:tcBorders>
            <w:vAlign w:val="center"/>
          </w:tcPr>
          <w:p w14:paraId="1F860B58" w14:textId="77777777" w:rsidR="00331306" w:rsidRPr="00B568E3" w:rsidRDefault="00331306" w:rsidP="001E56DA">
            <w:pPr>
              <w:spacing w:after="240"/>
              <w:textAlignment w:val="baseline"/>
            </w:pPr>
            <w:r w:rsidRPr="00B568E3">
              <w:t>Coil coating</w:t>
            </w:r>
          </w:p>
        </w:tc>
        <w:tc>
          <w:tcPr>
            <w:tcW w:w="0" w:type="auto"/>
            <w:tcBorders>
              <w:top w:val="single" w:sz="5" w:space="0" w:color="000000"/>
              <w:left w:val="single" w:sz="5" w:space="0" w:color="000000"/>
              <w:bottom w:val="single" w:sz="5" w:space="0" w:color="000000"/>
              <w:right w:val="single" w:sz="5" w:space="0" w:color="000000"/>
            </w:tcBorders>
            <w:vAlign w:val="center"/>
          </w:tcPr>
          <w:p w14:paraId="746DF82C" w14:textId="77777777" w:rsidR="00331306" w:rsidRPr="00B568E3" w:rsidRDefault="00331306" w:rsidP="001E56DA">
            <w:pPr>
              <w:spacing w:after="240"/>
              <w:textAlignment w:val="baseline"/>
            </w:pPr>
            <w:r w:rsidRPr="00B568E3">
              <w:t>&gt;25</w:t>
            </w:r>
          </w:p>
        </w:tc>
      </w:tr>
      <w:tr w:rsidR="00331306" w:rsidRPr="00583370" w14:paraId="19D345F4" w14:textId="77777777" w:rsidTr="00FF68CF">
        <w:trPr>
          <w:trHeight w:hRule="exact" w:val="1326"/>
        </w:trPr>
        <w:tc>
          <w:tcPr>
            <w:tcW w:w="0" w:type="auto"/>
            <w:tcBorders>
              <w:top w:val="single" w:sz="5" w:space="0" w:color="000000"/>
              <w:left w:val="single" w:sz="5" w:space="0" w:color="000000"/>
              <w:bottom w:val="single" w:sz="5" w:space="0" w:color="000000"/>
              <w:right w:val="single" w:sz="5" w:space="0" w:color="000000"/>
            </w:tcBorders>
          </w:tcPr>
          <w:p w14:paraId="791B76AC" w14:textId="77777777" w:rsidR="00331306" w:rsidRPr="00B568E3" w:rsidRDefault="00331306" w:rsidP="001E56DA">
            <w:pPr>
              <w:spacing w:after="240"/>
              <w:textAlignment w:val="baseline"/>
            </w:pPr>
            <w:r w:rsidRPr="00B568E3">
              <w:t>8</w:t>
            </w:r>
          </w:p>
        </w:tc>
        <w:tc>
          <w:tcPr>
            <w:tcW w:w="0" w:type="auto"/>
            <w:tcBorders>
              <w:top w:val="single" w:sz="5" w:space="0" w:color="000000"/>
              <w:left w:val="single" w:sz="5" w:space="0" w:color="000000"/>
              <w:bottom w:val="single" w:sz="5" w:space="0" w:color="000000"/>
              <w:right w:val="single" w:sz="5" w:space="0" w:color="000000"/>
            </w:tcBorders>
          </w:tcPr>
          <w:p w14:paraId="2DA492A1" w14:textId="77777777" w:rsidR="00331306" w:rsidRPr="00B568E3" w:rsidRDefault="00331306" w:rsidP="001E56DA">
            <w:pPr>
              <w:spacing w:after="240"/>
              <w:textAlignment w:val="baseline"/>
            </w:pPr>
            <w:r w:rsidRPr="00B568E3">
              <w:t>Other coating, including metal, plastic, textile, fabric, film and paper coating (&gt;5)</w:t>
            </w:r>
          </w:p>
        </w:tc>
        <w:tc>
          <w:tcPr>
            <w:tcW w:w="0" w:type="auto"/>
            <w:tcBorders>
              <w:top w:val="single" w:sz="5" w:space="0" w:color="000000"/>
              <w:left w:val="single" w:sz="5" w:space="0" w:color="000000"/>
              <w:bottom w:val="single" w:sz="5" w:space="0" w:color="000000"/>
              <w:right w:val="single" w:sz="5" w:space="0" w:color="000000"/>
            </w:tcBorders>
          </w:tcPr>
          <w:p w14:paraId="1D9A04EE" w14:textId="77777777" w:rsidR="00331306" w:rsidRPr="00B568E3" w:rsidRDefault="00331306" w:rsidP="001E56DA">
            <w:pPr>
              <w:spacing w:after="240"/>
              <w:textAlignment w:val="baseline"/>
            </w:pPr>
            <w:r w:rsidRPr="00B568E3">
              <w:t>5-15</w:t>
            </w:r>
          </w:p>
          <w:p w14:paraId="38BBDB27" w14:textId="77777777" w:rsidR="00331306" w:rsidRPr="00B568E3" w:rsidRDefault="00331306" w:rsidP="001E56DA">
            <w:pPr>
              <w:spacing w:after="240"/>
              <w:textAlignment w:val="baseline"/>
            </w:pPr>
            <w:r w:rsidRPr="00B568E3">
              <w:t>&gt;15</w:t>
            </w:r>
          </w:p>
        </w:tc>
      </w:tr>
      <w:tr w:rsidR="00331306" w:rsidRPr="00583370" w14:paraId="3BABB5AF" w14:textId="77777777" w:rsidTr="00FF68CF">
        <w:trPr>
          <w:trHeight w:hRule="exact" w:val="864"/>
        </w:trPr>
        <w:tc>
          <w:tcPr>
            <w:tcW w:w="0" w:type="auto"/>
            <w:tcBorders>
              <w:top w:val="single" w:sz="5" w:space="0" w:color="000000"/>
              <w:left w:val="single" w:sz="5" w:space="0" w:color="000000"/>
              <w:bottom w:val="single" w:sz="5" w:space="0" w:color="000000"/>
              <w:right w:val="single" w:sz="5" w:space="0" w:color="000000"/>
            </w:tcBorders>
            <w:vAlign w:val="center"/>
          </w:tcPr>
          <w:p w14:paraId="592F72DD" w14:textId="77777777" w:rsidR="00331306" w:rsidRPr="00B568E3" w:rsidRDefault="00331306" w:rsidP="001E56DA">
            <w:pPr>
              <w:spacing w:after="240"/>
              <w:textAlignment w:val="baseline"/>
            </w:pPr>
            <w:r w:rsidRPr="00B568E3">
              <w:t>9</w:t>
            </w:r>
          </w:p>
        </w:tc>
        <w:tc>
          <w:tcPr>
            <w:tcW w:w="0" w:type="auto"/>
            <w:tcBorders>
              <w:top w:val="single" w:sz="5" w:space="0" w:color="000000"/>
              <w:left w:val="single" w:sz="5" w:space="0" w:color="000000"/>
              <w:bottom w:val="single" w:sz="5" w:space="0" w:color="000000"/>
              <w:right w:val="single" w:sz="5" w:space="0" w:color="000000"/>
            </w:tcBorders>
            <w:vAlign w:val="center"/>
          </w:tcPr>
          <w:p w14:paraId="0C565E3B" w14:textId="77777777" w:rsidR="00331306" w:rsidRPr="00B568E3" w:rsidRDefault="00331306" w:rsidP="001E56DA">
            <w:pPr>
              <w:spacing w:after="240"/>
              <w:textAlignment w:val="baseline"/>
            </w:pPr>
            <w:r w:rsidRPr="00B568E3">
              <w:t>Winding wire coating</w:t>
            </w:r>
          </w:p>
        </w:tc>
        <w:tc>
          <w:tcPr>
            <w:tcW w:w="0" w:type="auto"/>
            <w:tcBorders>
              <w:top w:val="single" w:sz="5" w:space="0" w:color="000000"/>
              <w:left w:val="single" w:sz="5" w:space="0" w:color="000000"/>
              <w:bottom w:val="single" w:sz="5" w:space="0" w:color="000000"/>
              <w:right w:val="single" w:sz="5" w:space="0" w:color="000000"/>
            </w:tcBorders>
            <w:vAlign w:val="center"/>
          </w:tcPr>
          <w:p w14:paraId="6869BE05" w14:textId="77777777" w:rsidR="00331306" w:rsidRPr="00B568E3" w:rsidRDefault="00331306" w:rsidP="001E56DA">
            <w:pPr>
              <w:spacing w:after="240"/>
              <w:textAlignment w:val="baseline"/>
            </w:pPr>
            <w:r w:rsidRPr="00B568E3">
              <w:t>&gt;5</w:t>
            </w:r>
          </w:p>
        </w:tc>
      </w:tr>
      <w:tr w:rsidR="00331306" w:rsidRPr="00583370" w14:paraId="7624B9C5" w14:textId="77777777" w:rsidTr="00AD40B1">
        <w:trPr>
          <w:trHeight w:hRule="exact" w:val="1195"/>
        </w:trPr>
        <w:tc>
          <w:tcPr>
            <w:tcW w:w="0" w:type="auto"/>
            <w:tcBorders>
              <w:top w:val="single" w:sz="5" w:space="0" w:color="000000"/>
              <w:left w:val="single" w:sz="5" w:space="0" w:color="000000"/>
              <w:bottom w:val="single" w:sz="5" w:space="0" w:color="000000"/>
              <w:right w:val="single" w:sz="5" w:space="0" w:color="000000"/>
            </w:tcBorders>
          </w:tcPr>
          <w:p w14:paraId="4565DBAE" w14:textId="77777777" w:rsidR="00331306" w:rsidRPr="00B568E3" w:rsidRDefault="00331306" w:rsidP="001E56DA">
            <w:pPr>
              <w:spacing w:after="240"/>
              <w:textAlignment w:val="baseline"/>
            </w:pPr>
            <w:r w:rsidRPr="00B568E3">
              <w:t>10</w:t>
            </w:r>
          </w:p>
        </w:tc>
        <w:tc>
          <w:tcPr>
            <w:tcW w:w="0" w:type="auto"/>
            <w:tcBorders>
              <w:top w:val="single" w:sz="5" w:space="0" w:color="000000"/>
              <w:left w:val="single" w:sz="5" w:space="0" w:color="000000"/>
              <w:bottom w:val="single" w:sz="5" w:space="0" w:color="000000"/>
              <w:right w:val="single" w:sz="5" w:space="0" w:color="000000"/>
            </w:tcBorders>
          </w:tcPr>
          <w:p w14:paraId="6FA98BA2" w14:textId="77777777" w:rsidR="00331306" w:rsidRPr="00B568E3" w:rsidRDefault="00331306" w:rsidP="001E56DA">
            <w:pPr>
              <w:spacing w:after="240"/>
              <w:textAlignment w:val="baseline"/>
            </w:pPr>
            <w:r w:rsidRPr="00B568E3">
              <w:t>Coating of wooden surfaces (&gt;15)</w:t>
            </w:r>
          </w:p>
        </w:tc>
        <w:tc>
          <w:tcPr>
            <w:tcW w:w="0" w:type="auto"/>
            <w:tcBorders>
              <w:top w:val="single" w:sz="5" w:space="0" w:color="000000"/>
              <w:left w:val="single" w:sz="5" w:space="0" w:color="000000"/>
              <w:bottom w:val="single" w:sz="5" w:space="0" w:color="000000"/>
              <w:right w:val="single" w:sz="5" w:space="0" w:color="000000"/>
            </w:tcBorders>
          </w:tcPr>
          <w:p w14:paraId="565EB57E" w14:textId="77777777" w:rsidR="00331306" w:rsidRPr="00B568E3" w:rsidRDefault="00331306" w:rsidP="001E56DA">
            <w:pPr>
              <w:spacing w:after="240"/>
              <w:textAlignment w:val="baseline"/>
            </w:pPr>
            <w:r w:rsidRPr="00B568E3">
              <w:t>15-25</w:t>
            </w:r>
          </w:p>
          <w:p w14:paraId="0A65957E" w14:textId="77777777" w:rsidR="00331306" w:rsidRPr="00B568E3" w:rsidRDefault="00331306" w:rsidP="001E56DA">
            <w:pPr>
              <w:spacing w:after="240"/>
              <w:textAlignment w:val="baseline"/>
            </w:pPr>
            <w:r w:rsidRPr="00B568E3">
              <w:t>&gt;25</w:t>
            </w:r>
          </w:p>
        </w:tc>
      </w:tr>
      <w:tr w:rsidR="00331306" w:rsidRPr="00583370" w14:paraId="6771AD0D" w14:textId="77777777" w:rsidTr="00FF68CF">
        <w:trPr>
          <w:trHeight w:hRule="exact" w:val="640"/>
        </w:trPr>
        <w:tc>
          <w:tcPr>
            <w:tcW w:w="0" w:type="auto"/>
            <w:tcBorders>
              <w:top w:val="single" w:sz="5" w:space="0" w:color="000000"/>
              <w:left w:val="single" w:sz="5" w:space="0" w:color="000000"/>
              <w:bottom w:val="single" w:sz="5" w:space="0" w:color="000000"/>
              <w:right w:val="single" w:sz="5" w:space="0" w:color="000000"/>
            </w:tcBorders>
            <w:vAlign w:val="center"/>
          </w:tcPr>
          <w:p w14:paraId="79F7A0D7" w14:textId="77777777" w:rsidR="00331306" w:rsidRPr="00B568E3" w:rsidRDefault="00331306" w:rsidP="001E56DA">
            <w:pPr>
              <w:spacing w:after="240"/>
              <w:textAlignment w:val="baseline"/>
            </w:pPr>
            <w:r w:rsidRPr="00B568E3">
              <w:t>11</w:t>
            </w:r>
          </w:p>
        </w:tc>
        <w:tc>
          <w:tcPr>
            <w:tcW w:w="0" w:type="auto"/>
            <w:tcBorders>
              <w:top w:val="single" w:sz="5" w:space="0" w:color="000000"/>
              <w:left w:val="single" w:sz="5" w:space="0" w:color="000000"/>
              <w:bottom w:val="single" w:sz="5" w:space="0" w:color="000000"/>
              <w:right w:val="single" w:sz="5" w:space="0" w:color="000000"/>
            </w:tcBorders>
            <w:vAlign w:val="center"/>
          </w:tcPr>
          <w:p w14:paraId="2BE25610" w14:textId="77777777" w:rsidR="00331306" w:rsidRPr="00B568E3" w:rsidRDefault="00331306" w:rsidP="001E56DA">
            <w:pPr>
              <w:spacing w:after="240"/>
              <w:textAlignment w:val="baseline"/>
            </w:pPr>
            <w:r w:rsidRPr="00B568E3">
              <w:t>Dry cleaning</w:t>
            </w:r>
          </w:p>
        </w:tc>
        <w:tc>
          <w:tcPr>
            <w:tcW w:w="0" w:type="auto"/>
            <w:tcBorders>
              <w:top w:val="single" w:sz="5" w:space="0" w:color="000000"/>
              <w:left w:val="single" w:sz="5" w:space="0" w:color="000000"/>
              <w:bottom w:val="single" w:sz="5" w:space="0" w:color="000000"/>
              <w:right w:val="single" w:sz="5" w:space="0" w:color="000000"/>
            </w:tcBorders>
          </w:tcPr>
          <w:p w14:paraId="250C6454" w14:textId="77777777" w:rsidR="00331306" w:rsidRPr="00B568E3" w:rsidRDefault="00331306" w:rsidP="001E56DA">
            <w:pPr>
              <w:spacing w:after="240"/>
              <w:textAlignment w:val="baseline"/>
            </w:pPr>
            <w:r w:rsidRPr="00B568E3">
              <w:t xml:space="preserve"> </w:t>
            </w:r>
          </w:p>
        </w:tc>
      </w:tr>
      <w:tr w:rsidR="00331306" w:rsidRPr="00583370" w14:paraId="0DB0963D" w14:textId="77777777" w:rsidTr="00FF68CF">
        <w:trPr>
          <w:trHeight w:hRule="exact" w:val="825"/>
        </w:trPr>
        <w:tc>
          <w:tcPr>
            <w:tcW w:w="0" w:type="auto"/>
            <w:tcBorders>
              <w:top w:val="single" w:sz="5" w:space="0" w:color="000000"/>
              <w:left w:val="single" w:sz="5" w:space="0" w:color="000000"/>
              <w:bottom w:val="single" w:sz="5" w:space="0" w:color="000000"/>
              <w:right w:val="single" w:sz="5" w:space="0" w:color="000000"/>
            </w:tcBorders>
            <w:vAlign w:val="center"/>
          </w:tcPr>
          <w:p w14:paraId="0F08B0F4" w14:textId="77777777" w:rsidR="00331306" w:rsidRPr="00B568E3" w:rsidRDefault="00331306" w:rsidP="001E56DA">
            <w:pPr>
              <w:spacing w:after="240"/>
              <w:textAlignment w:val="baseline"/>
            </w:pPr>
            <w:r w:rsidRPr="00B568E3">
              <w:t>12</w:t>
            </w:r>
          </w:p>
        </w:tc>
        <w:tc>
          <w:tcPr>
            <w:tcW w:w="0" w:type="auto"/>
            <w:tcBorders>
              <w:top w:val="single" w:sz="5" w:space="0" w:color="000000"/>
              <w:left w:val="single" w:sz="5" w:space="0" w:color="000000"/>
              <w:bottom w:val="single" w:sz="5" w:space="0" w:color="000000"/>
              <w:right w:val="single" w:sz="5" w:space="0" w:color="000000"/>
            </w:tcBorders>
            <w:vAlign w:val="center"/>
          </w:tcPr>
          <w:p w14:paraId="5B794353" w14:textId="77777777" w:rsidR="00331306" w:rsidRPr="00B568E3" w:rsidRDefault="00331306" w:rsidP="001E56DA">
            <w:pPr>
              <w:spacing w:after="240"/>
              <w:textAlignment w:val="baseline"/>
            </w:pPr>
            <w:r w:rsidRPr="00B568E3">
              <w:t>Wood impregnation</w:t>
            </w:r>
          </w:p>
        </w:tc>
        <w:tc>
          <w:tcPr>
            <w:tcW w:w="0" w:type="auto"/>
            <w:tcBorders>
              <w:top w:val="single" w:sz="5" w:space="0" w:color="000000"/>
              <w:left w:val="single" w:sz="5" w:space="0" w:color="000000"/>
              <w:bottom w:val="single" w:sz="5" w:space="0" w:color="000000"/>
              <w:right w:val="single" w:sz="5" w:space="0" w:color="000000"/>
            </w:tcBorders>
            <w:vAlign w:val="center"/>
          </w:tcPr>
          <w:p w14:paraId="5618BA51" w14:textId="77777777" w:rsidR="00331306" w:rsidRPr="00B568E3" w:rsidRDefault="00331306" w:rsidP="001E56DA">
            <w:pPr>
              <w:spacing w:after="240"/>
              <w:textAlignment w:val="baseline"/>
            </w:pPr>
            <w:r w:rsidRPr="00B568E3">
              <w:t>&gt;25</w:t>
            </w:r>
          </w:p>
        </w:tc>
      </w:tr>
      <w:tr w:rsidR="00331306" w:rsidRPr="00583370" w14:paraId="43C63421" w14:textId="77777777" w:rsidTr="00C174D6">
        <w:trPr>
          <w:trHeight w:hRule="exact" w:val="2657"/>
        </w:trPr>
        <w:tc>
          <w:tcPr>
            <w:tcW w:w="0" w:type="auto"/>
            <w:tcBorders>
              <w:top w:val="single" w:sz="5" w:space="0" w:color="000000"/>
              <w:left w:val="single" w:sz="5" w:space="0" w:color="000000"/>
              <w:bottom w:val="single" w:sz="5" w:space="0" w:color="000000"/>
              <w:right w:val="single" w:sz="5" w:space="0" w:color="000000"/>
            </w:tcBorders>
          </w:tcPr>
          <w:p w14:paraId="4A804959" w14:textId="77777777" w:rsidR="00331306" w:rsidRPr="00B568E3" w:rsidRDefault="00331306" w:rsidP="001E56DA">
            <w:pPr>
              <w:spacing w:after="240"/>
              <w:textAlignment w:val="baseline"/>
            </w:pPr>
            <w:r w:rsidRPr="00B568E3">
              <w:t>13</w:t>
            </w:r>
          </w:p>
        </w:tc>
        <w:tc>
          <w:tcPr>
            <w:tcW w:w="0" w:type="auto"/>
            <w:tcBorders>
              <w:top w:val="single" w:sz="5" w:space="0" w:color="000000"/>
              <w:left w:val="single" w:sz="5" w:space="0" w:color="000000"/>
              <w:bottom w:val="single" w:sz="5" w:space="0" w:color="000000"/>
              <w:right w:val="single" w:sz="5" w:space="0" w:color="000000"/>
            </w:tcBorders>
          </w:tcPr>
          <w:p w14:paraId="368AB519" w14:textId="77777777" w:rsidR="00331306" w:rsidRPr="00B568E3" w:rsidRDefault="00331306" w:rsidP="001E56DA">
            <w:pPr>
              <w:spacing w:after="240"/>
              <w:textAlignment w:val="baseline"/>
            </w:pPr>
            <w:r w:rsidRPr="00B568E3">
              <w:t>Coating of leather (&gt;10)</w:t>
            </w:r>
          </w:p>
        </w:tc>
        <w:tc>
          <w:tcPr>
            <w:tcW w:w="0" w:type="auto"/>
            <w:tcBorders>
              <w:top w:val="single" w:sz="5" w:space="0" w:color="000000"/>
              <w:left w:val="single" w:sz="5" w:space="0" w:color="000000"/>
              <w:bottom w:val="single" w:sz="5" w:space="0" w:color="000000"/>
              <w:right w:val="single" w:sz="5" w:space="0" w:color="000000"/>
            </w:tcBorders>
          </w:tcPr>
          <w:p w14:paraId="02524ACA" w14:textId="77777777" w:rsidR="00331306" w:rsidRPr="00B568E3" w:rsidRDefault="00331306" w:rsidP="001E56DA">
            <w:pPr>
              <w:spacing w:after="240"/>
              <w:textAlignment w:val="baseline"/>
            </w:pPr>
            <w:r w:rsidRPr="00B568E3">
              <w:t>10-25</w:t>
            </w:r>
          </w:p>
          <w:p w14:paraId="2A0BDE88" w14:textId="77777777" w:rsidR="00331306" w:rsidRPr="00B568E3" w:rsidRDefault="00331306" w:rsidP="001E56DA">
            <w:pPr>
              <w:spacing w:after="240"/>
              <w:textAlignment w:val="baseline"/>
            </w:pPr>
            <w:r w:rsidRPr="00B568E3">
              <w:t>&gt;25</w:t>
            </w:r>
          </w:p>
          <w:p w14:paraId="4B562B41" w14:textId="73D44867" w:rsidR="00331306" w:rsidRPr="00B568E3" w:rsidRDefault="00331306" w:rsidP="001E56DA">
            <w:pPr>
              <w:spacing w:after="240"/>
              <w:textAlignment w:val="baseline"/>
            </w:pPr>
            <w:r w:rsidRPr="00B568E3">
              <w:t>&gt;10 for furnishing</w:t>
            </w:r>
            <w:r w:rsidR="00FF68CF" w:rsidRPr="00B568E3">
              <w:t xml:space="preserve"> </w:t>
            </w:r>
            <w:r w:rsidRPr="00B568E3">
              <w:t>&amp; particular leather goods</w:t>
            </w:r>
            <w:r w:rsidR="00FF68CF" w:rsidRPr="00B568E3">
              <w:t xml:space="preserve"> </w:t>
            </w:r>
            <w:r w:rsidRPr="00B568E3">
              <w:t>used as small consumer goods like bags, belts, wallets, etc.</w:t>
            </w:r>
          </w:p>
        </w:tc>
      </w:tr>
      <w:tr w:rsidR="00331306" w:rsidRPr="00583370" w14:paraId="50155B09" w14:textId="77777777" w:rsidTr="00FF68CF">
        <w:trPr>
          <w:trHeight w:hRule="exact" w:val="701"/>
        </w:trPr>
        <w:tc>
          <w:tcPr>
            <w:tcW w:w="0" w:type="auto"/>
            <w:tcBorders>
              <w:top w:val="single" w:sz="5" w:space="0" w:color="000000"/>
              <w:left w:val="single" w:sz="5" w:space="0" w:color="000000"/>
              <w:bottom w:val="single" w:sz="5" w:space="0" w:color="000000"/>
              <w:right w:val="single" w:sz="5" w:space="0" w:color="000000"/>
            </w:tcBorders>
            <w:vAlign w:val="center"/>
          </w:tcPr>
          <w:p w14:paraId="25CAB5D3" w14:textId="77777777" w:rsidR="00331306" w:rsidRPr="00B568E3" w:rsidRDefault="00331306" w:rsidP="001E56DA">
            <w:pPr>
              <w:spacing w:after="240"/>
              <w:textAlignment w:val="baseline"/>
            </w:pPr>
            <w:r w:rsidRPr="00B568E3">
              <w:t>14</w:t>
            </w:r>
          </w:p>
        </w:tc>
        <w:tc>
          <w:tcPr>
            <w:tcW w:w="0" w:type="auto"/>
            <w:tcBorders>
              <w:top w:val="single" w:sz="5" w:space="0" w:color="000000"/>
              <w:left w:val="single" w:sz="5" w:space="0" w:color="000000"/>
              <w:bottom w:val="single" w:sz="5" w:space="0" w:color="000000"/>
              <w:right w:val="single" w:sz="5" w:space="0" w:color="000000"/>
            </w:tcBorders>
            <w:vAlign w:val="center"/>
          </w:tcPr>
          <w:p w14:paraId="6CAE1F57" w14:textId="77777777" w:rsidR="00331306" w:rsidRPr="00B568E3" w:rsidRDefault="00331306" w:rsidP="001E56DA">
            <w:pPr>
              <w:spacing w:after="240"/>
              <w:textAlignment w:val="baseline"/>
            </w:pPr>
            <w:r w:rsidRPr="00B568E3">
              <w:t>Footwear manufacture</w:t>
            </w:r>
          </w:p>
        </w:tc>
        <w:tc>
          <w:tcPr>
            <w:tcW w:w="0" w:type="auto"/>
            <w:tcBorders>
              <w:top w:val="single" w:sz="5" w:space="0" w:color="000000"/>
              <w:left w:val="single" w:sz="5" w:space="0" w:color="000000"/>
              <w:bottom w:val="single" w:sz="5" w:space="0" w:color="000000"/>
              <w:right w:val="single" w:sz="5" w:space="0" w:color="000000"/>
            </w:tcBorders>
            <w:vAlign w:val="center"/>
          </w:tcPr>
          <w:p w14:paraId="6EF53594" w14:textId="77777777" w:rsidR="00331306" w:rsidRPr="00B568E3" w:rsidRDefault="00331306" w:rsidP="001E56DA">
            <w:pPr>
              <w:spacing w:after="240"/>
              <w:textAlignment w:val="baseline"/>
            </w:pPr>
            <w:r w:rsidRPr="00B568E3">
              <w:t>&gt;5</w:t>
            </w:r>
          </w:p>
        </w:tc>
      </w:tr>
      <w:tr w:rsidR="00331306" w:rsidRPr="00583370" w14:paraId="5CA63737" w14:textId="77777777" w:rsidTr="009359A2">
        <w:trPr>
          <w:trHeight w:hRule="exact" w:val="899"/>
        </w:trPr>
        <w:tc>
          <w:tcPr>
            <w:tcW w:w="0" w:type="auto"/>
            <w:tcBorders>
              <w:top w:val="single" w:sz="5" w:space="0" w:color="000000"/>
              <w:left w:val="single" w:sz="5" w:space="0" w:color="000000"/>
              <w:bottom w:val="single" w:sz="5" w:space="0" w:color="000000"/>
              <w:right w:val="single" w:sz="5" w:space="0" w:color="000000"/>
            </w:tcBorders>
            <w:vAlign w:val="center"/>
          </w:tcPr>
          <w:p w14:paraId="5E52543D" w14:textId="77777777" w:rsidR="00331306" w:rsidRPr="00B568E3" w:rsidRDefault="00331306" w:rsidP="001E56DA">
            <w:pPr>
              <w:spacing w:after="240"/>
              <w:textAlignment w:val="baseline"/>
            </w:pPr>
            <w:r w:rsidRPr="00B568E3">
              <w:t>15</w:t>
            </w:r>
          </w:p>
        </w:tc>
        <w:tc>
          <w:tcPr>
            <w:tcW w:w="0" w:type="auto"/>
            <w:tcBorders>
              <w:top w:val="single" w:sz="5" w:space="0" w:color="000000"/>
              <w:left w:val="single" w:sz="5" w:space="0" w:color="000000"/>
              <w:bottom w:val="single" w:sz="5" w:space="0" w:color="000000"/>
              <w:right w:val="single" w:sz="5" w:space="0" w:color="000000"/>
            </w:tcBorders>
            <w:vAlign w:val="center"/>
          </w:tcPr>
          <w:p w14:paraId="17769E8D" w14:textId="77777777" w:rsidR="00331306" w:rsidRPr="00B568E3" w:rsidRDefault="00331306" w:rsidP="001E56DA">
            <w:pPr>
              <w:spacing w:after="240"/>
              <w:textAlignment w:val="baseline"/>
            </w:pPr>
            <w:r w:rsidRPr="00B568E3">
              <w:t>Wood &amp; plastic lamination</w:t>
            </w:r>
          </w:p>
        </w:tc>
        <w:tc>
          <w:tcPr>
            <w:tcW w:w="0" w:type="auto"/>
            <w:tcBorders>
              <w:top w:val="single" w:sz="5" w:space="0" w:color="000000"/>
              <w:left w:val="single" w:sz="5" w:space="0" w:color="000000"/>
              <w:bottom w:val="single" w:sz="5" w:space="0" w:color="000000"/>
              <w:right w:val="single" w:sz="5" w:space="0" w:color="000000"/>
            </w:tcBorders>
            <w:vAlign w:val="center"/>
          </w:tcPr>
          <w:p w14:paraId="3CAD3A66" w14:textId="77777777" w:rsidR="00331306" w:rsidRPr="00B568E3" w:rsidRDefault="00331306" w:rsidP="001E56DA">
            <w:pPr>
              <w:spacing w:after="240"/>
              <w:textAlignment w:val="baseline"/>
            </w:pPr>
            <w:r w:rsidRPr="00B568E3">
              <w:t>&gt;5</w:t>
            </w:r>
          </w:p>
        </w:tc>
      </w:tr>
      <w:tr w:rsidR="003B5895" w:rsidRPr="00583370" w14:paraId="0F1B331D" w14:textId="77777777" w:rsidTr="003B5895">
        <w:trPr>
          <w:trHeight w:hRule="exact" w:val="1006"/>
        </w:trPr>
        <w:tc>
          <w:tcPr>
            <w:tcW w:w="0" w:type="auto"/>
            <w:tcBorders>
              <w:top w:val="single" w:sz="5" w:space="0" w:color="000000"/>
              <w:left w:val="single" w:sz="5" w:space="0" w:color="000000"/>
              <w:bottom w:val="single" w:sz="5" w:space="0" w:color="000000"/>
              <w:right w:val="single" w:sz="5" w:space="0" w:color="000000"/>
            </w:tcBorders>
          </w:tcPr>
          <w:p w14:paraId="6FA122DA" w14:textId="77777777" w:rsidR="00331306" w:rsidRPr="00B568E3" w:rsidRDefault="00331306" w:rsidP="001E56DA">
            <w:pPr>
              <w:spacing w:after="240"/>
              <w:textAlignment w:val="baseline"/>
            </w:pPr>
            <w:r w:rsidRPr="00B568E3">
              <w:t>16</w:t>
            </w:r>
          </w:p>
        </w:tc>
        <w:tc>
          <w:tcPr>
            <w:tcW w:w="0" w:type="auto"/>
            <w:tcBorders>
              <w:top w:val="single" w:sz="5" w:space="0" w:color="000000"/>
              <w:left w:val="single" w:sz="5" w:space="0" w:color="000000"/>
              <w:bottom w:val="single" w:sz="5" w:space="0" w:color="000000"/>
              <w:right w:val="single" w:sz="5" w:space="0" w:color="000000"/>
            </w:tcBorders>
          </w:tcPr>
          <w:p w14:paraId="13C2F84A" w14:textId="77777777" w:rsidR="00331306" w:rsidRPr="00B568E3" w:rsidRDefault="00331306" w:rsidP="001E56DA">
            <w:pPr>
              <w:spacing w:after="240"/>
              <w:textAlignment w:val="baseline"/>
            </w:pPr>
            <w:r w:rsidRPr="00B568E3">
              <w:t>Adhesive coating (&gt;5)</w:t>
            </w:r>
          </w:p>
        </w:tc>
        <w:tc>
          <w:tcPr>
            <w:tcW w:w="0" w:type="auto"/>
            <w:tcBorders>
              <w:top w:val="single" w:sz="5" w:space="0" w:color="000000"/>
              <w:left w:val="single" w:sz="5" w:space="0" w:color="000000"/>
              <w:bottom w:val="single" w:sz="5" w:space="0" w:color="000000"/>
              <w:right w:val="single" w:sz="5" w:space="0" w:color="000000"/>
            </w:tcBorders>
          </w:tcPr>
          <w:p w14:paraId="39BBE25C" w14:textId="77777777" w:rsidR="00331306" w:rsidRPr="00B568E3" w:rsidRDefault="00331306" w:rsidP="001E56DA">
            <w:pPr>
              <w:spacing w:after="240"/>
              <w:textAlignment w:val="baseline"/>
            </w:pPr>
            <w:r w:rsidRPr="00B568E3">
              <w:t>5-15</w:t>
            </w:r>
          </w:p>
          <w:p w14:paraId="77E7B517" w14:textId="77777777" w:rsidR="00331306" w:rsidRPr="00B568E3" w:rsidRDefault="00331306" w:rsidP="001E56DA">
            <w:pPr>
              <w:spacing w:after="240"/>
              <w:textAlignment w:val="baseline"/>
            </w:pPr>
            <w:r w:rsidRPr="00B568E3">
              <w:t>&gt;15</w:t>
            </w:r>
          </w:p>
        </w:tc>
      </w:tr>
      <w:tr w:rsidR="00331306" w:rsidRPr="00583370" w14:paraId="01D7DA45" w14:textId="77777777" w:rsidTr="00583370">
        <w:trPr>
          <w:trHeight w:hRule="exact" w:val="1112"/>
        </w:trPr>
        <w:tc>
          <w:tcPr>
            <w:tcW w:w="0" w:type="auto"/>
            <w:tcBorders>
              <w:top w:val="single" w:sz="5" w:space="0" w:color="000000"/>
              <w:left w:val="single" w:sz="5" w:space="0" w:color="000000"/>
              <w:bottom w:val="single" w:sz="5" w:space="0" w:color="000000"/>
              <w:right w:val="single" w:sz="5" w:space="0" w:color="000000"/>
            </w:tcBorders>
          </w:tcPr>
          <w:p w14:paraId="21848779" w14:textId="77777777" w:rsidR="00331306" w:rsidRPr="00B568E3" w:rsidRDefault="00331306" w:rsidP="001E56DA">
            <w:pPr>
              <w:spacing w:after="240"/>
              <w:textAlignment w:val="baseline"/>
            </w:pPr>
            <w:r w:rsidRPr="00B568E3">
              <w:lastRenderedPageBreak/>
              <w:t>17</w:t>
            </w:r>
          </w:p>
        </w:tc>
        <w:tc>
          <w:tcPr>
            <w:tcW w:w="0" w:type="auto"/>
            <w:tcBorders>
              <w:top w:val="single" w:sz="5" w:space="0" w:color="000000"/>
              <w:left w:val="single" w:sz="5" w:space="0" w:color="000000"/>
              <w:bottom w:val="single" w:sz="5" w:space="0" w:color="000000"/>
              <w:right w:val="single" w:sz="5" w:space="0" w:color="000000"/>
            </w:tcBorders>
          </w:tcPr>
          <w:p w14:paraId="744DFFAD" w14:textId="5501C83B" w:rsidR="00331306" w:rsidRPr="00B568E3" w:rsidRDefault="00331306" w:rsidP="001E56DA">
            <w:pPr>
              <w:spacing w:after="240"/>
              <w:textAlignment w:val="baseline"/>
            </w:pPr>
            <w:r w:rsidRPr="00B568E3">
              <w:t>Manufacture of coating mixture, varnishes,</w:t>
            </w:r>
            <w:r w:rsidR="00FF68CF" w:rsidRPr="00B568E3">
              <w:t xml:space="preserve"> </w:t>
            </w:r>
            <w:r w:rsidRPr="00B568E3">
              <w:t>inks &amp; adhesives (&gt;100)</w:t>
            </w:r>
          </w:p>
        </w:tc>
        <w:tc>
          <w:tcPr>
            <w:tcW w:w="0" w:type="auto"/>
            <w:tcBorders>
              <w:top w:val="single" w:sz="5" w:space="0" w:color="000000"/>
              <w:left w:val="single" w:sz="5" w:space="0" w:color="000000"/>
              <w:bottom w:val="single" w:sz="5" w:space="0" w:color="000000"/>
              <w:right w:val="single" w:sz="5" w:space="0" w:color="000000"/>
            </w:tcBorders>
          </w:tcPr>
          <w:p w14:paraId="6F567E11" w14:textId="77777777" w:rsidR="00331306" w:rsidRPr="00B568E3" w:rsidRDefault="00331306" w:rsidP="001E56DA">
            <w:pPr>
              <w:spacing w:after="240"/>
              <w:textAlignment w:val="baseline"/>
            </w:pPr>
            <w:r w:rsidRPr="00B568E3">
              <w:t>100-1000</w:t>
            </w:r>
          </w:p>
          <w:p w14:paraId="642F3381" w14:textId="77777777" w:rsidR="00331306" w:rsidRPr="00B568E3" w:rsidRDefault="00331306" w:rsidP="001E56DA">
            <w:pPr>
              <w:spacing w:after="240"/>
              <w:textAlignment w:val="baseline"/>
            </w:pPr>
            <w:r w:rsidRPr="00B568E3">
              <w:t>&gt;1000</w:t>
            </w:r>
          </w:p>
        </w:tc>
      </w:tr>
      <w:tr w:rsidR="00331306" w:rsidRPr="00583370" w14:paraId="02181706" w14:textId="77777777" w:rsidTr="009359A2">
        <w:trPr>
          <w:trHeight w:hRule="exact" w:val="686"/>
        </w:trPr>
        <w:tc>
          <w:tcPr>
            <w:tcW w:w="0" w:type="auto"/>
            <w:tcBorders>
              <w:top w:val="single" w:sz="5" w:space="0" w:color="000000"/>
              <w:left w:val="single" w:sz="5" w:space="0" w:color="000000"/>
              <w:bottom w:val="single" w:sz="5" w:space="0" w:color="000000"/>
              <w:right w:val="single" w:sz="5" w:space="0" w:color="000000"/>
            </w:tcBorders>
            <w:vAlign w:val="center"/>
          </w:tcPr>
          <w:p w14:paraId="50DD4CF3" w14:textId="77777777" w:rsidR="00331306" w:rsidRPr="00B568E3" w:rsidRDefault="00331306" w:rsidP="001E56DA">
            <w:pPr>
              <w:spacing w:after="240"/>
              <w:textAlignment w:val="baseline"/>
            </w:pPr>
            <w:r w:rsidRPr="00B568E3">
              <w:t>18</w:t>
            </w:r>
          </w:p>
        </w:tc>
        <w:tc>
          <w:tcPr>
            <w:tcW w:w="0" w:type="auto"/>
            <w:tcBorders>
              <w:top w:val="single" w:sz="5" w:space="0" w:color="000000"/>
              <w:left w:val="single" w:sz="5" w:space="0" w:color="000000"/>
              <w:bottom w:val="single" w:sz="5" w:space="0" w:color="000000"/>
              <w:right w:val="single" w:sz="5" w:space="0" w:color="000000"/>
            </w:tcBorders>
            <w:vAlign w:val="center"/>
          </w:tcPr>
          <w:p w14:paraId="54DDF5D9" w14:textId="77777777" w:rsidR="00331306" w:rsidRPr="00B568E3" w:rsidRDefault="00331306" w:rsidP="001E56DA">
            <w:pPr>
              <w:spacing w:after="240"/>
              <w:textAlignment w:val="baseline"/>
            </w:pPr>
            <w:r w:rsidRPr="00B568E3">
              <w:t>Rubber conversion</w:t>
            </w:r>
          </w:p>
        </w:tc>
        <w:tc>
          <w:tcPr>
            <w:tcW w:w="0" w:type="auto"/>
            <w:tcBorders>
              <w:top w:val="single" w:sz="5" w:space="0" w:color="000000"/>
              <w:left w:val="single" w:sz="5" w:space="0" w:color="000000"/>
              <w:bottom w:val="single" w:sz="5" w:space="0" w:color="000000"/>
              <w:right w:val="single" w:sz="5" w:space="0" w:color="000000"/>
            </w:tcBorders>
            <w:vAlign w:val="center"/>
          </w:tcPr>
          <w:p w14:paraId="622D6211" w14:textId="77777777" w:rsidR="00331306" w:rsidRPr="00B568E3" w:rsidRDefault="00331306" w:rsidP="001E56DA">
            <w:pPr>
              <w:spacing w:after="240"/>
              <w:textAlignment w:val="baseline"/>
            </w:pPr>
            <w:r w:rsidRPr="00B568E3">
              <w:t>&gt;15</w:t>
            </w:r>
          </w:p>
        </w:tc>
      </w:tr>
      <w:tr w:rsidR="00331306" w:rsidRPr="00583370" w14:paraId="73A88B4E" w14:textId="77777777" w:rsidTr="00583370">
        <w:trPr>
          <w:trHeight w:hRule="exact" w:val="1255"/>
        </w:trPr>
        <w:tc>
          <w:tcPr>
            <w:tcW w:w="0" w:type="auto"/>
            <w:tcBorders>
              <w:top w:val="single" w:sz="5" w:space="0" w:color="000000"/>
              <w:left w:val="single" w:sz="5" w:space="0" w:color="000000"/>
              <w:bottom w:val="single" w:sz="5" w:space="0" w:color="000000"/>
              <w:right w:val="single" w:sz="5" w:space="0" w:color="000000"/>
            </w:tcBorders>
          </w:tcPr>
          <w:p w14:paraId="7137E36B" w14:textId="77777777" w:rsidR="00331306" w:rsidRPr="00B568E3" w:rsidRDefault="00331306" w:rsidP="001E56DA">
            <w:pPr>
              <w:spacing w:after="240"/>
              <w:textAlignment w:val="baseline"/>
            </w:pPr>
            <w:r w:rsidRPr="00B568E3">
              <w:t>19</w:t>
            </w:r>
          </w:p>
        </w:tc>
        <w:tc>
          <w:tcPr>
            <w:tcW w:w="0" w:type="auto"/>
            <w:tcBorders>
              <w:top w:val="single" w:sz="5" w:space="0" w:color="000000"/>
              <w:left w:val="single" w:sz="5" w:space="0" w:color="000000"/>
              <w:bottom w:val="single" w:sz="5" w:space="0" w:color="000000"/>
              <w:right w:val="single" w:sz="5" w:space="0" w:color="000000"/>
            </w:tcBorders>
          </w:tcPr>
          <w:p w14:paraId="4878A101" w14:textId="16FC94BE" w:rsidR="00331306" w:rsidRPr="00B568E3" w:rsidRDefault="00331306" w:rsidP="001E56DA">
            <w:pPr>
              <w:spacing w:after="240"/>
              <w:textAlignment w:val="baseline"/>
            </w:pPr>
            <w:r w:rsidRPr="00B568E3">
              <w:t>Vegetable oil</w:t>
            </w:r>
            <w:r w:rsidR="00FF68CF" w:rsidRPr="00B568E3">
              <w:t xml:space="preserve"> </w:t>
            </w:r>
            <w:r w:rsidRPr="00B568E3">
              <w:t>&amp; animal fat extraction</w:t>
            </w:r>
            <w:r w:rsidR="00583370" w:rsidRPr="00B568E3">
              <w:t xml:space="preserve"> </w:t>
            </w:r>
            <w:r w:rsidRPr="00B568E3">
              <w:t>and</w:t>
            </w:r>
            <w:r w:rsidR="00FF68CF" w:rsidRPr="00B568E3">
              <w:t xml:space="preserve"> </w:t>
            </w:r>
            <w:r w:rsidRPr="00B568E3">
              <w:t>vegetable oil refining activities</w:t>
            </w:r>
          </w:p>
        </w:tc>
        <w:tc>
          <w:tcPr>
            <w:tcW w:w="0" w:type="auto"/>
            <w:tcBorders>
              <w:top w:val="single" w:sz="5" w:space="0" w:color="000000"/>
              <w:left w:val="single" w:sz="5" w:space="0" w:color="000000"/>
              <w:bottom w:val="single" w:sz="5" w:space="0" w:color="000000"/>
              <w:right w:val="single" w:sz="5" w:space="0" w:color="000000"/>
            </w:tcBorders>
          </w:tcPr>
          <w:p w14:paraId="56C58C69" w14:textId="77777777" w:rsidR="00331306" w:rsidRPr="00B568E3" w:rsidRDefault="00331306" w:rsidP="001E56DA">
            <w:pPr>
              <w:spacing w:after="240"/>
              <w:textAlignment w:val="baseline"/>
            </w:pPr>
            <w:r w:rsidRPr="00B568E3">
              <w:t>&gt;10</w:t>
            </w:r>
          </w:p>
        </w:tc>
      </w:tr>
      <w:tr w:rsidR="00331306" w:rsidRPr="00583370" w14:paraId="70921C26" w14:textId="77777777" w:rsidTr="009359A2">
        <w:trPr>
          <w:trHeight w:hRule="exact" w:val="1283"/>
        </w:trPr>
        <w:tc>
          <w:tcPr>
            <w:tcW w:w="0" w:type="auto"/>
            <w:tcBorders>
              <w:top w:val="single" w:sz="5" w:space="0" w:color="000000"/>
              <w:left w:val="single" w:sz="5" w:space="0" w:color="000000"/>
              <w:bottom w:val="single" w:sz="5" w:space="0" w:color="000000"/>
              <w:right w:val="single" w:sz="5" w:space="0" w:color="000000"/>
            </w:tcBorders>
            <w:vAlign w:val="center"/>
          </w:tcPr>
          <w:p w14:paraId="23F53682" w14:textId="77777777" w:rsidR="00331306" w:rsidRPr="00B568E3" w:rsidRDefault="00331306" w:rsidP="001E56DA">
            <w:pPr>
              <w:spacing w:after="240"/>
              <w:textAlignment w:val="baseline"/>
            </w:pPr>
            <w:r w:rsidRPr="00B568E3">
              <w:t>20</w:t>
            </w:r>
          </w:p>
        </w:tc>
        <w:tc>
          <w:tcPr>
            <w:tcW w:w="0" w:type="auto"/>
            <w:tcBorders>
              <w:top w:val="single" w:sz="5" w:space="0" w:color="000000"/>
              <w:left w:val="single" w:sz="5" w:space="0" w:color="000000"/>
              <w:bottom w:val="single" w:sz="5" w:space="0" w:color="000000"/>
              <w:right w:val="single" w:sz="5" w:space="0" w:color="000000"/>
            </w:tcBorders>
            <w:vAlign w:val="center"/>
          </w:tcPr>
          <w:p w14:paraId="1138E6C8" w14:textId="77777777" w:rsidR="00331306" w:rsidRPr="00B568E3" w:rsidRDefault="00331306" w:rsidP="001E56DA">
            <w:pPr>
              <w:spacing w:after="240"/>
              <w:textAlignment w:val="baseline"/>
            </w:pPr>
            <w:r w:rsidRPr="00B568E3">
              <w:t>Manufacturing of pharmaceutical products</w:t>
            </w:r>
          </w:p>
        </w:tc>
        <w:tc>
          <w:tcPr>
            <w:tcW w:w="0" w:type="auto"/>
            <w:tcBorders>
              <w:top w:val="single" w:sz="5" w:space="0" w:color="000000"/>
              <w:left w:val="single" w:sz="5" w:space="0" w:color="000000"/>
              <w:bottom w:val="single" w:sz="5" w:space="0" w:color="000000"/>
              <w:right w:val="single" w:sz="5" w:space="0" w:color="000000"/>
            </w:tcBorders>
            <w:vAlign w:val="center"/>
          </w:tcPr>
          <w:p w14:paraId="4EFA3A0E" w14:textId="77777777" w:rsidR="00331306" w:rsidRPr="00B568E3" w:rsidRDefault="00331306" w:rsidP="001E56DA">
            <w:pPr>
              <w:spacing w:after="240"/>
              <w:textAlignment w:val="baseline"/>
            </w:pPr>
            <w:r w:rsidRPr="00B568E3">
              <w:t>&gt;50</w:t>
            </w:r>
          </w:p>
        </w:tc>
      </w:tr>
    </w:tbl>
    <w:p w14:paraId="76CA79B6" w14:textId="77777777" w:rsidR="00A56445" w:rsidRDefault="00A56445" w:rsidP="001E56DA">
      <w:pPr>
        <w:spacing w:after="240"/>
        <w:textAlignment w:val="baseline"/>
      </w:pPr>
    </w:p>
    <w:p w14:paraId="1306A78E" w14:textId="54D126CD" w:rsidR="005F6327" w:rsidRPr="00B568E3" w:rsidRDefault="00331306" w:rsidP="001E56DA">
      <w:pPr>
        <w:spacing w:after="240"/>
        <w:textAlignment w:val="baseline"/>
      </w:pPr>
      <w:r w:rsidRPr="00A56445">
        <w:rPr>
          <w:b/>
          <w:bCs/>
        </w:rPr>
        <w:t>Nominal capacity</w:t>
      </w:r>
      <w:r w:rsidR="00D0753E" w:rsidRPr="00B568E3">
        <w:t xml:space="preserve"> means the maximum mass input of organic solvents at the installation averaged over one day, if that installation is operated at its design output under conditions other than start up and shut down operations or relating to the maintenance of equipment.</w:t>
      </w:r>
    </w:p>
    <w:p w14:paraId="75EB1E02" w14:textId="03BA0962" w:rsidR="00331306" w:rsidRDefault="00331306" w:rsidP="001E56DA">
      <w:pPr>
        <w:spacing w:after="240"/>
        <w:textAlignment w:val="baseline"/>
      </w:pPr>
      <w:r w:rsidRPr="00A56445">
        <w:rPr>
          <w:b/>
          <w:bCs/>
        </w:rPr>
        <w:t xml:space="preserve">Input </w:t>
      </w:r>
      <w:r w:rsidR="007B4C93" w:rsidRPr="00B568E3">
        <w:t xml:space="preserve">means the </w:t>
      </w:r>
      <w:r w:rsidRPr="00B568E3">
        <w:t>quantity o</w:t>
      </w:r>
      <w:r w:rsidR="007B4C93" w:rsidRPr="00B568E3">
        <w:t>f</w:t>
      </w:r>
      <w:r w:rsidRPr="00B568E3">
        <w:t xml:space="preserve"> solvent used (pure or the quantity in mixtures) when carrying on an activity (including solvents recycled inside and outside the installation) and which are counted every time they are used to carry out the activity.</w:t>
      </w:r>
    </w:p>
    <w:p w14:paraId="137E65C8" w14:textId="30D058E0" w:rsidR="0094476A" w:rsidRPr="00B568E3" w:rsidRDefault="0094476A" w:rsidP="001E56DA">
      <w:pPr>
        <w:spacing w:after="240"/>
        <w:textAlignment w:val="baseline"/>
      </w:pPr>
      <w:r w:rsidRPr="00C174D6">
        <w:rPr>
          <w:b/>
          <w:bCs/>
        </w:rPr>
        <w:t>Solvent consumption threshold</w:t>
      </w:r>
      <w:r>
        <w:t xml:space="preserve"> </w:t>
      </w:r>
      <w:r w:rsidR="00C174D6">
        <w:t>equals</w:t>
      </w:r>
      <w:r>
        <w:t xml:space="preserve"> the </w:t>
      </w:r>
      <w:r w:rsidRPr="0094476A">
        <w:t>total input of solvents into an installation per year, less any volatile organic compounds that are recovered for reuse</w:t>
      </w:r>
      <w:r>
        <w:t xml:space="preserve">. </w:t>
      </w:r>
    </w:p>
    <w:p w14:paraId="57EB31CE" w14:textId="77777777" w:rsidR="00331306" w:rsidRPr="00331306" w:rsidRDefault="00331306" w:rsidP="001E56DA">
      <w:pPr>
        <w:pStyle w:val="Heading3"/>
        <w:spacing w:after="120"/>
      </w:pPr>
      <w:bookmarkStart w:id="10" w:name="_Toc192257473"/>
      <w:r w:rsidRPr="00B568E3">
        <w:t>3.5</w:t>
      </w:r>
      <w:r w:rsidRPr="00B568E3">
        <w:tab/>
        <w:t>Extension of a Large Combustion Plant Activity</w:t>
      </w:r>
      <w:bookmarkEnd w:id="10"/>
    </w:p>
    <w:p w14:paraId="74E28812" w14:textId="0F158AF6" w:rsidR="00331306" w:rsidRPr="00B568E3" w:rsidRDefault="00331306" w:rsidP="001E56DA">
      <w:pPr>
        <w:spacing w:after="240"/>
        <w:textAlignment w:val="baseline"/>
      </w:pPr>
      <w:r w:rsidRPr="00B568E3">
        <w:t xml:space="preserve">A substantial change in operation includes the extension of the rated thermal input of a combustion plant as defined in </w:t>
      </w:r>
      <w:r w:rsidR="00BB46FC" w:rsidRPr="00B568E3">
        <w:t>Regulation 2(1) of EASR</w:t>
      </w:r>
      <w:r w:rsidRPr="00B568E3">
        <w:t xml:space="preserve"> by 50MW or more.</w:t>
      </w:r>
    </w:p>
    <w:p w14:paraId="318B0B62" w14:textId="77777777" w:rsidR="00331306" w:rsidRPr="00331306" w:rsidRDefault="00331306" w:rsidP="001E56DA">
      <w:pPr>
        <w:pStyle w:val="Heading3"/>
        <w:spacing w:after="120"/>
      </w:pPr>
      <w:bookmarkStart w:id="11" w:name="_Toc192257474"/>
      <w:r w:rsidRPr="00B568E3">
        <w:t>3.6</w:t>
      </w:r>
      <w:r w:rsidRPr="00B568E3">
        <w:tab/>
        <w:t>Incineration or Co-incineration Activity</w:t>
      </w:r>
      <w:bookmarkEnd w:id="11"/>
    </w:p>
    <w:p w14:paraId="3E40775B" w14:textId="2DCEE504" w:rsidR="00331306" w:rsidRDefault="00331306" w:rsidP="001E56DA">
      <w:pPr>
        <w:spacing w:after="240"/>
        <w:textAlignment w:val="baseline"/>
      </w:pPr>
      <w:r w:rsidRPr="00B568E3">
        <w:t>Where an operator of an incineration or co-incineration plant for non-hazardous waste proposes a change in operation to include the incineration of co-incineration of hazardous waste for the first time, the change is regarded as substantial.</w:t>
      </w:r>
    </w:p>
    <w:p w14:paraId="16C7279F" w14:textId="77777777" w:rsidR="00B164AF" w:rsidRPr="00B568E3" w:rsidRDefault="00B164AF" w:rsidP="001E56DA">
      <w:pPr>
        <w:spacing w:after="240"/>
        <w:textAlignment w:val="baseline"/>
      </w:pPr>
    </w:p>
    <w:p w14:paraId="4A2FC635" w14:textId="7D087870" w:rsidR="00331306" w:rsidRDefault="00423A0E" w:rsidP="001E56DA">
      <w:pPr>
        <w:pStyle w:val="Heading2"/>
        <w:numPr>
          <w:ilvl w:val="0"/>
          <w:numId w:val="20"/>
        </w:numPr>
        <w:spacing w:after="120"/>
        <w:ind w:left="0" w:firstLine="0"/>
        <w:rPr>
          <w:rFonts w:eastAsia="Times New Roman"/>
        </w:rPr>
      </w:pPr>
      <w:bookmarkStart w:id="12" w:name="_Toc192257475"/>
      <w:r w:rsidRPr="00143F3E">
        <w:rPr>
          <w:rFonts w:eastAsia="Times New Roman"/>
        </w:rPr>
        <w:lastRenderedPageBreak/>
        <w:t>Criteria</w:t>
      </w:r>
      <w:r w:rsidR="007858DE" w:rsidRPr="00143F3E">
        <w:rPr>
          <w:rFonts w:eastAsia="Times New Roman"/>
        </w:rPr>
        <w:t xml:space="preserve"> for </w:t>
      </w:r>
      <w:r w:rsidRPr="00143F3E">
        <w:rPr>
          <w:rFonts w:eastAsia="Times New Roman"/>
        </w:rPr>
        <w:t>assessing significance</w:t>
      </w:r>
      <w:bookmarkEnd w:id="12"/>
    </w:p>
    <w:p w14:paraId="470EE7D9" w14:textId="77777777" w:rsidR="00ED2F66" w:rsidRPr="00ED2F66" w:rsidRDefault="00ED2F66" w:rsidP="00ED2F66"/>
    <w:p w14:paraId="25D3CB87" w14:textId="1A043523" w:rsidR="00331306" w:rsidRPr="00331306" w:rsidRDefault="00331306" w:rsidP="001E56DA">
      <w:pPr>
        <w:pStyle w:val="Heading3"/>
        <w:spacing w:after="120"/>
      </w:pPr>
      <w:bookmarkStart w:id="13" w:name="_Toc192257476"/>
      <w:r w:rsidRPr="00B568E3">
        <w:t>4.1</w:t>
      </w:r>
      <w:r w:rsidRPr="00B568E3">
        <w:tab/>
        <w:t xml:space="preserve">Extension of the </w:t>
      </w:r>
      <w:r w:rsidR="00423A0E" w:rsidRPr="00B568E3">
        <w:t>i</w:t>
      </w:r>
      <w:r w:rsidRPr="00B568E3">
        <w:t xml:space="preserve">nstallation </w:t>
      </w:r>
      <w:r w:rsidR="00423A0E" w:rsidRPr="00B568E3">
        <w:t>b</w:t>
      </w:r>
      <w:r w:rsidRPr="00B568E3">
        <w:t>oundary</w:t>
      </w:r>
      <w:bookmarkEnd w:id="13"/>
    </w:p>
    <w:p w14:paraId="4933BF94" w14:textId="77777777" w:rsidR="00331306" w:rsidRPr="00B568E3" w:rsidRDefault="00331306" w:rsidP="001E56DA">
      <w:pPr>
        <w:spacing w:after="240"/>
        <w:textAlignment w:val="baseline"/>
      </w:pPr>
      <w:r w:rsidRPr="00B568E3">
        <w:t>The change should be assessed with regard to the potential impact on the geographical area. On its own, however, an extension to the boundary of the installation is unlikely to indicate a substantial change.</w:t>
      </w:r>
    </w:p>
    <w:p w14:paraId="614959D2" w14:textId="75CF6D76" w:rsidR="00331306" w:rsidRPr="00B568E3" w:rsidRDefault="00331306" w:rsidP="001E56DA">
      <w:pPr>
        <w:spacing w:after="240"/>
        <w:textAlignment w:val="baseline"/>
      </w:pPr>
      <w:r w:rsidRPr="00B568E3">
        <w:t xml:space="preserve">In most cases it will be the proposed use of the extended area which is the overriding factor in determining substantial change </w:t>
      </w:r>
      <w:r w:rsidR="00B36A26" w:rsidRPr="00B568E3">
        <w:t>e.g.</w:t>
      </w:r>
      <w:r w:rsidRPr="00B568E3">
        <w:t xml:space="preserve"> the boundary extension is required to extend the process, add a new activity, etc. These factors may trigger substantial change in themselves.</w:t>
      </w:r>
    </w:p>
    <w:p w14:paraId="5607AAF3" w14:textId="77777777" w:rsidR="00331306" w:rsidRPr="00B568E3" w:rsidRDefault="00331306" w:rsidP="001E56DA">
      <w:pPr>
        <w:spacing w:after="240"/>
        <w:textAlignment w:val="baseline"/>
      </w:pPr>
      <w:r w:rsidRPr="00B568E3">
        <w:t>In other circumstances such as extending the boundary to install wetland treatment systems or swales, could be seen as a positive effect on the environment, and therefore should not normally be regarded as a substantial change.</w:t>
      </w:r>
    </w:p>
    <w:p w14:paraId="56E03B35" w14:textId="77777777" w:rsidR="00331306" w:rsidRPr="00331306" w:rsidRDefault="00331306" w:rsidP="001E56DA">
      <w:pPr>
        <w:pStyle w:val="Heading3"/>
        <w:spacing w:after="120"/>
      </w:pPr>
      <w:bookmarkStart w:id="14" w:name="_Toc192257477"/>
      <w:r w:rsidRPr="00B568E3">
        <w:t>4.2</w:t>
      </w:r>
      <w:r w:rsidRPr="00B568E3">
        <w:tab/>
        <w:t>Changes to Ambient Pollutant Concentrations</w:t>
      </w:r>
      <w:bookmarkEnd w:id="14"/>
    </w:p>
    <w:p w14:paraId="734C4195" w14:textId="60AC0697" w:rsidR="00331306" w:rsidRPr="00B568E3" w:rsidRDefault="00331306" w:rsidP="001E56DA">
      <w:pPr>
        <w:spacing w:after="240"/>
        <w:textAlignment w:val="baseline"/>
      </w:pPr>
      <w:r w:rsidRPr="00B568E3">
        <w:t>This test considers the effects of releases against EU and UK Environmental Quality Standards (EQSs), and Environmental Assessment Levels (EALs).</w:t>
      </w:r>
      <w:r w:rsidR="00D87DDF" w:rsidRPr="00B568E3">
        <w:t xml:space="preserve"> EALs for air are set out in our </w:t>
      </w:r>
      <w:hyperlink r:id="rId14" w:history="1">
        <w:r w:rsidR="00D87DDF" w:rsidRPr="00B568E3">
          <w:t>H1 risk assessment tool</w:t>
        </w:r>
      </w:hyperlink>
      <w:r w:rsidR="00D87DDF" w:rsidRPr="00B568E3">
        <w:t xml:space="preserve"> which can be found on our </w:t>
      </w:r>
      <w:r w:rsidR="00933CEC" w:rsidRPr="00B568E3">
        <w:t>Air Emissions Risk Assessment webpage</w:t>
      </w:r>
      <w:r w:rsidR="00D87DDF" w:rsidRPr="00B568E3">
        <w:t xml:space="preserve"> along with further instructions.</w:t>
      </w:r>
      <w:r w:rsidR="000107ED">
        <w:t xml:space="preserve"> </w:t>
      </w:r>
      <w:r w:rsidR="003356EF" w:rsidRPr="00B568E3">
        <w:t xml:space="preserve">Other </w:t>
      </w:r>
      <w:r w:rsidRPr="00B568E3">
        <w:t>EALs are set out in Technical Guidance Note IPPC H1 on “Environmental Assessment and Appraisal of BAT” and include figures for water, and land. The EALs for land are defined in terms of deposition rates but will also be used in cases of direct release, for example, the spreading of sludge based on a knowledge of the composition of the sludge.</w:t>
      </w:r>
    </w:p>
    <w:p w14:paraId="1DEC24BF" w14:textId="77777777" w:rsidR="005F6327" w:rsidRPr="00B568E3" w:rsidRDefault="00331306" w:rsidP="001E56DA">
      <w:pPr>
        <w:spacing w:after="240"/>
        <w:textAlignment w:val="baseline"/>
      </w:pPr>
      <w:r w:rsidRPr="00B568E3">
        <w:t>A change in concentration of a substance in the environment will not normally be regarded as substantial if both of the following criteria are met:</w:t>
      </w:r>
    </w:p>
    <w:p w14:paraId="4D4FD2B8" w14:textId="33DE79A9" w:rsidR="00331306" w:rsidRPr="00B568E3" w:rsidRDefault="0003464C" w:rsidP="00CF1E77">
      <w:pPr>
        <w:pStyle w:val="ListParagraph"/>
        <w:numPr>
          <w:ilvl w:val="0"/>
          <w:numId w:val="26"/>
        </w:numPr>
        <w:spacing w:after="240"/>
        <w:textAlignment w:val="baseline"/>
      </w:pPr>
      <w:r>
        <w:t>i</w:t>
      </w:r>
      <w:r w:rsidR="00331306" w:rsidRPr="00B568E3">
        <w:t>t produces an additional impact of less than 2% of an EQS/EAL or equivalent (or the limit of detection if this is greater than 2% of an EQS/EAL) and</w:t>
      </w:r>
    </w:p>
    <w:p w14:paraId="0A53B556" w14:textId="6023264F" w:rsidR="00331306" w:rsidRDefault="0003464C" w:rsidP="00CF1E77">
      <w:pPr>
        <w:pStyle w:val="ListParagraph"/>
        <w:numPr>
          <w:ilvl w:val="0"/>
          <w:numId w:val="26"/>
        </w:numPr>
        <w:spacing w:after="240"/>
        <w:textAlignment w:val="baseline"/>
      </w:pPr>
      <w:r>
        <w:t>T</w:t>
      </w:r>
      <w:r w:rsidR="00331306" w:rsidRPr="00B568E3">
        <w:t>he additional impact combined with the background concentration is less than 70% of the EQS/EAL.</w:t>
      </w:r>
    </w:p>
    <w:p w14:paraId="67A75328" w14:textId="77777777" w:rsidR="00B164AF" w:rsidRPr="00B568E3" w:rsidRDefault="00B164AF" w:rsidP="00B164AF">
      <w:pPr>
        <w:pStyle w:val="ListParagraph"/>
        <w:spacing w:after="240"/>
        <w:textAlignment w:val="baseline"/>
      </w:pPr>
    </w:p>
    <w:p w14:paraId="48606B93" w14:textId="77777777" w:rsidR="00331306" w:rsidRPr="00B568E3" w:rsidRDefault="00331306" w:rsidP="001E56DA">
      <w:pPr>
        <w:spacing w:after="240"/>
        <w:textAlignment w:val="baseline"/>
      </w:pPr>
      <w:r w:rsidRPr="00B568E3">
        <w:lastRenderedPageBreak/>
        <w:t>Conversely a change would normally be considered substantial if:</w:t>
      </w:r>
    </w:p>
    <w:p w14:paraId="360BBD3F" w14:textId="582F3449" w:rsidR="00331306" w:rsidRPr="00B568E3" w:rsidRDefault="0003464C" w:rsidP="00CF1E77">
      <w:pPr>
        <w:pStyle w:val="ListParagraph"/>
        <w:numPr>
          <w:ilvl w:val="0"/>
          <w:numId w:val="27"/>
        </w:numPr>
        <w:spacing w:after="240"/>
        <w:textAlignment w:val="baseline"/>
      </w:pPr>
      <w:r>
        <w:t>I</w:t>
      </w:r>
      <w:r w:rsidR="00331306" w:rsidRPr="00B568E3">
        <w:t>t produces an additional impact of more than 10% of an EQS/EAL or</w:t>
      </w:r>
    </w:p>
    <w:p w14:paraId="7B67E15D" w14:textId="5F9E9507" w:rsidR="00331306" w:rsidRPr="00B568E3" w:rsidRDefault="0003464C" w:rsidP="00CF1E77">
      <w:pPr>
        <w:pStyle w:val="ListParagraph"/>
        <w:numPr>
          <w:ilvl w:val="0"/>
          <w:numId w:val="27"/>
        </w:numPr>
        <w:spacing w:after="240"/>
        <w:textAlignment w:val="baseline"/>
      </w:pPr>
      <w:r>
        <w:t>T</w:t>
      </w:r>
      <w:r w:rsidR="00331306" w:rsidRPr="00B568E3">
        <w:t>he additional impact combined with the background concentration is greater than 70% of the EQS/EAL.</w:t>
      </w:r>
    </w:p>
    <w:p w14:paraId="5B3DB7ED" w14:textId="2B10A6E0" w:rsidR="00331306" w:rsidRPr="00B568E3" w:rsidRDefault="00331306" w:rsidP="001E56DA">
      <w:pPr>
        <w:spacing w:after="240"/>
        <w:textAlignment w:val="baseline"/>
      </w:pPr>
      <w:r w:rsidRPr="00B568E3">
        <w:t>For releases to water, the assessment of an impact on an EQS/EAL should be undertaken at SEPA's nominated environmental monitoring point. For releases to atmosphere, the assessment should be at the point of maximum ground level concentration under poor but not extreme weather conditions (e</w:t>
      </w:r>
      <w:r w:rsidR="0003464C">
        <w:t>.g.</w:t>
      </w:r>
      <w:r w:rsidRPr="00B568E3">
        <w:t xml:space="preserve"> the worst year in 10) that is consistent with the receptor and time-averaging properties of the EQS/EAL being considered.</w:t>
      </w:r>
    </w:p>
    <w:p w14:paraId="69C5E4C6" w14:textId="77777777" w:rsidR="00331306" w:rsidRPr="00B568E3" w:rsidRDefault="00331306" w:rsidP="001E56DA">
      <w:pPr>
        <w:spacing w:after="240"/>
        <w:textAlignment w:val="baseline"/>
      </w:pPr>
      <w:r w:rsidRPr="00B568E3">
        <w:t>For cases falling between the two sets of criteria the overall impact of the change on an environmental medium should be considered when making the decision.</w:t>
      </w:r>
    </w:p>
    <w:p w14:paraId="67E66C6C" w14:textId="77777777" w:rsidR="00331306" w:rsidRPr="00331306" w:rsidRDefault="00331306" w:rsidP="001E56DA">
      <w:pPr>
        <w:pStyle w:val="Heading3"/>
        <w:spacing w:after="120"/>
      </w:pPr>
      <w:bookmarkStart w:id="15" w:name="_Toc192257478"/>
      <w:r w:rsidRPr="00B568E3">
        <w:t>4.3</w:t>
      </w:r>
      <w:r w:rsidRPr="00B568E3">
        <w:tab/>
        <w:t>Releases of Substances to Groundwater</w:t>
      </w:r>
      <w:bookmarkEnd w:id="15"/>
    </w:p>
    <w:p w14:paraId="1C4F012D" w14:textId="77777777" w:rsidR="00143F3E" w:rsidRDefault="00331306" w:rsidP="001E56DA">
      <w:pPr>
        <w:spacing w:after="240"/>
        <w:textAlignment w:val="baseline"/>
      </w:pPr>
      <w:r w:rsidRPr="00B568E3">
        <w:t>Any additional release which may lead to pollution of groundwater by List II substances will be considered a substantial change. The conclusions of any groundwater risk assessment should be taken into account. Changes which may lead to the entry of List I substances into groundwater are unlikely to be permitted.</w:t>
      </w:r>
    </w:p>
    <w:p w14:paraId="0F6F7854" w14:textId="4D5A4D29" w:rsidR="00331306" w:rsidRPr="001E56DA" w:rsidRDefault="00331306" w:rsidP="001E56DA">
      <w:pPr>
        <w:pStyle w:val="Heading3"/>
        <w:spacing w:after="120"/>
      </w:pPr>
      <w:bookmarkStart w:id="16" w:name="_Toc192257479"/>
      <w:r w:rsidRPr="001E56DA">
        <w:t>4.4</w:t>
      </w:r>
      <w:r w:rsidRPr="001E56DA">
        <w:tab/>
        <w:t>Accumulation of Released Substances in the Environment</w:t>
      </w:r>
      <w:bookmarkEnd w:id="16"/>
    </w:p>
    <w:p w14:paraId="4267E6F0" w14:textId="3183B52E" w:rsidR="00331306" w:rsidRPr="00B568E3" w:rsidRDefault="00331306" w:rsidP="001E56DA">
      <w:pPr>
        <w:spacing w:after="240"/>
        <w:textAlignment w:val="baseline"/>
      </w:pPr>
      <w:r w:rsidRPr="00B568E3">
        <w:t>Some releases such as heavy metals or persistent organic compounds</w:t>
      </w:r>
      <w:r w:rsidR="00A71424" w:rsidRPr="00B568E3">
        <w:t>, for example</w:t>
      </w:r>
      <w:r w:rsidRPr="00B568E3">
        <w:t xml:space="preserve"> dioxins might lead to a build-up of polluting substances in the environment or bio-accumulation in the food chain. In many cases there is considerable uncertainty in assessing the build-up of pollutants in the environment or biota and it may be difficult to find appropriate criteria.</w:t>
      </w:r>
    </w:p>
    <w:p w14:paraId="27135669" w14:textId="5BA1C94B" w:rsidR="00331306" w:rsidRPr="00B568E3" w:rsidRDefault="00331306" w:rsidP="001E56DA">
      <w:pPr>
        <w:spacing w:after="240"/>
        <w:textAlignment w:val="baseline"/>
      </w:pPr>
      <w:r w:rsidRPr="00B568E3">
        <w:t xml:space="preserve">Under these circumstances, the decision should take into account the magnitude of the release, the potential for accumulation the likely receptors and the uncertainty in the assessment. </w:t>
      </w:r>
      <w:r w:rsidR="00A71424" w:rsidRPr="00B568E3">
        <w:t>However,</w:t>
      </w:r>
      <w:r w:rsidRPr="00B568E3">
        <w:t xml:space="preserve"> an increase in the release of substances whose half-life is greater than 30 days, water solubility is less than 1mg/litre or partition coefficient (log k octanol/water) is greater than 5 should be considered significant, and therefore potentially a substantial change.</w:t>
      </w:r>
    </w:p>
    <w:p w14:paraId="2BE6D017" w14:textId="77777777" w:rsidR="00331306" w:rsidRPr="001E56DA" w:rsidRDefault="00331306" w:rsidP="001E56DA">
      <w:pPr>
        <w:pStyle w:val="Heading3"/>
        <w:spacing w:after="120"/>
      </w:pPr>
      <w:bookmarkStart w:id="17" w:name="_Toc192257480"/>
      <w:r w:rsidRPr="001E56DA">
        <w:lastRenderedPageBreak/>
        <w:t>4.5</w:t>
      </w:r>
      <w:r w:rsidRPr="001E56DA">
        <w:tab/>
        <w:t>Releases of “Special Substances” (The Precautionary Principle)</w:t>
      </w:r>
      <w:bookmarkEnd w:id="17"/>
    </w:p>
    <w:p w14:paraId="50C9C2F1" w14:textId="614FE208" w:rsidR="00331306" w:rsidRPr="00B568E3" w:rsidRDefault="00331306" w:rsidP="001E56DA">
      <w:pPr>
        <w:spacing w:after="240"/>
        <w:textAlignment w:val="baseline"/>
      </w:pPr>
      <w:r w:rsidRPr="00B568E3">
        <w:t xml:space="preserve">The precautionary principle should be applied where there are concerns as to the risks arising from the release of particular substances. </w:t>
      </w:r>
      <w:r w:rsidR="00A71424" w:rsidRPr="00B568E3">
        <w:t>Any</w:t>
      </w:r>
      <w:r w:rsidRPr="00B568E3">
        <w:t xml:space="preserve"> additional releases of the substances below into the environment, other than a trivial release, would be considered a substantial change.</w:t>
      </w:r>
    </w:p>
    <w:p w14:paraId="6748876B" w14:textId="77777777" w:rsidR="00331306" w:rsidRPr="00B568E3" w:rsidRDefault="00331306" w:rsidP="00F90DDB">
      <w:pPr>
        <w:pStyle w:val="ListParagraph"/>
        <w:numPr>
          <w:ilvl w:val="0"/>
          <w:numId w:val="28"/>
        </w:numPr>
        <w:spacing w:after="240"/>
        <w:textAlignment w:val="baseline"/>
      </w:pPr>
      <w:r w:rsidRPr="00B568E3">
        <w:t>Nonylphenol</w:t>
      </w:r>
    </w:p>
    <w:p w14:paraId="647FF4FA" w14:textId="77777777" w:rsidR="00331306" w:rsidRPr="00B568E3" w:rsidRDefault="00331306" w:rsidP="00F90DDB">
      <w:pPr>
        <w:pStyle w:val="ListParagraph"/>
        <w:numPr>
          <w:ilvl w:val="0"/>
          <w:numId w:val="28"/>
        </w:numPr>
        <w:spacing w:after="240"/>
        <w:textAlignment w:val="baseline"/>
      </w:pPr>
      <w:r w:rsidRPr="00B568E3">
        <w:t>Nonylphenol ethoxylate</w:t>
      </w:r>
    </w:p>
    <w:p w14:paraId="1BE6043F" w14:textId="77777777" w:rsidR="00331306" w:rsidRPr="00B568E3" w:rsidRDefault="00331306" w:rsidP="00F90DDB">
      <w:pPr>
        <w:pStyle w:val="ListParagraph"/>
        <w:numPr>
          <w:ilvl w:val="0"/>
          <w:numId w:val="28"/>
        </w:numPr>
        <w:spacing w:after="240"/>
        <w:textAlignment w:val="baseline"/>
      </w:pPr>
      <w:r w:rsidRPr="00B568E3">
        <w:t>Octylphenol</w:t>
      </w:r>
    </w:p>
    <w:p w14:paraId="623DAE2A" w14:textId="77777777" w:rsidR="00331306" w:rsidRPr="00B568E3" w:rsidRDefault="00331306" w:rsidP="00F90DDB">
      <w:pPr>
        <w:pStyle w:val="ListParagraph"/>
        <w:numPr>
          <w:ilvl w:val="0"/>
          <w:numId w:val="28"/>
        </w:numPr>
        <w:spacing w:after="240"/>
        <w:textAlignment w:val="baseline"/>
      </w:pPr>
      <w:r w:rsidRPr="00B568E3">
        <w:t>Ocylphenol ethoxylate</w:t>
      </w:r>
    </w:p>
    <w:p w14:paraId="04BA5CE1" w14:textId="77777777" w:rsidR="00331306" w:rsidRPr="00B568E3" w:rsidRDefault="00331306" w:rsidP="00F90DDB">
      <w:pPr>
        <w:pStyle w:val="ListParagraph"/>
        <w:numPr>
          <w:ilvl w:val="0"/>
          <w:numId w:val="28"/>
        </w:numPr>
        <w:spacing w:after="240"/>
        <w:textAlignment w:val="baseline"/>
      </w:pPr>
      <w:r w:rsidRPr="00B568E3">
        <w:t>Ethinyl oestradiol</w:t>
      </w:r>
    </w:p>
    <w:p w14:paraId="7C89E645" w14:textId="77777777" w:rsidR="00331306" w:rsidRPr="00B568E3" w:rsidRDefault="00331306" w:rsidP="00F90DDB">
      <w:pPr>
        <w:pStyle w:val="ListParagraph"/>
        <w:numPr>
          <w:ilvl w:val="0"/>
          <w:numId w:val="28"/>
        </w:numPr>
        <w:spacing w:after="240"/>
        <w:textAlignment w:val="baseline"/>
      </w:pPr>
      <w:r w:rsidRPr="00B568E3">
        <w:t>17* oestradiol</w:t>
      </w:r>
    </w:p>
    <w:p w14:paraId="5153F0A8" w14:textId="77777777" w:rsidR="00331306" w:rsidRPr="00B568E3" w:rsidRDefault="00331306" w:rsidP="00F90DDB">
      <w:pPr>
        <w:pStyle w:val="ListParagraph"/>
        <w:numPr>
          <w:ilvl w:val="0"/>
          <w:numId w:val="28"/>
        </w:numPr>
        <w:spacing w:after="240"/>
        <w:textAlignment w:val="baseline"/>
      </w:pPr>
      <w:r w:rsidRPr="00B568E3">
        <w:t>Oestrone</w:t>
      </w:r>
    </w:p>
    <w:p w14:paraId="1C444628" w14:textId="77777777" w:rsidR="00331306" w:rsidRPr="00B568E3" w:rsidRDefault="00331306" w:rsidP="00F90DDB">
      <w:pPr>
        <w:pStyle w:val="ListParagraph"/>
        <w:numPr>
          <w:ilvl w:val="0"/>
          <w:numId w:val="28"/>
        </w:numPr>
        <w:spacing w:after="240"/>
        <w:textAlignment w:val="baseline"/>
      </w:pPr>
      <w:r w:rsidRPr="00B568E3">
        <w:t>Octa-, deca-, penta-, bromodiphenyl ether</w:t>
      </w:r>
    </w:p>
    <w:p w14:paraId="0244404E" w14:textId="5DCEF90B" w:rsidR="00331306" w:rsidRPr="001E56DA" w:rsidRDefault="00331306" w:rsidP="001E56DA">
      <w:pPr>
        <w:pStyle w:val="Heading3"/>
        <w:spacing w:after="120"/>
      </w:pPr>
      <w:bookmarkStart w:id="18" w:name="_Toc192257481"/>
      <w:r w:rsidRPr="001E56DA">
        <w:t>4.6</w:t>
      </w:r>
      <w:r w:rsidR="00167E46" w:rsidRPr="001E56DA">
        <w:tab/>
      </w:r>
      <w:r w:rsidRPr="001E56DA">
        <w:t>Energy Efficiency and Releases of Greenhouse Gases</w:t>
      </w:r>
      <w:bookmarkEnd w:id="18"/>
    </w:p>
    <w:p w14:paraId="0F63A6AA" w14:textId="77777777" w:rsidR="00331306" w:rsidRPr="00B568E3" w:rsidRDefault="00331306" w:rsidP="001E56DA">
      <w:pPr>
        <w:spacing w:after="240"/>
        <w:textAlignment w:val="baseline"/>
      </w:pPr>
      <w:r w:rsidRPr="00B568E3">
        <w:t>Energy efficiency is unlikely to be an issue that will give rise to considerations of substantial change particularly where the site is covered by a climate change agreement.</w:t>
      </w:r>
    </w:p>
    <w:p w14:paraId="7CFD6F52" w14:textId="79F83D46" w:rsidR="00331306" w:rsidRPr="00B568E3" w:rsidRDefault="00331306" w:rsidP="001E56DA">
      <w:pPr>
        <w:spacing w:after="240"/>
        <w:textAlignment w:val="baseline"/>
      </w:pPr>
      <w:r w:rsidRPr="00B568E3">
        <w:t xml:space="preserve">However, any increased release of greenhouse gases arising from an installation (carbon dioxide, methane, nitrous oxide, hydrofluorocarbons, perfluorocarbons and sulphur hexafluoride) should be considered. The Government has set a target for reductions in greenhouse gas emissions to </w:t>
      </w:r>
      <w:r w:rsidR="009241E9" w:rsidRPr="00B568E3">
        <w:t>81%</w:t>
      </w:r>
      <w:r w:rsidRPr="00B568E3">
        <w:t xml:space="preserve"> below 1990 levels by 20</w:t>
      </w:r>
      <w:r w:rsidR="00094CFC" w:rsidRPr="00B568E3">
        <w:t>35</w:t>
      </w:r>
      <w:r w:rsidRPr="00B568E3">
        <w:t>. In principle, emissions of these pollutants from industrial processes should be reducing with time.</w:t>
      </w:r>
    </w:p>
    <w:p w14:paraId="2ECFD3EB" w14:textId="77777777" w:rsidR="006F3444" w:rsidRPr="00B568E3" w:rsidRDefault="006F3444" w:rsidP="001E56DA">
      <w:pPr>
        <w:spacing w:after="240"/>
        <w:textAlignment w:val="baseline"/>
      </w:pPr>
      <w:r w:rsidRPr="00B568E3">
        <w:t>The greenhouse potential of a range of gasses can be converted into CO2-equivalent, using the global warming potential factors given in Annex H of UK technical guidance IPPC H1.</w:t>
      </w:r>
    </w:p>
    <w:p w14:paraId="40504ED1" w14:textId="77777777" w:rsidR="00331306" w:rsidRPr="001E56DA" w:rsidRDefault="00331306" w:rsidP="001E56DA">
      <w:pPr>
        <w:pStyle w:val="Heading3"/>
        <w:spacing w:after="120"/>
      </w:pPr>
      <w:bookmarkStart w:id="19" w:name="_Toc192257482"/>
      <w:r w:rsidRPr="001E56DA">
        <w:t>4.7</w:t>
      </w:r>
      <w:r w:rsidRPr="001E56DA">
        <w:tab/>
        <w:t>Releases of Substances that Deplete the Ozone Layer</w:t>
      </w:r>
      <w:bookmarkEnd w:id="19"/>
    </w:p>
    <w:p w14:paraId="63EC6FB5" w14:textId="77777777" w:rsidR="00331306" w:rsidRPr="00B568E3" w:rsidRDefault="00331306" w:rsidP="001E56DA">
      <w:pPr>
        <w:spacing w:after="240"/>
        <w:textAlignment w:val="baseline"/>
      </w:pPr>
      <w:r w:rsidRPr="00B568E3">
        <w:t>Depletion of stratospheric ozone is caused by chemicals containing chlorine and bromine such as chlorofluorocarbons (CFCs), hydrochlorofluorocarbons (HCFCs), carbon tetrachloride, 1,1,1-trichloroethane, halons and methyl bromide. International agreements will eventually lead to the phasing out of these substances, with some exemptions for essential uses.</w:t>
      </w:r>
    </w:p>
    <w:p w14:paraId="00864D0C" w14:textId="77777777" w:rsidR="00331306" w:rsidRPr="00B568E3" w:rsidRDefault="00331306" w:rsidP="001E56DA">
      <w:pPr>
        <w:spacing w:after="240"/>
        <w:textAlignment w:val="baseline"/>
      </w:pPr>
      <w:r w:rsidRPr="00B568E3">
        <w:lastRenderedPageBreak/>
        <w:t>Any change that has the potential to lead to additional releases greater than 100kg/year, expressed as CFC-11, should be considered substantial. This relates to any year, not just the first year after the change. For substances other than CFC-11, conversion factors are given in Regulation (EC) No 2037/2000 of the European Parliament and of the council on substances that deplete the ozone layer.</w:t>
      </w:r>
    </w:p>
    <w:p w14:paraId="3B46741E" w14:textId="77777777" w:rsidR="00331306" w:rsidRPr="001E56DA" w:rsidRDefault="00331306" w:rsidP="001E56DA">
      <w:pPr>
        <w:pStyle w:val="Heading3"/>
        <w:spacing w:after="120"/>
      </w:pPr>
      <w:bookmarkStart w:id="20" w:name="_Toc192257483"/>
      <w:r w:rsidRPr="001E56DA">
        <w:t>4.8</w:t>
      </w:r>
      <w:r w:rsidRPr="001E56DA">
        <w:tab/>
        <w:t>Releases of Substances Causing Low Level Ozone Formation</w:t>
      </w:r>
      <w:bookmarkEnd w:id="20"/>
    </w:p>
    <w:p w14:paraId="18E16391" w14:textId="77777777" w:rsidR="00331306" w:rsidRPr="00B568E3" w:rsidRDefault="00331306" w:rsidP="001E56DA">
      <w:pPr>
        <w:spacing w:after="240"/>
        <w:textAlignment w:val="baseline"/>
      </w:pPr>
      <w:r w:rsidRPr="00B568E3">
        <w:t>Ground level ozone forms as a result of the interaction between sunlight, hydrocarbons, and nitrogen species. The extent of ozone formation will depend on the air quality, the mixture of hydrocarbons, time of year or day. Ideally, detailed modelling would be undertaken however where this is unavailable you may be able to use the Photochemical Ozone Creation Potential (POCP) values.</w:t>
      </w:r>
    </w:p>
    <w:p w14:paraId="19B56741" w14:textId="12971651" w:rsidR="00331306" w:rsidRPr="00B568E3" w:rsidRDefault="00331306" w:rsidP="001E56DA">
      <w:pPr>
        <w:spacing w:after="240"/>
        <w:textAlignment w:val="baseline"/>
      </w:pPr>
      <w:r w:rsidRPr="00B568E3">
        <w:t xml:space="preserve">Based on modelling undertaken by the Met Office, release rates likely to give rise to ground level ozone concentrations approximately equivalent to 20% of the Expert Panel Air Quality Standards (50ppb ozone as an 8-hour rolling average) have been calculated for representative substances in each category. These are given </w:t>
      </w:r>
      <w:r w:rsidR="00B164AF">
        <w:t>in Table 2 overleaf</w:t>
      </w:r>
      <w:r w:rsidRPr="00B568E3">
        <w:t>:</w:t>
      </w:r>
    </w:p>
    <w:p w14:paraId="5F46D738" w14:textId="77777777" w:rsidR="00331306" w:rsidRDefault="00331306" w:rsidP="001E56DA">
      <w:pPr>
        <w:spacing w:after="240"/>
        <w:textAlignment w:val="baseline"/>
      </w:pPr>
      <w:r w:rsidRPr="00B568E3">
        <w:t>If the change in the release rate is greater than that shown in the second column, then the change will normally be regarded as substantial. Where a mixture of hydrocarbons released, the proportional contribution of each hydrocarbon should be calculated for both the 20% criteria and the proportions summed.</w:t>
      </w:r>
    </w:p>
    <w:p w14:paraId="78D3D4E8" w14:textId="77777777" w:rsidR="00B164AF" w:rsidRDefault="00B164AF" w:rsidP="001E56DA">
      <w:pPr>
        <w:spacing w:after="240"/>
        <w:textAlignment w:val="baseline"/>
      </w:pPr>
    </w:p>
    <w:p w14:paraId="7EC6419E" w14:textId="77777777" w:rsidR="00B164AF" w:rsidRDefault="00B164AF" w:rsidP="001E56DA">
      <w:pPr>
        <w:spacing w:after="240"/>
        <w:textAlignment w:val="baseline"/>
      </w:pPr>
    </w:p>
    <w:p w14:paraId="4F634C59" w14:textId="77777777" w:rsidR="00B164AF" w:rsidRDefault="00B164AF" w:rsidP="001E56DA">
      <w:pPr>
        <w:spacing w:after="240"/>
        <w:textAlignment w:val="baseline"/>
      </w:pPr>
    </w:p>
    <w:p w14:paraId="2F002333" w14:textId="77777777" w:rsidR="00B164AF" w:rsidRDefault="00B164AF" w:rsidP="001E56DA">
      <w:pPr>
        <w:spacing w:after="240"/>
        <w:textAlignment w:val="baseline"/>
      </w:pPr>
    </w:p>
    <w:p w14:paraId="19E58C51" w14:textId="77777777" w:rsidR="00B164AF" w:rsidRDefault="00B164AF" w:rsidP="001E56DA">
      <w:pPr>
        <w:spacing w:after="240"/>
        <w:textAlignment w:val="baseline"/>
      </w:pPr>
    </w:p>
    <w:p w14:paraId="63EC40F6" w14:textId="77777777" w:rsidR="00B164AF" w:rsidRDefault="00B164AF" w:rsidP="001E56DA">
      <w:pPr>
        <w:spacing w:after="240"/>
        <w:textAlignment w:val="baseline"/>
      </w:pPr>
    </w:p>
    <w:p w14:paraId="7DB0568D" w14:textId="77777777" w:rsidR="00B164AF" w:rsidRDefault="00B164AF" w:rsidP="001E56DA">
      <w:pPr>
        <w:spacing w:after="240"/>
        <w:textAlignment w:val="baseline"/>
      </w:pPr>
    </w:p>
    <w:p w14:paraId="306A3881" w14:textId="24DEDEE0" w:rsidR="00B164AF" w:rsidRPr="00B164AF" w:rsidRDefault="00B164AF" w:rsidP="001E56DA">
      <w:pPr>
        <w:spacing w:after="240"/>
        <w:textAlignment w:val="baseline"/>
        <w:rPr>
          <w:b/>
          <w:bCs/>
        </w:rPr>
      </w:pPr>
      <w:r w:rsidRPr="00B164AF">
        <w:rPr>
          <w:b/>
          <w:bCs/>
        </w:rPr>
        <w:lastRenderedPageBreak/>
        <w:t>Table 2 POCP value and their release rate equivalent</w:t>
      </w:r>
    </w:p>
    <w:tbl>
      <w:tblPr>
        <w:tblW w:w="0" w:type="auto"/>
        <w:tblInd w:w="19" w:type="dxa"/>
        <w:tblCellMar>
          <w:left w:w="0" w:type="dxa"/>
          <w:right w:w="0" w:type="dxa"/>
        </w:tblCellMar>
        <w:tblLook w:val="04A0" w:firstRow="1" w:lastRow="0" w:firstColumn="1" w:lastColumn="0" w:noHBand="0" w:noVBand="1"/>
        <w:tblDescription w:val="This table shows the POCP value in column 1 and column 2 shows the change in release rate equivalent to 20% of the EPAQS criteria, which would indicate a substantial variation."/>
      </w:tblPr>
      <w:tblGrid>
        <w:gridCol w:w="2675"/>
        <w:gridCol w:w="4126"/>
      </w:tblGrid>
      <w:tr w:rsidR="00331306" w:rsidRPr="00331306" w14:paraId="34334C2A" w14:textId="77777777" w:rsidTr="007D5ACA">
        <w:trPr>
          <w:trHeight w:hRule="exact" w:val="835"/>
        </w:trPr>
        <w:tc>
          <w:tcPr>
            <w:tcW w:w="2675" w:type="dxa"/>
            <w:tcBorders>
              <w:top w:val="single" w:sz="7" w:space="0" w:color="000000"/>
              <w:left w:val="single" w:sz="7" w:space="0" w:color="000000"/>
              <w:bottom w:val="single" w:sz="7" w:space="0" w:color="000000"/>
              <w:right w:val="single" w:sz="7" w:space="0" w:color="000000"/>
            </w:tcBorders>
            <w:shd w:val="clear" w:color="auto" w:fill="016574" w:themeFill="accent1"/>
            <w:vAlign w:val="center"/>
          </w:tcPr>
          <w:p w14:paraId="28419D61" w14:textId="77777777" w:rsidR="00331306" w:rsidRPr="000E1D16" w:rsidRDefault="00331306" w:rsidP="000E1D16">
            <w:pPr>
              <w:spacing w:before="120" w:after="120" w:line="276" w:lineRule="auto"/>
              <w:jc w:val="center"/>
              <w:rPr>
                <w:rFonts w:ascii="Arial" w:eastAsia="Times New Roman" w:hAnsi="Arial" w:cs="Arial"/>
                <w:b/>
                <w:bCs/>
                <w:color w:val="FFFFFF"/>
                <w:lang w:eastAsia="en-GB"/>
              </w:rPr>
            </w:pPr>
            <w:r w:rsidRPr="000E1D16">
              <w:rPr>
                <w:rFonts w:ascii="Arial" w:eastAsia="Times New Roman" w:hAnsi="Arial" w:cs="Arial"/>
                <w:b/>
                <w:bCs/>
                <w:color w:val="FFFFFF"/>
                <w:lang w:eastAsia="en-GB"/>
              </w:rPr>
              <w:t>POCP value</w:t>
            </w:r>
          </w:p>
        </w:tc>
        <w:tc>
          <w:tcPr>
            <w:tcW w:w="0" w:type="auto"/>
            <w:tcBorders>
              <w:top w:val="single" w:sz="7" w:space="0" w:color="000000"/>
              <w:left w:val="single" w:sz="7" w:space="0" w:color="000000"/>
              <w:bottom w:val="single" w:sz="7" w:space="0" w:color="000000"/>
              <w:right w:val="single" w:sz="7" w:space="0" w:color="000000"/>
            </w:tcBorders>
            <w:shd w:val="clear" w:color="auto" w:fill="016574" w:themeFill="accent1"/>
          </w:tcPr>
          <w:p w14:paraId="783F6C86" w14:textId="77777777" w:rsidR="00331306" w:rsidRPr="000E1D16" w:rsidRDefault="00331306" w:rsidP="000E1D16">
            <w:pPr>
              <w:spacing w:before="120" w:after="120" w:line="276" w:lineRule="auto"/>
              <w:jc w:val="center"/>
              <w:rPr>
                <w:rFonts w:ascii="Arial" w:eastAsia="Times New Roman" w:hAnsi="Arial" w:cs="Arial"/>
                <w:b/>
                <w:bCs/>
                <w:color w:val="FFFFFF"/>
                <w:lang w:eastAsia="en-GB"/>
              </w:rPr>
            </w:pPr>
            <w:r w:rsidRPr="000E1D16">
              <w:rPr>
                <w:rFonts w:ascii="Arial" w:eastAsia="Times New Roman" w:hAnsi="Arial" w:cs="Arial"/>
                <w:b/>
                <w:bCs/>
                <w:color w:val="FFFFFF"/>
                <w:lang w:eastAsia="en-GB"/>
              </w:rPr>
              <w:t xml:space="preserve">Change in release rate equivalent to </w:t>
            </w:r>
            <w:r w:rsidRPr="000E1D16">
              <w:rPr>
                <w:rFonts w:ascii="Arial" w:eastAsia="Times New Roman" w:hAnsi="Arial" w:cs="Arial"/>
                <w:b/>
                <w:bCs/>
                <w:color w:val="FFFFFF"/>
                <w:lang w:eastAsia="en-GB"/>
              </w:rPr>
              <w:br/>
              <w:t>20% of EPAQS criteria (t/hr)</w:t>
            </w:r>
          </w:p>
        </w:tc>
      </w:tr>
      <w:tr w:rsidR="00331306" w:rsidRPr="00331306" w14:paraId="64DCA33D" w14:textId="77777777" w:rsidTr="007D5ACA">
        <w:trPr>
          <w:trHeight w:hRule="exact" w:val="489"/>
        </w:trPr>
        <w:tc>
          <w:tcPr>
            <w:tcW w:w="2675" w:type="dxa"/>
            <w:tcBorders>
              <w:top w:val="single" w:sz="7" w:space="0" w:color="000000"/>
              <w:left w:val="single" w:sz="7" w:space="0" w:color="000000"/>
              <w:bottom w:val="single" w:sz="7" w:space="0" w:color="000000"/>
              <w:right w:val="single" w:sz="7" w:space="0" w:color="000000"/>
            </w:tcBorders>
            <w:vAlign w:val="center"/>
          </w:tcPr>
          <w:p w14:paraId="2EFDA7EC" w14:textId="77777777" w:rsidR="00331306" w:rsidRPr="00B568E3" w:rsidRDefault="00331306" w:rsidP="001E56DA">
            <w:pPr>
              <w:spacing w:after="240"/>
              <w:textAlignment w:val="baseline"/>
            </w:pPr>
            <w:r w:rsidRPr="00B568E3">
              <w:t>&gt;100</w:t>
            </w:r>
          </w:p>
        </w:tc>
        <w:tc>
          <w:tcPr>
            <w:tcW w:w="0" w:type="auto"/>
            <w:tcBorders>
              <w:top w:val="single" w:sz="7" w:space="0" w:color="000000"/>
              <w:left w:val="single" w:sz="7" w:space="0" w:color="000000"/>
              <w:bottom w:val="single" w:sz="7" w:space="0" w:color="000000"/>
              <w:right w:val="single" w:sz="7" w:space="0" w:color="000000"/>
            </w:tcBorders>
            <w:vAlign w:val="center"/>
          </w:tcPr>
          <w:p w14:paraId="541FD935" w14:textId="77777777" w:rsidR="00331306" w:rsidRPr="00B568E3" w:rsidRDefault="00331306" w:rsidP="001E56DA">
            <w:pPr>
              <w:spacing w:after="240"/>
              <w:textAlignment w:val="baseline"/>
            </w:pPr>
            <w:r w:rsidRPr="00B568E3">
              <w:t>3</w:t>
            </w:r>
          </w:p>
        </w:tc>
      </w:tr>
      <w:tr w:rsidR="00331306" w:rsidRPr="00331306" w14:paraId="49DC44A9" w14:textId="77777777" w:rsidTr="007D5ACA">
        <w:trPr>
          <w:trHeight w:hRule="exact" w:val="582"/>
        </w:trPr>
        <w:tc>
          <w:tcPr>
            <w:tcW w:w="2675" w:type="dxa"/>
            <w:tcBorders>
              <w:top w:val="single" w:sz="7" w:space="0" w:color="000000"/>
              <w:left w:val="single" w:sz="7" w:space="0" w:color="000000"/>
              <w:bottom w:val="single" w:sz="7" w:space="0" w:color="000000"/>
              <w:right w:val="single" w:sz="7" w:space="0" w:color="000000"/>
            </w:tcBorders>
            <w:vAlign w:val="center"/>
          </w:tcPr>
          <w:p w14:paraId="7F6F44F5" w14:textId="77777777" w:rsidR="00331306" w:rsidRPr="00B568E3" w:rsidRDefault="00331306" w:rsidP="001E56DA">
            <w:pPr>
              <w:spacing w:after="240"/>
              <w:textAlignment w:val="baseline"/>
            </w:pPr>
            <w:r w:rsidRPr="00B568E3">
              <w:t>&lt;100-80</w:t>
            </w:r>
          </w:p>
        </w:tc>
        <w:tc>
          <w:tcPr>
            <w:tcW w:w="0" w:type="auto"/>
            <w:tcBorders>
              <w:top w:val="single" w:sz="7" w:space="0" w:color="000000"/>
              <w:left w:val="single" w:sz="7" w:space="0" w:color="000000"/>
              <w:bottom w:val="single" w:sz="7" w:space="0" w:color="000000"/>
              <w:right w:val="single" w:sz="7" w:space="0" w:color="000000"/>
            </w:tcBorders>
            <w:vAlign w:val="center"/>
          </w:tcPr>
          <w:p w14:paraId="6AB55720" w14:textId="77777777" w:rsidR="00331306" w:rsidRPr="00B568E3" w:rsidRDefault="00331306" w:rsidP="001E56DA">
            <w:pPr>
              <w:spacing w:after="240"/>
              <w:textAlignment w:val="baseline"/>
            </w:pPr>
            <w:r w:rsidRPr="00B568E3">
              <w:t>5</w:t>
            </w:r>
          </w:p>
        </w:tc>
      </w:tr>
      <w:tr w:rsidR="00331306" w:rsidRPr="00331306" w14:paraId="489E0147" w14:textId="77777777" w:rsidTr="007D5ACA">
        <w:trPr>
          <w:trHeight w:hRule="exact" w:val="562"/>
        </w:trPr>
        <w:tc>
          <w:tcPr>
            <w:tcW w:w="2675" w:type="dxa"/>
            <w:tcBorders>
              <w:top w:val="single" w:sz="7" w:space="0" w:color="000000"/>
              <w:left w:val="single" w:sz="7" w:space="0" w:color="000000"/>
              <w:bottom w:val="single" w:sz="7" w:space="0" w:color="000000"/>
              <w:right w:val="single" w:sz="7" w:space="0" w:color="000000"/>
            </w:tcBorders>
            <w:vAlign w:val="center"/>
          </w:tcPr>
          <w:p w14:paraId="2242DFAA" w14:textId="77777777" w:rsidR="00331306" w:rsidRPr="00B568E3" w:rsidRDefault="00331306" w:rsidP="001E56DA">
            <w:pPr>
              <w:spacing w:after="240"/>
              <w:textAlignment w:val="baseline"/>
            </w:pPr>
            <w:r w:rsidRPr="00B568E3">
              <w:t>&lt;80-75</w:t>
            </w:r>
          </w:p>
        </w:tc>
        <w:tc>
          <w:tcPr>
            <w:tcW w:w="0" w:type="auto"/>
            <w:tcBorders>
              <w:top w:val="single" w:sz="7" w:space="0" w:color="000000"/>
              <w:left w:val="single" w:sz="7" w:space="0" w:color="000000"/>
              <w:bottom w:val="single" w:sz="7" w:space="0" w:color="000000"/>
              <w:right w:val="single" w:sz="7" w:space="0" w:color="000000"/>
            </w:tcBorders>
            <w:vAlign w:val="center"/>
          </w:tcPr>
          <w:p w14:paraId="7A8B2F2E" w14:textId="77777777" w:rsidR="00331306" w:rsidRPr="00B568E3" w:rsidRDefault="00331306" w:rsidP="001E56DA">
            <w:pPr>
              <w:spacing w:after="240"/>
              <w:textAlignment w:val="baseline"/>
            </w:pPr>
            <w:r w:rsidRPr="00B568E3">
              <w:t>7</w:t>
            </w:r>
          </w:p>
        </w:tc>
      </w:tr>
      <w:tr w:rsidR="00331306" w:rsidRPr="00331306" w14:paraId="15130CAB" w14:textId="77777777" w:rsidTr="007D5ACA">
        <w:trPr>
          <w:trHeight w:hRule="exact" w:val="570"/>
        </w:trPr>
        <w:tc>
          <w:tcPr>
            <w:tcW w:w="2675" w:type="dxa"/>
            <w:tcBorders>
              <w:top w:val="single" w:sz="7" w:space="0" w:color="000000"/>
              <w:left w:val="single" w:sz="7" w:space="0" w:color="000000"/>
              <w:bottom w:val="single" w:sz="7" w:space="0" w:color="000000"/>
              <w:right w:val="single" w:sz="7" w:space="0" w:color="000000"/>
            </w:tcBorders>
            <w:vAlign w:val="center"/>
          </w:tcPr>
          <w:p w14:paraId="70A3ED83" w14:textId="77777777" w:rsidR="00331306" w:rsidRPr="00B568E3" w:rsidRDefault="00331306" w:rsidP="001E56DA">
            <w:pPr>
              <w:spacing w:after="240"/>
              <w:textAlignment w:val="baseline"/>
            </w:pPr>
            <w:r w:rsidRPr="00B568E3">
              <w:t>&lt;75-65</w:t>
            </w:r>
          </w:p>
        </w:tc>
        <w:tc>
          <w:tcPr>
            <w:tcW w:w="0" w:type="auto"/>
            <w:tcBorders>
              <w:top w:val="single" w:sz="7" w:space="0" w:color="000000"/>
              <w:left w:val="single" w:sz="7" w:space="0" w:color="000000"/>
              <w:bottom w:val="single" w:sz="7" w:space="0" w:color="000000"/>
              <w:right w:val="single" w:sz="7" w:space="0" w:color="000000"/>
            </w:tcBorders>
            <w:vAlign w:val="center"/>
          </w:tcPr>
          <w:p w14:paraId="5BDBA9EF" w14:textId="77777777" w:rsidR="00331306" w:rsidRPr="00B568E3" w:rsidRDefault="00331306" w:rsidP="001E56DA">
            <w:pPr>
              <w:spacing w:after="240"/>
              <w:textAlignment w:val="baseline"/>
            </w:pPr>
            <w:r w:rsidRPr="00B568E3">
              <w:t>14</w:t>
            </w:r>
          </w:p>
        </w:tc>
      </w:tr>
      <w:tr w:rsidR="00331306" w:rsidRPr="00331306" w14:paraId="00FAD1D0" w14:textId="77777777" w:rsidTr="007D5ACA">
        <w:trPr>
          <w:trHeight w:hRule="exact" w:val="671"/>
        </w:trPr>
        <w:tc>
          <w:tcPr>
            <w:tcW w:w="2675" w:type="dxa"/>
            <w:tcBorders>
              <w:top w:val="single" w:sz="7" w:space="0" w:color="000000"/>
              <w:left w:val="single" w:sz="7" w:space="0" w:color="000000"/>
              <w:bottom w:val="single" w:sz="7" w:space="0" w:color="000000"/>
              <w:right w:val="single" w:sz="7" w:space="0" w:color="000000"/>
            </w:tcBorders>
            <w:vAlign w:val="center"/>
          </w:tcPr>
          <w:p w14:paraId="16D9C39B" w14:textId="77777777" w:rsidR="00331306" w:rsidRPr="00B568E3" w:rsidRDefault="00331306" w:rsidP="001E56DA">
            <w:pPr>
              <w:spacing w:after="240"/>
              <w:textAlignment w:val="baseline"/>
            </w:pPr>
            <w:r w:rsidRPr="00B568E3">
              <w:t>&lt;65-60</w:t>
            </w:r>
          </w:p>
        </w:tc>
        <w:tc>
          <w:tcPr>
            <w:tcW w:w="0" w:type="auto"/>
            <w:tcBorders>
              <w:top w:val="single" w:sz="7" w:space="0" w:color="000000"/>
              <w:left w:val="single" w:sz="7" w:space="0" w:color="000000"/>
              <w:bottom w:val="single" w:sz="7" w:space="0" w:color="000000"/>
              <w:right w:val="single" w:sz="7" w:space="0" w:color="000000"/>
            </w:tcBorders>
            <w:vAlign w:val="center"/>
          </w:tcPr>
          <w:p w14:paraId="3B31CFB9" w14:textId="77777777" w:rsidR="00331306" w:rsidRPr="00B568E3" w:rsidRDefault="00331306" w:rsidP="001E56DA">
            <w:pPr>
              <w:spacing w:after="240"/>
              <w:textAlignment w:val="baseline"/>
            </w:pPr>
            <w:r w:rsidRPr="00B568E3">
              <w:t>26</w:t>
            </w:r>
          </w:p>
        </w:tc>
      </w:tr>
      <w:tr w:rsidR="00331306" w:rsidRPr="00331306" w14:paraId="177DB52C" w14:textId="77777777" w:rsidTr="007D5ACA">
        <w:trPr>
          <w:trHeight w:hRule="exact" w:val="698"/>
        </w:trPr>
        <w:tc>
          <w:tcPr>
            <w:tcW w:w="2675" w:type="dxa"/>
            <w:tcBorders>
              <w:top w:val="single" w:sz="7" w:space="0" w:color="000000"/>
              <w:left w:val="single" w:sz="7" w:space="0" w:color="000000"/>
              <w:bottom w:val="single" w:sz="7" w:space="0" w:color="000000"/>
              <w:right w:val="single" w:sz="7" w:space="0" w:color="000000"/>
            </w:tcBorders>
            <w:vAlign w:val="center"/>
          </w:tcPr>
          <w:p w14:paraId="314FD7BA" w14:textId="77777777" w:rsidR="00331306" w:rsidRPr="00B568E3" w:rsidRDefault="00331306" w:rsidP="001E56DA">
            <w:pPr>
              <w:spacing w:after="240"/>
              <w:textAlignment w:val="baseline"/>
            </w:pPr>
            <w:r w:rsidRPr="00B568E3">
              <w:t>&lt;60-30</w:t>
            </w:r>
          </w:p>
        </w:tc>
        <w:tc>
          <w:tcPr>
            <w:tcW w:w="0" w:type="auto"/>
            <w:tcBorders>
              <w:top w:val="single" w:sz="7" w:space="0" w:color="000000"/>
              <w:left w:val="single" w:sz="7" w:space="0" w:color="000000"/>
              <w:bottom w:val="single" w:sz="7" w:space="0" w:color="000000"/>
              <w:right w:val="single" w:sz="7" w:space="0" w:color="000000"/>
            </w:tcBorders>
            <w:vAlign w:val="center"/>
          </w:tcPr>
          <w:p w14:paraId="5F13D921" w14:textId="77777777" w:rsidR="00331306" w:rsidRPr="00B568E3" w:rsidRDefault="00331306" w:rsidP="001E56DA">
            <w:pPr>
              <w:spacing w:after="240"/>
              <w:textAlignment w:val="baseline"/>
            </w:pPr>
            <w:r w:rsidRPr="00B568E3">
              <w:t>41</w:t>
            </w:r>
          </w:p>
        </w:tc>
      </w:tr>
      <w:tr w:rsidR="00331306" w:rsidRPr="00331306" w14:paraId="669543BC" w14:textId="77777777" w:rsidTr="007D5ACA">
        <w:trPr>
          <w:trHeight w:hRule="exact" w:val="580"/>
        </w:trPr>
        <w:tc>
          <w:tcPr>
            <w:tcW w:w="2675" w:type="dxa"/>
            <w:tcBorders>
              <w:top w:val="single" w:sz="7" w:space="0" w:color="000000"/>
              <w:left w:val="single" w:sz="7" w:space="0" w:color="000000"/>
              <w:bottom w:val="single" w:sz="7" w:space="0" w:color="000000"/>
              <w:right w:val="single" w:sz="7" w:space="0" w:color="000000"/>
            </w:tcBorders>
            <w:vAlign w:val="center"/>
          </w:tcPr>
          <w:p w14:paraId="4C9C239D" w14:textId="77777777" w:rsidR="00331306" w:rsidRPr="00B568E3" w:rsidRDefault="00331306" w:rsidP="001E56DA">
            <w:pPr>
              <w:spacing w:after="240"/>
              <w:textAlignment w:val="baseline"/>
            </w:pPr>
            <w:r w:rsidRPr="00B568E3">
              <w:t>&lt;30-14</w:t>
            </w:r>
          </w:p>
        </w:tc>
        <w:tc>
          <w:tcPr>
            <w:tcW w:w="0" w:type="auto"/>
            <w:tcBorders>
              <w:top w:val="single" w:sz="7" w:space="0" w:color="000000"/>
              <w:left w:val="single" w:sz="7" w:space="0" w:color="000000"/>
              <w:bottom w:val="single" w:sz="7" w:space="0" w:color="000000"/>
              <w:right w:val="single" w:sz="7" w:space="0" w:color="000000"/>
            </w:tcBorders>
            <w:vAlign w:val="center"/>
          </w:tcPr>
          <w:p w14:paraId="1D0F1494" w14:textId="77777777" w:rsidR="00331306" w:rsidRPr="00B568E3" w:rsidRDefault="00331306" w:rsidP="001E56DA">
            <w:pPr>
              <w:spacing w:after="240"/>
              <w:textAlignment w:val="baseline"/>
            </w:pPr>
            <w:r w:rsidRPr="00B568E3">
              <w:t>55</w:t>
            </w:r>
          </w:p>
        </w:tc>
      </w:tr>
      <w:tr w:rsidR="00331306" w:rsidRPr="00331306" w14:paraId="349CE857" w14:textId="77777777" w:rsidTr="007D5ACA">
        <w:trPr>
          <w:trHeight w:hRule="exact" w:val="559"/>
        </w:trPr>
        <w:tc>
          <w:tcPr>
            <w:tcW w:w="2675" w:type="dxa"/>
            <w:tcBorders>
              <w:top w:val="single" w:sz="7" w:space="0" w:color="000000"/>
              <w:left w:val="single" w:sz="7" w:space="0" w:color="000000"/>
              <w:bottom w:val="single" w:sz="7" w:space="0" w:color="000000"/>
              <w:right w:val="single" w:sz="7" w:space="0" w:color="000000"/>
            </w:tcBorders>
            <w:vAlign w:val="center"/>
          </w:tcPr>
          <w:p w14:paraId="07547890" w14:textId="77777777" w:rsidR="00331306" w:rsidRPr="00B568E3" w:rsidRDefault="00331306" w:rsidP="001E56DA">
            <w:pPr>
              <w:spacing w:after="240"/>
              <w:textAlignment w:val="baseline"/>
            </w:pPr>
            <w:r w:rsidRPr="00B568E3">
              <w:t>&lt;14 (Category B VOCs)</w:t>
            </w:r>
          </w:p>
        </w:tc>
        <w:tc>
          <w:tcPr>
            <w:tcW w:w="0" w:type="auto"/>
            <w:tcBorders>
              <w:top w:val="single" w:sz="7" w:space="0" w:color="000000"/>
              <w:left w:val="single" w:sz="7" w:space="0" w:color="000000"/>
              <w:bottom w:val="single" w:sz="7" w:space="0" w:color="000000"/>
              <w:right w:val="single" w:sz="7" w:space="0" w:color="000000"/>
            </w:tcBorders>
            <w:vAlign w:val="center"/>
          </w:tcPr>
          <w:p w14:paraId="4EA1EA0E" w14:textId="77777777" w:rsidR="00331306" w:rsidRPr="00B568E3" w:rsidRDefault="00331306" w:rsidP="001E56DA">
            <w:pPr>
              <w:spacing w:after="240"/>
              <w:textAlignment w:val="baseline"/>
            </w:pPr>
            <w:r w:rsidRPr="00B568E3">
              <w:t>126</w:t>
            </w:r>
          </w:p>
        </w:tc>
      </w:tr>
    </w:tbl>
    <w:p w14:paraId="68FB11F5" w14:textId="77777777" w:rsidR="001E56DA" w:rsidRDefault="001E56DA" w:rsidP="001E56DA">
      <w:pPr>
        <w:spacing w:after="240"/>
        <w:textAlignment w:val="baseline"/>
        <w:rPr>
          <w:rFonts w:asciiTheme="majorHAnsi" w:eastAsiaTheme="majorEastAsia" w:hAnsiTheme="majorHAnsi" w:cstheme="majorBidi"/>
          <w:b/>
          <w:sz w:val="28"/>
        </w:rPr>
      </w:pPr>
    </w:p>
    <w:p w14:paraId="05815654" w14:textId="635C5A24" w:rsidR="00331306" w:rsidRPr="001E56DA" w:rsidRDefault="00331306" w:rsidP="001E56DA">
      <w:pPr>
        <w:pStyle w:val="Heading3"/>
        <w:spacing w:after="120"/>
      </w:pPr>
      <w:bookmarkStart w:id="21" w:name="_Toc192257484"/>
      <w:r w:rsidRPr="001E56DA">
        <w:t>4.9</w:t>
      </w:r>
      <w:r w:rsidRPr="001E56DA">
        <w:tab/>
        <w:t>Effects of Releases on Visual Amenity</w:t>
      </w:r>
      <w:bookmarkEnd w:id="21"/>
    </w:p>
    <w:p w14:paraId="4DD98A2B" w14:textId="4CAD8479" w:rsidR="00331306" w:rsidRPr="00B568E3" w:rsidRDefault="00331306" w:rsidP="001E56DA">
      <w:pPr>
        <w:spacing w:after="240"/>
        <w:textAlignment w:val="baseline"/>
      </w:pPr>
      <w:r w:rsidRPr="00B568E3">
        <w:t xml:space="preserve">Visual amenity of the installation itself is not an issue for </w:t>
      </w:r>
      <w:r w:rsidR="00BC210C" w:rsidRPr="00B568E3">
        <w:t>EASR</w:t>
      </w:r>
      <w:r w:rsidRPr="00B568E3">
        <w:t xml:space="preserve">. The effects of polluting emissions, however, are a </w:t>
      </w:r>
      <w:r w:rsidR="00BC210C" w:rsidRPr="00B568E3">
        <w:t xml:space="preserve">EASR </w:t>
      </w:r>
      <w:r w:rsidRPr="00B568E3">
        <w:t>issue. For example, the appearance of any dispersed plume in air or water (e</w:t>
      </w:r>
      <w:r w:rsidR="000E1D16">
        <w:t>.</w:t>
      </w:r>
      <w:r w:rsidRPr="00B568E3">
        <w:t>g</w:t>
      </w:r>
      <w:r w:rsidR="000E1D16">
        <w:t>.</w:t>
      </w:r>
      <w:r w:rsidRPr="00B568E3">
        <w:t xml:space="preserve"> dyes) will be relevant. An emission which causes offence to man’s senses should be considered. Any interactive effects of the new or altered plume with other plumes should also be considered.</w:t>
      </w:r>
    </w:p>
    <w:p w14:paraId="2D966031" w14:textId="578F6EA4" w:rsidR="00331306" w:rsidRPr="00331306" w:rsidRDefault="00331306" w:rsidP="001E56DA">
      <w:pPr>
        <w:pStyle w:val="Heading3"/>
        <w:spacing w:after="120"/>
      </w:pPr>
      <w:bookmarkStart w:id="22" w:name="_Toc192257485"/>
      <w:r w:rsidRPr="00B568E3">
        <w:t>4.10</w:t>
      </w:r>
      <w:r w:rsidR="00167E46" w:rsidRPr="00B568E3">
        <w:tab/>
      </w:r>
      <w:r w:rsidRPr="00B568E3">
        <w:t>Odour Effects of Releases</w:t>
      </w:r>
      <w:bookmarkEnd w:id="22"/>
    </w:p>
    <w:p w14:paraId="7CF4F46A" w14:textId="77777777" w:rsidR="00331306" w:rsidRPr="00B568E3" w:rsidRDefault="00331306" w:rsidP="001E56DA">
      <w:pPr>
        <w:spacing w:after="240"/>
        <w:textAlignment w:val="baseline"/>
      </w:pPr>
      <w:r w:rsidRPr="00B568E3">
        <w:t>Any increase in the release of odorous substances from individual or diffuse sources should be considered. Whether such changes are substantial will normally depend on effect in terms of increased exposure (duration, frequency and/or concentration) and any likely increase in offence to human senses. Where a proposal has the potential to increase odour complaints or interference with amenity it should be considered substantial.</w:t>
      </w:r>
    </w:p>
    <w:p w14:paraId="5C5184B0" w14:textId="77777777" w:rsidR="00331306" w:rsidRPr="00331306" w:rsidRDefault="00331306" w:rsidP="001E56DA">
      <w:pPr>
        <w:pStyle w:val="Heading3"/>
        <w:spacing w:after="120"/>
      </w:pPr>
      <w:bookmarkStart w:id="23" w:name="_Toc192257486"/>
      <w:r w:rsidRPr="00B568E3">
        <w:lastRenderedPageBreak/>
        <w:t>4.11</w:t>
      </w:r>
      <w:r w:rsidRPr="00B568E3">
        <w:tab/>
        <w:t>Increased Likelihood or Consequences of Accidents</w:t>
      </w:r>
      <w:bookmarkEnd w:id="23"/>
    </w:p>
    <w:p w14:paraId="3E5C2948" w14:textId="77777777" w:rsidR="00331306" w:rsidRPr="00B568E3" w:rsidRDefault="00331306" w:rsidP="001E56DA">
      <w:pPr>
        <w:spacing w:after="240"/>
        <w:textAlignment w:val="baseline"/>
      </w:pPr>
      <w:r w:rsidRPr="00B568E3">
        <w:t>Any test for substantial change should take account of hazards and risks associated with foreseeable but unplanned events. Changes should consider in:</w:t>
      </w:r>
    </w:p>
    <w:p w14:paraId="70A884B9" w14:textId="7EA7E8F7" w:rsidR="00331306" w:rsidRPr="00B568E3" w:rsidRDefault="00B164AF" w:rsidP="000E1D16">
      <w:pPr>
        <w:pStyle w:val="ListParagraph"/>
        <w:numPr>
          <w:ilvl w:val="0"/>
          <w:numId w:val="29"/>
        </w:numPr>
        <w:spacing w:after="240"/>
        <w:textAlignment w:val="baseline"/>
      </w:pPr>
      <w:r>
        <w:t>T</w:t>
      </w:r>
      <w:r w:rsidR="00331306" w:rsidRPr="00B568E3">
        <w:t>he inherent hazardous nature of the substances (potential)</w:t>
      </w:r>
      <w:r>
        <w:t>.</w:t>
      </w:r>
    </w:p>
    <w:p w14:paraId="0BF897AF" w14:textId="6ABF6C90" w:rsidR="00331306" w:rsidRPr="00B568E3" w:rsidRDefault="00B164AF" w:rsidP="000E1D16">
      <w:pPr>
        <w:pStyle w:val="ListParagraph"/>
        <w:numPr>
          <w:ilvl w:val="0"/>
          <w:numId w:val="29"/>
        </w:numPr>
        <w:spacing w:after="240"/>
        <w:textAlignment w:val="baseline"/>
      </w:pPr>
      <w:r>
        <w:t>T</w:t>
      </w:r>
      <w:r w:rsidR="00331306" w:rsidRPr="00B568E3">
        <w:t>he complexity and frequency of the operations</w:t>
      </w:r>
      <w:r>
        <w:t>.</w:t>
      </w:r>
    </w:p>
    <w:p w14:paraId="5ADFCC65" w14:textId="4CB4CA72" w:rsidR="00331306" w:rsidRPr="00B568E3" w:rsidRDefault="00B164AF" w:rsidP="000E1D16">
      <w:pPr>
        <w:pStyle w:val="ListParagraph"/>
        <w:numPr>
          <w:ilvl w:val="0"/>
          <w:numId w:val="29"/>
        </w:numPr>
        <w:spacing w:after="240"/>
        <w:textAlignment w:val="baseline"/>
      </w:pPr>
      <w:r>
        <w:t>T</w:t>
      </w:r>
      <w:r w:rsidR="00331306" w:rsidRPr="00B568E3">
        <w:t>he probability/frequency of any harmful release occurring taking into account measures to control, and mitigate any release and</w:t>
      </w:r>
    </w:p>
    <w:p w14:paraId="3B688440" w14:textId="72E66036" w:rsidR="001D0D68" w:rsidRPr="00B568E3" w:rsidRDefault="00B164AF" w:rsidP="000E1D16">
      <w:pPr>
        <w:pStyle w:val="ListParagraph"/>
        <w:numPr>
          <w:ilvl w:val="0"/>
          <w:numId w:val="29"/>
        </w:numPr>
        <w:spacing w:after="240"/>
        <w:textAlignment w:val="baseline"/>
      </w:pPr>
      <w:r>
        <w:t>T</w:t>
      </w:r>
      <w:r w:rsidR="00331306" w:rsidRPr="00B568E3">
        <w:t>he consequences for human health and the environment once a substance(s) has been released.</w:t>
      </w:r>
    </w:p>
    <w:p w14:paraId="21F46805" w14:textId="77777777" w:rsidR="00167E46" w:rsidRPr="00B568E3" w:rsidRDefault="00331306" w:rsidP="001E56DA">
      <w:pPr>
        <w:spacing w:after="240"/>
        <w:textAlignment w:val="baseline"/>
      </w:pPr>
      <w:r w:rsidRPr="00B568E3">
        <w:t>If the proposed change would give rise to new hazards with potentially severe consequences, or for less severe consequences, an increased likelihood of occurrence, then the change is likely to be substantial.</w:t>
      </w:r>
    </w:p>
    <w:p w14:paraId="2ED7779E" w14:textId="384758F7" w:rsidR="00331306" w:rsidRPr="00B568E3" w:rsidRDefault="00331306" w:rsidP="001E56DA">
      <w:pPr>
        <w:pStyle w:val="Heading3"/>
        <w:spacing w:after="120"/>
      </w:pPr>
      <w:bookmarkStart w:id="24" w:name="_Toc192257487"/>
      <w:r w:rsidRPr="007810A3">
        <w:t>4.12</w:t>
      </w:r>
      <w:r w:rsidR="00167E46" w:rsidRPr="007810A3">
        <w:tab/>
      </w:r>
      <w:r w:rsidRPr="007810A3">
        <w:t>Increases in Production of Waste</w:t>
      </w:r>
      <w:bookmarkEnd w:id="24"/>
    </w:p>
    <w:p w14:paraId="16B82B09" w14:textId="3AD28E5B" w:rsidR="00331306" w:rsidRPr="00B568E3" w:rsidRDefault="00331306" w:rsidP="001E56DA">
      <w:pPr>
        <w:spacing w:after="240"/>
        <w:textAlignment w:val="baseline"/>
      </w:pPr>
      <w:r w:rsidRPr="00B568E3">
        <w:t>Proposals which lead to a significant increase in the waste disposal capacity required in a particular location will potentially constitute a substantial change. However, provided that waste can be properly disposed of or recovered and goes to an authorized facility, an increase in waste production is unlikely to be considered a</w:t>
      </w:r>
      <w:r w:rsidR="003C193F" w:rsidRPr="00B568E3">
        <w:t xml:space="preserve"> </w:t>
      </w:r>
      <w:r w:rsidRPr="00B568E3">
        <w:t>substantial change as it will be properly regulated and controlled so the net environmental impact is likely to be small in most cases.</w:t>
      </w:r>
    </w:p>
    <w:p w14:paraId="4E42E613" w14:textId="77E503CC" w:rsidR="00167E46" w:rsidRPr="00B568E3" w:rsidRDefault="00331306" w:rsidP="001E56DA">
      <w:pPr>
        <w:spacing w:after="240"/>
        <w:textAlignment w:val="baseline"/>
      </w:pPr>
      <w:r w:rsidRPr="00B568E3">
        <w:t>Changes in waste production could also lead to increased accident hazards or risks, which should be considered as described above.</w:t>
      </w:r>
    </w:p>
    <w:p w14:paraId="69B4E0ED" w14:textId="63E7CA25" w:rsidR="00331306" w:rsidRPr="0042672C" w:rsidRDefault="00331306" w:rsidP="001E56DA">
      <w:pPr>
        <w:pStyle w:val="Heading3"/>
        <w:spacing w:after="120"/>
      </w:pPr>
      <w:bookmarkStart w:id="25" w:name="_Toc192257488"/>
      <w:r w:rsidRPr="0042672C">
        <w:t>4.13</w:t>
      </w:r>
      <w:r w:rsidR="00167E46" w:rsidRPr="0042672C">
        <w:tab/>
      </w:r>
      <w:r w:rsidRPr="0042672C">
        <w:t>Heat</w:t>
      </w:r>
      <w:bookmarkEnd w:id="25"/>
    </w:p>
    <w:p w14:paraId="5B25CE0C" w14:textId="1B794E79" w:rsidR="00331306" w:rsidRPr="00B568E3" w:rsidRDefault="00331306" w:rsidP="001E56DA">
      <w:pPr>
        <w:spacing w:after="240"/>
        <w:textAlignment w:val="baseline"/>
      </w:pPr>
      <w:r w:rsidRPr="00B568E3">
        <w:t>For a discharge into freshwaters, a substantial change can be defined with reference to the limits given in WAT-SG-85 – Applications of Standards to Thermal Discharges</w:t>
      </w:r>
      <w:hyperlink r:id="rId15">
        <w:r w:rsidRPr="00B568E3">
          <w:t>.</w:t>
        </w:r>
      </w:hyperlink>
      <w:r w:rsidRPr="00B568E3">
        <w:t xml:space="preserve"> Different limits apply to cyprinid and salmonid waters. Any proposed change with the potential to increase the temperature by more than 20% of the limit</w:t>
      </w:r>
      <w:r w:rsidR="002818BD" w:rsidRPr="00B568E3">
        <w:t xml:space="preserve"> </w:t>
      </w:r>
      <w:r w:rsidRPr="00B568E3">
        <w:t>or exceed 80% of the total allowable limit for any given water body should be considered substantial. Rapid changes in temperature should also be considered.</w:t>
      </w:r>
    </w:p>
    <w:p w14:paraId="545E760E" w14:textId="0DE81D81" w:rsidR="00331306" w:rsidRPr="00B568E3" w:rsidRDefault="00331306" w:rsidP="001E56DA">
      <w:pPr>
        <w:spacing w:after="240"/>
        <w:textAlignment w:val="baseline"/>
      </w:pPr>
      <w:r w:rsidRPr="00B568E3">
        <w:lastRenderedPageBreak/>
        <w:t xml:space="preserve">Substantial changes for coastal and brackish waters can be defined with reference to the guideline values in EU Directive (79/923/EEC) on the quality required of shellfish waters. </w:t>
      </w:r>
      <w:r w:rsidR="00B2135D" w:rsidRPr="00B568E3">
        <w:t>Thus,</w:t>
      </w:r>
      <w:r w:rsidRPr="00B568E3">
        <w:t xml:space="preserve"> a substantial change would mean an incremental increase in water temperature due to change of 0.4</w:t>
      </w:r>
      <w:r w:rsidRPr="000E1D16">
        <w:rPr>
          <w:vertAlign w:val="superscript"/>
        </w:rPr>
        <w:t>o</w:t>
      </w:r>
      <w:r w:rsidRPr="00B568E3">
        <w:t>C [20% of 2</w:t>
      </w:r>
      <w:r w:rsidRPr="000E1D16">
        <w:rPr>
          <w:vertAlign w:val="superscript"/>
        </w:rPr>
        <w:t>o</w:t>
      </w:r>
      <w:r w:rsidRPr="00B568E3">
        <w:t>C] or if the increment is less than 0.4</w:t>
      </w:r>
      <w:r w:rsidRPr="000E1D16">
        <w:rPr>
          <w:vertAlign w:val="superscript"/>
        </w:rPr>
        <w:t>o</w:t>
      </w:r>
      <w:r w:rsidRPr="00B568E3">
        <w:t>C, but the resulting temperature difference is greater than 2</w:t>
      </w:r>
      <w:r w:rsidRPr="000E1D16">
        <w:rPr>
          <w:vertAlign w:val="superscript"/>
        </w:rPr>
        <w:t>o</w:t>
      </w:r>
      <w:r w:rsidRPr="00B568E3">
        <w:t>C, this should also be regarded as substantial.</w:t>
      </w:r>
    </w:p>
    <w:p w14:paraId="46E3CCCE" w14:textId="77777777" w:rsidR="00331306" w:rsidRPr="00B568E3" w:rsidRDefault="00331306" w:rsidP="001E56DA">
      <w:pPr>
        <w:spacing w:after="240"/>
        <w:textAlignment w:val="baseline"/>
      </w:pPr>
      <w:r w:rsidRPr="00B568E3">
        <w:t>For groundwater an increase of 2</w:t>
      </w:r>
      <w:r w:rsidRPr="000E1D16">
        <w:rPr>
          <w:vertAlign w:val="superscript"/>
        </w:rPr>
        <w:t>o</w:t>
      </w:r>
      <w:r w:rsidRPr="00B568E3">
        <w:t>C (average 50m downstream) is considered substantial.</w:t>
      </w:r>
    </w:p>
    <w:p w14:paraId="2C34CCE2" w14:textId="77777777" w:rsidR="00331306" w:rsidRPr="00B568E3" w:rsidRDefault="00331306" w:rsidP="001E56DA">
      <w:pPr>
        <w:spacing w:after="240"/>
        <w:textAlignment w:val="baseline"/>
      </w:pPr>
      <w:r w:rsidRPr="00B568E3">
        <w:t>Additional requirements will arise in connection with natural heritage sites, where habitats and species are protected under the Conservation (Natural Habitats &amp;c.) Regulations 1994. A change in mean temperature of more than 0.2</w:t>
      </w:r>
      <w:r w:rsidRPr="000E1D16">
        <w:rPr>
          <w:vertAlign w:val="superscript"/>
        </w:rPr>
        <w:t>o</w:t>
      </w:r>
      <w:r w:rsidRPr="00B568E3">
        <w:t>C may require an “Appropriate Assessment” under these regulations. It will therefore also be regarded as a substantial change where a discharge takes place into an area protected for its natural heritage under these regulations.</w:t>
      </w:r>
    </w:p>
    <w:p w14:paraId="00A4CFF9" w14:textId="50AE0D2D" w:rsidR="00331306" w:rsidRPr="00331306" w:rsidRDefault="00331306" w:rsidP="001E56DA">
      <w:pPr>
        <w:pStyle w:val="Heading3"/>
        <w:spacing w:after="120"/>
      </w:pPr>
      <w:bookmarkStart w:id="26" w:name="_Toc192257489"/>
      <w:r w:rsidRPr="00B568E3">
        <w:t>4.14</w:t>
      </w:r>
      <w:r w:rsidR="00167E46" w:rsidRPr="00B568E3">
        <w:tab/>
      </w:r>
      <w:r w:rsidRPr="00B568E3">
        <w:t>Noise and Vibration</w:t>
      </w:r>
      <w:bookmarkEnd w:id="26"/>
    </w:p>
    <w:p w14:paraId="4DCB3D14" w14:textId="38DEB0BF" w:rsidR="00331306" w:rsidRPr="00B568E3" w:rsidRDefault="00331306" w:rsidP="001E56DA">
      <w:pPr>
        <w:spacing w:after="240"/>
        <w:textAlignment w:val="baseline"/>
      </w:pPr>
      <w:r w:rsidRPr="00B568E3">
        <w:t>Consideration should be given to any change in noise/vibration characteristics or perceptibility (</w:t>
      </w:r>
      <w:r w:rsidR="009F2AF3" w:rsidRPr="00B568E3">
        <w:t>e.g.</w:t>
      </w:r>
      <w:r w:rsidRPr="00B568E3">
        <w:t xml:space="preserve"> level, tone, frequency, impulsiveness, irregularity). Where a change to noise/vibration patterns or levels are likely to give rise to complaint (offence to human senses or interference with amenity) either through increased irritation of a sensitive receptor already affected or on a new receptor this would indicate that the change is likely to be substantial.</w:t>
      </w:r>
    </w:p>
    <w:p w14:paraId="08F2F5E5" w14:textId="77777777" w:rsidR="00331306" w:rsidRPr="00B568E3" w:rsidRDefault="00331306" w:rsidP="001E56DA">
      <w:pPr>
        <w:spacing w:after="240"/>
        <w:textAlignment w:val="baseline"/>
      </w:pPr>
      <w:r w:rsidRPr="00B568E3">
        <w:t>When determining whether complaints are likely the standards applied in BS4142:2014 - Methods for rating and assessing industrial and commercial sound may be used as a guide. The change should be determined at the appropriate noise sensitive receptor.</w:t>
      </w:r>
    </w:p>
    <w:p w14:paraId="6BD01806" w14:textId="77777777" w:rsidR="00331306" w:rsidRPr="00B568E3" w:rsidRDefault="00331306" w:rsidP="001E56DA">
      <w:pPr>
        <w:spacing w:after="240"/>
        <w:textAlignment w:val="baseline"/>
      </w:pPr>
      <w:r w:rsidRPr="00B568E3">
        <w:t>In general, the change is likely to be substantial if:</w:t>
      </w:r>
    </w:p>
    <w:p w14:paraId="2936831C" w14:textId="003091D2" w:rsidR="00331306" w:rsidRPr="00B568E3" w:rsidRDefault="00B164AF" w:rsidP="000E1D16">
      <w:pPr>
        <w:pStyle w:val="ListParagraph"/>
        <w:numPr>
          <w:ilvl w:val="0"/>
          <w:numId w:val="30"/>
        </w:numPr>
        <w:spacing w:after="240"/>
        <w:textAlignment w:val="baseline"/>
      </w:pPr>
      <w:r>
        <w:t>A</w:t>
      </w:r>
      <w:r w:rsidR="00331306" w:rsidRPr="00B568E3">
        <w:t xml:space="preserve"> different sensitive receptor would be exposed to a noise level which is likely to give reasonable cause for annoyance</w:t>
      </w:r>
      <w:r>
        <w:t>.</w:t>
      </w:r>
    </w:p>
    <w:p w14:paraId="7019D6E6" w14:textId="6256D29E" w:rsidR="003C193F" w:rsidRPr="00B568E3" w:rsidRDefault="00B164AF" w:rsidP="000E1D16">
      <w:pPr>
        <w:pStyle w:val="ListParagraph"/>
        <w:numPr>
          <w:ilvl w:val="0"/>
          <w:numId w:val="30"/>
        </w:numPr>
        <w:spacing w:after="240"/>
        <w:textAlignment w:val="baseline"/>
      </w:pPr>
      <w:r>
        <w:t>A</w:t>
      </w:r>
      <w:r w:rsidR="00331306" w:rsidRPr="00B568E3">
        <w:t>n existing noise sensitive receptor is likely to experience a 5dB or more increase in the Rating Level or</w:t>
      </w:r>
    </w:p>
    <w:p w14:paraId="3AA72A80" w14:textId="25E9D8A1" w:rsidR="00331306" w:rsidRPr="00B568E3" w:rsidRDefault="00B164AF" w:rsidP="000E1D16">
      <w:pPr>
        <w:pStyle w:val="ListParagraph"/>
        <w:numPr>
          <w:ilvl w:val="0"/>
          <w:numId w:val="30"/>
        </w:numPr>
        <w:spacing w:after="240"/>
        <w:textAlignment w:val="baseline"/>
      </w:pPr>
      <w:r>
        <w:t>T</w:t>
      </w:r>
      <w:r w:rsidR="00331306" w:rsidRPr="00B568E3">
        <w:t>he LA max is likely to exceed 60dB at the façade of a room regularly used for sleeping.</w:t>
      </w:r>
    </w:p>
    <w:p w14:paraId="3A164997" w14:textId="77777777" w:rsidR="00331306" w:rsidRPr="00B568E3" w:rsidRDefault="00331306" w:rsidP="001E56DA">
      <w:pPr>
        <w:spacing w:after="240"/>
        <w:textAlignment w:val="baseline"/>
      </w:pPr>
      <w:r w:rsidRPr="00B568E3">
        <w:t>NOTE: noise and vibration may also affect non-human receptors and any potential impact particularly on a designated site should be considered.</w:t>
      </w:r>
    </w:p>
    <w:p w14:paraId="0411FE93" w14:textId="67539577" w:rsidR="00331306" w:rsidRPr="00331306" w:rsidRDefault="00331306" w:rsidP="001E56DA">
      <w:pPr>
        <w:pStyle w:val="Heading3"/>
        <w:spacing w:after="120"/>
      </w:pPr>
      <w:bookmarkStart w:id="27" w:name="_Toc192257490"/>
      <w:r w:rsidRPr="00B568E3">
        <w:lastRenderedPageBreak/>
        <w:t>4.15</w:t>
      </w:r>
      <w:r w:rsidR="00167E46" w:rsidRPr="00B568E3">
        <w:tab/>
      </w:r>
      <w:r w:rsidRPr="00B568E3">
        <w:t>Effects on designated/sensitive receptors</w:t>
      </w:r>
      <w:bookmarkEnd w:id="27"/>
    </w:p>
    <w:p w14:paraId="41600347" w14:textId="77777777" w:rsidR="00331306" w:rsidRPr="00B568E3" w:rsidRDefault="00331306" w:rsidP="001E56DA">
      <w:pPr>
        <w:spacing w:after="240"/>
        <w:textAlignment w:val="baseline"/>
      </w:pPr>
      <w:r w:rsidRPr="00B568E3">
        <w:t>If a sensitive receptor is affected this may indicate that the proposed change is substantial. Sensitive or designated receptors may include Sites of Special Scientific Interest, land to which Nature Conservation Orders apply, Special Protected Areas, Special Areas of Conservation, Ramsar Sites, National Scenic Areas, World Heritage Sites, or Scheduled Ancient Monuments.</w:t>
      </w:r>
    </w:p>
    <w:p w14:paraId="1B6A8546" w14:textId="43B8E456" w:rsidR="00331306" w:rsidRPr="00B568E3" w:rsidRDefault="00331306" w:rsidP="001E56DA">
      <w:pPr>
        <w:spacing w:after="240"/>
        <w:textAlignment w:val="baseline"/>
      </w:pPr>
      <w:r w:rsidRPr="00B568E3">
        <w:t>Special regard should be given to sites covered by the Conservation (Natural Habitats &amp;c.) Regulations1994 (SPA, SAC and Ramsar Sites). Where the proposal “is likely to have a significant effect” on one of these sites an “Appropriate Assessment” of the implications for the site, in view of its conservation objectives, must be undertaken. Where it is necessary to undertake an Appropriate Assessment, this is likely to indicate that a substantial change is being proposed.</w:t>
      </w:r>
    </w:p>
    <w:p w14:paraId="60879709" w14:textId="77777777" w:rsidR="00331306" w:rsidRPr="00B568E3" w:rsidRDefault="00331306" w:rsidP="001E56DA">
      <w:pPr>
        <w:spacing w:after="240"/>
        <w:textAlignment w:val="baseline"/>
      </w:pPr>
      <w:r w:rsidRPr="00B568E3">
        <w:t>The SEPA guidance on applying the Habitats Regulations contains screening distance that should be used to determine whether the Habitats Regulations are relevant.</w:t>
      </w:r>
    </w:p>
    <w:p w14:paraId="4CBA0E7C" w14:textId="52992991" w:rsidR="00331306" w:rsidRPr="00B568E3" w:rsidRDefault="00331306" w:rsidP="001E56DA">
      <w:pPr>
        <w:spacing w:after="240"/>
        <w:textAlignment w:val="baseline"/>
      </w:pPr>
      <w:r w:rsidRPr="00B568E3">
        <w:t xml:space="preserve">In general, installations beyond the screening distances from a European site are unlikely to have a significant effect. It is important, however, that these criteria are not used in isolation and without proper reference to the Habitats guidance. This states that judgement should be used in applying the criteria, and the distances extended if </w:t>
      </w:r>
      <w:r w:rsidR="00381B2D" w:rsidRPr="00B568E3">
        <w:t>necessary,</w:t>
      </w:r>
      <w:r w:rsidRPr="00B568E3">
        <w:t xml:space="preserve"> depending on the nature of the installation, prevailing wind conditions, etc. Power stations, for example, may have potentially significant effects over a very long range (several hundred km).</w:t>
      </w:r>
    </w:p>
    <w:p w14:paraId="18CA7933" w14:textId="08C0DB50" w:rsidR="00331306" w:rsidRPr="00331306" w:rsidRDefault="00331306" w:rsidP="001E56DA">
      <w:pPr>
        <w:pStyle w:val="Heading3"/>
        <w:spacing w:after="120"/>
      </w:pPr>
      <w:bookmarkStart w:id="28" w:name="_Toc192257491"/>
      <w:r w:rsidRPr="00B568E3">
        <w:t>4.16</w:t>
      </w:r>
      <w:r w:rsidR="00167E46" w:rsidRPr="00B568E3">
        <w:tab/>
      </w:r>
      <w:r w:rsidRPr="00B568E3">
        <w:t>Environmental Impact Assessment (Scotland) Regulations 2010</w:t>
      </w:r>
      <w:bookmarkEnd w:id="28"/>
    </w:p>
    <w:p w14:paraId="41EB5A44" w14:textId="1EB38EAC" w:rsidR="00B66F66" w:rsidRPr="00B568E3" w:rsidRDefault="00B2135D" w:rsidP="001E56DA">
      <w:pPr>
        <w:spacing w:after="240"/>
        <w:textAlignment w:val="baseline"/>
      </w:pPr>
      <w:r w:rsidRPr="00B568E3">
        <w:t>Where a Local Planning Authority (LPA) has required an Environmental Statement (ES) under these Regulations in respect of a change or extension, it must have determined that the change or extension may have “significant adverse effects on the environment”. If the LPA’s decision was based on criteria which are within the remit of the permit this would indicate that the proposal is likely to be substantial.</w:t>
      </w:r>
      <w:r w:rsidR="000107ED">
        <w:t xml:space="preserve"> </w:t>
      </w:r>
      <w:r w:rsidR="00B66F66" w:rsidRPr="00B568E3">
        <w:t>Any relevant information or conclusions about the environmental impact assessment must be considered by SEPA during the determination process.</w:t>
      </w:r>
    </w:p>
    <w:p w14:paraId="6F99962D" w14:textId="77777777" w:rsidR="009359A2" w:rsidRDefault="009359A2" w:rsidP="00143F3E">
      <w:pPr>
        <w:pStyle w:val="Heading2"/>
        <w:numPr>
          <w:ilvl w:val="0"/>
          <w:numId w:val="20"/>
        </w:numPr>
        <w:spacing w:line="360" w:lineRule="auto"/>
        <w:ind w:left="0" w:firstLine="0"/>
        <w:rPr>
          <w:rFonts w:eastAsia="Times New Roman"/>
          <w:b w:val="0"/>
          <w:bCs/>
        </w:rPr>
        <w:sectPr w:rsidR="009359A2" w:rsidSect="00C91A52">
          <w:headerReference w:type="even" r:id="rId16"/>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cols w:space="708"/>
          <w:titlePg/>
          <w:docGrid w:linePitch="360"/>
        </w:sectPr>
      </w:pPr>
    </w:p>
    <w:p w14:paraId="00AA2A5B" w14:textId="77777777" w:rsidR="00252C80" w:rsidRPr="000961F3" w:rsidRDefault="00252C80" w:rsidP="00252C80">
      <w:pPr>
        <w:pStyle w:val="Heading2"/>
        <w:spacing w:after="120" w:line="360" w:lineRule="auto"/>
        <w:rPr>
          <w:rFonts w:ascii="Arial" w:hAnsi="Arial" w:cs="Arial"/>
          <w:sz w:val="24"/>
          <w:szCs w:val="24"/>
        </w:rPr>
      </w:pPr>
      <w:bookmarkStart w:id="29" w:name="_Toc184981253"/>
      <w:bookmarkStart w:id="30" w:name="_Toc192257492"/>
      <w:r w:rsidRPr="000961F3">
        <w:rPr>
          <w:rFonts w:ascii="Arial" w:hAnsi="Arial" w:cs="Arial"/>
          <w:sz w:val="24"/>
          <w:szCs w:val="24"/>
        </w:rPr>
        <w:lastRenderedPageBreak/>
        <w:t>Disclaimer</w:t>
      </w:r>
      <w:bookmarkEnd w:id="29"/>
      <w:bookmarkEnd w:id="30"/>
    </w:p>
    <w:p w14:paraId="1B278342" w14:textId="77777777" w:rsidR="00252C80" w:rsidRPr="000961F3" w:rsidRDefault="00252C80" w:rsidP="00252C80">
      <w:pPr>
        <w:spacing w:after="240"/>
        <w:rPr>
          <w:rFonts w:ascii="Arial" w:hAnsi="Arial" w:cs="Arial"/>
        </w:rPr>
      </w:pPr>
      <w:r w:rsidRPr="000961F3">
        <w:rPr>
          <w:rFonts w:ascii="Arial" w:hAnsi="Arial" w:cs="Arial"/>
        </w:rPr>
        <w:t>This guidance is based on the law as it stood when the guidance was published.</w:t>
      </w:r>
    </w:p>
    <w:p w14:paraId="55E3362C" w14:textId="77777777" w:rsidR="00252C80" w:rsidRPr="000961F3" w:rsidRDefault="00252C80" w:rsidP="00252C80">
      <w:pPr>
        <w:spacing w:after="240"/>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08A207FF" w14:textId="77777777" w:rsidR="00252C80" w:rsidRPr="000961F3" w:rsidRDefault="00252C80" w:rsidP="00252C80">
      <w:pPr>
        <w:numPr>
          <w:ilvl w:val="0"/>
          <w:numId w:val="22"/>
        </w:numPr>
        <w:spacing w:after="240"/>
        <w:rPr>
          <w:rFonts w:ascii="Arial" w:hAnsi="Arial" w:cs="Arial"/>
        </w:rPr>
      </w:pPr>
      <w:r w:rsidRPr="000961F3">
        <w:rPr>
          <w:rFonts w:ascii="Arial" w:hAnsi="Arial" w:cs="Arial"/>
        </w:rPr>
        <w:t>any direct, indirect and consequential losses</w:t>
      </w:r>
    </w:p>
    <w:p w14:paraId="4B1980E0" w14:textId="77777777" w:rsidR="00252C80" w:rsidRPr="000961F3" w:rsidRDefault="00252C80" w:rsidP="00252C80">
      <w:pPr>
        <w:numPr>
          <w:ilvl w:val="0"/>
          <w:numId w:val="22"/>
        </w:numPr>
        <w:spacing w:after="240"/>
        <w:rPr>
          <w:rFonts w:ascii="Arial" w:hAnsi="Arial" w:cs="Arial"/>
        </w:rPr>
      </w:pPr>
      <w:r w:rsidRPr="000961F3">
        <w:rPr>
          <w:rFonts w:ascii="Arial" w:hAnsi="Arial" w:cs="Arial"/>
        </w:rPr>
        <w:t>any loss or damage caused by civil wrongs, breach of contract or otherwise.</w:t>
      </w:r>
    </w:p>
    <w:p w14:paraId="2C71F6E8" w14:textId="77777777" w:rsidR="00252C80" w:rsidRPr="000961F3" w:rsidRDefault="00252C80" w:rsidP="00252C80">
      <w:pPr>
        <w:spacing w:after="240"/>
        <w:rPr>
          <w:rFonts w:ascii="Arial" w:hAnsi="Arial" w:cs="Arial"/>
        </w:rPr>
      </w:pPr>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p>
    <w:p w14:paraId="19071C6C" w14:textId="77777777" w:rsidR="00D45F18" w:rsidRDefault="00D45F18" w:rsidP="00D45F18">
      <w:pPr>
        <w:jc w:val="both"/>
        <w:rPr>
          <w:rFonts w:ascii="Arial" w:hAnsi="Arial" w:cs="Arial"/>
          <w:b/>
          <w:bCs/>
          <w:sz w:val="32"/>
          <w:szCs w:val="32"/>
        </w:rPr>
      </w:pPr>
    </w:p>
    <w:p w14:paraId="36ABFF2A" w14:textId="77777777" w:rsidR="007D5ACA" w:rsidRDefault="007D5ACA" w:rsidP="00D45F18">
      <w:pPr>
        <w:jc w:val="both"/>
        <w:rPr>
          <w:rFonts w:ascii="Arial" w:hAnsi="Arial" w:cs="Arial"/>
          <w:b/>
          <w:bCs/>
          <w:sz w:val="32"/>
          <w:szCs w:val="32"/>
        </w:rPr>
      </w:pPr>
    </w:p>
    <w:p w14:paraId="606A6055" w14:textId="77777777" w:rsidR="00801D0F" w:rsidRDefault="00801D0F" w:rsidP="00D45F18">
      <w:pPr>
        <w:jc w:val="both"/>
        <w:rPr>
          <w:rFonts w:ascii="Arial" w:hAnsi="Arial" w:cs="Arial"/>
          <w:b/>
          <w:bCs/>
          <w:sz w:val="32"/>
          <w:szCs w:val="32"/>
        </w:rPr>
      </w:pPr>
    </w:p>
    <w:p w14:paraId="762C797A" w14:textId="77777777" w:rsidR="007D5ACA" w:rsidRDefault="007D5ACA" w:rsidP="00D45F18">
      <w:pPr>
        <w:jc w:val="both"/>
        <w:rPr>
          <w:rFonts w:ascii="Arial" w:hAnsi="Arial" w:cs="Arial"/>
          <w:b/>
          <w:bCs/>
          <w:sz w:val="32"/>
          <w:szCs w:val="32"/>
        </w:rPr>
      </w:pPr>
    </w:p>
    <w:p w14:paraId="7F73CF2A" w14:textId="77777777" w:rsidR="007D5ACA" w:rsidRDefault="007D5ACA" w:rsidP="00D45F18">
      <w:pPr>
        <w:jc w:val="both"/>
        <w:rPr>
          <w:rFonts w:ascii="Arial" w:hAnsi="Arial" w:cs="Arial"/>
          <w:b/>
          <w:bCs/>
          <w:sz w:val="32"/>
          <w:szCs w:val="32"/>
        </w:rPr>
      </w:pPr>
    </w:p>
    <w:p w14:paraId="50C12983" w14:textId="77777777" w:rsidR="007D5ACA" w:rsidRDefault="007D5ACA" w:rsidP="00D45F18">
      <w:pPr>
        <w:jc w:val="both"/>
        <w:rPr>
          <w:rFonts w:ascii="Arial" w:hAnsi="Arial" w:cs="Arial"/>
          <w:b/>
          <w:bCs/>
          <w:sz w:val="32"/>
          <w:szCs w:val="32"/>
        </w:rPr>
      </w:pPr>
    </w:p>
    <w:p w14:paraId="484D77F7" w14:textId="295C3909" w:rsidR="006243FF" w:rsidRPr="00801D0F" w:rsidRDefault="00D45F18" w:rsidP="00C174D6">
      <w:pPr>
        <w:jc w:val="both"/>
        <w:rPr>
          <w:color w:val="6E7571" w:themeColor="text2"/>
          <w:sz w:val="22"/>
          <w:szCs w:val="22"/>
          <w:u w:val="single"/>
        </w:rPr>
      </w:pPr>
      <w:r w:rsidRPr="00801D0F">
        <w:rPr>
          <w:rFonts w:ascii="Arial" w:hAnsi="Arial" w:cs="Arial"/>
          <w:b/>
          <w:bCs/>
          <w:sz w:val="28"/>
          <w:szCs w:val="28"/>
        </w:rPr>
        <w:t>This guidance has been updated to meet accessibility standards and to replace certain references to legislation with references to the Environmental Authorisations (Scotland) Regulations 2018.</w:t>
      </w:r>
      <w:r w:rsidR="000107ED">
        <w:rPr>
          <w:rFonts w:ascii="Arial" w:hAnsi="Arial" w:cs="Arial"/>
          <w:b/>
          <w:bCs/>
          <w:sz w:val="28"/>
          <w:szCs w:val="28"/>
        </w:rPr>
        <w:t xml:space="preserve"> </w:t>
      </w:r>
      <w:r w:rsidRPr="00801D0F">
        <w:rPr>
          <w:rFonts w:ascii="Arial" w:hAnsi="Arial" w:cs="Arial"/>
          <w:b/>
          <w:bCs/>
          <w:sz w:val="28"/>
          <w:szCs w:val="28"/>
        </w:rPr>
        <w:t>It has not been reviewed beyond this.</w:t>
      </w:r>
      <w:r w:rsidR="000107ED">
        <w:rPr>
          <w:rFonts w:ascii="Arial" w:hAnsi="Arial" w:cs="Arial"/>
          <w:b/>
          <w:bCs/>
          <w:sz w:val="28"/>
          <w:szCs w:val="28"/>
        </w:rPr>
        <w:t xml:space="preserve"> </w:t>
      </w:r>
      <w:r w:rsidRPr="00801D0F">
        <w:rPr>
          <w:rFonts w:ascii="Arial" w:hAnsi="Arial" w:cs="Arial"/>
          <w:b/>
          <w:bCs/>
          <w:sz w:val="28"/>
          <w:szCs w:val="28"/>
        </w:rPr>
        <w:t>We are aware that sections of this guidance may need to be updated, and this work will be completed in due course.</w:t>
      </w:r>
    </w:p>
    <w:sectPr w:rsidR="006243FF" w:rsidRPr="00801D0F" w:rsidSect="00ED1802">
      <w:pgSz w:w="11900" w:h="16840"/>
      <w:pgMar w:top="839" w:right="839" w:bottom="839" w:left="839"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43CB9" w14:textId="77777777" w:rsidR="007D4A42" w:rsidRDefault="007D4A42" w:rsidP="00660C79">
      <w:pPr>
        <w:spacing w:line="240" w:lineRule="auto"/>
      </w:pPr>
      <w:r>
        <w:separator/>
      </w:r>
    </w:p>
  </w:endnote>
  <w:endnote w:type="continuationSeparator" w:id="0">
    <w:p w14:paraId="12B5F68F" w14:textId="77777777" w:rsidR="007D4A42" w:rsidRDefault="007D4A42" w:rsidP="00660C79">
      <w:pPr>
        <w:spacing w:line="240" w:lineRule="auto"/>
      </w:pPr>
      <w:r>
        <w:continuationSeparator/>
      </w:r>
    </w:p>
  </w:endnote>
  <w:endnote w:type="continuationNotice" w:id="1">
    <w:p w14:paraId="1A8BD743" w14:textId="77777777" w:rsidR="007D4A42" w:rsidRDefault="007D4A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D4C62" w14:textId="77777777" w:rsidR="00EC6A73" w:rsidRDefault="00242D07" w:rsidP="003B26B7">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3E32F621" wp14:editId="4419242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555B22"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32F621"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7555B22"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44A8115C" w14:textId="77777777" w:rsidR="00EC6A73" w:rsidRDefault="00EC6A73" w:rsidP="003B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EAED461"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1684E7"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CBFEE" w14:textId="77777777" w:rsidR="00EC6A73" w:rsidRDefault="00242D07" w:rsidP="00917BB1">
    <w:pPr>
      <w:pStyle w:val="Footer"/>
      <w:ind w:right="360"/>
    </w:pPr>
    <w:r>
      <w:rPr>
        <w:noProof/>
      </w:rPr>
      <mc:AlternateContent>
        <mc:Choice Requires="wps">
          <w:drawing>
            <wp:anchor distT="0" distB="0" distL="0" distR="0" simplePos="0" relativeHeight="251658247" behindDoc="0" locked="0" layoutInCell="1" allowOverlap="1" wp14:anchorId="138C0585" wp14:editId="7DBC78A2">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0B8BB4"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8C0585"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80B8BB4"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p w14:paraId="2F8BF995"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426CDD55" wp14:editId="6573D0BB">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47C77"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7F2A717"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00EEA8" w14:textId="77777777" w:rsidR="00917BB1" w:rsidRDefault="00917BB1" w:rsidP="00917BB1">
    <w:pPr>
      <w:pStyle w:val="Footer"/>
      <w:ind w:right="360"/>
    </w:pPr>
    <w:r>
      <w:rPr>
        <w:noProof/>
      </w:rPr>
      <w:drawing>
        <wp:inline distT="0" distB="0" distL="0" distR="0" wp14:anchorId="271B8162" wp14:editId="653F5235">
          <wp:extent cx="1007167" cy="265044"/>
          <wp:effectExtent l="0" t="0" r="0" b="1905"/>
          <wp:docPr id="452160868" name="Picture 4521608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A4AA" w14:textId="77777777" w:rsidR="009E688C" w:rsidRDefault="009E688C" w:rsidP="009E688C">
    <w:pPr>
      <w:pStyle w:val="Footer"/>
      <w:ind w:right="360"/>
    </w:pPr>
    <w:r>
      <w:rPr>
        <w:noProof/>
      </w:rPr>
      <mc:AlternateContent>
        <mc:Choice Requires="wps">
          <w:drawing>
            <wp:anchor distT="0" distB="0" distL="0" distR="0" simplePos="0" relativeHeight="251658249" behindDoc="0" locked="0" layoutInCell="1" allowOverlap="1" wp14:anchorId="05FA974F" wp14:editId="798B555D">
              <wp:simplePos x="533400" y="9716770"/>
              <wp:positionH relativeFrom="page">
                <wp:align>center</wp:align>
              </wp:positionH>
              <wp:positionV relativeFrom="page">
                <wp:align>bottom</wp:align>
              </wp:positionV>
              <wp:extent cx="443865" cy="443865"/>
              <wp:effectExtent l="0" t="0" r="16510" b="0"/>
              <wp:wrapNone/>
              <wp:docPr id="883813069" name="Text Box 88381306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5B0A31" w14:textId="77777777" w:rsidR="009E688C" w:rsidRPr="00242D07" w:rsidRDefault="009E688C" w:rsidP="009E688C">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FA974F" id="_x0000_t202" coordsize="21600,21600" o:spt="202" path="m,l,21600r21600,l21600,xe">
              <v:stroke joinstyle="miter"/>
              <v:path gradientshapeok="t" o:connecttype="rect"/>
            </v:shapetype>
            <v:shape id="Text Box 883813069" o:spid="_x0000_s1032" type="#_x0000_t202" alt="&quot;&quot;"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45B0A31" w14:textId="77777777" w:rsidR="009E688C" w:rsidRPr="00242D07" w:rsidRDefault="009E688C" w:rsidP="009E688C">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p w14:paraId="1193BD57" w14:textId="77777777" w:rsidR="009E688C" w:rsidRDefault="009E688C" w:rsidP="009E688C">
    <w:pPr>
      <w:pStyle w:val="Footer"/>
      <w:ind w:right="360"/>
    </w:pPr>
    <w:r>
      <w:rPr>
        <w:noProof/>
      </w:rPr>
      <mc:AlternateContent>
        <mc:Choice Requires="wps">
          <w:drawing>
            <wp:anchor distT="0" distB="0" distL="114300" distR="114300" simplePos="0" relativeHeight="251658248" behindDoc="0" locked="0" layoutInCell="1" allowOverlap="1" wp14:anchorId="7156BC4E" wp14:editId="2782EF5A">
              <wp:simplePos x="0" y="0"/>
              <wp:positionH relativeFrom="column">
                <wp:posOffset>23826</wp:posOffset>
              </wp:positionH>
              <wp:positionV relativeFrom="paragraph">
                <wp:posOffset>74240</wp:posOffset>
              </wp:positionV>
              <wp:extent cx="6466840" cy="0"/>
              <wp:effectExtent l="0" t="0" r="10160" b="12700"/>
              <wp:wrapNone/>
              <wp:docPr id="1020864921" name="Straight Connector 10208649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F66BF" id="Straight Connector 1020864921" o:spid="_x0000_s1026" alt="&quot;&quot;"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2054603876"/>
      <w:docPartObj>
        <w:docPartGallery w:val="Page Numbers (Bottom of Page)"/>
        <w:docPartUnique/>
      </w:docPartObj>
    </w:sdtPr>
    <w:sdtEndPr>
      <w:rPr>
        <w:rStyle w:val="PageNumber"/>
      </w:rPr>
    </w:sdtEndPr>
    <w:sdtContent>
      <w:p w14:paraId="6BD37331" w14:textId="77777777" w:rsidR="009E688C" w:rsidRDefault="009E688C" w:rsidP="009E688C">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sdtContent>
  </w:sdt>
  <w:p w14:paraId="29F70EAC" w14:textId="77777777" w:rsidR="009E688C" w:rsidRDefault="009E688C" w:rsidP="009E688C">
    <w:pPr>
      <w:pStyle w:val="Footer"/>
      <w:ind w:right="360"/>
    </w:pPr>
    <w:r>
      <w:rPr>
        <w:noProof/>
      </w:rPr>
      <w:drawing>
        <wp:inline distT="0" distB="0" distL="0" distR="0" wp14:anchorId="652522A4" wp14:editId="5CAECA57">
          <wp:extent cx="1007167" cy="265044"/>
          <wp:effectExtent l="0" t="0" r="0" b="1905"/>
          <wp:docPr id="2050325557" name="Picture 20503255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53363453" w14:textId="77777777" w:rsidR="00242D07" w:rsidRDefault="00242D07">
    <w:pPr>
      <w:pStyle w:val="Footer"/>
    </w:pPr>
    <w:r>
      <w:rPr>
        <w:noProof/>
      </w:rPr>
      <mc:AlternateContent>
        <mc:Choice Requires="wps">
          <w:drawing>
            <wp:anchor distT="0" distB="0" distL="0" distR="0" simplePos="0" relativeHeight="251658245" behindDoc="0" locked="0" layoutInCell="1" allowOverlap="1" wp14:anchorId="1918ED10" wp14:editId="6C4B4278">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51A341"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918ED10" id="Text Box 9" o:spid="_x0000_s1033"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7B51A341"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1B762" w14:textId="77777777" w:rsidR="007D4A42" w:rsidRDefault="007D4A42" w:rsidP="00660C79">
      <w:pPr>
        <w:spacing w:line="240" w:lineRule="auto"/>
      </w:pPr>
      <w:r>
        <w:separator/>
      </w:r>
    </w:p>
  </w:footnote>
  <w:footnote w:type="continuationSeparator" w:id="0">
    <w:p w14:paraId="7C514C75" w14:textId="77777777" w:rsidR="007D4A42" w:rsidRDefault="007D4A42" w:rsidP="00660C79">
      <w:pPr>
        <w:spacing w:line="240" w:lineRule="auto"/>
      </w:pPr>
      <w:r>
        <w:continuationSeparator/>
      </w:r>
    </w:p>
  </w:footnote>
  <w:footnote w:type="continuationNotice" w:id="1">
    <w:p w14:paraId="54069290" w14:textId="77777777" w:rsidR="007D4A42" w:rsidRDefault="007D4A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9EF41" w14:textId="77777777" w:rsidR="00242D07" w:rsidRDefault="00242D07">
    <w:pPr>
      <w:pStyle w:val="Header"/>
    </w:pPr>
    <w:r>
      <w:rPr>
        <w:noProof/>
      </w:rPr>
      <mc:AlternateContent>
        <mc:Choice Requires="wps">
          <w:drawing>
            <wp:anchor distT="0" distB="0" distL="0" distR="0" simplePos="0" relativeHeight="251658243" behindDoc="0" locked="0" layoutInCell="1" allowOverlap="1" wp14:anchorId="39F2B8A5" wp14:editId="2FA258D3">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0C1979"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F2B8A5"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0C1979"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5878" w14:textId="39707322" w:rsidR="008D113C" w:rsidRPr="00917BB1" w:rsidRDefault="00242D07"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02366A0D" wp14:editId="7C8F2E90">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805E64"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366A0D"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1805E64"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sidR="005C4DF5">
      <w:rPr>
        <w:color w:val="6E7571" w:themeColor="text2"/>
      </w:rPr>
      <w:t>Identifying a substantial change</w:t>
    </w:r>
  </w:p>
  <w:p w14:paraId="0B50EB42"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1BFA5336" wp14:editId="6D5703A0">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5B209D"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96598" w14:textId="77777777" w:rsidR="00242D07" w:rsidRDefault="00242D07">
    <w:pPr>
      <w:pStyle w:val="Header"/>
    </w:pPr>
    <w:r>
      <w:rPr>
        <w:noProof/>
      </w:rPr>
      <mc:AlternateContent>
        <mc:Choice Requires="wps">
          <w:drawing>
            <wp:anchor distT="0" distB="0" distL="0" distR="0" simplePos="0" relativeHeight="251658242" behindDoc="0" locked="0" layoutInCell="1" allowOverlap="1" wp14:anchorId="4941B1A4" wp14:editId="7848BA1D">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216F0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41B1A4"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C216F0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7021"/>
        </w:tabs>
        <w:ind w:left="7021"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963A6"/>
    <w:multiLevelType w:val="hybridMultilevel"/>
    <w:tmpl w:val="25CC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A3F43"/>
    <w:multiLevelType w:val="multilevel"/>
    <w:tmpl w:val="4C88649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26764081"/>
    <w:multiLevelType w:val="hybridMultilevel"/>
    <w:tmpl w:val="9E466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158A9"/>
    <w:multiLevelType w:val="hybridMultilevel"/>
    <w:tmpl w:val="4DD0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70D4C"/>
    <w:multiLevelType w:val="hybridMultilevel"/>
    <w:tmpl w:val="7C2A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D299F"/>
    <w:multiLevelType w:val="hybridMultilevel"/>
    <w:tmpl w:val="F964F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E759B"/>
    <w:multiLevelType w:val="multilevel"/>
    <w:tmpl w:val="1B3409A0"/>
    <w:lvl w:ilvl="0">
      <w:start w:val="1"/>
      <w:numFmt w:val="lowerRoman"/>
      <w:lvlText w:val="(%1)"/>
      <w:lvlJc w:val="left"/>
      <w:pPr>
        <w:tabs>
          <w:tab w:val="left" w:pos="720"/>
        </w:tabs>
      </w:pPr>
      <w:rPr>
        <w:rFonts w:ascii="Arial" w:eastAsia="Arial" w:hAnsi="Arial"/>
        <w: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5F5622"/>
    <w:multiLevelType w:val="hybridMultilevel"/>
    <w:tmpl w:val="184E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20FB3"/>
    <w:multiLevelType w:val="hybridMultilevel"/>
    <w:tmpl w:val="672A2ED0"/>
    <w:lvl w:ilvl="0" w:tplc="CFB4D5D0">
      <w:start w:val="1"/>
      <w:numFmt w:val="decimal"/>
      <w:lvlText w:val="%1."/>
      <w:lvlJc w:val="left"/>
      <w:pPr>
        <w:ind w:left="3621" w:hanging="36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19" w15:restartNumberingAfterBreak="0">
    <w:nsid w:val="3FD76CB0"/>
    <w:multiLevelType w:val="multilevel"/>
    <w:tmpl w:val="BAD61C24"/>
    <w:lvl w:ilvl="0">
      <w:numFmt w:val="bullet"/>
      <w:lvlText w:val="·"/>
      <w:lvlJc w:val="left"/>
      <w:pPr>
        <w:tabs>
          <w:tab w:val="left" w:pos="72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FA335F"/>
    <w:multiLevelType w:val="hybridMultilevel"/>
    <w:tmpl w:val="E04E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03B8B"/>
    <w:multiLevelType w:val="multilevel"/>
    <w:tmpl w:val="13F8555A"/>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695A67"/>
    <w:multiLevelType w:val="hybridMultilevel"/>
    <w:tmpl w:val="B778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2760B"/>
    <w:multiLevelType w:val="hybridMultilevel"/>
    <w:tmpl w:val="BF4E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B4244A"/>
    <w:multiLevelType w:val="hybridMultilevel"/>
    <w:tmpl w:val="EDFC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8E2571"/>
    <w:multiLevelType w:val="multilevel"/>
    <w:tmpl w:val="27A65D46"/>
    <w:lvl w:ilvl="0">
      <w:numFmt w:val="bullet"/>
      <w:lvlText w:val="·"/>
      <w:lvlJc w:val="left"/>
      <w:pPr>
        <w:tabs>
          <w:tab w:val="left" w:pos="57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33555B"/>
    <w:multiLevelType w:val="multilevel"/>
    <w:tmpl w:val="9A3A4792"/>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0C276A"/>
    <w:multiLevelType w:val="multilevel"/>
    <w:tmpl w:val="8DF692BC"/>
    <w:lvl w:ilvl="0">
      <w:start w:val="2"/>
      <w:numFmt w:val="lowerLetter"/>
      <w:lvlText w:val="(%1)"/>
      <w:lvlJc w:val="left"/>
      <w:pPr>
        <w:tabs>
          <w:tab w:val="left" w:pos="720"/>
        </w:tabs>
      </w:pPr>
      <w:rPr>
        <w:rFonts w:ascii="Arial" w:eastAsia="Arial" w:hAnsi="Arial"/>
        <w: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024938348">
    <w:abstractNumId w:val="26"/>
  </w:num>
  <w:num w:numId="12" w16cid:durableId="106119056">
    <w:abstractNumId w:val="14"/>
  </w:num>
  <w:num w:numId="13" w16cid:durableId="1818955842">
    <w:abstractNumId w:val="24"/>
  </w:num>
  <w:num w:numId="14" w16cid:durableId="2628843">
    <w:abstractNumId w:val="16"/>
  </w:num>
  <w:num w:numId="15" w16cid:durableId="625815699">
    <w:abstractNumId w:val="29"/>
  </w:num>
  <w:num w:numId="16" w16cid:durableId="476264180">
    <w:abstractNumId w:val="19"/>
  </w:num>
  <w:num w:numId="17" w16cid:durableId="1973368721">
    <w:abstractNumId w:val="21"/>
  </w:num>
  <w:num w:numId="18" w16cid:durableId="60835924">
    <w:abstractNumId w:val="28"/>
  </w:num>
  <w:num w:numId="19" w16cid:durableId="1612056952">
    <w:abstractNumId w:val="25"/>
  </w:num>
  <w:num w:numId="20" w16cid:durableId="136149718">
    <w:abstractNumId w:val="18"/>
  </w:num>
  <w:num w:numId="21" w16cid:durableId="1765564636">
    <w:abstractNumId w:val="11"/>
  </w:num>
  <w:num w:numId="22" w16cid:durableId="1115488505">
    <w:abstractNumId w:val="27"/>
  </w:num>
  <w:num w:numId="23" w16cid:durableId="1959989330">
    <w:abstractNumId w:val="20"/>
  </w:num>
  <w:num w:numId="24" w16cid:durableId="528186293">
    <w:abstractNumId w:val="10"/>
  </w:num>
  <w:num w:numId="25" w16cid:durableId="1226725272">
    <w:abstractNumId w:val="13"/>
  </w:num>
  <w:num w:numId="26" w16cid:durableId="1771386011">
    <w:abstractNumId w:val="22"/>
  </w:num>
  <w:num w:numId="27" w16cid:durableId="167672391">
    <w:abstractNumId w:val="17"/>
  </w:num>
  <w:num w:numId="28" w16cid:durableId="746148687">
    <w:abstractNumId w:val="15"/>
  </w:num>
  <w:num w:numId="29" w16cid:durableId="254636684">
    <w:abstractNumId w:val="12"/>
  </w:num>
  <w:num w:numId="30" w16cid:durableId="6542581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06"/>
    <w:rsid w:val="000107ED"/>
    <w:rsid w:val="00032829"/>
    <w:rsid w:val="0003464C"/>
    <w:rsid w:val="00040431"/>
    <w:rsid w:val="00040561"/>
    <w:rsid w:val="000416AE"/>
    <w:rsid w:val="00046B93"/>
    <w:rsid w:val="00047731"/>
    <w:rsid w:val="00054BF4"/>
    <w:rsid w:val="00062FEA"/>
    <w:rsid w:val="00070937"/>
    <w:rsid w:val="0007215B"/>
    <w:rsid w:val="0007596A"/>
    <w:rsid w:val="00075996"/>
    <w:rsid w:val="00075ED4"/>
    <w:rsid w:val="000771FB"/>
    <w:rsid w:val="00084EF2"/>
    <w:rsid w:val="00094CFC"/>
    <w:rsid w:val="000A31FF"/>
    <w:rsid w:val="000B7559"/>
    <w:rsid w:val="000C3854"/>
    <w:rsid w:val="000D3FF3"/>
    <w:rsid w:val="000E05DE"/>
    <w:rsid w:val="000E0D15"/>
    <w:rsid w:val="000E1D16"/>
    <w:rsid w:val="000E3BDA"/>
    <w:rsid w:val="000E6A95"/>
    <w:rsid w:val="000F0C9F"/>
    <w:rsid w:val="000F50F3"/>
    <w:rsid w:val="001034FB"/>
    <w:rsid w:val="00103B43"/>
    <w:rsid w:val="00105F31"/>
    <w:rsid w:val="001173CA"/>
    <w:rsid w:val="0012005B"/>
    <w:rsid w:val="001213D4"/>
    <w:rsid w:val="00122156"/>
    <w:rsid w:val="00125A77"/>
    <w:rsid w:val="0013238E"/>
    <w:rsid w:val="00143F3E"/>
    <w:rsid w:val="0015468A"/>
    <w:rsid w:val="00161CEE"/>
    <w:rsid w:val="00167E46"/>
    <w:rsid w:val="00173A81"/>
    <w:rsid w:val="00175328"/>
    <w:rsid w:val="00177F42"/>
    <w:rsid w:val="00183144"/>
    <w:rsid w:val="00185786"/>
    <w:rsid w:val="0019257C"/>
    <w:rsid w:val="001943E3"/>
    <w:rsid w:val="0019661F"/>
    <w:rsid w:val="001A0196"/>
    <w:rsid w:val="001A4090"/>
    <w:rsid w:val="001B3ED3"/>
    <w:rsid w:val="001B7497"/>
    <w:rsid w:val="001C3C8A"/>
    <w:rsid w:val="001C5113"/>
    <w:rsid w:val="001C5BE8"/>
    <w:rsid w:val="001D0D68"/>
    <w:rsid w:val="001D14F8"/>
    <w:rsid w:val="001D39EA"/>
    <w:rsid w:val="001D545A"/>
    <w:rsid w:val="001D5AB4"/>
    <w:rsid w:val="001E56DA"/>
    <w:rsid w:val="001E6164"/>
    <w:rsid w:val="001F26A3"/>
    <w:rsid w:val="001F3F4F"/>
    <w:rsid w:val="00200FF6"/>
    <w:rsid w:val="002212F0"/>
    <w:rsid w:val="00222251"/>
    <w:rsid w:val="002306B3"/>
    <w:rsid w:val="002358B7"/>
    <w:rsid w:val="00236552"/>
    <w:rsid w:val="00242D07"/>
    <w:rsid w:val="00252C80"/>
    <w:rsid w:val="0025516C"/>
    <w:rsid w:val="00255C48"/>
    <w:rsid w:val="002818BD"/>
    <w:rsid w:val="00281BB1"/>
    <w:rsid w:val="00290B1F"/>
    <w:rsid w:val="00291710"/>
    <w:rsid w:val="002970FD"/>
    <w:rsid w:val="002A56DF"/>
    <w:rsid w:val="002A7B28"/>
    <w:rsid w:val="002B6E9D"/>
    <w:rsid w:val="002C065B"/>
    <w:rsid w:val="002C5A4A"/>
    <w:rsid w:val="002E4F48"/>
    <w:rsid w:val="0030096D"/>
    <w:rsid w:val="003015B5"/>
    <w:rsid w:val="00301724"/>
    <w:rsid w:val="00315300"/>
    <w:rsid w:val="00317618"/>
    <w:rsid w:val="00325529"/>
    <w:rsid w:val="00331306"/>
    <w:rsid w:val="00331AE8"/>
    <w:rsid w:val="003356EF"/>
    <w:rsid w:val="00344283"/>
    <w:rsid w:val="003466B5"/>
    <w:rsid w:val="00346AB3"/>
    <w:rsid w:val="00355B15"/>
    <w:rsid w:val="00362079"/>
    <w:rsid w:val="003636D8"/>
    <w:rsid w:val="00381B2D"/>
    <w:rsid w:val="00381E17"/>
    <w:rsid w:val="00383376"/>
    <w:rsid w:val="003A0836"/>
    <w:rsid w:val="003A1625"/>
    <w:rsid w:val="003B26B7"/>
    <w:rsid w:val="003B5895"/>
    <w:rsid w:val="003C193F"/>
    <w:rsid w:val="003E1377"/>
    <w:rsid w:val="003E37CB"/>
    <w:rsid w:val="003F4F29"/>
    <w:rsid w:val="003F5384"/>
    <w:rsid w:val="003F5CE2"/>
    <w:rsid w:val="003F5D6E"/>
    <w:rsid w:val="00405819"/>
    <w:rsid w:val="00405E22"/>
    <w:rsid w:val="00406E25"/>
    <w:rsid w:val="004073BC"/>
    <w:rsid w:val="00423A0E"/>
    <w:rsid w:val="0042672C"/>
    <w:rsid w:val="00430696"/>
    <w:rsid w:val="00444AA1"/>
    <w:rsid w:val="00451104"/>
    <w:rsid w:val="00463803"/>
    <w:rsid w:val="00464FE8"/>
    <w:rsid w:val="0048195E"/>
    <w:rsid w:val="004A05F6"/>
    <w:rsid w:val="004D35DF"/>
    <w:rsid w:val="004D5864"/>
    <w:rsid w:val="004F119B"/>
    <w:rsid w:val="004F3144"/>
    <w:rsid w:val="004F3AD7"/>
    <w:rsid w:val="00511229"/>
    <w:rsid w:val="00514B59"/>
    <w:rsid w:val="005235E7"/>
    <w:rsid w:val="00525BAF"/>
    <w:rsid w:val="00531FF7"/>
    <w:rsid w:val="00534183"/>
    <w:rsid w:val="00537FF3"/>
    <w:rsid w:val="00544A39"/>
    <w:rsid w:val="00546E80"/>
    <w:rsid w:val="00551989"/>
    <w:rsid w:val="00555176"/>
    <w:rsid w:val="00571963"/>
    <w:rsid w:val="005777C7"/>
    <w:rsid w:val="00583370"/>
    <w:rsid w:val="0059761E"/>
    <w:rsid w:val="005A355E"/>
    <w:rsid w:val="005A44A0"/>
    <w:rsid w:val="005C406B"/>
    <w:rsid w:val="005C4DF5"/>
    <w:rsid w:val="005D1213"/>
    <w:rsid w:val="005D1902"/>
    <w:rsid w:val="005D31BD"/>
    <w:rsid w:val="005D425C"/>
    <w:rsid w:val="005D6119"/>
    <w:rsid w:val="005E5007"/>
    <w:rsid w:val="005E7452"/>
    <w:rsid w:val="005F6327"/>
    <w:rsid w:val="005F71C6"/>
    <w:rsid w:val="00602146"/>
    <w:rsid w:val="00612794"/>
    <w:rsid w:val="006243FF"/>
    <w:rsid w:val="00625167"/>
    <w:rsid w:val="006340E7"/>
    <w:rsid w:val="006502E4"/>
    <w:rsid w:val="00655FBC"/>
    <w:rsid w:val="00660C79"/>
    <w:rsid w:val="006618E6"/>
    <w:rsid w:val="00663D05"/>
    <w:rsid w:val="006671FE"/>
    <w:rsid w:val="00693D78"/>
    <w:rsid w:val="006A74A2"/>
    <w:rsid w:val="006B0D54"/>
    <w:rsid w:val="006B4C3B"/>
    <w:rsid w:val="006B742F"/>
    <w:rsid w:val="006C7E3B"/>
    <w:rsid w:val="006D11E1"/>
    <w:rsid w:val="006D16CE"/>
    <w:rsid w:val="006D5765"/>
    <w:rsid w:val="006E3126"/>
    <w:rsid w:val="006E7474"/>
    <w:rsid w:val="006F3444"/>
    <w:rsid w:val="006F42D8"/>
    <w:rsid w:val="006F462B"/>
    <w:rsid w:val="006F7002"/>
    <w:rsid w:val="00703173"/>
    <w:rsid w:val="00721424"/>
    <w:rsid w:val="00721568"/>
    <w:rsid w:val="00726679"/>
    <w:rsid w:val="00727E98"/>
    <w:rsid w:val="007352C4"/>
    <w:rsid w:val="00740969"/>
    <w:rsid w:val="00745B24"/>
    <w:rsid w:val="00753DDE"/>
    <w:rsid w:val="00755E99"/>
    <w:rsid w:val="007701C2"/>
    <w:rsid w:val="007713E6"/>
    <w:rsid w:val="007810A3"/>
    <w:rsid w:val="007858DE"/>
    <w:rsid w:val="007868C1"/>
    <w:rsid w:val="00794FB4"/>
    <w:rsid w:val="007A4B13"/>
    <w:rsid w:val="007A60E1"/>
    <w:rsid w:val="007B4C93"/>
    <w:rsid w:val="007C08C3"/>
    <w:rsid w:val="007C27B0"/>
    <w:rsid w:val="007C3F12"/>
    <w:rsid w:val="007C578D"/>
    <w:rsid w:val="007C7054"/>
    <w:rsid w:val="007D07C8"/>
    <w:rsid w:val="007D159F"/>
    <w:rsid w:val="007D441B"/>
    <w:rsid w:val="007D4A42"/>
    <w:rsid w:val="007D5ACA"/>
    <w:rsid w:val="007E384C"/>
    <w:rsid w:val="007F71E9"/>
    <w:rsid w:val="00801105"/>
    <w:rsid w:val="00801D0F"/>
    <w:rsid w:val="00813A7F"/>
    <w:rsid w:val="00817CFD"/>
    <w:rsid w:val="008268B8"/>
    <w:rsid w:val="00836CA6"/>
    <w:rsid w:val="00837CAF"/>
    <w:rsid w:val="00861B46"/>
    <w:rsid w:val="00874F22"/>
    <w:rsid w:val="00875E1C"/>
    <w:rsid w:val="00882494"/>
    <w:rsid w:val="00887B25"/>
    <w:rsid w:val="00891182"/>
    <w:rsid w:val="0089342C"/>
    <w:rsid w:val="008A65C5"/>
    <w:rsid w:val="008B396D"/>
    <w:rsid w:val="008B51A6"/>
    <w:rsid w:val="008C1A73"/>
    <w:rsid w:val="008C2776"/>
    <w:rsid w:val="008C3474"/>
    <w:rsid w:val="008D113C"/>
    <w:rsid w:val="008D376F"/>
    <w:rsid w:val="008D40AA"/>
    <w:rsid w:val="008D5BF7"/>
    <w:rsid w:val="008E1C17"/>
    <w:rsid w:val="00903382"/>
    <w:rsid w:val="0091516A"/>
    <w:rsid w:val="00916FB3"/>
    <w:rsid w:val="00917BB1"/>
    <w:rsid w:val="009241E9"/>
    <w:rsid w:val="00927600"/>
    <w:rsid w:val="00933CEC"/>
    <w:rsid w:val="009359A2"/>
    <w:rsid w:val="0094476A"/>
    <w:rsid w:val="009512A8"/>
    <w:rsid w:val="009546D4"/>
    <w:rsid w:val="009661D6"/>
    <w:rsid w:val="009670C2"/>
    <w:rsid w:val="009700BE"/>
    <w:rsid w:val="00975D21"/>
    <w:rsid w:val="00980531"/>
    <w:rsid w:val="00982EE2"/>
    <w:rsid w:val="0099557E"/>
    <w:rsid w:val="009A240D"/>
    <w:rsid w:val="009A2932"/>
    <w:rsid w:val="009A5FBC"/>
    <w:rsid w:val="009C0DB9"/>
    <w:rsid w:val="009C7E7C"/>
    <w:rsid w:val="009D391C"/>
    <w:rsid w:val="009E00DC"/>
    <w:rsid w:val="009E688C"/>
    <w:rsid w:val="009F127F"/>
    <w:rsid w:val="009F2AF3"/>
    <w:rsid w:val="00A01666"/>
    <w:rsid w:val="00A03658"/>
    <w:rsid w:val="00A07BBE"/>
    <w:rsid w:val="00A10AC8"/>
    <w:rsid w:val="00A315EF"/>
    <w:rsid w:val="00A33819"/>
    <w:rsid w:val="00A37050"/>
    <w:rsid w:val="00A41EAF"/>
    <w:rsid w:val="00A43C4E"/>
    <w:rsid w:val="00A54F6E"/>
    <w:rsid w:val="00A56445"/>
    <w:rsid w:val="00A66149"/>
    <w:rsid w:val="00A71424"/>
    <w:rsid w:val="00A73F0C"/>
    <w:rsid w:val="00A8195B"/>
    <w:rsid w:val="00A84508"/>
    <w:rsid w:val="00A9349C"/>
    <w:rsid w:val="00A96CAD"/>
    <w:rsid w:val="00AA6F13"/>
    <w:rsid w:val="00AA7910"/>
    <w:rsid w:val="00AB0489"/>
    <w:rsid w:val="00AC4088"/>
    <w:rsid w:val="00AC6F45"/>
    <w:rsid w:val="00AD1E9D"/>
    <w:rsid w:val="00AD40B1"/>
    <w:rsid w:val="00AE068C"/>
    <w:rsid w:val="00AE1CF7"/>
    <w:rsid w:val="00AF1937"/>
    <w:rsid w:val="00AF2042"/>
    <w:rsid w:val="00AF532B"/>
    <w:rsid w:val="00AF74E2"/>
    <w:rsid w:val="00B03E57"/>
    <w:rsid w:val="00B0482C"/>
    <w:rsid w:val="00B14C2D"/>
    <w:rsid w:val="00B164AF"/>
    <w:rsid w:val="00B16A13"/>
    <w:rsid w:val="00B2135D"/>
    <w:rsid w:val="00B274A1"/>
    <w:rsid w:val="00B34692"/>
    <w:rsid w:val="00B36A26"/>
    <w:rsid w:val="00B46E48"/>
    <w:rsid w:val="00B51FCE"/>
    <w:rsid w:val="00B52B6F"/>
    <w:rsid w:val="00B54CF4"/>
    <w:rsid w:val="00B568E3"/>
    <w:rsid w:val="00B65BB0"/>
    <w:rsid w:val="00B66366"/>
    <w:rsid w:val="00B66F66"/>
    <w:rsid w:val="00B73571"/>
    <w:rsid w:val="00B8114A"/>
    <w:rsid w:val="00B81929"/>
    <w:rsid w:val="00B82F16"/>
    <w:rsid w:val="00B8653F"/>
    <w:rsid w:val="00B927B3"/>
    <w:rsid w:val="00B930AA"/>
    <w:rsid w:val="00B978EE"/>
    <w:rsid w:val="00BB0916"/>
    <w:rsid w:val="00BB46FC"/>
    <w:rsid w:val="00BB4DAD"/>
    <w:rsid w:val="00BB6EB1"/>
    <w:rsid w:val="00BC210C"/>
    <w:rsid w:val="00BC4B32"/>
    <w:rsid w:val="00BC7423"/>
    <w:rsid w:val="00BD4A15"/>
    <w:rsid w:val="00BE1353"/>
    <w:rsid w:val="00BE1A0B"/>
    <w:rsid w:val="00BE5281"/>
    <w:rsid w:val="00BE6CB0"/>
    <w:rsid w:val="00C009EF"/>
    <w:rsid w:val="00C077FC"/>
    <w:rsid w:val="00C10A37"/>
    <w:rsid w:val="00C14825"/>
    <w:rsid w:val="00C174D6"/>
    <w:rsid w:val="00C20DE7"/>
    <w:rsid w:val="00C21A81"/>
    <w:rsid w:val="00C274B2"/>
    <w:rsid w:val="00C422AE"/>
    <w:rsid w:val="00C44111"/>
    <w:rsid w:val="00C46200"/>
    <w:rsid w:val="00C46D54"/>
    <w:rsid w:val="00C517F8"/>
    <w:rsid w:val="00C569B9"/>
    <w:rsid w:val="00C62EC9"/>
    <w:rsid w:val="00C64864"/>
    <w:rsid w:val="00C671E6"/>
    <w:rsid w:val="00C70E7E"/>
    <w:rsid w:val="00C7495D"/>
    <w:rsid w:val="00C82ED1"/>
    <w:rsid w:val="00C918E6"/>
    <w:rsid w:val="00C91A52"/>
    <w:rsid w:val="00CA06C0"/>
    <w:rsid w:val="00CA3027"/>
    <w:rsid w:val="00CB669C"/>
    <w:rsid w:val="00CC1F41"/>
    <w:rsid w:val="00CC406B"/>
    <w:rsid w:val="00CC7F2E"/>
    <w:rsid w:val="00CD0F8C"/>
    <w:rsid w:val="00CD6AC0"/>
    <w:rsid w:val="00CE36E1"/>
    <w:rsid w:val="00CE5E28"/>
    <w:rsid w:val="00CF1E77"/>
    <w:rsid w:val="00CF7EFB"/>
    <w:rsid w:val="00D0015D"/>
    <w:rsid w:val="00D0753E"/>
    <w:rsid w:val="00D1606E"/>
    <w:rsid w:val="00D24CB9"/>
    <w:rsid w:val="00D35448"/>
    <w:rsid w:val="00D4194B"/>
    <w:rsid w:val="00D42C6E"/>
    <w:rsid w:val="00D44384"/>
    <w:rsid w:val="00D45F18"/>
    <w:rsid w:val="00D60C12"/>
    <w:rsid w:val="00D67E90"/>
    <w:rsid w:val="00D75321"/>
    <w:rsid w:val="00D83E8A"/>
    <w:rsid w:val="00D83EA5"/>
    <w:rsid w:val="00D8495D"/>
    <w:rsid w:val="00D87DDF"/>
    <w:rsid w:val="00D90A3F"/>
    <w:rsid w:val="00D92347"/>
    <w:rsid w:val="00D93AEE"/>
    <w:rsid w:val="00D95442"/>
    <w:rsid w:val="00D96A29"/>
    <w:rsid w:val="00DA0083"/>
    <w:rsid w:val="00DD52BC"/>
    <w:rsid w:val="00DF17E3"/>
    <w:rsid w:val="00E03F15"/>
    <w:rsid w:val="00E07C37"/>
    <w:rsid w:val="00E10E2D"/>
    <w:rsid w:val="00E11A56"/>
    <w:rsid w:val="00E11F41"/>
    <w:rsid w:val="00E3290B"/>
    <w:rsid w:val="00E3532D"/>
    <w:rsid w:val="00E41EA5"/>
    <w:rsid w:val="00E513C5"/>
    <w:rsid w:val="00E56F78"/>
    <w:rsid w:val="00E65411"/>
    <w:rsid w:val="00E6724A"/>
    <w:rsid w:val="00E67397"/>
    <w:rsid w:val="00E67C75"/>
    <w:rsid w:val="00E83A47"/>
    <w:rsid w:val="00E851D1"/>
    <w:rsid w:val="00E90264"/>
    <w:rsid w:val="00E92CF4"/>
    <w:rsid w:val="00E961B9"/>
    <w:rsid w:val="00EA4244"/>
    <w:rsid w:val="00EB7B3E"/>
    <w:rsid w:val="00EC47E1"/>
    <w:rsid w:val="00EC570D"/>
    <w:rsid w:val="00EC6A73"/>
    <w:rsid w:val="00EC7D5A"/>
    <w:rsid w:val="00ED1802"/>
    <w:rsid w:val="00ED2F66"/>
    <w:rsid w:val="00ED7348"/>
    <w:rsid w:val="00EE5171"/>
    <w:rsid w:val="00EE7EFB"/>
    <w:rsid w:val="00EF195F"/>
    <w:rsid w:val="00EF1C73"/>
    <w:rsid w:val="00F03267"/>
    <w:rsid w:val="00F06D11"/>
    <w:rsid w:val="00F07048"/>
    <w:rsid w:val="00F403B7"/>
    <w:rsid w:val="00F5041B"/>
    <w:rsid w:val="00F60D5B"/>
    <w:rsid w:val="00F70A4E"/>
    <w:rsid w:val="00F72274"/>
    <w:rsid w:val="00F8425B"/>
    <w:rsid w:val="00F8622E"/>
    <w:rsid w:val="00F90DDB"/>
    <w:rsid w:val="00FB5F21"/>
    <w:rsid w:val="00FC05EF"/>
    <w:rsid w:val="00FD0978"/>
    <w:rsid w:val="00FE371E"/>
    <w:rsid w:val="00FE4986"/>
    <w:rsid w:val="00FF05C2"/>
    <w:rsid w:val="00FF5D5A"/>
    <w:rsid w:val="00FF68CF"/>
    <w:rsid w:val="04F70129"/>
    <w:rsid w:val="36CA84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5CF31"/>
  <w15:chartTrackingRefBased/>
  <w15:docId w15:val="{C823A8DF-2567-4AB7-97AE-FDCB2E4E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2516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2516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2516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2516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2516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2516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2516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25167"/>
    <w:rPr>
      <w:rFonts w:asciiTheme="majorHAnsi" w:eastAsiaTheme="majorEastAsia" w:hAnsiTheme="majorHAnsi" w:cstheme="majorBidi"/>
      <w:b/>
      <w:iCs/>
    </w:rPr>
  </w:style>
  <w:style w:type="paragraph" w:customStyle="1" w:styleId="BodyText1">
    <w:name w:val="Body Text1"/>
    <w:basedOn w:val="Normal"/>
    <w:qFormat/>
    <w:rsid w:val="0062516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character" w:styleId="CommentReference">
    <w:name w:val="annotation reference"/>
    <w:basedOn w:val="DefaultParagraphFont"/>
    <w:uiPriority w:val="99"/>
    <w:semiHidden/>
    <w:unhideWhenUsed/>
    <w:rsid w:val="00753DDE"/>
    <w:rPr>
      <w:sz w:val="16"/>
      <w:szCs w:val="16"/>
    </w:rPr>
  </w:style>
  <w:style w:type="paragraph" w:styleId="CommentText">
    <w:name w:val="annotation text"/>
    <w:basedOn w:val="Normal"/>
    <w:link w:val="CommentTextChar"/>
    <w:uiPriority w:val="99"/>
    <w:unhideWhenUsed/>
    <w:rsid w:val="00753DDE"/>
    <w:pPr>
      <w:spacing w:line="240" w:lineRule="auto"/>
    </w:pPr>
    <w:rPr>
      <w:sz w:val="20"/>
      <w:szCs w:val="20"/>
    </w:rPr>
  </w:style>
  <w:style w:type="character" w:customStyle="1" w:styleId="CommentTextChar">
    <w:name w:val="Comment Text Char"/>
    <w:basedOn w:val="DefaultParagraphFont"/>
    <w:link w:val="CommentText"/>
    <w:uiPriority w:val="99"/>
    <w:rsid w:val="00753DD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53DDE"/>
    <w:rPr>
      <w:b/>
      <w:bCs/>
    </w:rPr>
  </w:style>
  <w:style w:type="character" w:customStyle="1" w:styleId="CommentSubjectChar">
    <w:name w:val="Comment Subject Char"/>
    <w:basedOn w:val="CommentTextChar"/>
    <w:link w:val="CommentSubject"/>
    <w:uiPriority w:val="99"/>
    <w:semiHidden/>
    <w:rsid w:val="00753DDE"/>
    <w:rPr>
      <w:rFonts w:eastAsiaTheme="minorEastAsia"/>
      <w:b/>
      <w:bCs/>
      <w:sz w:val="20"/>
      <w:szCs w:val="20"/>
    </w:rPr>
  </w:style>
  <w:style w:type="paragraph" w:styleId="TOC1">
    <w:name w:val="toc 1"/>
    <w:basedOn w:val="Normal"/>
    <w:next w:val="Normal"/>
    <w:autoRedefine/>
    <w:uiPriority w:val="39"/>
    <w:unhideWhenUsed/>
    <w:rsid w:val="00C077FC"/>
    <w:pPr>
      <w:spacing w:after="100"/>
    </w:pPr>
  </w:style>
  <w:style w:type="paragraph" w:styleId="TOC2">
    <w:name w:val="toc 2"/>
    <w:basedOn w:val="Normal"/>
    <w:next w:val="Normal"/>
    <w:autoRedefine/>
    <w:uiPriority w:val="39"/>
    <w:unhideWhenUsed/>
    <w:rsid w:val="00C077FC"/>
    <w:pPr>
      <w:spacing w:after="100"/>
      <w:ind w:left="240"/>
    </w:pPr>
  </w:style>
  <w:style w:type="paragraph" w:styleId="TOC3">
    <w:name w:val="toc 3"/>
    <w:basedOn w:val="Normal"/>
    <w:next w:val="Normal"/>
    <w:autoRedefine/>
    <w:uiPriority w:val="39"/>
    <w:unhideWhenUsed/>
    <w:rsid w:val="00C077FC"/>
    <w:pPr>
      <w:spacing w:after="100"/>
      <w:ind w:left="480"/>
    </w:pPr>
  </w:style>
  <w:style w:type="paragraph" w:styleId="ListParagraph">
    <w:name w:val="List Paragraph"/>
    <w:basedOn w:val="Normal"/>
    <w:uiPriority w:val="34"/>
    <w:qFormat/>
    <w:rsid w:val="00B66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ir-app-qpl01/LinkToQPulse/Documents.svc/documents/active/attachment?number=WAT-SG-8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regulations/pollution-prevention-and-control/guidance/air-emissions-risk-assessment-for-environmental-permit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ai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B92B2-4ED0-4815-9D45-D925F1C50596}">
  <ds:schemaRefs>
    <ds:schemaRef ds:uri="http://purl.org/dc/dcmitype/"/>
    <ds:schemaRef ds:uri="http://schemas.microsoft.com/office/2006/metadata/properties"/>
    <ds:schemaRef ds:uri="http://purl.org/dc/terms/"/>
    <ds:schemaRef ds:uri="7dd4d6b0-2bd1-40f7-94aa-8d4785e79023"/>
    <ds:schemaRef ds:uri="http://schemas.microsoft.com/office/2006/documentManagement/types"/>
    <ds:schemaRef ds:uri="http://www.w3.org/XML/1998/namespace"/>
    <ds:schemaRef ds:uri="ce5b52f7-9556-48ad-bf4f-1238de82834a"/>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BB036F3B-CB06-46CE-9D87-517427936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65292-4992-4FF8-9FB2-F502FB68F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SEPA_word_template_air_cover</Template>
  <TotalTime>0</TotalTime>
  <Pages>19</Pages>
  <Words>4396</Words>
  <Characters>25058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CE-EnergyAirQuality@ScottishEPA.onmicrosoft.com</dc:creator>
  <cp:keywords/>
  <dc:description/>
  <cp:lastModifiedBy>Smith-Welsh, Lola</cp:lastModifiedBy>
  <cp:revision>2</cp:revision>
  <cp:lastPrinted>2023-03-23T14:44:00Z</cp:lastPrinted>
  <dcterms:created xsi:type="dcterms:W3CDTF">2025-06-03T13:55:00Z</dcterms:created>
  <dcterms:modified xsi:type="dcterms:W3CDTF">2025-06-03T13:55:00Z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2023-07-28T09:30:33Z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956ec501-94bf-4840-9b35-7cf8cccccfd2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