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71C7D99" w14:textId="77777777" w:rsidR="004073BC" w:rsidRDefault="00F72274" w:rsidP="00F72274">
          <w:r>
            <w:rPr>
              <w:noProof/>
            </w:rPr>
            <w:drawing>
              <wp:anchor distT="0" distB="0" distL="114300" distR="114300" simplePos="0" relativeHeight="251658241" behindDoc="1" locked="0" layoutInCell="1" allowOverlap="1" wp14:anchorId="2103FE8C" wp14:editId="31490ABD">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A2DD23F" wp14:editId="2AE78F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B0B3B37" w14:textId="77777777" w:rsidR="004073BC" w:rsidRDefault="004073BC" w:rsidP="008C1A73"/>
        <w:p w14:paraId="18EB5E5C" w14:textId="77777777" w:rsidR="004073BC" w:rsidRDefault="004073BC" w:rsidP="008C1A73"/>
        <w:p w14:paraId="188FBDCD" w14:textId="77777777" w:rsidR="004073BC" w:rsidRDefault="004073BC" w:rsidP="008C1A73"/>
        <w:p w14:paraId="5D7114CC" w14:textId="77777777" w:rsidR="004073BC" w:rsidRDefault="004073BC" w:rsidP="008C1A73"/>
        <w:p w14:paraId="5637C035" w14:textId="77777777" w:rsidR="004073BC" w:rsidRDefault="004073BC" w:rsidP="008C1A73"/>
        <w:p w14:paraId="2370DBF1" w14:textId="2FCA47BB"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080DDE9" wp14:editId="3ACDEE3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4FC4937" w14:textId="409D24AF" w:rsidR="00281BB1" w:rsidRDefault="00174A92" w:rsidP="00281BB1">
                                <w:pPr>
                                  <w:pStyle w:val="BodyText1"/>
                                  <w:rPr>
                                    <w:color w:val="FFFFFF" w:themeColor="background1"/>
                                  </w:rPr>
                                </w:pPr>
                                <w:r>
                                  <w:rPr>
                                    <w:color w:val="FFFFFF" w:themeColor="background1"/>
                                  </w:rPr>
                                  <w:t xml:space="preserve">RS-G-038 </w:t>
                                </w:r>
                                <w:r w:rsidR="000F5E34">
                                  <w:rPr>
                                    <w:color w:val="FFFFFF" w:themeColor="background1"/>
                                  </w:rPr>
                                  <w:t xml:space="preserve">Version 2 – </w:t>
                                </w:r>
                                <w:r w:rsidR="0092053B">
                                  <w:rPr>
                                    <w:color w:val="FFFFFF" w:themeColor="background1"/>
                                  </w:rPr>
                                  <w:t>Decem</w:t>
                                </w:r>
                                <w:r w:rsidR="009C0B00">
                                  <w:rPr>
                                    <w:color w:val="FFFFFF" w:themeColor="background1"/>
                                  </w:rPr>
                                  <w:t>ber</w:t>
                                </w:r>
                                <w:r w:rsidR="000F5E34">
                                  <w:rPr>
                                    <w:color w:val="FFFFFF" w:themeColor="background1"/>
                                  </w:rPr>
                                  <w:t xml:space="preserve"> 2025</w:t>
                                </w:r>
                              </w:p>
                              <w:p w14:paraId="1185C8DE" w14:textId="77777777" w:rsidR="00174A92" w:rsidRPr="009A240D" w:rsidRDefault="00174A92"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0DDE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4FC4937" w14:textId="409D24AF" w:rsidR="00281BB1" w:rsidRDefault="00174A92" w:rsidP="00281BB1">
                          <w:pPr>
                            <w:pStyle w:val="BodyText1"/>
                            <w:rPr>
                              <w:color w:val="FFFFFF" w:themeColor="background1"/>
                            </w:rPr>
                          </w:pPr>
                          <w:r>
                            <w:rPr>
                              <w:color w:val="FFFFFF" w:themeColor="background1"/>
                            </w:rPr>
                            <w:t xml:space="preserve">RS-G-038 </w:t>
                          </w:r>
                          <w:r w:rsidR="000F5E34">
                            <w:rPr>
                              <w:color w:val="FFFFFF" w:themeColor="background1"/>
                            </w:rPr>
                            <w:t xml:space="preserve">Version 2 – </w:t>
                          </w:r>
                          <w:r w:rsidR="0092053B">
                            <w:rPr>
                              <w:color w:val="FFFFFF" w:themeColor="background1"/>
                            </w:rPr>
                            <w:t>Decem</w:t>
                          </w:r>
                          <w:r w:rsidR="009C0B00">
                            <w:rPr>
                              <w:color w:val="FFFFFF" w:themeColor="background1"/>
                            </w:rPr>
                            <w:t>ber</w:t>
                          </w:r>
                          <w:r w:rsidR="000F5E34">
                            <w:rPr>
                              <w:color w:val="FFFFFF" w:themeColor="background1"/>
                            </w:rPr>
                            <w:t xml:space="preserve"> 2025</w:t>
                          </w:r>
                        </w:p>
                        <w:p w14:paraId="1185C8DE" w14:textId="77777777" w:rsidR="00174A92" w:rsidRPr="009A240D" w:rsidRDefault="00174A92" w:rsidP="00281BB1">
                          <w:pPr>
                            <w:pStyle w:val="BodyText1"/>
                            <w:rPr>
                              <w:color w:val="FFFFFF" w:themeColor="background1"/>
                            </w:rPr>
                          </w:pPr>
                        </w:p>
                      </w:txbxContent>
                    </v:textbox>
                    <w10:anchorlock/>
                  </v:shape>
                </w:pict>
              </mc:Fallback>
            </mc:AlternateContent>
          </w:r>
          <w:r w:rsidR="000F5E34">
            <w:rPr>
              <w:b/>
              <w:bCs/>
              <w:color w:val="FFFFFF" w:themeColor="background1"/>
              <w:sz w:val="84"/>
              <w:szCs w:val="84"/>
            </w:rPr>
            <w:t>Outline of SEPA’s Programme of Inspections for Radioactive Substances Activities</w:t>
          </w:r>
        </w:p>
        <w:p w14:paraId="3BB27F59"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929343234"/>
        <w:docPartObj>
          <w:docPartGallery w:val="Table of Contents"/>
          <w:docPartUnique/>
        </w:docPartObj>
      </w:sdtPr>
      <w:sdtEndPr>
        <w:rPr>
          <w:b/>
          <w:bCs/>
          <w:noProof/>
        </w:rPr>
      </w:sdtEndPr>
      <w:sdtContent>
        <w:p w14:paraId="2F731B0C" w14:textId="57868C86" w:rsidR="009E33FF" w:rsidRDefault="009E33FF" w:rsidP="00CA3D96">
          <w:pPr>
            <w:pStyle w:val="TOCHeading"/>
            <w:spacing w:line="360" w:lineRule="auto"/>
          </w:pPr>
          <w:r>
            <w:t>Contents</w:t>
          </w:r>
        </w:p>
        <w:p w14:paraId="7BF7311E" w14:textId="1C00439E" w:rsidR="0092053B" w:rsidRDefault="009E33FF">
          <w:pPr>
            <w:pStyle w:val="TOC1"/>
            <w:tabs>
              <w:tab w:val="right" w:leader="dot" w:pos="10212"/>
            </w:tabs>
            <w:rPr>
              <w:noProof/>
            </w:rPr>
          </w:pPr>
          <w:r>
            <w:fldChar w:fldCharType="begin"/>
          </w:r>
          <w:r>
            <w:instrText xml:space="preserve"> TOC \o "1-3" \h \z \u </w:instrText>
          </w:r>
          <w:r>
            <w:fldChar w:fldCharType="separate"/>
          </w:r>
          <w:hyperlink w:anchor="_Toc218687811" w:history="1">
            <w:r w:rsidR="0092053B" w:rsidRPr="00D229C2">
              <w:rPr>
                <w:rStyle w:val="Hyperlink"/>
                <w:noProof/>
              </w:rPr>
              <w:t>Introduction</w:t>
            </w:r>
            <w:r w:rsidR="0092053B">
              <w:rPr>
                <w:noProof/>
                <w:webHidden/>
              </w:rPr>
              <w:tab/>
            </w:r>
            <w:r w:rsidR="0092053B">
              <w:rPr>
                <w:noProof/>
                <w:webHidden/>
              </w:rPr>
              <w:fldChar w:fldCharType="begin"/>
            </w:r>
            <w:r w:rsidR="0092053B">
              <w:rPr>
                <w:noProof/>
                <w:webHidden/>
              </w:rPr>
              <w:instrText xml:space="preserve"> PAGEREF _Toc218687811 \h </w:instrText>
            </w:r>
            <w:r w:rsidR="0092053B">
              <w:rPr>
                <w:noProof/>
                <w:webHidden/>
              </w:rPr>
            </w:r>
            <w:r w:rsidR="0092053B">
              <w:rPr>
                <w:noProof/>
                <w:webHidden/>
              </w:rPr>
              <w:fldChar w:fldCharType="separate"/>
            </w:r>
            <w:r w:rsidR="0092053B">
              <w:rPr>
                <w:noProof/>
                <w:webHidden/>
              </w:rPr>
              <w:t>3</w:t>
            </w:r>
            <w:r w:rsidR="0092053B">
              <w:rPr>
                <w:noProof/>
                <w:webHidden/>
              </w:rPr>
              <w:fldChar w:fldCharType="end"/>
            </w:r>
          </w:hyperlink>
        </w:p>
        <w:p w14:paraId="55243F23" w14:textId="0C3EF0C9" w:rsidR="0092053B" w:rsidRDefault="0092053B">
          <w:pPr>
            <w:pStyle w:val="TOC1"/>
            <w:tabs>
              <w:tab w:val="right" w:leader="dot" w:pos="10212"/>
            </w:tabs>
            <w:rPr>
              <w:noProof/>
            </w:rPr>
          </w:pPr>
          <w:hyperlink w:anchor="_Toc218687812" w:history="1">
            <w:r w:rsidRPr="00D229C2">
              <w:rPr>
                <w:rStyle w:val="Hyperlink"/>
                <w:noProof/>
              </w:rPr>
              <w:t>General aspects of the inspection programme</w:t>
            </w:r>
            <w:r>
              <w:rPr>
                <w:noProof/>
                <w:webHidden/>
              </w:rPr>
              <w:tab/>
            </w:r>
            <w:r>
              <w:rPr>
                <w:noProof/>
                <w:webHidden/>
              </w:rPr>
              <w:fldChar w:fldCharType="begin"/>
            </w:r>
            <w:r>
              <w:rPr>
                <w:noProof/>
                <w:webHidden/>
              </w:rPr>
              <w:instrText xml:space="preserve"> PAGEREF _Toc218687812 \h </w:instrText>
            </w:r>
            <w:r>
              <w:rPr>
                <w:noProof/>
                <w:webHidden/>
              </w:rPr>
            </w:r>
            <w:r>
              <w:rPr>
                <w:noProof/>
                <w:webHidden/>
              </w:rPr>
              <w:fldChar w:fldCharType="separate"/>
            </w:r>
            <w:r>
              <w:rPr>
                <w:noProof/>
                <w:webHidden/>
              </w:rPr>
              <w:t>3</w:t>
            </w:r>
            <w:r>
              <w:rPr>
                <w:noProof/>
                <w:webHidden/>
              </w:rPr>
              <w:fldChar w:fldCharType="end"/>
            </w:r>
          </w:hyperlink>
        </w:p>
        <w:p w14:paraId="6A9709A3" w14:textId="7BB379F1" w:rsidR="0092053B" w:rsidRDefault="0092053B">
          <w:pPr>
            <w:pStyle w:val="TOC1"/>
            <w:tabs>
              <w:tab w:val="right" w:leader="dot" w:pos="10212"/>
            </w:tabs>
            <w:rPr>
              <w:noProof/>
            </w:rPr>
          </w:pPr>
          <w:hyperlink w:anchor="_Toc218687813" w:history="1">
            <w:r w:rsidRPr="00D229C2">
              <w:rPr>
                <w:rStyle w:val="Hyperlink"/>
                <w:noProof/>
              </w:rPr>
              <w:t>Inspection programme for onshore registrations</w:t>
            </w:r>
            <w:r>
              <w:rPr>
                <w:noProof/>
                <w:webHidden/>
              </w:rPr>
              <w:tab/>
            </w:r>
            <w:r>
              <w:rPr>
                <w:noProof/>
                <w:webHidden/>
              </w:rPr>
              <w:fldChar w:fldCharType="begin"/>
            </w:r>
            <w:r>
              <w:rPr>
                <w:noProof/>
                <w:webHidden/>
              </w:rPr>
              <w:instrText xml:space="preserve"> PAGEREF _Toc218687813 \h </w:instrText>
            </w:r>
            <w:r>
              <w:rPr>
                <w:noProof/>
                <w:webHidden/>
              </w:rPr>
            </w:r>
            <w:r>
              <w:rPr>
                <w:noProof/>
                <w:webHidden/>
              </w:rPr>
              <w:fldChar w:fldCharType="separate"/>
            </w:r>
            <w:r>
              <w:rPr>
                <w:noProof/>
                <w:webHidden/>
              </w:rPr>
              <w:t>4</w:t>
            </w:r>
            <w:r>
              <w:rPr>
                <w:noProof/>
                <w:webHidden/>
              </w:rPr>
              <w:fldChar w:fldCharType="end"/>
            </w:r>
          </w:hyperlink>
        </w:p>
        <w:p w14:paraId="3F59AFF2" w14:textId="2AB428B6" w:rsidR="0092053B" w:rsidRDefault="0092053B">
          <w:pPr>
            <w:pStyle w:val="TOC1"/>
            <w:tabs>
              <w:tab w:val="right" w:leader="dot" w:pos="10212"/>
            </w:tabs>
            <w:rPr>
              <w:noProof/>
            </w:rPr>
          </w:pPr>
          <w:hyperlink w:anchor="_Toc218687814" w:history="1">
            <w:r w:rsidRPr="00D229C2">
              <w:rPr>
                <w:rStyle w:val="Hyperlink"/>
                <w:noProof/>
              </w:rPr>
              <w:t>Inspection programme for onshore permits</w:t>
            </w:r>
            <w:r>
              <w:rPr>
                <w:noProof/>
                <w:webHidden/>
              </w:rPr>
              <w:tab/>
            </w:r>
            <w:r>
              <w:rPr>
                <w:noProof/>
                <w:webHidden/>
              </w:rPr>
              <w:fldChar w:fldCharType="begin"/>
            </w:r>
            <w:r>
              <w:rPr>
                <w:noProof/>
                <w:webHidden/>
              </w:rPr>
              <w:instrText xml:space="preserve"> PAGEREF _Toc218687814 \h </w:instrText>
            </w:r>
            <w:r>
              <w:rPr>
                <w:noProof/>
                <w:webHidden/>
              </w:rPr>
            </w:r>
            <w:r>
              <w:rPr>
                <w:noProof/>
                <w:webHidden/>
              </w:rPr>
              <w:fldChar w:fldCharType="separate"/>
            </w:r>
            <w:r>
              <w:rPr>
                <w:noProof/>
                <w:webHidden/>
              </w:rPr>
              <w:t>4</w:t>
            </w:r>
            <w:r>
              <w:rPr>
                <w:noProof/>
                <w:webHidden/>
              </w:rPr>
              <w:fldChar w:fldCharType="end"/>
            </w:r>
          </w:hyperlink>
        </w:p>
        <w:p w14:paraId="6EBFA8CF" w14:textId="4B3837C2" w:rsidR="0092053B" w:rsidRDefault="0092053B">
          <w:pPr>
            <w:pStyle w:val="TOC1"/>
            <w:tabs>
              <w:tab w:val="right" w:leader="dot" w:pos="10212"/>
            </w:tabs>
            <w:rPr>
              <w:noProof/>
            </w:rPr>
          </w:pPr>
          <w:hyperlink w:anchor="_Toc218687815" w:history="1">
            <w:r w:rsidRPr="00D229C2">
              <w:rPr>
                <w:rStyle w:val="Hyperlink"/>
                <w:noProof/>
              </w:rPr>
              <w:t>Inspection programme for offshore authorisations</w:t>
            </w:r>
            <w:r>
              <w:rPr>
                <w:noProof/>
                <w:webHidden/>
              </w:rPr>
              <w:tab/>
            </w:r>
            <w:r>
              <w:rPr>
                <w:noProof/>
                <w:webHidden/>
              </w:rPr>
              <w:fldChar w:fldCharType="begin"/>
            </w:r>
            <w:r>
              <w:rPr>
                <w:noProof/>
                <w:webHidden/>
              </w:rPr>
              <w:instrText xml:space="preserve"> PAGEREF _Toc218687815 \h </w:instrText>
            </w:r>
            <w:r>
              <w:rPr>
                <w:noProof/>
                <w:webHidden/>
              </w:rPr>
            </w:r>
            <w:r>
              <w:rPr>
                <w:noProof/>
                <w:webHidden/>
              </w:rPr>
              <w:fldChar w:fldCharType="separate"/>
            </w:r>
            <w:r>
              <w:rPr>
                <w:noProof/>
                <w:webHidden/>
              </w:rPr>
              <w:t>5</w:t>
            </w:r>
            <w:r>
              <w:rPr>
                <w:noProof/>
                <w:webHidden/>
              </w:rPr>
              <w:fldChar w:fldCharType="end"/>
            </w:r>
          </w:hyperlink>
        </w:p>
        <w:p w14:paraId="49BBFB7E" w14:textId="4ADD82D0" w:rsidR="0092053B" w:rsidRDefault="0092053B">
          <w:pPr>
            <w:pStyle w:val="TOC1"/>
            <w:tabs>
              <w:tab w:val="right" w:leader="dot" w:pos="10212"/>
            </w:tabs>
            <w:rPr>
              <w:noProof/>
            </w:rPr>
          </w:pPr>
          <w:hyperlink w:anchor="_Toc218687816" w:history="1">
            <w:r w:rsidRPr="00D229C2">
              <w:rPr>
                <w:rStyle w:val="Hyperlink"/>
                <w:noProof/>
              </w:rPr>
              <w:t>Themed inspections</w:t>
            </w:r>
            <w:r>
              <w:rPr>
                <w:noProof/>
                <w:webHidden/>
              </w:rPr>
              <w:tab/>
            </w:r>
            <w:r>
              <w:rPr>
                <w:noProof/>
                <w:webHidden/>
              </w:rPr>
              <w:fldChar w:fldCharType="begin"/>
            </w:r>
            <w:r>
              <w:rPr>
                <w:noProof/>
                <w:webHidden/>
              </w:rPr>
              <w:instrText xml:space="preserve"> PAGEREF _Toc218687816 \h </w:instrText>
            </w:r>
            <w:r>
              <w:rPr>
                <w:noProof/>
                <w:webHidden/>
              </w:rPr>
            </w:r>
            <w:r>
              <w:rPr>
                <w:noProof/>
                <w:webHidden/>
              </w:rPr>
              <w:fldChar w:fldCharType="separate"/>
            </w:r>
            <w:r>
              <w:rPr>
                <w:noProof/>
                <w:webHidden/>
              </w:rPr>
              <w:t>5</w:t>
            </w:r>
            <w:r>
              <w:rPr>
                <w:noProof/>
                <w:webHidden/>
              </w:rPr>
              <w:fldChar w:fldCharType="end"/>
            </w:r>
          </w:hyperlink>
        </w:p>
        <w:p w14:paraId="4BABF900" w14:textId="532473EC" w:rsidR="0092053B" w:rsidRDefault="0092053B">
          <w:pPr>
            <w:pStyle w:val="TOC1"/>
            <w:tabs>
              <w:tab w:val="right" w:leader="dot" w:pos="10212"/>
            </w:tabs>
            <w:rPr>
              <w:noProof/>
            </w:rPr>
          </w:pPr>
          <w:hyperlink w:anchor="_Toc218687817" w:history="1">
            <w:r w:rsidRPr="00D229C2">
              <w:rPr>
                <w:rStyle w:val="Hyperlink"/>
                <w:noProof/>
              </w:rPr>
              <w:t>Terms of Reference</w:t>
            </w:r>
            <w:r>
              <w:rPr>
                <w:noProof/>
                <w:webHidden/>
              </w:rPr>
              <w:tab/>
            </w:r>
            <w:r>
              <w:rPr>
                <w:noProof/>
                <w:webHidden/>
              </w:rPr>
              <w:fldChar w:fldCharType="begin"/>
            </w:r>
            <w:r>
              <w:rPr>
                <w:noProof/>
                <w:webHidden/>
              </w:rPr>
              <w:instrText xml:space="preserve"> PAGEREF _Toc218687817 \h </w:instrText>
            </w:r>
            <w:r>
              <w:rPr>
                <w:noProof/>
                <w:webHidden/>
              </w:rPr>
            </w:r>
            <w:r>
              <w:rPr>
                <w:noProof/>
                <w:webHidden/>
              </w:rPr>
              <w:fldChar w:fldCharType="separate"/>
            </w:r>
            <w:r>
              <w:rPr>
                <w:noProof/>
                <w:webHidden/>
              </w:rPr>
              <w:t>6</w:t>
            </w:r>
            <w:r>
              <w:rPr>
                <w:noProof/>
                <w:webHidden/>
              </w:rPr>
              <w:fldChar w:fldCharType="end"/>
            </w:r>
          </w:hyperlink>
        </w:p>
        <w:p w14:paraId="6DE1586C" w14:textId="1F7C41E1" w:rsidR="009E33FF" w:rsidRDefault="009E33FF">
          <w:r>
            <w:rPr>
              <w:b/>
              <w:bCs/>
              <w:noProof/>
            </w:rPr>
            <w:fldChar w:fldCharType="end"/>
          </w:r>
        </w:p>
      </w:sdtContent>
    </w:sdt>
    <w:p w14:paraId="68DAEE88" w14:textId="246FE7DE" w:rsidR="000F5E34" w:rsidRDefault="000F5E34"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6C15C19F" w14:textId="77777777" w:rsidR="006C1073" w:rsidRPr="009670AB" w:rsidRDefault="006C1073" w:rsidP="006C1073">
      <w:pPr>
        <w:rPr>
          <w:color w:val="016574"/>
          <w:sz w:val="32"/>
          <w:szCs w:val="32"/>
        </w:rPr>
      </w:pPr>
      <w:bookmarkStart w:id="0" w:name="_Toc76390107"/>
      <w:r w:rsidRPr="00425C90">
        <w:rPr>
          <w:color w:val="016574"/>
          <w:sz w:val="32"/>
          <w:szCs w:val="32"/>
        </w:rPr>
        <w:lastRenderedPageBreak/>
        <w:t>Document</w:t>
      </w:r>
      <w:r w:rsidRPr="009670AB">
        <w:rPr>
          <w:color w:val="016574"/>
          <w:sz w:val="32"/>
          <w:szCs w:val="32"/>
        </w:rPr>
        <w:t xml:space="preserve"> Control</w:t>
      </w:r>
    </w:p>
    <w:tbl>
      <w:tblPr>
        <w:tblStyle w:val="TableGrid"/>
        <w:tblW w:w="0" w:type="auto"/>
        <w:tblLook w:val="04A0" w:firstRow="1" w:lastRow="0" w:firstColumn="1" w:lastColumn="0" w:noHBand="0" w:noVBand="1"/>
      </w:tblPr>
      <w:tblGrid>
        <w:gridCol w:w="2972"/>
        <w:gridCol w:w="7240"/>
      </w:tblGrid>
      <w:tr w:rsidR="006C1073" w:rsidRPr="002142F6" w14:paraId="39FEE0D2" w14:textId="77777777">
        <w:tc>
          <w:tcPr>
            <w:tcW w:w="2972" w:type="dxa"/>
            <w:vAlign w:val="center"/>
          </w:tcPr>
          <w:p w14:paraId="19B1E80D" w14:textId="77777777" w:rsidR="006C1073" w:rsidRPr="002142F6" w:rsidRDefault="006C1073">
            <w:pPr>
              <w:pStyle w:val="BodyText1"/>
              <w:spacing w:before="120" w:after="120"/>
            </w:pPr>
            <w:r w:rsidRPr="002142F6">
              <w:t>Title</w:t>
            </w:r>
          </w:p>
        </w:tc>
        <w:tc>
          <w:tcPr>
            <w:tcW w:w="7240" w:type="dxa"/>
            <w:vAlign w:val="center"/>
          </w:tcPr>
          <w:p w14:paraId="591FF4CA" w14:textId="38B9BD16" w:rsidR="006C1073" w:rsidRPr="00467170" w:rsidRDefault="00412BFB">
            <w:pPr>
              <w:pStyle w:val="BodyText1"/>
              <w:spacing w:before="120" w:after="120"/>
            </w:pPr>
            <w:r>
              <w:t>Outline of SEPA’s inspection programme for radioactive substances activities</w:t>
            </w:r>
          </w:p>
        </w:tc>
      </w:tr>
      <w:tr w:rsidR="006C1073" w:rsidRPr="002142F6" w14:paraId="2B6653CF" w14:textId="77777777">
        <w:tc>
          <w:tcPr>
            <w:tcW w:w="2972" w:type="dxa"/>
            <w:vAlign w:val="center"/>
          </w:tcPr>
          <w:p w14:paraId="0203A04D" w14:textId="77777777" w:rsidR="006C1073" w:rsidRPr="002142F6" w:rsidRDefault="006C1073">
            <w:pPr>
              <w:pStyle w:val="BodyText1"/>
              <w:spacing w:before="120" w:after="120"/>
            </w:pPr>
            <w:r>
              <w:t>Reference</w:t>
            </w:r>
          </w:p>
        </w:tc>
        <w:tc>
          <w:tcPr>
            <w:tcW w:w="7240" w:type="dxa"/>
            <w:vAlign w:val="center"/>
          </w:tcPr>
          <w:p w14:paraId="60294C70" w14:textId="72365872" w:rsidR="006C1073" w:rsidRDefault="003B7AD4">
            <w:pPr>
              <w:pStyle w:val="BodyText1"/>
              <w:spacing w:before="120" w:after="120"/>
            </w:pPr>
            <w:r>
              <w:t>RS-G-038</w:t>
            </w:r>
          </w:p>
        </w:tc>
      </w:tr>
      <w:tr w:rsidR="006C1073" w:rsidRPr="002142F6" w14:paraId="5464E241" w14:textId="77777777">
        <w:tc>
          <w:tcPr>
            <w:tcW w:w="2972" w:type="dxa"/>
            <w:vAlign w:val="center"/>
          </w:tcPr>
          <w:p w14:paraId="0FAA04FE" w14:textId="77777777" w:rsidR="006C1073" w:rsidRPr="002142F6" w:rsidRDefault="006C1073">
            <w:pPr>
              <w:pStyle w:val="BodyText1"/>
              <w:spacing w:before="120" w:after="120"/>
            </w:pPr>
            <w:r w:rsidRPr="002142F6">
              <w:t>Version</w:t>
            </w:r>
          </w:p>
        </w:tc>
        <w:tc>
          <w:tcPr>
            <w:tcW w:w="7240" w:type="dxa"/>
            <w:vAlign w:val="center"/>
          </w:tcPr>
          <w:p w14:paraId="088E411E" w14:textId="05B55414" w:rsidR="006C1073" w:rsidRPr="00467170" w:rsidRDefault="003B7AD4">
            <w:pPr>
              <w:pStyle w:val="BodyText1"/>
              <w:spacing w:before="120" w:after="120"/>
            </w:pPr>
            <w:r>
              <w:t>2</w:t>
            </w:r>
            <w:r w:rsidR="006C1073">
              <w:t>.0</w:t>
            </w:r>
          </w:p>
        </w:tc>
      </w:tr>
      <w:tr w:rsidR="006C1073" w:rsidRPr="002142F6" w14:paraId="69673B92" w14:textId="77777777">
        <w:tc>
          <w:tcPr>
            <w:tcW w:w="2972" w:type="dxa"/>
            <w:vAlign w:val="center"/>
          </w:tcPr>
          <w:p w14:paraId="3D48C6F5" w14:textId="77777777" w:rsidR="006C1073" w:rsidRPr="002142F6" w:rsidRDefault="006C1073">
            <w:pPr>
              <w:pStyle w:val="BodyText1"/>
              <w:spacing w:before="120" w:after="120"/>
            </w:pPr>
            <w:r w:rsidRPr="002142F6">
              <w:t>Approved by</w:t>
            </w:r>
          </w:p>
        </w:tc>
        <w:tc>
          <w:tcPr>
            <w:tcW w:w="7240" w:type="dxa"/>
            <w:vAlign w:val="center"/>
          </w:tcPr>
          <w:p w14:paraId="2C057BB3" w14:textId="77777777" w:rsidR="006C1073" w:rsidRPr="00467170" w:rsidRDefault="006C1073">
            <w:pPr>
              <w:pStyle w:val="BodyText1"/>
              <w:spacing w:before="120" w:after="120"/>
            </w:pPr>
            <w:r>
              <w:t>RASRAP</w:t>
            </w:r>
          </w:p>
        </w:tc>
      </w:tr>
      <w:tr w:rsidR="006C1073" w:rsidRPr="002142F6" w14:paraId="37766F8B" w14:textId="77777777">
        <w:tc>
          <w:tcPr>
            <w:tcW w:w="2972" w:type="dxa"/>
            <w:vAlign w:val="center"/>
          </w:tcPr>
          <w:p w14:paraId="38653D0F" w14:textId="77777777" w:rsidR="006C1073" w:rsidRPr="002142F6" w:rsidRDefault="006C1073">
            <w:pPr>
              <w:pStyle w:val="BodyText1"/>
              <w:spacing w:before="120" w:after="120"/>
            </w:pPr>
            <w:r w:rsidRPr="002142F6">
              <w:t>Date approved</w:t>
            </w:r>
          </w:p>
        </w:tc>
        <w:tc>
          <w:tcPr>
            <w:tcW w:w="7240" w:type="dxa"/>
            <w:vAlign w:val="center"/>
          </w:tcPr>
          <w:p w14:paraId="1EE44D4E" w14:textId="517821A4" w:rsidR="006C1073" w:rsidRPr="00467170" w:rsidRDefault="009C0B00">
            <w:pPr>
              <w:pStyle w:val="BodyText1"/>
              <w:spacing w:before="120" w:after="120"/>
            </w:pPr>
            <w:r>
              <w:t>28 October 2025</w:t>
            </w:r>
          </w:p>
        </w:tc>
      </w:tr>
    </w:tbl>
    <w:p w14:paraId="55A208E7" w14:textId="77777777" w:rsidR="006C1073" w:rsidRDefault="006C1073" w:rsidP="006C1073">
      <w:pPr>
        <w:pStyle w:val="BodyText1"/>
        <w:rPr>
          <w:color w:val="6E7571" w:themeColor="text2"/>
          <w:sz w:val="32"/>
          <w:szCs w:val="32"/>
          <w:u w:val="single"/>
        </w:rPr>
      </w:pPr>
    </w:p>
    <w:p w14:paraId="443C64DA" w14:textId="77777777" w:rsidR="006C1073" w:rsidRDefault="006C1073" w:rsidP="006C1073">
      <w:pPr>
        <w:pStyle w:val="BodyText1"/>
        <w:spacing w:line="240" w:lineRule="auto"/>
        <w:rPr>
          <w:color w:val="016574"/>
          <w:sz w:val="32"/>
          <w:szCs w:val="32"/>
        </w:rPr>
      </w:pPr>
      <w:r w:rsidRPr="00AE2BC4">
        <w:rPr>
          <w:color w:val="016574"/>
          <w:sz w:val="32"/>
          <w:szCs w:val="32"/>
        </w:rPr>
        <w:t>Version</w:t>
      </w:r>
      <w:r w:rsidRPr="003A0671">
        <w:rPr>
          <w:color w:val="016574"/>
          <w:sz w:val="32"/>
          <w:szCs w:val="32"/>
        </w:rPr>
        <w:t xml:space="preserve"> Control</w:t>
      </w:r>
    </w:p>
    <w:tbl>
      <w:tblPr>
        <w:tblStyle w:val="TableGrid"/>
        <w:tblW w:w="0" w:type="auto"/>
        <w:tblLook w:val="04A0" w:firstRow="1" w:lastRow="0" w:firstColumn="1" w:lastColumn="0" w:noHBand="0" w:noVBand="1"/>
      </w:tblPr>
      <w:tblGrid>
        <w:gridCol w:w="1413"/>
        <w:gridCol w:w="1559"/>
        <w:gridCol w:w="7240"/>
      </w:tblGrid>
      <w:tr w:rsidR="006C1073" w:rsidRPr="007B5C50" w14:paraId="6C1EBF2C" w14:textId="77777777">
        <w:tc>
          <w:tcPr>
            <w:tcW w:w="1413" w:type="dxa"/>
            <w:vAlign w:val="center"/>
          </w:tcPr>
          <w:p w14:paraId="5BF5DE5A" w14:textId="77777777" w:rsidR="006C1073" w:rsidRPr="007B5C50" w:rsidRDefault="006C1073">
            <w:pPr>
              <w:pStyle w:val="BodyText1"/>
              <w:spacing w:before="120" w:after="120"/>
            </w:pPr>
            <w:r>
              <w:t>Version</w:t>
            </w:r>
          </w:p>
        </w:tc>
        <w:tc>
          <w:tcPr>
            <w:tcW w:w="1559" w:type="dxa"/>
            <w:vAlign w:val="center"/>
          </w:tcPr>
          <w:p w14:paraId="026016C3" w14:textId="77777777" w:rsidR="006C1073" w:rsidRPr="007B5C50" w:rsidRDefault="006C1073">
            <w:pPr>
              <w:pStyle w:val="BodyText1"/>
              <w:spacing w:before="120" w:after="120"/>
            </w:pPr>
            <w:r>
              <w:t>Date</w:t>
            </w:r>
          </w:p>
        </w:tc>
        <w:tc>
          <w:tcPr>
            <w:tcW w:w="7240" w:type="dxa"/>
            <w:vAlign w:val="center"/>
          </w:tcPr>
          <w:p w14:paraId="3B55F82E" w14:textId="77777777" w:rsidR="006C1073" w:rsidRPr="007B5C50" w:rsidRDefault="006C1073">
            <w:pPr>
              <w:pStyle w:val="BodyText1"/>
              <w:spacing w:before="120" w:after="120"/>
            </w:pPr>
            <w:r>
              <w:t>Amendments</w:t>
            </w:r>
          </w:p>
        </w:tc>
      </w:tr>
      <w:tr w:rsidR="006C1073" w:rsidRPr="007B5C50" w14:paraId="6CBB2FC5" w14:textId="77777777">
        <w:tc>
          <w:tcPr>
            <w:tcW w:w="1413" w:type="dxa"/>
            <w:vAlign w:val="center"/>
          </w:tcPr>
          <w:p w14:paraId="7298F03F" w14:textId="77777777" w:rsidR="006C1073" w:rsidRPr="007B5C50" w:rsidRDefault="006C1073">
            <w:pPr>
              <w:pStyle w:val="BodyText1"/>
              <w:spacing w:before="120" w:after="120"/>
            </w:pPr>
            <w:r>
              <w:t>1.0</w:t>
            </w:r>
          </w:p>
        </w:tc>
        <w:tc>
          <w:tcPr>
            <w:tcW w:w="1559" w:type="dxa"/>
            <w:vAlign w:val="center"/>
          </w:tcPr>
          <w:p w14:paraId="70458510" w14:textId="30A7192D" w:rsidR="006C1073" w:rsidRPr="007B5C50" w:rsidRDefault="00D60B72">
            <w:pPr>
              <w:pStyle w:val="BodyText1"/>
              <w:spacing w:before="120" w:after="120"/>
            </w:pPr>
            <w:r>
              <w:t xml:space="preserve">MAR </w:t>
            </w:r>
            <w:r w:rsidR="006C1073">
              <w:t>202</w:t>
            </w:r>
            <w:r>
              <w:t>0</w:t>
            </w:r>
          </w:p>
        </w:tc>
        <w:tc>
          <w:tcPr>
            <w:tcW w:w="7240" w:type="dxa"/>
            <w:vAlign w:val="center"/>
          </w:tcPr>
          <w:p w14:paraId="360EB179" w14:textId="77777777" w:rsidR="006C1073" w:rsidRPr="007B5C50" w:rsidRDefault="006C1073">
            <w:pPr>
              <w:pStyle w:val="BodyText1"/>
              <w:spacing w:before="120" w:after="120"/>
            </w:pPr>
            <w:r>
              <w:t>Original document</w:t>
            </w:r>
          </w:p>
        </w:tc>
      </w:tr>
      <w:tr w:rsidR="006C1073" w:rsidRPr="007B5C50" w14:paraId="0EF7DC40" w14:textId="77777777">
        <w:tc>
          <w:tcPr>
            <w:tcW w:w="1413" w:type="dxa"/>
            <w:vAlign w:val="center"/>
          </w:tcPr>
          <w:p w14:paraId="6170DF1C" w14:textId="4C2272CF" w:rsidR="006C1073" w:rsidRDefault="00D60B72">
            <w:pPr>
              <w:pStyle w:val="BodyText1"/>
              <w:spacing w:before="120" w:after="120"/>
            </w:pPr>
            <w:r>
              <w:t>2</w:t>
            </w:r>
            <w:r w:rsidR="006C1073">
              <w:t>.0</w:t>
            </w:r>
          </w:p>
        </w:tc>
        <w:tc>
          <w:tcPr>
            <w:tcW w:w="1559" w:type="dxa"/>
            <w:vAlign w:val="center"/>
          </w:tcPr>
          <w:p w14:paraId="422C3094" w14:textId="34ED60F6" w:rsidR="006C1073" w:rsidRDefault="006F727B">
            <w:pPr>
              <w:pStyle w:val="BodyText1"/>
              <w:spacing w:before="120" w:after="120"/>
            </w:pPr>
            <w:r>
              <w:t>OCT</w:t>
            </w:r>
            <w:r w:rsidR="006C1073">
              <w:t xml:space="preserve"> 2025</w:t>
            </w:r>
          </w:p>
        </w:tc>
        <w:tc>
          <w:tcPr>
            <w:tcW w:w="7240" w:type="dxa"/>
            <w:vAlign w:val="center"/>
          </w:tcPr>
          <w:p w14:paraId="34507DD3" w14:textId="779EFDA7" w:rsidR="006C1073" w:rsidRDefault="006C1073">
            <w:pPr>
              <w:pStyle w:val="BodyText1"/>
              <w:spacing w:before="120" w:after="120"/>
            </w:pPr>
            <w:r>
              <w:t xml:space="preserve">Updated to </w:t>
            </w:r>
            <w:r w:rsidR="00B36A37">
              <w:t>reflect offshore</w:t>
            </w:r>
            <w:r w:rsidR="00180505">
              <w:t xml:space="preserve"> inclusion in EASR</w:t>
            </w:r>
            <w:r>
              <w:t>, and to put into accessibility format.</w:t>
            </w:r>
          </w:p>
        </w:tc>
      </w:tr>
    </w:tbl>
    <w:p w14:paraId="55C9397F" w14:textId="77777777" w:rsidR="006C1073" w:rsidRDefault="006C1073" w:rsidP="006C1073">
      <w:pPr>
        <w:spacing w:line="240" w:lineRule="auto"/>
        <w:rPr>
          <w:rFonts w:ascii="Arial" w:eastAsia="Times New Roman" w:hAnsi="Arial" w:cs="Arial"/>
        </w:rPr>
      </w:pPr>
    </w:p>
    <w:p w14:paraId="23AFAA76" w14:textId="77777777" w:rsidR="006C1073" w:rsidRDefault="006C1073" w:rsidP="006C1073">
      <w:pPr>
        <w:spacing w:line="240" w:lineRule="auto"/>
        <w:rPr>
          <w:rFonts w:ascii="Arial" w:eastAsia="Times New Roman" w:hAnsi="Arial" w:cs="Arial"/>
        </w:rPr>
      </w:pPr>
    </w:p>
    <w:p w14:paraId="252B24DF" w14:textId="77777777" w:rsidR="006C1073" w:rsidRDefault="006C1073" w:rsidP="006C1073">
      <w:pPr>
        <w:spacing w:line="240" w:lineRule="auto"/>
        <w:rPr>
          <w:rFonts w:ascii="Arial" w:eastAsia="Times New Roman" w:hAnsi="Arial" w:cs="Arial"/>
        </w:rPr>
      </w:pPr>
    </w:p>
    <w:p w14:paraId="033234BD" w14:textId="77777777" w:rsidR="006C1073" w:rsidRPr="007F70D6" w:rsidRDefault="006C1073" w:rsidP="006C1073">
      <w:pPr>
        <w:pStyle w:val="BodyText1"/>
        <w:rPr>
          <w:rFonts w:eastAsia="Arial"/>
          <w:sz w:val="28"/>
          <w:szCs w:val="28"/>
        </w:rPr>
      </w:pPr>
      <w:r w:rsidRPr="007F70D6">
        <w:rPr>
          <w:rFonts w:eastAsia="Arial"/>
          <w:sz w:val="28"/>
          <w:szCs w:val="28"/>
        </w:rPr>
        <w:t xml:space="preserve">If you would like this document in an accessible format, such as large print, audio recording or braille, please contact SEPA by emailing </w:t>
      </w:r>
      <w:hyperlink r:id="rId13">
        <w:r w:rsidRPr="007F70D6">
          <w:rPr>
            <w:rStyle w:val="Hyperlink"/>
            <w:rFonts w:ascii="Arial" w:eastAsia="Arial" w:hAnsi="Arial" w:cs="Arial"/>
            <w:color w:val="016574" w:themeColor="accent6"/>
            <w:sz w:val="28"/>
            <w:szCs w:val="28"/>
          </w:rPr>
          <w:t>equalities@sepa.org.uk</w:t>
        </w:r>
      </w:hyperlink>
    </w:p>
    <w:p w14:paraId="54E7DE71" w14:textId="77777777" w:rsidR="00D42E9A" w:rsidRDefault="00D42E9A" w:rsidP="00D42E9A"/>
    <w:p w14:paraId="6DAA03B7" w14:textId="2E5D85EF" w:rsidR="00D42E9A" w:rsidRDefault="00D42E9A" w:rsidP="00D42E9A">
      <w:r>
        <w:br w:type="page"/>
      </w:r>
    </w:p>
    <w:p w14:paraId="1B3CE286" w14:textId="73ED3227" w:rsidR="000F5E34" w:rsidRPr="00A275A2" w:rsidRDefault="000F5E34" w:rsidP="00821BE9">
      <w:pPr>
        <w:pStyle w:val="Heading1"/>
      </w:pPr>
      <w:bookmarkStart w:id="1" w:name="_Toc218687811"/>
      <w:r w:rsidRPr="00A275A2">
        <w:lastRenderedPageBreak/>
        <w:t>Introductio</w:t>
      </w:r>
      <w:bookmarkEnd w:id="0"/>
      <w:r w:rsidR="000701D7">
        <w:t>n</w:t>
      </w:r>
      <w:bookmarkEnd w:id="1"/>
    </w:p>
    <w:p w14:paraId="09CAFDF5" w14:textId="1CAF5C66" w:rsidR="000F5E34" w:rsidRDefault="000F5E34" w:rsidP="000F5E34">
      <w:pPr>
        <w:spacing w:before="240" w:after="240"/>
        <w:rPr>
          <w:rFonts w:ascii="Arial" w:hAnsi="Arial" w:cs="Arial"/>
        </w:rPr>
      </w:pPr>
      <w:r w:rsidRPr="00564C7F">
        <w:rPr>
          <w:rFonts w:ascii="Arial" w:hAnsi="Arial" w:cs="Arial"/>
        </w:rPr>
        <w:t xml:space="preserve">The Scottish Environment Protection Agency (SEPA) is responsible for regulating radioactive substances </w:t>
      </w:r>
      <w:r w:rsidR="00202EB5">
        <w:rPr>
          <w:rFonts w:ascii="Arial" w:hAnsi="Arial" w:cs="Arial"/>
        </w:rPr>
        <w:t xml:space="preserve">activities </w:t>
      </w:r>
      <w:r w:rsidRPr="00564C7F">
        <w:rPr>
          <w:rFonts w:ascii="Arial" w:hAnsi="Arial" w:cs="Arial"/>
        </w:rPr>
        <w:t xml:space="preserve">under the Environmental Authorisations (Scotland) Regulations 2018 (EASR). </w:t>
      </w:r>
    </w:p>
    <w:p w14:paraId="4B7D5A39" w14:textId="77777777" w:rsidR="000F5E34" w:rsidRDefault="000F5E34" w:rsidP="000F5E34">
      <w:pPr>
        <w:spacing w:before="240" w:after="240"/>
        <w:rPr>
          <w:rFonts w:ascii="Arial" w:hAnsi="Arial" w:cs="Arial"/>
        </w:rPr>
      </w:pPr>
      <w:r w:rsidRPr="00564C7F">
        <w:rPr>
          <w:rFonts w:ascii="Arial" w:hAnsi="Arial" w:cs="Arial"/>
        </w:rPr>
        <w:t xml:space="preserve">Part of how we regulate is to inspect authorised persons so that we can assess whether they are complying with the relevant rules and conditions placed upon them by their authorisation. To do this, we have a programme of inspections for radioactive substances activities that follows a graded approach depending on the magnitude of the radiological hazards, risks, and compliance history. </w:t>
      </w:r>
    </w:p>
    <w:p w14:paraId="22FB1BB8" w14:textId="77777777" w:rsidR="000F5E34" w:rsidRDefault="000F5E34" w:rsidP="000F5E34">
      <w:pPr>
        <w:spacing w:before="240" w:after="240"/>
        <w:rPr>
          <w:rFonts w:ascii="Arial" w:hAnsi="Arial" w:cs="Arial"/>
        </w:rPr>
      </w:pPr>
      <w:r w:rsidRPr="00564C7F">
        <w:rPr>
          <w:rFonts w:ascii="Arial" w:hAnsi="Arial" w:cs="Arial"/>
        </w:rPr>
        <w:t xml:space="preserve">This document outlines our inspection programme for radioactive substances activities, and we will periodically report on the main findings of our inspection programme. </w:t>
      </w:r>
    </w:p>
    <w:p w14:paraId="1663219C" w14:textId="64E800E3" w:rsidR="000F5E34" w:rsidRPr="00F6473B" w:rsidRDefault="000F5E34" w:rsidP="00821BE9">
      <w:pPr>
        <w:pStyle w:val="Heading1"/>
      </w:pPr>
      <w:bookmarkStart w:id="2" w:name="_Toc76390108"/>
      <w:bookmarkStart w:id="3" w:name="_Toc218687812"/>
      <w:r w:rsidRPr="00F6473B">
        <w:t>General aspects of the inspection programme</w:t>
      </w:r>
      <w:bookmarkEnd w:id="2"/>
      <w:bookmarkEnd w:id="3"/>
    </w:p>
    <w:p w14:paraId="740D2740" w14:textId="77777777" w:rsidR="000F5E34" w:rsidRDefault="000F5E34" w:rsidP="000F5E34">
      <w:pPr>
        <w:spacing w:before="240" w:after="240"/>
        <w:rPr>
          <w:rFonts w:ascii="Arial" w:hAnsi="Arial" w:cs="Arial"/>
        </w:rPr>
      </w:pPr>
      <w:r w:rsidRPr="00564C7F">
        <w:rPr>
          <w:rFonts w:ascii="Arial" w:hAnsi="Arial" w:cs="Arial"/>
        </w:rPr>
        <w:t xml:space="preserve">This outline inspection programme provides an indication of the planned inspection frequency for each type of radioactive substances activity that is authorised. The inspection frequency is based on several factors including: </w:t>
      </w:r>
    </w:p>
    <w:p w14:paraId="37A7AA54" w14:textId="77777777" w:rsidR="000F5E34" w:rsidRPr="006B1C73" w:rsidRDefault="000F5E34" w:rsidP="000F5E34">
      <w:pPr>
        <w:pStyle w:val="ListParagraph"/>
        <w:numPr>
          <w:ilvl w:val="0"/>
          <w:numId w:val="14"/>
        </w:numPr>
        <w:spacing w:before="240" w:after="240" w:line="360" w:lineRule="auto"/>
        <w:ind w:left="714" w:hanging="357"/>
        <w:contextualSpacing w:val="0"/>
        <w:rPr>
          <w:rFonts w:ascii="Arial" w:hAnsi="Arial" w:cs="Arial"/>
          <w:sz w:val="24"/>
          <w:szCs w:val="24"/>
        </w:rPr>
      </w:pPr>
      <w:r w:rsidRPr="006B1C73">
        <w:rPr>
          <w:rFonts w:ascii="Arial" w:hAnsi="Arial" w:cs="Arial"/>
          <w:sz w:val="24"/>
          <w:szCs w:val="24"/>
        </w:rPr>
        <w:t xml:space="preserve">the potential magnitude and nature of the hazard associated with each type of radioactive substances activity; and </w:t>
      </w:r>
    </w:p>
    <w:p w14:paraId="363E1788" w14:textId="72B1B189" w:rsidR="000F5E34" w:rsidRPr="006B1C73" w:rsidRDefault="000F5E34" w:rsidP="000F5E34">
      <w:pPr>
        <w:pStyle w:val="ListParagraph"/>
        <w:numPr>
          <w:ilvl w:val="0"/>
          <w:numId w:val="14"/>
        </w:numPr>
        <w:spacing w:before="240" w:after="240" w:line="360" w:lineRule="auto"/>
        <w:ind w:left="714" w:hanging="357"/>
        <w:contextualSpacing w:val="0"/>
        <w:rPr>
          <w:rFonts w:ascii="Arial" w:hAnsi="Arial" w:cs="Arial"/>
          <w:sz w:val="24"/>
          <w:szCs w:val="24"/>
        </w:rPr>
      </w:pPr>
      <w:r w:rsidRPr="006B1C73">
        <w:rPr>
          <w:rFonts w:ascii="Arial" w:hAnsi="Arial" w:cs="Arial"/>
          <w:sz w:val="24"/>
          <w:szCs w:val="24"/>
        </w:rPr>
        <w:t xml:space="preserve">the general level of </w:t>
      </w:r>
      <w:r w:rsidR="00F92EB0">
        <w:rPr>
          <w:rFonts w:ascii="Arial" w:hAnsi="Arial" w:cs="Arial"/>
          <w:sz w:val="24"/>
          <w:szCs w:val="24"/>
        </w:rPr>
        <w:t xml:space="preserve">radioactive substances </w:t>
      </w:r>
      <w:r w:rsidR="00E44A2F">
        <w:rPr>
          <w:rFonts w:ascii="Arial" w:hAnsi="Arial" w:cs="Arial"/>
          <w:sz w:val="24"/>
          <w:szCs w:val="24"/>
        </w:rPr>
        <w:t xml:space="preserve">activities </w:t>
      </w:r>
      <w:r w:rsidRPr="006B1C73">
        <w:rPr>
          <w:rFonts w:ascii="Arial" w:hAnsi="Arial" w:cs="Arial"/>
          <w:sz w:val="24"/>
          <w:szCs w:val="24"/>
        </w:rPr>
        <w:t xml:space="preserve">compliance with EASR and any rules or conditions imposed by the authorisation. </w:t>
      </w:r>
    </w:p>
    <w:p w14:paraId="07198D08" w14:textId="54D225AF" w:rsidR="000F5E34" w:rsidRDefault="000F5E34" w:rsidP="000F5E34">
      <w:pPr>
        <w:spacing w:before="240" w:after="240"/>
        <w:rPr>
          <w:rFonts w:ascii="Arial" w:hAnsi="Arial" w:cs="Arial"/>
        </w:rPr>
      </w:pPr>
      <w:r w:rsidRPr="0D4FD4AB">
        <w:rPr>
          <w:rFonts w:ascii="Arial" w:hAnsi="Arial" w:cs="Arial"/>
        </w:rPr>
        <w:t xml:space="preserve">We may increase the frequency of inspection if the authorised person has a history of non-compliance or if there are other factors that we consider make this necessary. The frequency of inspection for offshore installations will generally be lower than that for facilities </w:t>
      </w:r>
      <w:r w:rsidR="008630D5" w:rsidRPr="0D4FD4AB">
        <w:rPr>
          <w:rFonts w:ascii="Arial" w:hAnsi="Arial" w:cs="Arial"/>
        </w:rPr>
        <w:t>onshore.</w:t>
      </w:r>
    </w:p>
    <w:p w14:paraId="7A443076" w14:textId="4E89E7C5" w:rsidR="000F5E34" w:rsidRDefault="00C02829" w:rsidP="000F5E34">
      <w:pPr>
        <w:spacing w:before="240" w:after="240"/>
        <w:rPr>
          <w:rFonts w:ascii="Arial" w:hAnsi="Arial" w:cs="Arial"/>
        </w:rPr>
      </w:pPr>
      <w:r w:rsidRPr="0D4FD4AB">
        <w:rPr>
          <w:rFonts w:ascii="Arial" w:hAnsi="Arial" w:cs="Arial"/>
        </w:rPr>
        <w:t>For</w:t>
      </w:r>
      <w:r w:rsidR="000F5E34" w:rsidRPr="0D4FD4AB">
        <w:rPr>
          <w:rFonts w:ascii="Arial" w:hAnsi="Arial" w:cs="Arial"/>
        </w:rPr>
        <w:t xml:space="preserve"> this programme, inspections include physical site inspections, inspections at </w:t>
      </w:r>
      <w:r w:rsidR="00D82B27" w:rsidRPr="0D4FD4AB">
        <w:rPr>
          <w:rFonts w:ascii="Arial" w:hAnsi="Arial" w:cs="Arial"/>
        </w:rPr>
        <w:t xml:space="preserve">the authorised person’s </w:t>
      </w:r>
      <w:r w:rsidR="000F5E34" w:rsidRPr="0D4FD4AB">
        <w:rPr>
          <w:rFonts w:ascii="Arial" w:hAnsi="Arial" w:cs="Arial"/>
        </w:rPr>
        <w:t>relevant offices or inspections</w:t>
      </w:r>
      <w:r w:rsidR="00EF07DF" w:rsidRPr="0D4FD4AB">
        <w:rPr>
          <w:rFonts w:ascii="Arial" w:hAnsi="Arial" w:cs="Arial"/>
        </w:rPr>
        <w:t xml:space="preserve"> by telephone or videoconference</w:t>
      </w:r>
      <w:r w:rsidR="000F5E34" w:rsidRPr="0D4FD4AB">
        <w:rPr>
          <w:rFonts w:ascii="Arial" w:hAnsi="Arial" w:cs="Arial"/>
        </w:rPr>
        <w:t xml:space="preserve">. </w:t>
      </w:r>
      <w:r w:rsidRPr="0D4FD4AB">
        <w:rPr>
          <w:rFonts w:ascii="Arial" w:hAnsi="Arial" w:cs="Arial"/>
        </w:rPr>
        <w:t>Most</w:t>
      </w:r>
      <w:r w:rsidR="000F5E34" w:rsidRPr="0D4FD4AB">
        <w:rPr>
          <w:rFonts w:ascii="Arial" w:hAnsi="Arial" w:cs="Arial"/>
        </w:rPr>
        <w:t xml:space="preserve"> inspections that we carry out will be announced (i.e., planned in advance with the authorised person), as this is more productive for us and less disruptive for the authorised person. However, we retain the ability to carry out unannounced inspections if there is a regulatory benefit from doing so. </w:t>
      </w:r>
    </w:p>
    <w:p w14:paraId="250426CA" w14:textId="228E8781" w:rsidR="000F5E34" w:rsidRDefault="000F5E34" w:rsidP="000F5E34">
      <w:pPr>
        <w:spacing w:before="240" w:after="240"/>
        <w:rPr>
          <w:rFonts w:ascii="Arial" w:hAnsi="Arial" w:cs="Arial"/>
        </w:rPr>
      </w:pPr>
      <w:r w:rsidRPr="00564C7F">
        <w:rPr>
          <w:rFonts w:ascii="Arial" w:hAnsi="Arial" w:cs="Arial"/>
        </w:rPr>
        <w:lastRenderedPageBreak/>
        <w:t>This inspection programme is about planned inspections, but we also carry out reactive inspections if required in response to</w:t>
      </w:r>
      <w:r w:rsidR="00FA6006">
        <w:rPr>
          <w:rFonts w:ascii="Arial" w:hAnsi="Arial" w:cs="Arial"/>
        </w:rPr>
        <w:t xml:space="preserve"> </w:t>
      </w:r>
      <w:r w:rsidRPr="00564C7F">
        <w:rPr>
          <w:rFonts w:ascii="Arial" w:hAnsi="Arial" w:cs="Arial"/>
        </w:rPr>
        <w:t>an incident, non-compliance or other regulatory intelligence or emergent issues.</w:t>
      </w:r>
    </w:p>
    <w:p w14:paraId="2B50DA0B" w14:textId="76F51E86" w:rsidR="000F5E34" w:rsidRDefault="000F5E34" w:rsidP="000F5E34">
      <w:pPr>
        <w:spacing w:before="240" w:after="240"/>
        <w:rPr>
          <w:rFonts w:ascii="Arial" w:hAnsi="Arial" w:cs="Arial"/>
        </w:rPr>
      </w:pPr>
      <w:r w:rsidRPr="0D4FD4AB">
        <w:rPr>
          <w:rFonts w:ascii="Arial" w:hAnsi="Arial" w:cs="Arial"/>
        </w:rPr>
        <w:t xml:space="preserve">We do not routinely inspect </w:t>
      </w:r>
      <w:r w:rsidR="00FA6006" w:rsidRPr="0D4FD4AB">
        <w:rPr>
          <w:rFonts w:ascii="Arial" w:hAnsi="Arial" w:cs="Arial"/>
        </w:rPr>
        <w:t xml:space="preserve">radioactive substances </w:t>
      </w:r>
      <w:r w:rsidRPr="0D4FD4AB">
        <w:rPr>
          <w:rFonts w:ascii="Arial" w:hAnsi="Arial" w:cs="Arial"/>
        </w:rPr>
        <w:t>activities carried on under general binding rules or subject to notification</w:t>
      </w:r>
      <w:r w:rsidR="560ECA9F" w:rsidRPr="0D4FD4AB">
        <w:rPr>
          <w:rFonts w:ascii="Arial" w:hAnsi="Arial" w:cs="Arial"/>
        </w:rPr>
        <w:t>; however, SEPA reserves the right to do so should we deem it necessary to ensure compliance</w:t>
      </w:r>
      <w:r w:rsidRPr="0D4FD4AB">
        <w:rPr>
          <w:rFonts w:ascii="Arial" w:hAnsi="Arial" w:cs="Arial"/>
        </w:rPr>
        <w:t xml:space="preserve">. </w:t>
      </w:r>
    </w:p>
    <w:p w14:paraId="57C9967C" w14:textId="4D109383" w:rsidR="000F5E34" w:rsidRPr="00F6473B" w:rsidRDefault="000F5E34" w:rsidP="00B937C5">
      <w:pPr>
        <w:pStyle w:val="Heading1"/>
      </w:pPr>
      <w:bookmarkStart w:id="4" w:name="_Toc76390109"/>
      <w:bookmarkStart w:id="5" w:name="_Toc218687813"/>
      <w:r w:rsidRPr="00F6473B">
        <w:t xml:space="preserve">Inspection programme for </w:t>
      </w:r>
      <w:r w:rsidR="00703DC4">
        <w:t xml:space="preserve">onshore </w:t>
      </w:r>
      <w:r w:rsidRPr="00F6473B">
        <w:t>registrations</w:t>
      </w:r>
      <w:bookmarkEnd w:id="4"/>
      <w:bookmarkEnd w:id="5"/>
    </w:p>
    <w:p w14:paraId="6B9EFF9E" w14:textId="4DF53D02" w:rsidR="000F5E34" w:rsidRDefault="000F5E34" w:rsidP="000F5E34">
      <w:pPr>
        <w:spacing w:before="240" w:after="240"/>
        <w:rPr>
          <w:rFonts w:ascii="Arial" w:hAnsi="Arial" w:cs="Arial"/>
        </w:rPr>
      </w:pPr>
      <w:r w:rsidRPr="00564C7F">
        <w:rPr>
          <w:rFonts w:ascii="Arial" w:hAnsi="Arial" w:cs="Arial"/>
        </w:rPr>
        <w:t xml:space="preserve">There are currently </w:t>
      </w:r>
      <w:r w:rsidR="00D2384A">
        <w:rPr>
          <w:rFonts w:ascii="Arial" w:hAnsi="Arial" w:cs="Arial"/>
        </w:rPr>
        <w:t xml:space="preserve">two </w:t>
      </w:r>
      <w:r w:rsidR="0080261D">
        <w:rPr>
          <w:rFonts w:ascii="Arial" w:hAnsi="Arial" w:cs="Arial"/>
        </w:rPr>
        <w:t xml:space="preserve">onshore </w:t>
      </w:r>
      <w:r w:rsidRPr="00564C7F">
        <w:rPr>
          <w:rFonts w:ascii="Arial" w:hAnsi="Arial" w:cs="Arial"/>
        </w:rPr>
        <w:t xml:space="preserve">radioactive substances activities which are authorised by registration; each has a different inspection requirement. </w:t>
      </w:r>
    </w:p>
    <w:p w14:paraId="4DC131CE" w14:textId="514A44CC" w:rsidR="000F5E34" w:rsidRDefault="000F5E34" w:rsidP="000F5E34">
      <w:pPr>
        <w:spacing w:before="240" w:after="240"/>
        <w:rPr>
          <w:rFonts w:ascii="Arial" w:hAnsi="Arial" w:cs="Arial"/>
        </w:rPr>
      </w:pPr>
      <w:r w:rsidRPr="00F6473B">
        <w:rPr>
          <w:rFonts w:ascii="Arial" w:hAnsi="Arial" w:cs="Arial"/>
          <w:b/>
          <w:bCs/>
        </w:rPr>
        <w:t>Outwith Scotland</w:t>
      </w:r>
      <w:r w:rsidR="002875ED">
        <w:rPr>
          <w:rFonts w:ascii="Arial" w:hAnsi="Arial" w:cs="Arial"/>
          <w:b/>
          <w:bCs/>
        </w:rPr>
        <w:t xml:space="preserve"> (OWS)</w:t>
      </w:r>
      <w:r w:rsidRPr="00564C7F">
        <w:rPr>
          <w:rFonts w:ascii="Arial" w:hAnsi="Arial" w:cs="Arial"/>
        </w:rPr>
        <w:t xml:space="preserve">: where the authorised person is permanently based in another part of the UK </w:t>
      </w:r>
      <w:r w:rsidR="001A2E9F">
        <w:rPr>
          <w:rFonts w:ascii="Arial" w:hAnsi="Arial" w:cs="Arial"/>
        </w:rPr>
        <w:t xml:space="preserve">(i.e. England, Northern Ireland or Wales) </w:t>
      </w:r>
      <w:r w:rsidRPr="00564C7F">
        <w:rPr>
          <w:rFonts w:ascii="Arial" w:hAnsi="Arial" w:cs="Arial"/>
        </w:rPr>
        <w:t xml:space="preserve">but may carry out work from time to time in Scotland for no longer than four months at a time. We plan to carry out an annual </w:t>
      </w:r>
      <w:r w:rsidR="006045E8" w:rsidRPr="00657786">
        <w:rPr>
          <w:rFonts w:ascii="Arial" w:hAnsi="Arial" w:cs="Arial"/>
        </w:rPr>
        <w:t>remote</w:t>
      </w:r>
      <w:r w:rsidRPr="00657786">
        <w:rPr>
          <w:rFonts w:ascii="Arial" w:hAnsi="Arial" w:cs="Arial"/>
        </w:rPr>
        <w:t xml:space="preserve"> inspection.</w:t>
      </w:r>
      <w:r w:rsidRPr="00564C7F">
        <w:rPr>
          <w:rFonts w:ascii="Arial" w:hAnsi="Arial" w:cs="Arial"/>
        </w:rPr>
        <w:t xml:space="preserve"> When we are informed of the intention to bring a source into Scotland, we may carry out a </w:t>
      </w:r>
      <w:r w:rsidR="006045E8" w:rsidRPr="00657786">
        <w:rPr>
          <w:rFonts w:ascii="Arial" w:hAnsi="Arial" w:cs="Arial"/>
        </w:rPr>
        <w:t xml:space="preserve">physical </w:t>
      </w:r>
      <w:r w:rsidRPr="00657786">
        <w:rPr>
          <w:rFonts w:ascii="Arial" w:hAnsi="Arial" w:cs="Arial"/>
        </w:rPr>
        <w:t>site inspection</w:t>
      </w:r>
      <w:r w:rsidRPr="00564C7F">
        <w:rPr>
          <w:rFonts w:ascii="Arial" w:hAnsi="Arial" w:cs="Arial"/>
        </w:rPr>
        <w:t xml:space="preserve">. </w:t>
      </w:r>
    </w:p>
    <w:p w14:paraId="07A08AC6" w14:textId="0FED48D5" w:rsidR="000F5E34" w:rsidRDefault="000F5E34" w:rsidP="000F5E34">
      <w:pPr>
        <w:spacing w:before="240" w:after="240"/>
        <w:rPr>
          <w:rFonts w:ascii="Arial" w:hAnsi="Arial" w:cs="Arial"/>
        </w:rPr>
      </w:pPr>
      <w:r w:rsidRPr="008F069C">
        <w:rPr>
          <w:rFonts w:ascii="Arial" w:hAnsi="Arial" w:cs="Arial"/>
          <w:b/>
          <w:bCs/>
        </w:rPr>
        <w:t>Non-Nuclear</w:t>
      </w:r>
      <w:r w:rsidRPr="00564C7F">
        <w:rPr>
          <w:rFonts w:ascii="Arial" w:hAnsi="Arial" w:cs="Arial"/>
        </w:rPr>
        <w:t>: authorised persons who use very small amounts of radioactivity in unsealed form and transfer their waste to another person or dispose of it in accordance</w:t>
      </w:r>
      <w:r w:rsidR="0042002E">
        <w:rPr>
          <w:rFonts w:ascii="Arial" w:hAnsi="Arial" w:cs="Arial"/>
        </w:rPr>
        <w:t xml:space="preserve"> w</w:t>
      </w:r>
      <w:r w:rsidR="00EC72B8">
        <w:rPr>
          <w:rFonts w:ascii="Arial" w:hAnsi="Arial" w:cs="Arial"/>
        </w:rPr>
        <w:t>ith</w:t>
      </w:r>
      <w:r w:rsidRPr="00564C7F">
        <w:rPr>
          <w:rFonts w:ascii="Arial" w:hAnsi="Arial" w:cs="Arial"/>
        </w:rPr>
        <w:t xml:space="preserve"> the standard conditions. A </w:t>
      </w:r>
      <w:r w:rsidR="006045E8">
        <w:rPr>
          <w:rFonts w:ascii="Arial" w:hAnsi="Arial" w:cs="Arial"/>
        </w:rPr>
        <w:t>physical site</w:t>
      </w:r>
      <w:r w:rsidRPr="00564C7F">
        <w:rPr>
          <w:rFonts w:ascii="Arial" w:hAnsi="Arial" w:cs="Arial"/>
        </w:rPr>
        <w:t xml:space="preserve"> inspection should be carried out every two </w:t>
      </w:r>
      <w:r w:rsidR="00921F94" w:rsidRPr="00564C7F">
        <w:rPr>
          <w:rFonts w:ascii="Arial" w:hAnsi="Arial" w:cs="Arial"/>
        </w:rPr>
        <w:t>years,</w:t>
      </w:r>
      <w:r w:rsidRPr="00564C7F">
        <w:rPr>
          <w:rFonts w:ascii="Arial" w:hAnsi="Arial" w:cs="Arial"/>
        </w:rPr>
        <w:t xml:space="preserve"> and </w:t>
      </w:r>
      <w:r w:rsidRPr="00657786">
        <w:rPr>
          <w:rFonts w:ascii="Arial" w:hAnsi="Arial" w:cs="Arial"/>
        </w:rPr>
        <w:t>a remote</w:t>
      </w:r>
      <w:r w:rsidRPr="00564C7F">
        <w:rPr>
          <w:rFonts w:ascii="Arial" w:hAnsi="Arial" w:cs="Arial"/>
        </w:rPr>
        <w:t xml:space="preserve"> inspection </w:t>
      </w:r>
      <w:r>
        <w:rPr>
          <w:rFonts w:ascii="Arial" w:hAnsi="Arial" w:cs="Arial"/>
        </w:rPr>
        <w:t>c</w:t>
      </w:r>
      <w:r w:rsidRPr="00564C7F">
        <w:rPr>
          <w:rFonts w:ascii="Arial" w:hAnsi="Arial" w:cs="Arial"/>
        </w:rPr>
        <w:t xml:space="preserve">ould be considered for the intervening year. </w:t>
      </w:r>
    </w:p>
    <w:p w14:paraId="3D555B45" w14:textId="24B7F5B6" w:rsidR="000F5E34" w:rsidRPr="008F069C" w:rsidRDefault="000F5E34" w:rsidP="00B937C5">
      <w:pPr>
        <w:pStyle w:val="Heading1"/>
      </w:pPr>
      <w:bookmarkStart w:id="6" w:name="_Toc76390110"/>
      <w:bookmarkStart w:id="7" w:name="_Toc218687814"/>
      <w:r w:rsidRPr="008F069C">
        <w:t xml:space="preserve">Inspection programme for </w:t>
      </w:r>
      <w:r w:rsidR="00703DC4">
        <w:t xml:space="preserve">onshore </w:t>
      </w:r>
      <w:r w:rsidRPr="008F069C">
        <w:t>permits</w:t>
      </w:r>
      <w:bookmarkEnd w:id="6"/>
      <w:bookmarkEnd w:id="7"/>
    </w:p>
    <w:p w14:paraId="0E9B4DC5" w14:textId="0DB07BBF" w:rsidR="000F5E34" w:rsidRDefault="000F5E34" w:rsidP="000F5E34">
      <w:pPr>
        <w:spacing w:before="240" w:after="240"/>
        <w:rPr>
          <w:rFonts w:ascii="Arial" w:hAnsi="Arial" w:cs="Arial"/>
        </w:rPr>
      </w:pPr>
      <w:r w:rsidRPr="00564C7F">
        <w:rPr>
          <w:rFonts w:ascii="Arial" w:hAnsi="Arial" w:cs="Arial"/>
        </w:rPr>
        <w:t>Authorisation by permit is for higher risk activities and those that need technical assessment and/or involve a consultation process. There are f</w:t>
      </w:r>
      <w:r w:rsidR="00981DA9">
        <w:rPr>
          <w:rFonts w:ascii="Arial" w:hAnsi="Arial" w:cs="Arial"/>
        </w:rPr>
        <w:t>ive</w:t>
      </w:r>
      <w:r w:rsidRPr="00564C7F">
        <w:rPr>
          <w:rFonts w:ascii="Arial" w:hAnsi="Arial" w:cs="Arial"/>
        </w:rPr>
        <w:t xml:space="preserve"> types of permit: </w:t>
      </w:r>
    </w:p>
    <w:p w14:paraId="77034106" w14:textId="4E639C22" w:rsidR="000F5E34" w:rsidRDefault="000F5E34" w:rsidP="000F5E34">
      <w:pPr>
        <w:spacing w:before="240" w:after="240"/>
        <w:rPr>
          <w:rFonts w:ascii="Arial" w:hAnsi="Arial" w:cs="Arial"/>
        </w:rPr>
      </w:pPr>
      <w:r w:rsidRPr="37C46CF7">
        <w:rPr>
          <w:rFonts w:ascii="Arial" w:hAnsi="Arial" w:cs="Arial"/>
          <w:b/>
          <w:bCs/>
        </w:rPr>
        <w:t>High activity sealed radioactive sources (HASS)</w:t>
      </w:r>
      <w:r w:rsidRPr="37C46CF7">
        <w:rPr>
          <w:rFonts w:ascii="Arial" w:hAnsi="Arial" w:cs="Arial"/>
        </w:rPr>
        <w:t>: for</w:t>
      </w:r>
      <w:r w:rsidR="00365A76">
        <w:rPr>
          <w:rFonts w:ascii="Arial" w:hAnsi="Arial" w:cs="Arial"/>
        </w:rPr>
        <w:t xml:space="preserve"> activities in</w:t>
      </w:r>
      <w:r w:rsidR="00A029D1">
        <w:rPr>
          <w:rFonts w:ascii="Arial" w:hAnsi="Arial" w:cs="Arial"/>
        </w:rPr>
        <w:t>volving</w:t>
      </w:r>
      <w:r w:rsidRPr="37C46CF7">
        <w:rPr>
          <w:rFonts w:ascii="Arial" w:hAnsi="Arial" w:cs="Arial"/>
        </w:rPr>
        <w:t xml:space="preserve"> both fixed and mobile HASS a </w:t>
      </w:r>
      <w:r w:rsidR="00FB400E" w:rsidRPr="00657786">
        <w:rPr>
          <w:rFonts w:ascii="Arial" w:hAnsi="Arial" w:cs="Arial"/>
        </w:rPr>
        <w:t xml:space="preserve">physical </w:t>
      </w:r>
      <w:r w:rsidRPr="00657786">
        <w:rPr>
          <w:rFonts w:ascii="Arial" w:hAnsi="Arial" w:cs="Arial"/>
        </w:rPr>
        <w:t>site inspection</w:t>
      </w:r>
      <w:r w:rsidRPr="37C46CF7">
        <w:rPr>
          <w:rFonts w:ascii="Arial" w:hAnsi="Arial" w:cs="Arial"/>
        </w:rPr>
        <w:t xml:space="preserve"> should be carried out annually. </w:t>
      </w:r>
    </w:p>
    <w:p w14:paraId="52E287CD" w14:textId="0B804FD6" w:rsidR="000F5E34" w:rsidRDefault="000F5E34" w:rsidP="000F5E34">
      <w:pPr>
        <w:spacing w:before="240" w:after="240"/>
        <w:rPr>
          <w:rFonts w:ascii="Arial" w:hAnsi="Arial" w:cs="Arial"/>
        </w:rPr>
      </w:pPr>
      <w:r w:rsidRPr="2C111208">
        <w:rPr>
          <w:rFonts w:ascii="Arial" w:hAnsi="Arial" w:cs="Arial"/>
          <w:b/>
          <w:bCs/>
        </w:rPr>
        <w:t>Non-HASS sealed sources</w:t>
      </w:r>
      <w:r w:rsidRPr="2C111208">
        <w:rPr>
          <w:rFonts w:ascii="Arial" w:hAnsi="Arial" w:cs="Arial"/>
        </w:rPr>
        <w:t>: for</w:t>
      </w:r>
      <w:r w:rsidR="00F62E5D">
        <w:rPr>
          <w:rFonts w:ascii="Arial" w:hAnsi="Arial" w:cs="Arial"/>
        </w:rPr>
        <w:t xml:space="preserve"> activities</w:t>
      </w:r>
      <w:r w:rsidR="00365A76">
        <w:rPr>
          <w:rFonts w:ascii="Arial" w:hAnsi="Arial" w:cs="Arial"/>
        </w:rPr>
        <w:t xml:space="preserve"> involving</w:t>
      </w:r>
      <w:r w:rsidRPr="2C111208">
        <w:rPr>
          <w:rFonts w:ascii="Arial" w:hAnsi="Arial" w:cs="Arial"/>
        </w:rPr>
        <w:t xml:space="preserve"> sealed sources that are not HASS</w:t>
      </w:r>
      <w:r w:rsidR="00EC72B8">
        <w:rPr>
          <w:rFonts w:ascii="Arial" w:hAnsi="Arial" w:cs="Arial"/>
        </w:rPr>
        <w:t>, a</w:t>
      </w:r>
      <w:r w:rsidRPr="2C111208">
        <w:rPr>
          <w:rFonts w:ascii="Arial" w:hAnsi="Arial" w:cs="Arial"/>
        </w:rPr>
        <w:t xml:space="preserve"> </w:t>
      </w:r>
      <w:r w:rsidR="00FB400E">
        <w:rPr>
          <w:rFonts w:ascii="Arial" w:hAnsi="Arial" w:cs="Arial"/>
        </w:rPr>
        <w:t xml:space="preserve">physical </w:t>
      </w:r>
      <w:r w:rsidRPr="00657786">
        <w:rPr>
          <w:rFonts w:ascii="Arial" w:hAnsi="Arial" w:cs="Arial"/>
        </w:rPr>
        <w:t>site inspection</w:t>
      </w:r>
      <w:r w:rsidRPr="2C111208">
        <w:rPr>
          <w:rFonts w:ascii="Arial" w:hAnsi="Arial" w:cs="Arial"/>
        </w:rPr>
        <w:t xml:space="preserve"> should be carried out annually for mobile sources and those sources in IAEA category 2 or above. </w:t>
      </w:r>
      <w:r w:rsidR="00FB400E" w:rsidRPr="00657786">
        <w:rPr>
          <w:rFonts w:ascii="Arial" w:hAnsi="Arial" w:cs="Arial"/>
        </w:rPr>
        <w:t>Physical s</w:t>
      </w:r>
      <w:r w:rsidRPr="00657786">
        <w:rPr>
          <w:rFonts w:ascii="Arial" w:hAnsi="Arial" w:cs="Arial"/>
        </w:rPr>
        <w:t>ite inspections</w:t>
      </w:r>
      <w:r w:rsidRPr="2C111208">
        <w:rPr>
          <w:rFonts w:ascii="Arial" w:hAnsi="Arial" w:cs="Arial"/>
        </w:rPr>
        <w:t xml:space="preserve"> for sources in IAEA category 3 and below </w:t>
      </w:r>
      <w:r w:rsidRPr="2C111208">
        <w:rPr>
          <w:rFonts w:ascii="Arial" w:hAnsi="Arial" w:cs="Arial"/>
        </w:rPr>
        <w:lastRenderedPageBreak/>
        <w:t xml:space="preserve">should be carried out every two years. A </w:t>
      </w:r>
      <w:r w:rsidRPr="00657786">
        <w:rPr>
          <w:rFonts w:ascii="Arial" w:hAnsi="Arial" w:cs="Arial"/>
        </w:rPr>
        <w:t>remote inspection may</w:t>
      </w:r>
      <w:r w:rsidRPr="2C111208">
        <w:rPr>
          <w:rFonts w:ascii="Arial" w:hAnsi="Arial" w:cs="Arial"/>
        </w:rPr>
        <w:t xml:space="preserve"> be carried out in the intervening year. </w:t>
      </w:r>
    </w:p>
    <w:p w14:paraId="5780B0CB" w14:textId="06E51F29" w:rsidR="000F5E34" w:rsidRDefault="000F5E34" w:rsidP="000F5E34">
      <w:pPr>
        <w:spacing w:before="240" w:after="240"/>
        <w:rPr>
          <w:rFonts w:ascii="Arial" w:hAnsi="Arial" w:cs="Arial"/>
        </w:rPr>
      </w:pPr>
      <w:r w:rsidRPr="2C111208">
        <w:rPr>
          <w:rFonts w:ascii="Arial" w:hAnsi="Arial" w:cs="Arial"/>
          <w:b/>
          <w:bCs/>
        </w:rPr>
        <w:t>Non-nuclear</w:t>
      </w:r>
      <w:r w:rsidRPr="2C111208">
        <w:rPr>
          <w:rFonts w:ascii="Arial" w:hAnsi="Arial" w:cs="Arial"/>
        </w:rPr>
        <w:t xml:space="preserve">: </w:t>
      </w:r>
      <w:r w:rsidR="00BA23F2" w:rsidRPr="00BA23F2">
        <w:rPr>
          <w:rFonts w:ascii="Arial" w:hAnsi="Arial" w:cs="Arial"/>
        </w:rPr>
        <w:t xml:space="preserve">for </w:t>
      </w:r>
      <w:r w:rsidR="00BA23F2" w:rsidRPr="0011044A">
        <w:rPr>
          <w:rFonts w:ascii="Arial" w:hAnsi="Arial" w:cs="Arial"/>
        </w:rPr>
        <w:t>activities involving</w:t>
      </w:r>
      <w:r w:rsidR="00BA23F2" w:rsidRPr="00BA23F2">
        <w:rPr>
          <w:rFonts w:ascii="Arial" w:hAnsi="Arial" w:cs="Arial"/>
        </w:rPr>
        <w:t xml:space="preserve"> unsealed radioactive sources, not </w:t>
      </w:r>
      <w:r w:rsidR="00BA23F2" w:rsidRPr="0011044A">
        <w:rPr>
          <w:rFonts w:ascii="Arial" w:hAnsi="Arial" w:cs="Arial"/>
        </w:rPr>
        <w:t xml:space="preserve">carried on at </w:t>
      </w:r>
      <w:r w:rsidR="00BA23F2" w:rsidRPr="00BA23F2">
        <w:rPr>
          <w:rFonts w:ascii="Arial" w:hAnsi="Arial" w:cs="Arial"/>
        </w:rPr>
        <w:t>a nuclear site</w:t>
      </w:r>
      <w:r w:rsidR="005201CA">
        <w:rPr>
          <w:rFonts w:ascii="Arial" w:hAnsi="Arial" w:cs="Arial"/>
        </w:rPr>
        <w:t>,</w:t>
      </w:r>
      <w:r w:rsidR="003128EC">
        <w:rPr>
          <w:rFonts w:ascii="Arial" w:hAnsi="Arial" w:cs="Arial"/>
        </w:rPr>
        <w:t xml:space="preserve"> </w:t>
      </w:r>
      <w:r w:rsidR="008D4F51">
        <w:rPr>
          <w:rFonts w:ascii="Arial" w:hAnsi="Arial" w:cs="Arial"/>
        </w:rPr>
        <w:t xml:space="preserve">an </w:t>
      </w:r>
      <w:r w:rsidRPr="2C111208">
        <w:rPr>
          <w:rFonts w:ascii="Arial" w:hAnsi="Arial" w:cs="Arial"/>
        </w:rPr>
        <w:t xml:space="preserve">annual </w:t>
      </w:r>
      <w:r w:rsidR="00FB400E">
        <w:rPr>
          <w:rFonts w:ascii="Arial" w:hAnsi="Arial" w:cs="Arial"/>
        </w:rPr>
        <w:t xml:space="preserve">physical </w:t>
      </w:r>
      <w:r w:rsidRPr="00657786">
        <w:rPr>
          <w:rFonts w:ascii="Arial" w:hAnsi="Arial" w:cs="Arial"/>
        </w:rPr>
        <w:t>site inspection</w:t>
      </w:r>
      <w:r w:rsidRPr="2C111208">
        <w:rPr>
          <w:rFonts w:ascii="Arial" w:hAnsi="Arial" w:cs="Arial"/>
        </w:rPr>
        <w:t xml:space="preserve"> should be carried out. </w:t>
      </w:r>
    </w:p>
    <w:p w14:paraId="7F0B361B" w14:textId="7C00AF34" w:rsidR="000F5E34" w:rsidRDefault="000F5E34" w:rsidP="000F5E34">
      <w:pPr>
        <w:spacing w:before="240" w:after="240"/>
        <w:rPr>
          <w:rFonts w:ascii="Arial" w:hAnsi="Arial" w:cs="Arial"/>
        </w:rPr>
      </w:pPr>
      <w:r w:rsidRPr="008F069C">
        <w:rPr>
          <w:rFonts w:ascii="Arial" w:hAnsi="Arial" w:cs="Arial"/>
          <w:b/>
          <w:bCs/>
        </w:rPr>
        <w:t>Nuclear</w:t>
      </w:r>
      <w:r w:rsidRPr="00564C7F">
        <w:rPr>
          <w:rFonts w:ascii="Arial" w:hAnsi="Arial" w:cs="Arial"/>
        </w:rPr>
        <w:t xml:space="preserve">: </w:t>
      </w:r>
      <w:r w:rsidRPr="2C111208">
        <w:rPr>
          <w:rFonts w:ascii="Arial" w:hAnsi="Arial" w:cs="Arial"/>
        </w:rPr>
        <w:t>f</w:t>
      </w:r>
      <w:r w:rsidR="00BA094F" w:rsidRPr="00BA094F">
        <w:rPr>
          <w:rFonts w:ascii="Arial" w:hAnsi="Arial" w:cs="Arial"/>
        </w:rPr>
        <w:t xml:space="preserve">or activities carried on at nuclear sites and the Dounreay </w:t>
      </w:r>
      <w:r w:rsidR="003128EC" w:rsidRPr="00BA094F">
        <w:rPr>
          <w:rFonts w:ascii="Arial" w:hAnsi="Arial" w:cs="Arial"/>
        </w:rPr>
        <w:t>L</w:t>
      </w:r>
      <w:r w:rsidR="00BF0CCF">
        <w:rPr>
          <w:rFonts w:ascii="Arial" w:hAnsi="Arial" w:cs="Arial"/>
        </w:rPr>
        <w:t xml:space="preserve">ow </w:t>
      </w:r>
      <w:r w:rsidR="003128EC" w:rsidRPr="00BA094F">
        <w:rPr>
          <w:rFonts w:ascii="Arial" w:hAnsi="Arial" w:cs="Arial"/>
        </w:rPr>
        <w:t>L</w:t>
      </w:r>
      <w:r w:rsidR="00BF0CCF">
        <w:rPr>
          <w:rFonts w:ascii="Arial" w:hAnsi="Arial" w:cs="Arial"/>
        </w:rPr>
        <w:t xml:space="preserve">evel </w:t>
      </w:r>
      <w:r w:rsidR="003128EC" w:rsidRPr="00BA094F">
        <w:rPr>
          <w:rFonts w:ascii="Arial" w:hAnsi="Arial" w:cs="Arial"/>
        </w:rPr>
        <w:t>W</w:t>
      </w:r>
      <w:r w:rsidR="00BF0CCF">
        <w:rPr>
          <w:rFonts w:ascii="Arial" w:hAnsi="Arial" w:cs="Arial"/>
        </w:rPr>
        <w:t xml:space="preserve">aste </w:t>
      </w:r>
      <w:r w:rsidR="005B1C80" w:rsidRPr="00BA094F">
        <w:rPr>
          <w:rFonts w:ascii="Arial" w:hAnsi="Arial" w:cs="Arial"/>
        </w:rPr>
        <w:t>F</w:t>
      </w:r>
      <w:r w:rsidR="005B1C80">
        <w:rPr>
          <w:rFonts w:ascii="Arial" w:hAnsi="Arial" w:cs="Arial"/>
        </w:rPr>
        <w:t>acility</w:t>
      </w:r>
      <w:r w:rsidR="005201CA">
        <w:rPr>
          <w:rFonts w:ascii="Arial" w:hAnsi="Arial" w:cs="Arial"/>
        </w:rPr>
        <w:t>,</w:t>
      </w:r>
      <w:r w:rsidR="003128EC">
        <w:rPr>
          <w:rFonts w:ascii="Arial" w:hAnsi="Arial" w:cs="Arial"/>
        </w:rPr>
        <w:t xml:space="preserve"> multiple </w:t>
      </w:r>
      <w:r w:rsidR="005F70F3">
        <w:rPr>
          <w:rFonts w:ascii="Arial" w:hAnsi="Arial" w:cs="Arial"/>
        </w:rPr>
        <w:t xml:space="preserve">physical </w:t>
      </w:r>
      <w:r w:rsidR="003128EC" w:rsidRPr="00DD4B17">
        <w:rPr>
          <w:rFonts w:ascii="Arial" w:hAnsi="Arial" w:cs="Arial"/>
        </w:rPr>
        <w:t>site</w:t>
      </w:r>
      <w:r w:rsidR="00E0388E" w:rsidRPr="00DD4B17">
        <w:rPr>
          <w:rFonts w:ascii="Arial" w:hAnsi="Arial" w:cs="Arial"/>
        </w:rPr>
        <w:t xml:space="preserve"> i</w:t>
      </w:r>
      <w:r w:rsidR="00E0388E" w:rsidRPr="00657786">
        <w:rPr>
          <w:rFonts w:ascii="Arial" w:hAnsi="Arial" w:cs="Arial"/>
        </w:rPr>
        <w:t>nspections</w:t>
      </w:r>
      <w:r>
        <w:rPr>
          <w:rFonts w:ascii="Arial" w:hAnsi="Arial" w:cs="Arial"/>
        </w:rPr>
        <w:t xml:space="preserve"> </w:t>
      </w:r>
      <w:r w:rsidR="00D71A9D">
        <w:rPr>
          <w:rFonts w:ascii="Arial" w:hAnsi="Arial" w:cs="Arial"/>
        </w:rPr>
        <w:t>should be carried out each</w:t>
      </w:r>
      <w:r w:rsidRPr="00564C7F">
        <w:rPr>
          <w:rFonts w:ascii="Arial" w:hAnsi="Arial" w:cs="Arial"/>
        </w:rPr>
        <w:t xml:space="preserve"> year.</w:t>
      </w:r>
      <w:r>
        <w:rPr>
          <w:rFonts w:ascii="Arial" w:hAnsi="Arial" w:cs="Arial"/>
        </w:rPr>
        <w:t xml:space="preserve"> </w:t>
      </w:r>
    </w:p>
    <w:p w14:paraId="20283A3F" w14:textId="1B8D4563" w:rsidR="00340F64" w:rsidRDefault="00BA094F" w:rsidP="00340F64">
      <w:pPr>
        <w:spacing w:before="240" w:after="240"/>
        <w:rPr>
          <w:rFonts w:ascii="Arial" w:hAnsi="Arial" w:cs="Arial"/>
        </w:rPr>
      </w:pPr>
      <w:r w:rsidRPr="0D4FD4AB">
        <w:rPr>
          <w:rFonts w:ascii="Arial" w:hAnsi="Arial" w:cs="Arial"/>
          <w:b/>
          <w:bCs/>
        </w:rPr>
        <w:t>Ministry of Defence</w:t>
      </w:r>
      <w:r w:rsidRPr="0D4FD4AB">
        <w:rPr>
          <w:rFonts w:ascii="Arial" w:hAnsi="Arial" w:cs="Arial"/>
        </w:rPr>
        <w:t xml:space="preserve">: </w:t>
      </w:r>
      <w:r w:rsidR="00F91F3F" w:rsidRPr="0D4FD4AB">
        <w:rPr>
          <w:rFonts w:ascii="Arial" w:hAnsi="Arial" w:cs="Arial"/>
        </w:rPr>
        <w:t xml:space="preserve">MoD is excluded from authorisation under EASR for radioactive substances activities. However, under our </w:t>
      </w:r>
      <w:r w:rsidR="6F2A5336" w:rsidRPr="0D4FD4AB">
        <w:rPr>
          <w:rFonts w:ascii="Arial" w:hAnsi="Arial" w:cs="Arial"/>
        </w:rPr>
        <w:t xml:space="preserve">memorandum of understanding with </w:t>
      </w:r>
      <w:r w:rsidR="00F91F3F" w:rsidRPr="0D4FD4AB">
        <w:rPr>
          <w:rFonts w:ascii="Arial" w:hAnsi="Arial" w:cs="Arial"/>
        </w:rPr>
        <w:t>Mo</w:t>
      </w:r>
      <w:r w:rsidR="6FB1CA74" w:rsidRPr="0D4FD4AB">
        <w:rPr>
          <w:rFonts w:ascii="Arial" w:hAnsi="Arial" w:cs="Arial"/>
        </w:rPr>
        <w:t>D</w:t>
      </w:r>
      <w:r w:rsidR="00F91F3F" w:rsidRPr="0D4FD4AB">
        <w:rPr>
          <w:rFonts w:ascii="Arial" w:hAnsi="Arial" w:cs="Arial"/>
        </w:rPr>
        <w:t>, radioactive substances activities carried on by MoD are divided into levels mirroring EASR and are regulated in a similar manner</w:t>
      </w:r>
      <w:r w:rsidR="00091679" w:rsidRPr="0D4FD4AB">
        <w:rPr>
          <w:rFonts w:ascii="Arial" w:hAnsi="Arial" w:cs="Arial"/>
        </w:rPr>
        <w:t>.</w:t>
      </w:r>
    </w:p>
    <w:p w14:paraId="716624C7" w14:textId="4006EBFC" w:rsidR="00703DC4" w:rsidRDefault="00703DC4" w:rsidP="00B937C5">
      <w:pPr>
        <w:pStyle w:val="Heading1"/>
      </w:pPr>
      <w:bookmarkStart w:id="8" w:name="_Toc218687815"/>
      <w:r w:rsidRPr="008F069C">
        <w:t xml:space="preserve">Inspection programme for </w:t>
      </w:r>
      <w:r>
        <w:t>offshore authorisations</w:t>
      </w:r>
      <w:bookmarkEnd w:id="8"/>
    </w:p>
    <w:p w14:paraId="25B9E2C8" w14:textId="4E1ED97F" w:rsidR="00703DC4" w:rsidRPr="00657786" w:rsidRDefault="0054238B" w:rsidP="00703DC4">
      <w:pPr>
        <w:spacing w:before="240" w:after="240"/>
        <w:rPr>
          <w:rFonts w:ascii="Arial" w:hAnsi="Arial" w:cs="Arial"/>
        </w:rPr>
      </w:pPr>
      <w:r w:rsidRPr="00657786">
        <w:rPr>
          <w:rFonts w:ascii="Arial" w:hAnsi="Arial" w:cs="Arial"/>
        </w:rPr>
        <w:t>W</w:t>
      </w:r>
      <w:r w:rsidR="00703DC4" w:rsidRPr="00657786">
        <w:rPr>
          <w:rFonts w:ascii="Arial" w:hAnsi="Arial" w:cs="Arial"/>
        </w:rPr>
        <w:t xml:space="preserve">here the authorised place is an offshore installation SEPA will typically carry out a remote inspection </w:t>
      </w:r>
      <w:r w:rsidR="0014298D" w:rsidRPr="00657786">
        <w:rPr>
          <w:rFonts w:ascii="Arial" w:hAnsi="Arial" w:cs="Arial"/>
        </w:rPr>
        <w:t>or inspection at a relevant office</w:t>
      </w:r>
      <w:r w:rsidR="00883433">
        <w:rPr>
          <w:rFonts w:ascii="Arial" w:hAnsi="Arial" w:cs="Arial"/>
        </w:rPr>
        <w:t xml:space="preserve"> of the authorised person</w:t>
      </w:r>
      <w:r w:rsidR="0014298D" w:rsidRPr="00657786">
        <w:rPr>
          <w:rFonts w:ascii="Arial" w:hAnsi="Arial" w:cs="Arial"/>
        </w:rPr>
        <w:t xml:space="preserve">, </w:t>
      </w:r>
      <w:r w:rsidR="00703DC4" w:rsidRPr="00657786">
        <w:rPr>
          <w:rFonts w:ascii="Arial" w:hAnsi="Arial" w:cs="Arial"/>
        </w:rPr>
        <w:t>once every five years as a minimum</w:t>
      </w:r>
      <w:r w:rsidR="00375F97" w:rsidRPr="00657786">
        <w:rPr>
          <w:rFonts w:ascii="Arial" w:hAnsi="Arial" w:cs="Arial"/>
        </w:rPr>
        <w:t xml:space="preserve"> for NORM permits and registrations</w:t>
      </w:r>
      <w:r w:rsidR="00703DC4" w:rsidRPr="00657786">
        <w:rPr>
          <w:rFonts w:ascii="Arial" w:hAnsi="Arial" w:cs="Arial"/>
        </w:rPr>
        <w:t xml:space="preserve">. </w:t>
      </w:r>
      <w:r w:rsidR="00B86B5F" w:rsidRPr="00657786">
        <w:rPr>
          <w:rFonts w:ascii="Arial" w:hAnsi="Arial" w:cs="Arial"/>
        </w:rPr>
        <w:t>We</w:t>
      </w:r>
      <w:r w:rsidR="00703DC4" w:rsidRPr="00657786">
        <w:rPr>
          <w:rFonts w:ascii="Arial" w:hAnsi="Arial" w:cs="Arial"/>
        </w:rPr>
        <w:t xml:space="preserve"> will </w:t>
      </w:r>
      <w:r w:rsidR="00B53B10" w:rsidRPr="00657786">
        <w:rPr>
          <w:rFonts w:ascii="Arial" w:hAnsi="Arial" w:cs="Arial"/>
        </w:rPr>
        <w:t xml:space="preserve">only </w:t>
      </w:r>
      <w:r w:rsidR="00B86B5F" w:rsidRPr="00657786">
        <w:rPr>
          <w:rFonts w:ascii="Arial" w:hAnsi="Arial" w:cs="Arial"/>
        </w:rPr>
        <w:t>undertake</w:t>
      </w:r>
      <w:r w:rsidR="00703DC4" w:rsidRPr="00657786">
        <w:rPr>
          <w:rFonts w:ascii="Arial" w:hAnsi="Arial" w:cs="Arial"/>
        </w:rPr>
        <w:t xml:space="preserve"> </w:t>
      </w:r>
      <w:r w:rsidR="00BD02A2" w:rsidRPr="00657786">
        <w:rPr>
          <w:rFonts w:ascii="Arial" w:hAnsi="Arial" w:cs="Arial"/>
        </w:rPr>
        <w:t>physical</w:t>
      </w:r>
      <w:r w:rsidR="002F66BD" w:rsidRPr="00657786">
        <w:rPr>
          <w:rFonts w:ascii="Arial" w:hAnsi="Arial" w:cs="Arial"/>
        </w:rPr>
        <w:t xml:space="preserve"> site </w:t>
      </w:r>
      <w:r w:rsidR="00703DC4" w:rsidRPr="00657786">
        <w:rPr>
          <w:rFonts w:ascii="Arial" w:hAnsi="Arial" w:cs="Arial"/>
        </w:rPr>
        <w:t xml:space="preserve">inspections where warranted. </w:t>
      </w:r>
    </w:p>
    <w:p w14:paraId="57DB0232" w14:textId="097C7EB9" w:rsidR="00C82A37" w:rsidRDefault="00C82A37" w:rsidP="00C82A37">
      <w:pPr>
        <w:spacing w:before="240" w:after="240"/>
        <w:rPr>
          <w:rFonts w:ascii="Arial" w:hAnsi="Arial" w:cs="Arial"/>
        </w:rPr>
      </w:pPr>
      <w:r w:rsidRPr="00657786">
        <w:rPr>
          <w:rFonts w:ascii="Arial" w:hAnsi="Arial" w:cs="Arial"/>
        </w:rPr>
        <w:t xml:space="preserve">For activities involving non-HASS sources, </w:t>
      </w:r>
      <w:r w:rsidR="002F66BD" w:rsidRPr="00657786">
        <w:rPr>
          <w:rFonts w:ascii="Arial" w:hAnsi="Arial" w:cs="Arial"/>
        </w:rPr>
        <w:t xml:space="preserve">remote </w:t>
      </w:r>
      <w:r w:rsidRPr="00657786">
        <w:rPr>
          <w:rFonts w:ascii="Arial" w:hAnsi="Arial" w:cs="Arial"/>
        </w:rPr>
        <w:t xml:space="preserve">inspections will be </w:t>
      </w:r>
      <w:r w:rsidR="00DC043F">
        <w:rPr>
          <w:rFonts w:ascii="Arial" w:hAnsi="Arial" w:cs="Arial"/>
        </w:rPr>
        <w:t xml:space="preserve">carried out </w:t>
      </w:r>
      <w:r w:rsidRPr="00657786">
        <w:rPr>
          <w:rFonts w:ascii="Arial" w:hAnsi="Arial" w:cs="Arial"/>
        </w:rPr>
        <w:t>at least once every 3 years and for activities involving HASS, it is expected that a remote inspection will</w:t>
      </w:r>
      <w:r w:rsidRPr="37C46CF7">
        <w:rPr>
          <w:rFonts w:ascii="Arial" w:hAnsi="Arial" w:cs="Arial"/>
        </w:rPr>
        <w:t xml:space="preserve"> be carried out annually</w:t>
      </w:r>
      <w:r>
        <w:rPr>
          <w:rFonts w:ascii="Arial" w:hAnsi="Arial" w:cs="Arial"/>
        </w:rPr>
        <w:t xml:space="preserve">. </w:t>
      </w:r>
    </w:p>
    <w:p w14:paraId="6C27AC42" w14:textId="1F621DCF" w:rsidR="000F5E34" w:rsidRPr="008F069C" w:rsidRDefault="000F5E34" w:rsidP="00B937C5">
      <w:pPr>
        <w:pStyle w:val="Heading1"/>
      </w:pPr>
      <w:bookmarkStart w:id="9" w:name="_Toc76390111"/>
      <w:bookmarkStart w:id="10" w:name="_Toc218687816"/>
      <w:r w:rsidRPr="008F069C">
        <w:t>Themed inspections</w:t>
      </w:r>
      <w:bookmarkEnd w:id="9"/>
      <w:bookmarkEnd w:id="10"/>
    </w:p>
    <w:p w14:paraId="490842F5" w14:textId="5D91E179" w:rsidR="000F5E34" w:rsidRDefault="000F5E34" w:rsidP="000F5E34">
      <w:pPr>
        <w:spacing w:before="240" w:after="240"/>
        <w:rPr>
          <w:rFonts w:ascii="Arial" w:hAnsi="Arial" w:cs="Arial"/>
        </w:rPr>
      </w:pPr>
      <w:r w:rsidRPr="0D4FD4AB">
        <w:rPr>
          <w:rFonts w:ascii="Arial" w:hAnsi="Arial" w:cs="Arial"/>
        </w:rPr>
        <w:t>SEPA may periodically carry out themed inspections. Such inspections will focus on a particular area of compliance with an authorisation. They may be targeted at a specific group of authorised persons or activities or span across all. On occasion, themed inspections may be carried out in conjunction with other regulators</w:t>
      </w:r>
      <w:r w:rsidR="009809A1" w:rsidRPr="0D4FD4AB">
        <w:rPr>
          <w:rFonts w:ascii="Arial" w:hAnsi="Arial" w:cs="Arial"/>
        </w:rPr>
        <w:t xml:space="preserve"> (e.g. Office for Nuclear Regulation, Health and Safety Executive)</w:t>
      </w:r>
      <w:r w:rsidRPr="0D4FD4AB">
        <w:rPr>
          <w:rFonts w:ascii="Arial" w:hAnsi="Arial" w:cs="Arial"/>
        </w:rPr>
        <w:t xml:space="preserve"> </w:t>
      </w:r>
      <w:r w:rsidR="74F96BC7" w:rsidRPr="0D4FD4AB">
        <w:rPr>
          <w:rFonts w:ascii="Arial" w:hAnsi="Arial" w:cs="Arial"/>
        </w:rPr>
        <w:t xml:space="preserve">or other functions within SEPA </w:t>
      </w:r>
      <w:r w:rsidRPr="0D4FD4AB">
        <w:rPr>
          <w:rFonts w:ascii="Arial" w:hAnsi="Arial" w:cs="Arial"/>
        </w:rPr>
        <w:t xml:space="preserve">where there are areas of common interest. </w:t>
      </w:r>
    </w:p>
    <w:p w14:paraId="0C46E45F" w14:textId="77777777" w:rsidR="005D5401" w:rsidRDefault="005D5401" w:rsidP="000F5E34">
      <w:pPr>
        <w:spacing w:before="240" w:after="240"/>
        <w:rPr>
          <w:rFonts w:ascii="Arial" w:hAnsi="Arial" w:cs="Arial"/>
        </w:rPr>
      </w:pPr>
    </w:p>
    <w:p w14:paraId="39418123" w14:textId="39DE080C" w:rsidR="006243FF" w:rsidRDefault="00181E4C" w:rsidP="00B937C5">
      <w:pPr>
        <w:pStyle w:val="Heading1"/>
      </w:pPr>
      <w:bookmarkStart w:id="11" w:name="_Toc218687817"/>
      <w:r>
        <w:lastRenderedPageBreak/>
        <w:t>Terms of Reference</w:t>
      </w:r>
      <w:bookmarkEnd w:id="11"/>
    </w:p>
    <w:p w14:paraId="7A3DFB6C" w14:textId="2DBDB9BA" w:rsidR="00181E4C" w:rsidRDefault="002B1A74" w:rsidP="0076283B">
      <w:pPr>
        <w:ind w:left="2268" w:hanging="2268"/>
      </w:pPr>
      <w:r>
        <w:t>Nuclear site</w:t>
      </w:r>
      <w:r>
        <w:tab/>
      </w:r>
      <w:r w:rsidR="00252152">
        <w:t xml:space="preserve">is as defined in </w:t>
      </w:r>
      <w:r w:rsidR="00505C28">
        <w:t>para</w:t>
      </w:r>
      <w:r w:rsidR="000F6A56">
        <w:t>graph 4, Schedule 8 of EASR as</w:t>
      </w:r>
    </w:p>
    <w:p w14:paraId="0C336B8C" w14:textId="793A53A8" w:rsidR="000F6A56" w:rsidRPr="000F6A56" w:rsidRDefault="000F6A56" w:rsidP="005D5401">
      <w:pPr>
        <w:ind w:left="2835" w:hanging="567"/>
        <w:rPr>
          <w:i/>
          <w:iCs/>
        </w:rPr>
      </w:pPr>
      <w:r w:rsidRPr="000F6A56">
        <w:rPr>
          <w:i/>
          <w:iCs/>
        </w:rPr>
        <w:t>(e)</w:t>
      </w:r>
      <w:r w:rsidR="007F37E1">
        <w:rPr>
          <w:i/>
          <w:iCs/>
        </w:rPr>
        <w:tab/>
      </w:r>
      <w:r w:rsidRPr="000F6A56">
        <w:rPr>
          <w:i/>
          <w:iCs/>
        </w:rPr>
        <w:t>any site in respect of which a nuclear site licence is for the time being in force; or</w:t>
      </w:r>
    </w:p>
    <w:p w14:paraId="5603885A" w14:textId="4AB88BCA" w:rsidR="000F6A56" w:rsidRPr="000F6A56" w:rsidRDefault="000F6A56" w:rsidP="005D5401">
      <w:pPr>
        <w:ind w:left="2835" w:hanging="567"/>
        <w:rPr>
          <w:i/>
          <w:iCs/>
        </w:rPr>
      </w:pPr>
      <w:r w:rsidRPr="000F6A56">
        <w:rPr>
          <w:i/>
          <w:iCs/>
        </w:rPr>
        <w:t>(f)</w:t>
      </w:r>
      <w:r w:rsidR="007F37E1">
        <w:rPr>
          <w:i/>
          <w:iCs/>
        </w:rPr>
        <w:tab/>
      </w:r>
      <w:r w:rsidRPr="000F6A56">
        <w:rPr>
          <w:i/>
          <w:iCs/>
        </w:rPr>
        <w:t>any site in respect of which, after the revocation or surrender of a nuclear site licence, the period of responsibility of the licensee has not yet come to an end</w:t>
      </w:r>
    </w:p>
    <w:p w14:paraId="5D67B534" w14:textId="0453953D" w:rsidR="003640F0" w:rsidRDefault="003640F0" w:rsidP="0076283B">
      <w:pPr>
        <w:ind w:left="2268" w:hanging="2268"/>
      </w:pPr>
    </w:p>
    <w:p w14:paraId="3402BFF4" w14:textId="418B0EDD" w:rsidR="00792A66" w:rsidRDefault="00792A66" w:rsidP="0076283B">
      <w:pPr>
        <w:ind w:left="2268" w:hanging="2268"/>
      </w:pPr>
      <w:r>
        <w:t>Inspection types:</w:t>
      </w:r>
    </w:p>
    <w:p w14:paraId="11A21375" w14:textId="25347035" w:rsidR="002F2258" w:rsidRDefault="006E046F" w:rsidP="0076283B">
      <w:pPr>
        <w:ind w:left="2268" w:hanging="2268"/>
      </w:pPr>
      <w:r>
        <w:t>R</w:t>
      </w:r>
      <w:r w:rsidR="00186B6A">
        <w:t>emote</w:t>
      </w:r>
      <w:r>
        <w:tab/>
      </w:r>
      <w:r w:rsidR="006B67CD">
        <w:t>means</w:t>
      </w:r>
      <w:r w:rsidR="00A224FA">
        <w:t xml:space="preserve"> a </w:t>
      </w:r>
      <w:r w:rsidR="005D5401">
        <w:t>compliance</w:t>
      </w:r>
      <w:r w:rsidR="007867C8">
        <w:t xml:space="preserve"> </w:t>
      </w:r>
      <w:r w:rsidR="00546064">
        <w:t xml:space="preserve">inspection </w:t>
      </w:r>
      <w:r w:rsidR="00186B6A">
        <w:t>done via</w:t>
      </w:r>
      <w:r w:rsidR="005D5401">
        <w:t xml:space="preserve"> remote means, such as telephone </w:t>
      </w:r>
      <w:r w:rsidR="00463E4F">
        <w:t>or videoconference (e.g.</w:t>
      </w:r>
      <w:r w:rsidR="00186B6A">
        <w:t xml:space="preserve"> Teams</w:t>
      </w:r>
      <w:r w:rsidR="00B937C5">
        <w:t>).</w:t>
      </w:r>
    </w:p>
    <w:p w14:paraId="7AD86DC9" w14:textId="31979108" w:rsidR="00B10DFE" w:rsidRDefault="002F2258" w:rsidP="0076283B">
      <w:pPr>
        <w:ind w:left="2268" w:hanging="2268"/>
      </w:pPr>
      <w:r>
        <w:t xml:space="preserve">Physical site </w:t>
      </w:r>
      <w:r>
        <w:tab/>
      </w:r>
      <w:r w:rsidR="00982419">
        <w:t>means</w:t>
      </w:r>
      <w:r w:rsidR="00A224FA">
        <w:t xml:space="preserve"> a</w:t>
      </w:r>
      <w:r w:rsidR="00FD6D5D">
        <w:t xml:space="preserve"> SEPA officer</w:t>
      </w:r>
      <w:r w:rsidR="007867C8">
        <w:t xml:space="preserve"> </w:t>
      </w:r>
      <w:r w:rsidR="00982419">
        <w:t>physically at</w:t>
      </w:r>
      <w:r w:rsidR="00FD6D5D">
        <w:t>tending</w:t>
      </w:r>
      <w:r w:rsidR="00982419">
        <w:t xml:space="preserve"> the Authorised</w:t>
      </w:r>
      <w:r w:rsidR="00BB0D9A">
        <w:t xml:space="preserve"> Place</w:t>
      </w:r>
      <w:r w:rsidR="11439E4A">
        <w:t xml:space="preserve"> and</w:t>
      </w:r>
      <w:r w:rsidR="00620FA6">
        <w:t xml:space="preserve"> conducting a</w:t>
      </w:r>
      <w:r w:rsidR="00DB7E26">
        <w:t xml:space="preserve"> compliance</w:t>
      </w:r>
      <w:r w:rsidR="00620FA6">
        <w:t xml:space="preserve"> </w:t>
      </w:r>
      <w:r w:rsidR="00B937C5">
        <w:t>inspection.</w:t>
      </w:r>
    </w:p>
    <w:p w14:paraId="49BB6859" w14:textId="318EFA2C" w:rsidR="0076283B" w:rsidRPr="0076283B" w:rsidRDefault="00DE4233" w:rsidP="0076283B">
      <w:pPr>
        <w:ind w:left="2268" w:hanging="2268"/>
      </w:pPr>
      <w:r>
        <w:t xml:space="preserve">at </w:t>
      </w:r>
      <w:r w:rsidR="004E568D">
        <w:t xml:space="preserve">a </w:t>
      </w:r>
      <w:r>
        <w:t>relevant</w:t>
      </w:r>
      <w:r w:rsidR="00792A66">
        <w:t xml:space="preserve"> office</w:t>
      </w:r>
      <w:r>
        <w:tab/>
      </w:r>
      <w:r w:rsidR="00BB0D9A">
        <w:t>means</w:t>
      </w:r>
      <w:r w:rsidR="00A224FA">
        <w:t xml:space="preserve"> a</w:t>
      </w:r>
      <w:r w:rsidR="00DB7E26">
        <w:t xml:space="preserve"> SEPA officer physically attending</w:t>
      </w:r>
      <w:r w:rsidR="00BB0D9A">
        <w:t xml:space="preserve"> </w:t>
      </w:r>
      <w:r w:rsidR="00792A66">
        <w:t>a relevant office</w:t>
      </w:r>
      <w:r w:rsidR="00FC7F47">
        <w:t>, such as head office</w:t>
      </w:r>
      <w:r w:rsidR="00CF753F">
        <w:t xml:space="preserve"> or principal place of business in Scotland</w:t>
      </w:r>
      <w:r w:rsidR="00FC7F47">
        <w:t>,</w:t>
      </w:r>
      <w:r w:rsidR="00792A66">
        <w:t xml:space="preserve"> of the Authorised Person, </w:t>
      </w:r>
      <w:r w:rsidR="00994A0B">
        <w:t xml:space="preserve">and carrying out a compliance </w:t>
      </w:r>
      <w:r w:rsidR="00B937C5">
        <w:t>inspection.</w:t>
      </w:r>
    </w:p>
    <w:sectPr w:rsidR="0076283B" w:rsidRPr="0076283B" w:rsidSect="005775C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8281" w14:textId="77777777" w:rsidR="00816BBC" w:rsidRDefault="00816BBC" w:rsidP="00660C79">
      <w:pPr>
        <w:spacing w:line="240" w:lineRule="auto"/>
      </w:pPr>
      <w:r>
        <w:separator/>
      </w:r>
    </w:p>
  </w:endnote>
  <w:endnote w:type="continuationSeparator" w:id="0">
    <w:p w14:paraId="0F2E9311" w14:textId="77777777" w:rsidR="00816BBC" w:rsidRDefault="00816BBC"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E7EA" w14:textId="0FC90567" w:rsidR="00EC6A73" w:rsidRDefault="00CD47C8">
    <w:pPr>
      <w:pStyle w:val="Footer"/>
      <w:framePr w:wrap="none" w:vAnchor="text" w:hAnchor="margin" w:xAlign="right" w:y="1"/>
      <w:rPr>
        <w:rStyle w:val="PageNumber"/>
      </w:rPr>
    </w:pPr>
    <w:r>
      <w:rPr>
        <w:noProof/>
      </w:rPr>
      <mc:AlternateContent>
        <mc:Choice Requires="wps">
          <w:drawing>
            <wp:anchor distT="0" distB="0" distL="0" distR="0" simplePos="0" relativeHeight="251663367" behindDoc="0" locked="0" layoutInCell="1" allowOverlap="1" wp14:anchorId="2DE1055A" wp14:editId="2C697E44">
              <wp:simplePos x="635" y="635"/>
              <wp:positionH relativeFrom="page">
                <wp:align>center</wp:align>
              </wp:positionH>
              <wp:positionV relativeFrom="page">
                <wp:align>bottom</wp:align>
              </wp:positionV>
              <wp:extent cx="421005" cy="422910"/>
              <wp:effectExtent l="0" t="0" r="17145" b="0"/>
              <wp:wrapNone/>
              <wp:docPr id="1660246132"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E757D33" w14:textId="3C50E651"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1055A" id="_x0000_t202" coordsize="21600,21600" o:spt="202" path="m,l,21600r21600,l21600,xe">
              <v:stroke joinstyle="miter"/>
              <v:path gradientshapeok="t" o:connecttype="rect"/>
            </v:shapetype>
            <v:shape id="Text Box 14" o:spid="_x0000_s1029" type="#_x0000_t202" alt="PUBLIC" style="position:absolute;margin-left:0;margin-top:0;width:33.15pt;height:33.3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E757D33" w14:textId="3C50E651"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849A3C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C1D996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268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8C93" w14:textId="1CBD0560" w:rsidR="00EC6A73" w:rsidRDefault="00CD47C8" w:rsidP="00917BB1">
    <w:pPr>
      <w:pStyle w:val="Footer"/>
      <w:ind w:right="360"/>
    </w:pPr>
    <w:r>
      <w:rPr>
        <w:noProof/>
      </w:rPr>
      <mc:AlternateContent>
        <mc:Choice Requires="wps">
          <w:drawing>
            <wp:anchor distT="0" distB="0" distL="0" distR="0" simplePos="0" relativeHeight="251664391" behindDoc="0" locked="0" layoutInCell="1" allowOverlap="1" wp14:anchorId="1A83EEEC" wp14:editId="078C21E2">
              <wp:simplePos x="533400" y="9715500"/>
              <wp:positionH relativeFrom="page">
                <wp:align>center</wp:align>
              </wp:positionH>
              <wp:positionV relativeFrom="page">
                <wp:align>bottom</wp:align>
              </wp:positionV>
              <wp:extent cx="421005" cy="422910"/>
              <wp:effectExtent l="0" t="0" r="17145" b="0"/>
              <wp:wrapNone/>
              <wp:docPr id="1623633076"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9206B7E" w14:textId="1BC8B4D7"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3EEEC" id="_x0000_t202" coordsize="21600,21600" o:spt="202" path="m,l,21600r21600,l21600,xe">
              <v:stroke joinstyle="miter"/>
              <v:path gradientshapeok="t" o:connecttype="rect"/>
            </v:shapetype>
            <v:shape id="Text Box 15" o:spid="_x0000_s1030" type="#_x0000_t202" alt="PUBLIC" style="position:absolute;margin-left:0;margin-top:0;width:33.15pt;height:33.3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69206B7E" w14:textId="1BC8B4D7"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v:textbox>
              <w10:wrap anchorx="page" anchory="page"/>
            </v:shape>
          </w:pict>
        </mc:Fallback>
      </mc:AlternateContent>
    </w:r>
  </w:p>
  <w:p w14:paraId="4C78A42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44E709E" wp14:editId="50430AC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0AE7A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4B3DD08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5572F" w14:textId="77777777" w:rsidR="00917BB1" w:rsidRDefault="00917BB1" w:rsidP="00917BB1">
    <w:pPr>
      <w:pStyle w:val="Footer"/>
      <w:ind w:right="360"/>
    </w:pPr>
    <w:r>
      <w:rPr>
        <w:noProof/>
      </w:rPr>
      <w:drawing>
        <wp:inline distT="0" distB="0" distL="0" distR="0" wp14:anchorId="37025D86" wp14:editId="70CAAB9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6F8E" w14:textId="637E7F3B" w:rsidR="00EF03D8" w:rsidRDefault="00CD47C8">
    <w:pPr>
      <w:pStyle w:val="Footer"/>
    </w:pPr>
    <w:r>
      <w:rPr>
        <w:noProof/>
      </w:rPr>
      <mc:AlternateContent>
        <mc:Choice Requires="wps">
          <w:drawing>
            <wp:anchor distT="0" distB="0" distL="0" distR="0" simplePos="0" relativeHeight="251662343" behindDoc="0" locked="0" layoutInCell="1" allowOverlap="1" wp14:anchorId="06E3EB81" wp14:editId="2226E68A">
              <wp:simplePos x="533400" y="10163175"/>
              <wp:positionH relativeFrom="page">
                <wp:align>center</wp:align>
              </wp:positionH>
              <wp:positionV relativeFrom="page">
                <wp:align>bottom</wp:align>
              </wp:positionV>
              <wp:extent cx="421005" cy="422910"/>
              <wp:effectExtent l="0" t="0" r="17145" b="0"/>
              <wp:wrapNone/>
              <wp:docPr id="883397848"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9EC1FF1" w14:textId="32922FE7"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E3EB81"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9EC1FF1" w14:textId="32922FE7"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CB44" w14:textId="77777777" w:rsidR="00816BBC" w:rsidRDefault="00816BBC" w:rsidP="00660C79">
      <w:pPr>
        <w:spacing w:line="240" w:lineRule="auto"/>
      </w:pPr>
      <w:r>
        <w:separator/>
      </w:r>
    </w:p>
  </w:footnote>
  <w:footnote w:type="continuationSeparator" w:id="0">
    <w:p w14:paraId="4F5A2BAF" w14:textId="77777777" w:rsidR="00816BBC" w:rsidRDefault="00816BBC"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C817" w14:textId="3DE51583" w:rsidR="00EF03D8" w:rsidRDefault="00CD47C8">
    <w:pPr>
      <w:pStyle w:val="Header"/>
    </w:pPr>
    <w:r>
      <w:rPr>
        <w:noProof/>
      </w:rPr>
      <mc:AlternateContent>
        <mc:Choice Requires="wps">
          <w:drawing>
            <wp:anchor distT="0" distB="0" distL="0" distR="0" simplePos="0" relativeHeight="251660295" behindDoc="0" locked="0" layoutInCell="1" allowOverlap="1" wp14:anchorId="187712EA" wp14:editId="18581603">
              <wp:simplePos x="635" y="635"/>
              <wp:positionH relativeFrom="page">
                <wp:align>center</wp:align>
              </wp:positionH>
              <wp:positionV relativeFrom="page">
                <wp:align>top</wp:align>
              </wp:positionV>
              <wp:extent cx="421005" cy="422910"/>
              <wp:effectExtent l="0" t="0" r="17145" b="15240"/>
              <wp:wrapNone/>
              <wp:docPr id="1758508021"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27A8D21" w14:textId="5284EFFF"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712EA" id="_x0000_t202" coordsize="21600,21600" o:spt="202" path="m,l,21600r21600,l21600,xe">
              <v:stroke joinstyle="miter"/>
              <v:path gradientshapeok="t" o:connecttype="rect"/>
            </v:shapetype>
            <v:shape id="Text Box 11" o:spid="_x0000_s1027" type="#_x0000_t202" alt="PUBLIC" style="position:absolute;margin-left:0;margin-top:0;width:33.15pt;height:33.3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227A8D21" w14:textId="5284EFFF"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938F" w14:textId="749B01D3" w:rsidR="008D113C" w:rsidRPr="00917BB1" w:rsidRDefault="00CD47C8"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79A1EDEA" wp14:editId="0F2358E8">
              <wp:simplePos x="533400" y="504825"/>
              <wp:positionH relativeFrom="page">
                <wp:align>center</wp:align>
              </wp:positionH>
              <wp:positionV relativeFrom="page">
                <wp:align>top</wp:align>
              </wp:positionV>
              <wp:extent cx="421005" cy="422910"/>
              <wp:effectExtent l="0" t="0" r="17145" b="15240"/>
              <wp:wrapNone/>
              <wp:docPr id="1457190362"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D32EB1A" w14:textId="257242ED"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1EDEA" id="_x0000_t202" coordsize="21600,21600" o:spt="202" path="m,l,21600r21600,l21600,xe">
              <v:stroke joinstyle="miter"/>
              <v:path gradientshapeok="t" o:connecttype="rect"/>
            </v:shapetype>
            <v:shape id="Text Box 12" o:spid="_x0000_s1028" type="#_x0000_t202" alt="PUBLIC" style="position:absolute;left:0;text-align:left;margin-left:0;margin-top:0;width:33.15pt;height:33.3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7D32EB1A" w14:textId="257242ED"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v:textbox>
              <w10:wrap anchorx="page" anchory="page"/>
            </v:shape>
          </w:pict>
        </mc:Fallback>
      </mc:AlternateContent>
    </w:r>
    <w:r w:rsidR="0005723C">
      <w:rPr>
        <w:color w:val="6E7571" w:themeColor="text2"/>
      </w:rPr>
      <w:t>RS Inspection Programme</w:t>
    </w:r>
  </w:p>
  <w:p w14:paraId="3DB5C5C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C322852" wp14:editId="4B4184B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1B2CE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BB4" w14:textId="468B6DF0" w:rsidR="00EF03D8" w:rsidRDefault="00CD47C8">
    <w:pPr>
      <w:pStyle w:val="Header"/>
    </w:pPr>
    <w:r>
      <w:rPr>
        <w:noProof/>
      </w:rPr>
      <mc:AlternateContent>
        <mc:Choice Requires="wps">
          <w:drawing>
            <wp:anchor distT="0" distB="0" distL="0" distR="0" simplePos="0" relativeHeight="251659271" behindDoc="0" locked="0" layoutInCell="1" allowOverlap="1" wp14:anchorId="6E056155" wp14:editId="2E3851FA">
              <wp:simplePos x="533400" y="504825"/>
              <wp:positionH relativeFrom="page">
                <wp:align>center</wp:align>
              </wp:positionH>
              <wp:positionV relativeFrom="page">
                <wp:align>top</wp:align>
              </wp:positionV>
              <wp:extent cx="421005" cy="422910"/>
              <wp:effectExtent l="0" t="0" r="17145" b="15240"/>
              <wp:wrapNone/>
              <wp:docPr id="362113738"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DACFC33" w14:textId="70542DF4"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56155"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7DACFC33" w14:textId="70542DF4" w:rsidR="00CD47C8" w:rsidRPr="00CD47C8" w:rsidRDefault="00CD47C8" w:rsidP="00CD47C8">
                    <w:pPr>
                      <w:rPr>
                        <w:rFonts w:ascii="Aptos" w:eastAsia="Aptos" w:hAnsi="Aptos" w:cs="Aptos"/>
                        <w:noProof/>
                        <w:color w:val="000000"/>
                        <w:sz w:val="20"/>
                        <w:szCs w:val="20"/>
                      </w:rPr>
                    </w:pPr>
                    <w:r w:rsidRPr="00CD47C8">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845D6"/>
    <w:multiLevelType w:val="hybridMultilevel"/>
    <w:tmpl w:val="ADD2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001973"/>
    <w:multiLevelType w:val="hybridMultilevel"/>
    <w:tmpl w:val="F4FC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2"/>
  </w:num>
  <w:num w:numId="12" w16cid:durableId="381441349">
    <w:abstractNumId w:val="10"/>
  </w:num>
  <w:num w:numId="13" w16cid:durableId="1900898286">
    <w:abstractNumId w:val="13"/>
  </w:num>
  <w:num w:numId="14" w16cid:durableId="1002507150">
    <w:abstractNumId w:val="14"/>
  </w:num>
  <w:num w:numId="15" w16cid:durableId="241139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34"/>
    <w:rsid w:val="00013B87"/>
    <w:rsid w:val="00017AEB"/>
    <w:rsid w:val="00032829"/>
    <w:rsid w:val="000340AF"/>
    <w:rsid w:val="00040561"/>
    <w:rsid w:val="00043C02"/>
    <w:rsid w:val="00054A90"/>
    <w:rsid w:val="0005723C"/>
    <w:rsid w:val="000673FE"/>
    <w:rsid w:val="000677FB"/>
    <w:rsid w:val="000701D7"/>
    <w:rsid w:val="00070937"/>
    <w:rsid w:val="00070C1A"/>
    <w:rsid w:val="00091679"/>
    <w:rsid w:val="000950B3"/>
    <w:rsid w:val="000A2331"/>
    <w:rsid w:val="000B7559"/>
    <w:rsid w:val="000E0D15"/>
    <w:rsid w:val="000F5E34"/>
    <w:rsid w:val="000F6A56"/>
    <w:rsid w:val="00105F31"/>
    <w:rsid w:val="0011044A"/>
    <w:rsid w:val="00116F1A"/>
    <w:rsid w:val="00120076"/>
    <w:rsid w:val="00130903"/>
    <w:rsid w:val="00133688"/>
    <w:rsid w:val="0014298D"/>
    <w:rsid w:val="00150797"/>
    <w:rsid w:val="001539A3"/>
    <w:rsid w:val="001540C9"/>
    <w:rsid w:val="00174A92"/>
    <w:rsid w:val="001753E3"/>
    <w:rsid w:val="00180505"/>
    <w:rsid w:val="00181E4C"/>
    <w:rsid w:val="00186B6A"/>
    <w:rsid w:val="00193B16"/>
    <w:rsid w:val="001A2E9F"/>
    <w:rsid w:val="001A5CFB"/>
    <w:rsid w:val="001C57F1"/>
    <w:rsid w:val="001E74E3"/>
    <w:rsid w:val="00202EB5"/>
    <w:rsid w:val="00203492"/>
    <w:rsid w:val="00212B43"/>
    <w:rsid w:val="002158F8"/>
    <w:rsid w:val="00236552"/>
    <w:rsid w:val="0023783F"/>
    <w:rsid w:val="00252152"/>
    <w:rsid w:val="00281BB1"/>
    <w:rsid w:val="002875ED"/>
    <w:rsid w:val="00290B1F"/>
    <w:rsid w:val="002B1704"/>
    <w:rsid w:val="002B1A74"/>
    <w:rsid w:val="002B3BB1"/>
    <w:rsid w:val="002D67B0"/>
    <w:rsid w:val="002F0A4D"/>
    <w:rsid w:val="002F2258"/>
    <w:rsid w:val="002F4C2A"/>
    <w:rsid w:val="002F6267"/>
    <w:rsid w:val="002F66BD"/>
    <w:rsid w:val="0030096D"/>
    <w:rsid w:val="003128EC"/>
    <w:rsid w:val="00317618"/>
    <w:rsid w:val="003251B3"/>
    <w:rsid w:val="003301F8"/>
    <w:rsid w:val="00340F64"/>
    <w:rsid w:val="0035165B"/>
    <w:rsid w:val="00355677"/>
    <w:rsid w:val="00363B63"/>
    <w:rsid w:val="003640F0"/>
    <w:rsid w:val="00365A76"/>
    <w:rsid w:val="00375F97"/>
    <w:rsid w:val="00382BF8"/>
    <w:rsid w:val="003B7AD4"/>
    <w:rsid w:val="003C46DD"/>
    <w:rsid w:val="003C52E1"/>
    <w:rsid w:val="003F5384"/>
    <w:rsid w:val="004073BC"/>
    <w:rsid w:val="00412BFB"/>
    <w:rsid w:val="00413D11"/>
    <w:rsid w:val="0041560E"/>
    <w:rsid w:val="0042002E"/>
    <w:rsid w:val="00425BC5"/>
    <w:rsid w:val="00427934"/>
    <w:rsid w:val="0043551F"/>
    <w:rsid w:val="00435E27"/>
    <w:rsid w:val="00444AA1"/>
    <w:rsid w:val="004453E6"/>
    <w:rsid w:val="00446E7D"/>
    <w:rsid w:val="00453BD3"/>
    <w:rsid w:val="00463E4F"/>
    <w:rsid w:val="0046575E"/>
    <w:rsid w:val="00487C91"/>
    <w:rsid w:val="00495FF8"/>
    <w:rsid w:val="004A5662"/>
    <w:rsid w:val="004C07D4"/>
    <w:rsid w:val="004C1CA2"/>
    <w:rsid w:val="004D0366"/>
    <w:rsid w:val="004D649A"/>
    <w:rsid w:val="004E568D"/>
    <w:rsid w:val="00505C28"/>
    <w:rsid w:val="005176F2"/>
    <w:rsid w:val="005201CA"/>
    <w:rsid w:val="00523499"/>
    <w:rsid w:val="005342CC"/>
    <w:rsid w:val="00541190"/>
    <w:rsid w:val="0054238B"/>
    <w:rsid w:val="00546064"/>
    <w:rsid w:val="00551989"/>
    <w:rsid w:val="0056788B"/>
    <w:rsid w:val="005775C1"/>
    <w:rsid w:val="005A355E"/>
    <w:rsid w:val="005A3E12"/>
    <w:rsid w:val="005B1C80"/>
    <w:rsid w:val="005B3F20"/>
    <w:rsid w:val="005C1518"/>
    <w:rsid w:val="005C20EC"/>
    <w:rsid w:val="005C4714"/>
    <w:rsid w:val="005D1213"/>
    <w:rsid w:val="005D5401"/>
    <w:rsid w:val="005F1900"/>
    <w:rsid w:val="005F70F3"/>
    <w:rsid w:val="006045E8"/>
    <w:rsid w:val="00612B21"/>
    <w:rsid w:val="00620FA6"/>
    <w:rsid w:val="006243FF"/>
    <w:rsid w:val="006259B7"/>
    <w:rsid w:val="0063168C"/>
    <w:rsid w:val="00635DAB"/>
    <w:rsid w:val="00644225"/>
    <w:rsid w:val="00657786"/>
    <w:rsid w:val="00660C79"/>
    <w:rsid w:val="00673F23"/>
    <w:rsid w:val="00681883"/>
    <w:rsid w:val="0068764E"/>
    <w:rsid w:val="006A5F5C"/>
    <w:rsid w:val="006B1C73"/>
    <w:rsid w:val="006B67CD"/>
    <w:rsid w:val="006B76BE"/>
    <w:rsid w:val="006C1073"/>
    <w:rsid w:val="006C162C"/>
    <w:rsid w:val="006D16CE"/>
    <w:rsid w:val="006D663C"/>
    <w:rsid w:val="006E046F"/>
    <w:rsid w:val="006F530E"/>
    <w:rsid w:val="006F727B"/>
    <w:rsid w:val="00703A2E"/>
    <w:rsid w:val="00703DC4"/>
    <w:rsid w:val="00707500"/>
    <w:rsid w:val="00735D5D"/>
    <w:rsid w:val="007618A6"/>
    <w:rsid w:val="0076283B"/>
    <w:rsid w:val="00785E0E"/>
    <w:rsid w:val="007867C8"/>
    <w:rsid w:val="00792A66"/>
    <w:rsid w:val="007A567C"/>
    <w:rsid w:val="007B0638"/>
    <w:rsid w:val="007B4D47"/>
    <w:rsid w:val="007C3F12"/>
    <w:rsid w:val="007D441B"/>
    <w:rsid w:val="007F37E1"/>
    <w:rsid w:val="00801105"/>
    <w:rsid w:val="0080261D"/>
    <w:rsid w:val="00804562"/>
    <w:rsid w:val="00814187"/>
    <w:rsid w:val="008164F2"/>
    <w:rsid w:val="00816BBC"/>
    <w:rsid w:val="008170B9"/>
    <w:rsid w:val="00821BE9"/>
    <w:rsid w:val="00843560"/>
    <w:rsid w:val="00861B46"/>
    <w:rsid w:val="008630D5"/>
    <w:rsid w:val="008679ED"/>
    <w:rsid w:val="008711DE"/>
    <w:rsid w:val="00883433"/>
    <w:rsid w:val="00893E43"/>
    <w:rsid w:val="00894341"/>
    <w:rsid w:val="008A5E3B"/>
    <w:rsid w:val="008C1A73"/>
    <w:rsid w:val="008D0742"/>
    <w:rsid w:val="008D0D24"/>
    <w:rsid w:val="008D113C"/>
    <w:rsid w:val="008D376F"/>
    <w:rsid w:val="008D4F51"/>
    <w:rsid w:val="008D5420"/>
    <w:rsid w:val="008E0A26"/>
    <w:rsid w:val="008F6513"/>
    <w:rsid w:val="00910519"/>
    <w:rsid w:val="00917BB1"/>
    <w:rsid w:val="0092053B"/>
    <w:rsid w:val="009209DF"/>
    <w:rsid w:val="00921F94"/>
    <w:rsid w:val="009267BA"/>
    <w:rsid w:val="00933729"/>
    <w:rsid w:val="00933B86"/>
    <w:rsid w:val="00961D82"/>
    <w:rsid w:val="00963F38"/>
    <w:rsid w:val="00975D21"/>
    <w:rsid w:val="00980531"/>
    <w:rsid w:val="009809A1"/>
    <w:rsid w:val="00981DA9"/>
    <w:rsid w:val="00982419"/>
    <w:rsid w:val="00986AA9"/>
    <w:rsid w:val="009870C5"/>
    <w:rsid w:val="00994A0B"/>
    <w:rsid w:val="009A02C8"/>
    <w:rsid w:val="009A240D"/>
    <w:rsid w:val="009C0B00"/>
    <w:rsid w:val="009E1F69"/>
    <w:rsid w:val="009E33FF"/>
    <w:rsid w:val="00A029D1"/>
    <w:rsid w:val="00A224FA"/>
    <w:rsid w:val="00A23CD4"/>
    <w:rsid w:val="00A460B4"/>
    <w:rsid w:val="00A9349C"/>
    <w:rsid w:val="00A9388B"/>
    <w:rsid w:val="00A955C4"/>
    <w:rsid w:val="00A96DF9"/>
    <w:rsid w:val="00AA3A68"/>
    <w:rsid w:val="00AE068C"/>
    <w:rsid w:val="00AF1855"/>
    <w:rsid w:val="00B01204"/>
    <w:rsid w:val="00B0225E"/>
    <w:rsid w:val="00B053DD"/>
    <w:rsid w:val="00B10DFE"/>
    <w:rsid w:val="00B1227E"/>
    <w:rsid w:val="00B36A37"/>
    <w:rsid w:val="00B42478"/>
    <w:rsid w:val="00B46604"/>
    <w:rsid w:val="00B46E48"/>
    <w:rsid w:val="00B53B10"/>
    <w:rsid w:val="00B54CF4"/>
    <w:rsid w:val="00B8003C"/>
    <w:rsid w:val="00B86B5F"/>
    <w:rsid w:val="00B92922"/>
    <w:rsid w:val="00B937C5"/>
    <w:rsid w:val="00BA094F"/>
    <w:rsid w:val="00BA23F2"/>
    <w:rsid w:val="00BB0D9A"/>
    <w:rsid w:val="00BC1B09"/>
    <w:rsid w:val="00BD02A2"/>
    <w:rsid w:val="00BD1413"/>
    <w:rsid w:val="00BD3CA6"/>
    <w:rsid w:val="00BF0CCF"/>
    <w:rsid w:val="00BF3AB2"/>
    <w:rsid w:val="00BF6CA0"/>
    <w:rsid w:val="00C02829"/>
    <w:rsid w:val="00C4311A"/>
    <w:rsid w:val="00C44B86"/>
    <w:rsid w:val="00C569B9"/>
    <w:rsid w:val="00C5703A"/>
    <w:rsid w:val="00C65496"/>
    <w:rsid w:val="00C826CA"/>
    <w:rsid w:val="00C82A37"/>
    <w:rsid w:val="00C916F7"/>
    <w:rsid w:val="00CA3D96"/>
    <w:rsid w:val="00CB17BC"/>
    <w:rsid w:val="00CB295B"/>
    <w:rsid w:val="00CD47C8"/>
    <w:rsid w:val="00CD6AC0"/>
    <w:rsid w:val="00CE3BB3"/>
    <w:rsid w:val="00CE7CAC"/>
    <w:rsid w:val="00CF73F0"/>
    <w:rsid w:val="00CF753F"/>
    <w:rsid w:val="00CF7936"/>
    <w:rsid w:val="00CF7EFB"/>
    <w:rsid w:val="00D2384A"/>
    <w:rsid w:val="00D270EB"/>
    <w:rsid w:val="00D32C25"/>
    <w:rsid w:val="00D35448"/>
    <w:rsid w:val="00D366C4"/>
    <w:rsid w:val="00D42E9A"/>
    <w:rsid w:val="00D45A20"/>
    <w:rsid w:val="00D50613"/>
    <w:rsid w:val="00D50ED1"/>
    <w:rsid w:val="00D536F1"/>
    <w:rsid w:val="00D60B72"/>
    <w:rsid w:val="00D663DB"/>
    <w:rsid w:val="00D71A9D"/>
    <w:rsid w:val="00D743B0"/>
    <w:rsid w:val="00D82B27"/>
    <w:rsid w:val="00D838F4"/>
    <w:rsid w:val="00D87E6A"/>
    <w:rsid w:val="00D90E64"/>
    <w:rsid w:val="00D92054"/>
    <w:rsid w:val="00DA4904"/>
    <w:rsid w:val="00DB3831"/>
    <w:rsid w:val="00DB7E26"/>
    <w:rsid w:val="00DC043F"/>
    <w:rsid w:val="00DC79FF"/>
    <w:rsid w:val="00DD2E35"/>
    <w:rsid w:val="00DD4B17"/>
    <w:rsid w:val="00DE4233"/>
    <w:rsid w:val="00DF2668"/>
    <w:rsid w:val="00DF2B11"/>
    <w:rsid w:val="00DF6029"/>
    <w:rsid w:val="00E0388E"/>
    <w:rsid w:val="00E11A56"/>
    <w:rsid w:val="00E44A2F"/>
    <w:rsid w:val="00E61EEC"/>
    <w:rsid w:val="00E67C75"/>
    <w:rsid w:val="00E7522A"/>
    <w:rsid w:val="00E8699A"/>
    <w:rsid w:val="00EA329C"/>
    <w:rsid w:val="00EB1D8B"/>
    <w:rsid w:val="00EB3780"/>
    <w:rsid w:val="00EC5969"/>
    <w:rsid w:val="00EC6A73"/>
    <w:rsid w:val="00EC72B8"/>
    <w:rsid w:val="00ED5398"/>
    <w:rsid w:val="00EF03D8"/>
    <w:rsid w:val="00EF07DF"/>
    <w:rsid w:val="00EF575D"/>
    <w:rsid w:val="00F0377B"/>
    <w:rsid w:val="00F07048"/>
    <w:rsid w:val="00F074A4"/>
    <w:rsid w:val="00F11A44"/>
    <w:rsid w:val="00F404E3"/>
    <w:rsid w:val="00F51C79"/>
    <w:rsid w:val="00F62E5D"/>
    <w:rsid w:val="00F72274"/>
    <w:rsid w:val="00F91F3F"/>
    <w:rsid w:val="00F92EB0"/>
    <w:rsid w:val="00FA5550"/>
    <w:rsid w:val="00FA6006"/>
    <w:rsid w:val="00FB400E"/>
    <w:rsid w:val="00FC7F47"/>
    <w:rsid w:val="00FC7F7F"/>
    <w:rsid w:val="00FD2ACA"/>
    <w:rsid w:val="00FD6D5D"/>
    <w:rsid w:val="00FE325E"/>
    <w:rsid w:val="00FF5D5A"/>
    <w:rsid w:val="0D4FD4AB"/>
    <w:rsid w:val="11439E4A"/>
    <w:rsid w:val="13B6C58E"/>
    <w:rsid w:val="1527E843"/>
    <w:rsid w:val="28304B99"/>
    <w:rsid w:val="3E54BE4A"/>
    <w:rsid w:val="3EA7269E"/>
    <w:rsid w:val="4511EBBE"/>
    <w:rsid w:val="560ECA9F"/>
    <w:rsid w:val="58AD2209"/>
    <w:rsid w:val="5C31FE78"/>
    <w:rsid w:val="611B01DA"/>
    <w:rsid w:val="6F2A5336"/>
    <w:rsid w:val="6FB1CA74"/>
    <w:rsid w:val="74F96B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C62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0F5E34"/>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0F5E34"/>
    <w:rPr>
      <w:sz w:val="16"/>
      <w:szCs w:val="16"/>
    </w:rPr>
  </w:style>
  <w:style w:type="paragraph" w:styleId="CommentText">
    <w:name w:val="annotation text"/>
    <w:basedOn w:val="Normal"/>
    <w:link w:val="CommentTextChar"/>
    <w:uiPriority w:val="99"/>
    <w:unhideWhenUsed/>
    <w:rsid w:val="000F5E34"/>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F5E34"/>
    <w:rPr>
      <w:sz w:val="20"/>
      <w:szCs w:val="20"/>
    </w:rPr>
  </w:style>
  <w:style w:type="paragraph" w:styleId="CommentSubject">
    <w:name w:val="annotation subject"/>
    <w:basedOn w:val="CommentText"/>
    <w:next w:val="CommentText"/>
    <w:link w:val="CommentSubjectChar"/>
    <w:uiPriority w:val="99"/>
    <w:semiHidden/>
    <w:unhideWhenUsed/>
    <w:rsid w:val="00B1227E"/>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B1227E"/>
    <w:rPr>
      <w:rFonts w:eastAsiaTheme="minorEastAsia"/>
      <w:b/>
      <w:bCs/>
      <w:sz w:val="20"/>
      <w:szCs w:val="20"/>
    </w:rPr>
  </w:style>
  <w:style w:type="paragraph" w:styleId="TOCHeading">
    <w:name w:val="TOC Heading"/>
    <w:basedOn w:val="Heading1"/>
    <w:next w:val="Normal"/>
    <w:uiPriority w:val="39"/>
    <w:unhideWhenUsed/>
    <w:qFormat/>
    <w:rsid w:val="009E33FF"/>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9E33FF"/>
    <w:pPr>
      <w:spacing w:after="100"/>
      <w:ind w:left="240"/>
    </w:pPr>
  </w:style>
  <w:style w:type="table" w:styleId="TableGrid">
    <w:name w:val="Table Grid"/>
    <w:basedOn w:val="TableNormal"/>
    <w:uiPriority w:val="39"/>
    <w:rsid w:val="006C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2053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9788-10BE-4B97-98DA-365804AB45E3}"/>
</file>

<file path=customXml/itemProps2.xml><?xml version="1.0" encoding="utf-8"?>
<ds:datastoreItem xmlns:ds="http://schemas.openxmlformats.org/officeDocument/2006/customXml" ds:itemID="{38A826FB-F4D8-4D06-A1E4-A96140539C50}">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3.xml><?xml version="1.0" encoding="utf-8"?>
<ds:datastoreItem xmlns:ds="http://schemas.openxmlformats.org/officeDocument/2006/customXml" ds:itemID="{C204E125-5888-4FD7-A83F-9037DB0F3D2C}">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Links>
    <vt:vector size="48" baseType="variant">
      <vt:variant>
        <vt:i4>3539032</vt:i4>
      </vt:variant>
      <vt:variant>
        <vt:i4>45</vt:i4>
      </vt:variant>
      <vt:variant>
        <vt:i4>0</vt:i4>
      </vt:variant>
      <vt:variant>
        <vt:i4>5</vt:i4>
      </vt:variant>
      <vt:variant>
        <vt:lpwstr>mailto:equalities@sepa.org.uk</vt:lpwstr>
      </vt:variant>
      <vt:variant>
        <vt:lpwstr/>
      </vt:variant>
      <vt:variant>
        <vt:i4>1441850</vt:i4>
      </vt:variant>
      <vt:variant>
        <vt:i4>38</vt:i4>
      </vt:variant>
      <vt:variant>
        <vt:i4>0</vt:i4>
      </vt:variant>
      <vt:variant>
        <vt:i4>5</vt:i4>
      </vt:variant>
      <vt:variant>
        <vt:lpwstr/>
      </vt:variant>
      <vt:variant>
        <vt:lpwstr>_Toc218687817</vt:lpwstr>
      </vt:variant>
      <vt:variant>
        <vt:i4>1441850</vt:i4>
      </vt:variant>
      <vt:variant>
        <vt:i4>32</vt:i4>
      </vt:variant>
      <vt:variant>
        <vt:i4>0</vt:i4>
      </vt:variant>
      <vt:variant>
        <vt:i4>5</vt:i4>
      </vt:variant>
      <vt:variant>
        <vt:lpwstr/>
      </vt:variant>
      <vt:variant>
        <vt:lpwstr>_Toc218687816</vt:lpwstr>
      </vt:variant>
      <vt:variant>
        <vt:i4>1441850</vt:i4>
      </vt:variant>
      <vt:variant>
        <vt:i4>26</vt:i4>
      </vt:variant>
      <vt:variant>
        <vt:i4>0</vt:i4>
      </vt:variant>
      <vt:variant>
        <vt:i4>5</vt:i4>
      </vt:variant>
      <vt:variant>
        <vt:lpwstr/>
      </vt:variant>
      <vt:variant>
        <vt:lpwstr>_Toc218687815</vt:lpwstr>
      </vt:variant>
      <vt:variant>
        <vt:i4>1441850</vt:i4>
      </vt:variant>
      <vt:variant>
        <vt:i4>20</vt:i4>
      </vt:variant>
      <vt:variant>
        <vt:i4>0</vt:i4>
      </vt:variant>
      <vt:variant>
        <vt:i4>5</vt:i4>
      </vt:variant>
      <vt:variant>
        <vt:lpwstr/>
      </vt:variant>
      <vt:variant>
        <vt:lpwstr>_Toc218687814</vt:lpwstr>
      </vt:variant>
      <vt:variant>
        <vt:i4>1441850</vt:i4>
      </vt:variant>
      <vt:variant>
        <vt:i4>14</vt:i4>
      </vt:variant>
      <vt:variant>
        <vt:i4>0</vt:i4>
      </vt:variant>
      <vt:variant>
        <vt:i4>5</vt:i4>
      </vt:variant>
      <vt:variant>
        <vt:lpwstr/>
      </vt:variant>
      <vt:variant>
        <vt:lpwstr>_Toc218687813</vt:lpwstr>
      </vt:variant>
      <vt:variant>
        <vt:i4>1441850</vt:i4>
      </vt:variant>
      <vt:variant>
        <vt:i4>8</vt:i4>
      </vt:variant>
      <vt:variant>
        <vt:i4>0</vt:i4>
      </vt:variant>
      <vt:variant>
        <vt:i4>5</vt:i4>
      </vt:variant>
      <vt:variant>
        <vt:lpwstr/>
      </vt:variant>
      <vt:variant>
        <vt:lpwstr>_Toc218687812</vt:lpwstr>
      </vt:variant>
      <vt:variant>
        <vt:i4>1441850</vt:i4>
      </vt:variant>
      <vt:variant>
        <vt:i4>2</vt:i4>
      </vt:variant>
      <vt:variant>
        <vt:i4>0</vt:i4>
      </vt:variant>
      <vt:variant>
        <vt:i4>5</vt:i4>
      </vt:variant>
      <vt:variant>
        <vt:lpwstr/>
      </vt:variant>
      <vt:variant>
        <vt:lpwstr>_Toc218687811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2026-01-07T14:33:00Z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15956aca,68d0b3f5,56daf5da</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34a794d8,62f55874,60c6acb4</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2026-01-07T14:33:30Z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9aef76c6-bbf3-4eff-8d18-cf3082353bcc</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