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2672637" w:displacedByCustomXml="next"/>
    <w:bookmarkStart w:id="1" w:name="_Toc192672241" w:displacedByCustomXml="next"/>
    <w:sdt>
      <w:sdtPr>
        <w:rPr>
          <w:rFonts w:asciiTheme="minorHAnsi" w:eastAsiaTheme="minorEastAsia" w:hAnsiTheme="minorHAnsi" w:cstheme="minorBidi"/>
          <w:b w:val="0"/>
          <w:color w:val="auto"/>
          <w:sz w:val="72"/>
          <w:szCs w:val="72"/>
        </w:rPr>
        <w:id w:val="-191923907"/>
        <w:docPartObj>
          <w:docPartGallery w:val="Cover Pages"/>
          <w:docPartUnique/>
        </w:docPartObj>
      </w:sdtPr>
      <w:sdtEndPr>
        <w:rPr>
          <w:sz w:val="24"/>
          <w:szCs w:val="24"/>
        </w:rPr>
      </w:sdtEndPr>
      <w:sdtContent>
        <w:p w14:paraId="52CAEDBC" w14:textId="2BB1A33E" w:rsidR="00781E5E" w:rsidRDefault="00F72274" w:rsidP="00482574">
          <w:pPr>
            <w:pStyle w:val="Heading1"/>
            <w:rPr>
              <w:b w:val="0"/>
              <w:bCs/>
              <w:color w:val="FFFFFF" w:themeColor="background1"/>
              <w:sz w:val="72"/>
              <w:szCs w:val="72"/>
            </w:rPr>
          </w:pPr>
          <w:r w:rsidRPr="00127566">
            <w:rPr>
              <w:noProof/>
              <w:sz w:val="72"/>
              <w:szCs w:val="72"/>
            </w:rPr>
            <w:drawing>
              <wp:anchor distT="0" distB="0" distL="114300" distR="114300" simplePos="0" relativeHeight="251658241" behindDoc="1" locked="0" layoutInCell="1" allowOverlap="1" wp14:anchorId="5A60DD44" wp14:editId="51156081">
                <wp:simplePos x="0" y="0"/>
                <wp:positionH relativeFrom="column">
                  <wp:posOffset>-532765</wp:posOffset>
                </wp:positionH>
                <wp:positionV relativeFrom="paragraph">
                  <wp:posOffset>-711200</wp:posOffset>
                </wp:positionV>
                <wp:extent cx="7559645" cy="10869295"/>
                <wp:effectExtent l="0" t="0" r="3810" b="825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885" cy="10871078"/>
                        </a:xfrm>
                        <a:prstGeom prst="rect">
                          <a:avLst/>
                        </a:prstGeom>
                      </pic:spPr>
                    </pic:pic>
                  </a:graphicData>
                </a:graphic>
                <wp14:sizeRelH relativeFrom="page">
                  <wp14:pctWidth>0</wp14:pctWidth>
                </wp14:sizeRelH>
                <wp14:sizeRelV relativeFrom="page">
                  <wp14:pctHeight>0</wp14:pctHeight>
                </wp14:sizeRelV>
              </wp:anchor>
            </w:drawing>
          </w:r>
          <w:bookmarkEnd w:id="1"/>
          <w:bookmarkEnd w:id="0"/>
          <w:r w:rsidR="00781E5E" w:rsidRPr="00127566">
            <w:rPr>
              <w:noProof/>
              <w:sz w:val="72"/>
              <w:szCs w:val="72"/>
            </w:rPr>
            <w:drawing>
              <wp:inline distT="0" distB="0" distL="0" distR="0" wp14:anchorId="769BAD68" wp14:editId="2B75924C">
                <wp:extent cx="3194973" cy="803275"/>
                <wp:effectExtent l="0" t="0" r="5715" b="0"/>
                <wp:docPr id="1022606793" name="Picture 10226067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r w:rsidR="00781E5E">
            <w:rPr>
              <w:noProof/>
            </w:rPr>
            <w:drawing>
              <wp:anchor distT="0" distB="0" distL="114300" distR="114300" simplePos="0" relativeHeight="251660289" behindDoc="1" locked="0" layoutInCell="1" allowOverlap="1" wp14:anchorId="14C3A2EC" wp14:editId="6190D664">
                <wp:simplePos x="0" y="0"/>
                <wp:positionH relativeFrom="page">
                  <wp:align>left</wp:align>
                </wp:positionH>
                <wp:positionV relativeFrom="paragraph">
                  <wp:posOffset>-1181100</wp:posOffset>
                </wp:positionV>
                <wp:extent cx="7559645" cy="10881995"/>
                <wp:effectExtent l="0" t="0" r="3810" b="0"/>
                <wp:wrapNone/>
                <wp:docPr id="184716827" name="Picture 1847168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9645" cy="10881995"/>
                        </a:xfrm>
                        <a:prstGeom prst="rect">
                          <a:avLst/>
                        </a:prstGeom>
                      </pic:spPr>
                    </pic:pic>
                  </a:graphicData>
                </a:graphic>
                <wp14:sizeRelH relativeFrom="page">
                  <wp14:pctWidth>0</wp14:pctWidth>
                </wp14:sizeRelH>
                <wp14:sizeRelV relativeFrom="page">
                  <wp14:pctHeight>0</wp14:pctHeight>
                </wp14:sizeRelV>
              </wp:anchor>
            </w:drawing>
          </w:r>
        </w:p>
        <w:p w14:paraId="07B1F775" w14:textId="2C52F788" w:rsidR="00781E5E" w:rsidRPr="00B24A79" w:rsidRDefault="00781E5E" w:rsidP="00781E5E">
          <w:pPr>
            <w:rPr>
              <w:b/>
              <w:bCs/>
              <w:color w:val="FFFFFF" w:themeColor="background1"/>
              <w:sz w:val="96"/>
              <w:szCs w:val="96"/>
            </w:rPr>
          </w:pPr>
          <w:r w:rsidRPr="00B24A79">
            <w:rPr>
              <w:noProof/>
              <w:sz w:val="96"/>
              <w:szCs w:val="96"/>
            </w:rPr>
            <mc:AlternateContent>
              <mc:Choice Requires="wps">
                <w:drawing>
                  <wp:anchor distT="0" distB="0" distL="114300" distR="114300" simplePos="0" relativeHeight="251662337" behindDoc="0" locked="1" layoutInCell="1" allowOverlap="1" wp14:anchorId="6A88A5B5" wp14:editId="1E231219">
                    <wp:simplePos x="0" y="0"/>
                    <wp:positionH relativeFrom="margin">
                      <wp:align>left</wp:align>
                    </wp:positionH>
                    <wp:positionV relativeFrom="paragraph">
                      <wp:posOffset>7996555</wp:posOffset>
                    </wp:positionV>
                    <wp:extent cx="2771775" cy="504825"/>
                    <wp:effectExtent l="0" t="0" r="9525" b="9525"/>
                    <wp:wrapNone/>
                    <wp:docPr id="1130796112" name="Text Box 11307961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771775" cy="504825"/>
                            </a:xfrm>
                            <a:prstGeom prst="rect">
                              <a:avLst/>
                            </a:prstGeom>
                            <a:noFill/>
                            <a:ln w="6350">
                              <a:noFill/>
                            </a:ln>
                          </wps:spPr>
                          <wps:txbx>
                            <w:txbxContent>
                              <w:p w14:paraId="26627AA4" w14:textId="404990CB" w:rsidR="00482574" w:rsidRDefault="00482574" w:rsidP="00482574">
                                <w:pPr>
                                  <w:spacing w:line="250" w:lineRule="auto"/>
                                  <w:ind w:right="1627"/>
                                  <w:rPr>
                                    <w:color w:val="FFFFFF" w:themeColor="background1"/>
                                  </w:rPr>
                                </w:pPr>
                                <w:r>
                                  <w:rPr>
                                    <w:color w:val="FFFFFF" w:themeColor="background1"/>
                                  </w:rPr>
                                  <w:t xml:space="preserve">Version 2.0 </w:t>
                                </w:r>
                                <w:r w:rsidRPr="00B24A79">
                                  <w:rPr>
                                    <w:color w:val="FFFFFF" w:themeColor="background1"/>
                                  </w:rPr>
                                  <w:t xml:space="preserve">August 2025 </w:t>
                                </w:r>
                              </w:p>
                              <w:p w14:paraId="2B07B7A0" w14:textId="7AE352FA" w:rsidR="00482574" w:rsidRPr="00B24A79" w:rsidRDefault="00482574" w:rsidP="00482574">
                                <w:pPr>
                                  <w:spacing w:line="250" w:lineRule="auto"/>
                                  <w:ind w:right="1627"/>
                                  <w:rPr>
                                    <w:color w:val="FFFFFF" w:themeColor="background1"/>
                                  </w:rPr>
                                </w:pPr>
                                <w:r>
                                  <w:rPr>
                                    <w:color w:val="FFFFFF" w:themeColor="background1"/>
                                  </w:rPr>
                                  <w:t>IND-LF-G-007</w:t>
                                </w:r>
                              </w:p>
                              <w:p w14:paraId="38B80C05" w14:textId="621C4AFE" w:rsidR="00781E5E" w:rsidRPr="009A240D" w:rsidRDefault="00781E5E" w:rsidP="00482574">
                                <w:pPr>
                                  <w:spacing w:line="250" w:lineRule="auto"/>
                                  <w:ind w:right="1627"/>
                                  <w:rPr>
                                    <w:color w:val="FFFFFF" w:themeColor="background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8A5B5" id="_x0000_t202" coordsize="21600,21600" o:spt="202" path="m,l,21600r21600,l21600,xe">
                    <v:stroke joinstyle="miter"/>
                    <v:path gradientshapeok="t" o:connecttype="rect"/>
                  </v:shapetype>
                  <v:shape id="Text Box 1130796112" o:spid="_x0000_s1026" type="#_x0000_t202" alt="&quot;&quot;" style="position:absolute;margin-left:0;margin-top:629.65pt;width:218.25pt;height:39.75pt;z-index:25166233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" filled="f" stroked="f" strokeweight=".5pt">
                    <v:textbox inset="0,0,0,0">
                      <w:txbxContent>
                        <w:p w14:paraId="26627AA4" w14:textId="404990CB" w:rsidR="00482574" w:rsidRDefault="00482574" w:rsidP="00482574">
                          <w:pPr>
                            <w:spacing w:line="250" w:lineRule="auto"/>
                            <w:ind w:right="1627"/>
                            <w:rPr>
                              <w:color w:val="FFFFFF" w:themeColor="background1"/>
                            </w:rPr>
                          </w:pPr>
                          <w:r>
                            <w:rPr>
                              <w:color w:val="FFFFFF" w:themeColor="background1"/>
                            </w:rPr>
                            <w:t xml:space="preserve">Version 2.0 </w:t>
                          </w:r>
                          <w:r w:rsidRPr="00B24A79">
                            <w:rPr>
                              <w:color w:val="FFFFFF" w:themeColor="background1"/>
                            </w:rPr>
                            <w:t xml:space="preserve">August 2025 </w:t>
                          </w:r>
                        </w:p>
                        <w:p w14:paraId="2B07B7A0" w14:textId="7AE352FA" w:rsidR="00482574" w:rsidRPr="00B24A79" w:rsidRDefault="00482574" w:rsidP="00482574">
                          <w:pPr>
                            <w:spacing w:line="250" w:lineRule="auto"/>
                            <w:ind w:right="1627"/>
                            <w:rPr>
                              <w:color w:val="FFFFFF" w:themeColor="background1"/>
                            </w:rPr>
                          </w:pPr>
                          <w:r>
                            <w:rPr>
                              <w:color w:val="FFFFFF" w:themeColor="background1"/>
                            </w:rPr>
                            <w:t>IND-LF-G-007</w:t>
                          </w:r>
                        </w:p>
                        <w:p w14:paraId="38B80C05" w14:textId="621C4AFE" w:rsidR="00781E5E" w:rsidRPr="009A240D" w:rsidRDefault="00781E5E" w:rsidP="00482574">
                          <w:pPr>
                            <w:spacing w:line="250" w:lineRule="auto"/>
                            <w:ind w:right="1627"/>
                            <w:rPr>
                              <w:color w:val="FFFFFF" w:themeColor="background1"/>
                            </w:rPr>
                          </w:pPr>
                        </w:p>
                      </w:txbxContent>
                    </v:textbox>
                    <w10:wrap anchorx="margin"/>
                    <w10:anchorlock/>
                  </v:shape>
                </w:pict>
              </mc:Fallback>
            </mc:AlternateContent>
          </w:r>
          <w:r w:rsidR="00482574">
            <w:rPr>
              <w:b/>
              <w:bCs/>
              <w:color w:val="FFFFFF" w:themeColor="background1"/>
              <w:sz w:val="96"/>
              <w:szCs w:val="96"/>
            </w:rPr>
            <w:t>R</w:t>
          </w:r>
          <w:r w:rsidRPr="00B24A79">
            <w:rPr>
              <w:b/>
              <w:bCs/>
              <w:color w:val="FFFFFF" w:themeColor="background1"/>
              <w:sz w:val="96"/>
              <w:szCs w:val="96"/>
            </w:rPr>
            <w:t xml:space="preserve">isk assessment </w:t>
          </w:r>
          <w:r w:rsidR="00482574">
            <w:rPr>
              <w:b/>
              <w:bCs/>
              <w:color w:val="FFFFFF" w:themeColor="background1"/>
              <w:sz w:val="96"/>
              <w:szCs w:val="96"/>
            </w:rPr>
            <w:t xml:space="preserve">framework </w:t>
          </w:r>
          <w:r w:rsidRPr="00B24A79">
            <w:rPr>
              <w:b/>
              <w:bCs/>
              <w:color w:val="FFFFFF" w:themeColor="background1"/>
              <w:sz w:val="96"/>
              <w:szCs w:val="96"/>
            </w:rPr>
            <w:t xml:space="preserve">for landfill sites </w:t>
          </w:r>
        </w:p>
        <w:p w14:paraId="727E0894" w14:textId="77777777" w:rsidR="00482574" w:rsidRDefault="00482574" w:rsidP="00781E5E">
          <w:pPr>
            <w:rPr>
              <w:b/>
              <w:bCs/>
              <w:color w:val="FFFFFF" w:themeColor="background1"/>
              <w:sz w:val="72"/>
              <w:szCs w:val="72"/>
            </w:rPr>
          </w:pPr>
        </w:p>
        <w:p w14:paraId="29DD6328" w14:textId="50694B64" w:rsidR="00781E5E" w:rsidRPr="00127566" w:rsidRDefault="00781E5E" w:rsidP="00781E5E">
          <w:pPr>
            <w:rPr>
              <w:b/>
              <w:bCs/>
              <w:color w:val="FFFFFF" w:themeColor="background1"/>
              <w:sz w:val="72"/>
              <w:szCs w:val="72"/>
            </w:rPr>
          </w:pPr>
          <w:r w:rsidRPr="00127566">
            <w:rPr>
              <w:b/>
              <w:bCs/>
              <w:color w:val="FFFFFF" w:themeColor="background1"/>
              <w:sz w:val="72"/>
              <w:szCs w:val="72"/>
            </w:rPr>
            <w:t xml:space="preserve">The </w:t>
          </w:r>
          <w:r>
            <w:rPr>
              <w:b/>
              <w:bCs/>
              <w:color w:val="FFFFFF" w:themeColor="background1"/>
              <w:sz w:val="72"/>
              <w:szCs w:val="72"/>
            </w:rPr>
            <w:t>g</w:t>
          </w:r>
          <w:r w:rsidRPr="00127566">
            <w:rPr>
              <w:b/>
              <w:bCs/>
              <w:color w:val="FFFFFF" w:themeColor="background1"/>
              <w:sz w:val="72"/>
              <w:szCs w:val="72"/>
            </w:rPr>
            <w:t xml:space="preserve">eological </w:t>
          </w:r>
          <w:r>
            <w:rPr>
              <w:b/>
              <w:bCs/>
              <w:color w:val="FFFFFF" w:themeColor="background1"/>
              <w:sz w:val="72"/>
              <w:szCs w:val="72"/>
            </w:rPr>
            <w:t>b</w:t>
          </w:r>
          <w:r w:rsidRPr="00127566">
            <w:rPr>
              <w:b/>
              <w:bCs/>
              <w:color w:val="FFFFFF" w:themeColor="background1"/>
              <w:sz w:val="72"/>
              <w:szCs w:val="72"/>
            </w:rPr>
            <w:t xml:space="preserve">arrier, </w:t>
          </w:r>
          <w:r>
            <w:rPr>
              <w:b/>
              <w:bCs/>
              <w:color w:val="FFFFFF" w:themeColor="background1"/>
              <w:sz w:val="72"/>
              <w:szCs w:val="72"/>
            </w:rPr>
            <w:t>m</w:t>
          </w:r>
          <w:r w:rsidRPr="00127566">
            <w:rPr>
              <w:b/>
              <w:bCs/>
              <w:color w:val="FFFFFF" w:themeColor="background1"/>
              <w:sz w:val="72"/>
              <w:szCs w:val="72"/>
            </w:rPr>
            <w:t xml:space="preserve">ineral </w:t>
          </w:r>
          <w:r>
            <w:rPr>
              <w:b/>
              <w:bCs/>
              <w:color w:val="FFFFFF" w:themeColor="background1"/>
              <w:sz w:val="72"/>
              <w:szCs w:val="72"/>
            </w:rPr>
            <w:t>l</w:t>
          </w:r>
          <w:r w:rsidRPr="00127566">
            <w:rPr>
              <w:b/>
              <w:bCs/>
              <w:color w:val="FFFFFF" w:themeColor="background1"/>
              <w:sz w:val="72"/>
              <w:szCs w:val="72"/>
            </w:rPr>
            <w:t xml:space="preserve">ayer and </w:t>
          </w:r>
        </w:p>
        <w:p w14:paraId="2C417384" w14:textId="11C0D795" w:rsidR="00907649" w:rsidRPr="00C34659" w:rsidRDefault="00781E5E" w:rsidP="00C34659">
          <w:pPr>
            <w:rPr>
              <w:b/>
              <w:bCs/>
              <w:color w:val="FFFFFF" w:themeColor="background1"/>
              <w:sz w:val="72"/>
              <w:szCs w:val="72"/>
            </w:rPr>
          </w:pPr>
          <w:r w:rsidRPr="00127566">
            <w:rPr>
              <w:b/>
              <w:bCs/>
              <w:color w:val="FFFFFF" w:themeColor="background1"/>
              <w:sz w:val="72"/>
              <w:szCs w:val="72"/>
            </w:rPr>
            <w:t xml:space="preserve">the </w:t>
          </w:r>
          <w:r>
            <w:rPr>
              <w:b/>
              <w:bCs/>
              <w:color w:val="FFFFFF" w:themeColor="background1"/>
              <w:sz w:val="72"/>
              <w:szCs w:val="72"/>
            </w:rPr>
            <w:t>l</w:t>
          </w:r>
          <w:r w:rsidRPr="00127566">
            <w:rPr>
              <w:b/>
              <w:bCs/>
              <w:color w:val="FFFFFF" w:themeColor="background1"/>
              <w:sz w:val="72"/>
              <w:szCs w:val="72"/>
            </w:rPr>
            <w:t xml:space="preserve">eachate </w:t>
          </w:r>
          <w:r>
            <w:rPr>
              <w:b/>
              <w:bCs/>
              <w:color w:val="FFFFFF" w:themeColor="background1"/>
              <w:sz w:val="72"/>
              <w:szCs w:val="72"/>
            </w:rPr>
            <w:t>s</w:t>
          </w:r>
          <w:r w:rsidRPr="00127566">
            <w:rPr>
              <w:b/>
              <w:bCs/>
              <w:color w:val="FFFFFF" w:themeColor="background1"/>
              <w:sz w:val="72"/>
              <w:szCs w:val="72"/>
            </w:rPr>
            <w:t>ealing and</w:t>
          </w:r>
          <w:r>
            <w:rPr>
              <w:b/>
              <w:bCs/>
              <w:color w:val="FFFFFF" w:themeColor="background1"/>
              <w:sz w:val="72"/>
              <w:szCs w:val="72"/>
            </w:rPr>
            <w:t xml:space="preserve"> drainage system</w:t>
          </w:r>
        </w:p>
      </w:sdtContent>
    </w:sdt>
    <w:p w14:paraId="151B72E3" w14:textId="4C6FD25B" w:rsidR="000942C3" w:rsidRDefault="000942C3" w:rsidP="000942C3">
      <w:pPr>
        <w:spacing w:line="259" w:lineRule="auto"/>
        <w:ind w:left="350"/>
      </w:pPr>
    </w:p>
    <w:p w14:paraId="59131DF8" w14:textId="77777777" w:rsidR="000942C3" w:rsidRDefault="000942C3" w:rsidP="000942C3">
      <w:pPr>
        <w:spacing w:line="259" w:lineRule="auto"/>
      </w:pPr>
      <w:r>
        <w:rPr>
          <w:b/>
        </w:rPr>
        <w:t xml:space="preserve"> </w:t>
      </w:r>
    </w:p>
    <w:p w14:paraId="4D719314" w14:textId="724ACC6D" w:rsidR="009949EB" w:rsidRDefault="000942C3" w:rsidP="000942C3">
      <w:pPr>
        <w:spacing w:line="259" w:lineRule="auto"/>
        <w:rPr>
          <w:b/>
        </w:rPr>
      </w:pPr>
      <w:r>
        <w:rPr>
          <w:b/>
        </w:rPr>
        <w:t xml:space="preserve"> </w:t>
      </w:r>
    </w:p>
    <w:bookmarkStart w:id="2" w:name="_Toc24186" w:displacedByCustomXml="next"/>
    <w:sdt>
      <w:sdtPr>
        <w:id w:val="-1983225308"/>
        <w:docPartObj>
          <w:docPartGallery w:val="Table of Contents"/>
          <w:docPartUnique/>
        </w:docPartObj>
      </w:sdtPr>
      <w:sdtEndPr>
        <w:rPr>
          <w:b/>
          <w:bCs/>
          <w:noProof/>
        </w:rPr>
      </w:sdtEndPr>
      <w:sdtContent>
        <w:p w14:paraId="41A18000" w14:textId="77777777" w:rsidR="00482574" w:rsidRDefault="00482574" w:rsidP="00AE2ECD">
          <w:pPr>
            <w:jc w:val="both"/>
          </w:pPr>
        </w:p>
        <w:p w14:paraId="1C66873E" w14:textId="77777777" w:rsidR="00482574" w:rsidRDefault="00482574" w:rsidP="00AE2ECD">
          <w:pPr>
            <w:jc w:val="both"/>
          </w:pPr>
        </w:p>
        <w:p w14:paraId="0C8DA5A0" w14:textId="6BB86779" w:rsidR="00AE2ECD" w:rsidRPr="004851F8" w:rsidRDefault="00AE2ECD" w:rsidP="004851F8">
          <w:pPr>
            <w:rPr>
              <w:rFonts w:ascii="Arial" w:hAnsi="Arial" w:cs="Arial"/>
              <w:sz w:val="20"/>
              <w:szCs w:val="20"/>
            </w:rPr>
          </w:pPr>
          <w:r w:rsidRPr="004851F8">
            <w:rPr>
              <w:rFonts w:ascii="Arial" w:hAnsi="Arial" w:cs="Arial"/>
              <w:b/>
              <w:bCs/>
            </w:rPr>
            <w:lastRenderedPageBreak/>
            <w:t>This guidance has been updated to meet accessibility standards and to replace certain references to legislation with references to the Environmental Authorisations (Scotland) Regulations 2018.</w:t>
          </w:r>
          <w:r w:rsidR="00DD664B" w:rsidRPr="004851F8">
            <w:rPr>
              <w:rFonts w:ascii="Arial" w:hAnsi="Arial" w:cs="Arial"/>
              <w:b/>
              <w:bCs/>
            </w:rPr>
            <w:t xml:space="preserve"> </w:t>
          </w:r>
          <w:r w:rsidRPr="004851F8">
            <w:rPr>
              <w:rFonts w:ascii="Arial" w:hAnsi="Arial" w:cs="Arial"/>
              <w:b/>
              <w:bCs/>
            </w:rPr>
            <w:t>It has not been reviewed beyond this.</w:t>
          </w:r>
          <w:r w:rsidR="00DD664B" w:rsidRPr="004851F8">
            <w:rPr>
              <w:rFonts w:ascii="Arial" w:hAnsi="Arial" w:cs="Arial"/>
              <w:b/>
              <w:bCs/>
            </w:rPr>
            <w:t xml:space="preserve"> </w:t>
          </w:r>
          <w:r w:rsidRPr="004851F8">
            <w:rPr>
              <w:rFonts w:ascii="Arial" w:hAnsi="Arial" w:cs="Arial"/>
              <w:b/>
              <w:bCs/>
            </w:rPr>
            <w:t>We are aware that sections of this guidance may need to be updated, and this work will be completed in due course.</w:t>
          </w:r>
        </w:p>
        <w:p w14:paraId="4D40C8E2" w14:textId="77777777" w:rsidR="00AE2ECD" w:rsidRDefault="00AE2ECD" w:rsidP="005274EA">
          <w:pPr>
            <w:pStyle w:val="Heading1"/>
            <w:spacing w:line="360" w:lineRule="auto"/>
          </w:pPr>
        </w:p>
        <w:p w14:paraId="09E1091E" w14:textId="45AB0738" w:rsidR="003C07EC" w:rsidRPr="005274EA" w:rsidRDefault="003C07EC" w:rsidP="005274EA">
          <w:pPr>
            <w:pStyle w:val="Heading1"/>
            <w:spacing w:line="360" w:lineRule="auto"/>
            <w:rPr>
              <w:noProof/>
            </w:rPr>
          </w:pPr>
          <w:r>
            <w:t>Contents</w:t>
          </w:r>
          <w:r w:rsidRPr="00085D68">
            <w:rPr>
              <w:rFonts w:ascii="Arial" w:eastAsia="Arial" w:hAnsi="Arial" w:cs="Arial"/>
              <w:b w:val="0"/>
              <w:color w:val="000000"/>
              <w:kern w:val="2"/>
              <w:sz w:val="24"/>
              <w:szCs w:val="24"/>
              <w:lang w:eastAsia="en-GB"/>
              <w14:ligatures w14:val="standardContextual"/>
            </w:rPr>
            <w:fldChar w:fldCharType="begin"/>
          </w:r>
          <w:r w:rsidRPr="00085D68">
            <w:rPr>
              <w:sz w:val="24"/>
              <w:szCs w:val="24"/>
            </w:rPr>
            <w:instrText xml:space="preserve"> TOC \o "1-3" \h \z \u </w:instrText>
          </w:r>
          <w:r w:rsidRPr="00085D68">
            <w:rPr>
              <w:rFonts w:ascii="Arial" w:eastAsia="Arial" w:hAnsi="Arial" w:cs="Arial"/>
              <w:b w:val="0"/>
              <w:color w:val="000000"/>
              <w:kern w:val="2"/>
              <w:sz w:val="24"/>
              <w:szCs w:val="24"/>
              <w:lang w:eastAsia="en-GB"/>
              <w14:ligatures w14:val="standardContextual"/>
            </w:rPr>
            <w:fldChar w:fldCharType="separate"/>
          </w:r>
        </w:p>
        <w:p w14:paraId="19277A86" w14:textId="1B37390A" w:rsidR="003C07EC" w:rsidRPr="00085D68" w:rsidRDefault="003C07EC" w:rsidP="00085D68">
          <w:pPr>
            <w:pStyle w:val="TOC1"/>
            <w:tabs>
              <w:tab w:val="right" w:leader="dot" w:pos="10212"/>
            </w:tabs>
            <w:spacing w:line="360" w:lineRule="auto"/>
            <w:rPr>
              <w:rFonts w:asciiTheme="minorHAnsi" w:eastAsiaTheme="minorEastAsia" w:hAnsiTheme="minorHAnsi" w:cstheme="minorBidi"/>
              <w:noProof/>
              <w:color w:val="auto"/>
              <w:sz w:val="24"/>
            </w:rPr>
          </w:pPr>
          <w:hyperlink w:anchor="_Toc192672638" w:history="1">
            <w:r w:rsidRPr="00085D68">
              <w:rPr>
                <w:rStyle w:val="Hyperlink"/>
                <w:noProof/>
                <w:sz w:val="24"/>
              </w:rPr>
              <w:t>1. Introduction and Scope</w:t>
            </w:r>
            <w:r w:rsidRPr="00085D68">
              <w:rPr>
                <w:noProof/>
                <w:webHidden/>
                <w:sz w:val="24"/>
              </w:rPr>
              <w:tab/>
            </w:r>
            <w:r w:rsidRPr="00085D68">
              <w:rPr>
                <w:noProof/>
                <w:webHidden/>
                <w:sz w:val="24"/>
              </w:rPr>
              <w:fldChar w:fldCharType="begin"/>
            </w:r>
            <w:r w:rsidRPr="00085D68">
              <w:rPr>
                <w:noProof/>
                <w:webHidden/>
                <w:sz w:val="24"/>
              </w:rPr>
              <w:instrText xml:space="preserve"> PAGEREF _Toc192672638 \h </w:instrText>
            </w:r>
            <w:r w:rsidRPr="00085D68">
              <w:rPr>
                <w:noProof/>
                <w:webHidden/>
                <w:sz w:val="24"/>
              </w:rPr>
            </w:r>
            <w:r w:rsidRPr="00085D68">
              <w:rPr>
                <w:noProof/>
                <w:webHidden/>
                <w:sz w:val="24"/>
              </w:rPr>
              <w:fldChar w:fldCharType="separate"/>
            </w:r>
            <w:r w:rsidR="00DD664B">
              <w:rPr>
                <w:noProof/>
                <w:webHidden/>
                <w:sz w:val="24"/>
              </w:rPr>
              <w:t>2</w:t>
            </w:r>
            <w:r w:rsidRPr="00085D68">
              <w:rPr>
                <w:noProof/>
                <w:webHidden/>
                <w:sz w:val="24"/>
              </w:rPr>
              <w:fldChar w:fldCharType="end"/>
            </w:r>
          </w:hyperlink>
        </w:p>
        <w:p w14:paraId="0696F2F4" w14:textId="7162E35F" w:rsidR="003C07EC" w:rsidRPr="00085D68" w:rsidRDefault="003C07EC" w:rsidP="00085D68">
          <w:pPr>
            <w:pStyle w:val="TOC1"/>
            <w:tabs>
              <w:tab w:val="right" w:leader="dot" w:pos="10212"/>
            </w:tabs>
            <w:spacing w:line="360" w:lineRule="auto"/>
            <w:rPr>
              <w:rFonts w:asciiTheme="minorHAnsi" w:eastAsiaTheme="minorEastAsia" w:hAnsiTheme="minorHAnsi" w:cstheme="minorBidi"/>
              <w:noProof/>
              <w:color w:val="auto"/>
              <w:sz w:val="24"/>
            </w:rPr>
          </w:pPr>
          <w:hyperlink w:anchor="_Toc192672643" w:history="1">
            <w:r w:rsidRPr="00085D68">
              <w:rPr>
                <w:rStyle w:val="Hyperlink"/>
                <w:noProof/>
                <w:sz w:val="24"/>
              </w:rPr>
              <w:t>2. Definitions and Framework for Assessment</w:t>
            </w:r>
            <w:r w:rsidRPr="00085D68">
              <w:rPr>
                <w:noProof/>
                <w:webHidden/>
                <w:sz w:val="24"/>
              </w:rPr>
              <w:tab/>
            </w:r>
            <w:r w:rsidRPr="00085D68">
              <w:rPr>
                <w:noProof/>
                <w:webHidden/>
                <w:sz w:val="24"/>
              </w:rPr>
              <w:fldChar w:fldCharType="begin"/>
            </w:r>
            <w:r w:rsidRPr="00085D68">
              <w:rPr>
                <w:noProof/>
                <w:webHidden/>
                <w:sz w:val="24"/>
              </w:rPr>
              <w:instrText xml:space="preserve"> PAGEREF _Toc192672643 \h </w:instrText>
            </w:r>
            <w:r w:rsidRPr="00085D68">
              <w:rPr>
                <w:noProof/>
                <w:webHidden/>
                <w:sz w:val="24"/>
              </w:rPr>
            </w:r>
            <w:r w:rsidRPr="00085D68">
              <w:rPr>
                <w:noProof/>
                <w:webHidden/>
                <w:sz w:val="24"/>
              </w:rPr>
              <w:fldChar w:fldCharType="separate"/>
            </w:r>
            <w:r w:rsidR="00DD664B">
              <w:rPr>
                <w:noProof/>
                <w:webHidden/>
                <w:sz w:val="24"/>
              </w:rPr>
              <w:t>4</w:t>
            </w:r>
            <w:r w:rsidRPr="00085D68">
              <w:rPr>
                <w:noProof/>
                <w:webHidden/>
                <w:sz w:val="24"/>
              </w:rPr>
              <w:fldChar w:fldCharType="end"/>
            </w:r>
          </w:hyperlink>
        </w:p>
        <w:p w14:paraId="2C338B4F" w14:textId="1A6A2BA0" w:rsidR="003C07EC" w:rsidRPr="00085D68" w:rsidRDefault="003C07EC" w:rsidP="00085D68">
          <w:pPr>
            <w:pStyle w:val="TOC1"/>
            <w:tabs>
              <w:tab w:val="right" w:leader="dot" w:pos="10212"/>
            </w:tabs>
            <w:spacing w:line="360" w:lineRule="auto"/>
            <w:rPr>
              <w:rFonts w:asciiTheme="minorHAnsi" w:eastAsiaTheme="minorEastAsia" w:hAnsiTheme="minorHAnsi" w:cstheme="minorBidi"/>
              <w:noProof/>
              <w:color w:val="auto"/>
              <w:sz w:val="24"/>
            </w:rPr>
          </w:pPr>
          <w:hyperlink w:anchor="_Toc192672646" w:history="1">
            <w:r w:rsidRPr="00085D68">
              <w:rPr>
                <w:rStyle w:val="Hyperlink"/>
                <w:noProof/>
                <w:sz w:val="24"/>
              </w:rPr>
              <w:t>3. Geological Barrier</w:t>
            </w:r>
            <w:r w:rsidRPr="00085D68">
              <w:rPr>
                <w:noProof/>
                <w:webHidden/>
                <w:sz w:val="24"/>
              </w:rPr>
              <w:tab/>
            </w:r>
            <w:r w:rsidRPr="00085D68">
              <w:rPr>
                <w:noProof/>
                <w:webHidden/>
                <w:sz w:val="24"/>
              </w:rPr>
              <w:fldChar w:fldCharType="begin"/>
            </w:r>
            <w:r w:rsidRPr="00085D68">
              <w:rPr>
                <w:noProof/>
                <w:webHidden/>
                <w:sz w:val="24"/>
              </w:rPr>
              <w:instrText xml:space="preserve"> PAGEREF _Toc192672646 \h </w:instrText>
            </w:r>
            <w:r w:rsidRPr="00085D68">
              <w:rPr>
                <w:noProof/>
                <w:webHidden/>
                <w:sz w:val="24"/>
              </w:rPr>
            </w:r>
            <w:r w:rsidRPr="00085D68">
              <w:rPr>
                <w:noProof/>
                <w:webHidden/>
                <w:sz w:val="24"/>
              </w:rPr>
              <w:fldChar w:fldCharType="separate"/>
            </w:r>
            <w:r w:rsidR="00DD664B">
              <w:rPr>
                <w:noProof/>
                <w:webHidden/>
                <w:sz w:val="24"/>
              </w:rPr>
              <w:t>5</w:t>
            </w:r>
            <w:r w:rsidRPr="00085D68">
              <w:rPr>
                <w:noProof/>
                <w:webHidden/>
                <w:sz w:val="24"/>
              </w:rPr>
              <w:fldChar w:fldCharType="end"/>
            </w:r>
          </w:hyperlink>
        </w:p>
        <w:p w14:paraId="7F181E01" w14:textId="6CD5E10F" w:rsidR="003C07EC" w:rsidRPr="00085D68" w:rsidRDefault="003C07EC" w:rsidP="00085D68">
          <w:pPr>
            <w:pStyle w:val="TOC1"/>
            <w:tabs>
              <w:tab w:val="right" w:leader="dot" w:pos="10212"/>
            </w:tabs>
            <w:spacing w:line="360" w:lineRule="auto"/>
            <w:rPr>
              <w:rFonts w:asciiTheme="minorHAnsi" w:eastAsiaTheme="minorEastAsia" w:hAnsiTheme="minorHAnsi" w:cstheme="minorBidi"/>
              <w:noProof/>
              <w:color w:val="auto"/>
              <w:sz w:val="24"/>
            </w:rPr>
          </w:pPr>
          <w:hyperlink w:anchor="_Toc192672651" w:history="1">
            <w:r w:rsidRPr="00085D68">
              <w:rPr>
                <w:rStyle w:val="Hyperlink"/>
                <w:noProof/>
                <w:sz w:val="24"/>
              </w:rPr>
              <w:t>4. Leachate collection and sealing system</w:t>
            </w:r>
            <w:r w:rsidRPr="00085D68">
              <w:rPr>
                <w:noProof/>
                <w:webHidden/>
                <w:sz w:val="24"/>
              </w:rPr>
              <w:tab/>
            </w:r>
            <w:r w:rsidRPr="00085D68">
              <w:rPr>
                <w:noProof/>
                <w:webHidden/>
                <w:sz w:val="24"/>
              </w:rPr>
              <w:fldChar w:fldCharType="begin"/>
            </w:r>
            <w:r w:rsidRPr="00085D68">
              <w:rPr>
                <w:noProof/>
                <w:webHidden/>
                <w:sz w:val="24"/>
              </w:rPr>
              <w:instrText xml:space="preserve"> PAGEREF _Toc192672651 \h </w:instrText>
            </w:r>
            <w:r w:rsidRPr="00085D68">
              <w:rPr>
                <w:noProof/>
                <w:webHidden/>
                <w:sz w:val="24"/>
              </w:rPr>
            </w:r>
            <w:r w:rsidRPr="00085D68">
              <w:rPr>
                <w:noProof/>
                <w:webHidden/>
                <w:sz w:val="24"/>
              </w:rPr>
              <w:fldChar w:fldCharType="separate"/>
            </w:r>
            <w:r w:rsidR="00DD664B">
              <w:rPr>
                <w:noProof/>
                <w:webHidden/>
                <w:sz w:val="24"/>
              </w:rPr>
              <w:t>6</w:t>
            </w:r>
            <w:r w:rsidRPr="00085D68">
              <w:rPr>
                <w:noProof/>
                <w:webHidden/>
                <w:sz w:val="24"/>
              </w:rPr>
              <w:fldChar w:fldCharType="end"/>
            </w:r>
          </w:hyperlink>
        </w:p>
        <w:p w14:paraId="3924F075" w14:textId="56809321" w:rsidR="003C07EC" w:rsidRPr="00085D68" w:rsidRDefault="003C07EC" w:rsidP="00085D68">
          <w:pPr>
            <w:pStyle w:val="TOC1"/>
            <w:tabs>
              <w:tab w:val="right" w:leader="dot" w:pos="10212"/>
            </w:tabs>
            <w:spacing w:line="360" w:lineRule="auto"/>
            <w:rPr>
              <w:rFonts w:asciiTheme="minorHAnsi" w:eastAsiaTheme="minorEastAsia" w:hAnsiTheme="minorHAnsi" w:cstheme="minorBidi"/>
              <w:noProof/>
              <w:color w:val="auto"/>
              <w:sz w:val="24"/>
            </w:rPr>
          </w:pPr>
          <w:hyperlink w:anchor="_Toc192672657" w:history="1">
            <w:r w:rsidRPr="00085D68">
              <w:rPr>
                <w:rStyle w:val="Hyperlink"/>
                <w:noProof/>
                <w:sz w:val="24"/>
              </w:rPr>
              <w:t>5. Mandatory Standards</w:t>
            </w:r>
            <w:r w:rsidRPr="00085D68">
              <w:rPr>
                <w:noProof/>
                <w:webHidden/>
                <w:sz w:val="24"/>
              </w:rPr>
              <w:tab/>
            </w:r>
            <w:r w:rsidRPr="00085D68">
              <w:rPr>
                <w:noProof/>
                <w:webHidden/>
                <w:sz w:val="24"/>
              </w:rPr>
              <w:fldChar w:fldCharType="begin"/>
            </w:r>
            <w:r w:rsidRPr="00085D68">
              <w:rPr>
                <w:noProof/>
                <w:webHidden/>
                <w:sz w:val="24"/>
              </w:rPr>
              <w:instrText xml:space="preserve"> PAGEREF _Toc192672657 \h </w:instrText>
            </w:r>
            <w:r w:rsidRPr="00085D68">
              <w:rPr>
                <w:noProof/>
                <w:webHidden/>
                <w:sz w:val="24"/>
              </w:rPr>
            </w:r>
            <w:r w:rsidRPr="00085D68">
              <w:rPr>
                <w:noProof/>
                <w:webHidden/>
                <w:sz w:val="24"/>
              </w:rPr>
              <w:fldChar w:fldCharType="separate"/>
            </w:r>
            <w:r w:rsidR="00DD664B">
              <w:rPr>
                <w:noProof/>
                <w:webHidden/>
                <w:sz w:val="24"/>
              </w:rPr>
              <w:t>8</w:t>
            </w:r>
            <w:r w:rsidRPr="00085D68">
              <w:rPr>
                <w:noProof/>
                <w:webHidden/>
                <w:sz w:val="24"/>
              </w:rPr>
              <w:fldChar w:fldCharType="end"/>
            </w:r>
          </w:hyperlink>
        </w:p>
        <w:p w14:paraId="7CE6E1E1" w14:textId="5CB3A03F" w:rsidR="003C07EC" w:rsidRPr="00085D68" w:rsidRDefault="003C07EC" w:rsidP="00085D68">
          <w:pPr>
            <w:pStyle w:val="TOC1"/>
            <w:tabs>
              <w:tab w:val="right" w:leader="dot" w:pos="10212"/>
            </w:tabs>
            <w:spacing w:line="360" w:lineRule="auto"/>
            <w:rPr>
              <w:rFonts w:asciiTheme="minorHAnsi" w:eastAsiaTheme="minorEastAsia" w:hAnsiTheme="minorHAnsi" w:cstheme="minorBidi"/>
              <w:noProof/>
              <w:color w:val="auto"/>
              <w:sz w:val="24"/>
            </w:rPr>
          </w:pPr>
          <w:hyperlink w:anchor="_Toc192672661" w:history="1">
            <w:r w:rsidRPr="00085D68">
              <w:rPr>
                <w:rStyle w:val="Hyperlink"/>
                <w:noProof/>
                <w:sz w:val="24"/>
              </w:rPr>
              <w:t>6. Stages of Assessment</w:t>
            </w:r>
            <w:r w:rsidRPr="00085D68">
              <w:rPr>
                <w:noProof/>
                <w:webHidden/>
                <w:sz w:val="24"/>
              </w:rPr>
              <w:tab/>
            </w:r>
            <w:r w:rsidRPr="00085D68">
              <w:rPr>
                <w:noProof/>
                <w:webHidden/>
                <w:sz w:val="24"/>
              </w:rPr>
              <w:fldChar w:fldCharType="begin"/>
            </w:r>
            <w:r w:rsidRPr="00085D68">
              <w:rPr>
                <w:noProof/>
                <w:webHidden/>
                <w:sz w:val="24"/>
              </w:rPr>
              <w:instrText xml:space="preserve"> PAGEREF _Toc192672661 \h </w:instrText>
            </w:r>
            <w:r w:rsidRPr="00085D68">
              <w:rPr>
                <w:noProof/>
                <w:webHidden/>
                <w:sz w:val="24"/>
              </w:rPr>
            </w:r>
            <w:r w:rsidRPr="00085D68">
              <w:rPr>
                <w:noProof/>
                <w:webHidden/>
                <w:sz w:val="24"/>
              </w:rPr>
              <w:fldChar w:fldCharType="separate"/>
            </w:r>
            <w:r w:rsidR="00DD664B">
              <w:rPr>
                <w:noProof/>
                <w:webHidden/>
                <w:sz w:val="24"/>
              </w:rPr>
              <w:t>10</w:t>
            </w:r>
            <w:r w:rsidRPr="00085D68">
              <w:rPr>
                <w:noProof/>
                <w:webHidden/>
                <w:sz w:val="24"/>
              </w:rPr>
              <w:fldChar w:fldCharType="end"/>
            </w:r>
          </w:hyperlink>
        </w:p>
        <w:p w14:paraId="3A573728" w14:textId="77FF9F21" w:rsidR="00520C98" w:rsidRPr="00085D68" w:rsidRDefault="003C07EC" w:rsidP="00085D68">
          <w:pPr>
            <w:pStyle w:val="TOC1"/>
            <w:tabs>
              <w:tab w:val="right" w:leader="dot" w:pos="10212"/>
            </w:tabs>
            <w:spacing w:line="360" w:lineRule="auto"/>
            <w:rPr>
              <w:noProof/>
              <w:color w:val="016574" w:themeColor="hyperlink"/>
              <w:sz w:val="24"/>
              <w:u w:val="single"/>
            </w:rPr>
          </w:pPr>
          <w:hyperlink w:anchor="_Toc192672667" w:history="1">
            <w:r w:rsidRPr="00085D68">
              <w:rPr>
                <w:rStyle w:val="Hyperlink"/>
                <w:noProof/>
                <w:sz w:val="24"/>
              </w:rPr>
              <w:t>Appendix A:</w:t>
            </w:r>
            <w:r w:rsidR="00DD664B">
              <w:rPr>
                <w:rStyle w:val="Hyperlink"/>
                <w:noProof/>
                <w:sz w:val="24"/>
              </w:rPr>
              <w:t xml:space="preserve"> </w:t>
            </w:r>
            <w:r w:rsidRPr="00085D68">
              <w:rPr>
                <w:rStyle w:val="Hyperlink"/>
                <w:noProof/>
                <w:sz w:val="24"/>
              </w:rPr>
              <w:t>Modelling options</w:t>
            </w:r>
            <w:r w:rsidRPr="00085D68">
              <w:rPr>
                <w:noProof/>
                <w:webHidden/>
                <w:sz w:val="24"/>
              </w:rPr>
              <w:tab/>
            </w:r>
            <w:r w:rsidRPr="00085D68">
              <w:rPr>
                <w:noProof/>
                <w:webHidden/>
                <w:sz w:val="24"/>
              </w:rPr>
              <w:fldChar w:fldCharType="begin"/>
            </w:r>
            <w:r w:rsidRPr="00085D68">
              <w:rPr>
                <w:noProof/>
                <w:webHidden/>
                <w:sz w:val="24"/>
              </w:rPr>
              <w:instrText xml:space="preserve"> PAGEREF _Toc192672667 \h </w:instrText>
            </w:r>
            <w:r w:rsidRPr="00085D68">
              <w:rPr>
                <w:noProof/>
                <w:webHidden/>
                <w:sz w:val="24"/>
              </w:rPr>
            </w:r>
            <w:r w:rsidRPr="00085D68">
              <w:rPr>
                <w:noProof/>
                <w:webHidden/>
                <w:sz w:val="24"/>
              </w:rPr>
              <w:fldChar w:fldCharType="separate"/>
            </w:r>
            <w:r w:rsidR="00DD664B">
              <w:rPr>
                <w:noProof/>
                <w:webHidden/>
                <w:sz w:val="24"/>
              </w:rPr>
              <w:t>16</w:t>
            </w:r>
            <w:r w:rsidRPr="00085D68">
              <w:rPr>
                <w:noProof/>
                <w:webHidden/>
                <w:sz w:val="24"/>
              </w:rPr>
              <w:fldChar w:fldCharType="end"/>
            </w:r>
          </w:hyperlink>
        </w:p>
        <w:p w14:paraId="74C5DB76" w14:textId="5C5E5701" w:rsidR="00520C98" w:rsidRPr="00085D68" w:rsidRDefault="003C07EC" w:rsidP="00085D68">
          <w:pPr>
            <w:pStyle w:val="TOC1"/>
            <w:tabs>
              <w:tab w:val="right" w:leader="dot" w:pos="10212"/>
            </w:tabs>
            <w:spacing w:line="360" w:lineRule="auto"/>
            <w:rPr>
              <w:noProof/>
              <w:color w:val="016574" w:themeColor="hyperlink"/>
              <w:sz w:val="24"/>
              <w:u w:val="single"/>
            </w:rPr>
          </w:pPr>
          <w:hyperlink w:anchor="_Toc192672668" w:history="1">
            <w:r w:rsidRPr="00085D68">
              <w:rPr>
                <w:rStyle w:val="Hyperlink"/>
                <w:noProof/>
                <w:sz w:val="24"/>
              </w:rPr>
              <w:t>Appendix B:</w:t>
            </w:r>
            <w:r w:rsidR="00DD664B">
              <w:rPr>
                <w:rStyle w:val="Hyperlink"/>
                <w:noProof/>
                <w:sz w:val="24"/>
              </w:rPr>
              <w:t xml:space="preserve"> </w:t>
            </w:r>
            <w:r w:rsidRPr="00085D68">
              <w:rPr>
                <w:rStyle w:val="Hyperlink"/>
                <w:noProof/>
                <w:sz w:val="24"/>
              </w:rPr>
              <w:t>Reinforcement and equivalency</w:t>
            </w:r>
            <w:r w:rsidRPr="00085D68">
              <w:rPr>
                <w:noProof/>
                <w:webHidden/>
                <w:sz w:val="24"/>
              </w:rPr>
              <w:tab/>
            </w:r>
            <w:r w:rsidRPr="00085D68">
              <w:rPr>
                <w:noProof/>
                <w:webHidden/>
                <w:sz w:val="24"/>
              </w:rPr>
              <w:fldChar w:fldCharType="begin"/>
            </w:r>
            <w:r w:rsidRPr="00085D68">
              <w:rPr>
                <w:noProof/>
                <w:webHidden/>
                <w:sz w:val="24"/>
              </w:rPr>
              <w:instrText xml:space="preserve"> PAGEREF _Toc192672668 \h </w:instrText>
            </w:r>
            <w:r w:rsidRPr="00085D68">
              <w:rPr>
                <w:noProof/>
                <w:webHidden/>
                <w:sz w:val="24"/>
              </w:rPr>
            </w:r>
            <w:r w:rsidRPr="00085D68">
              <w:rPr>
                <w:noProof/>
                <w:webHidden/>
                <w:sz w:val="24"/>
              </w:rPr>
              <w:fldChar w:fldCharType="separate"/>
            </w:r>
            <w:r w:rsidR="00DD664B">
              <w:rPr>
                <w:noProof/>
                <w:webHidden/>
                <w:sz w:val="24"/>
              </w:rPr>
              <w:t>17</w:t>
            </w:r>
            <w:r w:rsidRPr="00085D68">
              <w:rPr>
                <w:noProof/>
                <w:webHidden/>
                <w:sz w:val="24"/>
              </w:rPr>
              <w:fldChar w:fldCharType="end"/>
            </w:r>
          </w:hyperlink>
        </w:p>
        <w:p w14:paraId="2BEEDF18" w14:textId="0BD9D609" w:rsidR="003C07EC" w:rsidRPr="00085D68" w:rsidRDefault="003C07EC" w:rsidP="00085D68">
          <w:pPr>
            <w:pStyle w:val="TOC1"/>
            <w:tabs>
              <w:tab w:val="right" w:leader="dot" w:pos="10212"/>
            </w:tabs>
            <w:spacing w:line="360" w:lineRule="auto"/>
            <w:rPr>
              <w:rStyle w:val="Hyperlink"/>
              <w:noProof/>
              <w:sz w:val="24"/>
            </w:rPr>
          </w:pPr>
          <w:hyperlink w:anchor="_Toc192672669" w:history="1">
            <w:r w:rsidRPr="00085D68">
              <w:rPr>
                <w:rStyle w:val="Hyperlink"/>
                <w:noProof/>
                <w:sz w:val="24"/>
              </w:rPr>
              <w:t>Appendix C:</w:t>
            </w:r>
            <w:r w:rsidR="00DD664B">
              <w:rPr>
                <w:rStyle w:val="Hyperlink"/>
                <w:noProof/>
                <w:sz w:val="24"/>
              </w:rPr>
              <w:t xml:space="preserve"> </w:t>
            </w:r>
            <w:r w:rsidRPr="00085D68">
              <w:rPr>
                <w:rStyle w:val="Hyperlink"/>
                <w:noProof/>
                <w:sz w:val="24"/>
              </w:rPr>
              <w:t>Determining permeability coefficient for mineral liners</w:t>
            </w:r>
            <w:r w:rsidRPr="00085D68">
              <w:rPr>
                <w:noProof/>
                <w:webHidden/>
                <w:sz w:val="24"/>
              </w:rPr>
              <w:tab/>
            </w:r>
            <w:r w:rsidRPr="00085D68">
              <w:rPr>
                <w:noProof/>
                <w:webHidden/>
                <w:sz w:val="24"/>
              </w:rPr>
              <w:fldChar w:fldCharType="begin"/>
            </w:r>
            <w:r w:rsidRPr="00085D68">
              <w:rPr>
                <w:noProof/>
                <w:webHidden/>
                <w:sz w:val="24"/>
              </w:rPr>
              <w:instrText xml:space="preserve"> PAGEREF _Toc192672669 \h </w:instrText>
            </w:r>
            <w:r w:rsidRPr="00085D68">
              <w:rPr>
                <w:noProof/>
                <w:webHidden/>
                <w:sz w:val="24"/>
              </w:rPr>
            </w:r>
            <w:r w:rsidRPr="00085D68">
              <w:rPr>
                <w:noProof/>
                <w:webHidden/>
                <w:sz w:val="24"/>
              </w:rPr>
              <w:fldChar w:fldCharType="separate"/>
            </w:r>
            <w:r w:rsidR="00DD664B">
              <w:rPr>
                <w:noProof/>
                <w:webHidden/>
                <w:sz w:val="24"/>
              </w:rPr>
              <w:t>19</w:t>
            </w:r>
            <w:r w:rsidRPr="00085D68">
              <w:rPr>
                <w:noProof/>
                <w:webHidden/>
                <w:sz w:val="24"/>
              </w:rPr>
              <w:fldChar w:fldCharType="end"/>
            </w:r>
          </w:hyperlink>
        </w:p>
        <w:p w14:paraId="27B87B3C" w14:textId="042A6E4C" w:rsidR="003C07EC" w:rsidRDefault="003C07EC" w:rsidP="00085D68">
          <w:r w:rsidRPr="00085D68">
            <w:rPr>
              <w:b/>
              <w:bCs/>
              <w:noProof/>
            </w:rPr>
            <w:fldChar w:fldCharType="end"/>
          </w:r>
        </w:p>
      </w:sdtContent>
    </w:sdt>
    <w:p w14:paraId="565D91D8" w14:textId="77777777" w:rsidR="00610F78" w:rsidRDefault="00610F78" w:rsidP="00A92D93">
      <w:pPr>
        <w:rPr>
          <w:rFonts w:ascii="Arial" w:hAnsi="Arial" w:cs="Arial"/>
          <w:sz w:val="32"/>
          <w:szCs w:val="32"/>
        </w:rPr>
      </w:pPr>
    </w:p>
    <w:p w14:paraId="210DE68E" w14:textId="10C7A6FA" w:rsidR="00A92D93" w:rsidRPr="00A92D93" w:rsidRDefault="00A92D93" w:rsidP="00A92D93">
      <w:pPr>
        <w:rPr>
          <w:rFonts w:ascii="Arial" w:hAnsi="Arial" w:cs="Arial"/>
          <w:sz w:val="32"/>
          <w:szCs w:val="32"/>
        </w:rPr>
      </w:pPr>
      <w:r w:rsidRPr="00A92D93">
        <w:rPr>
          <w:rFonts w:ascii="Arial" w:hAnsi="Arial" w:cs="Arial"/>
          <w:sz w:val="32"/>
          <w:szCs w:val="32"/>
        </w:rPr>
        <w:t>If you would like this document in an accessible format, such as large print, audio recording or braille, please contact SEPA by emailing </w:t>
      </w:r>
      <w:hyperlink r:id="rId14" w:tgtFrame="_blank" w:history="1">
        <w:r w:rsidRPr="00A92D93">
          <w:rPr>
            <w:rStyle w:val="Hyperlink"/>
            <w:sz w:val="32"/>
            <w:szCs w:val="32"/>
          </w:rPr>
          <w:t>equalities@sepa.org.uk</w:t>
        </w:r>
      </w:hyperlink>
      <w:r w:rsidRPr="00A92D93">
        <w:rPr>
          <w:rFonts w:ascii="Arial" w:hAnsi="Arial" w:cs="Arial"/>
          <w:sz w:val="32"/>
          <w:szCs w:val="32"/>
        </w:rPr>
        <w:t> </w:t>
      </w:r>
    </w:p>
    <w:p w14:paraId="1F6A7432" w14:textId="5251A403" w:rsidR="00F7721F" w:rsidRDefault="00F7721F" w:rsidP="00A92D93">
      <w:pPr>
        <w:pStyle w:val="Heading1"/>
        <w:rPr>
          <w:rFonts w:ascii="Times New Roman" w:eastAsia="Times New Roman" w:hAnsi="Times New Roman" w:cs="Times New Roman"/>
          <w:sz w:val="32"/>
          <w:szCs w:val="26"/>
        </w:rPr>
      </w:pPr>
    </w:p>
    <w:p w14:paraId="5CEBDDC5" w14:textId="77777777" w:rsidR="00A92D93" w:rsidRDefault="00A92D93" w:rsidP="00A92D93"/>
    <w:p w14:paraId="40A6506A" w14:textId="77777777" w:rsidR="00A92D93" w:rsidRDefault="00A92D93" w:rsidP="00A92D93"/>
    <w:p w14:paraId="18260133" w14:textId="772D4985" w:rsidR="000942C3" w:rsidRDefault="000942C3" w:rsidP="00D96904">
      <w:pPr>
        <w:pStyle w:val="Heading1"/>
        <w:spacing w:after="120"/>
        <w:ind w:left="346"/>
      </w:pPr>
      <w:bookmarkStart w:id="3" w:name="_Toc192672242"/>
      <w:bookmarkStart w:id="4" w:name="_Toc192672638"/>
      <w:r>
        <w:t>1. Introduction and Scope</w:t>
      </w:r>
      <w:bookmarkEnd w:id="3"/>
      <w:bookmarkEnd w:id="4"/>
      <w:r>
        <w:t xml:space="preserve"> </w:t>
      </w:r>
      <w:bookmarkEnd w:id="2"/>
    </w:p>
    <w:p w14:paraId="0508C87D" w14:textId="77777777" w:rsidR="000942C3" w:rsidRDefault="000942C3" w:rsidP="000942C3">
      <w:pPr>
        <w:spacing w:line="259" w:lineRule="auto"/>
        <w:ind w:left="350"/>
      </w:pPr>
      <w:r>
        <w:t xml:space="preserve"> </w:t>
      </w:r>
    </w:p>
    <w:p w14:paraId="478EF33B" w14:textId="4620237A" w:rsidR="000942C3" w:rsidRDefault="000942C3" w:rsidP="00D96904">
      <w:pPr>
        <w:spacing w:after="240"/>
        <w:ind w:left="335"/>
      </w:pPr>
      <w:r>
        <w:t xml:space="preserve">This document provides guidance for SEPA operational staff on the procedure for risk assessment at all landfill sites regulated by the Scottish Environment Protection Agency in relation to the geological barrier, mineral layer and leachate sealing and drainage system </w:t>
      </w:r>
      <w:r>
        <w:lastRenderedPageBreak/>
        <w:t>requirements of Annex I of the Landfill Directive.</w:t>
      </w:r>
      <w:r w:rsidR="00DD664B">
        <w:t xml:space="preserve"> </w:t>
      </w:r>
      <w:r>
        <w:t>This document may also be provided to operators and designers as guidance to SEPA’s requirements for risk assessment submissions.</w:t>
      </w:r>
      <w:r w:rsidR="00DD664B">
        <w:t xml:space="preserve"> </w:t>
      </w:r>
      <w:r>
        <w:t xml:space="preserve">The procedures described may be applied to both existing and new landfill sites. </w:t>
      </w:r>
    </w:p>
    <w:p w14:paraId="55950286" w14:textId="605B289D" w:rsidR="00BB167A" w:rsidRDefault="000942C3" w:rsidP="00D96904">
      <w:pPr>
        <w:spacing w:after="240"/>
        <w:ind w:left="284" w:right="4"/>
      </w:pPr>
      <w:r>
        <w:t xml:space="preserve">This guidance provides a framework for undertaking landfill risk assessments in relation to the Landfill Directive and does not cover the details of risk assessment techniques. It is necessary when reviewing a landfill site risk assessment that Officers contact SEPA’s Water Resources Unit who will </w:t>
      </w:r>
      <w:proofErr w:type="gramStart"/>
      <w:r>
        <w:t>provide assistance</w:t>
      </w:r>
      <w:proofErr w:type="gramEnd"/>
      <w:r>
        <w:t xml:space="preserve"> in reviewing risk assessments in relation to groundwater.</w:t>
      </w:r>
      <w:r w:rsidR="00DD664B">
        <w:t xml:space="preserve"> </w:t>
      </w:r>
      <w:proofErr w:type="gramStart"/>
      <w:r>
        <w:t>Furthermore</w:t>
      </w:r>
      <w:proofErr w:type="gramEnd"/>
      <w:r>
        <w:t xml:space="preserve"> the stability of the lining systems must be reviewed </w:t>
      </w:r>
      <w:proofErr w:type="gramStart"/>
      <w:r>
        <w:t>in order to</w:t>
      </w:r>
      <w:proofErr w:type="gramEnd"/>
      <w:r>
        <w:t xml:space="preserve"> ascertain that the geological substratum is sufficiently stable to prevent settlement that may damage the liner system.</w:t>
      </w:r>
      <w:r w:rsidR="00DD664B">
        <w:t xml:space="preserve"> </w:t>
      </w:r>
      <w:r>
        <w:t>This is a requirement of the Landfill Directive.</w:t>
      </w:r>
      <w:r w:rsidR="00DD664B">
        <w:t xml:space="preserve"> </w:t>
      </w:r>
      <w:r>
        <w:t xml:space="preserve">For advice on this aspect Officers should contact the Landfill Directive Implementation Team. </w:t>
      </w:r>
    </w:p>
    <w:p w14:paraId="1355AD81" w14:textId="64E20B11" w:rsidR="000942C3" w:rsidRDefault="000942C3" w:rsidP="00D96904">
      <w:pPr>
        <w:spacing w:after="240"/>
        <w:ind w:left="284" w:right="4"/>
      </w:pPr>
      <w:r>
        <w:t>This guidance is to be applied to all landfill site classifications.</w:t>
      </w:r>
      <w:r w:rsidR="00DD664B">
        <w:t xml:space="preserve"> </w:t>
      </w:r>
      <w:r>
        <w:t>When assessing the containment requirements of a landfill site the requirements of both the Landfill Directive and the Groundwater Directive must be met.</w:t>
      </w:r>
      <w:r w:rsidR="00DD664B">
        <w:t xml:space="preserve"> </w:t>
      </w:r>
      <w:r>
        <w:t>It is, for example, possible for a site to meet the requirements of the Landfill Directive solely in terms of the prescriptive containment requirements but such measures may not provide sufficient protection in terms of the Groundwater Directive or the Water Framework Directive.</w:t>
      </w:r>
      <w:r w:rsidR="00DD664B">
        <w:t xml:space="preserve"> </w:t>
      </w:r>
      <w:r>
        <w:t>The procedure described here builds on the methods formerly used under Regulation 15 of the Waste Management Licensing Regulations 1994 etc and includes a consideration of new issues introduced by the Landfill Directive.</w:t>
      </w:r>
      <w:r w:rsidR="00DD664B">
        <w:t xml:space="preserve"> </w:t>
      </w:r>
      <w:r>
        <w:t>The overall objective of the risk assessment framework is to allow landfill site barriers to be determined in accordance with the Groundwater Directive, Water Framework Directive and Landfill Directive.</w:t>
      </w:r>
      <w:r w:rsidR="00DD664B">
        <w:t xml:space="preserve"> </w:t>
      </w:r>
    </w:p>
    <w:p w14:paraId="3BEFD57D" w14:textId="36238D9F" w:rsidR="000942C3" w:rsidRDefault="000942C3" w:rsidP="00490D06">
      <w:pPr>
        <w:spacing w:after="240"/>
        <w:ind w:left="284" w:right="4"/>
      </w:pPr>
      <w:r>
        <w:t xml:space="preserve">This document only provides a framework of the key steps to be </w:t>
      </w:r>
      <w:proofErr w:type="gramStart"/>
      <w:r>
        <w:t>undertaken</w:t>
      </w:r>
      <w:proofErr w:type="gramEnd"/>
      <w:r>
        <w:t xml:space="preserve"> and it is assumed that readers are already familiar with the procedure of risk assessment formerly carried out to meet Regulation 15 of the Waste Management Licensing Regulations 1994. It is recommended that for further details on risk assessment the following are also referred to:  </w:t>
      </w:r>
    </w:p>
    <w:p w14:paraId="7ADDF9C4" w14:textId="77777777" w:rsidR="000942C3" w:rsidRDefault="000942C3" w:rsidP="00D96904">
      <w:pPr>
        <w:numPr>
          <w:ilvl w:val="0"/>
          <w:numId w:val="15"/>
        </w:numPr>
        <w:spacing w:after="240"/>
        <w:ind w:left="1134" w:right="4" w:hanging="433"/>
      </w:pPr>
      <w:r>
        <w:t xml:space="preserve">Directive 80/68/EEC (The Groundwater Directive). </w:t>
      </w:r>
    </w:p>
    <w:p w14:paraId="30C3E0D8" w14:textId="77777777" w:rsidR="000942C3" w:rsidRDefault="000942C3" w:rsidP="00D96904">
      <w:pPr>
        <w:numPr>
          <w:ilvl w:val="0"/>
          <w:numId w:val="15"/>
        </w:numPr>
        <w:spacing w:after="240"/>
        <w:ind w:left="1134" w:right="4" w:hanging="433"/>
      </w:pPr>
      <w:r>
        <w:t xml:space="preserve">The Groundwater Regulations 1998 </w:t>
      </w:r>
    </w:p>
    <w:p w14:paraId="6595960F" w14:textId="77777777" w:rsidR="000942C3" w:rsidRDefault="000942C3" w:rsidP="00D96904">
      <w:pPr>
        <w:numPr>
          <w:ilvl w:val="0"/>
          <w:numId w:val="15"/>
        </w:numPr>
        <w:spacing w:after="240"/>
        <w:ind w:left="1134" w:right="4" w:hanging="433"/>
      </w:pPr>
      <w:r>
        <w:lastRenderedPageBreak/>
        <w:t xml:space="preserve">Directive 2000/60/EC (The Water Framework Directive) </w:t>
      </w:r>
    </w:p>
    <w:p w14:paraId="36AAA440" w14:textId="77777777" w:rsidR="000942C3" w:rsidRDefault="000942C3" w:rsidP="00D96904">
      <w:pPr>
        <w:numPr>
          <w:ilvl w:val="0"/>
          <w:numId w:val="15"/>
        </w:numPr>
        <w:spacing w:after="240"/>
        <w:ind w:left="1134" w:right="4" w:hanging="433"/>
      </w:pPr>
      <w:r>
        <w:t xml:space="preserve">Sector Guidance for Landfill Sites </w:t>
      </w:r>
    </w:p>
    <w:p w14:paraId="0B428710" w14:textId="1E49ECF3" w:rsidR="000942C3" w:rsidRDefault="000942C3" w:rsidP="00781E5E">
      <w:pPr>
        <w:numPr>
          <w:ilvl w:val="0"/>
          <w:numId w:val="15"/>
        </w:numPr>
        <w:spacing w:after="240"/>
        <w:ind w:left="1134" w:right="4" w:hanging="433"/>
      </w:pPr>
      <w:r>
        <w:t>The Environmental Authorisation</w:t>
      </w:r>
      <w:r w:rsidR="00A92D93">
        <w:t>s</w:t>
      </w:r>
      <w:r>
        <w:t xml:space="preserve"> (Scotland) Regulations 2018 (EASR).</w:t>
      </w:r>
      <w:r w:rsidR="00C275BE">
        <w:br w:type="page"/>
      </w:r>
    </w:p>
    <w:p w14:paraId="12443321" w14:textId="77777777" w:rsidR="000942C3" w:rsidRDefault="000942C3" w:rsidP="00D96904">
      <w:pPr>
        <w:pStyle w:val="Heading1"/>
        <w:spacing w:after="120"/>
        <w:ind w:left="346"/>
      </w:pPr>
      <w:bookmarkStart w:id="5" w:name="_Toc192672247"/>
      <w:bookmarkStart w:id="6" w:name="_Toc192672643"/>
      <w:bookmarkStart w:id="7" w:name="_Toc24187"/>
      <w:r>
        <w:lastRenderedPageBreak/>
        <w:t>2. Definitions and Framework for Assessment</w:t>
      </w:r>
      <w:bookmarkEnd w:id="5"/>
      <w:bookmarkEnd w:id="6"/>
      <w:r>
        <w:t xml:space="preserve"> </w:t>
      </w:r>
      <w:bookmarkEnd w:id="7"/>
    </w:p>
    <w:p w14:paraId="5D6A22F2" w14:textId="77777777" w:rsidR="000942C3" w:rsidRDefault="000942C3" w:rsidP="000942C3">
      <w:pPr>
        <w:spacing w:line="259" w:lineRule="auto"/>
        <w:ind w:left="350"/>
      </w:pPr>
      <w:r>
        <w:t xml:space="preserve"> </w:t>
      </w:r>
    </w:p>
    <w:p w14:paraId="5BDFC931" w14:textId="13E05771" w:rsidR="000942C3" w:rsidRDefault="00A92D93" w:rsidP="00D96904">
      <w:pPr>
        <w:spacing w:after="240"/>
        <w:ind w:left="284" w:right="6"/>
      </w:pPr>
      <w:r>
        <w:t xml:space="preserve">Figure </w:t>
      </w:r>
      <w:r w:rsidR="000942C3">
        <w:t>2.1</w:t>
      </w:r>
      <w:r>
        <w:t xml:space="preserve"> below</w:t>
      </w:r>
      <w:r w:rsidR="000942C3">
        <w:t xml:space="preserve"> shows a schematic diagram of a typical landfill site and indicates how the key</w:t>
      </w:r>
      <w:r>
        <w:t xml:space="preserve"> </w:t>
      </w:r>
      <w:r w:rsidR="000942C3">
        <w:t xml:space="preserve">terms of the Landfill Directive relate to the framework risk assessment to be used for landfill sites in Scotland. </w:t>
      </w:r>
    </w:p>
    <w:p w14:paraId="3336482D" w14:textId="77777777" w:rsidR="000942C3" w:rsidRDefault="000942C3" w:rsidP="000942C3">
      <w:pPr>
        <w:spacing w:line="259" w:lineRule="auto"/>
        <w:ind w:left="350"/>
      </w:pPr>
      <w:r>
        <w:t xml:space="preserve"> </w:t>
      </w:r>
    </w:p>
    <w:p w14:paraId="447BA4FD" w14:textId="77777777" w:rsidR="000942C3" w:rsidRDefault="000942C3" w:rsidP="000942C3">
      <w:pPr>
        <w:spacing w:after="7" w:line="259" w:lineRule="auto"/>
        <w:ind w:left="343"/>
      </w:pPr>
      <w:r>
        <w:rPr>
          <w:noProof/>
        </w:rPr>
        <w:drawing>
          <wp:inline distT="0" distB="0" distL="0" distR="0" wp14:anchorId="290BAF80" wp14:editId="78E50891">
            <wp:extent cx="5577840" cy="3639312"/>
            <wp:effectExtent l="0" t="0" r="0" b="0"/>
            <wp:docPr id="23764" name="Picture 23764" descr="An example of the positions of strata of waste, the leachate collection and sealing system, mineral later, groundwater table and geographical barrier. It shows a simplified version of how to prevent potential risk of pollution beyond the geographical barrier. "/>
            <wp:cNvGraphicFramePr/>
            <a:graphic xmlns:a="http://schemas.openxmlformats.org/drawingml/2006/main">
              <a:graphicData uri="http://schemas.openxmlformats.org/drawingml/2006/picture">
                <pic:pic xmlns:pic="http://schemas.openxmlformats.org/drawingml/2006/picture">
                  <pic:nvPicPr>
                    <pic:cNvPr id="23764" name="Picture 23764" descr="An example of the positions of strata of waste, the leachate collection and sealing system, mineral later, groundwater table and geographical barrier. It shows a simplified version of how to prevent potential risk of pollution beyond the geographical barrier. "/>
                    <pic:cNvPicPr/>
                  </pic:nvPicPr>
                  <pic:blipFill>
                    <a:blip r:embed="rId15"/>
                    <a:stretch>
                      <a:fillRect/>
                    </a:stretch>
                  </pic:blipFill>
                  <pic:spPr>
                    <a:xfrm>
                      <a:off x="0" y="0"/>
                      <a:ext cx="5577840" cy="3639312"/>
                    </a:xfrm>
                    <a:prstGeom prst="rect">
                      <a:avLst/>
                    </a:prstGeom>
                  </pic:spPr>
                </pic:pic>
              </a:graphicData>
            </a:graphic>
          </wp:inline>
        </w:drawing>
      </w:r>
    </w:p>
    <w:p w14:paraId="5675520E" w14:textId="2B514ADF" w:rsidR="000942C3" w:rsidRPr="00725004" w:rsidRDefault="000942C3" w:rsidP="000942C3">
      <w:pPr>
        <w:ind w:left="345" w:right="4"/>
        <w:rPr>
          <w:b/>
          <w:bCs/>
          <w:sz w:val="22"/>
          <w:szCs w:val="22"/>
        </w:rPr>
      </w:pPr>
      <w:r w:rsidRPr="00725004">
        <w:rPr>
          <w:b/>
          <w:bCs/>
          <w:sz w:val="22"/>
          <w:szCs w:val="22"/>
        </w:rPr>
        <w:t xml:space="preserve">Figure 2.1: Schematic diagram of landfill site and key terms </w:t>
      </w:r>
    </w:p>
    <w:p w14:paraId="6DD9BC40" w14:textId="77777777" w:rsidR="000942C3" w:rsidRDefault="000942C3" w:rsidP="000942C3">
      <w:pPr>
        <w:spacing w:line="259" w:lineRule="auto"/>
        <w:ind w:left="350"/>
      </w:pPr>
      <w:r>
        <w:t xml:space="preserve"> </w:t>
      </w:r>
    </w:p>
    <w:p w14:paraId="5517C2EF" w14:textId="2475AE88" w:rsidR="000942C3" w:rsidRDefault="000942C3" w:rsidP="00D96904">
      <w:pPr>
        <w:spacing w:after="240"/>
        <w:ind w:left="284" w:right="6"/>
      </w:pPr>
      <w:r>
        <w:t>The key components referred to in the Landfill Directive are the geological barrier and the leachate sealing and collection system.</w:t>
      </w:r>
      <w:r w:rsidR="00DD664B">
        <w:t xml:space="preserve"> </w:t>
      </w:r>
      <w:r>
        <w:t xml:space="preserve">These are considered </w:t>
      </w:r>
      <w:r w:rsidR="00A92D93">
        <w:t>in the next section.</w:t>
      </w:r>
      <w:r w:rsidR="00DD664B">
        <w:t xml:space="preserve"> </w:t>
      </w:r>
    </w:p>
    <w:p w14:paraId="0B9E2305" w14:textId="77777777" w:rsidR="000942C3" w:rsidRDefault="000942C3" w:rsidP="000942C3">
      <w:pPr>
        <w:spacing w:line="259" w:lineRule="auto"/>
        <w:ind w:left="350"/>
      </w:pPr>
      <w:r>
        <w:t xml:space="preserve"> </w:t>
      </w:r>
    </w:p>
    <w:p w14:paraId="58E0699E" w14:textId="77777777" w:rsidR="00C76BC2" w:rsidRDefault="00C76BC2" w:rsidP="000942C3">
      <w:pPr>
        <w:pStyle w:val="Heading1"/>
        <w:ind w:left="345"/>
      </w:pPr>
      <w:bookmarkStart w:id="8" w:name="_Toc24188"/>
      <w:r>
        <w:br w:type="page"/>
      </w:r>
    </w:p>
    <w:p w14:paraId="4CB22246" w14:textId="465F80E3" w:rsidR="000942C3" w:rsidRDefault="000942C3" w:rsidP="00D96904">
      <w:pPr>
        <w:pStyle w:val="Heading1"/>
        <w:spacing w:after="120"/>
        <w:ind w:left="346"/>
      </w:pPr>
      <w:bookmarkStart w:id="9" w:name="_Toc192672250"/>
      <w:bookmarkStart w:id="10" w:name="_Toc192672646"/>
      <w:r>
        <w:lastRenderedPageBreak/>
        <w:t>3. Geological Barrier</w:t>
      </w:r>
      <w:bookmarkEnd w:id="9"/>
      <w:bookmarkEnd w:id="10"/>
      <w:r>
        <w:t xml:space="preserve"> </w:t>
      </w:r>
      <w:bookmarkEnd w:id="8"/>
    </w:p>
    <w:p w14:paraId="68D9BEC1" w14:textId="77777777" w:rsidR="000942C3" w:rsidRDefault="000942C3" w:rsidP="000942C3">
      <w:pPr>
        <w:spacing w:line="259" w:lineRule="auto"/>
        <w:ind w:left="350"/>
      </w:pPr>
      <w:r>
        <w:t xml:space="preserve"> </w:t>
      </w:r>
    </w:p>
    <w:p w14:paraId="059E215F" w14:textId="35F5E7CD" w:rsidR="000942C3" w:rsidRDefault="000942C3" w:rsidP="00D96904">
      <w:pPr>
        <w:spacing w:after="240"/>
        <w:ind w:right="4" w:firstLine="345"/>
      </w:pPr>
      <w:r>
        <w:t xml:space="preserve">The Geological Barrier comprises 2 aspects: </w:t>
      </w:r>
    </w:p>
    <w:p w14:paraId="1E72FE73" w14:textId="6C785927" w:rsidR="000942C3" w:rsidRDefault="00AD2749" w:rsidP="00D96904">
      <w:pPr>
        <w:numPr>
          <w:ilvl w:val="0"/>
          <w:numId w:val="16"/>
        </w:numPr>
        <w:spacing w:after="240"/>
        <w:ind w:left="1134" w:right="4" w:hanging="425"/>
      </w:pPr>
      <w:r>
        <w:t>A</w:t>
      </w:r>
      <w:r w:rsidR="000942C3">
        <w:t xml:space="preserve"> low permeability mineral layer</w:t>
      </w:r>
      <w:r>
        <w:t>.</w:t>
      </w:r>
    </w:p>
    <w:p w14:paraId="36E0C90B" w14:textId="76BC7BB8" w:rsidR="000942C3" w:rsidRDefault="00AD2749" w:rsidP="00D96904">
      <w:pPr>
        <w:numPr>
          <w:ilvl w:val="0"/>
          <w:numId w:val="16"/>
        </w:numPr>
        <w:spacing w:after="240"/>
        <w:ind w:left="1134" w:right="4" w:hanging="425"/>
      </w:pPr>
      <w:r>
        <w:t>A</w:t>
      </w:r>
      <w:r w:rsidR="000942C3">
        <w:t>ttenuation by surrounding geology /</w:t>
      </w:r>
      <w:r w:rsidR="00E944A6">
        <w:t>hydrogeology.</w:t>
      </w:r>
      <w:r w:rsidR="000942C3">
        <w:t xml:space="preserve"> </w:t>
      </w:r>
    </w:p>
    <w:p w14:paraId="1805993A" w14:textId="3625ADD2" w:rsidR="000942C3" w:rsidRDefault="000942C3" w:rsidP="00D96904">
      <w:pPr>
        <w:spacing w:after="240"/>
        <w:ind w:left="284" w:right="4"/>
      </w:pPr>
      <w:r>
        <w:t>The geological barrier is indicated in Figure 2.1 as a shaded area. The geological barrier comprises a mineral layer, which meets the permeability and thickness criteria in Annex 1, and potentially other geological material, such as the unsaturated zone, which may provide attenuation below and in the vicinity of the landfill site.</w:t>
      </w:r>
      <w:r w:rsidR="00DD664B">
        <w:t xml:space="preserve"> </w:t>
      </w:r>
      <w:r>
        <w:t xml:space="preserve"> The low permeability mineral layer is required to extend over the base and the sides of the landfill. </w:t>
      </w:r>
    </w:p>
    <w:p w14:paraId="45B39BF4" w14:textId="765D5A61" w:rsidR="00187DF7" w:rsidRDefault="000942C3" w:rsidP="00D96904">
      <w:pPr>
        <w:spacing w:after="240"/>
        <w:ind w:left="284" w:right="4"/>
      </w:pPr>
      <w:r>
        <w:t>The boundary of the geological barrier is to be established by the acceptable extent of a zone of attenuation below and in the vicinity of the landfill site.</w:t>
      </w:r>
      <w:r w:rsidR="00DD664B">
        <w:t xml:space="preserve"> </w:t>
      </w:r>
      <w:r>
        <w:t xml:space="preserve">Beyond the boundary of the geological barrier the potential risk to groundwater or its associated receptors must be prevented. This boundary should therefore be analogous to a compliance point, beyond which the requirements of the Groundwater Regulations 1998 should be met. For </w:t>
      </w:r>
      <w:proofErr w:type="gramStart"/>
      <w:r>
        <w:t>example</w:t>
      </w:r>
      <w:proofErr w:type="gramEnd"/>
      <w:r>
        <w:t xml:space="preserve"> for list II substances it may be a downgradient borehole at the edge of the site and for list I substances the compliance point would be the base of the unsaturated </w:t>
      </w:r>
      <w:proofErr w:type="gramStart"/>
      <w:r>
        <w:t>zone .</w:t>
      </w:r>
      <w:proofErr w:type="gramEnd"/>
      <w:r>
        <w:t xml:space="preserve"> The boundary should be defined by consideration of the type of contaminants and the geological and hydrogeological conditions on site</w:t>
      </w:r>
      <w:r w:rsidR="00D96904">
        <w:t>.</w:t>
      </w:r>
    </w:p>
    <w:p w14:paraId="3FC96E6F" w14:textId="0BD8E84D" w:rsidR="000942C3" w:rsidRDefault="00EC2480" w:rsidP="00D96904">
      <w:pPr>
        <w:spacing w:after="240"/>
        <w:ind w:left="284" w:right="4"/>
      </w:pPr>
      <w:r>
        <w:t>Th</w:t>
      </w:r>
      <w:r w:rsidR="000942C3">
        <w:t>e geological barrier must include a mineral layer which meets the permeability and thickness requirements in Annex 1.</w:t>
      </w:r>
      <w:r w:rsidR="00AD2749">
        <w:t xml:space="preserve"> </w:t>
      </w:r>
      <w:r w:rsidR="000942C3">
        <w:t xml:space="preserve">If these requirements cannot be met by the natural conditions on </w:t>
      </w:r>
      <w:proofErr w:type="gramStart"/>
      <w:r w:rsidR="000942C3">
        <w:t>site</w:t>
      </w:r>
      <w:proofErr w:type="gramEnd"/>
      <w:r w:rsidR="000942C3">
        <w:t xml:space="preserve"> the geological barrier requires to be artificially established to meet the Directive stated performance criteria. An artificially established geological barrier must be at least 0.5m thick.</w:t>
      </w:r>
      <w:r w:rsidR="00DD664B">
        <w:t xml:space="preserve"> </w:t>
      </w:r>
      <w:r w:rsidR="000942C3">
        <w:t xml:space="preserve"> </w:t>
      </w:r>
    </w:p>
    <w:p w14:paraId="1D56D491" w14:textId="77777777" w:rsidR="00AD2749" w:rsidRDefault="00AD2749" w:rsidP="00EC2480">
      <w:pPr>
        <w:ind w:left="284" w:right="4"/>
      </w:pPr>
    </w:p>
    <w:p w14:paraId="6714003D" w14:textId="77777777" w:rsidR="00AD2749" w:rsidRDefault="00AD2749" w:rsidP="00EC2480">
      <w:pPr>
        <w:ind w:left="284" w:right="4"/>
      </w:pPr>
    </w:p>
    <w:p w14:paraId="692CEF43" w14:textId="77777777" w:rsidR="00AD2749" w:rsidRDefault="00AD2749" w:rsidP="00EC2480">
      <w:pPr>
        <w:ind w:left="284" w:right="4"/>
      </w:pPr>
    </w:p>
    <w:p w14:paraId="6FBF8EC7" w14:textId="77777777" w:rsidR="00AD2749" w:rsidRDefault="00AD2749" w:rsidP="00EC2480">
      <w:pPr>
        <w:ind w:left="284" w:right="4"/>
      </w:pPr>
    </w:p>
    <w:p w14:paraId="6E2DF7DE" w14:textId="77777777" w:rsidR="00AD2749" w:rsidRDefault="00AD2749" w:rsidP="00EC2480">
      <w:pPr>
        <w:ind w:left="284" w:right="4"/>
      </w:pPr>
    </w:p>
    <w:p w14:paraId="2FAEA80A" w14:textId="6ABA01C7" w:rsidR="000942C3" w:rsidRDefault="000942C3" w:rsidP="00D96904">
      <w:pPr>
        <w:pStyle w:val="Heading1"/>
        <w:spacing w:after="120"/>
      </w:pPr>
      <w:r>
        <w:lastRenderedPageBreak/>
        <w:t xml:space="preserve"> </w:t>
      </w:r>
      <w:bookmarkStart w:id="11" w:name="_Toc192672255"/>
      <w:bookmarkStart w:id="12" w:name="_Toc192672651"/>
      <w:bookmarkStart w:id="13" w:name="_Toc24189"/>
      <w:r>
        <w:t>4. Leachate collection and sealing system</w:t>
      </w:r>
      <w:bookmarkEnd w:id="11"/>
      <w:bookmarkEnd w:id="12"/>
      <w:r>
        <w:t xml:space="preserve"> </w:t>
      </w:r>
      <w:bookmarkEnd w:id="13"/>
    </w:p>
    <w:p w14:paraId="7381E97C" w14:textId="5777A085" w:rsidR="002A6D0B" w:rsidRDefault="000942C3" w:rsidP="00AD2749">
      <w:pPr>
        <w:spacing w:line="259" w:lineRule="auto"/>
        <w:ind w:left="350"/>
      </w:pPr>
      <w:r>
        <w:t xml:space="preserve"> </w:t>
      </w:r>
    </w:p>
    <w:p w14:paraId="48070A86" w14:textId="143A2255" w:rsidR="000942C3" w:rsidRDefault="000942C3" w:rsidP="00D96904">
      <w:pPr>
        <w:spacing w:after="240"/>
        <w:ind w:left="345" w:right="4"/>
      </w:pPr>
      <w:r>
        <w:t>This is required in addition to the geological barrier.</w:t>
      </w:r>
      <w:r w:rsidR="00DD664B">
        <w:t xml:space="preserve"> </w:t>
      </w:r>
      <w:r>
        <w:t xml:space="preserve">It comprises two elements: </w:t>
      </w:r>
    </w:p>
    <w:p w14:paraId="512B95D7" w14:textId="1CC6D78A" w:rsidR="000942C3" w:rsidRPr="00F54E40" w:rsidRDefault="000942C3" w:rsidP="00D96904">
      <w:pPr>
        <w:numPr>
          <w:ilvl w:val="0"/>
          <w:numId w:val="18"/>
        </w:numPr>
        <w:spacing w:after="240"/>
        <w:ind w:left="1134" w:right="4" w:hanging="425"/>
        <w:rPr>
          <w:rFonts w:ascii="Arial" w:hAnsi="Arial" w:cs="Arial"/>
        </w:rPr>
      </w:pPr>
      <w:r w:rsidRPr="00F54E40">
        <w:rPr>
          <w:rFonts w:ascii="Arial" w:hAnsi="Arial" w:cs="Arial"/>
        </w:rPr>
        <w:t>Artificial sealing liner</w:t>
      </w:r>
      <w:r w:rsidR="00AD2749" w:rsidRPr="00F54E40">
        <w:rPr>
          <w:rFonts w:ascii="Arial" w:hAnsi="Arial" w:cs="Arial"/>
        </w:rPr>
        <w:t>.</w:t>
      </w:r>
    </w:p>
    <w:p w14:paraId="3C7D948A" w14:textId="11F4A620" w:rsidR="000942C3" w:rsidRPr="00D96904" w:rsidRDefault="000942C3" w:rsidP="00D96904">
      <w:pPr>
        <w:numPr>
          <w:ilvl w:val="0"/>
          <w:numId w:val="18"/>
        </w:numPr>
        <w:spacing w:after="240"/>
        <w:ind w:left="1134" w:right="4" w:hanging="425"/>
        <w:rPr>
          <w:rFonts w:ascii="Arial" w:hAnsi="Arial" w:cs="Arial"/>
        </w:rPr>
      </w:pPr>
      <w:r w:rsidRPr="00F54E40">
        <w:rPr>
          <w:rFonts w:ascii="Arial" w:hAnsi="Arial" w:cs="Arial"/>
        </w:rPr>
        <w:t xml:space="preserve">Drainage Layer </w:t>
      </w:r>
      <w:r w:rsidR="00AD2749" w:rsidRPr="00F54E40">
        <w:rPr>
          <w:rFonts w:ascii="Arial" w:eastAsia="Segoe UI Symbol" w:hAnsi="Arial" w:cs="Arial"/>
        </w:rPr>
        <w:t>equal to or</w:t>
      </w:r>
      <w:r w:rsidR="00F54E40" w:rsidRPr="00F54E40">
        <w:rPr>
          <w:rFonts w:ascii="Arial" w:eastAsia="Segoe UI Symbol" w:hAnsi="Arial" w:cs="Arial"/>
        </w:rPr>
        <w:t xml:space="preserve"> greater than</w:t>
      </w:r>
      <w:r w:rsidRPr="00F54E40">
        <w:rPr>
          <w:rFonts w:ascii="Arial" w:hAnsi="Arial" w:cs="Arial"/>
        </w:rPr>
        <w:t xml:space="preserve"> 0.5m thickness</w:t>
      </w:r>
      <w:r w:rsidR="00AD2749" w:rsidRPr="00F54E40">
        <w:rPr>
          <w:rFonts w:ascii="Arial" w:hAnsi="Arial" w:cs="Arial"/>
        </w:rPr>
        <w:t>.</w:t>
      </w:r>
    </w:p>
    <w:p w14:paraId="0DC6897B" w14:textId="6EABDBA8" w:rsidR="000942C3" w:rsidRDefault="000942C3" w:rsidP="00D96904">
      <w:pPr>
        <w:spacing w:after="240"/>
        <w:ind w:left="284" w:right="4"/>
      </w:pPr>
      <w:r>
        <w:t>The specification of these is to be determined from the hydrogeological risk assessment to ensure compliance with the Groundwater Directive, Water Framework Directive and best practice for liner construction.</w:t>
      </w:r>
      <w:r w:rsidR="00DD664B">
        <w:t xml:space="preserve"> </w:t>
      </w:r>
      <w:r>
        <w:t>Leachate accumulation is to be kept to a minimum at the base of the site to minimise leakage from the site.</w:t>
      </w:r>
      <w:r w:rsidR="00DD664B">
        <w:t xml:space="preserve"> </w:t>
      </w:r>
      <w:r>
        <w:t>The acceptable level of leachate accumulation is to be established from risk assessment.</w:t>
      </w:r>
      <w:r w:rsidR="00DD664B">
        <w:t xml:space="preserve"> </w:t>
      </w:r>
      <w:r>
        <w:t>This is because the greater the leachate depth the greater will be the hydraulic gradient across the lining systems.</w:t>
      </w:r>
      <w:r w:rsidR="00DD664B">
        <w:t xml:space="preserve"> </w:t>
      </w:r>
      <w:r>
        <w:t>A larger hydraulic head will mean increased seepages through the liner.</w:t>
      </w:r>
      <w:r w:rsidR="00DD664B">
        <w:t xml:space="preserve"> </w:t>
      </w:r>
      <w:r>
        <w:t xml:space="preserve">A </w:t>
      </w:r>
      <w:proofErr w:type="gramStart"/>
      <w:r>
        <w:t>low risk</w:t>
      </w:r>
      <w:proofErr w:type="gramEnd"/>
      <w:r>
        <w:t xml:space="preserve"> site with a weak leachate and a high specification barrier may therefore have a greater depth of leachate (e.g. 1m) than a site in a </w:t>
      </w:r>
      <w:proofErr w:type="gramStart"/>
      <w:r>
        <w:t>high risk</w:t>
      </w:r>
      <w:proofErr w:type="gramEnd"/>
      <w:r>
        <w:t xml:space="preserve"> location (e.g. 0.5m).</w:t>
      </w:r>
      <w:r w:rsidR="00DD664B">
        <w:t xml:space="preserve"> </w:t>
      </w:r>
      <w:r>
        <w:t xml:space="preserve"> </w:t>
      </w:r>
    </w:p>
    <w:p w14:paraId="325A8034" w14:textId="12231D45" w:rsidR="000942C3" w:rsidRDefault="000942C3" w:rsidP="00D96904">
      <w:pPr>
        <w:spacing w:after="240"/>
        <w:ind w:left="284" w:right="4"/>
      </w:pPr>
      <w:r>
        <w:t>The Landfill Directive does not state what materials should be used to form a drainage layer.</w:t>
      </w:r>
      <w:r w:rsidR="00DD664B">
        <w:t xml:space="preserve"> </w:t>
      </w:r>
      <w:r>
        <w:t xml:space="preserve">SEPA will require that the specification and make up of a drainage layer be determined on a </w:t>
      </w:r>
      <w:r w:rsidR="00E944A6">
        <w:t>site-specific</w:t>
      </w:r>
      <w:r>
        <w:t xml:space="preserve"> risk assessment basis with the objective of ensuring leachate accumulation at the base of the landfill is kept to a minimum.</w:t>
      </w:r>
      <w:r w:rsidR="00DD664B">
        <w:t xml:space="preserve"> </w:t>
      </w:r>
      <w:r>
        <w:t xml:space="preserve">It may be that a multi-layer system using materials of different specification which could be adopted to provide the minimum 0.5m layer thickness depending on the outcome of </w:t>
      </w:r>
      <w:r w:rsidR="00E944A6">
        <w:t>site-specific</w:t>
      </w:r>
      <w:r>
        <w:t xml:space="preserve"> risk assessment.</w:t>
      </w:r>
      <w:r w:rsidR="00DD664B">
        <w:t xml:space="preserve"> </w:t>
      </w:r>
      <w:r>
        <w:t>It is not considered that the full 0.5m thickness must comprise coarse aggregate in all cases.</w:t>
      </w:r>
      <w:r w:rsidR="00DD664B">
        <w:t xml:space="preserve"> </w:t>
      </w:r>
      <w:r>
        <w:t xml:space="preserve">Multi-layer systems incorporating geosynthetic materials and/or suitable engineering materials selected from incoming waste steams (e.g. whole used tyres) may also prove appropriate on a </w:t>
      </w:r>
      <w:r w:rsidR="00E944A6">
        <w:t>site-specific</w:t>
      </w:r>
      <w:r>
        <w:t xml:space="preserve"> basis.</w:t>
      </w:r>
      <w:r w:rsidR="00DD664B">
        <w:t xml:space="preserve"> </w:t>
      </w:r>
      <w:r>
        <w:t xml:space="preserve">However, it is felt that </w:t>
      </w:r>
      <w:proofErr w:type="gramStart"/>
      <w:r>
        <w:t>in order to</w:t>
      </w:r>
      <w:proofErr w:type="gramEnd"/>
      <w:r>
        <w:t xml:space="preserve"> comply with the Landfill Directive the minimum thickness of 0.5m will be required in all circumstances where leachate is to be collected and the site poses a potential hazard to soil, groundwater or surface water. </w:t>
      </w:r>
    </w:p>
    <w:p w14:paraId="57619BB7" w14:textId="3996F8BB" w:rsidR="000942C3" w:rsidRDefault="000942C3" w:rsidP="00D96904">
      <w:pPr>
        <w:spacing w:after="240"/>
        <w:ind w:left="284" w:right="4"/>
      </w:pPr>
      <w:r>
        <w:t>It is of note that the directive does not specify the materials to be used when forming a sealing liner.</w:t>
      </w:r>
      <w:r w:rsidR="00DD664B">
        <w:t xml:space="preserve"> </w:t>
      </w:r>
      <w:r>
        <w:t xml:space="preserve">SEPA will require that the specification is determined based on risk assessment. The default material for a leachate sealing liner for a landfill that has the </w:t>
      </w:r>
      <w:r>
        <w:lastRenderedPageBreak/>
        <w:t>potential to generate leachate is a flexible membrane liner (e.g. HDPE overlain by protector geofabric).</w:t>
      </w:r>
      <w:r w:rsidR="00DD664B">
        <w:t xml:space="preserve"> </w:t>
      </w:r>
      <w:r>
        <w:t>It may be that at some sites (e.g. an inert landfill that requires lining) clay could be used as a sealing liner if shown to be acceptable by risk assessment. However, this would require to be in addition to the mineral layer specified in the directive.</w:t>
      </w:r>
      <w:r w:rsidR="00DD664B">
        <w:t xml:space="preserve">  </w:t>
      </w:r>
      <w:r>
        <w:t>In addition, to effectively form a ‘seal’ the permeability of the material used to form the sealing liner must be significantly lower than the mineral layer and offer a level of environmental protection at least equivalent to a Flexible Membrane Liner.</w:t>
      </w:r>
      <w:r w:rsidR="00DD664B">
        <w:t xml:space="preserve"> </w:t>
      </w:r>
      <w:r>
        <w:t xml:space="preserve">A layer of material with a permeability of greater than or equal to the underlying mineral layer will not meaningfully reduce seepage rates from the site and could not reasonably </w:t>
      </w:r>
      <w:proofErr w:type="gramStart"/>
      <w:r>
        <w:t>be considered to be</w:t>
      </w:r>
      <w:proofErr w:type="gramEnd"/>
      <w:r>
        <w:t xml:space="preserve"> providing a ‘seal’. </w:t>
      </w:r>
    </w:p>
    <w:p w14:paraId="569F935F" w14:textId="3D9BE5AA" w:rsidR="000942C3" w:rsidRDefault="000942C3" w:rsidP="00D96904">
      <w:pPr>
        <w:spacing w:after="240"/>
        <w:ind w:left="284" w:right="4"/>
      </w:pPr>
      <w:r>
        <w:t xml:space="preserve">It should be noted that there is a specific requirement in the Directive that the leachate sealing liner is </w:t>
      </w:r>
      <w:r>
        <w:rPr>
          <w:u w:val="single" w:color="000000"/>
        </w:rPr>
        <w:t>in addition</w:t>
      </w:r>
      <w:r>
        <w:t xml:space="preserve"> to the geological barrier.</w:t>
      </w:r>
      <w:r w:rsidR="00DD664B">
        <w:t xml:space="preserve"> </w:t>
      </w:r>
      <w:r>
        <w:t xml:space="preserve">Given that the mineral layer comprises a component of the geological barrier it is not possible for the same unit of material to be considered both a mineral layer and a leachate sealing system when carrying out a risk assessment. </w:t>
      </w:r>
    </w:p>
    <w:p w14:paraId="42E57FD3" w14:textId="77777777" w:rsidR="000942C3" w:rsidRDefault="000942C3" w:rsidP="000942C3">
      <w:pPr>
        <w:spacing w:line="259" w:lineRule="auto"/>
        <w:ind w:left="350"/>
      </w:pPr>
      <w:r>
        <w:t xml:space="preserve"> </w:t>
      </w:r>
    </w:p>
    <w:p w14:paraId="37FF4688" w14:textId="77777777" w:rsidR="006979BA" w:rsidRDefault="000942C3" w:rsidP="003C7797">
      <w:pPr>
        <w:pStyle w:val="Heading1"/>
      </w:pPr>
      <w:r>
        <w:t xml:space="preserve"> </w:t>
      </w:r>
      <w:bookmarkStart w:id="14" w:name="_Toc24190"/>
      <w:r w:rsidR="006979BA">
        <w:br w:type="page"/>
      </w:r>
    </w:p>
    <w:p w14:paraId="661CCB89" w14:textId="65242DD6" w:rsidR="000942C3" w:rsidRDefault="000942C3" w:rsidP="00D96904">
      <w:pPr>
        <w:pStyle w:val="Heading1"/>
        <w:spacing w:after="120"/>
        <w:ind w:left="284"/>
      </w:pPr>
      <w:bookmarkStart w:id="15" w:name="_Toc192672261"/>
      <w:bookmarkStart w:id="16" w:name="_Toc192672657"/>
      <w:r>
        <w:lastRenderedPageBreak/>
        <w:t>5. Mandatory Standards</w:t>
      </w:r>
      <w:bookmarkEnd w:id="15"/>
      <w:bookmarkEnd w:id="16"/>
      <w:r>
        <w:t xml:space="preserve"> </w:t>
      </w:r>
      <w:bookmarkEnd w:id="14"/>
    </w:p>
    <w:p w14:paraId="79B934FC" w14:textId="77777777" w:rsidR="000942C3" w:rsidRDefault="000942C3" w:rsidP="000942C3">
      <w:pPr>
        <w:spacing w:line="259" w:lineRule="auto"/>
        <w:ind w:left="350"/>
      </w:pPr>
      <w:r>
        <w:rPr>
          <w:b/>
        </w:rPr>
        <w:t xml:space="preserve"> </w:t>
      </w:r>
    </w:p>
    <w:p w14:paraId="2076D5C5" w14:textId="79EDFDDB" w:rsidR="000942C3" w:rsidRDefault="000942C3" w:rsidP="00D96904">
      <w:pPr>
        <w:spacing w:after="240"/>
        <w:ind w:left="284" w:right="4"/>
      </w:pPr>
      <w:r>
        <w:t>For sites where there is a potential hazard to soil, surface water or groundwater the risk assessment framework described in this guidance is to be adopted when assessing the barrier and liner systems for landfills.</w:t>
      </w:r>
      <w:r w:rsidR="00DD664B">
        <w:t xml:space="preserve"> </w:t>
      </w:r>
      <w:r>
        <w:t xml:space="preserve">Most of the components and specifications of the components will be derived as part of the risk assessment. </w:t>
      </w:r>
      <w:proofErr w:type="gramStart"/>
      <w:r>
        <w:t>Typically</w:t>
      </w:r>
      <w:proofErr w:type="gramEnd"/>
      <w:r>
        <w:t xml:space="preserve"> non-hazardous sites will receive Biodegradable Municipal Waste and other such material which have the potential to produce leachate and pose a hazard to the environment. </w:t>
      </w:r>
    </w:p>
    <w:p w14:paraId="65885A34" w14:textId="709DA9BA" w:rsidR="000942C3" w:rsidRDefault="000942C3" w:rsidP="00D96904">
      <w:pPr>
        <w:spacing w:after="240"/>
        <w:ind w:left="284" w:right="4"/>
      </w:pPr>
      <w:r>
        <w:t xml:space="preserve">For those sites where there is a potential hazard to soil, surface water or groundwater the following aspects however must be provided in a barrier system. The Landfill Directive only permits these components to be reduced in standard where the site poses no potential hazard to soil, surface water or groundwater. </w:t>
      </w:r>
    </w:p>
    <w:p w14:paraId="3AF96C62" w14:textId="0E8C9A6B" w:rsidR="000942C3" w:rsidRPr="004A6293" w:rsidRDefault="00F54E40" w:rsidP="00D96904">
      <w:pPr>
        <w:pStyle w:val="ListParagraph"/>
        <w:numPr>
          <w:ilvl w:val="0"/>
          <w:numId w:val="27"/>
        </w:numPr>
        <w:spacing w:after="240" w:line="360" w:lineRule="auto"/>
        <w:ind w:left="284" w:right="4" w:firstLine="0"/>
        <w:contextualSpacing w:val="0"/>
        <w:rPr>
          <w:rFonts w:asciiTheme="minorHAnsi" w:hAnsiTheme="minorHAnsi" w:cstheme="minorHAnsi"/>
          <w:sz w:val="24"/>
        </w:rPr>
      </w:pPr>
      <w:r>
        <w:rPr>
          <w:rFonts w:asciiTheme="minorHAnsi" w:hAnsiTheme="minorHAnsi" w:cstheme="minorHAnsi"/>
          <w:sz w:val="24"/>
        </w:rPr>
        <w:t>T</w:t>
      </w:r>
      <w:r w:rsidR="000942C3" w:rsidRPr="004A6293">
        <w:rPr>
          <w:rFonts w:asciiTheme="minorHAnsi" w:hAnsiTheme="minorHAnsi" w:cstheme="minorHAnsi"/>
          <w:sz w:val="24"/>
        </w:rPr>
        <w:t>he landfill must have a drainage blanket that is at least 0.5m thick</w:t>
      </w:r>
      <w:r>
        <w:rPr>
          <w:rFonts w:asciiTheme="minorHAnsi" w:hAnsiTheme="minorHAnsi" w:cstheme="minorHAnsi"/>
          <w:sz w:val="24"/>
        </w:rPr>
        <w:t>.</w:t>
      </w:r>
    </w:p>
    <w:p w14:paraId="12A43F1A" w14:textId="794EAA09" w:rsidR="000942C3" w:rsidRPr="004A6293" w:rsidRDefault="00F54E40" w:rsidP="00D96904">
      <w:pPr>
        <w:pStyle w:val="ListParagraph"/>
        <w:numPr>
          <w:ilvl w:val="0"/>
          <w:numId w:val="27"/>
        </w:numPr>
        <w:spacing w:after="240" w:line="360" w:lineRule="auto"/>
        <w:ind w:left="284" w:right="4" w:firstLine="0"/>
        <w:contextualSpacing w:val="0"/>
        <w:rPr>
          <w:rFonts w:asciiTheme="minorHAnsi" w:hAnsiTheme="minorHAnsi" w:cstheme="minorHAnsi"/>
          <w:sz w:val="24"/>
        </w:rPr>
      </w:pPr>
      <w:r>
        <w:rPr>
          <w:rFonts w:asciiTheme="minorHAnsi" w:hAnsiTheme="minorHAnsi" w:cstheme="minorHAnsi"/>
          <w:sz w:val="24"/>
        </w:rPr>
        <w:t>T</w:t>
      </w:r>
      <w:r w:rsidR="000942C3" w:rsidRPr="004A6293">
        <w:rPr>
          <w:rFonts w:asciiTheme="minorHAnsi" w:hAnsiTheme="minorHAnsi" w:cstheme="minorHAnsi"/>
          <w:sz w:val="24"/>
        </w:rPr>
        <w:t>he landfill must have a leachate sealing system</w:t>
      </w:r>
      <w:r>
        <w:rPr>
          <w:rFonts w:asciiTheme="minorHAnsi" w:hAnsiTheme="minorHAnsi" w:cstheme="minorHAnsi"/>
          <w:sz w:val="24"/>
        </w:rPr>
        <w:t>.</w:t>
      </w:r>
      <w:r w:rsidR="00DD664B">
        <w:rPr>
          <w:rFonts w:asciiTheme="minorHAnsi" w:hAnsiTheme="minorHAnsi" w:cstheme="minorHAnsi"/>
          <w:sz w:val="24"/>
        </w:rPr>
        <w:t xml:space="preserve"> </w:t>
      </w:r>
    </w:p>
    <w:p w14:paraId="503C7C01" w14:textId="1B8559EE" w:rsidR="000942C3" w:rsidRPr="004A6293" w:rsidRDefault="00F54E40" w:rsidP="00D96904">
      <w:pPr>
        <w:pStyle w:val="ListParagraph"/>
        <w:numPr>
          <w:ilvl w:val="0"/>
          <w:numId w:val="27"/>
        </w:numPr>
        <w:spacing w:after="240" w:line="360" w:lineRule="auto"/>
        <w:ind w:left="709" w:right="4" w:hanging="425"/>
        <w:contextualSpacing w:val="0"/>
        <w:rPr>
          <w:rFonts w:asciiTheme="minorHAnsi" w:hAnsiTheme="minorHAnsi" w:cstheme="minorHAnsi"/>
          <w:sz w:val="24"/>
        </w:rPr>
      </w:pPr>
      <w:r>
        <w:rPr>
          <w:rFonts w:asciiTheme="minorHAnsi" w:hAnsiTheme="minorHAnsi" w:cstheme="minorHAnsi"/>
          <w:sz w:val="24"/>
        </w:rPr>
        <w:t>T</w:t>
      </w:r>
      <w:r w:rsidR="000942C3" w:rsidRPr="004A6293">
        <w:rPr>
          <w:rFonts w:asciiTheme="minorHAnsi" w:hAnsiTheme="minorHAnsi" w:cstheme="minorHAnsi"/>
          <w:sz w:val="24"/>
        </w:rPr>
        <w:t xml:space="preserve">he landfill must have a geological barrier which must have a mineral layer which satisfies the permeability and thickness requirements stated in the directive or equivalent: </w:t>
      </w:r>
    </w:p>
    <w:p w14:paraId="0A385D26" w14:textId="2966C5EA" w:rsidR="000942C3" w:rsidRPr="00920029" w:rsidRDefault="00920029" w:rsidP="00D96904">
      <w:pPr>
        <w:pStyle w:val="ListParagraph"/>
        <w:numPr>
          <w:ilvl w:val="0"/>
          <w:numId w:val="33"/>
        </w:numPr>
        <w:spacing w:after="240" w:line="360" w:lineRule="auto"/>
        <w:ind w:left="1440" w:right="4"/>
        <w:contextualSpacing w:val="0"/>
        <w:rPr>
          <w:rFonts w:cstheme="minorHAnsi"/>
          <w:sz w:val="24"/>
        </w:rPr>
      </w:pPr>
      <w:r>
        <w:rPr>
          <w:rFonts w:cstheme="minorHAnsi"/>
          <w:sz w:val="24"/>
        </w:rPr>
        <w:t>L</w:t>
      </w:r>
      <w:r w:rsidR="000942C3" w:rsidRPr="00920029">
        <w:rPr>
          <w:rFonts w:cstheme="minorHAnsi"/>
          <w:sz w:val="24"/>
        </w:rPr>
        <w:t>andfill for hazardous waste K</w:t>
      </w:r>
      <w:r w:rsidR="000942C3" w:rsidRPr="00920029">
        <w:rPr>
          <w:rFonts w:eastAsia="Segoe UI Symbol" w:cstheme="minorHAnsi"/>
          <w:sz w:val="24"/>
        </w:rPr>
        <w:t>≤</w:t>
      </w:r>
      <w:r w:rsidR="000942C3" w:rsidRPr="00920029">
        <w:rPr>
          <w:rFonts w:cstheme="minorHAnsi"/>
          <w:sz w:val="24"/>
        </w:rPr>
        <w:t>1.0 x 10</w:t>
      </w:r>
      <w:r w:rsidR="000942C3" w:rsidRPr="00920029">
        <w:rPr>
          <w:rFonts w:cstheme="minorHAnsi"/>
          <w:sz w:val="24"/>
          <w:vertAlign w:val="superscript"/>
        </w:rPr>
        <w:t>-9</w:t>
      </w:r>
      <w:r w:rsidR="000942C3" w:rsidRPr="00920029">
        <w:rPr>
          <w:rFonts w:cstheme="minorHAnsi"/>
          <w:sz w:val="24"/>
        </w:rPr>
        <w:t xml:space="preserve"> m/s; thickness </w:t>
      </w:r>
      <w:r w:rsidR="000942C3" w:rsidRPr="00920029">
        <w:rPr>
          <w:rFonts w:eastAsia="Segoe UI Symbol" w:cstheme="minorHAnsi"/>
          <w:sz w:val="24"/>
        </w:rPr>
        <w:t>≥</w:t>
      </w:r>
      <w:r w:rsidR="000942C3" w:rsidRPr="00920029">
        <w:rPr>
          <w:rFonts w:cstheme="minorHAnsi"/>
          <w:sz w:val="24"/>
        </w:rPr>
        <w:t>5m</w:t>
      </w:r>
      <w:r>
        <w:rPr>
          <w:rFonts w:cstheme="minorHAnsi"/>
          <w:sz w:val="24"/>
        </w:rPr>
        <w:t>.</w:t>
      </w:r>
    </w:p>
    <w:p w14:paraId="2DE778F7" w14:textId="724B1E55" w:rsidR="004A6293" w:rsidRPr="00920029" w:rsidRDefault="00920029" w:rsidP="00D96904">
      <w:pPr>
        <w:pStyle w:val="ListParagraph"/>
        <w:numPr>
          <w:ilvl w:val="0"/>
          <w:numId w:val="33"/>
        </w:numPr>
        <w:spacing w:after="240" w:line="360" w:lineRule="auto"/>
        <w:ind w:left="1440" w:right="4"/>
        <w:contextualSpacing w:val="0"/>
        <w:rPr>
          <w:rFonts w:cstheme="minorHAnsi"/>
          <w:sz w:val="24"/>
        </w:rPr>
      </w:pPr>
      <w:r>
        <w:rPr>
          <w:rFonts w:cstheme="minorHAnsi"/>
          <w:sz w:val="24"/>
        </w:rPr>
        <w:t>L</w:t>
      </w:r>
      <w:r w:rsidR="000942C3" w:rsidRPr="00920029">
        <w:rPr>
          <w:rFonts w:cstheme="minorHAnsi"/>
          <w:sz w:val="24"/>
        </w:rPr>
        <w:t>andfill for non-hazardous waste K</w:t>
      </w:r>
      <w:r w:rsidR="000942C3" w:rsidRPr="00920029">
        <w:rPr>
          <w:rFonts w:eastAsia="Segoe UI Symbol" w:cstheme="minorHAnsi"/>
          <w:sz w:val="24"/>
        </w:rPr>
        <w:t>≤</w:t>
      </w:r>
      <w:r w:rsidR="000942C3" w:rsidRPr="00920029">
        <w:rPr>
          <w:rFonts w:cstheme="minorHAnsi"/>
          <w:sz w:val="24"/>
        </w:rPr>
        <w:t>1.0x 10</w:t>
      </w:r>
      <w:r w:rsidR="000942C3" w:rsidRPr="00920029">
        <w:rPr>
          <w:rFonts w:cstheme="minorHAnsi"/>
          <w:sz w:val="24"/>
          <w:vertAlign w:val="superscript"/>
        </w:rPr>
        <w:t>-9</w:t>
      </w:r>
      <w:r w:rsidR="000942C3" w:rsidRPr="00920029">
        <w:rPr>
          <w:rFonts w:cstheme="minorHAnsi"/>
          <w:sz w:val="24"/>
        </w:rPr>
        <w:t xml:space="preserve">m/s; thickness </w:t>
      </w:r>
      <w:r w:rsidR="000942C3" w:rsidRPr="00920029">
        <w:rPr>
          <w:rFonts w:eastAsia="Segoe UI Symbol" w:cstheme="minorHAnsi"/>
          <w:sz w:val="24"/>
        </w:rPr>
        <w:t>≥</w:t>
      </w:r>
      <w:r w:rsidR="000942C3" w:rsidRPr="00920029">
        <w:rPr>
          <w:rFonts w:cstheme="minorHAnsi"/>
          <w:sz w:val="24"/>
        </w:rPr>
        <w:t xml:space="preserve"> 1m</w:t>
      </w:r>
      <w:r>
        <w:rPr>
          <w:rFonts w:cstheme="minorHAnsi"/>
          <w:sz w:val="24"/>
        </w:rPr>
        <w:t>.</w:t>
      </w:r>
    </w:p>
    <w:p w14:paraId="32EA839A" w14:textId="575F07FB" w:rsidR="000942C3" w:rsidRPr="00920029" w:rsidRDefault="00920029" w:rsidP="00D96904">
      <w:pPr>
        <w:pStyle w:val="ListParagraph"/>
        <w:numPr>
          <w:ilvl w:val="0"/>
          <w:numId w:val="33"/>
        </w:numPr>
        <w:spacing w:after="240" w:line="360" w:lineRule="auto"/>
        <w:ind w:left="1440" w:right="4"/>
        <w:contextualSpacing w:val="0"/>
        <w:rPr>
          <w:rFonts w:cstheme="minorHAnsi"/>
        </w:rPr>
      </w:pPr>
      <w:r>
        <w:rPr>
          <w:rFonts w:cstheme="minorHAnsi"/>
          <w:sz w:val="24"/>
        </w:rPr>
        <w:t>L</w:t>
      </w:r>
      <w:r w:rsidR="000942C3" w:rsidRPr="00920029">
        <w:rPr>
          <w:rFonts w:cstheme="minorHAnsi"/>
          <w:sz w:val="24"/>
        </w:rPr>
        <w:t xml:space="preserve">andfill for inert waste K </w:t>
      </w:r>
      <w:r w:rsidR="000942C3" w:rsidRPr="00920029">
        <w:rPr>
          <w:rFonts w:eastAsia="Segoe UI Symbol" w:cstheme="minorHAnsi"/>
          <w:sz w:val="24"/>
        </w:rPr>
        <w:t>≤</w:t>
      </w:r>
      <w:r w:rsidR="000942C3" w:rsidRPr="00920029">
        <w:rPr>
          <w:rFonts w:cstheme="minorHAnsi"/>
          <w:sz w:val="24"/>
        </w:rPr>
        <w:t>1.0x 10</w:t>
      </w:r>
      <w:r w:rsidR="000942C3" w:rsidRPr="00920029">
        <w:rPr>
          <w:rFonts w:cstheme="minorHAnsi"/>
          <w:sz w:val="24"/>
          <w:vertAlign w:val="superscript"/>
        </w:rPr>
        <w:t>-7</w:t>
      </w:r>
      <w:r w:rsidR="000942C3" w:rsidRPr="00920029">
        <w:rPr>
          <w:rFonts w:cstheme="minorHAnsi"/>
          <w:sz w:val="24"/>
        </w:rPr>
        <w:t xml:space="preserve"> m/s; thickness </w:t>
      </w:r>
      <w:r w:rsidR="000942C3" w:rsidRPr="00920029">
        <w:rPr>
          <w:rFonts w:eastAsia="Segoe UI Symbol" w:cstheme="minorHAnsi"/>
          <w:sz w:val="24"/>
        </w:rPr>
        <w:t>≥</w:t>
      </w:r>
      <w:r w:rsidR="000942C3" w:rsidRPr="00920029">
        <w:rPr>
          <w:rFonts w:cstheme="minorHAnsi"/>
          <w:sz w:val="24"/>
        </w:rPr>
        <w:t xml:space="preserve"> 1m</w:t>
      </w:r>
      <w:r>
        <w:rPr>
          <w:rFonts w:cstheme="minorHAnsi"/>
          <w:sz w:val="24"/>
        </w:rPr>
        <w:t>.</w:t>
      </w:r>
    </w:p>
    <w:p w14:paraId="273AD950" w14:textId="0393534A" w:rsidR="000942C3" w:rsidRPr="004A6293" w:rsidRDefault="00920029" w:rsidP="00D96904">
      <w:pPr>
        <w:pStyle w:val="ListParagraph"/>
        <w:numPr>
          <w:ilvl w:val="0"/>
          <w:numId w:val="27"/>
        </w:numPr>
        <w:spacing w:after="240" w:line="360" w:lineRule="auto"/>
        <w:ind w:left="284" w:right="4" w:firstLine="0"/>
        <w:contextualSpacing w:val="0"/>
        <w:rPr>
          <w:rFonts w:asciiTheme="minorHAnsi" w:hAnsiTheme="minorHAnsi" w:cstheme="minorHAnsi"/>
          <w:sz w:val="24"/>
        </w:rPr>
      </w:pPr>
      <w:r>
        <w:rPr>
          <w:rFonts w:asciiTheme="minorHAnsi" w:hAnsiTheme="minorHAnsi" w:cstheme="minorHAnsi"/>
          <w:sz w:val="24"/>
        </w:rPr>
        <w:t>T</w:t>
      </w:r>
      <w:r w:rsidR="000942C3" w:rsidRPr="004A6293">
        <w:rPr>
          <w:rFonts w:asciiTheme="minorHAnsi" w:hAnsiTheme="minorHAnsi" w:cstheme="minorHAnsi"/>
          <w:sz w:val="24"/>
        </w:rPr>
        <w:t>he mineral layer must extend under the base and up the sides of the landfill</w:t>
      </w:r>
      <w:r>
        <w:rPr>
          <w:rFonts w:asciiTheme="minorHAnsi" w:hAnsiTheme="minorHAnsi" w:cstheme="minorHAnsi"/>
          <w:sz w:val="24"/>
        </w:rPr>
        <w:t>.</w:t>
      </w:r>
    </w:p>
    <w:p w14:paraId="46B66D5F" w14:textId="7AFBD018" w:rsidR="000942C3" w:rsidRPr="004A6293" w:rsidRDefault="00920029" w:rsidP="00D96904">
      <w:pPr>
        <w:pStyle w:val="ListParagraph"/>
        <w:numPr>
          <w:ilvl w:val="0"/>
          <w:numId w:val="27"/>
        </w:numPr>
        <w:spacing w:after="240" w:line="360" w:lineRule="auto"/>
        <w:ind w:left="709" w:right="4" w:hanging="425"/>
        <w:contextualSpacing w:val="0"/>
        <w:rPr>
          <w:rFonts w:asciiTheme="minorHAnsi" w:hAnsiTheme="minorHAnsi" w:cstheme="minorHAnsi"/>
          <w:sz w:val="24"/>
        </w:rPr>
      </w:pPr>
      <w:r>
        <w:rPr>
          <w:rFonts w:asciiTheme="minorHAnsi" w:hAnsiTheme="minorHAnsi" w:cstheme="minorHAnsi"/>
          <w:sz w:val="24"/>
        </w:rPr>
        <w:t>T</w:t>
      </w:r>
      <w:r w:rsidR="000942C3" w:rsidRPr="004A6293">
        <w:rPr>
          <w:rFonts w:asciiTheme="minorHAnsi" w:hAnsiTheme="minorHAnsi" w:cstheme="minorHAnsi"/>
          <w:sz w:val="24"/>
        </w:rPr>
        <w:t xml:space="preserve">he landfill must be situated and designed </w:t>
      </w:r>
      <w:proofErr w:type="gramStart"/>
      <w:r w:rsidR="000942C3" w:rsidRPr="004A6293">
        <w:rPr>
          <w:rFonts w:asciiTheme="minorHAnsi" w:hAnsiTheme="minorHAnsi" w:cstheme="minorHAnsi"/>
          <w:sz w:val="24"/>
        </w:rPr>
        <w:t>so as to</w:t>
      </w:r>
      <w:proofErr w:type="gramEnd"/>
      <w:r w:rsidR="000942C3" w:rsidRPr="004A6293">
        <w:rPr>
          <w:rFonts w:asciiTheme="minorHAnsi" w:hAnsiTheme="minorHAnsi" w:cstheme="minorHAnsi"/>
          <w:sz w:val="24"/>
        </w:rPr>
        <w:t xml:space="preserve"> prevent pollution of the soil, groundwater or surface </w:t>
      </w:r>
      <w:r w:rsidR="001623DD" w:rsidRPr="004A6293">
        <w:rPr>
          <w:rFonts w:asciiTheme="minorHAnsi" w:hAnsiTheme="minorHAnsi" w:cstheme="minorHAnsi"/>
          <w:sz w:val="24"/>
        </w:rPr>
        <w:t>water.</w:t>
      </w:r>
      <w:r w:rsidR="000942C3" w:rsidRPr="004A6293">
        <w:rPr>
          <w:rFonts w:asciiTheme="minorHAnsi" w:hAnsiTheme="minorHAnsi" w:cstheme="minorHAnsi"/>
          <w:sz w:val="24"/>
        </w:rPr>
        <w:t xml:space="preserve"> </w:t>
      </w:r>
    </w:p>
    <w:p w14:paraId="7D5A7EDA" w14:textId="5009DB4A" w:rsidR="000942C3" w:rsidRDefault="000942C3" w:rsidP="00D96904">
      <w:pPr>
        <w:spacing w:after="240"/>
        <w:ind w:left="284"/>
      </w:pPr>
      <w:r>
        <w:t xml:space="preserve"> In addition to complying with the terms of the Landfill Directive the landfill must comply with the requirements of the Groundwater Directive and the Water Framework Directive.</w:t>
      </w:r>
      <w:r w:rsidR="00DD664B">
        <w:t xml:space="preserve"> </w:t>
      </w:r>
      <w:r>
        <w:t>Meeting the prescriptive containment requirements of the Landfill Directive does not necessarily mean that the level of impact on the groundwater will be acceptable.</w:t>
      </w:r>
      <w:r w:rsidR="00DD664B">
        <w:t xml:space="preserve"> </w:t>
      </w:r>
      <w:r>
        <w:t xml:space="preserve">It is therefore necessary to </w:t>
      </w:r>
      <w:r>
        <w:lastRenderedPageBreak/>
        <w:t>carry out a risk assessment for landfills to ensure that the terms of the Groundwater Directive and the Water Framework Directive are complied with.</w:t>
      </w:r>
      <w:r w:rsidR="00DD664B">
        <w:t xml:space="preserve"> </w:t>
      </w:r>
      <w:r>
        <w:t xml:space="preserve">Where the minimum requirements of the Landfill Directive do not provide sufficient protection to the groundwater then additional containment measures will be required. </w:t>
      </w:r>
    </w:p>
    <w:p w14:paraId="13C15D78" w14:textId="77777777" w:rsidR="000942C3" w:rsidRDefault="000942C3" w:rsidP="000942C3">
      <w:pPr>
        <w:spacing w:line="259" w:lineRule="auto"/>
        <w:ind w:left="350"/>
      </w:pPr>
      <w:r>
        <w:t xml:space="preserve"> </w:t>
      </w:r>
    </w:p>
    <w:p w14:paraId="6FC16A83" w14:textId="77777777" w:rsidR="00D9237C" w:rsidRDefault="00D9237C" w:rsidP="000942C3">
      <w:pPr>
        <w:pStyle w:val="Heading1"/>
        <w:ind w:left="345"/>
      </w:pPr>
      <w:bookmarkStart w:id="17" w:name="_Toc24191"/>
      <w:r>
        <w:br w:type="page"/>
      </w:r>
    </w:p>
    <w:p w14:paraId="7C2B8A33" w14:textId="662D37C5" w:rsidR="000942C3" w:rsidRDefault="000942C3" w:rsidP="00D96904">
      <w:pPr>
        <w:pStyle w:val="Heading1"/>
        <w:spacing w:after="120"/>
        <w:ind w:left="284"/>
      </w:pPr>
      <w:bookmarkStart w:id="18" w:name="_Toc192672265"/>
      <w:bookmarkStart w:id="19" w:name="_Toc192672661"/>
      <w:r>
        <w:lastRenderedPageBreak/>
        <w:t>6. Stages of Assessment</w:t>
      </w:r>
      <w:bookmarkEnd w:id="18"/>
      <w:bookmarkEnd w:id="19"/>
      <w:r>
        <w:t xml:space="preserve"> </w:t>
      </w:r>
      <w:bookmarkEnd w:id="17"/>
    </w:p>
    <w:p w14:paraId="1999368D" w14:textId="07A9A28F" w:rsidR="000942C3" w:rsidRDefault="00DD664B" w:rsidP="000942C3">
      <w:pPr>
        <w:spacing w:line="259" w:lineRule="auto"/>
        <w:ind w:left="350"/>
      </w:pPr>
      <w:r>
        <w:t xml:space="preserve"> </w:t>
      </w:r>
    </w:p>
    <w:p w14:paraId="7C6C2AB0" w14:textId="3CD6731F" w:rsidR="000942C3" w:rsidRDefault="000942C3" w:rsidP="00D96904">
      <w:pPr>
        <w:spacing w:after="240"/>
        <w:ind w:right="4"/>
      </w:pPr>
      <w:r>
        <w:t xml:space="preserve">The geological barrier and leachate collection and sealing systems should be designed to comply with the Landfill Directive, the Groundwater Directive (80/68/EEC) and the Water Framework Directive. </w:t>
      </w:r>
    </w:p>
    <w:p w14:paraId="30980762" w14:textId="26363624" w:rsidR="000942C3" w:rsidRDefault="000942C3" w:rsidP="00D96904">
      <w:pPr>
        <w:spacing w:after="240"/>
        <w:ind w:right="4"/>
      </w:pPr>
      <w:r>
        <w:t>To comply with the Groundwater Directive a site must not allow the discharge of list I substances into groundwater or pollution of the groundwater by List II substances. On top of this the Landfill Directive specifically states that the mineral layer of the landfill liner must comply with specified permeability and thickness requirements unless the site does not pose a potential hazard to soil, groundwater or surface water.</w:t>
      </w:r>
      <w:r w:rsidR="00DD664B">
        <w:t xml:space="preserve"> </w:t>
      </w:r>
    </w:p>
    <w:p w14:paraId="26C3B2D2" w14:textId="66D85777" w:rsidR="000942C3" w:rsidRDefault="000942C3" w:rsidP="00D96904">
      <w:pPr>
        <w:spacing w:after="240"/>
        <w:ind w:right="4"/>
      </w:pPr>
      <w:r>
        <w:t>In general, if the requirements of the Groundwater Directive are being met this will also meet the requirements of the Water Framework Directive.</w:t>
      </w:r>
      <w:r w:rsidR="00DD664B">
        <w:t xml:space="preserve"> </w:t>
      </w:r>
      <w:r>
        <w:t>It must be noted, however, that the Water Framework Directive applies to all pollutants and is not confined to the substances listed in List I or List II of the Groundwater Directive.</w:t>
      </w:r>
      <w:r w:rsidR="00DD664B">
        <w:t xml:space="preserve"> </w:t>
      </w:r>
      <w:r>
        <w:t>In brief, the requirement for non-listed substances is to prevent pollution at receptors associated with the groundwater, such as surface water ecosystems or wetlands which are dependent on the groundwater and to prevent an increase in treatment at abstractions used for human consumption.</w:t>
      </w:r>
      <w:r w:rsidR="00DD664B">
        <w:t xml:space="preserve"> </w:t>
      </w:r>
      <w:r>
        <w:t>Significant and sustained upward trends in concentrations of pollutants will have to be reversed under the Water Framework Directive:</w:t>
      </w:r>
      <w:r w:rsidR="00DD664B">
        <w:t xml:space="preserve"> </w:t>
      </w:r>
      <w:r>
        <w:t xml:space="preserve">it is therefore important that the authorisation will not exacerbate any situation such that restoration will be required </w:t>
      </w:r>
      <w:proofErr w:type="gramStart"/>
      <w:r>
        <w:t>at a later date</w:t>
      </w:r>
      <w:proofErr w:type="gramEnd"/>
      <w:r>
        <w:t>.</w:t>
      </w:r>
    </w:p>
    <w:p w14:paraId="6622C2BB" w14:textId="67E11CB2" w:rsidR="000942C3" w:rsidRDefault="000942C3" w:rsidP="00D96904">
      <w:pPr>
        <w:spacing w:after="240"/>
        <w:ind w:right="4"/>
      </w:pPr>
      <w:r>
        <w:t>The Water Framework Directive also has a requirement to prevent harm to receptors from changes to groundwater levels.</w:t>
      </w:r>
      <w:r w:rsidR="00DD664B">
        <w:t xml:space="preserve"> </w:t>
      </w:r>
      <w:r>
        <w:t xml:space="preserve">Any proposal to meet the requirements of the Landfill Directive which would lower groundwater levels such that there would be harm to associated surface water systems or wetlands should be avoided. </w:t>
      </w:r>
    </w:p>
    <w:p w14:paraId="0A7EB1C1" w14:textId="7EB34F09" w:rsidR="00C20FAC" w:rsidRDefault="000942C3" w:rsidP="00D96904">
      <w:pPr>
        <w:spacing w:after="240"/>
        <w:ind w:right="4"/>
      </w:pPr>
      <w:r>
        <w:t xml:space="preserve">The following steps outline the procedure which should be adopted when assessing the suitability of the geological barrier and leachate collection and sealing systems. This is an iterative process to establish the </w:t>
      </w:r>
      <w:r w:rsidR="001623DD">
        <w:t>site-specific</w:t>
      </w:r>
      <w:r>
        <w:t xml:space="preserve"> arrangements and specifications that ensure that there is no potential risk of pollution and that the specific permeability and thickness requirements of the Landfill Directive are met.</w:t>
      </w:r>
      <w:r w:rsidR="00DD664B">
        <w:t xml:space="preserve"> </w:t>
      </w:r>
      <w:r>
        <w:t xml:space="preserve">This process is based on modelling the landfill </w:t>
      </w:r>
      <w:r>
        <w:lastRenderedPageBreak/>
        <w:t xml:space="preserve">performance and could be carried out by using programs such as </w:t>
      </w:r>
      <w:proofErr w:type="spellStart"/>
      <w:r>
        <w:t>LandSim</w:t>
      </w:r>
      <w:proofErr w:type="spellEnd"/>
      <w:r>
        <w:t xml:space="preserve"> to refine the landfill design to give optimum environmental performance. </w:t>
      </w:r>
    </w:p>
    <w:p w14:paraId="32F4190F" w14:textId="38D7BE78" w:rsidR="000942C3" w:rsidRDefault="000942C3" w:rsidP="00D96904">
      <w:pPr>
        <w:spacing w:after="240"/>
        <w:ind w:right="4"/>
      </w:pPr>
      <w:r>
        <w:t>The steps to be undertaken are</w:t>
      </w:r>
      <w:r w:rsidR="00AC1B16">
        <w:t xml:space="preserve"> listed below</w:t>
      </w:r>
      <w:r w:rsidR="004D275E">
        <w:t>.</w:t>
      </w:r>
      <w:r>
        <w:t xml:space="preserve"> </w:t>
      </w:r>
    </w:p>
    <w:p w14:paraId="59721F87" w14:textId="5E9BA4A2" w:rsidR="000942C3" w:rsidRDefault="00DD664B" w:rsidP="000942C3">
      <w:pPr>
        <w:spacing w:line="259" w:lineRule="auto"/>
        <w:ind w:left="350"/>
      </w:pPr>
      <w:r>
        <w:t xml:space="preserve"> </w:t>
      </w:r>
    </w:p>
    <w:p w14:paraId="0A305809" w14:textId="77777777" w:rsidR="000942C3" w:rsidRDefault="000942C3" w:rsidP="00D96904">
      <w:pPr>
        <w:pStyle w:val="Heading2"/>
        <w:spacing w:after="120"/>
        <w:ind w:left="709" w:hanging="425"/>
      </w:pPr>
      <w:bookmarkStart w:id="20" w:name="_Toc192672269"/>
      <w:bookmarkStart w:id="21" w:name="_Toc192672665"/>
      <w:r>
        <w:t>Stage A</w:t>
      </w:r>
      <w:bookmarkEnd w:id="20"/>
      <w:bookmarkEnd w:id="21"/>
      <w:r>
        <w:t xml:space="preserve"> </w:t>
      </w:r>
    </w:p>
    <w:p w14:paraId="5ED63B19" w14:textId="0B99A334" w:rsidR="000942C3" w:rsidRDefault="000942C3" w:rsidP="00D96904">
      <w:pPr>
        <w:spacing w:after="240"/>
        <w:ind w:left="284" w:right="4"/>
      </w:pPr>
      <w:r>
        <w:t>Carry out desk study and site investigation to establish the geological, hydrogeological and other environmental conditions and considerations (e.g. depth to water table, permeability of the unsaturated zone etc) on site. The Landfill Directive states that a site must have a geological barrier and a bottom liner during the operational stage.</w:t>
      </w:r>
      <w:r w:rsidR="00DD664B">
        <w:t xml:space="preserve"> </w:t>
      </w:r>
    </w:p>
    <w:p w14:paraId="5BA6237E" w14:textId="30693E5B" w:rsidR="000942C3" w:rsidRDefault="000942C3" w:rsidP="00D96904">
      <w:pPr>
        <w:spacing w:after="240"/>
        <w:ind w:left="284" w:right="4"/>
      </w:pPr>
      <w:r>
        <w:t xml:space="preserve">Assess whether the site poses a potential hazard to the environment. The Directive permits that if the landfill poses no potential hazard to soil, groundwater or surface water then the geological barrier and leachate collection and sealing requirements of the Directive could be reduced and a </w:t>
      </w:r>
      <w:r w:rsidR="001623DD">
        <w:t>site-specific</w:t>
      </w:r>
      <w:r>
        <w:t xml:space="preserve"> design agreed. This should be based only on an assessment of the type of waste and the location. For </w:t>
      </w:r>
      <w:proofErr w:type="gramStart"/>
      <w:r>
        <w:t>example</w:t>
      </w:r>
      <w:proofErr w:type="gramEnd"/>
      <w:r>
        <w:t xml:space="preserve"> a landfill comprising only peat and topsoil, although classified as non-hazardous, may be considered to pose no potential hazard if it is in a non-sensitive location.</w:t>
      </w:r>
      <w:r w:rsidR="00DD664B">
        <w:t xml:space="preserve"> </w:t>
      </w:r>
      <w:r>
        <w:t>However, the same waste landfilled adjacent to a salmonid river may pose a hazard via ferruginous emissions from, for example, the peat.</w:t>
      </w:r>
      <w:r w:rsidR="00DD664B">
        <w:t xml:space="preserve"> </w:t>
      </w:r>
      <w:r>
        <w:t>It is well accepted that landfills which take biodegradable waste such as municipal solid waste pose a hazard to the environment including groundwater, surface water and soil.</w:t>
      </w:r>
      <w:r w:rsidR="00DD664B">
        <w:t xml:space="preserve"> </w:t>
      </w:r>
      <w:r>
        <w:t>It is for this reason that controls are needed at such sites.</w:t>
      </w:r>
      <w:r w:rsidR="00DD664B">
        <w:t xml:space="preserve"> </w:t>
      </w:r>
      <w:r>
        <w:t>It is unlikely that biodegradable sites can reasonably be considered to pose no potential hazard to the environment.</w:t>
      </w:r>
      <w:r w:rsidR="00DD664B">
        <w:t xml:space="preserve"> </w:t>
      </w:r>
      <w:r>
        <w:t>Whilst small remote sites may well pose a low risk this does not equate to no potential hazard.</w:t>
      </w:r>
      <w:r w:rsidR="00DD664B">
        <w:t xml:space="preserve"> </w:t>
      </w:r>
      <w:r>
        <w:t xml:space="preserve">SEPA considers that typically all non-hazardous and hazardous sites will pose a potential hazard to soil, groundwater or surface water. </w:t>
      </w:r>
      <w:proofErr w:type="gramStart"/>
      <w:r>
        <w:t>Therefore</w:t>
      </w:r>
      <w:proofErr w:type="gramEnd"/>
      <w:r>
        <w:t xml:space="preserve"> for most sites the requirements of the Landfill Directive cannot be reduced. </w:t>
      </w:r>
    </w:p>
    <w:p w14:paraId="0FAC8AD1" w14:textId="77777777" w:rsidR="000942C3" w:rsidRDefault="000942C3" w:rsidP="000942C3">
      <w:pPr>
        <w:spacing w:line="259" w:lineRule="auto"/>
        <w:ind w:left="701"/>
      </w:pPr>
      <w:r>
        <w:t xml:space="preserve"> </w:t>
      </w:r>
    </w:p>
    <w:p w14:paraId="3D168685" w14:textId="77777777" w:rsidR="00D96904" w:rsidRDefault="00D96904" w:rsidP="000942C3">
      <w:pPr>
        <w:spacing w:line="259" w:lineRule="auto"/>
        <w:ind w:left="701"/>
      </w:pPr>
    </w:p>
    <w:p w14:paraId="2426D6C6" w14:textId="77777777" w:rsidR="00D96904" w:rsidRDefault="00D96904" w:rsidP="000942C3">
      <w:pPr>
        <w:spacing w:line="259" w:lineRule="auto"/>
        <w:ind w:left="701"/>
      </w:pPr>
    </w:p>
    <w:p w14:paraId="662EA3DB" w14:textId="77777777" w:rsidR="00D96904" w:rsidRDefault="00D96904" w:rsidP="000942C3">
      <w:pPr>
        <w:spacing w:line="259" w:lineRule="auto"/>
        <w:ind w:left="701"/>
      </w:pPr>
    </w:p>
    <w:p w14:paraId="695638EF" w14:textId="77777777" w:rsidR="000942C3" w:rsidRDefault="000942C3" w:rsidP="00D96904">
      <w:pPr>
        <w:pStyle w:val="Heading2"/>
        <w:spacing w:after="120"/>
        <w:ind w:left="284"/>
      </w:pPr>
      <w:bookmarkStart w:id="22" w:name="_Toc192672270"/>
      <w:bookmarkStart w:id="23" w:name="_Toc192672666"/>
      <w:r>
        <w:t>Stage B</w:t>
      </w:r>
      <w:bookmarkEnd w:id="22"/>
      <w:bookmarkEnd w:id="23"/>
      <w:r>
        <w:t xml:space="preserve"> </w:t>
      </w:r>
    </w:p>
    <w:p w14:paraId="2BD30DD4" w14:textId="77777777" w:rsidR="000942C3" w:rsidRDefault="000942C3" w:rsidP="000942C3">
      <w:pPr>
        <w:spacing w:line="259" w:lineRule="auto"/>
        <w:ind w:left="701"/>
      </w:pPr>
      <w:r>
        <w:t xml:space="preserve"> </w:t>
      </w:r>
    </w:p>
    <w:p w14:paraId="054AC810" w14:textId="2E59C023" w:rsidR="000942C3" w:rsidRDefault="000942C3" w:rsidP="00D96904">
      <w:pPr>
        <w:spacing w:after="240"/>
        <w:ind w:left="284" w:right="4"/>
      </w:pPr>
      <w:r>
        <w:rPr>
          <w:b/>
        </w:rPr>
        <w:lastRenderedPageBreak/>
        <w:t>Step 1.</w:t>
      </w:r>
      <w:r>
        <w:t xml:space="preserve"> Define the boundaries of the geological barrier naturally present on site. The base of this barrier is the</w:t>
      </w:r>
      <w:r w:rsidR="00DD664B">
        <w:t xml:space="preserve"> </w:t>
      </w:r>
      <w:r>
        <w:t>point at which the requirements of the Groundwater Regulations should be met. (i.e.</w:t>
      </w:r>
      <w:r w:rsidR="00DD664B">
        <w:t xml:space="preserve"> </w:t>
      </w:r>
      <w:r>
        <w:t xml:space="preserve">no entry of List I to Groundwater and no pollution of Groundwater by List II.) Further guidance on the requirements of the Groundwater Regulations is given in </w:t>
      </w:r>
      <w:r w:rsidR="009903E6" w:rsidRPr="000961F3">
        <w:rPr>
          <w:rFonts w:ascii="Arial" w:hAnsi="Arial" w:cs="Arial"/>
        </w:rPr>
        <w:t>The Environmental Authorisations (Scotland) Regulations 2018 (</w:t>
      </w:r>
      <w:r w:rsidR="009903E6">
        <w:rPr>
          <w:rFonts w:ascii="Arial" w:hAnsi="Arial" w:cs="Arial"/>
        </w:rPr>
        <w:t>“</w:t>
      </w:r>
      <w:r w:rsidR="009903E6" w:rsidRPr="000961F3">
        <w:rPr>
          <w:rFonts w:ascii="Arial" w:hAnsi="Arial" w:cs="Arial"/>
        </w:rPr>
        <w:t>EASR</w:t>
      </w:r>
      <w:r w:rsidR="009903E6">
        <w:rPr>
          <w:rFonts w:ascii="Arial" w:hAnsi="Arial" w:cs="Arial"/>
        </w:rPr>
        <w:t>”</w:t>
      </w:r>
      <w:r w:rsidR="009903E6" w:rsidRPr="000961F3">
        <w:rPr>
          <w:rFonts w:ascii="Arial" w:hAnsi="Arial" w:cs="Arial"/>
        </w:rPr>
        <w:t>)</w:t>
      </w:r>
      <w:r w:rsidR="009903E6">
        <w:rPr>
          <w:rFonts w:ascii="Arial" w:hAnsi="Arial" w:cs="Arial"/>
        </w:rPr>
        <w:t>.</w:t>
      </w:r>
      <w:r w:rsidR="00DD664B">
        <w:t xml:space="preserve"> </w:t>
      </w:r>
      <w:r>
        <w:t xml:space="preserve"> </w:t>
      </w:r>
    </w:p>
    <w:p w14:paraId="43893B78" w14:textId="07BB0DF2" w:rsidR="000942C3" w:rsidRDefault="000942C3" w:rsidP="00D96904">
      <w:pPr>
        <w:spacing w:after="240"/>
        <w:ind w:left="284" w:right="4"/>
      </w:pPr>
      <w:r>
        <w:rPr>
          <w:b/>
        </w:rPr>
        <w:t>Step 2.</w:t>
      </w:r>
      <w:r>
        <w:t xml:space="preserve"> The Landfill Directive requires that the geological barrier must include a mineral layer which surrounds the base and sides of the landfill. The mineral layer must satisfy permeability and thickness requirements which is at least equivalent to the following: </w:t>
      </w:r>
    </w:p>
    <w:p w14:paraId="02BB3574" w14:textId="313FF808" w:rsidR="000942C3" w:rsidRDefault="000942C3" w:rsidP="00D96904">
      <w:pPr>
        <w:numPr>
          <w:ilvl w:val="0"/>
          <w:numId w:val="20"/>
        </w:numPr>
        <w:spacing w:after="240"/>
        <w:ind w:left="1134" w:right="4" w:hanging="425"/>
      </w:pPr>
      <w:r>
        <w:t>Landfill for hazardous waste K</w:t>
      </w:r>
      <w:r>
        <w:rPr>
          <w:rFonts w:ascii="Segoe UI Symbol" w:eastAsia="Segoe UI Symbol" w:hAnsi="Segoe UI Symbol" w:cs="Segoe UI Symbol"/>
        </w:rPr>
        <w:t>≤</w:t>
      </w:r>
      <w:r>
        <w:t>1.0 x 10</w:t>
      </w:r>
      <w:r>
        <w:rPr>
          <w:vertAlign w:val="superscript"/>
        </w:rPr>
        <w:t>-9</w:t>
      </w:r>
      <w:r>
        <w:t xml:space="preserve"> m/s; thickness </w:t>
      </w:r>
      <w:r>
        <w:rPr>
          <w:rFonts w:ascii="Segoe UI Symbol" w:eastAsia="Segoe UI Symbol" w:hAnsi="Segoe UI Symbol" w:cs="Segoe UI Symbol"/>
        </w:rPr>
        <w:t>≥</w:t>
      </w:r>
      <w:r>
        <w:t>5m</w:t>
      </w:r>
      <w:r w:rsidR="009903E6">
        <w:t>.</w:t>
      </w:r>
      <w:r>
        <w:t xml:space="preserve"> </w:t>
      </w:r>
    </w:p>
    <w:p w14:paraId="62FE41DC" w14:textId="6E07F6FA" w:rsidR="000942C3" w:rsidRDefault="000942C3" w:rsidP="00D96904">
      <w:pPr>
        <w:numPr>
          <w:ilvl w:val="0"/>
          <w:numId w:val="20"/>
        </w:numPr>
        <w:spacing w:after="240"/>
        <w:ind w:left="1134" w:right="4" w:hanging="425"/>
      </w:pPr>
      <w:r>
        <w:t>Landfill for non-hazardous waste K</w:t>
      </w:r>
      <w:r>
        <w:rPr>
          <w:rFonts w:ascii="Segoe UI Symbol" w:eastAsia="Segoe UI Symbol" w:hAnsi="Segoe UI Symbol" w:cs="Segoe UI Symbol"/>
        </w:rPr>
        <w:t>≤</w:t>
      </w:r>
      <w:r>
        <w:t>1.0x 10</w:t>
      </w:r>
      <w:r>
        <w:rPr>
          <w:vertAlign w:val="superscript"/>
        </w:rPr>
        <w:t>-9</w:t>
      </w:r>
      <w:r>
        <w:t xml:space="preserve">m/s; thickness </w:t>
      </w:r>
      <w:r>
        <w:rPr>
          <w:rFonts w:ascii="Segoe UI Symbol" w:eastAsia="Segoe UI Symbol" w:hAnsi="Segoe UI Symbol" w:cs="Segoe UI Symbol"/>
        </w:rPr>
        <w:t>≥</w:t>
      </w:r>
      <w:r>
        <w:t xml:space="preserve"> 1m</w:t>
      </w:r>
      <w:r w:rsidR="009903E6">
        <w:t>.</w:t>
      </w:r>
    </w:p>
    <w:p w14:paraId="392AB838" w14:textId="4FB4EDC6" w:rsidR="000942C3" w:rsidRDefault="000942C3" w:rsidP="00D96904">
      <w:pPr>
        <w:numPr>
          <w:ilvl w:val="0"/>
          <w:numId w:val="20"/>
        </w:numPr>
        <w:spacing w:after="240"/>
        <w:ind w:left="1134" w:right="4" w:hanging="425"/>
      </w:pPr>
      <w:r>
        <w:t xml:space="preserve">Landfill for inert waste K </w:t>
      </w:r>
      <w:r>
        <w:rPr>
          <w:rFonts w:ascii="Segoe UI Symbol" w:eastAsia="Segoe UI Symbol" w:hAnsi="Segoe UI Symbol" w:cs="Segoe UI Symbol"/>
        </w:rPr>
        <w:t>≤</w:t>
      </w:r>
      <w:r>
        <w:t>1.0x 10</w:t>
      </w:r>
      <w:r>
        <w:rPr>
          <w:vertAlign w:val="superscript"/>
        </w:rPr>
        <w:t>-7</w:t>
      </w:r>
      <w:r>
        <w:t xml:space="preserve"> m/s; thickness </w:t>
      </w:r>
      <w:r>
        <w:rPr>
          <w:rFonts w:ascii="Segoe UI Symbol" w:eastAsia="Segoe UI Symbol" w:hAnsi="Segoe UI Symbol" w:cs="Segoe UI Symbol"/>
        </w:rPr>
        <w:t>≥</w:t>
      </w:r>
      <w:r>
        <w:t xml:space="preserve"> 1m</w:t>
      </w:r>
      <w:r w:rsidR="009903E6">
        <w:t>.</w:t>
      </w:r>
    </w:p>
    <w:p w14:paraId="4BFA8AE9" w14:textId="6A7D9A8F" w:rsidR="000942C3" w:rsidRDefault="000942C3" w:rsidP="00D96904">
      <w:pPr>
        <w:spacing w:after="240"/>
        <w:ind w:left="284" w:right="4"/>
      </w:pPr>
      <w:r>
        <w:t>An assessment is required of whether a mineral layer will be present which matches both the permeability and thickness requirements as noted above</w:t>
      </w:r>
      <w:r w:rsidR="00DD664B">
        <w:t xml:space="preserve"> </w:t>
      </w:r>
      <w:r>
        <w:t>(see appendix C for method of assessment).</w:t>
      </w:r>
      <w:r w:rsidR="00DD664B">
        <w:t xml:space="preserve"> </w:t>
      </w:r>
      <w:r>
        <w:t>If a compliant mineral layer is present than proceed to carry out a hydrogeological assessment to determine if the site complies with the Groundwater Directive (step 4). Where the natural conditions below and surrounding the sides of the site do not satisfy these criteria an assessment is required to be carried out to establish if the artificially reinforced mineral layer is at least equivalent to the specified permeability and thickness criteria.</w:t>
      </w:r>
      <w:r w:rsidR="00DD664B">
        <w:t xml:space="preserve"> </w:t>
      </w:r>
      <w:r>
        <w:t xml:space="preserve">This is outlined below. </w:t>
      </w:r>
    </w:p>
    <w:p w14:paraId="2A8E392D" w14:textId="023C020C" w:rsidR="000942C3" w:rsidRDefault="000942C3" w:rsidP="00D96904">
      <w:pPr>
        <w:spacing w:after="240"/>
        <w:ind w:left="284" w:right="4"/>
      </w:pPr>
      <w:r>
        <w:rPr>
          <w:b/>
        </w:rPr>
        <w:t>Step 3.</w:t>
      </w:r>
      <w:r>
        <w:t xml:space="preserve"> Equivalence is to be assessed by comparing the environmental protection provided by the proposed artificial mineral layer with the environmental protection provided by the Landfill Directive standards mineral layer (i.e. 1m @ 10</w:t>
      </w:r>
      <w:r>
        <w:rPr>
          <w:vertAlign w:val="superscript"/>
        </w:rPr>
        <w:t>-9</w:t>
      </w:r>
      <w:r>
        <w:t xml:space="preserve"> m/s).</w:t>
      </w:r>
      <w:r w:rsidR="00DD664B">
        <w:t xml:space="preserve"> </w:t>
      </w:r>
      <w:r>
        <w:t xml:space="preserve">Environmental protection can be estimated by source-pathway-receptor risk assessment (i.e. </w:t>
      </w:r>
      <w:proofErr w:type="spellStart"/>
      <w:r>
        <w:t>LandSim</w:t>
      </w:r>
      <w:proofErr w:type="spellEnd"/>
      <w:r>
        <w:t>) and establishing resultant environmental impact (i.e. contaminant concentration).</w:t>
      </w:r>
      <w:r w:rsidR="00DD664B">
        <w:t xml:space="preserve"> </w:t>
      </w:r>
      <w:r>
        <w:t>This would ideally be carried out by undertaking a parallel risk assessment of both the proposed landfill design mineral layer (e.g. Bentonite Enriched Sand) and the Landfill Directive standard mineral layer (i.e. 1m @ 10</w:t>
      </w:r>
      <w:r>
        <w:rPr>
          <w:vertAlign w:val="superscript"/>
        </w:rPr>
        <w:t>-9</w:t>
      </w:r>
      <w:r>
        <w:t xml:space="preserve"> m/s).</w:t>
      </w:r>
      <w:r w:rsidR="00DD664B">
        <w:t xml:space="preserve"> </w:t>
      </w:r>
      <w:r>
        <w:t>The environmental protection of the design mineral layer would require to be as good if not better than the Landfill Directive standards to be acceptable.</w:t>
      </w:r>
      <w:r w:rsidR="00DD664B">
        <w:t xml:space="preserve"> </w:t>
      </w:r>
      <w:r>
        <w:t xml:space="preserve">Since the design </w:t>
      </w:r>
      <w:r>
        <w:lastRenderedPageBreak/>
        <w:t xml:space="preserve">mineral layer is to be equivalent in term of hydraulic conductivity and thickness only then degradation and attenuation (i.e. cation exchange capacity) cannot be considered </w:t>
      </w:r>
      <w:proofErr w:type="gramStart"/>
      <w:r>
        <w:t>in order to</w:t>
      </w:r>
      <w:proofErr w:type="gramEnd"/>
      <w:r>
        <w:t xml:space="preserve"> establish equivalence. Equivalence must be established solely on the impacts of varying the thickness and hydraulic conductivity, with all other factors being equal and then comparing the environmental impacts. </w:t>
      </w:r>
    </w:p>
    <w:p w14:paraId="1BFE8F88" w14:textId="367621F8" w:rsidR="000942C3" w:rsidRDefault="000942C3" w:rsidP="00D96904">
      <w:pPr>
        <w:spacing w:after="240"/>
        <w:ind w:left="284" w:right="4"/>
      </w:pPr>
      <w:r>
        <w:rPr>
          <w:b/>
        </w:rPr>
        <w:t>Step 4.</w:t>
      </w:r>
      <w:r>
        <w:t xml:space="preserve"> A site may be found not to comply with the Groundwater Directive or the Water Framework Directive even if it does meet the thickness and permeability criteria mentioned in </w:t>
      </w:r>
      <w:r w:rsidR="009903E6">
        <w:t xml:space="preserve">Step </w:t>
      </w:r>
      <w:r>
        <w:t xml:space="preserve">3 above. </w:t>
      </w:r>
      <w:proofErr w:type="gramStart"/>
      <w:r>
        <w:t>Therefore</w:t>
      </w:r>
      <w:proofErr w:type="gramEnd"/>
      <w:r>
        <w:t xml:space="preserve"> once it has been established that a site meets the equivalence criteria the site must then undergo a hydrogeological risk assessment to establish if it meets the requirements of the Groundwater and Water Framework Directives. If the resulting concentrations of contaminants in the groundwater are above that which is permitted by the Groundwater Directive or receptors are at risk under the Water Framework Directive, then the site design should be altered so that the leachate collection and bottom sealing and geological barrier are designed to a higher specification. </w:t>
      </w:r>
    </w:p>
    <w:p w14:paraId="0FD510E0" w14:textId="247DA5ED" w:rsidR="000942C3" w:rsidRDefault="000942C3" w:rsidP="00D96904">
      <w:pPr>
        <w:spacing w:after="240"/>
        <w:ind w:left="284" w:right="4"/>
      </w:pPr>
      <w:r>
        <w:rPr>
          <w:b/>
        </w:rPr>
        <w:t>Step 5.</w:t>
      </w:r>
      <w:r>
        <w:t xml:space="preserve"> The final step is to check that the proposals are best practice. This involves consideration of many aspects including CQA, installation, operation etc. This is not discussed here and guidance on this aspect is given in other more detailed SEPA guidance on engineering of landfill liner and leachate collection systems.</w:t>
      </w:r>
      <w:r w:rsidR="00DD664B">
        <w:t xml:space="preserve"> </w:t>
      </w:r>
      <w:r>
        <w:t xml:space="preserve">Including: </w:t>
      </w:r>
    </w:p>
    <w:p w14:paraId="7BF52B40" w14:textId="2995D213" w:rsidR="000942C3" w:rsidRDefault="000942C3" w:rsidP="00D96904">
      <w:pPr>
        <w:numPr>
          <w:ilvl w:val="0"/>
          <w:numId w:val="21"/>
        </w:numPr>
        <w:spacing w:after="240"/>
        <w:ind w:left="1134" w:right="4" w:hanging="425"/>
      </w:pPr>
      <w:r>
        <w:t>Earthworks on landfill sites:</w:t>
      </w:r>
      <w:r w:rsidR="00DD664B">
        <w:t xml:space="preserve"> </w:t>
      </w:r>
      <w:r>
        <w:t xml:space="preserve">Guidance on the design, construction and quality assurance. </w:t>
      </w:r>
    </w:p>
    <w:p w14:paraId="07893A34" w14:textId="244B8FDC" w:rsidR="000942C3" w:rsidRDefault="000942C3" w:rsidP="00D96904">
      <w:pPr>
        <w:numPr>
          <w:ilvl w:val="0"/>
          <w:numId w:val="21"/>
        </w:numPr>
        <w:spacing w:after="240"/>
        <w:ind w:left="1134" w:right="4" w:hanging="425"/>
      </w:pPr>
      <w:r>
        <w:t>The use of nuclear density gauges for compliance testing of earthworks on landfill</w:t>
      </w:r>
      <w:r w:rsidR="00D96904">
        <w:t>.</w:t>
      </w:r>
    </w:p>
    <w:p w14:paraId="368A8B6C" w14:textId="3C48F1BA" w:rsidR="000942C3" w:rsidRDefault="000942C3" w:rsidP="00D96904">
      <w:pPr>
        <w:numPr>
          <w:ilvl w:val="0"/>
          <w:numId w:val="21"/>
        </w:numPr>
        <w:spacing w:after="240"/>
        <w:ind w:left="1134" w:right="4" w:hanging="425"/>
      </w:pPr>
      <w:r>
        <w:t>Guidance on the use of geomembranes in landfill engineering</w:t>
      </w:r>
      <w:r w:rsidR="00D96904">
        <w:t>.</w:t>
      </w:r>
    </w:p>
    <w:p w14:paraId="7C13805A" w14:textId="2D9EB913" w:rsidR="000942C3" w:rsidRDefault="000942C3" w:rsidP="00D96904">
      <w:pPr>
        <w:numPr>
          <w:ilvl w:val="0"/>
          <w:numId w:val="21"/>
        </w:numPr>
        <w:spacing w:after="240"/>
        <w:ind w:left="1134" w:right="4" w:hanging="425"/>
      </w:pPr>
      <w:r>
        <w:t>Guidance on the geophysical testing of geomembranes for landfill engineering</w:t>
      </w:r>
      <w:r w:rsidR="00D96904">
        <w:t>.</w:t>
      </w:r>
    </w:p>
    <w:p w14:paraId="132FFFE6" w14:textId="47CE601D" w:rsidR="000942C3" w:rsidRDefault="000942C3" w:rsidP="00D96904">
      <w:pPr>
        <w:numPr>
          <w:ilvl w:val="0"/>
          <w:numId w:val="21"/>
        </w:numPr>
        <w:spacing w:after="240"/>
        <w:ind w:left="1134" w:right="4" w:hanging="425"/>
      </w:pPr>
      <w:r>
        <w:t>Guidance on nonwoven protector geotextiles for landfill engineering</w:t>
      </w:r>
      <w:r w:rsidR="00D96904">
        <w:t>.</w:t>
      </w:r>
    </w:p>
    <w:p w14:paraId="3378D021" w14:textId="5CF76FCD" w:rsidR="000942C3" w:rsidRDefault="000942C3" w:rsidP="00D96904">
      <w:pPr>
        <w:numPr>
          <w:ilvl w:val="0"/>
          <w:numId w:val="21"/>
        </w:numPr>
        <w:spacing w:after="240"/>
        <w:ind w:left="1134" w:right="4" w:hanging="425"/>
      </w:pPr>
      <w:r>
        <w:t>Guidance on bentonite enriched soils for landfill engineering</w:t>
      </w:r>
      <w:r w:rsidR="00D96904">
        <w:t>.</w:t>
      </w:r>
    </w:p>
    <w:p w14:paraId="3CD556F5" w14:textId="72164E96" w:rsidR="000942C3" w:rsidRDefault="000942C3" w:rsidP="00D96904">
      <w:pPr>
        <w:numPr>
          <w:ilvl w:val="0"/>
          <w:numId w:val="21"/>
        </w:numPr>
        <w:spacing w:after="240"/>
        <w:ind w:left="1134" w:right="4" w:hanging="425"/>
      </w:pPr>
      <w:r>
        <w:t>Guidance on the use of geosynthetic clay liners in landfill engineering</w:t>
      </w:r>
      <w:r w:rsidR="00D96904">
        <w:t>.</w:t>
      </w:r>
    </w:p>
    <w:p w14:paraId="5F75CE18" w14:textId="77777777" w:rsidR="000942C3" w:rsidRDefault="000942C3" w:rsidP="00D96904">
      <w:pPr>
        <w:numPr>
          <w:ilvl w:val="0"/>
          <w:numId w:val="21"/>
        </w:numPr>
        <w:spacing w:after="240"/>
        <w:ind w:left="1134" w:right="4" w:hanging="425"/>
      </w:pPr>
      <w:r>
        <w:lastRenderedPageBreak/>
        <w:t xml:space="preserve">A methodology for cylinder testing of protectors for geomembranes: ‘a performance test to determine the protection afforded to a geomembrane by a geotextile or other protective materials, in specific site conditions.’ </w:t>
      </w:r>
    </w:p>
    <w:p w14:paraId="73A2188C" w14:textId="77777777" w:rsidR="007D217A" w:rsidRDefault="000942C3" w:rsidP="00D96904">
      <w:pPr>
        <w:numPr>
          <w:ilvl w:val="0"/>
          <w:numId w:val="21"/>
        </w:numPr>
        <w:spacing w:after="240"/>
        <w:ind w:left="1134" w:right="4" w:hanging="425"/>
      </w:pPr>
      <w:r>
        <w:t>Use of tyres for landfill leachate drainage works</w:t>
      </w:r>
      <w:r w:rsidR="00D96904">
        <w:t>.</w:t>
      </w:r>
    </w:p>
    <w:p w14:paraId="069573C4" w14:textId="26B7F69C" w:rsidR="004D275E" w:rsidRDefault="004D275E" w:rsidP="004D275E">
      <w:pPr>
        <w:spacing w:after="240"/>
        <w:ind w:right="45"/>
      </w:pPr>
      <w:r>
        <w:t xml:space="preserve">Please contact SEPA if you would like a visual representation of the risk assessment framework for a landfill.  </w:t>
      </w:r>
    </w:p>
    <w:p w14:paraId="4570476F" w14:textId="78DDE4DE" w:rsidR="000942C3" w:rsidRDefault="000942C3" w:rsidP="007D217A">
      <w:pPr>
        <w:spacing w:after="240"/>
        <w:ind w:left="709" w:right="4"/>
      </w:pPr>
      <w:r>
        <w:br w:type="page"/>
      </w:r>
    </w:p>
    <w:p w14:paraId="3A72AB81" w14:textId="323D4CFF" w:rsidR="000942C3" w:rsidRDefault="000942C3" w:rsidP="00D96904">
      <w:pPr>
        <w:pStyle w:val="Heading1"/>
        <w:spacing w:after="120"/>
        <w:ind w:left="346"/>
      </w:pPr>
      <w:bookmarkStart w:id="24" w:name="_Toc192672271"/>
      <w:bookmarkStart w:id="25" w:name="_Toc192672667"/>
      <w:bookmarkStart w:id="26" w:name="_Toc24192"/>
      <w:r>
        <w:lastRenderedPageBreak/>
        <w:t>Appendix A:</w:t>
      </w:r>
      <w:r w:rsidR="00DD664B">
        <w:t xml:space="preserve"> </w:t>
      </w:r>
      <w:r>
        <w:t>Modelling options</w:t>
      </w:r>
      <w:bookmarkEnd w:id="24"/>
      <w:bookmarkEnd w:id="25"/>
      <w:r>
        <w:t xml:space="preserve"> </w:t>
      </w:r>
      <w:bookmarkEnd w:id="26"/>
    </w:p>
    <w:p w14:paraId="5C2A35A6" w14:textId="77777777" w:rsidR="000942C3" w:rsidRDefault="000942C3" w:rsidP="000942C3">
      <w:pPr>
        <w:spacing w:line="259" w:lineRule="auto"/>
        <w:ind w:left="350"/>
      </w:pPr>
      <w:r>
        <w:rPr>
          <w:b/>
        </w:rPr>
        <w:t xml:space="preserve"> </w:t>
      </w:r>
    </w:p>
    <w:p w14:paraId="256AAC4D" w14:textId="17168FD9" w:rsidR="000942C3" w:rsidRDefault="000942C3" w:rsidP="00D96904">
      <w:pPr>
        <w:spacing w:after="240"/>
        <w:ind w:left="335" w:right="4"/>
      </w:pPr>
      <w:r>
        <w:t>The Landfill Directive requires that environmental protection is provided by the geological barrier and bottom liner during the operational/active phase and a geological barrier and top liner during the passive phase/post closure.</w:t>
      </w:r>
      <w:r w:rsidR="00DD664B">
        <w:t xml:space="preserve"> </w:t>
      </w:r>
      <w:r>
        <w:t xml:space="preserve">For the purposes of risk </w:t>
      </w:r>
      <w:proofErr w:type="gramStart"/>
      <w:r>
        <w:t>assessment</w:t>
      </w:r>
      <w:proofErr w:type="gramEnd"/>
      <w:r>
        <w:t xml:space="preserve"> the bottom liner can </w:t>
      </w:r>
      <w:proofErr w:type="gramStart"/>
      <w:r>
        <w:t>be considered to be</w:t>
      </w:r>
      <w:proofErr w:type="gramEnd"/>
      <w:r>
        <w:t xml:space="preserve"> the artificial sealing liner component of the leachate collection and sealing system.</w:t>
      </w:r>
      <w:r w:rsidR="00DD664B">
        <w:t xml:space="preserve"> </w:t>
      </w:r>
      <w:r>
        <w:t xml:space="preserve"> </w:t>
      </w:r>
    </w:p>
    <w:p w14:paraId="04F31D35" w14:textId="51AA1BEF" w:rsidR="000942C3" w:rsidRDefault="000942C3" w:rsidP="00D96904">
      <w:pPr>
        <w:spacing w:after="240"/>
        <w:ind w:left="335" w:right="4"/>
      </w:pPr>
      <w:r>
        <w:t>The Directive requires that in the passive phase soil, groundwater or surface water remain protected.</w:t>
      </w:r>
      <w:r w:rsidR="00DD664B">
        <w:t xml:space="preserve"> </w:t>
      </w:r>
      <w:r>
        <w:t>The protection is to be provided by the geological barrier and top liner (or capping system).</w:t>
      </w:r>
      <w:r w:rsidR="00DD664B">
        <w:t xml:space="preserve"> </w:t>
      </w:r>
      <w:r>
        <w:t>A risk assessment should therefore consider the various states of the landfill over the whole life of the site considering both the operational/active phases and the passive/post closure phases.</w:t>
      </w:r>
      <w:r w:rsidR="00DD664B">
        <w:t xml:space="preserve"> </w:t>
      </w:r>
      <w:r>
        <w:t>The risk assessment framework described in this guidance can be repeated for different scenarios to represent the whole life of the landfill site.</w:t>
      </w:r>
      <w:r w:rsidR="00DD664B">
        <w:t xml:space="preserve"> </w:t>
      </w:r>
      <w:r>
        <w:t xml:space="preserve">For </w:t>
      </w:r>
      <w:proofErr w:type="gramStart"/>
      <w:r>
        <w:t>example</w:t>
      </w:r>
      <w:proofErr w:type="gramEnd"/>
      <w:r>
        <w:t xml:space="preserve"> during the operational phase a geological barrier and leachate collection and sealing system should be modelled based on uncapped infiltration rates whilst for the post closure phase it could be assumed that the leachate collection and sealing system is not </w:t>
      </w:r>
      <w:proofErr w:type="gramStart"/>
      <w:r>
        <w:t>operational</w:t>
      </w:r>
      <w:proofErr w:type="gramEnd"/>
      <w:r>
        <w:t xml:space="preserve"> but leachate generation would be based on capped infiltration rates and old waste deposits. </w:t>
      </w:r>
    </w:p>
    <w:p w14:paraId="7DB42FAD" w14:textId="1170FF32" w:rsidR="000942C3" w:rsidRDefault="000942C3" w:rsidP="00D96904">
      <w:pPr>
        <w:spacing w:after="240"/>
        <w:ind w:left="335" w:right="4"/>
      </w:pPr>
      <w:r>
        <w:t>The risk assessment framework could also be used to assess environmental impacts from failure scenarios such as liner damage or failure of drainage system.</w:t>
      </w:r>
      <w:r w:rsidR="00DD664B">
        <w:t xml:space="preserve"> </w:t>
      </w:r>
      <w:r>
        <w:t xml:space="preserve"> </w:t>
      </w:r>
    </w:p>
    <w:p w14:paraId="0495ED3F" w14:textId="77777777" w:rsidR="000942C3" w:rsidRDefault="000942C3" w:rsidP="000942C3">
      <w:pPr>
        <w:spacing w:line="259" w:lineRule="auto"/>
        <w:ind w:left="350"/>
      </w:pPr>
      <w:r>
        <w:t xml:space="preserve"> </w:t>
      </w:r>
    </w:p>
    <w:p w14:paraId="06BB44DC" w14:textId="77777777" w:rsidR="000942C3" w:rsidRDefault="000942C3" w:rsidP="000942C3">
      <w:pPr>
        <w:spacing w:line="259" w:lineRule="auto"/>
        <w:ind w:left="350"/>
      </w:pPr>
      <w:r>
        <w:t xml:space="preserve"> </w:t>
      </w:r>
    </w:p>
    <w:p w14:paraId="594D5D86" w14:textId="77777777" w:rsidR="000942C3" w:rsidRDefault="000942C3" w:rsidP="000942C3">
      <w:pPr>
        <w:spacing w:line="259" w:lineRule="auto"/>
        <w:ind w:left="350"/>
      </w:pPr>
      <w:r>
        <w:t xml:space="preserve"> </w:t>
      </w:r>
      <w:r>
        <w:br w:type="page"/>
      </w:r>
    </w:p>
    <w:p w14:paraId="0809C0F7" w14:textId="51ECF008" w:rsidR="000942C3" w:rsidRDefault="000942C3" w:rsidP="00D96904">
      <w:pPr>
        <w:pStyle w:val="Heading1"/>
        <w:spacing w:after="120"/>
        <w:ind w:left="346"/>
      </w:pPr>
      <w:bookmarkStart w:id="27" w:name="_Toc192672272"/>
      <w:bookmarkStart w:id="28" w:name="_Toc192672668"/>
      <w:bookmarkStart w:id="29" w:name="_Toc24193"/>
      <w:r>
        <w:lastRenderedPageBreak/>
        <w:t>Appendix B:</w:t>
      </w:r>
      <w:r w:rsidR="00DD664B">
        <w:t xml:space="preserve"> </w:t>
      </w:r>
      <w:r>
        <w:t>Reinforcement and equivalency</w:t>
      </w:r>
      <w:bookmarkEnd w:id="27"/>
      <w:bookmarkEnd w:id="28"/>
      <w:r>
        <w:t xml:space="preserve"> </w:t>
      </w:r>
      <w:bookmarkEnd w:id="29"/>
    </w:p>
    <w:p w14:paraId="793C6AB1" w14:textId="77777777" w:rsidR="000942C3" w:rsidRDefault="000942C3" w:rsidP="000942C3">
      <w:pPr>
        <w:spacing w:line="259" w:lineRule="auto"/>
        <w:ind w:left="350"/>
      </w:pPr>
      <w:r>
        <w:t xml:space="preserve"> </w:t>
      </w:r>
    </w:p>
    <w:p w14:paraId="076685A6" w14:textId="49183797" w:rsidR="000942C3" w:rsidRDefault="000942C3" w:rsidP="00D96904">
      <w:pPr>
        <w:spacing w:after="240"/>
        <w:ind w:left="284"/>
      </w:pPr>
      <w:r>
        <w:t xml:space="preserve">Where a geological barrier is to be reinforced to give environmental protection equivalent to the </w:t>
      </w:r>
      <w:r w:rsidR="001623DD">
        <w:t>benchmark</w:t>
      </w:r>
      <w:r>
        <w:t xml:space="preserve"> standards stated in the Directive the ‘equivalency’ from an environmental perspective will have been established in accordance with section 6 of this guidance. Modelling programs such as </w:t>
      </w:r>
      <w:proofErr w:type="spellStart"/>
      <w:r>
        <w:t>LandSim</w:t>
      </w:r>
      <w:proofErr w:type="spellEnd"/>
      <w:r>
        <w:t xml:space="preserve"> may or may not have been used to establish an ‘equivalent’ environmental protection but this should not </w:t>
      </w:r>
      <w:proofErr w:type="gramStart"/>
      <w:r>
        <w:t>take into account</w:t>
      </w:r>
      <w:proofErr w:type="gramEnd"/>
      <w:r>
        <w:t xml:space="preserve"> factors such as attenuation. However, there are other considerations that must be assessed when considering equivalency that are not accounted for in a model such as </w:t>
      </w:r>
      <w:proofErr w:type="spellStart"/>
      <w:r w:rsidR="00044F00">
        <w:t>LandSim</w:t>
      </w:r>
      <w:proofErr w:type="spellEnd"/>
      <w:r>
        <w:t>.</w:t>
      </w:r>
      <w:r w:rsidR="00DD664B">
        <w:t xml:space="preserve"> </w:t>
      </w:r>
      <w:r>
        <w:t>This includes the physical robustness</w:t>
      </w:r>
      <w:r w:rsidR="00DD664B">
        <w:t xml:space="preserve"> </w:t>
      </w:r>
      <w:r>
        <w:t xml:space="preserve">of the mineral layer which must offer the same performance as the </w:t>
      </w:r>
      <w:r w:rsidR="001623DD">
        <w:t>benchmark</w:t>
      </w:r>
      <w:r>
        <w:t xml:space="preserve"> criteria in the Directive. </w:t>
      </w:r>
    </w:p>
    <w:p w14:paraId="457DE7E6" w14:textId="0CFCCABB" w:rsidR="000942C3" w:rsidRDefault="000942C3" w:rsidP="00D96904">
      <w:pPr>
        <w:spacing w:after="240"/>
        <w:ind w:left="284" w:right="4"/>
      </w:pPr>
      <w:r>
        <w:t>For example</w:t>
      </w:r>
      <w:r w:rsidR="00D96904">
        <w:t>,</w:t>
      </w:r>
      <w:r>
        <w:t xml:space="preserve"> a 1m layer of clay with a permeability of less than 1 x 10</w:t>
      </w:r>
      <w:r>
        <w:rPr>
          <w:vertAlign w:val="superscript"/>
        </w:rPr>
        <w:t>-9</w:t>
      </w:r>
      <w:r>
        <w:t xml:space="preserve"> m/s provides a degree of physical robustness in relation to penetration of objects.</w:t>
      </w:r>
      <w:r w:rsidR="00DD664B">
        <w:t xml:space="preserve"> </w:t>
      </w:r>
      <w:r>
        <w:t>Furthermore</w:t>
      </w:r>
      <w:r w:rsidR="00490D06">
        <w:t>,</w:t>
      </w:r>
      <w:r>
        <w:t xml:space="preserve"> when constructed under a CQA regime in multiple layers there is an inherent degree of redundancy (or safety) from areas that may be below standard when constructing a mineral barrier to a 1m thickness.</w:t>
      </w:r>
      <w:r w:rsidR="00DD664B">
        <w:t xml:space="preserve"> </w:t>
      </w:r>
      <w:r>
        <w:t xml:space="preserve">During construction the robustness of a 1m clay liner also increases confidence in its ultimate environmental performance as it is less susceptible to construction induced damage. </w:t>
      </w:r>
    </w:p>
    <w:p w14:paraId="5D5BDB81" w14:textId="246613D3" w:rsidR="000942C3" w:rsidRDefault="000942C3" w:rsidP="00D96904">
      <w:pPr>
        <w:spacing w:after="240"/>
        <w:ind w:left="284" w:right="4"/>
      </w:pPr>
      <w:r>
        <w:t>Each landfill will require to be considered on its own merits in this respect as the site setting, operational techniques and wastes will vary from one site to another.</w:t>
      </w:r>
      <w:r w:rsidR="00DD664B">
        <w:t xml:space="preserve"> </w:t>
      </w:r>
      <w:r>
        <w:t xml:space="preserve">To achieve </w:t>
      </w:r>
      <w:proofErr w:type="gramStart"/>
      <w:r>
        <w:t>equivalency</w:t>
      </w:r>
      <w:proofErr w:type="gramEnd"/>
      <w:r>
        <w:t xml:space="preserve"> it may be that the operational and construction techniques should be varied to reduce the risk of physical damage to an artificial liner.</w:t>
      </w:r>
      <w:r w:rsidR="00DD664B">
        <w:t xml:space="preserve"> </w:t>
      </w:r>
      <w:r>
        <w:t>This could include controlling waste types, deposition rates, compaction, post construction leak detection (resistivity) surveys etc.</w:t>
      </w:r>
    </w:p>
    <w:p w14:paraId="2800C4F9" w14:textId="28D6E38C" w:rsidR="000942C3" w:rsidRDefault="000942C3" w:rsidP="00D96904">
      <w:pPr>
        <w:spacing w:after="240"/>
        <w:ind w:left="284" w:right="4"/>
      </w:pPr>
      <w:r>
        <w:t>‘Piggybacking’ of liners over waste deposits can pose difficulties especially when considering the effects of settlement on a leachate collection and sealing system.</w:t>
      </w:r>
      <w:r w:rsidR="00DD664B">
        <w:t xml:space="preserve"> </w:t>
      </w:r>
      <w:r>
        <w:t xml:space="preserve">This method of containment for a landfill will be considered on a </w:t>
      </w:r>
      <w:r w:rsidR="001623DD">
        <w:t>site-specific</w:t>
      </w:r>
      <w:r>
        <w:t xml:space="preserve"> basis.</w:t>
      </w:r>
      <w:r w:rsidR="00DD664B">
        <w:t xml:space="preserve"> </w:t>
      </w:r>
      <w:r>
        <w:t>Depending on the age and depth of waste it may be possible for parts of landfills to be developed on a ‘piggyback’ basis.</w:t>
      </w:r>
      <w:r w:rsidR="00DD664B">
        <w:t xml:space="preserve"> </w:t>
      </w:r>
      <w:r>
        <w:t xml:space="preserve">Where a proposal is received to develop a site on a ‘piggyback’ basis Officers are asked to contact the Landfill Directive Implementation Team to assess the proposals against </w:t>
      </w:r>
      <w:r>
        <w:lastRenderedPageBreak/>
        <w:t>the requirements of the Landfill Directive.</w:t>
      </w:r>
      <w:r w:rsidR="00DD664B">
        <w:t xml:space="preserve"> </w:t>
      </w:r>
      <w:r>
        <w:t xml:space="preserve">It is considered that ‘piggybacking’ would only be acceptable at sites that pose a very low hazard to the environment. </w:t>
      </w:r>
    </w:p>
    <w:p w14:paraId="40914785" w14:textId="77777777" w:rsidR="000942C3" w:rsidRDefault="000942C3" w:rsidP="000942C3">
      <w:pPr>
        <w:spacing w:line="259" w:lineRule="auto"/>
        <w:ind w:left="350"/>
      </w:pPr>
      <w:r>
        <w:t xml:space="preserve"> </w:t>
      </w:r>
    </w:p>
    <w:p w14:paraId="06F821A0" w14:textId="77777777" w:rsidR="00926A1B" w:rsidRDefault="00926A1B" w:rsidP="000942C3">
      <w:pPr>
        <w:pStyle w:val="Heading1"/>
        <w:ind w:left="345"/>
      </w:pPr>
      <w:bookmarkStart w:id="30" w:name="_Toc24194"/>
      <w:r>
        <w:br w:type="page"/>
      </w:r>
    </w:p>
    <w:p w14:paraId="20718299" w14:textId="0E500E2E" w:rsidR="000942C3" w:rsidRDefault="000942C3" w:rsidP="00D96904">
      <w:pPr>
        <w:pStyle w:val="Heading1"/>
        <w:spacing w:after="120"/>
        <w:ind w:left="284"/>
      </w:pPr>
      <w:bookmarkStart w:id="31" w:name="_Toc192672273"/>
      <w:bookmarkStart w:id="32" w:name="_Toc192672669"/>
      <w:r>
        <w:lastRenderedPageBreak/>
        <w:t>Appendix C</w:t>
      </w:r>
      <w:r w:rsidR="00871608">
        <w:t>:</w:t>
      </w:r>
      <w:r w:rsidR="00DD664B">
        <w:t xml:space="preserve"> </w:t>
      </w:r>
      <w:r>
        <w:t>Determining permeability coefficient for mineral liners</w:t>
      </w:r>
      <w:bookmarkEnd w:id="31"/>
      <w:bookmarkEnd w:id="32"/>
      <w:r>
        <w:t xml:space="preserve"> </w:t>
      </w:r>
      <w:bookmarkEnd w:id="30"/>
    </w:p>
    <w:p w14:paraId="3DABF3C9" w14:textId="212A2DAD" w:rsidR="000942C3" w:rsidRDefault="00DD664B" w:rsidP="00D96904">
      <w:pPr>
        <w:spacing w:after="120" w:line="240" w:lineRule="auto"/>
        <w:ind w:left="350"/>
      </w:pPr>
      <w:r>
        <w:t xml:space="preserve"> </w:t>
      </w:r>
    </w:p>
    <w:p w14:paraId="08B43572" w14:textId="0A89EB98" w:rsidR="000942C3" w:rsidRDefault="000942C3" w:rsidP="00D96904">
      <w:pPr>
        <w:pStyle w:val="Heading2"/>
        <w:spacing w:after="120"/>
        <w:ind w:left="284"/>
      </w:pPr>
      <w:bookmarkStart w:id="33" w:name="_Toc192672274"/>
      <w:bookmarkStart w:id="34" w:name="_Toc192672670"/>
      <w:r>
        <w:t xml:space="preserve">Interim </w:t>
      </w:r>
      <w:r w:rsidR="00D96904">
        <w:t>G</w:t>
      </w:r>
      <w:r>
        <w:t xml:space="preserve">uidance on </w:t>
      </w:r>
      <w:r w:rsidR="00D96904">
        <w:t>the d</w:t>
      </w:r>
      <w:r>
        <w:t xml:space="preserve">etermination of the </w:t>
      </w:r>
      <w:r w:rsidR="00D96904">
        <w:t>p</w:t>
      </w:r>
      <w:r>
        <w:t xml:space="preserve">ermeability </w:t>
      </w:r>
      <w:r w:rsidR="00D96904">
        <w:t>c</w:t>
      </w:r>
      <w:r>
        <w:t xml:space="preserve">oefficient for </w:t>
      </w:r>
      <w:r w:rsidR="00D96904">
        <w:t>m</w:t>
      </w:r>
      <w:r>
        <w:t xml:space="preserve">ineral </w:t>
      </w:r>
      <w:r w:rsidR="00D96904">
        <w:t>l</w:t>
      </w:r>
      <w:r>
        <w:t>andfill liners and barriers.</w:t>
      </w:r>
      <w:bookmarkEnd w:id="33"/>
      <w:bookmarkEnd w:id="34"/>
      <w:r>
        <w:t xml:space="preserve"> </w:t>
      </w:r>
    </w:p>
    <w:p w14:paraId="04731E93" w14:textId="77777777" w:rsidR="000942C3" w:rsidRDefault="000942C3" w:rsidP="00D96904">
      <w:pPr>
        <w:spacing w:after="120" w:line="240" w:lineRule="auto"/>
        <w:ind w:left="350"/>
      </w:pPr>
      <w:r>
        <w:t xml:space="preserve"> </w:t>
      </w:r>
    </w:p>
    <w:p w14:paraId="4F689DCE" w14:textId="58BB450E" w:rsidR="000942C3" w:rsidRDefault="000942C3" w:rsidP="00490D06">
      <w:pPr>
        <w:pStyle w:val="Heading2"/>
      </w:pPr>
      <w:bookmarkStart w:id="35" w:name="_Toc192672275"/>
      <w:bookmarkStart w:id="36" w:name="_Toc192672671"/>
      <w:r>
        <w:t xml:space="preserve">C. 1 </w:t>
      </w:r>
      <w:r>
        <w:tab/>
        <w:t>Introduction</w:t>
      </w:r>
      <w:bookmarkEnd w:id="35"/>
      <w:bookmarkEnd w:id="36"/>
      <w:r>
        <w:t xml:space="preserve"> </w:t>
      </w:r>
    </w:p>
    <w:p w14:paraId="7B7ACEB6" w14:textId="77777777" w:rsidR="000942C3" w:rsidRDefault="000942C3" w:rsidP="000942C3">
      <w:pPr>
        <w:spacing w:line="259" w:lineRule="auto"/>
        <w:ind w:left="350"/>
      </w:pPr>
      <w:r>
        <w:t xml:space="preserve"> </w:t>
      </w:r>
    </w:p>
    <w:p w14:paraId="3F224FAE" w14:textId="32ED24F9" w:rsidR="000942C3" w:rsidRDefault="000942C3" w:rsidP="00D96904">
      <w:pPr>
        <w:spacing w:after="240"/>
        <w:ind w:right="4"/>
      </w:pPr>
      <w:r>
        <w:t xml:space="preserve">Paragraph 3.5 of Annex I of Council Directive 1999/31/EC on the landfill of wastes states: </w:t>
      </w:r>
    </w:p>
    <w:p w14:paraId="18EB6A25" w14:textId="0AF3F8E6" w:rsidR="000942C3" w:rsidRPr="00D96904" w:rsidRDefault="000942C3" w:rsidP="00D96904">
      <w:pPr>
        <w:spacing w:after="240"/>
        <w:ind w:left="720" w:right="4"/>
      </w:pPr>
      <w:r w:rsidRPr="00D96904">
        <w:t xml:space="preserve">‘The method to be used for the determination of the permeability coefficient for landfills, in the field and for the whole extension of the site, is to be developed and approved by the Committee set up under Article 17 of this </w:t>
      </w:r>
      <w:r w:rsidR="0075530E" w:rsidRPr="00D96904">
        <w:t>Directive’.</w:t>
      </w:r>
    </w:p>
    <w:p w14:paraId="1B281D05" w14:textId="749C524B" w:rsidR="000942C3" w:rsidRDefault="000942C3" w:rsidP="00D96904">
      <w:pPr>
        <w:spacing w:after="240"/>
        <w:ind w:right="-11"/>
        <w:jc w:val="both"/>
      </w:pPr>
      <w:r>
        <w:t>The following guidance has been produced to provide interim guidance to SEPA Officers on the method that is to be relied upon pending the issue of an agreed method from the Committee.</w:t>
      </w:r>
      <w:r w:rsidR="00DD664B">
        <w:t xml:space="preserve"> </w:t>
      </w:r>
      <w:r>
        <w:t xml:space="preserve">A standardised method is required due to the prescriptive permeability criteria stipulated in the Directive. </w:t>
      </w:r>
    </w:p>
    <w:p w14:paraId="00F1BB0D" w14:textId="27D8E1FC" w:rsidR="000942C3" w:rsidRDefault="000942C3" w:rsidP="00D96904">
      <w:pPr>
        <w:spacing w:after="240"/>
        <w:ind w:right="4"/>
      </w:pPr>
      <w:r>
        <w:t>The guidance is not a comprehensive review of permeability testing methods but is a statement of the interim method that is acceptable to SEPA.</w:t>
      </w:r>
    </w:p>
    <w:p w14:paraId="54A198F2" w14:textId="3290E952" w:rsidR="000942C3" w:rsidRPr="001E242F" w:rsidRDefault="000942C3" w:rsidP="00D96904">
      <w:pPr>
        <w:spacing w:after="240"/>
        <w:jc w:val="both"/>
        <w:rPr>
          <w:bCs/>
        </w:rPr>
      </w:pPr>
      <w:r w:rsidRPr="001E242F">
        <w:rPr>
          <w:bCs/>
        </w:rPr>
        <w:t>In summary the method for determining the permeability is to use laboratory measured values on samples obtained in the field set within a Construction Quality Control and Assurance framework that provides a high level of confidence that the laboratory values are representative of the field permeability for the whole extension of the landfill site.</w:t>
      </w:r>
      <w:r w:rsidR="00DD664B">
        <w:rPr>
          <w:bCs/>
        </w:rPr>
        <w:t xml:space="preserve"> </w:t>
      </w:r>
      <w:r w:rsidRPr="001E242F">
        <w:rPr>
          <w:bCs/>
        </w:rPr>
        <w:t xml:space="preserve">This process is well established in the UK and is currently the best current practice for determining permeability of mineral liners. </w:t>
      </w:r>
    </w:p>
    <w:p w14:paraId="567550BC" w14:textId="77777777" w:rsidR="000942C3" w:rsidRDefault="000942C3" w:rsidP="00D96904">
      <w:pPr>
        <w:spacing w:after="240"/>
        <w:ind w:left="350"/>
      </w:pPr>
      <w:r>
        <w:t xml:space="preserve"> </w:t>
      </w:r>
    </w:p>
    <w:p w14:paraId="54AE4195" w14:textId="77777777" w:rsidR="00276B55" w:rsidRDefault="00276B55" w:rsidP="001E242F">
      <w:pPr>
        <w:pStyle w:val="Heading2"/>
        <w:tabs>
          <w:tab w:val="center" w:pos="1648"/>
        </w:tabs>
        <w:ind w:firstLine="284"/>
      </w:pPr>
      <w:r>
        <w:br w:type="page"/>
      </w:r>
    </w:p>
    <w:p w14:paraId="6DA712E9" w14:textId="4D125E08" w:rsidR="000942C3" w:rsidRDefault="000942C3" w:rsidP="00D96904">
      <w:pPr>
        <w:pStyle w:val="Heading2"/>
        <w:tabs>
          <w:tab w:val="center" w:pos="1648"/>
        </w:tabs>
        <w:spacing w:after="120"/>
        <w:ind w:firstLine="284"/>
      </w:pPr>
      <w:bookmarkStart w:id="37" w:name="_Toc192672276"/>
      <w:bookmarkStart w:id="38" w:name="_Toc192672672"/>
      <w:r>
        <w:lastRenderedPageBreak/>
        <w:t xml:space="preserve">C. 2 </w:t>
      </w:r>
      <w:r>
        <w:tab/>
        <w:t>Scope of application</w:t>
      </w:r>
      <w:bookmarkEnd w:id="37"/>
      <w:bookmarkEnd w:id="38"/>
      <w:r>
        <w:t xml:space="preserve"> </w:t>
      </w:r>
    </w:p>
    <w:p w14:paraId="3D8D73F3" w14:textId="77777777" w:rsidR="000942C3" w:rsidRDefault="000942C3" w:rsidP="000942C3">
      <w:pPr>
        <w:spacing w:line="259" w:lineRule="auto"/>
        <w:ind w:left="350"/>
      </w:pPr>
      <w:r>
        <w:t xml:space="preserve"> </w:t>
      </w:r>
    </w:p>
    <w:p w14:paraId="58C6696F" w14:textId="278AA36E" w:rsidR="000942C3" w:rsidRDefault="000942C3" w:rsidP="00D96904">
      <w:pPr>
        <w:spacing w:after="240"/>
        <w:ind w:left="284" w:right="-11"/>
        <w:jc w:val="both"/>
      </w:pPr>
      <w:r>
        <w:t xml:space="preserve">The Directive requires that the method be developed to determine permeability in the field and for the whole extension of the site. There are, however, </w:t>
      </w:r>
      <w:proofErr w:type="gramStart"/>
      <w:r>
        <w:t>a number of</w:t>
      </w:r>
      <w:proofErr w:type="gramEnd"/>
      <w:r>
        <w:t xml:space="preserve"> components that require permeability determination for landfill sites including: </w:t>
      </w:r>
    </w:p>
    <w:p w14:paraId="4EC7B372" w14:textId="0DFB6190" w:rsidR="000942C3" w:rsidRDefault="009903E6" w:rsidP="00D96904">
      <w:pPr>
        <w:numPr>
          <w:ilvl w:val="0"/>
          <w:numId w:val="22"/>
        </w:numPr>
        <w:spacing w:after="240"/>
        <w:ind w:left="1134" w:right="4" w:hanging="425"/>
      </w:pPr>
      <w:r>
        <w:t>H</w:t>
      </w:r>
      <w:r w:rsidR="000942C3">
        <w:t>ydrogeological conditions at the site</w:t>
      </w:r>
      <w:r>
        <w:t>.</w:t>
      </w:r>
    </w:p>
    <w:p w14:paraId="5E3BFA5F" w14:textId="1F845C7C" w:rsidR="000942C3" w:rsidRDefault="009903E6" w:rsidP="00D96904">
      <w:pPr>
        <w:numPr>
          <w:ilvl w:val="0"/>
          <w:numId w:val="22"/>
        </w:numPr>
        <w:spacing w:after="240"/>
        <w:ind w:left="1134" w:right="4" w:hanging="425"/>
      </w:pPr>
      <w:r>
        <w:t>T</w:t>
      </w:r>
      <w:r w:rsidR="000942C3">
        <w:t>he geological barrier (natural condition or artificially completed condition)</w:t>
      </w:r>
      <w:r>
        <w:t>.</w:t>
      </w:r>
    </w:p>
    <w:p w14:paraId="3E01062C" w14:textId="352E888B" w:rsidR="000942C3" w:rsidRDefault="009903E6" w:rsidP="00D96904">
      <w:pPr>
        <w:numPr>
          <w:ilvl w:val="0"/>
          <w:numId w:val="22"/>
        </w:numPr>
        <w:spacing w:after="240"/>
        <w:ind w:left="1134" w:right="4" w:hanging="425"/>
      </w:pPr>
      <w:r>
        <w:t>M</w:t>
      </w:r>
      <w:r w:rsidR="000942C3">
        <w:t>ineral layers used on the bottom or surface of the landfill</w:t>
      </w:r>
      <w:r>
        <w:t>.</w:t>
      </w:r>
    </w:p>
    <w:p w14:paraId="4856A2E5" w14:textId="0723D50F" w:rsidR="000942C3" w:rsidRDefault="009903E6" w:rsidP="00D96904">
      <w:pPr>
        <w:numPr>
          <w:ilvl w:val="0"/>
          <w:numId w:val="22"/>
        </w:numPr>
        <w:spacing w:after="240"/>
        <w:ind w:left="1134" w:right="4" w:hanging="425"/>
      </w:pPr>
      <w:r>
        <w:t>D</w:t>
      </w:r>
      <w:r w:rsidR="000942C3">
        <w:t>rainage layers</w:t>
      </w:r>
      <w:r>
        <w:t>.</w:t>
      </w:r>
    </w:p>
    <w:p w14:paraId="1C8AC610" w14:textId="4CEE5A24" w:rsidR="000942C3" w:rsidRDefault="009903E6" w:rsidP="00D96904">
      <w:pPr>
        <w:numPr>
          <w:ilvl w:val="0"/>
          <w:numId w:val="22"/>
        </w:numPr>
        <w:spacing w:after="240"/>
        <w:ind w:left="1134" w:right="4" w:hanging="425"/>
      </w:pPr>
      <w:r>
        <w:t>W</w:t>
      </w:r>
      <w:r w:rsidR="000942C3">
        <w:t>aste mass (e.g. for retro-installation of leachate abstraction wells)</w:t>
      </w:r>
      <w:r>
        <w:t>.</w:t>
      </w:r>
    </w:p>
    <w:p w14:paraId="44FD2D17" w14:textId="4DBAC265" w:rsidR="000942C3" w:rsidRDefault="000942C3" w:rsidP="00D96904">
      <w:pPr>
        <w:spacing w:after="240"/>
        <w:ind w:left="284" w:right="-11"/>
        <w:jc w:val="both"/>
      </w:pPr>
      <w:r>
        <w:t>Permeability is determined for different reasons in each case and different techniques will be employed depending on site specific conditions.</w:t>
      </w:r>
      <w:r w:rsidR="00DD664B">
        <w:t xml:space="preserve"> </w:t>
      </w:r>
      <w:r>
        <w:t>Permeability determination must be carried out in each case in accordance with relevant CEN or British Standards specifically with reference to BS 5930 and BS 1377.</w:t>
      </w:r>
      <w:r w:rsidR="00DD664B">
        <w:t xml:space="preserve"> </w:t>
      </w:r>
      <w:r>
        <w:t xml:space="preserve"> </w:t>
      </w:r>
    </w:p>
    <w:p w14:paraId="0115DA30" w14:textId="48BEC89E" w:rsidR="000942C3" w:rsidRDefault="000942C3" w:rsidP="00D96904">
      <w:pPr>
        <w:spacing w:after="240"/>
        <w:ind w:right="-11"/>
        <w:jc w:val="both"/>
      </w:pPr>
      <w:r w:rsidRPr="009903E6">
        <w:t xml:space="preserve">This interim guidance covers only the permeability determination in relation to the prescribed values of permeability set in the Directive which apply to the mineral layer component of the geological barrier. </w:t>
      </w:r>
    </w:p>
    <w:p w14:paraId="3E601890" w14:textId="77777777" w:rsidR="000942C3" w:rsidRDefault="000942C3" w:rsidP="000942C3">
      <w:pPr>
        <w:spacing w:line="259" w:lineRule="auto"/>
        <w:ind w:left="351"/>
      </w:pPr>
      <w:r>
        <w:t xml:space="preserve"> </w:t>
      </w:r>
    </w:p>
    <w:p w14:paraId="079B1DD7" w14:textId="77777777" w:rsidR="000942C3" w:rsidRDefault="000942C3" w:rsidP="00D96904">
      <w:pPr>
        <w:pStyle w:val="Heading2"/>
        <w:tabs>
          <w:tab w:val="center" w:pos="1789"/>
        </w:tabs>
        <w:spacing w:after="120"/>
        <w:ind w:firstLine="284"/>
      </w:pPr>
      <w:bookmarkStart w:id="39" w:name="_Toc192672277"/>
      <w:bookmarkStart w:id="40" w:name="_Toc192672673"/>
      <w:r>
        <w:t xml:space="preserve">C. 3 </w:t>
      </w:r>
      <w:r>
        <w:tab/>
        <w:t>Permeability coefficient</w:t>
      </w:r>
      <w:bookmarkEnd w:id="39"/>
      <w:bookmarkEnd w:id="40"/>
      <w:r>
        <w:t xml:space="preserve"> </w:t>
      </w:r>
    </w:p>
    <w:p w14:paraId="64D471A8" w14:textId="77777777" w:rsidR="000942C3" w:rsidRDefault="000942C3" w:rsidP="00D96904">
      <w:pPr>
        <w:spacing w:after="240"/>
        <w:ind w:left="350"/>
      </w:pPr>
      <w:r>
        <w:t xml:space="preserve"> </w:t>
      </w:r>
    </w:p>
    <w:p w14:paraId="7226F520" w14:textId="4690CB50" w:rsidR="000942C3" w:rsidRDefault="000942C3" w:rsidP="00D96904">
      <w:pPr>
        <w:spacing w:after="240"/>
        <w:ind w:right="4"/>
      </w:pPr>
      <w:r>
        <w:t xml:space="preserve">The permeability of any mineral barrier is dependent on </w:t>
      </w:r>
      <w:proofErr w:type="gramStart"/>
      <w:r>
        <w:t>a number of</w:t>
      </w:r>
      <w:proofErr w:type="gramEnd"/>
      <w:r>
        <w:t xml:space="preserve"> variables including: </w:t>
      </w:r>
    </w:p>
    <w:p w14:paraId="5B96B29A" w14:textId="3DC737DF" w:rsidR="000942C3" w:rsidRDefault="000942C3" w:rsidP="00D96904">
      <w:pPr>
        <w:numPr>
          <w:ilvl w:val="0"/>
          <w:numId w:val="24"/>
        </w:numPr>
        <w:spacing w:after="240"/>
        <w:ind w:left="1134" w:right="4" w:hanging="425"/>
      </w:pPr>
      <w:r>
        <w:t>Particle size distribution</w:t>
      </w:r>
      <w:r w:rsidR="009903E6">
        <w:t>.</w:t>
      </w:r>
    </w:p>
    <w:p w14:paraId="3F4EA007" w14:textId="73DAA53D" w:rsidR="000942C3" w:rsidRDefault="000942C3" w:rsidP="00D96904">
      <w:pPr>
        <w:numPr>
          <w:ilvl w:val="0"/>
          <w:numId w:val="24"/>
        </w:numPr>
        <w:spacing w:after="240"/>
        <w:ind w:left="1134" w:right="4" w:hanging="425"/>
      </w:pPr>
      <w:r>
        <w:t>Particle shape and fabric of the soils</w:t>
      </w:r>
      <w:r w:rsidR="009903E6">
        <w:t>.</w:t>
      </w:r>
    </w:p>
    <w:p w14:paraId="465DFD77" w14:textId="392B4042" w:rsidR="000942C3" w:rsidRDefault="000942C3" w:rsidP="00D96904">
      <w:pPr>
        <w:numPr>
          <w:ilvl w:val="0"/>
          <w:numId w:val="24"/>
        </w:numPr>
        <w:spacing w:after="240"/>
        <w:ind w:left="1134" w:right="4" w:hanging="425"/>
      </w:pPr>
      <w:r>
        <w:t>Soil density (degree of compaction)</w:t>
      </w:r>
      <w:r w:rsidR="009903E6">
        <w:t>.</w:t>
      </w:r>
    </w:p>
    <w:p w14:paraId="1ED19EAA" w14:textId="016E77E7" w:rsidR="000942C3" w:rsidRDefault="000942C3" w:rsidP="00D96904">
      <w:pPr>
        <w:numPr>
          <w:ilvl w:val="0"/>
          <w:numId w:val="24"/>
        </w:numPr>
        <w:spacing w:after="240"/>
        <w:ind w:left="1134" w:right="4" w:hanging="425"/>
      </w:pPr>
      <w:r>
        <w:t>Soil structure (degree of consolidation)</w:t>
      </w:r>
      <w:r w:rsidR="009903E6">
        <w:t>.</w:t>
      </w:r>
    </w:p>
    <w:p w14:paraId="6AC0B0D4" w14:textId="152FFB2F" w:rsidR="000942C3" w:rsidRDefault="000942C3" w:rsidP="00D96904">
      <w:pPr>
        <w:numPr>
          <w:ilvl w:val="0"/>
          <w:numId w:val="24"/>
        </w:numPr>
        <w:spacing w:after="240"/>
        <w:ind w:left="1134" w:right="4" w:hanging="425"/>
      </w:pPr>
      <w:r>
        <w:lastRenderedPageBreak/>
        <w:t xml:space="preserve">Moisture </w:t>
      </w:r>
      <w:r w:rsidR="009903E6">
        <w:t>c</w:t>
      </w:r>
      <w:r>
        <w:t>ontent</w:t>
      </w:r>
      <w:r w:rsidR="009903E6">
        <w:t>.</w:t>
      </w:r>
    </w:p>
    <w:p w14:paraId="7D4CA362" w14:textId="6799FCBA" w:rsidR="000942C3" w:rsidRDefault="000942C3" w:rsidP="00D96904">
      <w:pPr>
        <w:numPr>
          <w:ilvl w:val="0"/>
          <w:numId w:val="24"/>
        </w:numPr>
        <w:spacing w:after="240"/>
        <w:ind w:left="1134" w:right="4" w:hanging="425"/>
      </w:pPr>
      <w:r>
        <w:t>Nature of the permeating fluid</w:t>
      </w:r>
      <w:r w:rsidR="009903E6">
        <w:t>.</w:t>
      </w:r>
    </w:p>
    <w:p w14:paraId="0024D5CD" w14:textId="326078B3" w:rsidR="000942C3" w:rsidRDefault="000942C3" w:rsidP="00D96904">
      <w:pPr>
        <w:numPr>
          <w:ilvl w:val="0"/>
          <w:numId w:val="24"/>
        </w:numPr>
        <w:spacing w:after="240"/>
        <w:ind w:left="1134" w:right="4" w:hanging="425"/>
      </w:pPr>
      <w:r>
        <w:t>Mineralogy</w:t>
      </w:r>
      <w:r w:rsidR="009903E6">
        <w:t>.</w:t>
      </w:r>
    </w:p>
    <w:p w14:paraId="2275F570" w14:textId="10A37C9D" w:rsidR="000942C3" w:rsidRDefault="000942C3" w:rsidP="00D96904">
      <w:pPr>
        <w:numPr>
          <w:ilvl w:val="0"/>
          <w:numId w:val="24"/>
        </w:numPr>
        <w:spacing w:after="240"/>
        <w:ind w:left="1134" w:right="4" w:hanging="425"/>
      </w:pPr>
      <w:r>
        <w:t xml:space="preserve">Variations in test type and procedure </w:t>
      </w:r>
    </w:p>
    <w:p w14:paraId="499A8D49" w14:textId="717E39AA" w:rsidR="000942C3" w:rsidRDefault="000942C3" w:rsidP="00D96904">
      <w:pPr>
        <w:spacing w:after="240"/>
        <w:ind w:left="284" w:right="4"/>
      </w:pPr>
      <w:r>
        <w:t xml:space="preserve">In addition to the above variables the permeability of a mineral barrier is also affected by scale and construction dependent effects including: </w:t>
      </w:r>
    </w:p>
    <w:p w14:paraId="492B00F6" w14:textId="42D42E6D" w:rsidR="000942C3" w:rsidRDefault="009903E6" w:rsidP="00D96904">
      <w:pPr>
        <w:numPr>
          <w:ilvl w:val="0"/>
          <w:numId w:val="24"/>
        </w:numPr>
        <w:spacing w:after="240"/>
        <w:ind w:left="1134" w:right="4" w:hanging="425"/>
      </w:pPr>
      <w:r>
        <w:t>D</w:t>
      </w:r>
      <w:r w:rsidR="000942C3">
        <w:t>iscontinuities in the barrier (natural condition or artificially completed condition)</w:t>
      </w:r>
      <w:r>
        <w:t>.</w:t>
      </w:r>
      <w:r w:rsidR="000942C3">
        <w:t xml:space="preserve"> </w:t>
      </w:r>
    </w:p>
    <w:p w14:paraId="11D0B63C" w14:textId="3CB26F2B" w:rsidR="000942C3" w:rsidRDefault="009903E6" w:rsidP="00D96904">
      <w:pPr>
        <w:numPr>
          <w:ilvl w:val="0"/>
          <w:numId w:val="24"/>
        </w:numPr>
        <w:spacing w:after="240"/>
        <w:ind w:left="1134" w:right="4" w:hanging="425"/>
      </w:pPr>
      <w:r>
        <w:t>C</w:t>
      </w:r>
      <w:r w:rsidR="000942C3">
        <w:t>onstruction defects</w:t>
      </w:r>
      <w:r>
        <w:t>.</w:t>
      </w:r>
    </w:p>
    <w:p w14:paraId="0EEBDF9C" w14:textId="245F8DFA" w:rsidR="000942C3" w:rsidRDefault="009903E6" w:rsidP="00D96904">
      <w:pPr>
        <w:numPr>
          <w:ilvl w:val="0"/>
          <w:numId w:val="24"/>
        </w:numPr>
        <w:spacing w:after="240"/>
        <w:ind w:left="1134" w:right="4" w:hanging="425"/>
      </w:pPr>
      <w:r>
        <w:t>E</w:t>
      </w:r>
      <w:r w:rsidR="000942C3">
        <w:t>ngineering failure of the barrier</w:t>
      </w:r>
      <w:r>
        <w:t>.</w:t>
      </w:r>
      <w:r w:rsidR="000942C3">
        <w:t xml:space="preserve"> </w:t>
      </w:r>
    </w:p>
    <w:p w14:paraId="09EE25EA" w14:textId="406C1594" w:rsidR="000942C3" w:rsidRDefault="009903E6" w:rsidP="00D96904">
      <w:pPr>
        <w:numPr>
          <w:ilvl w:val="0"/>
          <w:numId w:val="24"/>
        </w:numPr>
        <w:spacing w:after="240"/>
        <w:ind w:left="1134" w:right="4" w:hanging="425"/>
      </w:pPr>
      <w:r>
        <w:t>F</w:t>
      </w:r>
      <w:r w:rsidR="000942C3">
        <w:t>low between clay clods</w:t>
      </w:r>
      <w:r>
        <w:t>.</w:t>
      </w:r>
    </w:p>
    <w:p w14:paraId="4865442C" w14:textId="1313C4E2" w:rsidR="000942C3" w:rsidRDefault="009903E6" w:rsidP="00D96904">
      <w:pPr>
        <w:numPr>
          <w:ilvl w:val="0"/>
          <w:numId w:val="24"/>
        </w:numPr>
        <w:spacing w:after="240"/>
        <w:ind w:left="1134" w:right="4" w:hanging="425"/>
      </w:pPr>
      <w:r>
        <w:t>D</w:t>
      </w:r>
      <w:r w:rsidR="000942C3">
        <w:t>esiccation</w:t>
      </w:r>
      <w:r>
        <w:t>.</w:t>
      </w:r>
    </w:p>
    <w:p w14:paraId="6FF51749" w14:textId="346FF65C" w:rsidR="000942C3" w:rsidRDefault="000942C3" w:rsidP="00D96904">
      <w:pPr>
        <w:spacing w:after="240"/>
        <w:ind w:left="284" w:right="-11"/>
        <w:jc w:val="both"/>
      </w:pPr>
      <w:r>
        <w:t xml:space="preserve">For this </w:t>
      </w:r>
      <w:r w:rsidR="00D96904">
        <w:t>reason,</w:t>
      </w:r>
      <w:r>
        <w:t xml:space="preserve"> the field permeability of a mineral barrier for the whole extension of a landfill site will often be higher than that determined in the laboratory on a small sample of the mineral material.</w:t>
      </w:r>
      <w:r w:rsidR="00DD664B">
        <w:t xml:space="preserve"> </w:t>
      </w:r>
      <w:r>
        <w:t>This feature is well acknowledged within the landfill industry and the practice of relying on engineered barriers formed under construction quality control and assurance procedures is primarily aimed at controlling and reducing the effect of these scale and construction dependent effects.</w:t>
      </w:r>
      <w:r w:rsidR="00DD664B">
        <w:t xml:space="preserve"> </w:t>
      </w:r>
      <w:r>
        <w:t xml:space="preserve"> By minimising these effects confidence can be gained that the permeability values established from small samples tested in the laboratory approach the field permeability for the mineral </w:t>
      </w:r>
      <w:proofErr w:type="gramStart"/>
      <w:r>
        <w:t>barrier as a whole</w:t>
      </w:r>
      <w:proofErr w:type="gramEnd"/>
      <w:r>
        <w:t xml:space="preserve">. </w:t>
      </w:r>
    </w:p>
    <w:p w14:paraId="288B3A6A" w14:textId="77777777" w:rsidR="000942C3" w:rsidRDefault="000942C3" w:rsidP="000942C3">
      <w:pPr>
        <w:spacing w:line="259" w:lineRule="auto"/>
        <w:ind w:left="350"/>
      </w:pPr>
      <w:r>
        <w:t xml:space="preserve"> </w:t>
      </w:r>
    </w:p>
    <w:p w14:paraId="004CC7C2" w14:textId="77777777" w:rsidR="000942C3" w:rsidRDefault="000942C3" w:rsidP="00D96904">
      <w:pPr>
        <w:pStyle w:val="Heading2"/>
        <w:tabs>
          <w:tab w:val="center" w:pos="2556"/>
        </w:tabs>
        <w:spacing w:after="120"/>
        <w:ind w:firstLine="284"/>
      </w:pPr>
      <w:bookmarkStart w:id="41" w:name="_Toc192672278"/>
      <w:bookmarkStart w:id="42" w:name="_Toc192672674"/>
      <w:r>
        <w:t xml:space="preserve">C. 4 </w:t>
      </w:r>
      <w:r>
        <w:tab/>
        <w:t>Determining the Permeability coefficient</w:t>
      </w:r>
      <w:bookmarkEnd w:id="41"/>
      <w:bookmarkEnd w:id="42"/>
      <w:r>
        <w:t xml:space="preserve"> </w:t>
      </w:r>
    </w:p>
    <w:p w14:paraId="1C980963" w14:textId="77777777" w:rsidR="000942C3" w:rsidRDefault="000942C3" w:rsidP="000942C3">
      <w:pPr>
        <w:spacing w:line="259" w:lineRule="auto"/>
        <w:ind w:left="350"/>
      </w:pPr>
      <w:r>
        <w:t xml:space="preserve"> </w:t>
      </w:r>
    </w:p>
    <w:p w14:paraId="760247E1" w14:textId="080CA8A3" w:rsidR="000942C3" w:rsidRDefault="000942C3" w:rsidP="00D96904">
      <w:pPr>
        <w:spacing w:after="240"/>
        <w:ind w:left="284" w:right="-11"/>
        <w:jc w:val="both"/>
      </w:pPr>
      <w:r>
        <w:t>It is not practicable to directly measure the permeability of a mineral barrier for the whole of a landfill site.</w:t>
      </w:r>
      <w:r w:rsidR="00DD664B">
        <w:t xml:space="preserve"> </w:t>
      </w:r>
      <w:r>
        <w:t>However, the Directive calls not for a measurement technique but for a method of determining the permeability in the field and for the whole of the site.</w:t>
      </w:r>
      <w:r w:rsidR="00DD664B">
        <w:t xml:space="preserve"> </w:t>
      </w:r>
      <w:r>
        <w:t xml:space="preserve">The permeability in the field can be determined by monitoring and controlling all the variables identified above although </w:t>
      </w:r>
      <w:r>
        <w:lastRenderedPageBreak/>
        <w:t>a direct quantitative measurement of certain variables such as discontinuities or construction defects is not practicable.</w:t>
      </w:r>
      <w:r w:rsidR="00DD664B">
        <w:t xml:space="preserve"> </w:t>
      </w:r>
      <w:proofErr w:type="gramStart"/>
      <w:r>
        <w:t>However</w:t>
      </w:r>
      <w:proofErr w:type="gramEnd"/>
      <w:r>
        <w:t xml:space="preserve"> observation and control of these variables means they can be accounted for when making the determination.</w:t>
      </w:r>
      <w:r w:rsidR="00DD664B">
        <w:t xml:space="preserve"> </w:t>
      </w:r>
      <w:r>
        <w:t xml:space="preserve">This interim method comprises </w:t>
      </w:r>
      <w:proofErr w:type="gramStart"/>
      <w:r>
        <w:t>a number of</w:t>
      </w:r>
      <w:proofErr w:type="gramEnd"/>
      <w:r>
        <w:t xml:space="preserve"> elements, these </w:t>
      </w:r>
      <w:proofErr w:type="gramStart"/>
      <w:r>
        <w:t>being;</w:t>
      </w:r>
      <w:proofErr w:type="gramEnd"/>
      <w:r>
        <w:t xml:space="preserve"> </w:t>
      </w:r>
    </w:p>
    <w:p w14:paraId="508C730E" w14:textId="1CA6789C" w:rsidR="000942C3" w:rsidRDefault="009903E6" w:rsidP="00D96904">
      <w:pPr>
        <w:numPr>
          <w:ilvl w:val="0"/>
          <w:numId w:val="25"/>
        </w:numPr>
        <w:spacing w:after="240"/>
        <w:ind w:left="1134" w:right="4" w:hanging="425"/>
      </w:pPr>
      <w:r>
        <w:t>M</w:t>
      </w:r>
      <w:r w:rsidR="000942C3">
        <w:t>easurement of permeability in the lab of representative samples</w:t>
      </w:r>
      <w:r>
        <w:t>.</w:t>
      </w:r>
    </w:p>
    <w:p w14:paraId="3726C4B7" w14:textId="41D923CD" w:rsidR="000942C3" w:rsidRDefault="009903E6" w:rsidP="00D96904">
      <w:pPr>
        <w:numPr>
          <w:ilvl w:val="0"/>
          <w:numId w:val="25"/>
        </w:numPr>
        <w:spacing w:after="240"/>
        <w:ind w:left="1134" w:right="4" w:hanging="425"/>
      </w:pPr>
      <w:r>
        <w:t>O</w:t>
      </w:r>
      <w:r w:rsidR="000942C3">
        <w:t>bservation and control of barrier condition</w:t>
      </w:r>
      <w:r>
        <w:t>.</w:t>
      </w:r>
    </w:p>
    <w:p w14:paraId="1AEF1137" w14:textId="4B4FC45C" w:rsidR="000942C3" w:rsidRDefault="009903E6" w:rsidP="00D96904">
      <w:pPr>
        <w:numPr>
          <w:ilvl w:val="0"/>
          <w:numId w:val="25"/>
        </w:numPr>
        <w:spacing w:after="240"/>
        <w:ind w:left="1134" w:right="4" w:hanging="425"/>
      </w:pPr>
      <w:r>
        <w:t>A</w:t>
      </w:r>
      <w:r w:rsidR="000942C3">
        <w:t>ssessing and reporting on quantitative measurements and qualitative observations</w:t>
      </w:r>
      <w:r>
        <w:t>.</w:t>
      </w:r>
    </w:p>
    <w:p w14:paraId="62599952" w14:textId="718129DC" w:rsidR="000942C3" w:rsidRDefault="000942C3" w:rsidP="00D96904">
      <w:pPr>
        <w:spacing w:after="240"/>
        <w:ind w:left="284" w:right="-11"/>
        <w:jc w:val="both"/>
      </w:pPr>
      <w:r>
        <w:t>This process should be carried out as part of the construction quality control and assurance procedure and should be subject to certification from an independent third party.</w:t>
      </w:r>
      <w:r w:rsidR="00DD664B">
        <w:t xml:space="preserve"> </w:t>
      </w:r>
      <w:r>
        <w:t>For guidance on this process see SEPA guidance ‘Earthworks on Landfill Sites’. This method of determining permeability is in common with established UK industry practice which has developed in a direction to ensure, as best is practicable, that a uniform, homogeneous barrier is formed.</w:t>
      </w:r>
      <w:r w:rsidR="00DD664B">
        <w:t xml:space="preserve"> </w:t>
      </w:r>
      <w:r>
        <w:t xml:space="preserve">This process aims to ensure that a high degree of confidence is obtained that the permeability values are representative of the whole barrier system. </w:t>
      </w:r>
    </w:p>
    <w:p w14:paraId="3578D6A2" w14:textId="0F1AB214" w:rsidR="000942C3" w:rsidRDefault="000942C3" w:rsidP="00D96904">
      <w:pPr>
        <w:spacing w:after="240"/>
        <w:ind w:left="284" w:right="-11"/>
        <w:jc w:val="both"/>
      </w:pPr>
      <w:r>
        <w:t>In the laboratory, permeability should be measured in accordance with BS 1377 (1990), part 6, method 6.</w:t>
      </w:r>
      <w:r w:rsidR="00DD664B">
        <w:t xml:space="preserve"> </w:t>
      </w:r>
      <w:r>
        <w:t>The sample should be a representative undisturbed sample of minimum dimension 100mm diameter by 100mm height.</w:t>
      </w:r>
      <w:r w:rsidR="00DD664B">
        <w:t xml:space="preserve"> </w:t>
      </w:r>
      <w:r>
        <w:t>Effective stresses within the sample including those induced by hydraulic gradients and consolidation pressures must be representative of (and no greater than) the operational stresses to be experienced by the liner.</w:t>
      </w:r>
      <w:r w:rsidR="00DD664B">
        <w:t xml:space="preserve"> </w:t>
      </w:r>
      <w:r>
        <w:t>This can be determined from waste fill rates and the final depth and density of the waste to be landfilled.</w:t>
      </w:r>
      <w:r w:rsidR="00DD664B">
        <w:t xml:space="preserve"> </w:t>
      </w:r>
      <w:r>
        <w:t xml:space="preserve">For advice on this aspect Officers should contact the Landfill Directive Implementation Team. </w:t>
      </w:r>
    </w:p>
    <w:p w14:paraId="77CED5C5" w14:textId="37827EA1" w:rsidR="000942C3" w:rsidRDefault="000942C3" w:rsidP="00D96904">
      <w:pPr>
        <w:spacing w:after="240"/>
        <w:ind w:left="284" w:right="-11"/>
        <w:jc w:val="both"/>
      </w:pPr>
      <w:r>
        <w:t>There are in-situ techniques that can occasionally be used to estimate field permeabilities.</w:t>
      </w:r>
      <w:r w:rsidR="00DD664B">
        <w:t xml:space="preserve"> </w:t>
      </w:r>
      <w:r>
        <w:t>These include ring infiltrometers and flooded test pads.</w:t>
      </w:r>
      <w:r w:rsidR="00DD664B">
        <w:t xml:space="preserve"> </w:t>
      </w:r>
      <w:r>
        <w:t>However, these methods are primarily for use in research applications or on test pads of materials during design of a liner.</w:t>
      </w:r>
      <w:r w:rsidR="00DD664B">
        <w:t xml:space="preserve"> </w:t>
      </w:r>
      <w:r>
        <w:t xml:space="preserve">They are not suitable for use in routine testing of permeability during the construction phase of a barrier or liner. </w:t>
      </w:r>
    </w:p>
    <w:p w14:paraId="54EBED5D" w14:textId="77777777" w:rsidR="000942C3" w:rsidRDefault="000942C3" w:rsidP="000942C3">
      <w:pPr>
        <w:spacing w:line="259" w:lineRule="auto"/>
        <w:ind w:left="350"/>
      </w:pPr>
      <w:r>
        <w:t xml:space="preserve"> </w:t>
      </w:r>
    </w:p>
    <w:p w14:paraId="5D3C954D" w14:textId="77777777" w:rsidR="00443916" w:rsidRDefault="00443916" w:rsidP="001F291B">
      <w:pPr>
        <w:pStyle w:val="Heading2"/>
        <w:tabs>
          <w:tab w:val="center" w:pos="2575"/>
        </w:tabs>
        <w:ind w:firstLine="284"/>
      </w:pPr>
      <w:r>
        <w:br w:type="page"/>
      </w:r>
    </w:p>
    <w:p w14:paraId="79FDD9EE" w14:textId="084514D3" w:rsidR="000942C3" w:rsidRDefault="000942C3" w:rsidP="00D96904">
      <w:pPr>
        <w:pStyle w:val="Heading2"/>
        <w:tabs>
          <w:tab w:val="center" w:pos="2575"/>
        </w:tabs>
        <w:spacing w:after="120"/>
        <w:ind w:firstLine="284"/>
      </w:pPr>
      <w:bookmarkStart w:id="43" w:name="_Toc192672279"/>
      <w:bookmarkStart w:id="44" w:name="_Toc192672675"/>
      <w:r>
        <w:lastRenderedPageBreak/>
        <w:t xml:space="preserve">C. 5 </w:t>
      </w:r>
      <w:r>
        <w:tab/>
        <w:t>In-situ geological barriers - mineral layer</w:t>
      </w:r>
      <w:bookmarkEnd w:id="43"/>
      <w:bookmarkEnd w:id="44"/>
      <w:r>
        <w:t xml:space="preserve"> </w:t>
      </w:r>
    </w:p>
    <w:p w14:paraId="1A9E74CD" w14:textId="77777777" w:rsidR="000942C3" w:rsidRDefault="000942C3" w:rsidP="000942C3">
      <w:pPr>
        <w:spacing w:line="259" w:lineRule="auto"/>
        <w:ind w:left="350"/>
      </w:pPr>
      <w:r>
        <w:t xml:space="preserve"> </w:t>
      </w:r>
    </w:p>
    <w:p w14:paraId="5C8110F2" w14:textId="1D4BDA23" w:rsidR="000942C3" w:rsidRDefault="000942C3" w:rsidP="00D96904">
      <w:pPr>
        <w:spacing w:after="240"/>
        <w:ind w:left="284" w:right="-11"/>
        <w:jc w:val="both"/>
      </w:pPr>
      <w:r>
        <w:t>The Directive quotes a permeability and thickness criteria for the mineral component of the geological barrier.</w:t>
      </w:r>
      <w:r w:rsidR="00DD664B">
        <w:t xml:space="preserve"> </w:t>
      </w:r>
      <w:r>
        <w:t>There is no established method for determining in the field the permeability of a natural geological barrier for the whole of landfill sites.</w:t>
      </w:r>
      <w:r w:rsidR="00DD664B">
        <w:t xml:space="preserve"> </w:t>
      </w:r>
      <w:r>
        <w:t>The main issue is the potential presence for hidden natural variations or discontinuities in the barrier.</w:t>
      </w:r>
      <w:r w:rsidR="00DD664B">
        <w:t xml:space="preserve"> </w:t>
      </w:r>
      <w:r>
        <w:t>This potential for the presence of fractures (in rock) and lenses or layers of materials of a permeability higher than the main natural geological deposit means only a very low degree of confidence can be gained that samples taken from the barrier and tested in the laboratory are representative of the whole extension of the site.</w:t>
      </w:r>
      <w:r w:rsidR="00DD664B">
        <w:t xml:space="preserve"> </w:t>
      </w:r>
      <w:r>
        <w:t xml:space="preserve">For this </w:t>
      </w:r>
      <w:proofErr w:type="gramStart"/>
      <w:r>
        <w:t>reason</w:t>
      </w:r>
      <w:proofErr w:type="gramEnd"/>
      <w:r>
        <w:t xml:space="preserve"> UK standard practice for many years has been to excavate and re-engineer </w:t>
      </w:r>
      <w:proofErr w:type="spellStart"/>
      <w:r>
        <w:t>insitu</w:t>
      </w:r>
      <w:proofErr w:type="spellEnd"/>
      <w:r w:rsidR="00DA0F7B">
        <w:t xml:space="preserve"> </w:t>
      </w:r>
      <w:r>
        <w:t xml:space="preserve">barrier materials under a CQC/CQA regime to increase confidence in the permeability of the barrier and this is currently best practice. For geological deposits that are highly homogeneous and fully characterised it may be possible to be confident that the </w:t>
      </w:r>
      <w:proofErr w:type="spellStart"/>
      <w:r>
        <w:t>insitu</w:t>
      </w:r>
      <w:proofErr w:type="spellEnd"/>
      <w:r>
        <w:t xml:space="preserve"> permeability meets that of the Landfill Directive throughout a 1m depth.</w:t>
      </w:r>
      <w:r w:rsidR="00DD664B">
        <w:t xml:space="preserve"> </w:t>
      </w:r>
      <w:r>
        <w:t xml:space="preserve">Such deposits may be found on continental Europe and certain areas of England. In such areas depending on the homogeneity, permeability and thickness </w:t>
      </w:r>
      <w:proofErr w:type="spellStart"/>
      <w:r>
        <w:t>insitu</w:t>
      </w:r>
      <w:proofErr w:type="spellEnd"/>
      <w:r>
        <w:t xml:space="preserve"> mineral layers can occasionally be found to be acceptable on a </w:t>
      </w:r>
      <w:r w:rsidR="00C676A2">
        <w:t>site-specific</w:t>
      </w:r>
      <w:r>
        <w:t xml:space="preserve"> basis but in general reworking may be required.</w:t>
      </w:r>
      <w:r w:rsidR="00DD664B">
        <w:t xml:space="preserve">  </w:t>
      </w:r>
      <w:r>
        <w:t>However, the deposits typically found in Scotland are generally characterised by a degree of heterogeneity (sand layers, fissures, etc) and for this reason most clay liners are formed from re-worked materials under a CQA regime.</w:t>
      </w:r>
      <w:r w:rsidR="00DD664B">
        <w:t xml:space="preserve"> </w:t>
      </w:r>
      <w:r>
        <w:t xml:space="preserve"> </w:t>
      </w:r>
    </w:p>
    <w:p w14:paraId="26236EC2" w14:textId="544FEB91" w:rsidR="006E7474" w:rsidRPr="00E67C75" w:rsidRDefault="000942C3" w:rsidP="00D96904">
      <w:pPr>
        <w:spacing w:after="240"/>
        <w:ind w:left="284" w:right="-11"/>
        <w:jc w:val="both"/>
        <w:rPr>
          <w:color w:val="6E7571" w:themeColor="text2"/>
          <w:u w:val="single"/>
        </w:rPr>
      </w:pPr>
      <w:r>
        <w:t>Permeability values quoted for barriers which have not been applied in accordance with an engineered CQC/CQA regime will not be accepted by SEPA as being representative of the field permeability for the whole extension of the site.</w:t>
      </w:r>
      <w:r w:rsidR="00DD664B">
        <w:t xml:space="preserve"> </w:t>
      </w:r>
      <w:r>
        <w:t>In such an instance the permeability coefficient will therefore be deemed to have not been determined for the purposes of establishing regulatory compliance</w:t>
      </w:r>
      <w:r w:rsidR="00C676A2">
        <w:t>.</w:t>
      </w:r>
    </w:p>
    <w:p w14:paraId="385CC791" w14:textId="77777777" w:rsidR="006243FF" w:rsidRDefault="006243FF" w:rsidP="00290B1F">
      <w:pPr>
        <w:spacing w:line="240" w:lineRule="auto"/>
        <w:rPr>
          <w:color w:val="6E7571" w:themeColor="text2"/>
          <w:u w:val="single"/>
        </w:rPr>
      </w:pPr>
    </w:p>
    <w:p w14:paraId="57E03BAD" w14:textId="77777777" w:rsidR="00A01E3E" w:rsidRDefault="00A01E3E" w:rsidP="00290B1F">
      <w:pPr>
        <w:spacing w:line="240" w:lineRule="auto"/>
        <w:rPr>
          <w:color w:val="6E7571" w:themeColor="text2"/>
          <w:u w:val="single"/>
        </w:rPr>
      </w:pPr>
    </w:p>
    <w:p w14:paraId="3FA8D6B9" w14:textId="77777777" w:rsidR="00A01E3E" w:rsidRDefault="00A01E3E" w:rsidP="00290B1F">
      <w:pPr>
        <w:spacing w:line="240" w:lineRule="auto"/>
        <w:rPr>
          <w:color w:val="6E7571" w:themeColor="text2"/>
          <w:u w:val="single"/>
        </w:rPr>
      </w:pPr>
    </w:p>
    <w:p w14:paraId="488B3DC9" w14:textId="77777777" w:rsidR="00A01E3E" w:rsidRDefault="00A01E3E" w:rsidP="00290B1F">
      <w:pPr>
        <w:spacing w:line="240" w:lineRule="auto"/>
        <w:rPr>
          <w:color w:val="6E7571" w:themeColor="text2"/>
          <w:u w:val="single"/>
        </w:rPr>
      </w:pPr>
    </w:p>
    <w:p w14:paraId="1C74C370" w14:textId="77777777" w:rsidR="00A01E3E" w:rsidRDefault="00A01E3E" w:rsidP="00290B1F">
      <w:pPr>
        <w:spacing w:line="240" w:lineRule="auto"/>
        <w:rPr>
          <w:color w:val="6E7571" w:themeColor="text2"/>
          <w:u w:val="single"/>
        </w:rPr>
      </w:pPr>
    </w:p>
    <w:p w14:paraId="5D81E7AE" w14:textId="77777777" w:rsidR="00A01E3E" w:rsidRDefault="00A01E3E" w:rsidP="00290B1F">
      <w:pPr>
        <w:spacing w:line="240" w:lineRule="auto"/>
        <w:rPr>
          <w:color w:val="6E7571" w:themeColor="text2"/>
          <w:u w:val="single"/>
        </w:rPr>
      </w:pPr>
    </w:p>
    <w:p w14:paraId="6B82958A" w14:textId="77777777" w:rsidR="00A01E3E" w:rsidRDefault="00A01E3E" w:rsidP="00290B1F">
      <w:pPr>
        <w:spacing w:line="240" w:lineRule="auto"/>
        <w:rPr>
          <w:color w:val="6E7571" w:themeColor="text2"/>
          <w:u w:val="single"/>
        </w:rPr>
      </w:pPr>
    </w:p>
    <w:p w14:paraId="6EA436BF" w14:textId="77777777" w:rsidR="00A01E3E" w:rsidRDefault="00A01E3E" w:rsidP="00290B1F">
      <w:pPr>
        <w:spacing w:line="240" w:lineRule="auto"/>
        <w:rPr>
          <w:color w:val="6E7571" w:themeColor="text2"/>
          <w:u w:val="single"/>
        </w:rPr>
      </w:pPr>
    </w:p>
    <w:p w14:paraId="0C693304" w14:textId="77777777" w:rsidR="00A01E3E" w:rsidRDefault="00A01E3E" w:rsidP="00290B1F">
      <w:pPr>
        <w:spacing w:line="240" w:lineRule="auto"/>
        <w:rPr>
          <w:color w:val="6E7571" w:themeColor="text2"/>
          <w:u w:val="single"/>
        </w:rPr>
      </w:pPr>
    </w:p>
    <w:p w14:paraId="7A7DEECA" w14:textId="77777777" w:rsidR="004851F8" w:rsidRPr="004851F8" w:rsidRDefault="004851F8" w:rsidP="004851F8">
      <w:pPr>
        <w:rPr>
          <w:rFonts w:ascii="Arial" w:hAnsi="Arial" w:cs="Arial"/>
          <w:sz w:val="20"/>
          <w:szCs w:val="20"/>
        </w:rPr>
      </w:pPr>
      <w:bookmarkStart w:id="45" w:name="_Toc184981253"/>
      <w:r w:rsidRPr="004851F8">
        <w:rPr>
          <w:rFonts w:ascii="Arial" w:hAnsi="Arial" w:cs="Arial"/>
          <w:b/>
          <w:bCs/>
        </w:rPr>
        <w:lastRenderedPageBreak/>
        <w:t>This guidance has been updated to meet accessibility standards and to replace certain references to legislation with references to the Environmental Authorisations (Scotland) Regulations 2018. It has not been reviewed beyond this. We are aware that sections of this guidance may need to be updated, and this work will be completed in due course.</w:t>
      </w:r>
    </w:p>
    <w:p w14:paraId="30279B4F" w14:textId="77777777" w:rsidR="004851F8" w:rsidRDefault="004851F8" w:rsidP="00D96904">
      <w:pPr>
        <w:pStyle w:val="Heading2"/>
        <w:spacing w:after="120"/>
      </w:pPr>
    </w:p>
    <w:p w14:paraId="2352D095" w14:textId="03D57CF6" w:rsidR="00A01E3E" w:rsidRPr="000961F3" w:rsidRDefault="00A01E3E" w:rsidP="00D96904">
      <w:pPr>
        <w:pStyle w:val="Heading2"/>
        <w:spacing w:after="120"/>
      </w:pPr>
      <w:r w:rsidRPr="00D96904">
        <w:t>Disclaimer</w:t>
      </w:r>
      <w:bookmarkEnd w:id="45"/>
    </w:p>
    <w:p w14:paraId="3B18AF22" w14:textId="77777777" w:rsidR="00A01E3E" w:rsidRPr="000961F3" w:rsidRDefault="00A01E3E" w:rsidP="00D96904">
      <w:pPr>
        <w:spacing w:after="240"/>
        <w:rPr>
          <w:rFonts w:ascii="Arial" w:hAnsi="Arial" w:cs="Arial"/>
        </w:rPr>
      </w:pPr>
      <w:r w:rsidRPr="000961F3">
        <w:rPr>
          <w:rFonts w:ascii="Arial" w:hAnsi="Arial" w:cs="Arial"/>
        </w:rPr>
        <w:t>This guidance is based on the law as it stood when the guidance was published.</w:t>
      </w:r>
    </w:p>
    <w:p w14:paraId="3D037E5F" w14:textId="77777777" w:rsidR="00A01E3E" w:rsidRPr="000961F3" w:rsidRDefault="00A01E3E" w:rsidP="00D96904">
      <w:pPr>
        <w:spacing w:after="240"/>
        <w:rPr>
          <w:rFonts w:ascii="Arial" w:hAnsi="Arial" w:cs="Arial"/>
        </w:rPr>
      </w:pPr>
      <w:r w:rsidRPr="000961F3">
        <w:rPr>
          <w:rFonts w:ascii="Arial" w:hAnsi="Arial" w:cs="Arial"/>
        </w:rPr>
        <w:t>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w:t>
      </w:r>
    </w:p>
    <w:p w14:paraId="4A13E63E" w14:textId="77777777" w:rsidR="00A01E3E" w:rsidRPr="000961F3" w:rsidRDefault="00A01E3E" w:rsidP="00D96904">
      <w:pPr>
        <w:numPr>
          <w:ilvl w:val="0"/>
          <w:numId w:val="34"/>
        </w:numPr>
        <w:spacing w:after="240"/>
        <w:rPr>
          <w:rFonts w:ascii="Arial" w:hAnsi="Arial" w:cs="Arial"/>
        </w:rPr>
      </w:pPr>
      <w:r w:rsidRPr="000961F3">
        <w:rPr>
          <w:rFonts w:ascii="Arial" w:hAnsi="Arial" w:cs="Arial"/>
        </w:rPr>
        <w:t>any direct, indirect and consequential losses</w:t>
      </w:r>
    </w:p>
    <w:p w14:paraId="7874A94B" w14:textId="77777777" w:rsidR="00A01E3E" w:rsidRPr="000961F3" w:rsidRDefault="00A01E3E" w:rsidP="00D96904">
      <w:pPr>
        <w:numPr>
          <w:ilvl w:val="0"/>
          <w:numId w:val="34"/>
        </w:numPr>
        <w:spacing w:after="240"/>
        <w:rPr>
          <w:rFonts w:ascii="Arial" w:hAnsi="Arial" w:cs="Arial"/>
        </w:rPr>
      </w:pPr>
      <w:r w:rsidRPr="000961F3">
        <w:rPr>
          <w:rFonts w:ascii="Arial" w:hAnsi="Arial" w:cs="Arial"/>
        </w:rPr>
        <w:t>any loss or damage caused by civil wrongs, breach of contract or otherwise.</w:t>
      </w:r>
    </w:p>
    <w:p w14:paraId="2E8F9B1B" w14:textId="77777777" w:rsidR="00A01E3E" w:rsidRPr="000961F3" w:rsidRDefault="00A01E3E" w:rsidP="00D96904">
      <w:pPr>
        <w:spacing w:after="240"/>
        <w:rPr>
          <w:rFonts w:ascii="Arial" w:hAnsi="Arial" w:cs="Arial"/>
        </w:rPr>
      </w:pPr>
      <w:r w:rsidRPr="000961F3">
        <w:rPr>
          <w:rFonts w:ascii="Arial" w:hAnsi="Arial" w:cs="Arial"/>
        </w:rPr>
        <w:t>SEPA reserves the right to depart from this guidance and take appropriate action as it considers necessary or appropriate. Operators are responsible for ensuring that they are compliant with the law. If necessary, independent legal / specialist advice should be sought.</w:t>
      </w:r>
    </w:p>
    <w:p w14:paraId="2BA80F45" w14:textId="77777777" w:rsidR="00A01E3E" w:rsidRDefault="00A01E3E" w:rsidP="00290B1F">
      <w:pPr>
        <w:spacing w:line="240" w:lineRule="auto"/>
        <w:rPr>
          <w:color w:val="6E7571" w:themeColor="text2"/>
          <w:u w:val="single"/>
        </w:rPr>
      </w:pPr>
    </w:p>
    <w:p w14:paraId="1EBAC13B" w14:textId="77777777" w:rsidR="00EE795A" w:rsidRPr="00E67C75" w:rsidRDefault="00EE795A" w:rsidP="00290B1F">
      <w:pPr>
        <w:spacing w:line="240" w:lineRule="auto"/>
        <w:rPr>
          <w:color w:val="6E7571" w:themeColor="text2"/>
          <w:u w:val="single"/>
        </w:rPr>
      </w:pPr>
    </w:p>
    <w:sectPr w:rsidR="00EE795A" w:rsidRPr="00E67C75" w:rsidSect="005E5007">
      <w:headerReference w:type="even" r:id="rId16"/>
      <w:headerReference w:type="default" r:id="rId17"/>
      <w:footerReference w:type="even" r:id="rId18"/>
      <w:footerReference w:type="default" r:id="rId19"/>
      <w:headerReference w:type="first" r:id="rId20"/>
      <w:footerReference w:type="first" r:id="rId21"/>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84216" w14:textId="77777777" w:rsidR="004A7500" w:rsidRDefault="004A7500" w:rsidP="00660C79">
      <w:pPr>
        <w:spacing w:line="240" w:lineRule="auto"/>
      </w:pPr>
      <w:r>
        <w:separator/>
      </w:r>
    </w:p>
  </w:endnote>
  <w:endnote w:type="continuationSeparator" w:id="0">
    <w:p w14:paraId="36187012" w14:textId="77777777" w:rsidR="004A7500" w:rsidRDefault="004A7500" w:rsidP="00660C79">
      <w:pPr>
        <w:spacing w:line="240" w:lineRule="auto"/>
      </w:pPr>
      <w:r>
        <w:continuationSeparator/>
      </w:r>
    </w:p>
  </w:endnote>
  <w:endnote w:type="continuationNotice" w:id="1">
    <w:p w14:paraId="532F8973" w14:textId="77777777" w:rsidR="004A7500" w:rsidRDefault="004A75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2CD86" w14:textId="77777777" w:rsidR="00EC6A73" w:rsidRDefault="00242D07" w:rsidP="003B26B7">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5A3C061E" wp14:editId="4BC395CC">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D2515"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3C061E"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B7D2515"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64C33AA2" w14:textId="77777777" w:rsidR="00EC6A73" w:rsidRDefault="00EC6A73" w:rsidP="003B26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30AD5875"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2740CC"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6741" w14:textId="77777777" w:rsidR="00EC6A73" w:rsidRDefault="00242D07" w:rsidP="00917BB1">
    <w:pPr>
      <w:pStyle w:val="Footer"/>
      <w:ind w:right="360"/>
    </w:pPr>
    <w:r>
      <w:rPr>
        <w:noProof/>
      </w:rPr>
      <mc:AlternateContent>
        <mc:Choice Requires="wps">
          <w:drawing>
            <wp:anchor distT="0" distB="0" distL="0" distR="0" simplePos="0" relativeHeight="251658247" behindDoc="0" locked="0" layoutInCell="1" allowOverlap="1" wp14:anchorId="29569857" wp14:editId="7A1F044A">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E856EE"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569857"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4E856EE"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p w14:paraId="6067EA2D"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2F47E0D" wp14:editId="4894733E">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181B6E"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0D8F97B8"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BC1960" w14:textId="77777777" w:rsidR="00917BB1" w:rsidRDefault="00917BB1" w:rsidP="00917BB1">
    <w:pPr>
      <w:pStyle w:val="Footer"/>
      <w:ind w:right="360"/>
    </w:pPr>
    <w:r>
      <w:rPr>
        <w:noProof/>
      </w:rPr>
      <w:drawing>
        <wp:inline distT="0" distB="0" distL="0" distR="0" wp14:anchorId="0215E60C" wp14:editId="1D2709A4">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A5389" w14:textId="77777777" w:rsidR="00242D07" w:rsidRDefault="00242D07">
    <w:pPr>
      <w:pStyle w:val="Footer"/>
    </w:pPr>
    <w:r>
      <w:rPr>
        <w:noProof/>
      </w:rPr>
      <mc:AlternateContent>
        <mc:Choice Requires="wps">
          <w:drawing>
            <wp:anchor distT="0" distB="0" distL="0" distR="0" simplePos="0" relativeHeight="251658245" behindDoc="0" locked="0" layoutInCell="1" allowOverlap="1" wp14:anchorId="24E29DB9" wp14:editId="24C99441">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330283"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E29DB9"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8330283"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DA46E" w14:textId="77777777" w:rsidR="004A7500" w:rsidRDefault="004A7500" w:rsidP="00660C79">
      <w:pPr>
        <w:spacing w:line="240" w:lineRule="auto"/>
      </w:pPr>
      <w:r>
        <w:separator/>
      </w:r>
    </w:p>
  </w:footnote>
  <w:footnote w:type="continuationSeparator" w:id="0">
    <w:p w14:paraId="4466831E" w14:textId="77777777" w:rsidR="004A7500" w:rsidRDefault="004A7500" w:rsidP="00660C79">
      <w:pPr>
        <w:spacing w:line="240" w:lineRule="auto"/>
      </w:pPr>
      <w:r>
        <w:continuationSeparator/>
      </w:r>
    </w:p>
  </w:footnote>
  <w:footnote w:type="continuationNotice" w:id="1">
    <w:p w14:paraId="23B71777" w14:textId="77777777" w:rsidR="004A7500" w:rsidRDefault="004A750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622DD" w14:textId="77777777" w:rsidR="00242D07" w:rsidRDefault="00242D07">
    <w:pPr>
      <w:pStyle w:val="Header"/>
    </w:pPr>
    <w:r>
      <w:rPr>
        <w:noProof/>
      </w:rPr>
      <mc:AlternateContent>
        <mc:Choice Requires="wps">
          <w:drawing>
            <wp:anchor distT="0" distB="0" distL="0" distR="0" simplePos="0" relativeHeight="251658243" behindDoc="0" locked="0" layoutInCell="1" allowOverlap="1" wp14:anchorId="5470072C" wp14:editId="68D012A0">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EEACFE"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70072C"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AEEACFE"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016E9" w14:textId="37B0A2A3" w:rsidR="006A2405" w:rsidRPr="008C551F" w:rsidRDefault="00242D07" w:rsidP="006A2405">
    <w:pPr>
      <w:spacing w:after="160" w:line="259" w:lineRule="auto"/>
      <w:rPr>
        <w:sz w:val="20"/>
        <w:szCs w:val="20"/>
      </w:rPr>
    </w:pPr>
    <w:r>
      <w:rPr>
        <w:noProof/>
        <w:color w:val="6E7571" w:themeColor="text2"/>
      </w:rPr>
      <mc:AlternateContent>
        <mc:Choice Requires="wps">
          <w:drawing>
            <wp:anchor distT="0" distB="0" distL="0" distR="0" simplePos="0" relativeHeight="251658244" behindDoc="0" locked="0" layoutInCell="1" allowOverlap="1" wp14:anchorId="116776B2" wp14:editId="494133B9">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B78746"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6776B2" id="_x0000_t202" coordsize="21600,21600" o:spt="202" path="m,l,21600r21600,l21600,xe">
              <v:stroke joinstyle="miter"/>
              <v:path gradientshapeok="t" o:connecttype="rect"/>
            </v:shapetype>
            <v:shape id="Text Box 8" o:spid="_x0000_s1028"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0B78746"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r w:rsidR="006A2405" w:rsidRPr="006A2405">
      <w:t xml:space="preserve"> </w:t>
    </w:r>
    <w:r w:rsidR="006A2405">
      <w:tab/>
    </w:r>
    <w:r w:rsidR="006A2405">
      <w:tab/>
    </w:r>
    <w:r w:rsidR="006A2405">
      <w:tab/>
    </w:r>
    <w:r w:rsidR="006A2405">
      <w:tab/>
    </w:r>
    <w:r w:rsidR="006A2405">
      <w:tab/>
    </w:r>
    <w:r w:rsidR="006A2405">
      <w:tab/>
    </w:r>
    <w:r w:rsidR="00DD664B">
      <w:t xml:space="preserve">           </w:t>
    </w:r>
    <w:r w:rsidR="008C551F">
      <w:t xml:space="preserve"> </w:t>
    </w:r>
    <w:r w:rsidR="006A2405" w:rsidRPr="008C551F">
      <w:rPr>
        <w:sz w:val="20"/>
        <w:szCs w:val="20"/>
      </w:rPr>
      <w:t xml:space="preserve">Framework for Risk Assessment for Landfill Sites </w:t>
    </w:r>
  </w:p>
  <w:p w14:paraId="0E183D66"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656A2EB9" wp14:editId="358F6C57">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9B9275"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A67D9" w14:textId="77777777" w:rsidR="00242D07" w:rsidRDefault="00242D07">
    <w:pPr>
      <w:pStyle w:val="Header"/>
    </w:pPr>
    <w:r>
      <w:rPr>
        <w:noProof/>
      </w:rPr>
      <mc:AlternateContent>
        <mc:Choice Requires="wps">
          <w:drawing>
            <wp:anchor distT="0" distB="0" distL="0" distR="0" simplePos="0" relativeHeight="251658242" behindDoc="0" locked="0" layoutInCell="1" allowOverlap="1" wp14:anchorId="7DA9A3A8" wp14:editId="6FF85505">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A487E1"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A9A3A8"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9A487E1"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448A4"/>
    <w:multiLevelType w:val="hybridMultilevel"/>
    <w:tmpl w:val="F1503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6852AD"/>
    <w:multiLevelType w:val="multilevel"/>
    <w:tmpl w:val="FE6C392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1B5376"/>
    <w:multiLevelType w:val="hybridMultilevel"/>
    <w:tmpl w:val="26CA6E5A"/>
    <w:lvl w:ilvl="0" w:tplc="EDBE3882">
      <w:start w:val="1"/>
      <w:numFmt w:val="bullet"/>
      <w:lvlText w:val="•"/>
      <w:lvlJc w:val="left"/>
      <w:pPr>
        <w:ind w:left="17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D30E728">
      <w:start w:val="1"/>
      <w:numFmt w:val="bullet"/>
      <w:lvlText w:val="o"/>
      <w:lvlJc w:val="left"/>
      <w:pPr>
        <w:ind w:left="247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934442EA">
      <w:start w:val="1"/>
      <w:numFmt w:val="bullet"/>
      <w:lvlText w:val="▪"/>
      <w:lvlJc w:val="left"/>
      <w:pPr>
        <w:ind w:left="319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55FAC56E">
      <w:start w:val="1"/>
      <w:numFmt w:val="bullet"/>
      <w:lvlText w:val="•"/>
      <w:lvlJc w:val="left"/>
      <w:pPr>
        <w:ind w:left="391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7E0162E">
      <w:start w:val="1"/>
      <w:numFmt w:val="bullet"/>
      <w:lvlText w:val="o"/>
      <w:lvlJc w:val="left"/>
      <w:pPr>
        <w:ind w:left="463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2A72D858">
      <w:start w:val="1"/>
      <w:numFmt w:val="bullet"/>
      <w:lvlText w:val="▪"/>
      <w:lvlJc w:val="left"/>
      <w:pPr>
        <w:ind w:left="535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63063C9E">
      <w:start w:val="1"/>
      <w:numFmt w:val="bullet"/>
      <w:lvlText w:val="•"/>
      <w:lvlJc w:val="left"/>
      <w:pPr>
        <w:ind w:left="607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E6C24B0">
      <w:start w:val="1"/>
      <w:numFmt w:val="bullet"/>
      <w:lvlText w:val="o"/>
      <w:lvlJc w:val="left"/>
      <w:pPr>
        <w:ind w:left="679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CA5E0F5C">
      <w:start w:val="1"/>
      <w:numFmt w:val="bullet"/>
      <w:lvlText w:val="▪"/>
      <w:lvlJc w:val="left"/>
      <w:pPr>
        <w:ind w:left="751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162547B9"/>
    <w:multiLevelType w:val="hybridMultilevel"/>
    <w:tmpl w:val="89DA095C"/>
    <w:lvl w:ilvl="0" w:tplc="869CAEAE">
      <w:start w:val="1"/>
      <w:numFmt w:val="bullet"/>
      <w:lvlText w:val="•"/>
      <w:lvlJc w:val="left"/>
      <w:pPr>
        <w:ind w:left="139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ECA9342">
      <w:start w:val="1"/>
      <w:numFmt w:val="bullet"/>
      <w:lvlText w:val="o"/>
      <w:lvlJc w:val="left"/>
      <w:pPr>
        <w:ind w:left="143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E752E082">
      <w:start w:val="1"/>
      <w:numFmt w:val="bullet"/>
      <w:lvlText w:val="▪"/>
      <w:lvlJc w:val="left"/>
      <w:pPr>
        <w:ind w:left="215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7A241528">
      <w:start w:val="1"/>
      <w:numFmt w:val="bullet"/>
      <w:lvlText w:val="•"/>
      <w:lvlJc w:val="left"/>
      <w:pPr>
        <w:ind w:left="28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FFCB052">
      <w:start w:val="1"/>
      <w:numFmt w:val="bullet"/>
      <w:lvlText w:val="o"/>
      <w:lvlJc w:val="left"/>
      <w:pPr>
        <w:ind w:left="359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A9EC4478">
      <w:start w:val="1"/>
      <w:numFmt w:val="bullet"/>
      <w:lvlText w:val="▪"/>
      <w:lvlJc w:val="left"/>
      <w:pPr>
        <w:ind w:left="431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9909B74">
      <w:start w:val="1"/>
      <w:numFmt w:val="bullet"/>
      <w:lvlText w:val="•"/>
      <w:lvlJc w:val="left"/>
      <w:pPr>
        <w:ind w:left="50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796F51A">
      <w:start w:val="1"/>
      <w:numFmt w:val="bullet"/>
      <w:lvlText w:val="o"/>
      <w:lvlJc w:val="left"/>
      <w:pPr>
        <w:ind w:left="575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7A6F04">
      <w:start w:val="1"/>
      <w:numFmt w:val="bullet"/>
      <w:lvlText w:val="▪"/>
      <w:lvlJc w:val="left"/>
      <w:pPr>
        <w:ind w:left="647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1B4964CC"/>
    <w:multiLevelType w:val="multilevel"/>
    <w:tmpl w:val="41F4BC02"/>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1CBD4778"/>
    <w:multiLevelType w:val="multilevel"/>
    <w:tmpl w:val="2C087428"/>
    <w:lvl w:ilvl="0">
      <w:start w:val="2"/>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4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7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5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2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94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66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3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1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1FE010D1"/>
    <w:multiLevelType w:val="multilevel"/>
    <w:tmpl w:val="99224B48"/>
    <w:lvl w:ilvl="0">
      <w:start w:val="4"/>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10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7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5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2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94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66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3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1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2B86633B"/>
    <w:multiLevelType w:val="hybridMultilevel"/>
    <w:tmpl w:val="13A4E15A"/>
    <w:lvl w:ilvl="0" w:tplc="FDFEB2CC">
      <w:start w:val="1"/>
      <w:numFmt w:val="bullet"/>
      <w:lvlText w:val="•"/>
      <w:lvlJc w:val="left"/>
      <w:pPr>
        <w:ind w:left="139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F3E88E46">
      <w:start w:val="1"/>
      <w:numFmt w:val="bullet"/>
      <w:lvlText w:val="o"/>
      <w:lvlJc w:val="left"/>
      <w:pPr>
        <w:ind w:left="213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A0964648">
      <w:start w:val="1"/>
      <w:numFmt w:val="bullet"/>
      <w:lvlText w:val="▪"/>
      <w:lvlJc w:val="left"/>
      <w:pPr>
        <w:ind w:left="285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CA469DA6">
      <w:start w:val="1"/>
      <w:numFmt w:val="bullet"/>
      <w:lvlText w:val="•"/>
      <w:lvlJc w:val="left"/>
      <w:pPr>
        <w:ind w:left="357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49E0DE4">
      <w:start w:val="1"/>
      <w:numFmt w:val="bullet"/>
      <w:lvlText w:val="o"/>
      <w:lvlJc w:val="left"/>
      <w:pPr>
        <w:ind w:left="429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4FC478CC">
      <w:start w:val="1"/>
      <w:numFmt w:val="bullet"/>
      <w:lvlText w:val="▪"/>
      <w:lvlJc w:val="left"/>
      <w:pPr>
        <w:ind w:left="501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82E9EC6">
      <w:start w:val="1"/>
      <w:numFmt w:val="bullet"/>
      <w:lvlText w:val="•"/>
      <w:lvlJc w:val="left"/>
      <w:pPr>
        <w:ind w:left="573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1528A98">
      <w:start w:val="1"/>
      <w:numFmt w:val="bullet"/>
      <w:lvlText w:val="o"/>
      <w:lvlJc w:val="left"/>
      <w:pPr>
        <w:ind w:left="645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781218">
      <w:start w:val="1"/>
      <w:numFmt w:val="bullet"/>
      <w:lvlText w:val="▪"/>
      <w:lvlJc w:val="left"/>
      <w:pPr>
        <w:ind w:left="717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2BB15340"/>
    <w:multiLevelType w:val="hybridMultilevel"/>
    <w:tmpl w:val="E5488F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DF1D9F"/>
    <w:multiLevelType w:val="hybridMultilevel"/>
    <w:tmpl w:val="0CB4A2D2"/>
    <w:lvl w:ilvl="0" w:tplc="D996E2BE">
      <w:start w:val="1"/>
      <w:numFmt w:val="bullet"/>
      <w:lvlText w:val="•"/>
      <w:lvlJc w:val="left"/>
      <w:pPr>
        <w:ind w:left="139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F4873CE">
      <w:start w:val="1"/>
      <w:numFmt w:val="bullet"/>
      <w:lvlText w:val="o"/>
      <w:lvlJc w:val="left"/>
      <w:pPr>
        <w:ind w:left="178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108914">
      <w:start w:val="1"/>
      <w:numFmt w:val="bullet"/>
      <w:lvlText w:val="▪"/>
      <w:lvlJc w:val="left"/>
      <w:pPr>
        <w:ind w:left="250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4AAAD162">
      <w:start w:val="1"/>
      <w:numFmt w:val="bullet"/>
      <w:lvlText w:val="•"/>
      <w:lvlJc w:val="left"/>
      <w:pPr>
        <w:ind w:left="32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5B2C27E2">
      <w:start w:val="1"/>
      <w:numFmt w:val="bullet"/>
      <w:lvlText w:val="o"/>
      <w:lvlJc w:val="left"/>
      <w:pPr>
        <w:ind w:left="394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5B843700">
      <w:start w:val="1"/>
      <w:numFmt w:val="bullet"/>
      <w:lvlText w:val="▪"/>
      <w:lvlJc w:val="left"/>
      <w:pPr>
        <w:ind w:left="466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5A5023D6">
      <w:start w:val="1"/>
      <w:numFmt w:val="bullet"/>
      <w:lvlText w:val="•"/>
      <w:lvlJc w:val="left"/>
      <w:pPr>
        <w:ind w:left="53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E669B2C">
      <w:start w:val="1"/>
      <w:numFmt w:val="bullet"/>
      <w:lvlText w:val="o"/>
      <w:lvlJc w:val="left"/>
      <w:pPr>
        <w:ind w:left="610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882A1E1C">
      <w:start w:val="1"/>
      <w:numFmt w:val="bullet"/>
      <w:lvlText w:val="▪"/>
      <w:lvlJc w:val="left"/>
      <w:pPr>
        <w:ind w:left="682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32E70D4C"/>
    <w:multiLevelType w:val="hybridMultilevel"/>
    <w:tmpl w:val="7C2A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703E4E"/>
    <w:multiLevelType w:val="hybridMultilevel"/>
    <w:tmpl w:val="DCCC3DC6"/>
    <w:lvl w:ilvl="0" w:tplc="487C2EFA">
      <w:start w:val="1"/>
      <w:numFmt w:val="bullet"/>
      <w:lvlText w:val="•"/>
      <w:lvlJc w:val="left"/>
      <w:pPr>
        <w:ind w:left="13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00249D8">
      <w:start w:val="1"/>
      <w:numFmt w:val="bullet"/>
      <w:lvlText w:val="o"/>
      <w:lvlJc w:val="left"/>
      <w:pPr>
        <w:ind w:left="134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63B8E6D8">
      <w:start w:val="1"/>
      <w:numFmt w:val="bullet"/>
      <w:lvlText w:val="▪"/>
      <w:lvlJc w:val="left"/>
      <w:pPr>
        <w:ind w:left="206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ADE6C99E">
      <w:start w:val="1"/>
      <w:numFmt w:val="bullet"/>
      <w:lvlText w:val="•"/>
      <w:lvlJc w:val="left"/>
      <w:pPr>
        <w:ind w:left="278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31DE5798">
      <w:start w:val="1"/>
      <w:numFmt w:val="bullet"/>
      <w:lvlText w:val="o"/>
      <w:lvlJc w:val="left"/>
      <w:pPr>
        <w:ind w:left="350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D668F518">
      <w:start w:val="1"/>
      <w:numFmt w:val="bullet"/>
      <w:lvlText w:val="▪"/>
      <w:lvlJc w:val="left"/>
      <w:pPr>
        <w:ind w:left="422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5D12F2FC">
      <w:start w:val="1"/>
      <w:numFmt w:val="bullet"/>
      <w:lvlText w:val="•"/>
      <w:lvlJc w:val="left"/>
      <w:pPr>
        <w:ind w:left="494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53C1D76">
      <w:start w:val="1"/>
      <w:numFmt w:val="bullet"/>
      <w:lvlText w:val="o"/>
      <w:lvlJc w:val="left"/>
      <w:pPr>
        <w:ind w:left="566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E4ED4A2">
      <w:start w:val="1"/>
      <w:numFmt w:val="bullet"/>
      <w:lvlText w:val="▪"/>
      <w:lvlJc w:val="left"/>
      <w:pPr>
        <w:ind w:left="638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38EE422B"/>
    <w:multiLevelType w:val="hybridMultilevel"/>
    <w:tmpl w:val="72F484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53908"/>
    <w:multiLevelType w:val="multilevel"/>
    <w:tmpl w:val="2FCAE13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AE3130"/>
    <w:multiLevelType w:val="hybridMultilevel"/>
    <w:tmpl w:val="55E6EEB8"/>
    <w:lvl w:ilvl="0" w:tplc="A8A2034C">
      <w:start w:val="1"/>
      <w:numFmt w:val="bullet"/>
      <w:lvlText w:val="•"/>
      <w:lvlJc w:val="left"/>
      <w:pPr>
        <w:ind w:left="17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DF0FF34">
      <w:start w:val="1"/>
      <w:numFmt w:val="bullet"/>
      <w:lvlText w:val="o"/>
      <w:lvlJc w:val="left"/>
      <w:pPr>
        <w:ind w:left="247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06E4BF44">
      <w:start w:val="1"/>
      <w:numFmt w:val="bullet"/>
      <w:lvlText w:val="▪"/>
      <w:lvlJc w:val="left"/>
      <w:pPr>
        <w:ind w:left="319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54A9E3C">
      <w:start w:val="1"/>
      <w:numFmt w:val="bullet"/>
      <w:lvlText w:val="•"/>
      <w:lvlJc w:val="left"/>
      <w:pPr>
        <w:ind w:left="391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3AAF9BE">
      <w:start w:val="1"/>
      <w:numFmt w:val="bullet"/>
      <w:lvlText w:val="o"/>
      <w:lvlJc w:val="left"/>
      <w:pPr>
        <w:ind w:left="463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761A2870">
      <w:start w:val="1"/>
      <w:numFmt w:val="bullet"/>
      <w:lvlText w:val="▪"/>
      <w:lvlJc w:val="left"/>
      <w:pPr>
        <w:ind w:left="535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B8FAFC96">
      <w:start w:val="1"/>
      <w:numFmt w:val="bullet"/>
      <w:lvlText w:val="•"/>
      <w:lvlJc w:val="left"/>
      <w:pPr>
        <w:ind w:left="607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CA4A628">
      <w:start w:val="1"/>
      <w:numFmt w:val="bullet"/>
      <w:lvlText w:val="o"/>
      <w:lvlJc w:val="left"/>
      <w:pPr>
        <w:ind w:left="679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D02EFCB2">
      <w:start w:val="1"/>
      <w:numFmt w:val="bullet"/>
      <w:lvlText w:val="▪"/>
      <w:lvlJc w:val="left"/>
      <w:pPr>
        <w:ind w:left="751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5" w15:restartNumberingAfterBreak="0">
    <w:nsid w:val="48B04DD9"/>
    <w:multiLevelType w:val="multilevel"/>
    <w:tmpl w:val="84425216"/>
    <w:lvl w:ilvl="0">
      <w:start w:val="4"/>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6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1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8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60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32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04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7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8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4F024028"/>
    <w:multiLevelType w:val="multilevel"/>
    <w:tmpl w:val="DE5CEE68"/>
    <w:lvl w:ilvl="0">
      <w:start w:val="3"/>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7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7" w15:restartNumberingAfterBreak="0">
    <w:nsid w:val="55B4244A"/>
    <w:multiLevelType w:val="hybridMultilevel"/>
    <w:tmpl w:val="EDFC9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5958CF"/>
    <w:multiLevelType w:val="hybridMultilevel"/>
    <w:tmpl w:val="893E8D70"/>
    <w:lvl w:ilvl="0" w:tplc="AE0C79F2">
      <w:start w:val="1"/>
      <w:numFmt w:val="bullet"/>
      <w:lvlText w:val="•"/>
      <w:lvlJc w:val="left"/>
      <w:pPr>
        <w:ind w:left="14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EDAA6BA">
      <w:start w:val="1"/>
      <w:numFmt w:val="bullet"/>
      <w:lvlText w:val="o"/>
      <w:lvlJc w:val="left"/>
      <w:pPr>
        <w:ind w:left="178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A2B69C2C">
      <w:start w:val="1"/>
      <w:numFmt w:val="bullet"/>
      <w:lvlText w:val="▪"/>
      <w:lvlJc w:val="left"/>
      <w:pPr>
        <w:ind w:left="250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E24290B2">
      <w:start w:val="1"/>
      <w:numFmt w:val="bullet"/>
      <w:lvlText w:val="•"/>
      <w:lvlJc w:val="left"/>
      <w:pPr>
        <w:ind w:left="32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15617C2">
      <w:start w:val="1"/>
      <w:numFmt w:val="bullet"/>
      <w:lvlText w:val="o"/>
      <w:lvlJc w:val="left"/>
      <w:pPr>
        <w:ind w:left="394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F0CA0BC">
      <w:start w:val="1"/>
      <w:numFmt w:val="bullet"/>
      <w:lvlText w:val="▪"/>
      <w:lvlJc w:val="left"/>
      <w:pPr>
        <w:ind w:left="466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DCE85F3C">
      <w:start w:val="1"/>
      <w:numFmt w:val="bullet"/>
      <w:lvlText w:val="•"/>
      <w:lvlJc w:val="left"/>
      <w:pPr>
        <w:ind w:left="53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C5E961A">
      <w:start w:val="1"/>
      <w:numFmt w:val="bullet"/>
      <w:lvlText w:val="o"/>
      <w:lvlJc w:val="left"/>
      <w:pPr>
        <w:ind w:left="610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C9B855F6">
      <w:start w:val="1"/>
      <w:numFmt w:val="bullet"/>
      <w:lvlText w:val="▪"/>
      <w:lvlJc w:val="left"/>
      <w:pPr>
        <w:ind w:left="682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9" w15:restartNumberingAfterBreak="0">
    <w:nsid w:val="661746A8"/>
    <w:multiLevelType w:val="hybridMultilevel"/>
    <w:tmpl w:val="538A5096"/>
    <w:lvl w:ilvl="0" w:tplc="9C3AC516">
      <w:start w:val="1"/>
      <w:numFmt w:val="decimal"/>
      <w:lvlText w:val="%1."/>
      <w:lvlJc w:val="left"/>
      <w:pPr>
        <w:ind w:left="800" w:hanging="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B91E24"/>
    <w:multiLevelType w:val="hybridMultilevel"/>
    <w:tmpl w:val="EF763C28"/>
    <w:lvl w:ilvl="0" w:tplc="34BEE784">
      <w:start w:val="1"/>
      <w:numFmt w:val="bullet"/>
      <w:lvlText w:val="•"/>
      <w:lvlJc w:val="left"/>
      <w:pPr>
        <w:ind w:left="14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EC08B4A">
      <w:start w:val="1"/>
      <w:numFmt w:val="bullet"/>
      <w:lvlText w:val="o"/>
      <w:lvlJc w:val="left"/>
      <w:pPr>
        <w:ind w:left="178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0896E3EC">
      <w:start w:val="1"/>
      <w:numFmt w:val="bullet"/>
      <w:lvlText w:val="▪"/>
      <w:lvlJc w:val="left"/>
      <w:pPr>
        <w:ind w:left="250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A8AD2A2">
      <w:start w:val="1"/>
      <w:numFmt w:val="bullet"/>
      <w:lvlText w:val="•"/>
      <w:lvlJc w:val="left"/>
      <w:pPr>
        <w:ind w:left="322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F147548">
      <w:start w:val="1"/>
      <w:numFmt w:val="bullet"/>
      <w:lvlText w:val="o"/>
      <w:lvlJc w:val="left"/>
      <w:pPr>
        <w:ind w:left="394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40817B2">
      <w:start w:val="1"/>
      <w:numFmt w:val="bullet"/>
      <w:lvlText w:val="▪"/>
      <w:lvlJc w:val="left"/>
      <w:pPr>
        <w:ind w:left="466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690A30F8">
      <w:start w:val="1"/>
      <w:numFmt w:val="bullet"/>
      <w:lvlText w:val="•"/>
      <w:lvlJc w:val="left"/>
      <w:pPr>
        <w:ind w:left="538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DAA8C00">
      <w:start w:val="1"/>
      <w:numFmt w:val="bullet"/>
      <w:lvlText w:val="o"/>
      <w:lvlJc w:val="left"/>
      <w:pPr>
        <w:ind w:left="610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6A2A56F4">
      <w:start w:val="1"/>
      <w:numFmt w:val="bullet"/>
      <w:lvlText w:val="▪"/>
      <w:lvlJc w:val="left"/>
      <w:pPr>
        <w:ind w:left="682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31"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266996"/>
    <w:multiLevelType w:val="multilevel"/>
    <w:tmpl w:val="F78C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C05A92"/>
    <w:multiLevelType w:val="hybridMultilevel"/>
    <w:tmpl w:val="AF5E33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024938348">
    <w:abstractNumId w:val="31"/>
  </w:num>
  <w:num w:numId="12" w16cid:durableId="106119056">
    <w:abstractNumId w:val="20"/>
  </w:num>
  <w:num w:numId="13" w16cid:durableId="1818955842">
    <w:abstractNumId w:val="27"/>
  </w:num>
  <w:num w:numId="14" w16cid:durableId="1991250452">
    <w:abstractNumId w:val="29"/>
  </w:num>
  <w:num w:numId="15" w16cid:durableId="1900091924">
    <w:abstractNumId w:val="13"/>
  </w:num>
  <w:num w:numId="16" w16cid:durableId="1168593261">
    <w:abstractNumId w:val="28"/>
  </w:num>
  <w:num w:numId="17" w16cid:durableId="1006711371">
    <w:abstractNumId w:val="26"/>
  </w:num>
  <w:num w:numId="18" w16cid:durableId="1367367880">
    <w:abstractNumId w:val="30"/>
  </w:num>
  <w:num w:numId="19" w16cid:durableId="1066535903">
    <w:abstractNumId w:val="25"/>
  </w:num>
  <w:num w:numId="20" w16cid:durableId="502162209">
    <w:abstractNumId w:val="21"/>
  </w:num>
  <w:num w:numId="21" w16cid:durableId="1474298967">
    <w:abstractNumId w:val="19"/>
  </w:num>
  <w:num w:numId="22" w16cid:durableId="2135976350">
    <w:abstractNumId w:val="24"/>
  </w:num>
  <w:num w:numId="23" w16cid:durableId="1363169297">
    <w:abstractNumId w:val="15"/>
  </w:num>
  <w:num w:numId="24" w16cid:durableId="753016538">
    <w:abstractNumId w:val="17"/>
  </w:num>
  <w:num w:numId="25" w16cid:durableId="314068908">
    <w:abstractNumId w:val="12"/>
  </w:num>
  <w:num w:numId="26" w16cid:durableId="601305517">
    <w:abstractNumId w:val="16"/>
  </w:num>
  <w:num w:numId="27" w16cid:durableId="978877424">
    <w:abstractNumId w:val="10"/>
  </w:num>
  <w:num w:numId="28" w16cid:durableId="1669600663">
    <w:abstractNumId w:val="23"/>
  </w:num>
  <w:num w:numId="29" w16cid:durableId="617955135">
    <w:abstractNumId w:val="11"/>
  </w:num>
  <w:num w:numId="30" w16cid:durableId="324629465">
    <w:abstractNumId w:val="14"/>
  </w:num>
  <w:num w:numId="31" w16cid:durableId="816259902">
    <w:abstractNumId w:val="18"/>
  </w:num>
  <w:num w:numId="32" w16cid:durableId="1866627304">
    <w:abstractNumId w:val="22"/>
  </w:num>
  <w:num w:numId="33" w16cid:durableId="185949683">
    <w:abstractNumId w:val="33"/>
  </w:num>
  <w:num w:numId="34" w16cid:durableId="111548850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832"/>
    <w:rsid w:val="00032829"/>
    <w:rsid w:val="00035EF4"/>
    <w:rsid w:val="00040431"/>
    <w:rsid w:val="00040561"/>
    <w:rsid w:val="00044F00"/>
    <w:rsid w:val="00046B93"/>
    <w:rsid w:val="00070937"/>
    <w:rsid w:val="00070CA1"/>
    <w:rsid w:val="00073478"/>
    <w:rsid w:val="00073BCD"/>
    <w:rsid w:val="0007596A"/>
    <w:rsid w:val="000771FB"/>
    <w:rsid w:val="000813BB"/>
    <w:rsid w:val="00084931"/>
    <w:rsid w:val="00084EF2"/>
    <w:rsid w:val="00085D68"/>
    <w:rsid w:val="000942C3"/>
    <w:rsid w:val="000949E5"/>
    <w:rsid w:val="000A0FBB"/>
    <w:rsid w:val="000A31FF"/>
    <w:rsid w:val="000B7559"/>
    <w:rsid w:val="000E05DE"/>
    <w:rsid w:val="000E0D15"/>
    <w:rsid w:val="000E28DA"/>
    <w:rsid w:val="00105F31"/>
    <w:rsid w:val="001117A6"/>
    <w:rsid w:val="00113BD7"/>
    <w:rsid w:val="001262D4"/>
    <w:rsid w:val="00127566"/>
    <w:rsid w:val="00146000"/>
    <w:rsid w:val="00161067"/>
    <w:rsid w:val="001623DD"/>
    <w:rsid w:val="00163CC6"/>
    <w:rsid w:val="001725E5"/>
    <w:rsid w:val="00183144"/>
    <w:rsid w:val="00184207"/>
    <w:rsid w:val="00187DF7"/>
    <w:rsid w:val="001943E3"/>
    <w:rsid w:val="001A0196"/>
    <w:rsid w:val="001D3495"/>
    <w:rsid w:val="001D545A"/>
    <w:rsid w:val="001E242F"/>
    <w:rsid w:val="001E6164"/>
    <w:rsid w:val="001F291B"/>
    <w:rsid w:val="0021024C"/>
    <w:rsid w:val="002212F0"/>
    <w:rsid w:val="00236552"/>
    <w:rsid w:val="00242590"/>
    <w:rsid w:val="00242D07"/>
    <w:rsid w:val="00276B55"/>
    <w:rsid w:val="00281BB1"/>
    <w:rsid w:val="00290B1F"/>
    <w:rsid w:val="00291710"/>
    <w:rsid w:val="002970FD"/>
    <w:rsid w:val="002A009E"/>
    <w:rsid w:val="002A6D0B"/>
    <w:rsid w:val="002B7771"/>
    <w:rsid w:val="002C248C"/>
    <w:rsid w:val="002D46A6"/>
    <w:rsid w:val="002E4F48"/>
    <w:rsid w:val="0030096D"/>
    <w:rsid w:val="00317618"/>
    <w:rsid w:val="00367BBE"/>
    <w:rsid w:val="00381E17"/>
    <w:rsid w:val="00383657"/>
    <w:rsid w:val="003B1509"/>
    <w:rsid w:val="003B26B7"/>
    <w:rsid w:val="003B3C8B"/>
    <w:rsid w:val="003C07EC"/>
    <w:rsid w:val="003C7797"/>
    <w:rsid w:val="003D148D"/>
    <w:rsid w:val="003E1377"/>
    <w:rsid w:val="003E37CB"/>
    <w:rsid w:val="003F5384"/>
    <w:rsid w:val="003F694E"/>
    <w:rsid w:val="004073BC"/>
    <w:rsid w:val="00443916"/>
    <w:rsid w:val="00444AA1"/>
    <w:rsid w:val="004520C4"/>
    <w:rsid w:val="00452D02"/>
    <w:rsid w:val="004702C5"/>
    <w:rsid w:val="00482574"/>
    <w:rsid w:val="004851F8"/>
    <w:rsid w:val="00490D06"/>
    <w:rsid w:val="004A6293"/>
    <w:rsid w:val="004A7500"/>
    <w:rsid w:val="004B0645"/>
    <w:rsid w:val="004C3E49"/>
    <w:rsid w:val="004C763F"/>
    <w:rsid w:val="004D275E"/>
    <w:rsid w:val="004E0CDF"/>
    <w:rsid w:val="004E4725"/>
    <w:rsid w:val="0050790F"/>
    <w:rsid w:val="00520C98"/>
    <w:rsid w:val="005274EA"/>
    <w:rsid w:val="00533BB6"/>
    <w:rsid w:val="00551989"/>
    <w:rsid w:val="00571963"/>
    <w:rsid w:val="00582F67"/>
    <w:rsid w:val="005A355E"/>
    <w:rsid w:val="005B057F"/>
    <w:rsid w:val="005B0832"/>
    <w:rsid w:val="005D1213"/>
    <w:rsid w:val="005D186A"/>
    <w:rsid w:val="005D425C"/>
    <w:rsid w:val="005E5007"/>
    <w:rsid w:val="005E7452"/>
    <w:rsid w:val="00610F78"/>
    <w:rsid w:val="006243FF"/>
    <w:rsid w:val="00625167"/>
    <w:rsid w:val="0063298C"/>
    <w:rsid w:val="00655FBC"/>
    <w:rsid w:val="00660C79"/>
    <w:rsid w:val="006930AB"/>
    <w:rsid w:val="006979BA"/>
    <w:rsid w:val="006A22BF"/>
    <w:rsid w:val="006A2405"/>
    <w:rsid w:val="006B0E49"/>
    <w:rsid w:val="006D16CE"/>
    <w:rsid w:val="006E7474"/>
    <w:rsid w:val="00700517"/>
    <w:rsid w:val="00721F2A"/>
    <w:rsid w:val="00725004"/>
    <w:rsid w:val="00740CBE"/>
    <w:rsid w:val="00746923"/>
    <w:rsid w:val="00747BDA"/>
    <w:rsid w:val="007543D5"/>
    <w:rsid w:val="0075530E"/>
    <w:rsid w:val="00781E5E"/>
    <w:rsid w:val="00783231"/>
    <w:rsid w:val="007868C1"/>
    <w:rsid w:val="00794FB4"/>
    <w:rsid w:val="00795636"/>
    <w:rsid w:val="007A2406"/>
    <w:rsid w:val="007A60E1"/>
    <w:rsid w:val="007B24BB"/>
    <w:rsid w:val="007C3F12"/>
    <w:rsid w:val="007C4E48"/>
    <w:rsid w:val="007D217A"/>
    <w:rsid w:val="007D441B"/>
    <w:rsid w:val="00801105"/>
    <w:rsid w:val="008043BC"/>
    <w:rsid w:val="00826D11"/>
    <w:rsid w:val="00841737"/>
    <w:rsid w:val="00861B46"/>
    <w:rsid w:val="00871608"/>
    <w:rsid w:val="008873FB"/>
    <w:rsid w:val="00894612"/>
    <w:rsid w:val="008C1A73"/>
    <w:rsid w:val="008C3474"/>
    <w:rsid w:val="008C551F"/>
    <w:rsid w:val="008D113C"/>
    <w:rsid w:val="008D376F"/>
    <w:rsid w:val="008D55ED"/>
    <w:rsid w:val="00900513"/>
    <w:rsid w:val="00900D54"/>
    <w:rsid w:val="00907649"/>
    <w:rsid w:val="00916FB3"/>
    <w:rsid w:val="00917BB1"/>
    <w:rsid w:val="00920029"/>
    <w:rsid w:val="00926A1B"/>
    <w:rsid w:val="009607C9"/>
    <w:rsid w:val="00975D21"/>
    <w:rsid w:val="00980531"/>
    <w:rsid w:val="00981E5F"/>
    <w:rsid w:val="00987118"/>
    <w:rsid w:val="009872F9"/>
    <w:rsid w:val="009903E6"/>
    <w:rsid w:val="009949EB"/>
    <w:rsid w:val="009A00A4"/>
    <w:rsid w:val="009A240D"/>
    <w:rsid w:val="009B0259"/>
    <w:rsid w:val="009E00DC"/>
    <w:rsid w:val="00A01E3E"/>
    <w:rsid w:val="00A122F6"/>
    <w:rsid w:val="00A210B7"/>
    <w:rsid w:val="00A225F6"/>
    <w:rsid w:val="00A53A2F"/>
    <w:rsid w:val="00A5615A"/>
    <w:rsid w:val="00A712F6"/>
    <w:rsid w:val="00A73F0C"/>
    <w:rsid w:val="00A8322E"/>
    <w:rsid w:val="00A92D93"/>
    <w:rsid w:val="00A9349C"/>
    <w:rsid w:val="00A967CD"/>
    <w:rsid w:val="00AA6F13"/>
    <w:rsid w:val="00AB26C2"/>
    <w:rsid w:val="00AC0AA3"/>
    <w:rsid w:val="00AC1B16"/>
    <w:rsid w:val="00AC6F45"/>
    <w:rsid w:val="00AD2749"/>
    <w:rsid w:val="00AE068C"/>
    <w:rsid w:val="00AE2ECD"/>
    <w:rsid w:val="00AF3414"/>
    <w:rsid w:val="00AF74E2"/>
    <w:rsid w:val="00B02749"/>
    <w:rsid w:val="00B03E57"/>
    <w:rsid w:val="00B24A79"/>
    <w:rsid w:val="00B3125D"/>
    <w:rsid w:val="00B34692"/>
    <w:rsid w:val="00B46E48"/>
    <w:rsid w:val="00B51FCE"/>
    <w:rsid w:val="00B54CF4"/>
    <w:rsid w:val="00B64C7B"/>
    <w:rsid w:val="00B930AA"/>
    <w:rsid w:val="00BA09EA"/>
    <w:rsid w:val="00BB167A"/>
    <w:rsid w:val="00BC496E"/>
    <w:rsid w:val="00BE6729"/>
    <w:rsid w:val="00BE6CB0"/>
    <w:rsid w:val="00C04932"/>
    <w:rsid w:val="00C20FAC"/>
    <w:rsid w:val="00C253E6"/>
    <w:rsid w:val="00C275BE"/>
    <w:rsid w:val="00C27817"/>
    <w:rsid w:val="00C34659"/>
    <w:rsid w:val="00C40BB7"/>
    <w:rsid w:val="00C41C6C"/>
    <w:rsid w:val="00C420B1"/>
    <w:rsid w:val="00C569B9"/>
    <w:rsid w:val="00C676A2"/>
    <w:rsid w:val="00C76BC2"/>
    <w:rsid w:val="00CD6AC0"/>
    <w:rsid w:val="00CF7EFB"/>
    <w:rsid w:val="00D1606E"/>
    <w:rsid w:val="00D35448"/>
    <w:rsid w:val="00D40523"/>
    <w:rsid w:val="00D50451"/>
    <w:rsid w:val="00D815B4"/>
    <w:rsid w:val="00D9237C"/>
    <w:rsid w:val="00D9252B"/>
    <w:rsid w:val="00D96904"/>
    <w:rsid w:val="00DA0F7B"/>
    <w:rsid w:val="00DA582C"/>
    <w:rsid w:val="00DA5F2C"/>
    <w:rsid w:val="00DB2A4D"/>
    <w:rsid w:val="00DD664B"/>
    <w:rsid w:val="00DF17E3"/>
    <w:rsid w:val="00E11A56"/>
    <w:rsid w:val="00E35C2E"/>
    <w:rsid w:val="00E67C75"/>
    <w:rsid w:val="00E84BEC"/>
    <w:rsid w:val="00E92CF4"/>
    <w:rsid w:val="00E944A6"/>
    <w:rsid w:val="00EB7B3E"/>
    <w:rsid w:val="00EC2480"/>
    <w:rsid w:val="00EC43FF"/>
    <w:rsid w:val="00EC6A73"/>
    <w:rsid w:val="00ED7348"/>
    <w:rsid w:val="00EE4BB1"/>
    <w:rsid w:val="00EE795A"/>
    <w:rsid w:val="00EF088A"/>
    <w:rsid w:val="00F0158D"/>
    <w:rsid w:val="00F07048"/>
    <w:rsid w:val="00F21710"/>
    <w:rsid w:val="00F23C73"/>
    <w:rsid w:val="00F54E40"/>
    <w:rsid w:val="00F62161"/>
    <w:rsid w:val="00F72274"/>
    <w:rsid w:val="00F7721F"/>
    <w:rsid w:val="00F93A73"/>
    <w:rsid w:val="00F9734F"/>
    <w:rsid w:val="00FB016C"/>
    <w:rsid w:val="00FB714F"/>
    <w:rsid w:val="00FC6CF2"/>
    <w:rsid w:val="00FD0978"/>
    <w:rsid w:val="00FE2E22"/>
    <w:rsid w:val="00FE7169"/>
    <w:rsid w:val="00FF5D5A"/>
    <w:rsid w:val="04F70129"/>
    <w:rsid w:val="36CA84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AA291"/>
  <w15:chartTrackingRefBased/>
  <w15:docId w15:val="{3F4D4F59-3735-4010-BBCE-2C6F3889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2516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2516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2516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62516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2516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2516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2516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625167"/>
    <w:rPr>
      <w:rFonts w:asciiTheme="majorHAnsi" w:eastAsiaTheme="majorEastAsia" w:hAnsiTheme="majorHAnsi" w:cstheme="majorBidi"/>
      <w:b/>
      <w:iCs/>
    </w:rPr>
  </w:style>
  <w:style w:type="paragraph" w:customStyle="1" w:styleId="BodyText1">
    <w:name w:val="Body Text1"/>
    <w:basedOn w:val="Normal"/>
    <w:qFormat/>
    <w:rsid w:val="0062516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TOC1">
    <w:name w:val="toc 1"/>
    <w:hidden/>
    <w:uiPriority w:val="39"/>
    <w:rsid w:val="000942C3"/>
    <w:pPr>
      <w:spacing w:after="4" w:line="248" w:lineRule="auto"/>
      <w:ind w:left="25" w:right="23" w:hanging="10"/>
    </w:pPr>
    <w:rPr>
      <w:rFonts w:ascii="Arial" w:eastAsia="Arial" w:hAnsi="Arial" w:cs="Arial"/>
      <w:color w:val="000000"/>
      <w:kern w:val="2"/>
      <w:sz w:val="19"/>
      <w:lang w:eastAsia="en-GB"/>
      <w14:ligatures w14:val="standardContextual"/>
    </w:rPr>
  </w:style>
  <w:style w:type="character" w:styleId="CommentReference">
    <w:name w:val="annotation reference"/>
    <w:basedOn w:val="DefaultParagraphFont"/>
    <w:uiPriority w:val="99"/>
    <w:semiHidden/>
    <w:unhideWhenUsed/>
    <w:rsid w:val="000942C3"/>
    <w:rPr>
      <w:sz w:val="16"/>
      <w:szCs w:val="16"/>
    </w:rPr>
  </w:style>
  <w:style w:type="paragraph" w:styleId="CommentText">
    <w:name w:val="annotation text"/>
    <w:basedOn w:val="Normal"/>
    <w:link w:val="CommentTextChar"/>
    <w:uiPriority w:val="99"/>
    <w:unhideWhenUsed/>
    <w:rsid w:val="000942C3"/>
    <w:pPr>
      <w:spacing w:after="4" w:line="240" w:lineRule="auto"/>
      <w:ind w:left="10" w:hanging="10"/>
    </w:pPr>
    <w:rPr>
      <w:rFonts w:ascii="Arial" w:eastAsia="Arial" w:hAnsi="Arial" w:cs="Arial"/>
      <w:color w:val="000000"/>
      <w:kern w:val="2"/>
      <w:sz w:val="20"/>
      <w:szCs w:val="20"/>
      <w:lang w:eastAsia="en-GB"/>
      <w14:ligatures w14:val="standardContextual"/>
    </w:rPr>
  </w:style>
  <w:style w:type="character" w:customStyle="1" w:styleId="CommentTextChar">
    <w:name w:val="Comment Text Char"/>
    <w:basedOn w:val="DefaultParagraphFont"/>
    <w:link w:val="CommentText"/>
    <w:uiPriority w:val="99"/>
    <w:rsid w:val="000942C3"/>
    <w:rPr>
      <w:rFonts w:ascii="Arial" w:eastAsia="Arial" w:hAnsi="Arial" w:cs="Arial"/>
      <w:color w:val="000000"/>
      <w:kern w:val="2"/>
      <w:sz w:val="20"/>
      <w:szCs w:val="20"/>
      <w:lang w:eastAsia="en-GB"/>
      <w14:ligatures w14:val="standardContextual"/>
    </w:rPr>
  </w:style>
  <w:style w:type="paragraph" w:styleId="ListParagraph">
    <w:name w:val="List Paragraph"/>
    <w:basedOn w:val="Normal"/>
    <w:uiPriority w:val="34"/>
    <w:qFormat/>
    <w:rsid w:val="000942C3"/>
    <w:pPr>
      <w:spacing w:after="4" w:line="248" w:lineRule="auto"/>
      <w:ind w:left="720" w:hanging="10"/>
      <w:contextualSpacing/>
    </w:pPr>
    <w:rPr>
      <w:rFonts w:ascii="Arial" w:eastAsia="Arial" w:hAnsi="Arial" w:cs="Arial"/>
      <w:color w:val="000000"/>
      <w:kern w:val="2"/>
      <w:sz w:val="19"/>
      <w:lang w:eastAsia="en-GB"/>
      <w14:ligatures w14:val="standardContextual"/>
    </w:rPr>
  </w:style>
  <w:style w:type="paragraph" w:styleId="TOC2">
    <w:name w:val="toc 2"/>
    <w:basedOn w:val="Normal"/>
    <w:next w:val="Normal"/>
    <w:autoRedefine/>
    <w:uiPriority w:val="39"/>
    <w:unhideWhenUsed/>
    <w:rsid w:val="005D186A"/>
    <w:pPr>
      <w:tabs>
        <w:tab w:val="right" w:leader="dot" w:pos="10212"/>
      </w:tabs>
      <w:spacing w:after="100"/>
      <w:ind w:left="240"/>
    </w:pPr>
    <w:rPr>
      <w:noProof/>
    </w:rPr>
  </w:style>
  <w:style w:type="paragraph" w:styleId="TOCHeading">
    <w:name w:val="TOC Heading"/>
    <w:basedOn w:val="Heading1"/>
    <w:next w:val="Normal"/>
    <w:uiPriority w:val="39"/>
    <w:unhideWhenUsed/>
    <w:qFormat/>
    <w:rsid w:val="00B02749"/>
    <w:pPr>
      <w:spacing w:before="240" w:after="0" w:line="259" w:lineRule="auto"/>
      <w:outlineLvl w:val="9"/>
    </w:pPr>
    <w:rPr>
      <w:b w:val="0"/>
      <w:color w:val="004B56" w:themeColor="accent1" w:themeShade="BF"/>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qualities@sepa.org.uk"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ai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2EC65292-4992-4FF8-9FB2-F502FB68FD36}">
  <ds:schemaRefs>
    <ds:schemaRef ds:uri="http://schemas.microsoft.com/sharepoint/v3/contenttype/forms"/>
  </ds:schemaRefs>
</ds:datastoreItem>
</file>

<file path=customXml/itemProps3.xml><?xml version="1.0" encoding="utf-8"?>
<ds:datastoreItem xmlns:ds="http://schemas.openxmlformats.org/officeDocument/2006/customXml" ds:itemID="{233B92B2-4ED0-4815-9D45-D925F1C50596}">
  <ds:schemaRef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purl.org/dc/elements/1.1/"/>
    <ds:schemaRef ds:uri="ce5b52f7-9556-48ad-bf4f-1238de82834a"/>
    <ds:schemaRef ds:uri="7dd4d6b0-2bd1-40f7-94aa-8d4785e79023"/>
    <ds:schemaRef ds:uri="http://www.w3.org/XML/1998/namespace"/>
    <ds:schemaRef ds:uri="http://purl.org/dc/terms/"/>
  </ds:schemaRefs>
</ds:datastoreItem>
</file>

<file path=customXml/itemProps4.xml><?xml version="1.0" encoding="utf-8"?>
<ds:datastoreItem xmlns:ds="http://schemas.openxmlformats.org/officeDocument/2006/customXml" ds:itemID="{34103E97-FDE4-4595-8619-B34E964F5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SEPA_word_template_air_cover</Template>
  <TotalTime>0</TotalTime>
  <Pages>24</Pages>
  <Words>5298</Words>
  <Characters>30205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landfill@sepa.org.uk</dc:creator>
  <cp:keywords/>
  <dc:description/>
  <cp:lastModifiedBy>Smith-Welsh, Lola</cp:lastModifiedBy>
  <cp:revision>2</cp:revision>
  <cp:lastPrinted>2023-03-23T14:44:00Z</cp:lastPrinted>
  <dcterms:created xsi:type="dcterms:W3CDTF">2025-06-03T10:34:00Z</dcterms:created>
  <dcterms:modified xsi:type="dcterms:W3CDTF">2025-06-03T10:34:00Z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2023-07-28T09:30:33Z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956ec501-94bf-4840-9b35-7cf8cccccfd2</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