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b w:val="0"/>
          <w:color w:val="auto"/>
          <w:sz w:val="24"/>
          <w:szCs w:val="24"/>
        </w:rPr>
        <w:id w:val="-191923907"/>
        <w:docPartObj>
          <w:docPartGallery w:val="Cover Pages"/>
          <w:docPartUnique/>
        </w:docPartObj>
      </w:sdtPr>
      <w:sdtContent>
        <w:p w14:paraId="2F702B48" w14:textId="58670EA2" w:rsidR="0010613C" w:rsidRPr="00744A48" w:rsidRDefault="00B14A1E" w:rsidP="004A7F5D">
          <w:pPr>
            <w:pStyle w:val="Heading1"/>
            <w:spacing w:before="120" w:after="120" w:line="360" w:lineRule="auto"/>
          </w:pPr>
          <w:r w:rsidRPr="00744A48">
            <w:t xml:space="preserve">Major </w:t>
          </w:r>
          <w:r w:rsidR="77775C12" w:rsidRPr="00744A48">
            <w:t>n</w:t>
          </w:r>
          <w:r w:rsidRPr="00744A48">
            <w:t>on-</w:t>
          </w:r>
          <w:r w:rsidR="2D2A5046" w:rsidRPr="00744A48">
            <w:t>c</w:t>
          </w:r>
          <w:r w:rsidRPr="00744A48">
            <w:t>ompliance:</w:t>
          </w:r>
          <w:r w:rsidR="0AA27ADB" w:rsidRPr="00744A48">
            <w:t xml:space="preserve"> </w:t>
          </w:r>
          <w:r w:rsidR="003D02EF" w:rsidRPr="00744A48">
            <w:t>industrial act</w:t>
          </w:r>
          <w:r w:rsidR="004A7F5D" w:rsidRPr="00744A48">
            <w:t>ivities</w:t>
          </w:r>
        </w:p>
        <w:p w14:paraId="60180D9B" w14:textId="20F814A3" w:rsidR="0096745E" w:rsidRPr="00131952" w:rsidRDefault="00F7795C" w:rsidP="00181CBE">
          <w:pPr>
            <w:pStyle w:val="Caption"/>
            <w:keepNext/>
            <w:spacing w:before="120" w:after="120" w:line="360" w:lineRule="auto"/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</w:pPr>
          <w:r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Table </w:t>
          </w:r>
          <w:r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begin"/>
          </w:r>
          <w:r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instrText xml:space="preserve"> SEQ Table \* ARABIC </w:instrText>
          </w:r>
          <w:r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separate"/>
          </w:r>
          <w:r w:rsidR="00EA3FD3"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1</w:t>
          </w:r>
          <w:r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end"/>
          </w:r>
          <w:r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:</w:t>
          </w:r>
          <w:r w:rsidR="004A7F5D" w:rsidRPr="00131952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Major </w:t>
          </w:r>
          <w:r w:rsidR="0015498A"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i</w:t>
          </w:r>
          <w:r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mpact</w:t>
          </w:r>
          <w:r w:rsidR="0015498A"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 o</w:t>
          </w:r>
          <w:r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f</w:t>
          </w:r>
          <w:r w:rsidR="00BA62F7"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 </w:t>
          </w:r>
          <w:r w:rsidR="0015498A"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t</w:t>
          </w:r>
          <w:r w:rsidR="00BA62F7"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he</w:t>
          </w:r>
          <w:r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 </w:t>
          </w:r>
          <w:r w:rsidR="0015498A"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a</w:t>
          </w:r>
          <w:r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uthorised </w:t>
          </w:r>
          <w:r w:rsidR="0015498A"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a</w:t>
          </w:r>
          <w:r w:rsidRPr="0013195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ctivity</w:t>
          </w:r>
        </w:p>
        <w:tbl>
          <w:tblPr>
            <w:tblW w:w="496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1:  Major impact of the authorised activity"/>
            <w:tblDescription w:val="Table containing 4 columns &quot;Authorisation Condition&quot;, &quot;Major Non-Compliance&quot;, &quot;How Will SEPA Assess / Supporting Guidance&quot; and &quot;Return To Compliance Examples&quot; and 5 rows. Table highlights conditions within authorisations, when the condition would become major non-compliant, how SEPA will assess and actions the site would have to undertake to return to compliance. "/>
          </w:tblPr>
          <w:tblGrid>
            <w:gridCol w:w="3107"/>
            <w:gridCol w:w="3684"/>
            <w:gridCol w:w="4819"/>
            <w:gridCol w:w="3401"/>
          </w:tblGrid>
          <w:tr w:rsidR="00877BE7" w:rsidRPr="00131952" w14:paraId="659EBCEC" w14:textId="77777777" w:rsidTr="26A3526B">
            <w:trPr>
              <w:trHeight w:val="610"/>
              <w:tblHeader/>
            </w:trPr>
            <w:tc>
              <w:tcPr>
                <w:tcW w:w="1035" w:type="pct"/>
                <w:tcBorders>
                  <w:bottom w:val="single" w:sz="12" w:space="0" w:color="auto"/>
                </w:tcBorders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37C4B58" w14:textId="77777777" w:rsidR="00877BE7" w:rsidRPr="00131952" w:rsidRDefault="00877BE7" w:rsidP="00181CBE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13195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227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263534D" w14:textId="77777777" w:rsidR="00877BE7" w:rsidRPr="00131952" w:rsidRDefault="00877BE7" w:rsidP="0073343B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13195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605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77F6CD7" w14:textId="585BBCE3" w:rsidR="00877BE7" w:rsidRPr="00131952" w:rsidRDefault="00877BE7" w:rsidP="00181CBE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133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E7F52F8" w14:textId="6DD32509" w:rsidR="00877BE7" w:rsidRPr="00131952" w:rsidRDefault="00877BE7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Return to compliance</w:t>
                </w:r>
                <w:r w:rsidR="00DC50D3" w:rsidRPr="00131952">
                  <w:rPr>
                    <w:rFonts w:ascii="Arial" w:hAnsi="Arial" w:cs="Arial"/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E5316D" w:rsidRPr="00131952" w14:paraId="0560CB82" w14:textId="77777777" w:rsidTr="26A3526B">
            <w:trPr>
              <w:trHeight w:val="315"/>
            </w:trPr>
            <w:tc>
              <w:tcPr>
                <w:tcW w:w="1035" w:type="pct"/>
                <w:tcBorders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5C298DB" w14:textId="17741F14" w:rsidR="00E5316D" w:rsidRPr="00131952" w:rsidRDefault="00E5316D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31952">
                  <w:rPr>
                    <w:rFonts w:ascii="Arial" w:hAnsi="Arial" w:cs="Arial"/>
                  </w:rPr>
                  <w:t>Any authorisation condition</w:t>
                </w:r>
                <w:r w:rsidR="00367610">
                  <w:rPr>
                    <w:rFonts w:ascii="Arial" w:hAnsi="Arial" w:cs="Arial"/>
                  </w:rPr>
                  <w:t>.</w:t>
                </w:r>
                <w:r w:rsidRPr="00131952">
                  <w:rPr>
                    <w:rFonts w:ascii="Arial" w:hAnsi="Arial" w:cs="Arial"/>
                  </w:rPr>
                  <w:t xml:space="preserve"> </w:t>
                </w:r>
              </w:p>
            </w:tc>
            <w:tc>
              <w:tcPr>
                <w:tcW w:w="1227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F2887D5" w14:textId="6F9462A5" w:rsidR="00E5316D" w:rsidRPr="00131952" w:rsidRDefault="00E5316D" w:rsidP="0073343B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 xml:space="preserve">Non-compliance causes or </w:t>
                </w:r>
                <w:r w:rsidR="000933AC">
                  <w:rPr>
                    <w:rFonts w:ascii="Arial" w:hAnsi="Arial" w:cs="Arial"/>
                  </w:rPr>
                  <w:t>i</w:t>
                </w:r>
                <w:r w:rsidR="000933AC">
                  <w:t>s likely</w:t>
                </w:r>
                <w:r w:rsidRPr="00131952">
                  <w:rPr>
                    <w:rFonts w:ascii="Arial" w:hAnsi="Arial" w:cs="Arial"/>
                  </w:rPr>
                  <w:t xml:space="preserve"> to cause:</w:t>
                </w:r>
              </w:p>
              <w:p w14:paraId="30EFF276" w14:textId="049B9B95" w:rsidR="00E5316D" w:rsidRPr="00131952" w:rsidRDefault="00E5316D" w:rsidP="0073343B">
                <w:pPr>
                  <w:pStyle w:val="ListParagraph"/>
                  <w:numPr>
                    <w:ilvl w:val="0"/>
                    <w:numId w:val="4"/>
                  </w:numPr>
                  <w:spacing w:before="120" w:after="120" w:line="360" w:lineRule="auto"/>
                  <w:ind w:left="324" w:right="180" w:hanging="283"/>
                  <w:contextualSpacing w:val="0"/>
                  <w:textAlignment w:val="baseline"/>
                  <w:rPr>
                    <w:rFonts w:ascii="Arial" w:eastAsiaTheme="minorEastAsia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Theme="minorEastAsia" w:hAnsi="Arial" w:cs="Arial"/>
                    <w:sz w:val="24"/>
                    <w:szCs w:val="24"/>
                  </w:rPr>
                  <w:t>category 1 or 2 environmental event</w:t>
                </w:r>
                <w:r w:rsidR="004A7232" w:rsidRPr="00131952">
                  <w:rPr>
                    <w:rFonts w:ascii="Arial" w:eastAsiaTheme="minorEastAsia" w:hAnsi="Arial" w:cs="Arial"/>
                    <w:sz w:val="24"/>
                    <w:szCs w:val="24"/>
                  </w:rPr>
                  <w:t>.</w:t>
                </w:r>
              </w:p>
              <w:p w14:paraId="00356AEB" w14:textId="4E8BE998" w:rsidR="00E5316D" w:rsidRPr="00131952" w:rsidRDefault="00E5316D" w:rsidP="0073343B">
                <w:pPr>
                  <w:numPr>
                    <w:ilvl w:val="0"/>
                    <w:numId w:val="4"/>
                  </w:numPr>
                  <w:tabs>
                    <w:tab w:val="left" w:pos="360"/>
                  </w:tabs>
                  <w:spacing w:before="120" w:after="120"/>
                  <w:ind w:left="324" w:hanging="283"/>
                  <w:textAlignment w:val="baseline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>breach of water or air quality standard</w:t>
                </w:r>
                <w:r w:rsidR="004A7232" w:rsidRPr="00131952">
                  <w:rPr>
                    <w:rFonts w:ascii="Arial" w:hAnsi="Arial" w:cs="Arial"/>
                  </w:rPr>
                  <w:t>.</w:t>
                </w:r>
              </w:p>
              <w:p w14:paraId="656ECB58" w14:textId="1A6739FD" w:rsidR="00E5316D" w:rsidRPr="000933AC" w:rsidRDefault="00E5316D" w:rsidP="000933AC">
                <w:pPr>
                  <w:numPr>
                    <w:ilvl w:val="0"/>
                    <w:numId w:val="4"/>
                  </w:numPr>
                  <w:tabs>
                    <w:tab w:val="left" w:pos="360"/>
                  </w:tabs>
                  <w:spacing w:before="120" w:after="120"/>
                  <w:ind w:left="324" w:hanging="283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>significant and sustained adverse trend for groundwater</w:t>
                </w:r>
                <w:r w:rsidR="004A7232" w:rsidRPr="0013195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60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9045A6F" w14:textId="0CD9F53D" w:rsidR="00E5316D" w:rsidRPr="00131952" w:rsidRDefault="00E5316D" w:rsidP="004A7F5D">
                <w:pPr>
                  <w:pStyle w:val="ListParagraph"/>
                  <w:numPr>
                    <w:ilvl w:val="0"/>
                    <w:numId w:val="4"/>
                  </w:numPr>
                  <w:spacing w:before="120" w:after="120" w:line="360" w:lineRule="auto"/>
                  <w:ind w:left="36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Theme="minorEastAsia" w:hAnsi="Arial" w:cs="Arial"/>
                    <w:sz w:val="24"/>
                    <w:szCs w:val="24"/>
                  </w:rPr>
                  <w:t>Environmental events guidance</w:t>
                </w:r>
                <w:r w:rsidR="004A7232" w:rsidRPr="00131952">
                  <w:rPr>
                    <w:rFonts w:ascii="Arial" w:eastAsiaTheme="minorEastAsia" w:hAnsi="Arial" w:cs="Arial"/>
                    <w:sz w:val="24"/>
                    <w:szCs w:val="24"/>
                  </w:rPr>
                  <w:t>.</w:t>
                </w:r>
              </w:p>
              <w:p w14:paraId="470E3043" w14:textId="77777777" w:rsidR="00E5316D" w:rsidRPr="00131952" w:rsidRDefault="00E5316D" w:rsidP="00181CBE">
                <w:pPr>
                  <w:pStyle w:val="ListParagraph"/>
                  <w:numPr>
                    <w:ilvl w:val="0"/>
                    <w:numId w:val="5"/>
                  </w:numPr>
                  <w:spacing w:before="120" w:after="120" w:line="360" w:lineRule="auto"/>
                  <w:ind w:left="36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16FF1441">
                  <w:rPr>
                    <w:rFonts w:ascii="Arial" w:eastAsiaTheme="minorEastAsia" w:hAnsi="Arial" w:cs="Arial"/>
                    <w:sz w:val="24"/>
                    <w:szCs w:val="24"/>
                  </w:rPr>
                  <w:t>Determine if any environmental standards have been breached:</w:t>
                </w:r>
              </w:p>
              <w:p w14:paraId="667BDB3D" w14:textId="552A5A92" w:rsidR="00E5316D" w:rsidRPr="00131952" w:rsidRDefault="57A9180E" w:rsidP="26A3526B">
                <w:pPr>
                  <w:pStyle w:val="ListParagraph"/>
                  <w:numPr>
                    <w:ilvl w:val="0"/>
                    <w:numId w:val="11"/>
                  </w:numPr>
                  <w:spacing w:before="120" w:after="120" w:line="360" w:lineRule="auto"/>
                  <w:contextualSpacing w:val="0"/>
                  <w:rPr>
                    <w:rFonts w:ascii="Arial" w:eastAsiaTheme="minorEastAsia" w:hAnsi="Arial" w:cs="Arial"/>
                    <w:sz w:val="24"/>
                    <w:szCs w:val="24"/>
                  </w:rPr>
                </w:pPr>
                <w:r w:rsidRPr="26A3526B">
                  <w:rPr>
                    <w:rFonts w:ascii="Arial" w:eastAsiaTheme="minorEastAsia" w:hAnsi="Arial" w:cs="Arial"/>
                    <w:sz w:val="24"/>
                    <w:szCs w:val="24"/>
                  </w:rPr>
                  <w:t>Groundwater monitoring</w:t>
                </w:r>
                <w:r w:rsidR="3F5ED8E6" w:rsidRPr="26A3526B">
                  <w:rPr>
                    <w:rFonts w:ascii="Arial" w:eastAsiaTheme="minorEastAsia" w:hAnsi="Arial" w:cs="Arial"/>
                    <w:sz w:val="24"/>
                    <w:szCs w:val="24"/>
                  </w:rPr>
                  <w:t>,</w:t>
                </w:r>
                <w:r w:rsidRPr="26A3526B">
                  <w:rPr>
                    <w:rFonts w:ascii="Arial" w:eastAsiaTheme="minorEastAsia" w:hAnsi="Arial" w:cs="Arial"/>
                    <w:sz w:val="24"/>
                    <w:szCs w:val="24"/>
                  </w:rPr>
                  <w:t xml:space="preserve"> </w:t>
                </w:r>
                <w:bookmarkStart w:id="0" w:name="_Int_NCueAv2w"/>
                <w:r w:rsidRPr="26A3526B">
                  <w:rPr>
                    <w:rFonts w:ascii="Arial" w:eastAsiaTheme="minorEastAsia" w:hAnsi="Arial" w:cs="Arial"/>
                    <w:sz w:val="24"/>
                    <w:szCs w:val="24"/>
                  </w:rPr>
                  <w:t>investigation</w:t>
                </w:r>
                <w:bookmarkEnd w:id="0"/>
                <w:r w:rsidRPr="26A3526B">
                  <w:rPr>
                    <w:rFonts w:ascii="Arial" w:eastAsiaTheme="minorEastAsia" w:hAnsi="Arial" w:cs="Arial"/>
                    <w:sz w:val="24"/>
                    <w:szCs w:val="24"/>
                  </w:rPr>
                  <w:t xml:space="preserve"> </w:t>
                </w:r>
                <w:r w:rsidR="58ADB09E" w:rsidRPr="26A3526B">
                  <w:rPr>
                    <w:rFonts w:ascii="Arial" w:eastAsiaTheme="minorEastAsia" w:hAnsi="Arial" w:cs="Arial"/>
                    <w:sz w:val="24"/>
                    <w:szCs w:val="24"/>
                  </w:rPr>
                  <w:t>or</w:t>
                </w:r>
                <w:r w:rsidRPr="26A3526B">
                  <w:rPr>
                    <w:rFonts w:ascii="Arial" w:eastAsiaTheme="minorEastAsia" w:hAnsi="Arial" w:cs="Arial"/>
                    <w:sz w:val="24"/>
                    <w:szCs w:val="24"/>
                  </w:rPr>
                  <w:t xml:space="preserve"> modelling demonstrates significant and sustained adverse trend.</w:t>
                </w:r>
              </w:p>
            </w:tc>
            <w:tc>
              <w:tcPr>
                <w:tcW w:w="1133" w:type="pct"/>
                <w:tcBorders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8969F0F" w14:textId="490E7A2A" w:rsidR="00E5316D" w:rsidRPr="00131952" w:rsidRDefault="224DCAC0" w:rsidP="00896D6F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26A3526B">
                  <w:rPr>
                    <w:rFonts w:ascii="Arial" w:hAnsi="Arial" w:cs="Arial"/>
                  </w:rPr>
                  <w:t>Demonstration that</w:t>
                </w:r>
                <w:r w:rsidR="57A9180E" w:rsidRPr="26A3526B">
                  <w:rPr>
                    <w:rFonts w:ascii="Arial" w:hAnsi="Arial" w:cs="Arial"/>
                  </w:rPr>
                  <w:t xml:space="preserve"> the </w:t>
                </w:r>
                <w:r w:rsidR="7022D255" w:rsidRPr="26A3526B">
                  <w:rPr>
                    <w:rFonts w:ascii="Arial" w:hAnsi="Arial" w:cs="Arial"/>
                  </w:rPr>
                  <w:t xml:space="preserve">cause or </w:t>
                </w:r>
                <w:bookmarkStart w:id="1" w:name="_Int_RGKmANDY"/>
                <w:r w:rsidR="7022D255" w:rsidRPr="26A3526B">
                  <w:rPr>
                    <w:rFonts w:ascii="Arial" w:hAnsi="Arial" w:cs="Arial"/>
                  </w:rPr>
                  <w:t>likely cause</w:t>
                </w:r>
                <w:bookmarkEnd w:id="1"/>
                <w:r w:rsidR="7022D255" w:rsidRPr="26A3526B">
                  <w:rPr>
                    <w:rFonts w:ascii="Arial" w:hAnsi="Arial" w:cs="Arial"/>
                  </w:rPr>
                  <w:t xml:space="preserve"> of </w:t>
                </w:r>
                <w:r w:rsidR="57A9180E" w:rsidRPr="26A3526B">
                  <w:rPr>
                    <w:rFonts w:ascii="Arial" w:hAnsi="Arial" w:cs="Arial"/>
                  </w:rPr>
                  <w:t>the</w:t>
                </w:r>
                <w:r w:rsidR="7E7876D1" w:rsidRPr="26A3526B">
                  <w:rPr>
                    <w:rFonts w:ascii="Arial" w:hAnsi="Arial" w:cs="Arial"/>
                  </w:rPr>
                  <w:t xml:space="preserve"> </w:t>
                </w:r>
                <w:r w:rsidR="1B0A06CE" w:rsidRPr="26A3526B">
                  <w:rPr>
                    <w:rFonts w:ascii="Arial" w:hAnsi="Arial" w:cs="Arial"/>
                  </w:rPr>
                  <w:t>harm</w:t>
                </w:r>
                <w:r w:rsidR="57A9180E" w:rsidRPr="26A3526B">
                  <w:rPr>
                    <w:rFonts w:ascii="Arial" w:hAnsi="Arial" w:cs="Arial"/>
                  </w:rPr>
                  <w:t xml:space="preserve"> has ceased</w:t>
                </w:r>
                <w:r w:rsidR="709B0FC2" w:rsidRPr="26A3526B">
                  <w:rPr>
                    <w:rFonts w:ascii="Arial" w:hAnsi="Arial" w:cs="Arial"/>
                  </w:rPr>
                  <w:t xml:space="preserve"> </w:t>
                </w:r>
                <w:r w:rsidR="6610698A" w:rsidRPr="26A3526B">
                  <w:rPr>
                    <w:rFonts w:ascii="Arial" w:hAnsi="Arial" w:cs="Arial"/>
                  </w:rPr>
                  <w:t>or</w:t>
                </w:r>
                <w:r w:rsidR="709B0FC2" w:rsidRPr="26A3526B">
                  <w:rPr>
                    <w:rFonts w:ascii="Arial" w:hAnsi="Arial" w:cs="Arial"/>
                  </w:rPr>
                  <w:t xml:space="preserve"> </w:t>
                </w:r>
                <w:r w:rsidR="57A9180E" w:rsidRPr="26A3526B">
                  <w:rPr>
                    <w:rFonts w:ascii="Arial" w:hAnsi="Arial" w:cs="Arial"/>
                  </w:rPr>
                  <w:t>been resolved. This can include monitoring</w:t>
                </w:r>
                <w:r w:rsidR="3AAA779B" w:rsidRPr="26A3526B">
                  <w:rPr>
                    <w:rFonts w:ascii="Arial" w:hAnsi="Arial" w:cs="Arial"/>
                  </w:rPr>
                  <w:t xml:space="preserve"> </w:t>
                </w:r>
                <w:r w:rsidR="6610698A" w:rsidRPr="26A3526B">
                  <w:rPr>
                    <w:rFonts w:ascii="Arial" w:hAnsi="Arial" w:cs="Arial"/>
                  </w:rPr>
                  <w:t>and</w:t>
                </w:r>
                <w:r w:rsidR="3AAA779B" w:rsidRPr="26A3526B">
                  <w:rPr>
                    <w:rFonts w:ascii="Arial" w:hAnsi="Arial" w:cs="Arial"/>
                  </w:rPr>
                  <w:t xml:space="preserve"> </w:t>
                </w:r>
                <w:r w:rsidR="57A9180E" w:rsidRPr="26A3526B">
                  <w:rPr>
                    <w:rFonts w:ascii="Arial" w:hAnsi="Arial" w:cs="Arial"/>
                  </w:rPr>
                  <w:t>modelling.</w:t>
                </w:r>
              </w:p>
            </w:tc>
          </w:tr>
          <w:tr w:rsidR="00E5316D" w:rsidRPr="00131952" w14:paraId="40385862" w14:textId="77777777" w:rsidTr="26A3526B">
            <w:trPr>
              <w:trHeight w:val="315"/>
            </w:trPr>
            <w:tc>
              <w:tcPr>
                <w:tcW w:w="1035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30FD6B3" w14:textId="05F4B298" w:rsidR="00E5316D" w:rsidRPr="00131952" w:rsidRDefault="00E5316D" w:rsidP="00181CBE">
                <w:pPr>
                  <w:spacing w:before="120" w:after="120"/>
                  <w:ind w:right="324"/>
                  <w:textAlignment w:val="baseline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>Descriptive conditions</w:t>
                </w:r>
                <w:r w:rsidR="00367610">
                  <w:rPr>
                    <w:rFonts w:ascii="Arial" w:hAnsi="Arial" w:cs="Arial"/>
                  </w:rPr>
                  <w:t>.</w:t>
                </w:r>
                <w:r w:rsidRPr="00131952">
                  <w:rPr>
                    <w:rFonts w:ascii="Arial" w:hAnsi="Arial" w:cs="Arial"/>
                  </w:rPr>
                  <w:t xml:space="preserve"> </w:t>
                </w:r>
              </w:p>
              <w:p w14:paraId="61AC5F2D" w14:textId="2CC331AC" w:rsidR="00E5316D" w:rsidRPr="00131952" w:rsidRDefault="00E5316D" w:rsidP="00181CBE">
                <w:pPr>
                  <w:spacing w:before="120" w:after="120"/>
                  <w:ind w:right="324"/>
                  <w:textAlignment w:val="baseline"/>
                  <w:rPr>
                    <w:rStyle w:val="normaltextrun"/>
                    <w:rFonts w:ascii="Arial" w:hAnsi="Arial" w:cs="Arial"/>
                  </w:rPr>
                </w:pPr>
                <w:r w:rsidRPr="00131952">
                  <w:rPr>
                    <w:rStyle w:val="normaltextrun"/>
                    <w:rFonts w:ascii="Arial" w:hAnsi="Arial" w:cs="Arial"/>
                  </w:rPr>
                  <w:t>No significant</w:t>
                </w:r>
                <w:r w:rsidR="003661F8">
                  <w:rPr>
                    <w:rStyle w:val="normaltextrun"/>
                    <w:rFonts w:ascii="Arial" w:hAnsi="Arial" w:cs="Arial"/>
                  </w:rPr>
                  <w:t>:</w:t>
                </w:r>
                <w:r w:rsidRPr="00131952">
                  <w:rPr>
                    <w:rStyle w:val="normaltextrun"/>
                    <w:rFonts w:ascii="Arial" w:hAnsi="Arial" w:cs="Arial"/>
                  </w:rPr>
                  <w:t xml:space="preserve"> </w:t>
                </w:r>
              </w:p>
              <w:p w14:paraId="2CCC2C7F" w14:textId="7657C320" w:rsidR="00E5316D" w:rsidRPr="004E520D" w:rsidRDefault="00226E5A" w:rsidP="004E520D">
                <w:pPr>
                  <w:pStyle w:val="ListParagraph"/>
                  <w:numPr>
                    <w:ilvl w:val="0"/>
                    <w:numId w:val="11"/>
                  </w:numPr>
                  <w:spacing w:before="120" w:after="120" w:line="360" w:lineRule="auto"/>
                  <w:ind w:right="323" w:hanging="357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i</w:t>
                </w:r>
                <w:r w:rsidR="00E5316D" w:rsidRPr="004E520D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ridescence</w:t>
                </w:r>
                <w:r w:rsidR="00F35A5E" w:rsidRPr="004E520D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E5316D" w:rsidRPr="004E520D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/</w:t>
                </w:r>
                <w:r w:rsidR="00F35A5E" w:rsidRPr="004E520D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proofErr w:type="gramStart"/>
                <w:r w:rsidR="00E5316D" w:rsidRPr="004E520D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sheen</w:t>
                </w:r>
                <w:r w:rsidR="009666EE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;</w:t>
                </w:r>
                <w:proofErr w:type="gramEnd"/>
              </w:p>
              <w:p w14:paraId="2FD3D43D" w14:textId="488A666B" w:rsidR="00E5316D" w:rsidRPr="00131952" w:rsidRDefault="00E5316D" w:rsidP="004E520D">
                <w:pPr>
                  <w:pStyle w:val="ListParagraph"/>
                  <w:numPr>
                    <w:ilvl w:val="0"/>
                    <w:numId w:val="12"/>
                  </w:numPr>
                  <w:spacing w:before="120" w:after="120" w:line="360" w:lineRule="auto"/>
                  <w:ind w:left="447" w:right="323" w:hanging="357"/>
                  <w:contextualSpacing w:val="0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proofErr w:type="gramStart"/>
                <w:r w:rsidRPr="00131952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discolouration</w:t>
                </w:r>
                <w:r w:rsidR="009666EE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;</w:t>
                </w:r>
                <w:proofErr w:type="gramEnd"/>
              </w:p>
              <w:p w14:paraId="6C81E24D" w14:textId="77BA83DA" w:rsidR="00E5316D" w:rsidRPr="00131952" w:rsidRDefault="00E5316D" w:rsidP="004E520D">
                <w:pPr>
                  <w:pStyle w:val="ListParagraph"/>
                  <w:numPr>
                    <w:ilvl w:val="0"/>
                    <w:numId w:val="12"/>
                  </w:numPr>
                  <w:spacing w:before="120" w:after="120" w:line="360" w:lineRule="auto"/>
                  <w:ind w:left="447" w:right="323" w:hanging="357"/>
                  <w:contextualSpacing w:val="0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deposition of </w:t>
                </w:r>
                <w:proofErr w:type="gramStart"/>
                <w:r w:rsidRPr="00131952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solids</w:t>
                </w:r>
                <w:r w:rsidR="009666EE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;</w:t>
                </w:r>
                <w:proofErr w:type="gramEnd"/>
                <w:r w:rsidRPr="00131952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  <w:p w14:paraId="4DD3A260" w14:textId="2F352EB2" w:rsidR="00E5316D" w:rsidRPr="00131952" w:rsidRDefault="00E5316D" w:rsidP="004E520D">
                <w:pPr>
                  <w:pStyle w:val="ListParagraph"/>
                  <w:numPr>
                    <w:ilvl w:val="0"/>
                    <w:numId w:val="12"/>
                  </w:numPr>
                  <w:spacing w:before="120" w:after="120" w:line="360" w:lineRule="auto"/>
                  <w:ind w:left="447" w:right="323" w:hanging="357"/>
                  <w:contextualSpacing w:val="0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increased foaming</w:t>
                </w:r>
                <w:r w:rsidR="009666EE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;</w:t>
                </w:r>
                <w:r w:rsidRPr="00131952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 or </w:t>
                </w:r>
              </w:p>
              <w:p w14:paraId="4B092733" w14:textId="264D2A4C" w:rsidR="00E5316D" w:rsidRPr="00131952" w:rsidRDefault="00E5316D" w:rsidP="00CD7DC5">
                <w:pPr>
                  <w:pStyle w:val="ListParagraph"/>
                  <w:numPr>
                    <w:ilvl w:val="0"/>
                    <w:numId w:val="12"/>
                  </w:numPr>
                  <w:spacing w:before="120" w:after="120" w:line="360" w:lineRule="auto"/>
                  <w:ind w:left="447" w:right="324"/>
                  <w:contextualSpacing w:val="0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microbiological </w:t>
                </w:r>
                <w:proofErr w:type="gramStart"/>
                <w:r w:rsidRPr="00131952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growth</w:t>
                </w:r>
                <w:r w:rsidR="009666EE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;</w:t>
                </w:r>
                <w:proofErr w:type="gramEnd"/>
                <w:r w:rsidRPr="00131952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  <w:p w14:paraId="3FC87D81" w14:textId="5F7408AB" w:rsidR="00E5316D" w:rsidRPr="000933AC" w:rsidRDefault="00E5316D" w:rsidP="000933AC">
                <w:pPr>
                  <w:spacing w:before="120" w:after="120"/>
                  <w:ind w:right="324"/>
                  <w:textAlignment w:val="baseline"/>
                  <w:rPr>
                    <w:rStyle w:val="normaltextrun"/>
                    <w:rFonts w:ascii="Arial" w:hAnsi="Arial" w:cs="Arial"/>
                  </w:rPr>
                </w:pPr>
                <w:r w:rsidRPr="00131952">
                  <w:rPr>
                    <w:rStyle w:val="normaltextrun"/>
                    <w:rFonts w:ascii="Arial" w:hAnsi="Arial" w:cs="Arial"/>
                  </w:rPr>
                  <w:t>in receiving waters</w:t>
                </w:r>
                <w:r w:rsidR="00226E5A">
                  <w:rPr>
                    <w:rStyle w:val="normaltextrun"/>
                    <w:rFonts w:ascii="Arial" w:hAnsi="Arial" w:cs="Arial"/>
                  </w:rPr>
                  <w:t>.</w:t>
                </w:r>
              </w:p>
              <w:p w14:paraId="643DA740" w14:textId="4785B872" w:rsidR="00E5316D" w:rsidRPr="00131952" w:rsidRDefault="57A9180E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26A3526B">
                  <w:rPr>
                    <w:rFonts w:ascii="Arial" w:hAnsi="Arial" w:cs="Arial"/>
                  </w:rPr>
                  <w:t xml:space="preserve">Conditions covering the control of nuisance, including but not limited to odour, noise, dust, litter, </w:t>
                </w:r>
                <w:bookmarkStart w:id="2" w:name="_Int_JBtdoCzp"/>
                <w:r w:rsidRPr="26A3526B">
                  <w:rPr>
                    <w:rFonts w:ascii="Arial" w:hAnsi="Arial" w:cs="Arial"/>
                  </w:rPr>
                  <w:t>aerosols</w:t>
                </w:r>
                <w:bookmarkEnd w:id="2"/>
                <w:r w:rsidRPr="26A3526B">
                  <w:rPr>
                    <w:rFonts w:ascii="Arial" w:hAnsi="Arial" w:cs="Arial"/>
                  </w:rPr>
                  <w:t xml:space="preserve"> and the presence of vermin</w:t>
                </w:r>
                <w:r w:rsidR="07F68771" w:rsidRPr="26A3526B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2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B7DFD8" w14:textId="7E411423" w:rsidR="00E5316D" w:rsidRPr="00131952" w:rsidRDefault="00E5316D" w:rsidP="00BC36C4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 xml:space="preserve">Non-compliance causes or </w:t>
                </w:r>
                <w:r w:rsidR="000A3077">
                  <w:rPr>
                    <w:rFonts w:ascii="Arial" w:hAnsi="Arial" w:cs="Arial"/>
                  </w:rPr>
                  <w:t>is likely</w:t>
                </w:r>
                <w:r w:rsidRPr="00131952">
                  <w:rPr>
                    <w:rFonts w:ascii="Arial" w:hAnsi="Arial" w:cs="Arial"/>
                  </w:rPr>
                  <w:t xml:space="preserve"> to cause</w:t>
                </w:r>
                <w:r w:rsidR="00BC36C4" w:rsidRPr="00131952">
                  <w:rPr>
                    <w:rFonts w:ascii="Arial" w:hAnsi="Arial" w:cs="Arial"/>
                  </w:rPr>
                  <w:t xml:space="preserve"> a </w:t>
                </w:r>
                <w:r w:rsidRPr="00131952">
                  <w:rPr>
                    <w:rFonts w:ascii="Arial" w:hAnsi="Arial" w:cs="Arial"/>
                  </w:rPr>
                  <w:t>category 1 or 2 environmental event</w:t>
                </w:r>
                <w:r w:rsidR="00BC36C4" w:rsidRPr="00131952">
                  <w:rPr>
                    <w:rFonts w:ascii="Arial" w:hAnsi="Arial" w:cs="Arial"/>
                  </w:rPr>
                  <w:t>.</w:t>
                </w:r>
              </w:p>
              <w:p w14:paraId="49131219" w14:textId="77777777" w:rsidR="00E5316D" w:rsidRPr="00131952" w:rsidRDefault="00E5316D" w:rsidP="0073343B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</w:p>
              <w:p w14:paraId="7BAA1E7F" w14:textId="77777777" w:rsidR="00E5316D" w:rsidRPr="00131952" w:rsidRDefault="00E5316D" w:rsidP="0073343B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</w:p>
              <w:p w14:paraId="4860F109" w14:textId="77777777" w:rsidR="00E5316D" w:rsidRPr="00131952" w:rsidRDefault="00E5316D" w:rsidP="0073343B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</w:p>
              <w:p w14:paraId="4A0BCCB2" w14:textId="77777777" w:rsidR="00E5316D" w:rsidRPr="00131952" w:rsidRDefault="00E5316D" w:rsidP="0073343B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</w:p>
              <w:p w14:paraId="41B8AE1E" w14:textId="77777777" w:rsidR="00E5316D" w:rsidRPr="00131952" w:rsidRDefault="00E5316D" w:rsidP="0073343B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</w:p>
              <w:p w14:paraId="64FC8C7D" w14:textId="77777777" w:rsidR="00E5316D" w:rsidRPr="00131952" w:rsidRDefault="00E5316D" w:rsidP="0073343B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</w:p>
              <w:p w14:paraId="47A67E36" w14:textId="77777777" w:rsidR="00E5316D" w:rsidRPr="00131952" w:rsidRDefault="00E5316D" w:rsidP="0073343B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</w:p>
              <w:p w14:paraId="5944BF8C" w14:textId="77777777" w:rsidR="00E5316D" w:rsidRPr="00131952" w:rsidRDefault="00E5316D" w:rsidP="0073343B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</w:p>
              <w:p w14:paraId="3D754736" w14:textId="77777777" w:rsidR="00E5316D" w:rsidRPr="00131952" w:rsidRDefault="00E5316D" w:rsidP="0073343B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</w:p>
              <w:p w14:paraId="5739A4ED" w14:textId="77777777" w:rsidR="00E5316D" w:rsidRPr="00131952" w:rsidRDefault="00E5316D" w:rsidP="0073343B">
                <w:pPr>
                  <w:spacing w:before="120" w:after="120"/>
                  <w:ind w:left="41" w:right="180"/>
                  <w:textAlignment w:val="baseline"/>
                  <w:rPr>
                    <w:rFonts w:ascii="Arial" w:hAnsi="Arial" w:cs="Arial"/>
                  </w:rPr>
                </w:pPr>
              </w:p>
              <w:p w14:paraId="2C462515" w14:textId="77777777" w:rsidR="00E5316D" w:rsidRPr="00131952" w:rsidRDefault="00E5316D" w:rsidP="0073343B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</w:p>
            </w:tc>
            <w:tc>
              <w:tcPr>
                <w:tcW w:w="16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FA5CCE" w14:textId="77777777" w:rsidR="005C6821" w:rsidRDefault="00E5316D" w:rsidP="00754754">
                <w:pPr>
                  <w:pStyle w:val="ListParagraph"/>
                  <w:numPr>
                    <w:ilvl w:val="0"/>
                    <w:numId w:val="20"/>
                  </w:numPr>
                  <w:spacing w:before="120" w:after="120" w:line="360" w:lineRule="auto"/>
                  <w:ind w:hanging="357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Environmental events guidance</w:t>
                </w:r>
                <w:r w:rsidR="00BB7195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3122135B" w14:textId="444B75FE" w:rsidR="00E5316D" w:rsidRPr="00754754" w:rsidRDefault="00E5316D" w:rsidP="00754754">
                <w:pPr>
                  <w:pStyle w:val="ListParagraph"/>
                  <w:numPr>
                    <w:ilvl w:val="0"/>
                    <w:numId w:val="20"/>
                  </w:numPr>
                  <w:spacing w:before="120" w:after="120" w:line="360" w:lineRule="auto"/>
                  <w:ind w:hanging="357"/>
                  <w:rPr>
                    <w:rFonts w:ascii="Arial" w:hAnsi="Arial" w:cs="Arial"/>
                    <w:sz w:val="24"/>
                    <w:szCs w:val="24"/>
                  </w:rPr>
                </w:pPr>
                <w:r w:rsidRPr="00754754">
                  <w:rPr>
                    <w:rFonts w:ascii="Arial" w:hAnsi="Arial" w:cs="Arial"/>
                    <w:sz w:val="24"/>
                    <w:szCs w:val="24"/>
                  </w:rPr>
                  <w:t xml:space="preserve">Inspection of the ‘Pollution Control’ or ‘Nuisance’ Schedule of the </w:t>
                </w:r>
                <w:r w:rsidR="3A0731BB" w:rsidRPr="00754754">
                  <w:rPr>
                    <w:rFonts w:ascii="Arial" w:hAnsi="Arial" w:cs="Arial"/>
                    <w:sz w:val="24"/>
                    <w:szCs w:val="24"/>
                  </w:rPr>
                  <w:t>Authorisation</w:t>
                </w:r>
              </w:p>
              <w:p w14:paraId="034D48B4" w14:textId="03A67618" w:rsidR="00E5316D" w:rsidRPr="00131952" w:rsidRDefault="00E5316D" w:rsidP="00754754">
                <w:pPr>
                  <w:pStyle w:val="ListParagraph"/>
                  <w:numPr>
                    <w:ilvl w:val="0"/>
                    <w:numId w:val="4"/>
                  </w:numPr>
                  <w:spacing w:before="120" w:after="120" w:line="360" w:lineRule="auto"/>
                  <w:ind w:left="457" w:hanging="357"/>
                  <w:contextualSpacing w:val="0"/>
                  <w:rPr>
                    <w:rFonts w:ascii="Arial" w:eastAsia="Arial" w:hAnsi="Arial" w:cs="Arial"/>
                    <w:color w:val="016574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 xml:space="preserve">SEPA’s </w:t>
                </w:r>
                <w:hyperlink r:id="rId11" w:history="1">
                  <w:r w:rsidRPr="00131952">
                    <w:rPr>
                      <w:rStyle w:val="Hyperlink"/>
                      <w:rFonts w:ascii="Arial" w:hAnsi="Arial" w:cs="Arial"/>
                      <w:color w:val="016574"/>
                      <w:sz w:val="24"/>
                      <w:szCs w:val="24"/>
                    </w:rPr>
                    <w:t>odour guidance</w:t>
                  </w:r>
                </w:hyperlink>
                <w:r w:rsidR="00BC36C4" w:rsidRPr="00131952">
                  <w:rPr>
                    <w:sz w:val="24"/>
                    <w:szCs w:val="24"/>
                  </w:rPr>
                  <w:t>.</w:t>
                </w:r>
              </w:p>
              <w:p w14:paraId="1A096083" w14:textId="7242FE8C" w:rsidR="00E5316D" w:rsidRPr="00131952" w:rsidRDefault="00E5316D" w:rsidP="00754754">
                <w:pPr>
                  <w:pStyle w:val="ListParagraph"/>
                  <w:numPr>
                    <w:ilvl w:val="0"/>
                    <w:numId w:val="4"/>
                  </w:numPr>
                  <w:spacing w:before="120" w:after="120" w:line="360" w:lineRule="auto"/>
                  <w:ind w:left="457" w:hanging="357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 xml:space="preserve">Noise: </w:t>
                </w:r>
                <w:r w:rsidR="00B53802">
                  <w:rPr>
                    <w:rFonts w:ascii="Arial" w:eastAsia="Arial" w:hAnsi="Arial" w:cs="Arial"/>
                    <w:sz w:val="24"/>
                    <w:szCs w:val="24"/>
                  </w:rPr>
                  <w:t>Environmental events</w:t>
                </w: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 xml:space="preserve"> guidance</w:t>
                </w:r>
                <w:r w:rsidR="00BC36C4" w:rsidRPr="00131952">
                  <w:rPr>
                    <w:rFonts w:ascii="Arial" w:eastAsia="Arial" w:hAnsi="Arial" w:cs="Arial"/>
                    <w:sz w:val="24"/>
                    <w:szCs w:val="24"/>
                  </w:rPr>
                  <w:t>.</w:t>
                </w:r>
              </w:p>
            </w:tc>
            <w:tc>
              <w:tcPr>
                <w:tcW w:w="11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91AA427" w14:textId="6FA29585" w:rsidR="00E5316D" w:rsidRPr="00131952" w:rsidRDefault="48E1CB60" w:rsidP="00896D6F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397" w:right="113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26A3526B">
                  <w:rPr>
                    <w:rFonts w:ascii="Arial" w:hAnsi="Arial" w:cs="Arial"/>
                    <w:sz w:val="24"/>
                    <w:szCs w:val="24"/>
                  </w:rPr>
                  <w:t xml:space="preserve">Demonstration that </w:t>
                </w:r>
                <w:r w:rsidR="239120E3" w:rsidRPr="26A3526B">
                  <w:rPr>
                    <w:rFonts w:ascii="Arial" w:eastAsia="Arial" w:hAnsi="Arial" w:cs="Arial"/>
                    <w:sz w:val="24"/>
                    <w:szCs w:val="24"/>
                  </w:rPr>
                  <w:t xml:space="preserve">the cause or </w:t>
                </w:r>
                <w:bookmarkStart w:id="3" w:name="_Int_loA9eGin"/>
                <w:r w:rsidR="239120E3" w:rsidRPr="26A3526B">
                  <w:rPr>
                    <w:rFonts w:ascii="Arial" w:eastAsia="Arial" w:hAnsi="Arial" w:cs="Arial"/>
                    <w:sz w:val="24"/>
                    <w:szCs w:val="24"/>
                  </w:rPr>
                  <w:t>likely cause</w:t>
                </w:r>
                <w:bookmarkEnd w:id="3"/>
                <w:r w:rsidR="239120E3" w:rsidRPr="26A3526B">
                  <w:rPr>
                    <w:rFonts w:ascii="Arial" w:eastAsia="Arial" w:hAnsi="Arial" w:cs="Arial"/>
                    <w:sz w:val="24"/>
                    <w:szCs w:val="24"/>
                  </w:rPr>
                  <w:t xml:space="preserve"> of the harm has ceased </w:t>
                </w:r>
                <w:r w:rsidR="364395B6" w:rsidRPr="26A3526B">
                  <w:rPr>
                    <w:rFonts w:ascii="Arial" w:eastAsia="Arial" w:hAnsi="Arial" w:cs="Arial"/>
                    <w:sz w:val="24"/>
                    <w:szCs w:val="24"/>
                  </w:rPr>
                  <w:t>or</w:t>
                </w:r>
                <w:r w:rsidR="239120E3" w:rsidRPr="26A3526B">
                  <w:rPr>
                    <w:rFonts w:ascii="Arial" w:eastAsia="Arial" w:hAnsi="Arial" w:cs="Arial"/>
                    <w:sz w:val="24"/>
                    <w:szCs w:val="24"/>
                  </w:rPr>
                  <w:t xml:space="preserve"> been resolve</w:t>
                </w:r>
                <w:r w:rsidR="13C27D97" w:rsidRPr="26A3526B">
                  <w:rPr>
                    <w:rFonts w:ascii="Arial" w:eastAsia="Arial" w:hAnsi="Arial" w:cs="Arial"/>
                    <w:sz w:val="24"/>
                    <w:szCs w:val="24"/>
                  </w:rPr>
                  <w:t>d,</w:t>
                </w:r>
                <w:r w:rsidR="239120E3" w:rsidRPr="26A3526B"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  <w:r w:rsidR="520BD319" w:rsidRPr="26A3526B">
                  <w:rPr>
                    <w:rFonts w:ascii="Arial" w:hAnsi="Arial" w:cs="Arial"/>
                    <w:sz w:val="24"/>
                    <w:szCs w:val="24"/>
                  </w:rPr>
                  <w:t>and the visual impact is now compliant.</w:t>
                </w:r>
                <w:r w:rsidR="57A9180E" w:rsidRPr="26A3526B">
                  <w:rPr>
                    <w:rFonts w:ascii="Arial" w:hAnsi="Arial" w:cs="Arial"/>
                    <w:sz w:val="24"/>
                    <w:szCs w:val="24"/>
                  </w:rPr>
                  <w:t> </w:t>
                </w:r>
              </w:p>
              <w:p w14:paraId="74C838CF" w14:textId="474DB301" w:rsidR="00E5316D" w:rsidRPr="00131952" w:rsidRDefault="00E5316D" w:rsidP="00896D6F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397" w:right="113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Operator conducts monitoring</w:t>
                </w:r>
                <w:r w:rsidR="003E19CE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131952">
                  <w:rPr>
                    <w:rFonts w:ascii="Arial" w:hAnsi="Arial" w:cs="Arial"/>
                    <w:sz w:val="24"/>
                    <w:szCs w:val="24"/>
                  </w:rPr>
                  <w:t>/</w:t>
                </w:r>
                <w:r w:rsidR="003E19CE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131952">
                  <w:rPr>
                    <w:rFonts w:ascii="Arial" w:hAnsi="Arial" w:cs="Arial"/>
                    <w:sz w:val="24"/>
                    <w:szCs w:val="24"/>
                  </w:rPr>
                  <w:t>modelling to indicate compliance.</w:t>
                </w:r>
              </w:p>
            </w:tc>
          </w:tr>
          <w:tr w:rsidR="00E5316D" w:rsidRPr="00131952" w14:paraId="1E3F941E" w14:textId="77777777" w:rsidTr="26A3526B">
            <w:trPr>
              <w:trHeight w:val="315"/>
            </w:trPr>
            <w:tc>
              <w:tcPr>
                <w:tcW w:w="1035" w:type="pct"/>
                <w:tcBorders>
                  <w:top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608EA0" w14:textId="1E30EA85" w:rsidR="00E5316D" w:rsidRPr="00131952" w:rsidRDefault="00E5316D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>Single tier numeric limits set to achieve environmental standards</w:t>
                </w:r>
                <w:r w:rsidR="00BB7195" w:rsidRPr="00131952">
                  <w:rPr>
                    <w:rFonts w:ascii="Arial" w:hAnsi="Arial" w:cs="Arial"/>
                  </w:rPr>
                  <w:t>.</w:t>
                </w:r>
                <w:r w:rsidRPr="00131952">
                  <w:rPr>
                    <w:rFonts w:ascii="Arial" w:hAnsi="Arial" w:cs="Arial"/>
                  </w:rPr>
                  <w:t xml:space="preserve"> </w:t>
                </w:r>
              </w:p>
            </w:tc>
            <w:tc>
              <w:tcPr>
                <w:tcW w:w="1227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DC56C78" w14:textId="55A1AB5C" w:rsidR="00E5316D" w:rsidRPr="00131952" w:rsidRDefault="00E5316D" w:rsidP="0073343B">
                <w:pPr>
                  <w:spacing w:before="120" w:after="120"/>
                  <w:textAlignment w:val="baseline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>More than twice the limit specified in authorisation</w:t>
                </w:r>
                <w:r w:rsidR="00BB7195" w:rsidRPr="00131952">
                  <w:rPr>
                    <w:rFonts w:ascii="Arial" w:hAnsi="Arial" w:cs="Arial"/>
                  </w:rPr>
                  <w:t>.</w:t>
                </w:r>
                <w:r w:rsidRPr="00131952">
                  <w:rPr>
                    <w:rFonts w:ascii="Arial" w:hAnsi="Arial" w:cs="Arial"/>
                  </w:rPr>
                  <w:t xml:space="preserve"> </w:t>
                </w:r>
              </w:p>
              <w:p w14:paraId="29DF0BBD" w14:textId="77777777" w:rsidR="00E5316D" w:rsidRPr="00131952" w:rsidRDefault="00E5316D" w:rsidP="0073343B">
                <w:pPr>
                  <w:spacing w:before="120" w:after="120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>Exceptions:</w:t>
                </w:r>
              </w:p>
              <w:p w14:paraId="6CD22AD3" w14:textId="1BB8AB0C" w:rsidR="00E5316D" w:rsidRPr="00131952" w:rsidRDefault="00E5316D" w:rsidP="00CD7DC5">
                <w:pPr>
                  <w:pStyle w:val="ListParagraph"/>
                  <w:numPr>
                    <w:ilvl w:val="0"/>
                    <w:numId w:val="6"/>
                  </w:numPr>
                  <w:tabs>
                    <w:tab w:val="left" w:pos="432"/>
                  </w:tabs>
                  <w:spacing w:before="120" w:after="120" w:line="360" w:lineRule="auto"/>
                  <w:ind w:left="462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 xml:space="preserve">pH: limit exceeded by </w:t>
                </w:r>
                <w:r w:rsidR="00CC463C" w:rsidRPr="00131952">
                  <w:rPr>
                    <w:rFonts w:ascii="Arial" w:hAnsi="Arial" w:cs="Arial"/>
                    <w:sz w:val="24"/>
                    <w:szCs w:val="24"/>
                  </w:rPr>
                  <w:t xml:space="preserve">more than </w:t>
                </w:r>
                <w:r w:rsidRPr="00131952">
                  <w:rPr>
                    <w:rFonts w:ascii="Arial" w:hAnsi="Arial" w:cs="Arial"/>
                    <w:sz w:val="24"/>
                    <w:szCs w:val="24"/>
                  </w:rPr>
                  <w:t>1 unit</w:t>
                </w:r>
                <w:r w:rsidR="00BB7195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55C1C056" w14:textId="476D7B4B" w:rsidR="00E5316D" w:rsidRPr="00131952" w:rsidRDefault="00E5316D" w:rsidP="00CD7DC5">
                <w:pPr>
                  <w:pStyle w:val="ListParagraph"/>
                  <w:numPr>
                    <w:ilvl w:val="0"/>
                    <w:numId w:val="6"/>
                  </w:numPr>
                  <w:tabs>
                    <w:tab w:val="left" w:pos="432"/>
                  </w:tabs>
                  <w:spacing w:before="120" w:after="120" w:line="360" w:lineRule="auto"/>
                  <w:ind w:left="462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Temperature: exceede</w:t>
                </w:r>
                <w:r w:rsidRPr="00131952">
                  <w:rPr>
                    <w:rFonts w:ascii="Arial" w:eastAsiaTheme="minorEastAsia" w:hAnsi="Arial" w:cs="Arial"/>
                    <w:sz w:val="24"/>
                    <w:szCs w:val="24"/>
                  </w:rPr>
                  <w:t xml:space="preserve">d by </w:t>
                </w:r>
                <w:r w:rsidR="00CC463C" w:rsidRPr="00131952">
                  <w:rPr>
                    <w:rFonts w:ascii="Arial" w:eastAsiaTheme="minorEastAsia" w:hAnsi="Arial" w:cs="Arial"/>
                    <w:sz w:val="24"/>
                    <w:szCs w:val="24"/>
                  </w:rPr>
                  <w:t xml:space="preserve">more than </w:t>
                </w:r>
                <w:r w:rsidRPr="00131952">
                  <w:rPr>
                    <w:rFonts w:ascii="Arial" w:eastAsiaTheme="minorEastAsia" w:hAnsi="Arial" w:cs="Arial"/>
                    <w:sz w:val="24"/>
                    <w:szCs w:val="24"/>
                  </w:rPr>
                  <w:t>5°C</w:t>
                </w:r>
                <w:r w:rsidR="00BB7195" w:rsidRPr="00131952">
                  <w:rPr>
                    <w:rFonts w:ascii="Arial" w:eastAsiaTheme="minorEastAsia" w:hAnsi="Arial" w:cs="Arial"/>
                    <w:sz w:val="24"/>
                    <w:szCs w:val="24"/>
                  </w:rPr>
                  <w:t>.</w:t>
                </w:r>
              </w:p>
              <w:p w14:paraId="04FC7B70" w14:textId="4E1FB8AC" w:rsidR="00E5316D" w:rsidRPr="00131952" w:rsidRDefault="00E5316D" w:rsidP="00CD7DC5">
                <w:pPr>
                  <w:pStyle w:val="ListParagraph"/>
                  <w:numPr>
                    <w:ilvl w:val="0"/>
                    <w:numId w:val="6"/>
                  </w:numPr>
                  <w:tabs>
                    <w:tab w:val="left" w:pos="432"/>
                  </w:tabs>
                  <w:spacing w:before="120" w:after="120" w:line="360" w:lineRule="auto"/>
                  <w:ind w:left="462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Any breach of a treated effluent emissions limit to water for upper-tier only conditions</w:t>
                </w:r>
                <w:r w:rsidR="00BB7195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65182325" w14:textId="31FC82D1" w:rsidR="002F5150" w:rsidRPr="00131952" w:rsidRDefault="00E5316D" w:rsidP="00CD7DC5">
                <w:pPr>
                  <w:pStyle w:val="ListParagraph"/>
                  <w:numPr>
                    <w:ilvl w:val="0"/>
                    <w:numId w:val="6"/>
                  </w:numPr>
                  <w:tabs>
                    <w:tab w:val="left" w:pos="432"/>
                  </w:tabs>
                  <w:spacing w:before="120" w:after="120" w:line="360" w:lineRule="auto"/>
                  <w:ind w:left="462"/>
                  <w:contextualSpacing w:val="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Calibri" w:hAnsi="Arial" w:cs="Arial"/>
                    <w:sz w:val="24"/>
                    <w:szCs w:val="24"/>
                  </w:rPr>
                  <w:t xml:space="preserve">Landfill leachate head </w:t>
                </w:r>
                <w:r w:rsidR="005B1CFC" w:rsidRPr="00131952">
                  <w:rPr>
                    <w:rFonts w:ascii="Arial" w:eastAsia="Calibri" w:hAnsi="Arial" w:cs="Arial"/>
                    <w:sz w:val="24"/>
                    <w:szCs w:val="24"/>
                  </w:rPr>
                  <w:t xml:space="preserve">limit exceeded by more than </w:t>
                </w:r>
                <w:r w:rsidRPr="00131952">
                  <w:rPr>
                    <w:rFonts w:ascii="Arial" w:eastAsia="Calibri" w:hAnsi="Arial" w:cs="Arial"/>
                    <w:sz w:val="24"/>
                    <w:szCs w:val="24"/>
                  </w:rPr>
                  <w:t>1m</w:t>
                </w:r>
                <w:r w:rsidR="00BB7195" w:rsidRPr="00131952">
                  <w:rPr>
                    <w:rFonts w:ascii="Arial" w:eastAsia="Calibri" w:hAnsi="Arial" w:cs="Arial"/>
                    <w:sz w:val="24"/>
                    <w:szCs w:val="24"/>
                  </w:rPr>
                  <w:t>.</w:t>
                </w:r>
                <w:r w:rsidRPr="00131952">
                  <w:rPr>
                    <w:rFonts w:ascii="Arial" w:eastAsia="Calibri" w:hAnsi="Arial" w:cs="Arial"/>
                    <w:sz w:val="24"/>
                    <w:szCs w:val="24"/>
                  </w:rPr>
                  <w:t xml:space="preserve"> </w:t>
                </w:r>
              </w:p>
              <w:p w14:paraId="214C8CF5" w14:textId="3F3347B8" w:rsidR="00E5316D" w:rsidRPr="00131952" w:rsidRDefault="00D53DB9" w:rsidP="00CD7DC5">
                <w:pPr>
                  <w:pStyle w:val="ListParagraph"/>
                  <w:numPr>
                    <w:ilvl w:val="0"/>
                    <w:numId w:val="6"/>
                  </w:numPr>
                  <w:tabs>
                    <w:tab w:val="left" w:pos="432"/>
                  </w:tabs>
                  <w:spacing w:before="120" w:after="120" w:line="360" w:lineRule="auto"/>
                  <w:ind w:left="462"/>
                  <w:contextualSpacing w:val="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 xml:space="preserve">Landfill </w:t>
                </w:r>
                <w:r w:rsidR="00ED2CF8" w:rsidRPr="00131952">
                  <w:rPr>
                    <w:rFonts w:ascii="Arial" w:hAnsi="Arial" w:cs="Arial"/>
                    <w:sz w:val="24"/>
                    <w:szCs w:val="24"/>
                  </w:rPr>
                  <w:t xml:space="preserve">perimeter borehole </w:t>
                </w:r>
                <w:r w:rsidR="0065413C" w:rsidRPr="00131952">
                  <w:rPr>
                    <w:rFonts w:ascii="Arial" w:hAnsi="Arial" w:cs="Arial"/>
                    <w:sz w:val="24"/>
                    <w:szCs w:val="24"/>
                  </w:rPr>
                  <w:t>Methane concentration</w:t>
                </w:r>
                <w:r w:rsidR="00AD0166" w:rsidRPr="0013195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65413C" w:rsidRPr="00131952">
                  <w:rPr>
                    <w:rFonts w:ascii="Arial" w:hAnsi="Arial" w:cs="Arial"/>
                    <w:sz w:val="24"/>
                    <w:szCs w:val="24"/>
                  </w:rPr>
                  <w:t xml:space="preserve">between </w:t>
                </w:r>
                <w:r w:rsidR="00CF0AA4" w:rsidRPr="00131952">
                  <w:rPr>
                    <w:rFonts w:ascii="Arial" w:hAnsi="Arial" w:cs="Arial"/>
                    <w:sz w:val="24"/>
                    <w:szCs w:val="24"/>
                  </w:rPr>
                  <w:t>5% and 15%</w:t>
                </w:r>
                <w:r w:rsidR="00BB7195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  <w:r w:rsidR="00CF0AA4" w:rsidRPr="0013195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1605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C94308C" w14:textId="3637C75B" w:rsidR="00E5316D" w:rsidRPr="00131952" w:rsidRDefault="00E5316D" w:rsidP="00CD7DC5">
                <w:pPr>
                  <w:pStyle w:val="ListParagraph"/>
                  <w:numPr>
                    <w:ilvl w:val="0"/>
                    <w:numId w:val="6"/>
                  </w:numPr>
                  <w:spacing w:before="120" w:after="120" w:line="360" w:lineRule="auto"/>
                  <w:ind w:left="36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SEPA monitoring data</w:t>
                </w:r>
                <w:r w:rsidR="00BB7195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5C175DB9" w14:textId="14E7CD38" w:rsidR="00E5316D" w:rsidRPr="00131952" w:rsidRDefault="00E5316D" w:rsidP="00CD7DC5">
                <w:pPr>
                  <w:pStyle w:val="ListParagraph"/>
                  <w:numPr>
                    <w:ilvl w:val="0"/>
                    <w:numId w:val="6"/>
                  </w:numPr>
                  <w:spacing w:before="120" w:after="120" w:line="360" w:lineRule="auto"/>
                  <w:ind w:left="36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Operator self-monitoring</w:t>
                </w:r>
                <w:r w:rsidR="00BB7195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07736D95" w14:textId="77777777" w:rsidR="00E5316D" w:rsidRPr="00131952" w:rsidRDefault="00E5316D" w:rsidP="00CD7DC5">
                <w:pPr>
                  <w:pStyle w:val="ListParagraph"/>
                  <w:numPr>
                    <w:ilvl w:val="0"/>
                    <w:numId w:val="6"/>
                  </w:numPr>
                  <w:spacing w:before="120" w:after="120" w:line="360" w:lineRule="auto"/>
                  <w:ind w:left="36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hyperlink r:id="rId12" w:history="1">
                  <w:r w:rsidRPr="00131952">
                    <w:rPr>
                      <w:rStyle w:val="Hyperlink"/>
                      <w:rFonts w:ascii="Arial" w:eastAsia="Arial" w:hAnsi="Arial" w:cs="Arial"/>
                      <w:sz w:val="24"/>
                      <w:szCs w:val="24"/>
                    </w:rPr>
                    <w:t>Regulatory Method (WAT-RM-40)</w:t>
                  </w:r>
                </w:hyperlink>
              </w:p>
              <w:p w14:paraId="723FABC4" w14:textId="77777777" w:rsidR="00E5316D" w:rsidRPr="00131952" w:rsidRDefault="00E5316D" w:rsidP="00CD7DC5">
                <w:pPr>
                  <w:pStyle w:val="ListParagraph"/>
                  <w:numPr>
                    <w:ilvl w:val="0"/>
                    <w:numId w:val="6"/>
                  </w:numPr>
                  <w:spacing w:before="120" w:after="120" w:line="360" w:lineRule="auto"/>
                  <w:ind w:left="36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hyperlink r:id="rId13" w:history="1">
                  <w:r w:rsidRPr="00131952">
                    <w:rPr>
                      <w:rStyle w:val="Hyperlink"/>
                      <w:rFonts w:ascii="Arial" w:hAnsi="Arial" w:cs="Arial"/>
                      <w:sz w:val="24"/>
                      <w:szCs w:val="24"/>
                    </w:rPr>
                    <w:t>Guidance on the management of landfill gas</w:t>
                  </w:r>
                </w:hyperlink>
              </w:p>
              <w:p w14:paraId="0FAD78B7" w14:textId="77777777" w:rsidR="00E5316D" w:rsidRPr="00131952" w:rsidRDefault="00E5316D" w:rsidP="00181CBE">
                <w:pPr>
                  <w:spacing w:before="120" w:after="120"/>
                  <w:rPr>
                    <w:rFonts w:ascii="Arial" w:hAnsi="Arial" w:cs="Arial"/>
                  </w:rPr>
                </w:pPr>
              </w:p>
              <w:p w14:paraId="0CFCB75C" w14:textId="77777777" w:rsidR="00E5316D" w:rsidRPr="00131952" w:rsidRDefault="00E5316D" w:rsidP="00181CBE">
                <w:pPr>
                  <w:spacing w:before="120" w:after="120"/>
                  <w:rPr>
                    <w:rFonts w:ascii="Arial" w:hAnsi="Arial" w:cs="Arial"/>
                  </w:rPr>
                </w:pPr>
              </w:p>
              <w:p w14:paraId="561304B6" w14:textId="77777777" w:rsidR="00E5316D" w:rsidRPr="00131952" w:rsidRDefault="00E5316D" w:rsidP="00181CBE">
                <w:pPr>
                  <w:spacing w:before="120" w:after="120"/>
                  <w:rPr>
                    <w:rFonts w:ascii="Arial" w:hAnsi="Arial" w:cs="Arial"/>
                  </w:rPr>
                </w:pPr>
              </w:p>
              <w:p w14:paraId="32A88E1D" w14:textId="77777777" w:rsidR="00E5316D" w:rsidRPr="00131952" w:rsidRDefault="00E5316D" w:rsidP="00181CBE">
                <w:pPr>
                  <w:spacing w:before="120" w:after="120"/>
                  <w:rPr>
                    <w:rFonts w:ascii="Arial" w:hAnsi="Arial" w:cs="Arial"/>
                  </w:rPr>
                </w:pPr>
              </w:p>
              <w:p w14:paraId="0760B9C4" w14:textId="77777777" w:rsidR="00E5316D" w:rsidRPr="00131952" w:rsidRDefault="00E5316D" w:rsidP="00181CBE">
                <w:pPr>
                  <w:spacing w:before="120" w:after="120"/>
                  <w:rPr>
                    <w:rFonts w:ascii="Arial" w:hAnsi="Arial" w:cs="Arial"/>
                  </w:rPr>
                </w:pPr>
              </w:p>
              <w:p w14:paraId="10C85E03" w14:textId="77777777" w:rsidR="00E5316D" w:rsidRPr="00131952" w:rsidRDefault="00E5316D" w:rsidP="00181CBE">
                <w:pPr>
                  <w:spacing w:before="120" w:after="120"/>
                  <w:rPr>
                    <w:rFonts w:ascii="Arial" w:hAnsi="Arial" w:cs="Arial"/>
                  </w:rPr>
                </w:pPr>
              </w:p>
            </w:tc>
            <w:tc>
              <w:tcPr>
                <w:tcW w:w="1133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4C355C4" w14:textId="77777777" w:rsidR="00E5316D" w:rsidRPr="00131952" w:rsidRDefault="00E5316D" w:rsidP="00896D6F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>Major non-compliance remains until next compliant sample.</w:t>
                </w:r>
              </w:p>
              <w:p w14:paraId="74BE1791" w14:textId="77777777" w:rsidR="00E5316D" w:rsidRPr="00131952" w:rsidRDefault="00E5316D" w:rsidP="00181CBE">
                <w:pPr>
                  <w:spacing w:before="120" w:after="120"/>
                  <w:rPr>
                    <w:rFonts w:ascii="Arial" w:hAnsi="Arial" w:cs="Arial"/>
                    <w:color w:val="FF0000"/>
                  </w:rPr>
                </w:pPr>
              </w:p>
              <w:p w14:paraId="71CB45BF" w14:textId="77777777" w:rsidR="00E5316D" w:rsidRPr="00131952" w:rsidRDefault="00E5316D" w:rsidP="00181CBE">
                <w:pPr>
                  <w:spacing w:before="120" w:after="120"/>
                  <w:rPr>
                    <w:rFonts w:ascii="Arial" w:hAnsi="Arial" w:cs="Arial"/>
                  </w:rPr>
                </w:pPr>
              </w:p>
            </w:tc>
          </w:tr>
          <w:tr w:rsidR="00E5316D" w:rsidRPr="00131952" w14:paraId="53DAE55B" w14:textId="77777777" w:rsidTr="26A3526B">
            <w:trPr>
              <w:trHeight w:val="315"/>
            </w:trPr>
            <w:tc>
              <w:tcPr>
                <w:tcW w:w="1035" w:type="pct"/>
                <w:tcBorders>
                  <w:top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911D57B" w14:textId="4C20A47D" w:rsidR="00E5316D" w:rsidRPr="00131952" w:rsidRDefault="00E5316D" w:rsidP="00181CBE">
                <w:pPr>
                  <w:spacing w:before="120" w:after="120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>Two-tier numeric limits set to achieve environmental standards (set according to a specified statistical distribution)</w:t>
                </w:r>
                <w:r w:rsidR="00BB7195" w:rsidRPr="0013195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227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15D8B47" w14:textId="77777777" w:rsidR="0073343B" w:rsidRPr="00131952" w:rsidRDefault="00E5316D" w:rsidP="00CD7DC5">
                <w:pPr>
                  <w:pStyle w:val="ListParagraph"/>
                  <w:numPr>
                    <w:ilvl w:val="0"/>
                    <w:numId w:val="21"/>
                  </w:numPr>
                  <w:spacing w:before="120" w:after="120" w:line="360" w:lineRule="auto"/>
                  <w:ind w:left="36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Any breach of upper-tier limit</w:t>
                </w:r>
              </w:p>
              <w:p w14:paraId="7C379597" w14:textId="6C41499B" w:rsidR="00E5316D" w:rsidRPr="00131952" w:rsidRDefault="00E5316D" w:rsidP="00CD7DC5">
                <w:pPr>
                  <w:pStyle w:val="ListParagraph"/>
                  <w:numPr>
                    <w:ilvl w:val="0"/>
                    <w:numId w:val="21"/>
                  </w:numPr>
                  <w:spacing w:before="120" w:after="120" w:line="360" w:lineRule="auto"/>
                  <w:ind w:left="36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Number of planned samples exceeding lower tier limit is greater than the maximum number of permitted exceedances specified in the look up table</w:t>
                </w:r>
                <w:r w:rsidR="00BB7195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  <w:tc>
              <w:tcPr>
                <w:tcW w:w="1605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64E37C9" w14:textId="06419781" w:rsidR="00E5316D" w:rsidRPr="00131952" w:rsidRDefault="00E5316D" w:rsidP="00181CBE">
                <w:pPr>
                  <w:spacing w:before="120" w:after="120"/>
                  <w:textAlignment w:val="baseline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>Assess against authorisation conditions and look up table.</w:t>
                </w:r>
              </w:p>
              <w:p w14:paraId="21BED61D" w14:textId="1B533444" w:rsidR="00E5316D" w:rsidRPr="00131952" w:rsidRDefault="00E5316D" w:rsidP="00CD7DC5">
                <w:pPr>
                  <w:pStyle w:val="ListParagraph"/>
                  <w:numPr>
                    <w:ilvl w:val="0"/>
                    <w:numId w:val="13"/>
                  </w:numPr>
                  <w:spacing w:before="120" w:after="120" w:line="360" w:lineRule="auto"/>
                  <w:ind w:left="316"/>
                  <w:contextualSpacing w:val="0"/>
                  <w:textAlignment w:val="baseline"/>
                  <w:rPr>
                    <w:rFonts w:ascii="Arial" w:eastAsiaTheme="minorEastAsia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Theme="minorEastAsia" w:hAnsi="Arial" w:cs="Arial"/>
                    <w:sz w:val="24"/>
                    <w:szCs w:val="24"/>
                  </w:rPr>
                  <w:t>SEPA monitoring data</w:t>
                </w:r>
                <w:r w:rsidR="00BB7195" w:rsidRPr="00131952">
                  <w:rPr>
                    <w:rFonts w:ascii="Arial" w:eastAsiaTheme="minorEastAsia" w:hAnsi="Arial" w:cs="Arial"/>
                    <w:sz w:val="24"/>
                    <w:szCs w:val="24"/>
                  </w:rPr>
                  <w:t>.</w:t>
                </w:r>
              </w:p>
              <w:p w14:paraId="3128E3F0" w14:textId="6208DAE9" w:rsidR="00E5316D" w:rsidRPr="00131952" w:rsidRDefault="00E5316D" w:rsidP="00CD7DC5">
                <w:pPr>
                  <w:pStyle w:val="ListParagraph"/>
                  <w:numPr>
                    <w:ilvl w:val="0"/>
                    <w:numId w:val="13"/>
                  </w:numPr>
                  <w:spacing w:before="120" w:after="120" w:line="360" w:lineRule="auto"/>
                  <w:ind w:left="316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Operator self-monitoring</w:t>
                </w:r>
                <w:r w:rsidR="00BB7195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08BD3A05" w14:textId="77777777" w:rsidR="00E5316D" w:rsidRPr="00131952" w:rsidRDefault="00E5316D" w:rsidP="00CD7DC5">
                <w:pPr>
                  <w:pStyle w:val="ListParagraph"/>
                  <w:numPr>
                    <w:ilvl w:val="0"/>
                    <w:numId w:val="13"/>
                  </w:numPr>
                  <w:spacing w:before="120" w:after="120" w:line="360" w:lineRule="auto"/>
                  <w:ind w:left="316"/>
                  <w:contextualSpacing w:val="0"/>
                  <w:rPr>
                    <w:rFonts w:ascii="Arial" w:hAnsi="Arial" w:cs="Arial"/>
                    <w:color w:val="016574"/>
                    <w:sz w:val="24"/>
                    <w:szCs w:val="24"/>
                  </w:rPr>
                </w:pPr>
                <w:hyperlink r:id="rId14" w:history="1">
                  <w:r w:rsidRPr="00131952">
                    <w:rPr>
                      <w:rStyle w:val="Hyperlink"/>
                      <w:rFonts w:ascii="Arial" w:eastAsia="Arial" w:hAnsi="Arial" w:cs="Arial"/>
                      <w:color w:val="016574"/>
                      <w:sz w:val="24"/>
                      <w:szCs w:val="24"/>
                    </w:rPr>
                    <w:t>Regulatory Method (WAT-RM-40)</w:t>
                  </w:r>
                </w:hyperlink>
              </w:p>
              <w:p w14:paraId="5E677E66" w14:textId="77777777" w:rsidR="00E5316D" w:rsidRPr="00131952" w:rsidRDefault="00E5316D" w:rsidP="00181CBE">
                <w:pPr>
                  <w:pStyle w:val="ListParagraph"/>
                  <w:spacing w:before="120" w:after="120" w:line="360" w:lineRule="auto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B72ADC0" w14:textId="77777777" w:rsidR="00E5316D" w:rsidRPr="00131952" w:rsidRDefault="00E5316D" w:rsidP="00181CBE">
                <w:pPr>
                  <w:spacing w:before="120" w:after="120"/>
                  <w:rPr>
                    <w:rFonts w:ascii="Arial" w:hAnsi="Arial" w:cs="Arial"/>
                  </w:rPr>
                </w:pPr>
              </w:p>
            </w:tc>
            <w:tc>
              <w:tcPr>
                <w:tcW w:w="1133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FB99B69" w14:textId="08C2FE0E" w:rsidR="00E5316D" w:rsidRPr="00131952" w:rsidRDefault="00E5316D" w:rsidP="00896D6F">
                <w:pPr>
                  <w:pStyle w:val="ListParagraph"/>
                  <w:numPr>
                    <w:ilvl w:val="0"/>
                    <w:numId w:val="27"/>
                  </w:numPr>
                  <w:spacing w:before="120" w:after="0" w:line="360" w:lineRule="auto"/>
                  <w:ind w:left="431" w:right="113" w:hanging="318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U</w:t>
                </w: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>pper tier</w:t>
                </w:r>
                <w:r w:rsidR="003F7204" w:rsidRPr="00131952">
                  <w:rPr>
                    <w:rFonts w:cstheme="minorHAnsi"/>
                    <w:sz w:val="24"/>
                    <w:szCs w:val="24"/>
                  </w:rPr>
                  <w:t xml:space="preserve">: </w:t>
                </w:r>
                <w:r w:rsidR="003F7204" w:rsidRPr="00131952">
                  <w:rPr>
                    <w:rFonts w:asciiTheme="majorHAnsi" w:hAnsiTheme="majorHAnsi" w:cstheme="majorHAnsi"/>
                    <w:sz w:val="24"/>
                    <w:szCs w:val="24"/>
                  </w:rPr>
                  <w:t>when the next planned sample result is compliant</w:t>
                </w:r>
                <w:r w:rsidR="00BB7195" w:rsidRPr="00131952">
                  <w:rPr>
                    <w:rFonts w:asciiTheme="majorHAnsi" w:hAnsiTheme="majorHAnsi" w:cstheme="majorHAnsi"/>
                    <w:sz w:val="24"/>
                    <w:szCs w:val="24"/>
                  </w:rPr>
                  <w:t>.</w:t>
                </w:r>
              </w:p>
              <w:p w14:paraId="79808E2A" w14:textId="7687BF9A" w:rsidR="00E5316D" w:rsidRPr="00131952" w:rsidRDefault="00E5316D" w:rsidP="00896D6F">
                <w:pPr>
                  <w:pStyle w:val="ListParagraph"/>
                  <w:numPr>
                    <w:ilvl w:val="0"/>
                    <w:numId w:val="27"/>
                  </w:numPr>
                  <w:spacing w:before="120" w:after="0" w:line="360" w:lineRule="auto"/>
                  <w:ind w:left="431" w:right="113" w:hanging="318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Lower tier: when number of planned samples exceeding lower tier limit is less than the maximum number of permitted exceedances in the previous 12 months - specified in the look up table</w:t>
                </w:r>
                <w:r w:rsidR="00AC3CCE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tr>
          <w:tr w:rsidR="00E5316D" w:rsidRPr="00131952" w14:paraId="18055272" w14:textId="77777777" w:rsidTr="26A3526B">
            <w:trPr>
              <w:trHeight w:val="315"/>
            </w:trPr>
            <w:tc>
              <w:tcPr>
                <w:tcW w:w="1035" w:type="pct"/>
                <w:tcBorders>
                  <w:top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3B32B0A" w14:textId="50CE7A38" w:rsidR="00E5316D" w:rsidRPr="00131952" w:rsidRDefault="00E5316D" w:rsidP="00181CBE">
                <w:pPr>
                  <w:spacing w:before="120" w:after="120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>Annual numerical limits</w:t>
                </w:r>
                <w:r w:rsidR="00AC3CCE" w:rsidRPr="0013195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227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8A463C8" w14:textId="42565CDA" w:rsidR="00E5316D" w:rsidRPr="00131952" w:rsidRDefault="00E5316D" w:rsidP="0073343B">
                <w:pPr>
                  <w:spacing w:before="120" w:after="120"/>
                  <w:textAlignment w:val="baseline"/>
                  <w:rPr>
                    <w:rFonts w:ascii="Arial" w:eastAsia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>Any breach of the limit specified in the authorisation</w:t>
                </w:r>
                <w:r w:rsidR="00AC3CCE" w:rsidRPr="00131952">
                  <w:rPr>
                    <w:rFonts w:ascii="Arial" w:hAnsi="Arial" w:cs="Arial"/>
                  </w:rPr>
                  <w:t>.</w:t>
                </w:r>
              </w:p>
              <w:p w14:paraId="0B86BF01" w14:textId="77777777" w:rsidR="00E5316D" w:rsidRPr="00131952" w:rsidRDefault="00E5316D" w:rsidP="0073343B">
                <w:pPr>
                  <w:spacing w:before="120" w:after="120"/>
                  <w:textAlignment w:val="baseline"/>
                  <w:rPr>
                    <w:rFonts w:ascii="Arial" w:hAnsi="Arial" w:cs="Arial"/>
                  </w:rPr>
                </w:pPr>
              </w:p>
            </w:tc>
            <w:tc>
              <w:tcPr>
                <w:tcW w:w="1605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A4FA197" w14:textId="417ADA1E" w:rsidR="00E5316D" w:rsidRPr="00131952" w:rsidRDefault="00E5316D" w:rsidP="00181CBE">
                <w:pPr>
                  <w:spacing w:before="120" w:after="120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>Assess against limit in authorisation</w:t>
                </w:r>
                <w:r w:rsidR="000E3F12" w:rsidRPr="00131952">
                  <w:rPr>
                    <w:rFonts w:ascii="Arial" w:hAnsi="Arial" w:cs="Arial"/>
                  </w:rPr>
                  <w:t>, u</w:t>
                </w:r>
                <w:r w:rsidRPr="00131952">
                  <w:rPr>
                    <w:rFonts w:ascii="Arial" w:hAnsi="Arial" w:cs="Arial"/>
                  </w:rPr>
                  <w:t>sing:</w:t>
                </w:r>
              </w:p>
              <w:p w14:paraId="7BF6DF1D" w14:textId="0634F95B" w:rsidR="00E5316D" w:rsidRPr="00131952" w:rsidRDefault="00E5316D" w:rsidP="00CD7DC5">
                <w:pPr>
                  <w:pStyle w:val="ListParagraph"/>
                  <w:numPr>
                    <w:ilvl w:val="0"/>
                    <w:numId w:val="14"/>
                  </w:numPr>
                  <w:spacing w:before="120" w:after="120" w:line="360" w:lineRule="auto"/>
                  <w:ind w:left="316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SEPA monitoring data</w:t>
                </w:r>
                <w:r w:rsidR="00AC3CCE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48DA63C1" w14:textId="394EC996" w:rsidR="00E5316D" w:rsidRPr="00131952" w:rsidRDefault="00E5316D" w:rsidP="00CD7DC5">
                <w:pPr>
                  <w:pStyle w:val="ListParagraph"/>
                  <w:numPr>
                    <w:ilvl w:val="0"/>
                    <w:numId w:val="14"/>
                  </w:numPr>
                  <w:spacing w:before="120" w:after="120" w:line="360" w:lineRule="auto"/>
                  <w:ind w:left="316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Operator monitoring data</w:t>
                </w:r>
                <w:r w:rsidR="00AC3CCE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4B5A4ED2" w14:textId="1E985BCE" w:rsidR="00E5316D" w:rsidRPr="00131952" w:rsidRDefault="00E5316D" w:rsidP="00CD7DC5">
                <w:pPr>
                  <w:pStyle w:val="ListParagraph"/>
                  <w:numPr>
                    <w:ilvl w:val="0"/>
                    <w:numId w:val="14"/>
                  </w:numPr>
                  <w:spacing w:before="120" w:after="120" w:line="360" w:lineRule="auto"/>
                  <w:ind w:left="316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SEPA guidance</w:t>
                </w:r>
                <w:r w:rsidR="00AC3CCE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  <w:tc>
              <w:tcPr>
                <w:tcW w:w="1133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28EB6BD" w14:textId="79781F4F" w:rsidR="00E5316D" w:rsidRPr="00131952" w:rsidRDefault="00E5316D" w:rsidP="00896D6F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>Major non-compliance</w:t>
                </w:r>
                <w:r w:rsidRPr="00131952">
                  <w:rPr>
                    <w:rFonts w:ascii="Arial" w:eastAsia="Arial" w:hAnsi="Arial" w:cs="Arial"/>
                  </w:rPr>
                  <w:t xml:space="preserve"> will apply from the date of the breach until the end of the relevant calendar year.</w:t>
                </w:r>
              </w:p>
            </w:tc>
          </w:tr>
        </w:tbl>
        <w:p w14:paraId="647CEFAE" w14:textId="52ADB15D" w:rsidR="6FAC080C" w:rsidRDefault="6FAC080C" w:rsidP="6FAC080C">
          <w:pPr>
            <w:spacing w:before="120" w:after="120"/>
            <w:sectPr w:rsidR="6FAC080C" w:rsidSect="00366DDD">
              <w:headerReference w:type="even" r:id="rId15"/>
              <w:headerReference w:type="default" r:id="rId16"/>
              <w:footerReference w:type="even" r:id="rId17"/>
              <w:footerReference w:type="default" r:id="rId18"/>
              <w:headerReference w:type="first" r:id="rId19"/>
              <w:footerReference w:type="first" r:id="rId20"/>
              <w:pgSz w:w="16840" w:h="11900" w:orient="landscape"/>
              <w:pgMar w:top="839" w:right="839" w:bottom="839" w:left="839" w:header="794" w:footer="567" w:gutter="0"/>
              <w:cols w:space="708"/>
              <w:titlePg/>
              <w:docGrid w:linePitch="360"/>
            </w:sectPr>
          </w:pPr>
        </w:p>
        <w:p w14:paraId="1738D155" w14:textId="0631F19E" w:rsidR="0096745E" w:rsidRPr="00131952" w:rsidRDefault="00FA3DA6" w:rsidP="00181CBE">
          <w:pPr>
            <w:spacing w:before="120" w:after="120"/>
          </w:pPr>
          <w:r w:rsidRPr="00131952">
            <w:rPr>
              <w:rFonts w:asciiTheme="majorHAnsi" w:hAnsiTheme="majorHAnsi" w:cstheme="majorBidi"/>
              <w:b/>
            </w:rPr>
            <w:lastRenderedPageBreak/>
            <w:t xml:space="preserve">Table </w:t>
          </w:r>
          <w:r w:rsidRPr="00131952">
            <w:rPr>
              <w:rFonts w:asciiTheme="majorHAnsi" w:hAnsiTheme="majorHAnsi" w:cstheme="majorBidi"/>
              <w:b/>
              <w:i/>
            </w:rPr>
            <w:fldChar w:fldCharType="begin"/>
          </w:r>
          <w:r w:rsidRPr="00131952">
            <w:rPr>
              <w:rFonts w:asciiTheme="majorHAnsi" w:hAnsiTheme="majorHAnsi" w:cstheme="majorBidi"/>
              <w:b/>
            </w:rPr>
            <w:instrText xml:space="preserve"> SEQ Table \* ARABIC </w:instrText>
          </w:r>
          <w:r w:rsidRPr="00131952">
            <w:rPr>
              <w:rFonts w:asciiTheme="majorHAnsi" w:hAnsiTheme="majorHAnsi" w:cstheme="majorBidi"/>
              <w:b/>
              <w:i/>
            </w:rPr>
            <w:fldChar w:fldCharType="separate"/>
          </w:r>
          <w:r w:rsidR="00EA3FD3" w:rsidRPr="00131952">
            <w:rPr>
              <w:rFonts w:asciiTheme="majorHAnsi" w:hAnsiTheme="majorHAnsi" w:cstheme="majorBidi"/>
              <w:b/>
            </w:rPr>
            <w:t>2</w:t>
          </w:r>
          <w:r w:rsidRPr="00131952">
            <w:rPr>
              <w:rFonts w:asciiTheme="majorHAnsi" w:hAnsiTheme="majorHAnsi" w:cstheme="majorBidi"/>
              <w:b/>
              <w:i/>
            </w:rPr>
            <w:fldChar w:fldCharType="end"/>
          </w:r>
          <w:r w:rsidRPr="00131952">
            <w:rPr>
              <w:rFonts w:asciiTheme="majorHAnsi" w:hAnsiTheme="majorHAnsi" w:cstheme="majorBidi"/>
              <w:b/>
            </w:rPr>
            <w:t>:</w:t>
          </w:r>
          <w:r w:rsidR="001F7F37" w:rsidRPr="00131952">
            <w:t xml:space="preserve"> </w:t>
          </w:r>
          <w:r w:rsidRPr="00131952">
            <w:rPr>
              <w:rFonts w:asciiTheme="majorHAnsi" w:hAnsiTheme="majorHAnsi" w:cstheme="majorBidi"/>
              <w:b/>
            </w:rPr>
            <w:t xml:space="preserve">Scope </w:t>
          </w:r>
          <w:r w:rsidR="0015498A" w:rsidRPr="00131952">
            <w:rPr>
              <w:rFonts w:asciiTheme="majorHAnsi" w:hAnsiTheme="majorHAnsi" w:cstheme="majorBidi"/>
              <w:b/>
            </w:rPr>
            <w:t>o</w:t>
          </w:r>
          <w:r w:rsidRPr="00131952">
            <w:rPr>
              <w:rFonts w:asciiTheme="majorHAnsi" w:hAnsiTheme="majorHAnsi" w:cstheme="majorBidi"/>
              <w:b/>
            </w:rPr>
            <w:t xml:space="preserve">f </w:t>
          </w:r>
          <w:r w:rsidR="0015498A" w:rsidRPr="00131952">
            <w:rPr>
              <w:rFonts w:asciiTheme="majorHAnsi" w:hAnsiTheme="majorHAnsi" w:cstheme="majorBidi"/>
              <w:b/>
            </w:rPr>
            <w:t>s</w:t>
          </w:r>
          <w:r w:rsidRPr="00131952">
            <w:rPr>
              <w:rFonts w:asciiTheme="majorHAnsi" w:hAnsiTheme="majorHAnsi" w:cstheme="majorBidi"/>
              <w:b/>
            </w:rPr>
            <w:t xml:space="preserve">ite </w:t>
          </w:r>
        </w:p>
        <w:tbl>
          <w:tblPr>
            <w:tblW w:w="4959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2:  Scope Of Site "/>
            <w:tblDescription w:val="Table containing 4 columns &quot;Authorisation Condition&quot;, &quot;Major Non-Compliance&quot;, &quot;How Will SEPA Assess / Supporting Guidance&quot; and &quot;Return To Compliance Examples&quot; and 3 rows. Table highlights conditions within authorisations, when the condition would become major non-compliant, how SEPA will assess and actions the site would have to undertake to return to compliance. "/>
          </w:tblPr>
          <w:tblGrid>
            <w:gridCol w:w="3104"/>
            <w:gridCol w:w="4535"/>
            <w:gridCol w:w="3968"/>
            <w:gridCol w:w="3401"/>
          </w:tblGrid>
          <w:tr w:rsidR="00115254" w:rsidRPr="00131952" w14:paraId="0B6EEDB7" w14:textId="77777777" w:rsidTr="6B32524A">
            <w:trPr>
              <w:trHeight w:val="610"/>
              <w:tblHeader/>
            </w:trPr>
            <w:tc>
              <w:tcPr>
                <w:tcW w:w="1034" w:type="pct"/>
                <w:tcBorders>
                  <w:bottom w:val="single" w:sz="12" w:space="0" w:color="auto"/>
                </w:tcBorders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B7879CB" w14:textId="77777777" w:rsidR="00115254" w:rsidRPr="00131952" w:rsidRDefault="00115254" w:rsidP="00181CBE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13195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511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7E53F75" w14:textId="77777777" w:rsidR="00115254" w:rsidRPr="00131952" w:rsidRDefault="00115254" w:rsidP="00181CBE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13195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322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0C035C2" w14:textId="7833706F" w:rsidR="00115254" w:rsidRPr="00131952" w:rsidRDefault="00115254" w:rsidP="00181CBE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133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8DB2D8A" w14:textId="6FCBC231" w:rsidR="00115254" w:rsidRPr="00131952" w:rsidRDefault="00115254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Return to compliance</w:t>
                </w:r>
                <w:r w:rsidR="008B58C4" w:rsidRPr="00131952">
                  <w:rPr>
                    <w:rFonts w:ascii="Arial" w:hAnsi="Arial" w:cs="Arial"/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0D238C" w:rsidRPr="00131952" w14:paraId="4D5D688F" w14:textId="77777777" w:rsidTr="6B32524A">
            <w:trPr>
              <w:trHeight w:val="315"/>
            </w:trPr>
            <w:tc>
              <w:tcPr>
                <w:tcW w:w="1034" w:type="pct"/>
                <w:tcBorders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9A22C38" w14:textId="548606D7" w:rsidR="000D238C" w:rsidRPr="00131952" w:rsidRDefault="000D238C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26A3526B">
                  <w:rPr>
                    <w:rFonts w:ascii="Arial" w:hAnsi="Arial" w:cs="Arial"/>
                  </w:rPr>
                  <w:t xml:space="preserve">All conditions relating to the authorised place, </w:t>
                </w:r>
                <w:bookmarkStart w:id="4" w:name="_Int_pjI33VZ4"/>
                <w:r w:rsidRPr="26A3526B">
                  <w:rPr>
                    <w:rFonts w:ascii="Arial" w:hAnsi="Arial" w:cs="Arial"/>
                  </w:rPr>
                  <w:t>person</w:t>
                </w:r>
                <w:bookmarkEnd w:id="4"/>
                <w:r w:rsidRPr="26A3526B">
                  <w:rPr>
                    <w:rFonts w:ascii="Arial" w:hAnsi="Arial" w:cs="Arial"/>
                  </w:rPr>
                  <w:t xml:space="preserve"> or activities</w:t>
                </w:r>
                <w:r w:rsidR="00AC3CCE" w:rsidRPr="26A3526B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1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5A8122C" w14:textId="46CD18C2" w:rsidR="000D238C" w:rsidRPr="00131952" w:rsidRDefault="000D238C" w:rsidP="00181CBE">
                <w:pPr>
                  <w:spacing w:before="120" w:after="120"/>
                  <w:textAlignment w:val="baseline"/>
                  <w:rPr>
                    <w:rFonts w:ascii="Arial" w:hAnsi="Arial" w:cs="Arial"/>
                  </w:rPr>
                </w:pPr>
                <w:r w:rsidRPr="40BF848D">
                  <w:rPr>
                    <w:rFonts w:ascii="Arial" w:hAnsi="Arial" w:cs="Arial"/>
                  </w:rPr>
                  <w:t xml:space="preserve">Authorised place, person or activity not operating as described in the </w:t>
                </w:r>
                <w:r w:rsidR="3CB8D94C" w:rsidRPr="40BF848D">
                  <w:rPr>
                    <w:rFonts w:ascii="Arial" w:hAnsi="Arial" w:cs="Arial"/>
                  </w:rPr>
                  <w:t>Authorisation</w:t>
                </w:r>
                <w:r w:rsidRPr="40BF848D">
                  <w:rPr>
                    <w:rFonts w:ascii="Arial" w:hAnsi="Arial" w:cs="Arial"/>
                  </w:rPr>
                  <w:t xml:space="preserve">. </w:t>
                </w:r>
              </w:p>
              <w:p w14:paraId="7BCE184B" w14:textId="77777777" w:rsidR="000D238C" w:rsidRPr="00131952" w:rsidRDefault="000D238C" w:rsidP="00181CBE">
                <w:pPr>
                  <w:spacing w:before="120" w:after="120"/>
                  <w:textAlignment w:val="baseline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 xml:space="preserve">For example: </w:t>
                </w:r>
              </w:p>
              <w:p w14:paraId="4F6C3B25" w14:textId="764BA6BC" w:rsidR="000D238C" w:rsidRPr="00131952" w:rsidRDefault="000D238C" w:rsidP="00CD7DC5">
                <w:pPr>
                  <w:pStyle w:val="ListParagraph"/>
                  <w:numPr>
                    <w:ilvl w:val="0"/>
                    <w:numId w:val="15"/>
                  </w:numPr>
                  <w:spacing w:before="120" w:after="120" w:line="360" w:lineRule="auto"/>
                  <w:ind w:left="462" w:hanging="284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Deposition of waste outside the authorised area</w:t>
                </w:r>
                <w:r w:rsidR="00AC3CCE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72FD4EF5" w14:textId="4F4880CB" w:rsidR="000D238C" w:rsidRPr="00131952" w:rsidRDefault="000D238C" w:rsidP="00CD7DC5">
                <w:pPr>
                  <w:pStyle w:val="ListParagraph"/>
                  <w:numPr>
                    <w:ilvl w:val="0"/>
                    <w:numId w:val="15"/>
                  </w:numPr>
                  <w:spacing w:before="120" w:after="120" w:line="360" w:lineRule="auto"/>
                  <w:ind w:left="462" w:hanging="284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Deposition of waste outside the authorised landfill cell containment area</w:t>
                </w:r>
                <w:r w:rsidR="00AC3CCE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1D005CFE" w14:textId="2B81C763" w:rsidR="000D238C" w:rsidRPr="00131952" w:rsidRDefault="000D238C" w:rsidP="00CD7DC5">
                <w:pPr>
                  <w:pStyle w:val="ListParagraph"/>
                  <w:numPr>
                    <w:ilvl w:val="0"/>
                    <w:numId w:val="15"/>
                  </w:numPr>
                  <w:spacing w:before="120" w:after="120" w:line="360" w:lineRule="auto"/>
                  <w:ind w:left="462" w:hanging="284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Incorrect discharge location</w:t>
                </w:r>
                <w:r w:rsidR="00AC3CCE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  <w:tc>
              <w:tcPr>
                <w:tcW w:w="132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31D2762" w14:textId="5606BF48" w:rsidR="000D238C" w:rsidRPr="00131952" w:rsidRDefault="000D238C" w:rsidP="00CD7DC5">
                <w:pPr>
                  <w:pStyle w:val="ListParagraph"/>
                  <w:numPr>
                    <w:ilvl w:val="0"/>
                    <w:numId w:val="16"/>
                  </w:numPr>
                  <w:spacing w:before="120" w:after="120" w:line="360" w:lineRule="auto"/>
                  <w:ind w:left="468" w:right="252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Site inspection</w:t>
                </w:r>
                <w:r w:rsidR="00AC3CCE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507CA77A" w14:textId="5BE51801" w:rsidR="000D238C" w:rsidRPr="00131952" w:rsidRDefault="000D238C" w:rsidP="00CD7DC5">
                <w:pPr>
                  <w:pStyle w:val="ListParagraph"/>
                  <w:numPr>
                    <w:ilvl w:val="0"/>
                    <w:numId w:val="16"/>
                  </w:numPr>
                  <w:spacing w:before="120" w:after="120" w:line="360" w:lineRule="auto"/>
                  <w:ind w:left="468" w:right="252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Review of the on-site records</w:t>
                </w:r>
                <w:r w:rsidR="00AC3CCE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5931DB18" w14:textId="741E96A4" w:rsidR="000D238C" w:rsidRPr="00131952" w:rsidRDefault="000D238C" w:rsidP="00CD7DC5">
                <w:pPr>
                  <w:pStyle w:val="ListParagraph"/>
                  <w:numPr>
                    <w:ilvl w:val="0"/>
                    <w:numId w:val="16"/>
                  </w:numPr>
                  <w:spacing w:before="120" w:after="120" w:line="360" w:lineRule="auto"/>
                  <w:ind w:left="468" w:right="252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SEPA investigative monitoring data</w:t>
                </w:r>
                <w:r w:rsidR="00AC3CCE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68AF1782" w14:textId="77777777" w:rsidR="000D238C" w:rsidRPr="00131952" w:rsidRDefault="000D238C" w:rsidP="00181CBE">
                <w:pPr>
                  <w:spacing w:before="120" w:after="120"/>
                  <w:ind w:right="252"/>
                  <w:textAlignment w:val="baseline"/>
                  <w:rPr>
                    <w:rFonts w:ascii="Arial" w:hAnsi="Arial" w:cs="Arial"/>
                  </w:rPr>
                </w:pPr>
              </w:p>
              <w:p w14:paraId="31081DEE" w14:textId="5E6B728F" w:rsidR="000D238C" w:rsidRPr="00131952" w:rsidRDefault="000D238C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133" w:type="pct"/>
                <w:tcBorders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AB8B1D" w14:textId="757FD735" w:rsidR="000D238C" w:rsidRPr="00131952" w:rsidRDefault="000D238C" w:rsidP="00896D6F">
                <w:pPr>
                  <w:pStyle w:val="ListParagraph"/>
                  <w:numPr>
                    <w:ilvl w:val="0"/>
                    <w:numId w:val="16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Activity undertaken in line with the authorisation or authorisation obtained to expand scope of existing activity</w:t>
                </w:r>
                <w:r w:rsidR="00AC3CCE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1F7101C3" w14:textId="5E04C6CD" w:rsidR="000D238C" w:rsidRPr="00131952" w:rsidRDefault="000D238C" w:rsidP="00896D6F">
                <w:pPr>
                  <w:pStyle w:val="ListParagraph"/>
                  <w:numPr>
                    <w:ilvl w:val="0"/>
                    <w:numId w:val="16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Authorisation is transferred to a fit and proper person.  </w:t>
                </w:r>
              </w:p>
            </w:tc>
          </w:tr>
          <w:tr w:rsidR="000D238C" w:rsidRPr="00131952" w14:paraId="44B77D0A" w14:textId="77777777" w:rsidTr="6B32524A">
            <w:trPr>
              <w:trHeight w:val="315"/>
            </w:trPr>
            <w:tc>
              <w:tcPr>
                <w:tcW w:w="103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99112BA" w14:textId="4859E7DD" w:rsidR="000D238C" w:rsidRPr="00131952" w:rsidRDefault="000D238C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31952">
                  <w:rPr>
                    <w:rFonts w:ascii="Arial" w:hAnsi="Arial" w:cs="Arial"/>
                    <w:spacing w:val="-2"/>
                  </w:rPr>
                  <w:t xml:space="preserve">Limit on the amount of waste that can be </w:t>
                </w:r>
                <w:r w:rsidRPr="00131952">
                  <w:rPr>
                    <w:rFonts w:ascii="Arial" w:hAnsi="Arial" w:cs="Arial"/>
                    <w:spacing w:val="-2"/>
                  </w:rPr>
                  <w:lastRenderedPageBreak/>
                  <w:t xml:space="preserve">accepted, </w:t>
                </w:r>
                <w:bookmarkStart w:id="5" w:name="_Int_MhvJZdc1"/>
                <w:r w:rsidRPr="00131952">
                  <w:rPr>
                    <w:rFonts w:ascii="Arial" w:hAnsi="Arial" w:cs="Arial"/>
                    <w:spacing w:val="-2"/>
                  </w:rPr>
                  <w:t>stored</w:t>
                </w:r>
                <w:bookmarkEnd w:id="5"/>
                <w:r w:rsidRPr="00131952">
                  <w:rPr>
                    <w:rFonts w:ascii="Arial" w:hAnsi="Arial" w:cs="Arial"/>
                    <w:spacing w:val="-2"/>
                  </w:rPr>
                  <w:t xml:space="preserve"> or treated on a site</w:t>
                </w:r>
                <w:r w:rsidR="00AC3CCE" w:rsidRPr="00131952">
                  <w:rPr>
                    <w:rFonts w:ascii="Arial" w:hAnsi="Arial" w:cs="Arial"/>
                    <w:spacing w:val="-2"/>
                  </w:rPr>
                  <w:t>.</w:t>
                </w:r>
              </w:p>
            </w:tc>
            <w:tc>
              <w:tcPr>
                <w:tcW w:w="1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881D20" w14:textId="45FF3E3C" w:rsidR="000D238C" w:rsidRPr="00131952" w:rsidRDefault="076FA445" w:rsidP="6B32524A">
                <w:pPr>
                  <w:spacing w:before="120" w:after="120"/>
                  <w:ind w:right="216"/>
                  <w:textAlignment w:val="baseline"/>
                  <w:rPr>
                    <w:rFonts w:ascii="Arial" w:hAnsi="Arial" w:cs="Arial"/>
                  </w:rPr>
                </w:pPr>
                <w:r w:rsidRPr="6B32524A">
                  <w:rPr>
                    <w:rFonts w:ascii="Arial" w:hAnsi="Arial" w:cs="Arial"/>
                  </w:rPr>
                  <w:lastRenderedPageBreak/>
                  <w:t xml:space="preserve">Exceeding the limit that is authorised for acceptance, </w:t>
                </w:r>
                <w:bookmarkStart w:id="6" w:name="_Int_f46hx8yn"/>
                <w:r w:rsidRPr="6B32524A">
                  <w:rPr>
                    <w:rFonts w:ascii="Arial" w:hAnsi="Arial" w:cs="Arial"/>
                  </w:rPr>
                  <w:t>storage</w:t>
                </w:r>
                <w:bookmarkEnd w:id="6"/>
                <w:r w:rsidRPr="6B32524A">
                  <w:rPr>
                    <w:rFonts w:ascii="Arial" w:hAnsi="Arial" w:cs="Arial"/>
                  </w:rPr>
                  <w:t xml:space="preserve"> or treatment on site where the authorised person is </w:t>
                </w:r>
                <w:r w:rsidRPr="6B32524A">
                  <w:rPr>
                    <w:rFonts w:ascii="Arial" w:hAnsi="Arial" w:cs="Arial"/>
                  </w:rPr>
                  <w:lastRenderedPageBreak/>
                  <w:t xml:space="preserve">unable to manage the material in an effective manner – </w:t>
                </w:r>
                <w:r w:rsidR="7AADC684" w:rsidRPr="6B32524A">
                  <w:rPr>
                    <w:rFonts w:ascii="Arial" w:hAnsi="Arial" w:cs="Arial"/>
                  </w:rPr>
                  <w:t xml:space="preserve">is </w:t>
                </w:r>
                <w:r w:rsidR="7AADC684" w:rsidRPr="6B32524A">
                  <w:rPr>
                    <w:rFonts w:ascii="Arial" w:eastAsia="Arial" w:hAnsi="Arial" w:cs="Arial"/>
                  </w:rPr>
                  <w:t xml:space="preserve">the cause or likely cause of a </w:t>
                </w:r>
                <w:r w:rsidRPr="6B32524A">
                  <w:rPr>
                    <w:rFonts w:ascii="Arial" w:hAnsi="Arial" w:cs="Arial"/>
                  </w:rPr>
                  <w:t>category 1 or 2 environmental event.</w:t>
                </w:r>
              </w:p>
            </w:tc>
            <w:tc>
              <w:tcPr>
                <w:tcW w:w="13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8394C8B" w14:textId="77777777" w:rsidR="000D238C" w:rsidRPr="00131952" w:rsidRDefault="000D238C" w:rsidP="00CD7DC5">
                <w:pPr>
                  <w:pStyle w:val="ListParagraph"/>
                  <w:numPr>
                    <w:ilvl w:val="0"/>
                    <w:numId w:val="7"/>
                  </w:numPr>
                  <w:spacing w:before="120" w:after="120" w:line="360" w:lineRule="auto"/>
                  <w:ind w:left="468" w:right="252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Site inspection, including on-site records review</w:t>
                </w:r>
              </w:p>
              <w:p w14:paraId="093A397B" w14:textId="77777777" w:rsidR="000D238C" w:rsidRPr="00131952" w:rsidRDefault="000D238C" w:rsidP="00CD7DC5">
                <w:pPr>
                  <w:pStyle w:val="ListParagraph"/>
                  <w:numPr>
                    <w:ilvl w:val="0"/>
                    <w:numId w:val="7"/>
                  </w:numPr>
                  <w:spacing w:before="120" w:after="120" w:line="360" w:lineRule="auto"/>
                  <w:ind w:left="468" w:right="252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 xml:space="preserve">Data return review </w:t>
                </w:r>
              </w:p>
              <w:p w14:paraId="09D206E8" w14:textId="1EEEA77B" w:rsidR="000D238C" w:rsidRPr="00131952" w:rsidRDefault="000D238C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1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95FA12F" w14:textId="6D440B1A" w:rsidR="000D238C" w:rsidRPr="00131952" w:rsidRDefault="000D238C" w:rsidP="00896D6F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 xml:space="preserve">Amount of waste stored on site and time </w:t>
                </w:r>
                <w:r w:rsidR="00D624C2">
                  <w:rPr>
                    <w:rFonts w:ascii="Arial" w:hAnsi="Arial" w:cs="Arial"/>
                  </w:rPr>
                  <w:t>that</w:t>
                </w:r>
                <w:r w:rsidRPr="00131952">
                  <w:rPr>
                    <w:rFonts w:ascii="Arial" w:hAnsi="Arial" w:cs="Arial"/>
                  </w:rPr>
                  <w:t xml:space="preserve"> it is </w:t>
                </w:r>
                <w:r w:rsidRPr="00131952">
                  <w:rPr>
                    <w:rFonts w:ascii="Arial" w:hAnsi="Arial" w:cs="Arial"/>
                  </w:rPr>
                  <w:lastRenderedPageBreak/>
                  <w:t xml:space="preserve">stored reduced to within </w:t>
                </w:r>
                <w:r w:rsidR="6708525E" w:rsidRPr="00131952">
                  <w:rPr>
                    <w:rFonts w:ascii="Arial" w:hAnsi="Arial" w:cs="Arial"/>
                  </w:rPr>
                  <w:t>condition limit</w:t>
                </w:r>
                <w:r w:rsidRPr="00131952">
                  <w:rPr>
                    <w:rFonts w:ascii="Arial" w:hAnsi="Arial" w:cs="Arial"/>
                  </w:rPr>
                  <w:t xml:space="preserve">. </w:t>
                </w:r>
              </w:p>
            </w:tc>
          </w:tr>
          <w:tr w:rsidR="000D238C" w:rsidRPr="00131952" w14:paraId="19230FD6" w14:textId="77777777" w:rsidTr="6B32524A">
            <w:trPr>
              <w:trHeight w:val="1968"/>
            </w:trPr>
            <w:tc>
              <w:tcPr>
                <w:tcW w:w="1034" w:type="pct"/>
                <w:tcBorders>
                  <w:top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70D8A0F" w14:textId="55C156FF" w:rsidR="000D238C" w:rsidRPr="00131952" w:rsidRDefault="000D238C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31952">
                  <w:rPr>
                    <w:rFonts w:ascii="Arial" w:hAnsi="Arial" w:cs="Arial"/>
                    <w:spacing w:val="-2"/>
                  </w:rPr>
                  <w:lastRenderedPageBreak/>
                  <w:t>Type of waste that can be accepted</w:t>
                </w:r>
              </w:p>
            </w:tc>
            <w:tc>
              <w:tcPr>
                <w:tcW w:w="1511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53361A8" w14:textId="122E3163" w:rsidR="000D238C" w:rsidRPr="00131952" w:rsidRDefault="000D238C" w:rsidP="00CD7DC5">
                <w:pPr>
                  <w:pStyle w:val="ListParagraph"/>
                  <w:numPr>
                    <w:ilvl w:val="0"/>
                    <w:numId w:val="29"/>
                  </w:numPr>
                  <w:spacing w:before="120" w:after="0" w:line="360" w:lineRule="auto"/>
                  <w:ind w:left="312" w:right="180" w:hanging="284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Accepting unauthorised waste</w:t>
                </w:r>
                <w:r w:rsidR="00CC7455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717D20D2" w14:textId="77777777" w:rsidR="000D238C" w:rsidRPr="00131952" w:rsidRDefault="000D238C" w:rsidP="26A3526B">
                <w:pPr>
                  <w:pStyle w:val="ListParagraph"/>
                  <w:numPr>
                    <w:ilvl w:val="0"/>
                    <w:numId w:val="29"/>
                  </w:numPr>
                  <w:spacing w:before="120" w:after="0" w:line="360" w:lineRule="auto"/>
                  <w:ind w:left="312" w:right="216" w:hanging="284"/>
                  <w:textAlignment w:val="baseline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 w:rsidRPr="26A3526B">
                  <w:rPr>
                    <w:rFonts w:ascii="Arial" w:hAnsi="Arial" w:cs="Arial"/>
                    <w:sz w:val="24"/>
                    <w:szCs w:val="24"/>
                  </w:rPr>
                  <w:t>Allowance made for some unauthorised waste entering site and being dealt with in accordance e.g. via quarantine procedures</w:t>
                </w:r>
                <w:bookmarkStart w:id="7" w:name="_Int_sxXGeUwZ"/>
                <w:r w:rsidRPr="26A3526B">
                  <w:rPr>
                    <w:rFonts w:ascii="Arial" w:hAnsi="Arial" w:cs="Arial"/>
                    <w:sz w:val="24"/>
                    <w:szCs w:val="24"/>
                  </w:rPr>
                  <w:t xml:space="preserve">.  </w:t>
                </w:r>
                <w:bookmarkEnd w:id="7"/>
                <w:r w:rsidRPr="26A3526B">
                  <w:rPr>
                    <w:rFonts w:ascii="Arial" w:hAnsi="Arial" w:cs="Arial"/>
                    <w:sz w:val="24"/>
                    <w:szCs w:val="24"/>
                  </w:rPr>
                  <w:t>Only where this does not happen, is this deemed major non-compliance.</w:t>
                </w:r>
              </w:p>
              <w:p w14:paraId="6E3A3B9E" w14:textId="523536FF" w:rsidR="000D238C" w:rsidRPr="00131952" w:rsidRDefault="000D238C" w:rsidP="00181CBE">
                <w:pPr>
                  <w:spacing w:before="120" w:after="120"/>
                  <w:ind w:right="216"/>
                  <w:textAlignment w:val="baseline"/>
                  <w:rPr>
                    <w:rFonts w:ascii="Arial" w:hAnsi="Arial" w:cs="Arial"/>
                  </w:rPr>
                </w:pPr>
              </w:p>
            </w:tc>
            <w:tc>
              <w:tcPr>
                <w:tcW w:w="1322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86107A1" w14:textId="748A4EED" w:rsidR="000D238C" w:rsidRPr="00131952" w:rsidRDefault="000D238C" w:rsidP="00CD7DC5">
                <w:pPr>
                  <w:pStyle w:val="ListParagraph"/>
                  <w:numPr>
                    <w:ilvl w:val="0"/>
                    <w:numId w:val="17"/>
                  </w:numPr>
                  <w:spacing w:before="120" w:after="120" w:line="360" w:lineRule="auto"/>
                  <w:ind w:left="468" w:right="252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Site inspection</w:t>
                </w:r>
                <w:r w:rsidR="00D27FAA" w:rsidRPr="00131952">
                  <w:rPr>
                    <w:rFonts w:ascii="Arial" w:hAnsi="Arial" w:cs="Arial"/>
                    <w:sz w:val="24"/>
                    <w:szCs w:val="24"/>
                  </w:rPr>
                  <w:t>, including on-site records review.</w:t>
                </w:r>
              </w:p>
              <w:p w14:paraId="6D6EA8B1" w14:textId="4B39A316" w:rsidR="000D238C" w:rsidRPr="00131952" w:rsidRDefault="000D238C" w:rsidP="00CD7DC5">
                <w:pPr>
                  <w:pStyle w:val="ListParagraph"/>
                  <w:numPr>
                    <w:ilvl w:val="0"/>
                    <w:numId w:val="17"/>
                  </w:numPr>
                  <w:spacing w:before="120" w:after="120" w:line="360" w:lineRule="auto"/>
                  <w:ind w:left="468" w:right="252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Data return review</w:t>
                </w:r>
                <w:r w:rsidR="00CC7455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28CEAEC0" w14:textId="7EB55E86" w:rsidR="000D238C" w:rsidRPr="00131952" w:rsidRDefault="000D238C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133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9897C5F" w14:textId="5D0423EE" w:rsidR="000D238C" w:rsidRPr="00131952" w:rsidRDefault="000D238C" w:rsidP="00896D6F">
                <w:pPr>
                  <w:pStyle w:val="ListParagraph"/>
                  <w:numPr>
                    <w:ilvl w:val="0"/>
                    <w:numId w:val="17"/>
                  </w:numPr>
                  <w:spacing w:before="120" w:after="0" w:line="360" w:lineRule="auto"/>
                  <w:ind w:left="572" w:right="113" w:hanging="459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 xml:space="preserve">Unauthorised waste has been removed from site or is dealt with according to procedure. </w:t>
                </w:r>
              </w:p>
              <w:p w14:paraId="38CDDE39" w14:textId="6D737C41" w:rsidR="000D238C" w:rsidRPr="00131952" w:rsidRDefault="000D238C" w:rsidP="00896D6F">
                <w:pPr>
                  <w:pStyle w:val="ListParagraph"/>
                  <w:numPr>
                    <w:ilvl w:val="0"/>
                    <w:numId w:val="17"/>
                  </w:numPr>
                  <w:spacing w:before="120" w:after="0" w:line="360" w:lineRule="auto"/>
                  <w:ind w:left="572" w:right="113" w:hanging="459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 xml:space="preserve">Where that is not possible, information submission </w:t>
                </w:r>
                <w:r w:rsidR="00207636">
                  <w:rPr>
                    <w:rFonts w:ascii="Arial" w:hAnsi="Arial" w:cs="Arial"/>
                    <w:sz w:val="24"/>
                    <w:szCs w:val="24"/>
                  </w:rPr>
                  <w:t>that</w:t>
                </w:r>
                <w:r w:rsidRPr="00131952">
                  <w:rPr>
                    <w:rFonts w:ascii="Arial" w:hAnsi="Arial" w:cs="Arial"/>
                    <w:sz w:val="24"/>
                    <w:szCs w:val="24"/>
                  </w:rPr>
                  <w:t xml:space="preserve"> includes:</w:t>
                </w:r>
              </w:p>
              <w:p w14:paraId="4CD31004" w14:textId="552DD59A" w:rsidR="000D238C" w:rsidRPr="00131952" w:rsidRDefault="000D238C" w:rsidP="009666EE">
                <w:pPr>
                  <w:pStyle w:val="ListParagraph"/>
                  <w:numPr>
                    <w:ilvl w:val="0"/>
                    <w:numId w:val="28"/>
                  </w:numPr>
                  <w:spacing w:before="120" w:after="0" w:line="360" w:lineRule="auto"/>
                  <w:ind w:right="113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Corrective actions</w:t>
                </w:r>
                <w:r w:rsidR="00207636">
                  <w:rPr>
                    <w:rFonts w:ascii="Arial" w:hAnsi="Arial" w:cs="Arial"/>
                    <w:sz w:val="24"/>
                    <w:szCs w:val="24"/>
                  </w:rPr>
                  <w:t xml:space="preserve"> and </w:t>
                </w:r>
                <w:r w:rsidRPr="00131952">
                  <w:rPr>
                    <w:rFonts w:ascii="Arial" w:hAnsi="Arial" w:cs="Arial"/>
                    <w:sz w:val="24"/>
                    <w:szCs w:val="24"/>
                  </w:rPr>
                  <w:t>reasons for accepting unauthorised wastes</w:t>
                </w:r>
              </w:p>
              <w:p w14:paraId="581A4517" w14:textId="180DED64" w:rsidR="000D238C" w:rsidRPr="00131952" w:rsidRDefault="000D238C" w:rsidP="009666EE">
                <w:pPr>
                  <w:pStyle w:val="ListParagraph"/>
                  <w:numPr>
                    <w:ilvl w:val="0"/>
                    <w:numId w:val="28"/>
                  </w:numPr>
                  <w:spacing w:before="120" w:after="0" w:line="360" w:lineRule="auto"/>
                  <w:ind w:right="113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26A3526B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 xml:space="preserve">Assessment of </w:t>
                </w:r>
                <w:r w:rsidR="00A32F12" w:rsidRPr="26A3526B">
                  <w:rPr>
                    <w:rFonts w:ascii="Arial" w:hAnsi="Arial" w:cs="Arial"/>
                    <w:sz w:val="24"/>
                    <w:szCs w:val="24"/>
                  </w:rPr>
                  <w:t xml:space="preserve">the </w:t>
                </w:r>
                <w:bookmarkStart w:id="8" w:name="_Int_Cb6cZGUK"/>
                <w:r w:rsidR="00C6218C" w:rsidRPr="26A3526B">
                  <w:rPr>
                    <w:rFonts w:ascii="Arial" w:hAnsi="Arial" w:cs="Arial"/>
                    <w:sz w:val="24"/>
                    <w:szCs w:val="24"/>
                  </w:rPr>
                  <w:t>l</w:t>
                </w:r>
                <w:r w:rsidR="00C6218C" w:rsidRPr="26A3526B">
                  <w:rPr>
                    <w:rFonts w:ascii="Arial" w:hAnsi="Arial" w:cs="Arial"/>
                  </w:rPr>
                  <w:t>ikely</w:t>
                </w:r>
                <w:r w:rsidRPr="26A3526B">
                  <w:rPr>
                    <w:rFonts w:ascii="Arial" w:hAnsi="Arial" w:cs="Arial"/>
                    <w:sz w:val="24"/>
                    <w:szCs w:val="24"/>
                  </w:rPr>
                  <w:t xml:space="preserve"> impact</w:t>
                </w:r>
                <w:bookmarkEnd w:id="8"/>
              </w:p>
              <w:p w14:paraId="68B0AF22" w14:textId="3AF14CE0" w:rsidR="000D238C" w:rsidRPr="00131952" w:rsidRDefault="000D238C" w:rsidP="009666EE">
                <w:pPr>
                  <w:pStyle w:val="ListParagraph"/>
                  <w:numPr>
                    <w:ilvl w:val="0"/>
                    <w:numId w:val="28"/>
                  </w:numPr>
                  <w:spacing w:before="120" w:after="0" w:line="360" w:lineRule="auto"/>
                  <w:ind w:right="113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Evidence that the waste is no longer being accepted</w:t>
                </w:r>
              </w:p>
              <w:p w14:paraId="1C12D286" w14:textId="3340A65C" w:rsidR="000D238C" w:rsidRPr="00131952" w:rsidRDefault="000D238C" w:rsidP="00896D6F">
                <w:pPr>
                  <w:pStyle w:val="ListParagraph"/>
                  <w:numPr>
                    <w:ilvl w:val="0"/>
                    <w:numId w:val="8"/>
                  </w:numPr>
                  <w:spacing w:before="120" w:after="0" w:line="360" w:lineRule="auto"/>
                  <w:ind w:left="431" w:right="113" w:hanging="318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 xml:space="preserve">SEPA will assess submission and ascertain if enough information is provided to </w:t>
                </w:r>
                <w:r w:rsidR="00535216">
                  <w:rPr>
                    <w:rFonts w:ascii="Arial" w:hAnsi="Arial" w:cs="Arial"/>
                    <w:sz w:val="24"/>
                    <w:szCs w:val="24"/>
                  </w:rPr>
                  <w:t xml:space="preserve">resolve </w:t>
                </w:r>
                <w:r w:rsidRPr="00131952">
                  <w:rPr>
                    <w:rFonts w:ascii="Arial" w:hAnsi="Arial" w:cs="Arial"/>
                    <w:sz w:val="24"/>
                    <w:szCs w:val="24"/>
                  </w:rPr>
                  <w:t>compliance.</w:t>
                </w:r>
              </w:p>
            </w:tc>
          </w:tr>
        </w:tbl>
        <w:p w14:paraId="4A2157E2" w14:textId="77777777" w:rsidR="00F811AB" w:rsidRPr="00131952" w:rsidRDefault="00F811AB" w:rsidP="00181CBE">
          <w:pPr>
            <w:pStyle w:val="Caption"/>
            <w:spacing w:before="120" w:after="12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sectPr w:rsidR="00F811AB" w:rsidRPr="00131952" w:rsidSect="00DD3CCE">
              <w:pgSz w:w="16840" w:h="11900" w:orient="landscape"/>
              <w:pgMar w:top="839" w:right="839" w:bottom="839" w:left="839" w:header="794" w:footer="567" w:gutter="0"/>
              <w:cols w:space="708"/>
              <w:titlePg/>
              <w:docGrid w:linePitch="360"/>
            </w:sectPr>
          </w:pPr>
        </w:p>
        <w:p w14:paraId="1CCDBA18" w14:textId="57E5EAF1" w:rsidR="0096745E" w:rsidRPr="00131952" w:rsidRDefault="009F461F" w:rsidP="00181CBE">
          <w:pPr>
            <w:spacing w:before="120" w:after="120"/>
          </w:pPr>
          <w:r w:rsidRPr="00131952">
            <w:rPr>
              <w:rFonts w:asciiTheme="majorHAnsi" w:hAnsiTheme="majorHAnsi" w:cstheme="majorBidi"/>
              <w:b/>
            </w:rPr>
            <w:lastRenderedPageBreak/>
            <w:t xml:space="preserve">Table </w:t>
          </w:r>
          <w:r w:rsidRPr="00131952">
            <w:rPr>
              <w:rFonts w:asciiTheme="majorHAnsi" w:hAnsiTheme="majorHAnsi" w:cstheme="majorBidi"/>
              <w:b/>
              <w:i/>
            </w:rPr>
            <w:fldChar w:fldCharType="begin"/>
          </w:r>
          <w:r w:rsidRPr="00131952">
            <w:rPr>
              <w:rFonts w:asciiTheme="majorHAnsi" w:hAnsiTheme="majorHAnsi" w:cstheme="majorBidi"/>
              <w:b/>
            </w:rPr>
            <w:instrText xml:space="preserve"> SEQ Table \* ARABIC </w:instrText>
          </w:r>
          <w:r w:rsidRPr="00131952">
            <w:rPr>
              <w:rFonts w:asciiTheme="majorHAnsi" w:hAnsiTheme="majorHAnsi" w:cstheme="majorBidi"/>
              <w:b/>
              <w:i/>
            </w:rPr>
            <w:fldChar w:fldCharType="separate"/>
          </w:r>
          <w:r w:rsidR="00EA3FD3" w:rsidRPr="00131952">
            <w:rPr>
              <w:rFonts w:asciiTheme="majorHAnsi" w:hAnsiTheme="majorHAnsi" w:cstheme="majorBidi"/>
              <w:b/>
            </w:rPr>
            <w:t>3</w:t>
          </w:r>
          <w:r w:rsidRPr="00131952">
            <w:rPr>
              <w:rFonts w:asciiTheme="majorHAnsi" w:hAnsiTheme="majorHAnsi" w:cstheme="majorBidi"/>
              <w:b/>
              <w:i/>
            </w:rPr>
            <w:fldChar w:fldCharType="end"/>
          </w:r>
          <w:r w:rsidRPr="00131952">
            <w:rPr>
              <w:rFonts w:asciiTheme="majorHAnsi" w:hAnsiTheme="majorHAnsi" w:cstheme="majorBidi"/>
              <w:b/>
            </w:rPr>
            <w:t>:</w:t>
          </w:r>
          <w:r w:rsidR="00CC2452" w:rsidRPr="00131952">
            <w:t xml:space="preserve"> </w:t>
          </w:r>
          <w:r w:rsidRPr="00131952">
            <w:rPr>
              <w:rFonts w:asciiTheme="majorHAnsi" w:hAnsiTheme="majorHAnsi" w:cstheme="majorBidi"/>
              <w:b/>
            </w:rPr>
            <w:t>Un</w:t>
          </w:r>
          <w:r w:rsidR="009F3A7A" w:rsidRPr="00131952">
            <w:rPr>
              <w:rFonts w:asciiTheme="majorHAnsi" w:hAnsiTheme="majorHAnsi" w:cstheme="majorBidi"/>
              <w:b/>
            </w:rPr>
            <w:t xml:space="preserve">derstanding </w:t>
          </w:r>
          <w:r w:rsidR="0078627A" w:rsidRPr="00131952">
            <w:rPr>
              <w:rFonts w:asciiTheme="majorHAnsi" w:hAnsiTheme="majorHAnsi" w:cstheme="majorBidi"/>
              <w:b/>
            </w:rPr>
            <w:t>o</w:t>
          </w:r>
          <w:r w:rsidR="009F3A7A" w:rsidRPr="00131952">
            <w:rPr>
              <w:rFonts w:asciiTheme="majorHAnsi" w:hAnsiTheme="majorHAnsi" w:cstheme="majorBidi"/>
              <w:b/>
            </w:rPr>
            <w:t xml:space="preserve">f </w:t>
          </w:r>
          <w:r w:rsidR="0078627A" w:rsidRPr="00131952">
            <w:rPr>
              <w:rFonts w:asciiTheme="majorHAnsi" w:hAnsiTheme="majorHAnsi" w:cstheme="majorBidi"/>
              <w:b/>
            </w:rPr>
            <w:t>au</w:t>
          </w:r>
          <w:r w:rsidR="009F3A7A" w:rsidRPr="00131952">
            <w:rPr>
              <w:rFonts w:asciiTheme="majorHAnsi" w:hAnsiTheme="majorHAnsi" w:cstheme="majorBidi"/>
              <w:b/>
            </w:rPr>
            <w:t xml:space="preserve">thorised </w:t>
          </w:r>
          <w:r w:rsidR="0078627A" w:rsidRPr="00131952">
            <w:rPr>
              <w:rFonts w:asciiTheme="majorHAnsi" w:hAnsiTheme="majorHAnsi" w:cstheme="majorBidi"/>
              <w:b/>
            </w:rPr>
            <w:t>a</w:t>
          </w:r>
          <w:r w:rsidR="009F3A7A" w:rsidRPr="00131952">
            <w:rPr>
              <w:rFonts w:asciiTheme="majorHAnsi" w:hAnsiTheme="majorHAnsi" w:cstheme="majorBidi"/>
              <w:b/>
            </w:rPr>
            <w:t>ctivities</w:t>
          </w:r>
          <w:r w:rsidR="00C323FF">
            <w:rPr>
              <w:rFonts w:asciiTheme="majorHAnsi" w:hAnsiTheme="majorHAnsi" w:cstheme="majorBidi"/>
              <w:b/>
            </w:rPr>
            <w:t xml:space="preserve">, general </w:t>
          </w:r>
          <w:r w:rsidR="00D72C2B">
            <w:rPr>
              <w:rFonts w:asciiTheme="majorHAnsi" w:hAnsiTheme="majorHAnsi" w:cstheme="majorBidi"/>
              <w:b/>
            </w:rPr>
            <w:t>industrial activities</w:t>
          </w:r>
          <w:r w:rsidR="00E92489">
            <w:rPr>
              <w:rStyle w:val="FootnoteReference"/>
              <w:rFonts w:asciiTheme="majorHAnsi" w:hAnsiTheme="majorHAnsi" w:cstheme="majorBidi"/>
              <w:b/>
            </w:rPr>
            <w:footnoteReference w:id="2"/>
          </w:r>
          <w:r w:rsidR="00D72C2B">
            <w:rPr>
              <w:rFonts w:asciiTheme="majorHAnsi" w:hAnsiTheme="majorHAnsi" w:cstheme="majorBidi"/>
              <w:b/>
            </w:rPr>
            <w:t xml:space="preserve">. </w:t>
          </w:r>
        </w:p>
        <w:tbl>
          <w:tblPr>
            <w:tblW w:w="496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3: Understanding Of Authorised Activities "/>
            <w:tblDescription w:val="Table containing 4 columns &quot;Authorisation Condition&quot;, &quot;Major Non-Compliance&quot;, &quot;How Will SEPA Assess / Supporting Guidance&quot; and &quot;Return To Compliance Examples&quot; and 3 rows. Table highlights conditions within authorisations, when the condition would become major non-compliant, how SEPA will assess and actions the site would have to undertake to return to compliance. "/>
          </w:tblPr>
          <w:tblGrid>
            <w:gridCol w:w="2964"/>
            <w:gridCol w:w="4680"/>
            <w:gridCol w:w="3966"/>
            <w:gridCol w:w="3401"/>
          </w:tblGrid>
          <w:tr w:rsidR="00947838" w:rsidRPr="00131952" w14:paraId="0C6D9933" w14:textId="77777777" w:rsidTr="26A3526B">
            <w:trPr>
              <w:trHeight w:val="610"/>
              <w:tblHeader/>
            </w:trPr>
            <w:tc>
              <w:tcPr>
                <w:tcW w:w="987" w:type="pct"/>
                <w:tcBorders>
                  <w:bottom w:val="single" w:sz="12" w:space="0" w:color="auto"/>
                </w:tcBorders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13DB234" w14:textId="77777777" w:rsidR="00947838" w:rsidRPr="00131952" w:rsidRDefault="00947838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13195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559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6EA4D3C" w14:textId="77777777" w:rsidR="00947838" w:rsidRPr="00131952" w:rsidRDefault="00947838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13195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321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5A1B032" w14:textId="54836061" w:rsidR="00947838" w:rsidRPr="00131952" w:rsidRDefault="00947838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133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6F126E3" w14:textId="57842A6A" w:rsidR="00947838" w:rsidRPr="00131952" w:rsidRDefault="00947838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Return to compliance</w:t>
                </w:r>
                <w:r w:rsidR="0038679B" w:rsidRPr="00131952">
                  <w:rPr>
                    <w:rFonts w:ascii="Arial" w:hAnsi="Arial" w:cs="Arial"/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FA378A" w:rsidRPr="00131952" w14:paraId="6B658A86" w14:textId="77777777" w:rsidTr="26A3526B">
            <w:trPr>
              <w:trHeight w:val="315"/>
            </w:trPr>
            <w:tc>
              <w:tcPr>
                <w:tcW w:w="987" w:type="pct"/>
                <w:tcBorders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39AFEFC" w14:textId="422C2A02" w:rsidR="00FA378A" w:rsidRPr="00131952" w:rsidRDefault="00FA378A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31952">
                  <w:rPr>
                    <w:rFonts w:ascii="Arial" w:hAnsi="Arial" w:cs="Arial"/>
                  </w:rPr>
                  <w:t>Requirement to report incidents / events (either in operation of plant or environmental events)</w:t>
                </w:r>
                <w:r w:rsidR="00CC7455" w:rsidRPr="0013195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59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783AE6E" w14:textId="3354765A" w:rsidR="00FA378A" w:rsidRPr="00131952" w:rsidRDefault="72063C9D" w:rsidP="00181CBE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  <w:r w:rsidRPr="26A3526B">
                  <w:rPr>
                    <w:rFonts w:ascii="Arial" w:eastAsia="Arial" w:hAnsi="Arial" w:cs="Arial"/>
                    <w:color w:val="000000"/>
                  </w:rPr>
                  <w:t xml:space="preserve">Unless specified otherwise in the </w:t>
                </w:r>
                <w:r w:rsidR="5E114CF5" w:rsidRPr="26A3526B">
                  <w:rPr>
                    <w:rFonts w:ascii="Arial" w:eastAsia="Arial" w:hAnsi="Arial" w:cs="Arial"/>
                    <w:color w:val="000000"/>
                  </w:rPr>
                  <w:t>authorisation</w:t>
                </w:r>
                <w:r w:rsidRPr="26A3526B">
                  <w:rPr>
                    <w:rFonts w:ascii="Arial" w:eastAsia="Arial" w:hAnsi="Arial" w:cs="Arial"/>
                    <w:color w:val="000000"/>
                  </w:rPr>
                  <w:t>, f</w:t>
                </w:r>
                <w:r w:rsidR="4040B886" w:rsidRPr="26A3526B">
                  <w:rPr>
                    <w:rFonts w:ascii="Arial" w:hAnsi="Arial" w:cs="Arial"/>
                  </w:rPr>
                  <w:t xml:space="preserve">ailure to notify SEPA within 24 hours of an event that has caused or could cause an adverse impact upon the environment </w:t>
                </w:r>
                <w:r w:rsidR="528E7778" w:rsidRPr="26A3526B">
                  <w:rPr>
                    <w:rFonts w:ascii="Arial" w:hAnsi="Arial" w:cs="Arial"/>
                  </w:rPr>
                  <w:t>or</w:t>
                </w:r>
                <w:r w:rsidR="4040B886" w:rsidRPr="26A3526B">
                  <w:rPr>
                    <w:rFonts w:ascii="Arial" w:hAnsi="Arial" w:cs="Arial"/>
                  </w:rPr>
                  <w:t xml:space="preserve"> </w:t>
                </w:r>
                <w:r w:rsidR="58E5D4E3" w:rsidRPr="26A3526B">
                  <w:rPr>
                    <w:rFonts w:ascii="Arial" w:hAnsi="Arial" w:cs="Arial"/>
                  </w:rPr>
                  <w:t xml:space="preserve">harm to </w:t>
                </w:r>
                <w:r w:rsidR="4040B886" w:rsidRPr="26A3526B">
                  <w:rPr>
                    <w:rFonts w:ascii="Arial" w:hAnsi="Arial" w:cs="Arial"/>
                  </w:rPr>
                  <w:t>human health</w:t>
                </w:r>
                <w:bookmarkStart w:id="9" w:name="_Int_oazE4af2"/>
                <w:r w:rsidR="05A097D5" w:rsidRPr="26A3526B">
                  <w:rPr>
                    <w:rFonts w:ascii="Arial" w:hAnsi="Arial" w:cs="Arial"/>
                  </w:rPr>
                  <w:t>.</w:t>
                </w:r>
                <w:r w:rsidR="4040B886" w:rsidRPr="26A3526B">
                  <w:rPr>
                    <w:rFonts w:ascii="Arial" w:hAnsi="Arial" w:cs="Arial"/>
                  </w:rPr>
                  <w:t xml:space="preserve">  </w:t>
                </w:r>
                <w:bookmarkEnd w:id="9"/>
              </w:p>
              <w:p w14:paraId="41C78D86" w14:textId="77777777" w:rsidR="00FA378A" w:rsidRPr="00131952" w:rsidRDefault="00FA378A" w:rsidP="00181CBE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</w:p>
              <w:p w14:paraId="36951C13" w14:textId="1F8D262C" w:rsidR="00FA378A" w:rsidRPr="00131952" w:rsidRDefault="00FA378A" w:rsidP="00181CBE">
                <w:pPr>
                  <w:spacing w:before="120" w:after="120"/>
                  <w:rPr>
                    <w:rFonts w:ascii="Arial" w:eastAsia="Aptos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>Failure to submit a report within 14 days or the report does not comply with the information requirements specified in the authorisation.</w:t>
                </w:r>
              </w:p>
            </w:tc>
            <w:tc>
              <w:tcPr>
                <w:tcW w:w="132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DB78BB9" w14:textId="00B786D4" w:rsidR="00C274B7" w:rsidRPr="00131952" w:rsidRDefault="00C274B7" w:rsidP="00CD7DC5">
                <w:pPr>
                  <w:pStyle w:val="ListParagraph"/>
                  <w:numPr>
                    <w:ilvl w:val="0"/>
                    <w:numId w:val="26"/>
                  </w:numPr>
                  <w:spacing w:before="120" w:after="120" w:line="360" w:lineRule="auto"/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131952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>Operator notification received within timescale</w:t>
                </w:r>
                <w:r w:rsidR="00D11053" w:rsidRPr="00131952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>.</w:t>
                </w:r>
              </w:p>
              <w:p w14:paraId="0FF4A3B9" w14:textId="77777777" w:rsidR="00336A19" w:rsidRPr="00131952" w:rsidRDefault="00C274B7" w:rsidP="00CD7DC5">
                <w:pPr>
                  <w:pStyle w:val="ListParagraph"/>
                  <w:numPr>
                    <w:ilvl w:val="0"/>
                    <w:numId w:val="26"/>
                  </w:numPr>
                  <w:spacing w:before="120" w:after="120" w:line="360" w:lineRule="auto"/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131952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>Operator incident report submitted in accordance with authorisation conditions.</w:t>
                </w:r>
              </w:p>
              <w:p w14:paraId="2828A140" w14:textId="0F7B0067" w:rsidR="00C274B7" w:rsidRPr="00131952" w:rsidRDefault="00C274B7" w:rsidP="00CD7DC5">
                <w:pPr>
                  <w:pStyle w:val="ListParagraph"/>
                  <w:numPr>
                    <w:ilvl w:val="0"/>
                    <w:numId w:val="26"/>
                  </w:numPr>
                  <w:spacing w:before="120" w:after="120" w:line="360" w:lineRule="auto"/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131952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>Assessment of operator incident report</w:t>
                </w:r>
                <w:r w:rsidR="00E1710D" w:rsidRPr="00131952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 xml:space="preserve"> against incident / event conditions in authorisation and environmental events guidance</w:t>
                </w:r>
                <w:r w:rsidRPr="00131952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>.</w:t>
                </w:r>
              </w:p>
              <w:p w14:paraId="75E1E4B8" w14:textId="5ACBF3FD" w:rsidR="00FA378A" w:rsidRPr="00131952" w:rsidRDefault="00FA378A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133" w:type="pct"/>
                <w:tcBorders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61053A3" w14:textId="02F34E87" w:rsidR="00FA378A" w:rsidRPr="00131952" w:rsidRDefault="00FA378A" w:rsidP="00896D6F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 xml:space="preserve">The operator has notified SEPA of the incident / event and has provided a report of adequate </w:t>
                </w:r>
                <w:r w:rsidR="00CC2C80" w:rsidRPr="00131952">
                  <w:rPr>
                    <w:rFonts w:ascii="Arial" w:hAnsi="Arial" w:cs="Arial"/>
                  </w:rPr>
                  <w:t>quality</w:t>
                </w:r>
                <w:r w:rsidR="0053483E">
                  <w:rPr>
                    <w:rStyle w:val="FootnoteReference"/>
                    <w:rFonts w:ascii="Arial" w:hAnsi="Arial" w:cs="Arial"/>
                  </w:rPr>
                  <w:footnoteReference w:id="3"/>
                </w:r>
                <w:r w:rsidR="00CC2C80" w:rsidRPr="00131952">
                  <w:rPr>
                    <w:rFonts w:ascii="Arial" w:hAnsi="Arial" w:cs="Arial"/>
                  </w:rPr>
                  <w:t>.</w:t>
                </w:r>
              </w:p>
            </w:tc>
          </w:tr>
          <w:tr w:rsidR="00FA378A" w:rsidRPr="00131952" w14:paraId="289565BD" w14:textId="77777777" w:rsidTr="26A3526B">
            <w:trPr>
              <w:trHeight w:val="315"/>
            </w:trPr>
            <w:tc>
              <w:tcPr>
                <w:tcW w:w="987" w:type="pct"/>
                <w:tcBorders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82D7559" w14:textId="4A4D3C8D" w:rsidR="00FA378A" w:rsidRPr="00131952" w:rsidRDefault="4040B886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26A3526B">
                  <w:rPr>
                    <w:rFonts w:ascii="Arial" w:hAnsi="Arial" w:cs="Arial"/>
                  </w:rPr>
                  <w:lastRenderedPageBreak/>
                  <w:t>Requirement to submit data (records, reports, data)</w:t>
                </w:r>
                <w:bookmarkStart w:id="10" w:name="_Int_GjnNVoUq"/>
                <w:r w:rsidR="05A097D5" w:rsidRPr="26A3526B">
                  <w:rPr>
                    <w:rFonts w:ascii="Arial" w:hAnsi="Arial" w:cs="Arial"/>
                  </w:rPr>
                  <w:t>.</w:t>
                </w:r>
                <w:r w:rsidRPr="26A3526B">
                  <w:rPr>
                    <w:rFonts w:ascii="Arial" w:hAnsi="Arial" w:cs="Arial"/>
                  </w:rPr>
                  <w:t xml:space="preserve">  </w:t>
                </w:r>
                <w:bookmarkEnd w:id="10"/>
              </w:p>
            </w:tc>
            <w:tc>
              <w:tcPr>
                <w:tcW w:w="1559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2FBB8AA" w14:textId="6148F0A3" w:rsidR="00FA378A" w:rsidRPr="00131952" w:rsidRDefault="00FA378A" w:rsidP="00181CBE">
                <w:pPr>
                  <w:spacing w:before="120" w:after="120"/>
                  <w:rPr>
                    <w:rFonts w:ascii="Arial" w:eastAsia="Aptos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>Failure to make a data return (</w:t>
                </w:r>
                <w:r w:rsidRPr="00DC4BD6">
                  <w:rPr>
                    <w:rFonts w:ascii="Arial" w:hAnsi="Arial" w:cs="Arial"/>
                    <w:b/>
                    <w:bCs/>
                  </w:rPr>
                  <w:t>including nil returns</w:t>
                </w:r>
                <w:r w:rsidRPr="00131952">
                  <w:rPr>
                    <w:rFonts w:ascii="Arial" w:hAnsi="Arial" w:cs="Arial"/>
                  </w:rPr>
                  <w:t>) of adequate quality within 30 days of the required submission date.</w:t>
                </w:r>
              </w:p>
            </w:tc>
            <w:tc>
              <w:tcPr>
                <w:tcW w:w="132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D5B7174" w14:textId="624F9BA7" w:rsidR="00FA378A" w:rsidRPr="00131952" w:rsidRDefault="00FA378A" w:rsidP="00CD7DC5">
                <w:pPr>
                  <w:pStyle w:val="ListParagraph"/>
                  <w:numPr>
                    <w:ilvl w:val="0"/>
                    <w:numId w:val="8"/>
                  </w:numPr>
                  <w:spacing w:before="120" w:after="0" w:line="360" w:lineRule="auto"/>
                  <w:ind w:left="312" w:right="216" w:hanging="284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SEPA will assess the submission to confirm it has been received within the correct timescale.</w:t>
                </w:r>
              </w:p>
              <w:p w14:paraId="4DE829B9" w14:textId="273DEC54" w:rsidR="00FA378A" w:rsidRPr="00131952" w:rsidRDefault="00FA378A" w:rsidP="00CD7DC5">
                <w:pPr>
                  <w:pStyle w:val="ListParagraph"/>
                  <w:numPr>
                    <w:ilvl w:val="0"/>
                    <w:numId w:val="8"/>
                  </w:numPr>
                  <w:spacing w:before="120" w:after="0" w:line="360" w:lineRule="auto"/>
                  <w:ind w:left="312" w:hanging="284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If an operator is near the compliance limit, information should be included about how this will be managed going forward.</w:t>
                </w:r>
              </w:p>
            </w:tc>
            <w:tc>
              <w:tcPr>
                <w:tcW w:w="1133" w:type="pct"/>
                <w:tcBorders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0BE55D6" w14:textId="77777777" w:rsidR="00F335E9" w:rsidRPr="00C95A72" w:rsidRDefault="00F335E9" w:rsidP="00896D6F">
                <w:pPr>
                  <w:pStyle w:val="ListParagraph"/>
                  <w:numPr>
                    <w:ilvl w:val="0"/>
                    <w:numId w:val="38"/>
                  </w:numPr>
                  <w:spacing w:before="120" w:after="0" w:line="360" w:lineRule="auto"/>
                  <w:ind w:left="39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Required data submission.</w:t>
                </w:r>
              </w:p>
              <w:p w14:paraId="00EFE9CF" w14:textId="73D39688" w:rsidR="00F335E9" w:rsidRPr="00C95A72" w:rsidRDefault="00F335E9" w:rsidP="00896D6F">
                <w:pPr>
                  <w:pStyle w:val="ListParagraph"/>
                  <w:numPr>
                    <w:ilvl w:val="0"/>
                    <w:numId w:val="38"/>
                  </w:numPr>
                  <w:spacing w:before="120" w:after="0" w:line="360" w:lineRule="auto"/>
                  <w:ind w:left="39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Or if no data available,</w:t>
                </w:r>
                <w:r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MNC will be resolved on receipt of 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an information submission </w:t>
                </w:r>
                <w:r w:rsidR="00A32F1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that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includes:</w:t>
                </w:r>
              </w:p>
              <w:p w14:paraId="0EE94F5E" w14:textId="77777777" w:rsidR="00F335E9" w:rsidRPr="00C95A72" w:rsidRDefault="00F335E9" w:rsidP="00A77697">
                <w:pPr>
                  <w:pStyle w:val="ListParagraph"/>
                  <w:numPr>
                    <w:ilvl w:val="0"/>
                    <w:numId w:val="40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Corrective actions/reasons for missing information.</w:t>
                </w:r>
              </w:p>
              <w:p w14:paraId="27968039" w14:textId="079DC8D4" w:rsidR="00F335E9" w:rsidRPr="00C95A72" w:rsidRDefault="4E282426" w:rsidP="00A77697">
                <w:pPr>
                  <w:pStyle w:val="ListParagraph"/>
                  <w:numPr>
                    <w:ilvl w:val="0"/>
                    <w:numId w:val="40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26A3526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Assessment of </w:t>
                </w:r>
                <w:bookmarkStart w:id="11" w:name="_Int_XDxsQVru"/>
                <w:r w:rsidR="09C61253" w:rsidRPr="26A3526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l</w:t>
                </w:r>
                <w:r w:rsidR="09C61253" w:rsidRPr="26A3526B">
                  <w:rPr>
                    <w:rFonts w:ascii="Arial" w:eastAsia="Arial" w:hAnsi="Arial" w:cs="Arial"/>
                    <w:color w:val="000000"/>
                  </w:rPr>
                  <w:t>ikely</w:t>
                </w:r>
                <w:r w:rsidRPr="26A3526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impact</w:t>
                </w:r>
                <w:bookmarkEnd w:id="11"/>
                <w:r w:rsidRPr="26A3526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from missing data.</w:t>
                </w:r>
              </w:p>
              <w:p w14:paraId="53C1DD17" w14:textId="6B98280B" w:rsidR="00F335E9" w:rsidRPr="00F51482" w:rsidRDefault="00F335E9" w:rsidP="00A77697">
                <w:pPr>
                  <w:pStyle w:val="ListParagraph"/>
                  <w:numPr>
                    <w:ilvl w:val="0"/>
                    <w:numId w:val="40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60E17D2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Evidence that the records are now being </w:t>
                </w:r>
                <w:r w:rsidR="2306F7AE" w:rsidRPr="60E17D2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recorded and kept</w:t>
                </w:r>
                <w:r w:rsidRPr="60E17D2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.</w:t>
                </w:r>
              </w:p>
              <w:p w14:paraId="5E95817C" w14:textId="4F377FDF" w:rsidR="00FF2EE0" w:rsidRPr="00F335E9" w:rsidRDefault="00F335E9" w:rsidP="00896D6F">
                <w:pPr>
                  <w:pStyle w:val="ListParagraph"/>
                  <w:numPr>
                    <w:ilvl w:val="0"/>
                    <w:numId w:val="41"/>
                  </w:numPr>
                  <w:spacing w:before="120" w:after="0" w:line="360" w:lineRule="auto"/>
                  <w:ind w:left="397" w:right="113" w:hanging="284"/>
                  <w:rPr>
                    <w:rFonts w:ascii="Arial" w:hAnsi="Arial" w:cs="Arial"/>
                  </w:rPr>
                </w:pPr>
                <w:r w:rsidRPr="00F335E9">
                  <w:rPr>
                    <w:rFonts w:ascii="Arial" w:hAnsi="Arial" w:cs="Arial"/>
                    <w:sz w:val="24"/>
                    <w:szCs w:val="24"/>
                  </w:rPr>
                  <w:t xml:space="preserve">SEPA will assess submission and </w:t>
                </w:r>
                <w:r w:rsidRPr="00F335E9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 xml:space="preserve">ascertain if enough information is provided to </w:t>
                </w:r>
                <w:r w:rsidR="003D63A4">
                  <w:rPr>
                    <w:rFonts w:ascii="Arial" w:hAnsi="Arial" w:cs="Arial"/>
                    <w:sz w:val="24"/>
                    <w:szCs w:val="24"/>
                  </w:rPr>
                  <w:t>resolve</w:t>
                </w:r>
                <w:r w:rsidRPr="00F335E9">
                  <w:rPr>
                    <w:rFonts w:ascii="Arial" w:hAnsi="Arial" w:cs="Arial"/>
                    <w:sz w:val="24"/>
                    <w:szCs w:val="24"/>
                  </w:rPr>
                  <w:t xml:space="preserve"> compliance.</w:t>
                </w:r>
              </w:p>
            </w:tc>
          </w:tr>
          <w:tr w:rsidR="00FA378A" w:rsidRPr="00131952" w14:paraId="2E915545" w14:textId="77777777" w:rsidTr="26A3526B">
            <w:trPr>
              <w:trHeight w:val="1826"/>
            </w:trPr>
            <w:tc>
              <w:tcPr>
                <w:tcW w:w="987" w:type="pct"/>
                <w:tcBorders>
                  <w:top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A3335C9" w14:textId="2A3FC899" w:rsidR="00FA378A" w:rsidRPr="00131952" w:rsidRDefault="00FA378A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>Requirement to keep records</w:t>
                </w:r>
                <w:r w:rsidR="00C2329B" w:rsidRPr="0013195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59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5F60C71" w14:textId="1EA8F100" w:rsidR="00FA378A" w:rsidRPr="00131952" w:rsidRDefault="00FA378A" w:rsidP="00CD7DC5">
                <w:pPr>
                  <w:pStyle w:val="ListParagraph"/>
                  <w:numPr>
                    <w:ilvl w:val="0"/>
                    <w:numId w:val="22"/>
                  </w:numPr>
                  <w:spacing w:before="120" w:after="120" w:line="360" w:lineRule="auto"/>
                  <w:ind w:left="36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Failure to provide upon request information required by the authorisation.</w:t>
                </w:r>
              </w:p>
              <w:p w14:paraId="5937D673" w14:textId="1BA04CCC" w:rsidR="00FA378A" w:rsidRPr="00131952" w:rsidRDefault="00FA378A" w:rsidP="00CD7DC5">
                <w:pPr>
                  <w:pStyle w:val="ListParagraph"/>
                  <w:numPr>
                    <w:ilvl w:val="0"/>
                    <w:numId w:val="22"/>
                  </w:numPr>
                  <w:spacing w:before="120" w:after="120" w:line="360" w:lineRule="auto"/>
                  <w:ind w:left="36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 xml:space="preserve">Information submitted is not true and accurate. </w:t>
                </w:r>
              </w:p>
              <w:p w14:paraId="4E2AD0EB" w14:textId="77777777" w:rsidR="00FA378A" w:rsidRPr="00131952" w:rsidRDefault="00FA378A" w:rsidP="00CD7DC5">
                <w:pPr>
                  <w:pStyle w:val="ListParagraph"/>
                  <w:numPr>
                    <w:ilvl w:val="0"/>
                    <w:numId w:val="22"/>
                  </w:numPr>
                  <w:spacing w:before="120" w:after="120" w:line="360" w:lineRule="auto"/>
                  <w:ind w:left="36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Records are not kept for the minimum duration.</w:t>
                </w:r>
              </w:p>
              <w:p w14:paraId="29A33703" w14:textId="23A00073" w:rsidR="00FA378A" w:rsidRPr="00131952" w:rsidRDefault="00FA378A" w:rsidP="00181CBE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5824381" w14:textId="6BFF5B43" w:rsidR="00FA378A" w:rsidRPr="00131952" w:rsidRDefault="00FA378A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31952">
                  <w:rPr>
                    <w:rFonts w:ascii="Arial" w:hAnsi="Arial" w:cs="Arial"/>
                  </w:rPr>
                  <w:t>No information provided</w:t>
                </w:r>
                <w:r w:rsidR="00C2329B" w:rsidRPr="0013195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133" w:type="pct"/>
                <w:tcBorders>
                  <w:top w:val="single" w:sz="4" w:space="0" w:color="auto"/>
                  <w:lef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56EF43C" w14:textId="77777777" w:rsidR="00A95375" w:rsidRPr="00C95A72" w:rsidRDefault="00A95375" w:rsidP="00896D6F">
                <w:pPr>
                  <w:pStyle w:val="ListParagraph"/>
                  <w:numPr>
                    <w:ilvl w:val="0"/>
                    <w:numId w:val="38"/>
                  </w:numPr>
                  <w:spacing w:before="120" w:after="0" w:line="360" w:lineRule="auto"/>
                  <w:ind w:left="39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Required data submission.</w:t>
                </w:r>
              </w:p>
              <w:p w14:paraId="4C9C7365" w14:textId="5D0436DC" w:rsidR="00A95375" w:rsidRPr="00C95A72" w:rsidRDefault="00A95375" w:rsidP="00896D6F">
                <w:pPr>
                  <w:pStyle w:val="ListParagraph"/>
                  <w:numPr>
                    <w:ilvl w:val="0"/>
                    <w:numId w:val="38"/>
                  </w:numPr>
                  <w:spacing w:before="120" w:after="0" w:line="360" w:lineRule="auto"/>
                  <w:ind w:left="39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Or if no data available,</w:t>
                </w:r>
                <w:r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MNC will be </w:t>
                </w:r>
                <w:r w:rsidR="004C6561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resolved</w:t>
                </w:r>
                <w:r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on receipt of 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an information submission </w:t>
                </w:r>
                <w:r w:rsidR="00A32F1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that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includes:</w:t>
                </w:r>
              </w:p>
              <w:p w14:paraId="2903BC1D" w14:textId="73EE8A65" w:rsidR="00A95375" w:rsidRPr="00C95A72" w:rsidRDefault="00A95375" w:rsidP="00A77697">
                <w:pPr>
                  <w:pStyle w:val="ListParagraph"/>
                  <w:numPr>
                    <w:ilvl w:val="0"/>
                    <w:numId w:val="40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Corrective actions</w:t>
                </w:r>
                <w:r w:rsidR="005C3BC9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and 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reasons for missing information.</w:t>
                </w:r>
              </w:p>
              <w:p w14:paraId="0F5476E2" w14:textId="30617671" w:rsidR="00A95375" w:rsidRPr="00C95A72" w:rsidRDefault="449F19E6" w:rsidP="00A77697">
                <w:pPr>
                  <w:pStyle w:val="ListParagraph"/>
                  <w:numPr>
                    <w:ilvl w:val="0"/>
                    <w:numId w:val="40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26A3526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Assessment of </w:t>
                </w:r>
                <w:r w:rsidR="1F7F4C95" w:rsidRPr="26A3526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the </w:t>
                </w:r>
                <w:bookmarkStart w:id="12" w:name="_Int_29IexRr0"/>
                <w:r w:rsidR="1F7F4C95" w:rsidRPr="26A3526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likely</w:t>
                </w:r>
                <w:r w:rsidRPr="26A3526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impact</w:t>
                </w:r>
                <w:bookmarkEnd w:id="12"/>
                <w:r w:rsidRPr="26A3526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from missing data.</w:t>
                </w:r>
              </w:p>
              <w:p w14:paraId="321A5917" w14:textId="79FE552A" w:rsidR="004C6561" w:rsidRPr="00F51482" w:rsidRDefault="00A95375" w:rsidP="00A77697">
                <w:pPr>
                  <w:pStyle w:val="ListParagraph"/>
                  <w:numPr>
                    <w:ilvl w:val="0"/>
                    <w:numId w:val="40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60E17D2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Evidence that the records are now </w:t>
                </w:r>
                <w:r w:rsidRPr="60E17D2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lastRenderedPageBreak/>
                  <w:t xml:space="preserve">being </w:t>
                </w:r>
                <w:r w:rsidR="5A19A9E5" w:rsidRPr="60E17D2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recorded and kept</w:t>
                </w:r>
                <w:r w:rsidRPr="60E17D2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.</w:t>
                </w:r>
              </w:p>
              <w:p w14:paraId="2164AEC4" w14:textId="3E2485E8" w:rsidR="00FA378A" w:rsidRPr="004C6561" w:rsidRDefault="00FA378A" w:rsidP="00896D6F">
                <w:pPr>
                  <w:pStyle w:val="ListParagraph"/>
                  <w:numPr>
                    <w:ilvl w:val="0"/>
                    <w:numId w:val="39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ascii="Arial" w:hAnsi="Arial" w:cs="Arial"/>
                  </w:rPr>
                </w:pPr>
                <w:r w:rsidRPr="00F51482">
                  <w:rPr>
                    <w:rFonts w:ascii="Arial" w:hAnsi="Arial" w:cs="Arial"/>
                    <w:sz w:val="24"/>
                    <w:szCs w:val="24"/>
                  </w:rPr>
                  <w:t xml:space="preserve">SEPA will assess submission and ascertain if enough information is provided to </w:t>
                </w:r>
                <w:r w:rsidR="003D63A4">
                  <w:rPr>
                    <w:rFonts w:ascii="Arial" w:hAnsi="Arial" w:cs="Arial"/>
                    <w:sz w:val="24"/>
                    <w:szCs w:val="24"/>
                  </w:rPr>
                  <w:t>resolve</w:t>
                </w:r>
                <w:r w:rsidRPr="00F51482">
                  <w:rPr>
                    <w:rFonts w:ascii="Arial" w:hAnsi="Arial" w:cs="Arial"/>
                    <w:sz w:val="24"/>
                    <w:szCs w:val="24"/>
                  </w:rPr>
                  <w:t xml:space="preserve"> compliance.</w:t>
                </w:r>
              </w:p>
            </w:tc>
          </w:tr>
        </w:tbl>
        <w:p w14:paraId="4E84C3B8" w14:textId="0D2A960D" w:rsidR="007676FF" w:rsidRPr="00131952" w:rsidRDefault="007676FF" w:rsidP="007676FF">
          <w:pPr>
            <w:spacing w:before="120" w:after="120"/>
            <w:sectPr w:rsidR="007676FF" w:rsidRPr="00131952" w:rsidSect="00DD3CCE">
              <w:headerReference w:type="first" r:id="rId21"/>
              <w:pgSz w:w="16840" w:h="11900" w:orient="landscape"/>
              <w:pgMar w:top="839" w:right="839" w:bottom="839" w:left="839" w:header="794" w:footer="567" w:gutter="0"/>
              <w:cols w:space="708"/>
              <w:titlePg/>
              <w:docGrid w:linePitch="360"/>
            </w:sectPr>
          </w:pPr>
        </w:p>
        <w:p w14:paraId="2BABFB06" w14:textId="539DCBCB" w:rsidR="009F3A7A" w:rsidRPr="00131952" w:rsidRDefault="009F3A7A" w:rsidP="00181CBE">
          <w:pPr>
            <w:pStyle w:val="Caption"/>
            <w:spacing w:before="120" w:after="12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</w:pP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lastRenderedPageBreak/>
            <w:t xml:space="preserve">Table </w:t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begin"/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instrText xml:space="preserve"> SEQ Table \* ARABIC </w:instrText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separate"/>
          </w:r>
          <w:r w:rsidR="00EA3FD3" w:rsidRPr="00131952">
            <w:rPr>
              <w:rFonts w:asciiTheme="majorHAnsi" w:hAnsiTheme="majorHAnsi" w:cstheme="majorHAnsi"/>
              <w:b/>
              <w:bCs/>
              <w:i w:val="0"/>
              <w:iCs w:val="0"/>
              <w:noProof/>
              <w:color w:val="auto"/>
              <w:sz w:val="24"/>
              <w:szCs w:val="24"/>
            </w:rPr>
            <w:t>4</w:t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end"/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:</w:t>
          </w:r>
          <w:r w:rsidR="002A3882"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Overall </w:t>
          </w:r>
          <w:r w:rsidR="0078627A"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m</w:t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anagement </w:t>
          </w:r>
          <w:r w:rsidR="0078627A"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o</w:t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f </w:t>
          </w:r>
          <w:r w:rsidR="0078627A"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auth</w:t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orised </w:t>
          </w:r>
          <w:r w:rsidR="0078627A"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a</w:t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ctivities</w:t>
          </w:r>
          <w:r w:rsidR="00FA4E9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, general industrial activities</w:t>
          </w:r>
          <w:r w:rsidR="00AA3C6E">
            <w:rPr>
              <w:rStyle w:val="FootnoteReference"/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ootnoteReference w:id="4"/>
          </w:r>
          <w:r w:rsidR="00AA3C6E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.</w:t>
          </w:r>
        </w:p>
        <w:tbl>
          <w:tblPr>
            <w:tblW w:w="496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4:  Overall Management Of Authorised Activities"/>
            <w:tblDescription w:val="Table containing 4 columns &quot;Authorisation Condition&quot;, &quot;Major Non-Compliance&quot;, &quot;How Will SEPA Assess / Supporting Guidance&quot; and &quot;Return To Compliance Examples&quot; and 7 rows. Table highlights conditions within authorisations, when the condition would become major non-compliant, how SEPA will assess and actions the site would have to undertake to return to compliance. "/>
          </w:tblPr>
          <w:tblGrid>
            <w:gridCol w:w="2931"/>
            <w:gridCol w:w="4629"/>
            <w:gridCol w:w="4497"/>
            <w:gridCol w:w="2954"/>
          </w:tblGrid>
          <w:tr w:rsidR="0010613C" w:rsidRPr="00131952" w14:paraId="5BF06F8F" w14:textId="77777777" w:rsidTr="6B32524A">
            <w:trPr>
              <w:trHeight w:val="610"/>
              <w:tblHeader/>
            </w:trPr>
            <w:tc>
              <w:tcPr>
                <w:tcW w:w="976" w:type="pct"/>
                <w:tcBorders>
                  <w:bottom w:val="single" w:sz="12" w:space="0" w:color="auto"/>
                </w:tcBorders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A5B1F23" w14:textId="77777777" w:rsidR="00284C2F" w:rsidRPr="00131952" w:rsidRDefault="00284C2F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13195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542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4C6793A" w14:textId="77777777" w:rsidR="00284C2F" w:rsidRPr="00131952" w:rsidRDefault="00284C2F" w:rsidP="00AF65E6">
                <w:pPr>
                  <w:spacing w:before="120" w:after="0"/>
                  <w:ind w:left="113" w:right="113"/>
                  <w:rPr>
                    <w:rFonts w:eastAsia="Times New Roman" w:cstheme="minorHAnsi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cstheme="minorHAnsi"/>
                    <w:b/>
                    <w:color w:val="FFFFFF" w:themeColor="background1"/>
                  </w:rPr>
                  <w:t>Major non-compliance</w:t>
                </w:r>
                <w:r w:rsidRPr="00131952">
                  <w:rPr>
                    <w:rFonts w:cstheme="minorHAnsi"/>
                    <w:color w:val="FFFFFF" w:themeColor="background1"/>
                  </w:rPr>
                  <w:t> </w:t>
                </w:r>
              </w:p>
            </w:tc>
            <w:tc>
              <w:tcPr>
                <w:tcW w:w="1498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D25751F" w14:textId="347D8215" w:rsidR="00284C2F" w:rsidRPr="00131952" w:rsidRDefault="00284C2F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984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410AF1F1" w14:textId="5327761B" w:rsidR="00284C2F" w:rsidRPr="00131952" w:rsidRDefault="00284C2F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Return to compliance</w:t>
                </w:r>
                <w:r w:rsidR="00C34B1A" w:rsidRPr="00131952">
                  <w:rPr>
                    <w:rFonts w:ascii="Arial" w:hAnsi="Arial" w:cs="Arial"/>
                    <w:b/>
                    <w:color w:val="FFFFFF" w:themeColor="background1"/>
                  </w:rPr>
                  <w:t xml:space="preserve"> examples </w:t>
                </w:r>
              </w:p>
            </w:tc>
          </w:tr>
          <w:tr w:rsidR="00095686" w:rsidRPr="00131952" w14:paraId="5D2B4D97" w14:textId="77777777" w:rsidTr="6B32524A">
            <w:trPr>
              <w:trHeight w:val="392"/>
            </w:trPr>
            <w:tc>
              <w:tcPr>
                <w:tcW w:w="976" w:type="pct"/>
                <w:tcBorders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1F4A5F4" w14:textId="3E5D16B2" w:rsidR="00095686" w:rsidRPr="00131952" w:rsidRDefault="00095686" w:rsidP="00181CBE">
                <w:pPr>
                  <w:spacing w:before="120" w:after="120"/>
                  <w:rPr>
                    <w:rFonts w:asciiTheme="majorHAnsi" w:eastAsia="Times New Roman" w:hAnsiTheme="majorHAnsi" w:cstheme="majorHAnsi"/>
                    <w:lang w:eastAsia="en-GB"/>
                  </w:rPr>
                </w:pPr>
                <w:r w:rsidRPr="00131952">
                  <w:rPr>
                    <w:rFonts w:ascii="Arial" w:hAnsi="Arial" w:cs="Arial"/>
                  </w:rPr>
                  <w:t>Compliance with authorisation conditions</w:t>
                </w:r>
                <w:r w:rsidR="00C2329B" w:rsidRPr="0013195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4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9A29C70" w14:textId="73EACC15" w:rsidR="00095686" w:rsidRPr="00131952" w:rsidRDefault="00095686" w:rsidP="003818A7">
                <w:pPr>
                  <w:spacing w:before="120" w:after="120"/>
                  <w:rPr>
                    <w:rFonts w:cstheme="minorHAnsi"/>
                  </w:rPr>
                </w:pPr>
                <w:r w:rsidRPr="00131952">
                  <w:rPr>
                    <w:rFonts w:cstheme="minorHAnsi"/>
                  </w:rPr>
                  <w:t xml:space="preserve">Multiple non-compliance (same or different conditions) </w:t>
                </w:r>
                <w:r w:rsidR="005C3BC9">
                  <w:rPr>
                    <w:rFonts w:cstheme="minorHAnsi"/>
                  </w:rPr>
                  <w:t>that</w:t>
                </w:r>
                <w:r w:rsidRPr="00131952">
                  <w:rPr>
                    <w:rFonts w:cstheme="minorHAnsi"/>
                  </w:rPr>
                  <w:t xml:space="preserve"> cumulatively equate to major non-compliance</w:t>
                </w:r>
                <w:r w:rsidR="00C2329B" w:rsidRPr="00131952">
                  <w:rPr>
                    <w:rFonts w:cstheme="minorHAnsi"/>
                  </w:rPr>
                  <w:t>.</w:t>
                </w:r>
                <w:r w:rsidRPr="00131952">
                  <w:rPr>
                    <w:rFonts w:cstheme="minorHAnsi"/>
                  </w:rPr>
                  <w:t xml:space="preserve"> </w:t>
                </w:r>
              </w:p>
              <w:p w14:paraId="7E585352" w14:textId="77777777" w:rsidR="00095686" w:rsidRPr="00131952" w:rsidRDefault="00095686" w:rsidP="003818A7">
                <w:pPr>
                  <w:tabs>
                    <w:tab w:val="left" w:pos="360"/>
                  </w:tabs>
                  <w:spacing w:before="120" w:after="120"/>
                  <w:ind w:left="324" w:hanging="283"/>
                  <w:textAlignment w:val="baseline"/>
                  <w:rPr>
                    <w:rFonts w:eastAsia="Calibri" w:cstheme="minorHAnsi"/>
                  </w:rPr>
                </w:pPr>
              </w:p>
              <w:p w14:paraId="1D815A71" w14:textId="77777777" w:rsidR="00095686" w:rsidRPr="00131952" w:rsidRDefault="00095686" w:rsidP="003818A7">
                <w:pPr>
                  <w:spacing w:before="120" w:after="120"/>
                  <w:ind w:left="144" w:right="288"/>
                  <w:textAlignment w:val="baseline"/>
                  <w:rPr>
                    <w:rFonts w:cstheme="minorHAnsi"/>
                  </w:rPr>
                </w:pPr>
              </w:p>
              <w:p w14:paraId="118F55CA" w14:textId="55D96193" w:rsidR="00095686" w:rsidRPr="00131952" w:rsidRDefault="00095686" w:rsidP="003818A7">
                <w:pPr>
                  <w:spacing w:before="120" w:after="120"/>
                  <w:ind w:right="180"/>
                  <w:textAlignment w:val="baseline"/>
                  <w:rPr>
                    <w:rFonts w:eastAsia="Aptos" w:cstheme="minorHAnsi"/>
                  </w:rPr>
                </w:pPr>
              </w:p>
            </w:tc>
            <w:tc>
              <w:tcPr>
                <w:tcW w:w="149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6775907" w14:textId="082D5A6C" w:rsidR="00095686" w:rsidRPr="00131952" w:rsidRDefault="00095686" w:rsidP="00181CBE">
                <w:pPr>
                  <w:spacing w:before="120" w:after="120"/>
                  <w:ind w:right="288"/>
                  <w:textAlignment w:val="baseline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>Having regard to condition-specific guidance where this exists and</w:t>
                </w:r>
                <w:r w:rsidR="00AD3C18" w:rsidRPr="00131952">
                  <w:rPr>
                    <w:rFonts w:ascii="Arial" w:hAnsi="Arial" w:cs="Arial"/>
                  </w:rPr>
                  <w:t xml:space="preserve"> </w:t>
                </w:r>
                <w:r w:rsidRPr="00131952">
                  <w:rPr>
                    <w:rFonts w:ascii="Arial" w:hAnsi="Arial" w:cs="Arial"/>
                  </w:rPr>
                  <w:t>/</w:t>
                </w:r>
                <w:r w:rsidR="00AD3C18" w:rsidRPr="00131952">
                  <w:rPr>
                    <w:rFonts w:ascii="Arial" w:hAnsi="Arial" w:cs="Arial"/>
                  </w:rPr>
                  <w:t xml:space="preserve"> </w:t>
                </w:r>
                <w:r w:rsidRPr="00131952">
                  <w:rPr>
                    <w:rFonts w:ascii="Arial" w:hAnsi="Arial" w:cs="Arial"/>
                  </w:rPr>
                  <w:t xml:space="preserve">or environmental events guidance and events records. </w:t>
                </w:r>
              </w:p>
              <w:p w14:paraId="0F276750" w14:textId="6DEB6190" w:rsidR="00095686" w:rsidRPr="00131952" w:rsidRDefault="00B11912" w:rsidP="32933DA4">
                <w:pPr>
                  <w:pStyle w:val="ListParagraph"/>
                  <w:numPr>
                    <w:ilvl w:val="0"/>
                    <w:numId w:val="3"/>
                  </w:numPr>
                  <w:spacing w:before="120" w:after="120" w:line="360" w:lineRule="auto"/>
                  <w:ind w:left="401"/>
                  <w:rPr>
                    <w:rFonts w:ascii="Arial" w:hAnsi="Arial" w:cs="Arial"/>
                    <w:strike/>
                    <w:sz w:val="24"/>
                    <w:szCs w:val="24"/>
                  </w:rPr>
                </w:pPr>
                <w:r w:rsidRPr="32933DA4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Greater than or equal to </w:t>
                </w:r>
                <w:r w:rsidR="7BA4F038" w:rsidRPr="32933DA4">
                  <w:rPr>
                    <w:rFonts w:asciiTheme="majorHAnsi" w:hAnsiTheme="majorHAnsi" w:cstheme="majorBidi"/>
                    <w:sz w:val="24"/>
                    <w:szCs w:val="24"/>
                  </w:rPr>
                  <w:t>four</w:t>
                </w:r>
                <w:r w:rsidRPr="32933DA4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category 3 </w:t>
                </w:r>
                <w:r w:rsidR="00095686" w:rsidRPr="32933DA4">
                  <w:rPr>
                    <w:rFonts w:ascii="Arial" w:hAnsi="Arial" w:cs="Arial"/>
                    <w:sz w:val="24"/>
                    <w:szCs w:val="24"/>
                  </w:rPr>
                  <w:t xml:space="preserve">events within a 365-day period </w:t>
                </w:r>
                <w:r w:rsidR="005C3BC9">
                  <w:rPr>
                    <w:rFonts w:ascii="Arial" w:hAnsi="Arial" w:cs="Arial"/>
                    <w:sz w:val="24"/>
                    <w:szCs w:val="24"/>
                  </w:rPr>
                  <w:t>that</w:t>
                </w:r>
                <w:r w:rsidR="00095686" w:rsidRPr="32933DA4">
                  <w:rPr>
                    <w:rFonts w:ascii="Arial" w:hAnsi="Arial" w:cs="Arial"/>
                    <w:sz w:val="24"/>
                    <w:szCs w:val="24"/>
                  </w:rPr>
                  <w:t xml:space="preserve"> have been caused by a breach of the same condition</w:t>
                </w:r>
                <w:r w:rsidR="00AF1C78" w:rsidRPr="32933DA4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42DAD92F" w14:textId="7D3F6B38" w:rsidR="00095686" w:rsidRPr="00131952" w:rsidRDefault="00095686" w:rsidP="00181CBE">
                <w:pPr>
                  <w:pStyle w:val="ListParagraph"/>
                  <w:numPr>
                    <w:ilvl w:val="0"/>
                    <w:numId w:val="3"/>
                  </w:numPr>
                  <w:spacing w:before="120" w:after="120" w:line="360" w:lineRule="auto"/>
                  <w:ind w:left="401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26A3526B">
                  <w:rPr>
                    <w:rFonts w:ascii="Arial" w:hAnsi="Arial" w:cs="Arial"/>
                    <w:sz w:val="24"/>
                    <w:szCs w:val="24"/>
                  </w:rPr>
                  <w:t xml:space="preserve">Unless otherwise stated within the site authorisation, multiple non-compliance breaches may be considered collectively as major non-compliance depending on the </w:t>
                </w:r>
                <w:bookmarkStart w:id="13" w:name="_Int_zXKafzDg"/>
                <w:proofErr w:type="gramStart"/>
                <w:r w:rsidRPr="26A3526B">
                  <w:rPr>
                    <w:rFonts w:ascii="Arial" w:hAnsi="Arial" w:cs="Arial"/>
                    <w:sz w:val="24"/>
                    <w:szCs w:val="24"/>
                  </w:rPr>
                  <w:t>particular circumstances</w:t>
                </w:r>
                <w:bookmarkEnd w:id="13"/>
                <w:proofErr w:type="gramEnd"/>
                <w:r w:rsidRPr="26A3526B">
                  <w:rPr>
                    <w:rFonts w:ascii="Arial" w:hAnsi="Arial" w:cs="Arial"/>
                    <w:sz w:val="24"/>
                    <w:szCs w:val="24"/>
                  </w:rPr>
                  <w:t xml:space="preserve">. SEPA's assessment will be subject to additional governance checks to </w:t>
                </w:r>
                <w:r w:rsidRPr="26A3526B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ensure national consistency in decision-making</w:t>
                </w:r>
                <w:r w:rsidR="00AF1C78" w:rsidRPr="26A3526B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  <w:tc>
              <w:tcPr>
                <w:tcW w:w="984" w:type="pct"/>
                <w:tcBorders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59B9962" w14:textId="735020D2" w:rsidR="4857CFF0" w:rsidRDefault="457DB624" w:rsidP="00896D6F">
                <w:pPr>
                  <w:pStyle w:val="ListParagraph"/>
                  <w:numPr>
                    <w:ilvl w:val="0"/>
                    <w:numId w:val="25"/>
                  </w:numPr>
                  <w:spacing w:before="120" w:after="0" w:line="360" w:lineRule="auto"/>
                  <w:ind w:left="470" w:right="113" w:hanging="357"/>
                  <w:rPr>
                    <w:rFonts w:ascii="Arial" w:eastAsiaTheme="minorEastAsia" w:hAnsi="Arial" w:cs="Arial"/>
                    <w:sz w:val="24"/>
                    <w:szCs w:val="24"/>
                  </w:rPr>
                </w:pPr>
                <w:r w:rsidRPr="26A3526B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Demonstration that</w:t>
                </w:r>
                <w:r w:rsidR="51B24DD2" w:rsidRPr="26A3526B">
                  <w:rPr>
                    <w:rFonts w:ascii="Arial" w:eastAsia="Arial" w:hAnsi="Arial" w:cs="Arial"/>
                    <w:sz w:val="24"/>
                    <w:szCs w:val="24"/>
                  </w:rPr>
                  <w:t xml:space="preserve"> the cause or </w:t>
                </w:r>
                <w:bookmarkStart w:id="14" w:name="_Int_OF08wZCU"/>
                <w:r w:rsidR="51B24DD2" w:rsidRPr="26A3526B">
                  <w:rPr>
                    <w:rFonts w:ascii="Arial" w:eastAsia="Arial" w:hAnsi="Arial" w:cs="Arial"/>
                    <w:sz w:val="24"/>
                    <w:szCs w:val="24"/>
                  </w:rPr>
                  <w:t>likely cause</w:t>
                </w:r>
                <w:bookmarkEnd w:id="14"/>
                <w:r w:rsidR="51B24DD2" w:rsidRPr="26A3526B">
                  <w:rPr>
                    <w:rFonts w:ascii="Arial" w:eastAsia="Arial" w:hAnsi="Arial" w:cs="Arial"/>
                    <w:sz w:val="24"/>
                    <w:szCs w:val="24"/>
                  </w:rPr>
                  <w:t xml:space="preserve"> of the harm has ceased / been resolved. This can include monitoring / modelling.</w:t>
                </w:r>
              </w:p>
              <w:p w14:paraId="60CABFC2" w14:textId="54E8ACF1" w:rsidR="00095686" w:rsidRPr="00131952" w:rsidRDefault="00DC222B" w:rsidP="00896D6F">
                <w:pPr>
                  <w:pStyle w:val="ListParagraph"/>
                  <w:numPr>
                    <w:ilvl w:val="0"/>
                    <w:numId w:val="25"/>
                  </w:numPr>
                  <w:spacing w:before="120" w:after="0" w:line="360" w:lineRule="auto"/>
                  <w:ind w:left="470" w:right="113" w:hanging="357"/>
                  <w:rPr>
                    <w:sz w:val="24"/>
                    <w:szCs w:val="24"/>
                  </w:rPr>
                </w:pPr>
                <w:r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>Remedial a</w:t>
                </w:r>
                <w:r w:rsidR="00AB2779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 xml:space="preserve">ctions will be specific </w:t>
                </w:r>
                <w:r w:rsidR="002C4B4F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>for</w:t>
                </w:r>
                <w:r w:rsidR="00AB2779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 xml:space="preserve"> </w:t>
                </w:r>
                <w:r w:rsidR="002C4B4F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>each</w:t>
                </w:r>
                <w:r w:rsidR="00AB2779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 xml:space="preserve"> non-compliance</w:t>
                </w:r>
                <w:r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>. However, e</w:t>
                </w:r>
                <w:r w:rsidR="00F679AB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>vidence</w:t>
                </w:r>
                <w:r w:rsidR="004D5DEE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 xml:space="preserve"> must be </w:t>
                </w:r>
                <w:bookmarkStart w:id="15" w:name="_Int_dzjSVyBH"/>
                <w:proofErr w:type="gramStart"/>
                <w:r w:rsidR="004D5DEE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>provided</w:t>
                </w:r>
                <w:r w:rsidR="00F679AB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 xml:space="preserve"> </w:t>
                </w:r>
                <w:r w:rsidR="00CE6D78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>that</w:t>
                </w:r>
                <w:bookmarkEnd w:id="15"/>
                <w:proofErr w:type="gramEnd"/>
                <w:r w:rsidR="00CE6D78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 xml:space="preserve"> a</w:t>
                </w:r>
                <w:r w:rsidR="007B4391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 xml:space="preserve">ll of the </w:t>
                </w:r>
                <w:r w:rsidR="00F64447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 xml:space="preserve">conditions identified as cumulatively </w:t>
                </w:r>
                <w:r w:rsidR="00F64447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lastRenderedPageBreak/>
                  <w:t xml:space="preserve">equating to major non-compliance </w:t>
                </w:r>
                <w:r w:rsidR="00353761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 xml:space="preserve">are </w:t>
                </w:r>
                <w:r w:rsidR="002B36A3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>now compliant</w:t>
                </w:r>
                <w:r w:rsidR="00AF1C78" w:rsidRPr="26A3526B">
                  <w:rPr>
                    <w:rFonts w:ascii="Arial" w:eastAsiaTheme="minorEastAsia" w:hAnsi="Arial" w:cs="Arial"/>
                    <w:kern w:val="0"/>
                    <w:sz w:val="24"/>
                    <w:szCs w:val="24"/>
                    <w14:ligatures w14:val="none"/>
                  </w:rPr>
                  <w:t>.</w:t>
                </w:r>
              </w:p>
            </w:tc>
          </w:tr>
          <w:tr w:rsidR="00095686" w:rsidRPr="00131952" w14:paraId="0CAF4F6C" w14:textId="77777777" w:rsidTr="6B32524A">
            <w:trPr>
              <w:trHeight w:val="392"/>
            </w:trPr>
            <w:tc>
              <w:tcPr>
                <w:tcW w:w="976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1A69B9B" w14:textId="4C76D580" w:rsidR="00095686" w:rsidRPr="00131952" w:rsidRDefault="009E69CD" w:rsidP="26A3526B">
                <w:pPr>
                  <w:spacing w:before="120" w:after="120"/>
                  <w:rPr>
                    <w:rFonts w:asciiTheme="majorHAnsi" w:eastAsia="Times New Roman" w:hAnsiTheme="majorHAnsi" w:cstheme="majorBidi"/>
                    <w:lang w:eastAsia="en-GB"/>
                  </w:rPr>
                </w:pPr>
                <w:r w:rsidRPr="00131952">
                  <w:rPr>
                    <w:rFonts w:ascii="Arial" w:hAnsi="Arial" w:cs="Arial"/>
                    <w:spacing w:val="-2"/>
                  </w:rPr>
                  <w:lastRenderedPageBreak/>
                  <w:t>M</w:t>
                </w:r>
                <w:r w:rsidR="00095686" w:rsidRPr="00131952">
                  <w:rPr>
                    <w:rFonts w:ascii="Arial" w:hAnsi="Arial" w:cs="Arial"/>
                    <w:spacing w:val="-2"/>
                  </w:rPr>
                  <w:t xml:space="preserve">anagement of site, technical competence infrastructure, </w:t>
                </w:r>
                <w:bookmarkStart w:id="16" w:name="_Int_Rn9Sus1N"/>
                <w:r w:rsidR="00095686" w:rsidRPr="00131952">
                  <w:rPr>
                    <w:rFonts w:ascii="Arial" w:hAnsi="Arial" w:cs="Arial"/>
                    <w:spacing w:val="-2"/>
                  </w:rPr>
                  <w:t>equipment</w:t>
                </w:r>
                <w:bookmarkEnd w:id="16"/>
                <w:r w:rsidR="00095686" w:rsidRPr="00131952">
                  <w:rPr>
                    <w:rFonts w:ascii="Arial" w:hAnsi="Arial" w:cs="Arial"/>
                    <w:spacing w:val="-2"/>
                  </w:rPr>
                  <w:t xml:space="preserve"> or training</w:t>
                </w:r>
                <w:r w:rsidR="00C2329B" w:rsidRPr="00131952">
                  <w:rPr>
                    <w:rFonts w:ascii="Arial" w:hAnsi="Arial" w:cs="Arial"/>
                    <w:spacing w:val="-2"/>
                  </w:rPr>
                  <w:t>.</w:t>
                </w:r>
              </w:p>
            </w:tc>
            <w:tc>
              <w:tcPr>
                <w:tcW w:w="1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92AE2A5" w14:textId="65712BDF" w:rsidR="00095686" w:rsidRPr="00131952" w:rsidRDefault="00095686" w:rsidP="003818A7">
                <w:pPr>
                  <w:spacing w:before="120" w:after="120"/>
                  <w:ind w:right="288"/>
                  <w:textAlignment w:val="baseline"/>
                  <w:rPr>
                    <w:rFonts w:cstheme="minorHAnsi"/>
                  </w:rPr>
                </w:pPr>
                <w:r w:rsidRPr="00131952">
                  <w:rPr>
                    <w:rFonts w:cstheme="minorHAnsi"/>
                  </w:rPr>
                  <w:t xml:space="preserve">Non-compliance causes or </w:t>
                </w:r>
                <w:r w:rsidR="00636B9C">
                  <w:rPr>
                    <w:rFonts w:cstheme="minorHAnsi"/>
                  </w:rPr>
                  <w:t>is likely</w:t>
                </w:r>
                <w:r w:rsidRPr="00131952">
                  <w:rPr>
                    <w:rFonts w:cstheme="minorHAnsi"/>
                  </w:rPr>
                  <w:t xml:space="preserve"> to cause </w:t>
                </w:r>
                <w:r w:rsidR="00636B9C">
                  <w:rPr>
                    <w:rFonts w:cstheme="minorHAnsi"/>
                  </w:rPr>
                  <w:t xml:space="preserve">a </w:t>
                </w:r>
                <w:r w:rsidRPr="00131952">
                  <w:rPr>
                    <w:rFonts w:cstheme="minorHAnsi"/>
                  </w:rPr>
                  <w:t>category 1 or 2 environmental event:</w:t>
                </w:r>
              </w:p>
              <w:p w14:paraId="3810D6B1" w14:textId="05E96E70" w:rsidR="00095686" w:rsidRPr="00131952" w:rsidRDefault="00095686" w:rsidP="00CD7DC5">
                <w:pPr>
                  <w:pStyle w:val="ListParagraph"/>
                  <w:numPr>
                    <w:ilvl w:val="0"/>
                    <w:numId w:val="19"/>
                  </w:numPr>
                  <w:spacing w:before="120" w:after="120" w:line="360" w:lineRule="auto"/>
                  <w:ind w:left="343" w:right="288"/>
                  <w:contextualSpacing w:val="0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131952">
                  <w:rPr>
                    <w:rFonts w:cstheme="minorHAnsi"/>
                    <w:sz w:val="24"/>
                    <w:szCs w:val="24"/>
                  </w:rPr>
                  <w:t>Includes commissioning requirements, training, staff resource, maintenance and breakdowns,</w:t>
                </w:r>
                <w:r w:rsidR="009131FD" w:rsidRPr="00131952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131952">
                  <w:rPr>
                    <w:rFonts w:cstheme="minorHAnsi"/>
                    <w:sz w:val="24"/>
                    <w:szCs w:val="24"/>
                  </w:rPr>
                  <w:t>management of change, procedures</w:t>
                </w:r>
                <w:r w:rsidR="00C2329B" w:rsidRPr="00131952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6BFEB1F5" w14:textId="673E777B" w:rsidR="00095686" w:rsidRPr="00131952" w:rsidRDefault="00095686" w:rsidP="00CD7DC5">
                <w:pPr>
                  <w:pStyle w:val="ListParagraph"/>
                  <w:numPr>
                    <w:ilvl w:val="0"/>
                    <w:numId w:val="15"/>
                  </w:numPr>
                  <w:spacing w:before="120" w:after="120" w:line="360" w:lineRule="auto"/>
                  <w:ind w:left="343" w:right="288"/>
                  <w:contextualSpacing w:val="0"/>
                  <w:rPr>
                    <w:rFonts w:cstheme="minorHAnsi"/>
                    <w:sz w:val="24"/>
                    <w:szCs w:val="24"/>
                  </w:rPr>
                </w:pPr>
                <w:r w:rsidRPr="00131952">
                  <w:rPr>
                    <w:rFonts w:cstheme="minorHAnsi"/>
                    <w:sz w:val="24"/>
                    <w:szCs w:val="24"/>
                  </w:rPr>
                  <w:t>Authorised activities not managed or supervised by a designated technically competent person</w:t>
                </w:r>
                <w:r w:rsidR="00C2329B" w:rsidRPr="00131952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3DB550DE" w14:textId="053BA249" w:rsidR="00095686" w:rsidRPr="00131952" w:rsidRDefault="00095686" w:rsidP="00CD7DC5">
                <w:pPr>
                  <w:pStyle w:val="ListParagraph"/>
                  <w:numPr>
                    <w:ilvl w:val="0"/>
                    <w:numId w:val="18"/>
                  </w:numPr>
                  <w:spacing w:before="120" w:after="120" w:line="360" w:lineRule="auto"/>
                  <w:ind w:left="343" w:right="288"/>
                  <w:contextualSpacing w:val="0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131952">
                  <w:rPr>
                    <w:rFonts w:cstheme="minorHAnsi"/>
                    <w:sz w:val="24"/>
                    <w:szCs w:val="24"/>
                  </w:rPr>
                  <w:t xml:space="preserve">Implementation of an Environmental Management System </w:t>
                </w:r>
                <w:r w:rsidR="00085430">
                  <w:rPr>
                    <w:rFonts w:cstheme="minorHAnsi"/>
                    <w:sz w:val="24"/>
                    <w:szCs w:val="24"/>
                  </w:rPr>
                  <w:t>that</w:t>
                </w:r>
                <w:r w:rsidRPr="00131952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="00D748A6">
                  <w:rPr>
                    <w:rFonts w:cstheme="minorHAnsi"/>
                    <w:sz w:val="24"/>
                    <w:szCs w:val="24"/>
                  </w:rPr>
                  <w:t xml:space="preserve">does not </w:t>
                </w:r>
                <w:r w:rsidRPr="00131952">
                  <w:rPr>
                    <w:rFonts w:cstheme="minorHAnsi"/>
                    <w:sz w:val="24"/>
                    <w:szCs w:val="24"/>
                  </w:rPr>
                  <w:t>consider BAT at all stage</w:t>
                </w:r>
                <w:r w:rsidR="00C2329B" w:rsidRPr="00131952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50C379F9" w14:textId="35151AFE" w:rsidR="00095686" w:rsidRPr="00131952" w:rsidRDefault="69EE17DF" w:rsidP="00CD7DC5">
                <w:pPr>
                  <w:pStyle w:val="ListParagraph"/>
                  <w:numPr>
                    <w:ilvl w:val="0"/>
                    <w:numId w:val="18"/>
                  </w:numPr>
                  <w:spacing w:before="120" w:after="120" w:line="360" w:lineRule="auto"/>
                  <w:ind w:left="343" w:right="288"/>
                  <w:textAlignment w:val="baseline"/>
                  <w:rPr>
                    <w:sz w:val="24"/>
                    <w:szCs w:val="24"/>
                  </w:rPr>
                </w:pPr>
                <w:r w:rsidRPr="40BF848D">
                  <w:rPr>
                    <w:sz w:val="24"/>
                    <w:szCs w:val="24"/>
                  </w:rPr>
                  <w:lastRenderedPageBreak/>
                  <w:t>Subjec</w:t>
                </w:r>
                <w:r w:rsidR="5F314455" w:rsidRPr="40BF848D">
                  <w:rPr>
                    <w:sz w:val="24"/>
                    <w:szCs w:val="24"/>
                  </w:rPr>
                  <w:t xml:space="preserve">t to </w:t>
                </w:r>
                <w:r w:rsidR="56A3420C" w:rsidRPr="40BF848D">
                  <w:rPr>
                    <w:sz w:val="24"/>
                    <w:szCs w:val="24"/>
                  </w:rPr>
                  <w:t xml:space="preserve">any </w:t>
                </w:r>
                <w:r w:rsidR="4F699917" w:rsidRPr="40BF848D">
                  <w:rPr>
                    <w:sz w:val="24"/>
                    <w:szCs w:val="24"/>
                  </w:rPr>
                  <w:t xml:space="preserve">other </w:t>
                </w:r>
                <w:r w:rsidR="65CC3408" w:rsidRPr="40BF848D">
                  <w:rPr>
                    <w:sz w:val="24"/>
                    <w:szCs w:val="24"/>
                  </w:rPr>
                  <w:t>authorisation condition</w:t>
                </w:r>
                <w:r w:rsidR="648743C1" w:rsidRPr="40BF848D">
                  <w:rPr>
                    <w:sz w:val="24"/>
                    <w:szCs w:val="24"/>
                  </w:rPr>
                  <w:t>,</w:t>
                </w:r>
                <w:r w:rsidR="65CC3408" w:rsidRPr="40BF848D">
                  <w:rPr>
                    <w:sz w:val="24"/>
                    <w:szCs w:val="24"/>
                  </w:rPr>
                  <w:t xml:space="preserve"> </w:t>
                </w:r>
                <w:r w:rsidR="648743C1" w:rsidRPr="40BF848D">
                  <w:rPr>
                    <w:sz w:val="24"/>
                    <w:szCs w:val="24"/>
                  </w:rPr>
                  <w:t>i</w:t>
                </w:r>
                <w:r w:rsidR="47AF9AC8" w:rsidRPr="40BF848D">
                  <w:rPr>
                    <w:sz w:val="24"/>
                    <w:szCs w:val="24"/>
                  </w:rPr>
                  <w:t xml:space="preserve">nfrastructure or equipment required by the </w:t>
                </w:r>
                <w:r w:rsidR="09644D7B" w:rsidRPr="40BF848D">
                  <w:rPr>
                    <w:sz w:val="24"/>
                    <w:szCs w:val="24"/>
                  </w:rPr>
                  <w:t>authorisation</w:t>
                </w:r>
                <w:r w:rsidR="47AF9AC8" w:rsidRPr="40BF848D">
                  <w:rPr>
                    <w:sz w:val="24"/>
                    <w:szCs w:val="24"/>
                  </w:rPr>
                  <w:t xml:space="preserve"> not installed or not working for extended periods of time (e.g. </w:t>
                </w:r>
                <w:r w:rsidR="12235C13" w:rsidRPr="40BF848D">
                  <w:rPr>
                    <w:sz w:val="24"/>
                    <w:szCs w:val="24"/>
                  </w:rPr>
                  <w:t>more than</w:t>
                </w:r>
                <w:r w:rsidR="47AF9AC8" w:rsidRPr="40BF848D">
                  <w:rPr>
                    <w:sz w:val="24"/>
                    <w:szCs w:val="24"/>
                  </w:rPr>
                  <w:t xml:space="preserve"> 3months)</w:t>
                </w:r>
                <w:r w:rsidR="2F2118DD" w:rsidRPr="40BF848D">
                  <w:rPr>
                    <w:sz w:val="24"/>
                    <w:szCs w:val="24"/>
                  </w:rPr>
                  <w:t>.</w:t>
                </w:r>
              </w:p>
              <w:p w14:paraId="3FAC34FE" w14:textId="1E5E84D2" w:rsidR="00095686" w:rsidRPr="00131952" w:rsidRDefault="00095686" w:rsidP="00CD7DC5">
                <w:pPr>
                  <w:pStyle w:val="ListParagraph"/>
                  <w:numPr>
                    <w:ilvl w:val="0"/>
                    <w:numId w:val="18"/>
                  </w:numPr>
                  <w:spacing w:before="120" w:after="120" w:line="360" w:lineRule="auto"/>
                  <w:ind w:left="343" w:right="288"/>
                  <w:contextualSpacing w:val="0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131952">
                  <w:rPr>
                    <w:rFonts w:cstheme="minorHAnsi"/>
                    <w:sz w:val="24"/>
                    <w:szCs w:val="24"/>
                  </w:rPr>
                  <w:t>Monitoring equipment not calibrated in accordance with authorisation requirements</w:t>
                </w:r>
                <w:r w:rsidR="00C2329B" w:rsidRPr="00131952">
                  <w:rPr>
                    <w:rFonts w:cstheme="minorHAnsi"/>
                    <w:sz w:val="24"/>
                    <w:szCs w:val="24"/>
                  </w:rPr>
                  <w:t>.</w:t>
                </w:r>
              </w:p>
            </w:tc>
            <w:tc>
              <w:tcPr>
                <w:tcW w:w="14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FEFF56C" w14:textId="6B4C1EDC" w:rsidR="009D19DF" w:rsidRPr="001E3D4B" w:rsidRDefault="00095686" w:rsidP="001E3D4B">
                <w:pPr>
                  <w:pStyle w:val="ListParagraph"/>
                  <w:numPr>
                    <w:ilvl w:val="0"/>
                    <w:numId w:val="18"/>
                  </w:numPr>
                  <w:spacing w:before="120" w:after="0" w:line="360" w:lineRule="auto"/>
                  <w:ind w:left="403" w:right="288" w:hanging="284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Based on produced guidance or as decided by SEPA</w:t>
                </w:r>
                <w:r w:rsidR="00AF1C78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6DF84623" w14:textId="265EF9DA" w:rsidR="009C7A88" w:rsidRPr="001E3D4B" w:rsidRDefault="009D19DF" w:rsidP="001E3D4B">
                <w:pPr>
                  <w:pStyle w:val="ListParagraph"/>
                  <w:numPr>
                    <w:ilvl w:val="0"/>
                    <w:numId w:val="18"/>
                  </w:numPr>
                  <w:tabs>
                    <w:tab w:val="left" w:pos="216"/>
                  </w:tabs>
                  <w:spacing w:before="120" w:after="0" w:line="360" w:lineRule="auto"/>
                  <w:ind w:left="403" w:hanging="284"/>
                  <w:rPr>
                    <w:rFonts w:ascii="Arial" w:hAnsi="Arial" w:cs="Arial"/>
                    <w:sz w:val="24"/>
                    <w:szCs w:val="24"/>
                  </w:rPr>
                </w:pPr>
                <w:hyperlink r:id="rId22" w:history="1">
                  <w:r w:rsidRPr="00131952">
                    <w:rPr>
                      <w:rStyle w:val="Hyperlink"/>
                      <w:rFonts w:ascii="Arial" w:hAnsi="Arial" w:cs="Arial"/>
                      <w:sz w:val="24"/>
                      <w:szCs w:val="24"/>
                    </w:rPr>
                    <w:t>BAT reference documents - BREFs + BATCs</w:t>
                  </w:r>
                </w:hyperlink>
              </w:p>
              <w:p w14:paraId="455D370C" w14:textId="715387E2" w:rsidR="009C7A88" w:rsidRPr="001E3D4B" w:rsidRDefault="009D19DF" w:rsidP="001E3D4B">
                <w:pPr>
                  <w:pStyle w:val="ListParagraph"/>
                  <w:numPr>
                    <w:ilvl w:val="0"/>
                    <w:numId w:val="18"/>
                  </w:numPr>
                  <w:tabs>
                    <w:tab w:val="left" w:pos="216"/>
                  </w:tabs>
                  <w:spacing w:before="120" w:after="0" w:line="360" w:lineRule="auto"/>
                  <w:ind w:left="403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UK BAT Implementation Guidance</w:t>
                </w:r>
                <w:r w:rsidR="00C2329B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147E7509" w14:textId="44F2B314" w:rsidR="009C7A88" w:rsidRPr="001E3D4B" w:rsidRDefault="009D19DF" w:rsidP="001E3D4B">
                <w:pPr>
                  <w:pStyle w:val="ListParagraph"/>
                  <w:numPr>
                    <w:ilvl w:val="0"/>
                    <w:numId w:val="18"/>
                  </w:numPr>
                  <w:tabs>
                    <w:tab w:val="left" w:pos="216"/>
                  </w:tabs>
                  <w:spacing w:before="120" w:after="0" w:line="360" w:lineRule="auto"/>
                  <w:ind w:left="403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Best practice guidance where available e.g. Technical Guidance notes</w:t>
                </w:r>
                <w:r w:rsidR="00CD409D" w:rsidRPr="00131952">
                  <w:rPr>
                    <w:rFonts w:ascii="Arial" w:hAnsi="Arial" w:cs="Arial"/>
                    <w:sz w:val="24"/>
                    <w:szCs w:val="24"/>
                  </w:rPr>
                  <w:t>, EA guidance etc</w:t>
                </w:r>
                <w:r w:rsidR="00C2329B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37B4D891" w14:textId="423AE577" w:rsidR="00095686" w:rsidRPr="00131952" w:rsidRDefault="00EF0C6A" w:rsidP="00CD7DC5">
                <w:pPr>
                  <w:pStyle w:val="ListParagraph"/>
                  <w:numPr>
                    <w:ilvl w:val="0"/>
                    <w:numId w:val="18"/>
                  </w:numPr>
                  <w:spacing w:before="120" w:after="0" w:line="360" w:lineRule="auto"/>
                  <w:ind w:left="403" w:right="288" w:hanging="284"/>
                  <w:rPr>
                    <w:rFonts w:ascii="Arial" w:hAnsi="Arial" w:cs="Arial"/>
                    <w:color w:val="016574"/>
                    <w:sz w:val="24"/>
                    <w:szCs w:val="24"/>
                  </w:rPr>
                </w:pPr>
                <w:hyperlink r:id="rId23">
                  <w:r>
                    <w:rPr>
                      <w:rStyle w:val="Hyperlink"/>
                      <w:rFonts w:ascii="Arial" w:hAnsi="Arial" w:cs="Arial"/>
                      <w:color w:val="016574"/>
                      <w:sz w:val="24"/>
                      <w:szCs w:val="24"/>
                    </w:rPr>
                    <w:t>WST-G-002: Guidance regarding provision and assessment of technically competent management at waste management facilities</w:t>
                  </w:r>
                </w:hyperlink>
              </w:p>
              <w:p w14:paraId="2FE4FE5B" w14:textId="77777777" w:rsidR="00095686" w:rsidRPr="00131952" w:rsidRDefault="00095686" w:rsidP="00C2329B">
                <w:pPr>
                  <w:spacing w:before="120" w:after="0"/>
                  <w:ind w:left="403" w:right="288" w:hanging="284"/>
                  <w:rPr>
                    <w:rFonts w:ascii="Arial" w:hAnsi="Arial" w:cs="Arial"/>
                  </w:rPr>
                </w:pPr>
              </w:p>
              <w:p w14:paraId="7EFEAE10" w14:textId="77777777" w:rsidR="00095686" w:rsidRPr="00131952" w:rsidRDefault="00095686" w:rsidP="00C2329B">
                <w:pPr>
                  <w:spacing w:before="120" w:after="0"/>
                  <w:ind w:left="403" w:right="288" w:hanging="284"/>
                  <w:textAlignment w:val="baseline"/>
                  <w:rPr>
                    <w:rFonts w:ascii="Arial" w:hAnsi="Arial" w:cs="Arial"/>
                  </w:rPr>
                </w:pPr>
              </w:p>
              <w:p w14:paraId="774CA70F" w14:textId="5383D357" w:rsidR="00095686" w:rsidRPr="00131952" w:rsidRDefault="00095686" w:rsidP="00181CBE">
                <w:pPr>
                  <w:spacing w:before="120" w:after="120"/>
                  <w:rPr>
                    <w:rFonts w:asciiTheme="majorHAnsi" w:hAnsiTheme="majorHAnsi" w:cstheme="majorHAnsi"/>
                  </w:rPr>
                </w:pPr>
              </w:p>
            </w:tc>
            <w:tc>
              <w:tcPr>
                <w:tcW w:w="9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32F994A" w14:textId="3E815653" w:rsidR="00DE2CC2" w:rsidRPr="00131952" w:rsidRDefault="00DE2CC2" w:rsidP="00896D6F">
                <w:pPr>
                  <w:pStyle w:val="ListParagraph"/>
                  <w:numPr>
                    <w:ilvl w:val="0"/>
                    <w:numId w:val="15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Management system in place to control the site activities in accordance with the authorisation</w:t>
                </w:r>
                <w:r w:rsidR="00AF1C78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11565C84" w14:textId="6CA53A58" w:rsidR="00DE2CC2" w:rsidRPr="00131952" w:rsidRDefault="22707492" w:rsidP="00896D6F">
                <w:pPr>
                  <w:pStyle w:val="ListParagraph"/>
                  <w:numPr>
                    <w:ilvl w:val="0"/>
                    <w:numId w:val="15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6B32524A">
                  <w:rPr>
                    <w:rFonts w:ascii="Arial" w:hAnsi="Arial" w:cs="Arial"/>
                    <w:sz w:val="24"/>
                    <w:szCs w:val="24"/>
                  </w:rPr>
                  <w:t xml:space="preserve">Activities have ceased or reduced to levels </w:t>
                </w:r>
                <w:r w:rsidR="5FB55E21" w:rsidRPr="6B32524A">
                  <w:rPr>
                    <w:rFonts w:ascii="Arial" w:hAnsi="Arial" w:cs="Arial"/>
                    <w:sz w:val="24"/>
                    <w:szCs w:val="24"/>
                  </w:rPr>
                  <w:t>that</w:t>
                </w:r>
                <w:r w:rsidRPr="6B32524A">
                  <w:rPr>
                    <w:rFonts w:ascii="Arial" w:hAnsi="Arial" w:cs="Arial"/>
                    <w:sz w:val="24"/>
                    <w:szCs w:val="24"/>
                  </w:rPr>
                  <w:t xml:space="preserve"> no longer cause or </w:t>
                </w:r>
                <w:r w:rsidR="5BBF9772" w:rsidRPr="6B32524A">
                  <w:rPr>
                    <w:rFonts w:ascii="Arial" w:hAnsi="Arial" w:cs="Arial"/>
                    <w:sz w:val="24"/>
                    <w:szCs w:val="24"/>
                  </w:rPr>
                  <w:t>likely to cause</w:t>
                </w:r>
                <w:r w:rsidRPr="6B32524A">
                  <w:rPr>
                    <w:rFonts w:ascii="Arial" w:hAnsi="Arial" w:cs="Arial"/>
                    <w:sz w:val="24"/>
                    <w:szCs w:val="24"/>
                  </w:rPr>
                  <w:t xml:space="preserve"> a category 1 or 2 environmental event</w:t>
                </w:r>
                <w:r w:rsidR="3E832E01" w:rsidRPr="6B32524A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  <w:r w:rsidRPr="6B32524A">
                  <w:rPr>
                    <w:rFonts w:ascii="Arial" w:hAnsi="Arial" w:cs="Arial"/>
                    <w:sz w:val="24"/>
                    <w:szCs w:val="24"/>
                  </w:rPr>
                  <w:t> </w:t>
                </w:r>
              </w:p>
              <w:p w14:paraId="439543BD" w14:textId="150C16CE" w:rsidR="003E6261" w:rsidRPr="00131952" w:rsidRDefault="003E6261" w:rsidP="00896D6F">
                <w:pPr>
                  <w:pStyle w:val="ListParagraph"/>
                  <w:numPr>
                    <w:ilvl w:val="0"/>
                    <w:numId w:val="15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26A3526B">
                  <w:rPr>
                    <w:rFonts w:ascii="Arial" w:hAnsi="Arial" w:cs="Arial"/>
                    <w:sz w:val="24"/>
                    <w:szCs w:val="24"/>
                  </w:rPr>
                  <w:t xml:space="preserve">Evidence </w:t>
                </w:r>
                <w:bookmarkStart w:id="17" w:name="_Int_EF9EPVaN"/>
                <w:proofErr w:type="gramStart"/>
                <w:r w:rsidRPr="26A3526B">
                  <w:rPr>
                    <w:rFonts w:ascii="Arial" w:hAnsi="Arial" w:cs="Arial"/>
                    <w:sz w:val="24"/>
                    <w:szCs w:val="24"/>
                  </w:rPr>
                  <w:t xml:space="preserve">provided </w:t>
                </w:r>
                <w:r w:rsidR="003D325A" w:rsidRPr="26A3526B">
                  <w:rPr>
                    <w:rFonts w:ascii="Arial" w:hAnsi="Arial" w:cs="Arial"/>
                    <w:sz w:val="24"/>
                    <w:szCs w:val="24"/>
                  </w:rPr>
                  <w:t>that</w:t>
                </w:r>
                <w:bookmarkEnd w:id="17"/>
                <w:proofErr w:type="gramEnd"/>
                <w:r w:rsidR="003D325A" w:rsidRPr="26A3526B">
                  <w:rPr>
                    <w:rFonts w:ascii="Arial" w:hAnsi="Arial" w:cs="Arial"/>
                    <w:sz w:val="24"/>
                    <w:szCs w:val="24"/>
                  </w:rPr>
                  <w:t xml:space="preserve"> site equipment or infrastructure is </w:t>
                </w:r>
                <w:r w:rsidR="00A775FD" w:rsidRPr="26A3526B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 xml:space="preserve">installed and </w:t>
                </w:r>
                <w:r w:rsidR="003D325A" w:rsidRPr="26A3526B">
                  <w:rPr>
                    <w:rFonts w:ascii="Arial" w:hAnsi="Arial" w:cs="Arial"/>
                    <w:sz w:val="24"/>
                    <w:szCs w:val="24"/>
                  </w:rPr>
                  <w:t xml:space="preserve">operating </w:t>
                </w:r>
                <w:r w:rsidR="00A775FD" w:rsidRPr="26A3526B">
                  <w:rPr>
                    <w:rFonts w:ascii="Arial" w:hAnsi="Arial" w:cs="Arial"/>
                    <w:sz w:val="24"/>
                    <w:szCs w:val="24"/>
                  </w:rPr>
                  <w:t>in accordance with the authorisation</w:t>
                </w:r>
                <w:r w:rsidR="00AF1C78" w:rsidRPr="26A3526B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52B1DE70" w14:textId="58C17445" w:rsidR="00095686" w:rsidRPr="00131952" w:rsidRDefault="00095686" w:rsidP="00A77697">
                <w:pPr>
                  <w:spacing w:before="120" w:after="0"/>
                  <w:ind w:right="113"/>
                  <w:textAlignment w:val="baseline"/>
                  <w:rPr>
                    <w:rFonts w:ascii="Arial" w:hAnsi="Arial" w:cs="Arial"/>
                  </w:rPr>
                </w:pPr>
              </w:p>
            </w:tc>
          </w:tr>
          <w:tr w:rsidR="00A162ED" w:rsidRPr="00131952" w14:paraId="6C53540F" w14:textId="77777777" w:rsidTr="6B32524A">
            <w:trPr>
              <w:trHeight w:val="392"/>
            </w:trPr>
            <w:tc>
              <w:tcPr>
                <w:tcW w:w="976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C407383" w14:textId="6DFDE319" w:rsidR="00A162ED" w:rsidRPr="00131952" w:rsidRDefault="00A162ED" w:rsidP="00A162ED">
                <w:pPr>
                  <w:spacing w:before="120" w:after="120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>Management plans</w:t>
                </w:r>
                <w:r w:rsidR="00C2329B" w:rsidRPr="0013195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F9C353D" w14:textId="5D073CE9" w:rsidR="00A162ED" w:rsidRPr="00131952" w:rsidRDefault="00A162ED" w:rsidP="00A162ED">
                <w:pPr>
                  <w:spacing w:before="120" w:after="120"/>
                </w:pPr>
                <w:r w:rsidRPr="26A3526B">
                  <w:rPr>
                    <w:rFonts w:ascii="Arial" w:hAnsi="Arial" w:cs="Arial"/>
                  </w:rPr>
                  <w:t xml:space="preserve">Management plan not submitted, or when they are submitted, they are of </w:t>
                </w:r>
                <w:bookmarkStart w:id="18" w:name="_Int_UvXsAFzp"/>
                <w:r w:rsidRPr="26A3526B">
                  <w:rPr>
                    <w:rFonts w:ascii="Arial" w:hAnsi="Arial" w:cs="Arial"/>
                  </w:rPr>
                  <w:t>very poor</w:t>
                </w:r>
                <w:bookmarkEnd w:id="18"/>
                <w:r w:rsidRPr="26A3526B">
                  <w:rPr>
                    <w:rFonts w:ascii="Arial" w:hAnsi="Arial" w:cs="Arial"/>
                  </w:rPr>
                  <w:t xml:space="preserve"> quality or content</w:t>
                </w:r>
              </w:p>
            </w:tc>
            <w:tc>
              <w:tcPr>
                <w:tcW w:w="14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BAF01FD" w14:textId="6C404420" w:rsidR="00C2779F" w:rsidRPr="00131952" w:rsidRDefault="00C2779F" w:rsidP="00C2779F">
                <w:pPr>
                  <w:spacing w:before="120" w:after="120"/>
                  <w:ind w:right="216"/>
                  <w:textAlignment w:val="baseline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 xml:space="preserve">Using available guidance i.e. latest versions of SEPA Odour Guidance for Odour, BS4142 and H3 for Noise, BREF documents, </w:t>
                </w:r>
                <w:hyperlink r:id="rId24" w:history="1">
                  <w:r w:rsidR="00FD5E93">
                    <w:rPr>
                      <w:rStyle w:val="Hyperlink"/>
                      <w:rFonts w:ascii="Arial" w:hAnsi="Arial" w:cs="Arial"/>
                      <w:color w:val="016574"/>
                    </w:rPr>
                    <w:t xml:space="preserve">Landfill management plan guidance </w:t>
                  </w:r>
                </w:hyperlink>
              </w:p>
              <w:p w14:paraId="06B35E66" w14:textId="44F2443F" w:rsidR="00A162ED" w:rsidRPr="00131952" w:rsidRDefault="00A162ED" w:rsidP="00CD7DC5">
                <w:pPr>
                  <w:pStyle w:val="ListParagraph"/>
                  <w:numPr>
                    <w:ilvl w:val="0"/>
                    <w:numId w:val="15"/>
                  </w:numPr>
                  <w:spacing w:before="120" w:after="120" w:line="360" w:lineRule="auto"/>
                  <w:ind w:left="360"/>
                  <w:rPr>
                    <w:rFonts w:cstheme="minorHAnsi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 xml:space="preserve">Management plan does not cover all potential scenarios </w:t>
                </w:r>
                <w:r w:rsidR="007F0B04">
                  <w:rPr>
                    <w:rFonts w:ascii="Arial" w:hAnsi="Arial" w:cs="Arial"/>
                    <w:sz w:val="24"/>
                    <w:szCs w:val="24"/>
                  </w:rPr>
                  <w:t>that</w:t>
                </w:r>
                <w:r w:rsidRPr="00131952">
                  <w:rPr>
                    <w:rFonts w:ascii="Arial" w:hAnsi="Arial" w:cs="Arial"/>
                    <w:sz w:val="24"/>
                    <w:szCs w:val="24"/>
                  </w:rPr>
                  <w:t xml:space="preserve"> have potential to occur, and the site officer deems need addressed i.e. a vermin management plan at a waste site </w:t>
                </w:r>
                <w:r w:rsidRPr="00131952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does not include flies, or if it does, the measures proposed are not.</w:t>
                </w:r>
              </w:p>
            </w:tc>
            <w:tc>
              <w:tcPr>
                <w:tcW w:w="9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6D0F523" w14:textId="4EDBC656" w:rsidR="00A162ED" w:rsidRPr="00131952" w:rsidRDefault="00A162ED" w:rsidP="00EB5FEC">
                <w:pPr>
                  <w:spacing w:before="120" w:after="0"/>
                  <w:ind w:left="113" w:right="113"/>
                  <w:textAlignment w:val="baseline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 xml:space="preserve">When an </w:t>
                </w:r>
                <w:r w:rsidR="00445BA1" w:rsidRPr="00131952">
                  <w:rPr>
                    <w:rFonts w:ascii="Arial" w:hAnsi="Arial" w:cs="Arial"/>
                  </w:rPr>
                  <w:t xml:space="preserve">acceptable </w:t>
                </w:r>
                <w:r w:rsidRPr="00131952">
                  <w:rPr>
                    <w:rFonts w:ascii="Arial" w:hAnsi="Arial" w:cs="Arial"/>
                  </w:rPr>
                  <w:t>management plan is submitted.</w:t>
                </w:r>
              </w:p>
              <w:p w14:paraId="2A391E7C" w14:textId="77777777" w:rsidR="00A162ED" w:rsidRPr="00131952" w:rsidRDefault="00A162ED" w:rsidP="00A162ED">
                <w:pPr>
                  <w:spacing w:before="120" w:after="120"/>
                  <w:ind w:left="144" w:right="288"/>
                  <w:textAlignment w:val="baseline"/>
                  <w:rPr>
                    <w:rFonts w:ascii="Arial" w:hAnsi="Arial" w:cs="Arial"/>
                  </w:rPr>
                </w:pPr>
              </w:p>
            </w:tc>
          </w:tr>
          <w:tr w:rsidR="00634DAB" w:rsidRPr="00131952" w14:paraId="6F6B412A" w14:textId="77777777" w:rsidTr="6B32524A">
            <w:trPr>
              <w:trHeight w:val="392"/>
            </w:trPr>
            <w:tc>
              <w:tcPr>
                <w:tcW w:w="976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A493492" w14:textId="28D1C220" w:rsidR="00634DAB" w:rsidRPr="00131952" w:rsidRDefault="00634DAB" w:rsidP="00634DAB">
                <w:pPr>
                  <w:spacing w:before="120" w:after="120"/>
                  <w:rPr>
                    <w:rFonts w:ascii="Arial" w:hAnsi="Arial" w:cs="Arial"/>
                  </w:rPr>
                </w:pPr>
                <w:r w:rsidRPr="00131952">
                  <w:t>Financial provisions</w:t>
                </w:r>
                <w:r w:rsidR="00EF6C22" w:rsidRPr="00131952">
                  <w:t>.</w:t>
                </w:r>
              </w:p>
            </w:tc>
            <w:tc>
              <w:tcPr>
                <w:tcW w:w="1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F1371AF" w14:textId="77777777" w:rsidR="00634DAB" w:rsidRPr="00131952" w:rsidRDefault="00634DAB" w:rsidP="00634DAB">
                <w:pPr>
                  <w:rPr>
                    <w:rFonts w:ascii="Arial" w:eastAsia="Arial" w:hAnsi="Arial" w:cs="Arial"/>
                  </w:rPr>
                </w:pPr>
                <w:r w:rsidRPr="00131952">
                  <w:rPr>
                    <w:rFonts w:ascii="Arial" w:eastAsia="Arial" w:hAnsi="Arial" w:cs="Arial"/>
                  </w:rPr>
                  <w:t>Failure to maintain adequate financial provisions until the authorisation is surrendered.</w:t>
                </w:r>
              </w:p>
              <w:p w14:paraId="7572B1D5" w14:textId="77777777" w:rsidR="00634DAB" w:rsidRPr="00131952" w:rsidRDefault="00634DAB" w:rsidP="00634DAB">
                <w:pPr>
                  <w:spacing w:before="120" w:after="120"/>
                </w:pPr>
              </w:p>
            </w:tc>
            <w:tc>
              <w:tcPr>
                <w:tcW w:w="14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7FCFFAB" w14:textId="708EB56C" w:rsidR="00634DAB" w:rsidRPr="00131952" w:rsidRDefault="40A30550" w:rsidP="00634DAB">
                <w:pPr>
                  <w:rPr>
                    <w:rFonts w:ascii="Arial" w:eastAsia="Arial" w:hAnsi="Arial" w:cs="Arial"/>
                  </w:rPr>
                </w:pPr>
                <w:r w:rsidRPr="40BF848D">
                  <w:rPr>
                    <w:rFonts w:ascii="Arial" w:eastAsia="Arial" w:hAnsi="Arial" w:cs="Arial"/>
                  </w:rPr>
                  <w:t xml:space="preserve">Assessment to ensure adequate financial provisions are being made to cover all </w:t>
                </w:r>
                <w:r w:rsidR="5819E720" w:rsidRPr="40BF848D">
                  <w:rPr>
                    <w:rFonts w:ascii="Arial" w:eastAsia="Arial" w:hAnsi="Arial" w:cs="Arial"/>
                  </w:rPr>
                  <w:t>authorisation</w:t>
                </w:r>
                <w:r w:rsidRPr="40BF848D">
                  <w:rPr>
                    <w:rFonts w:ascii="Arial" w:eastAsia="Arial" w:hAnsi="Arial" w:cs="Arial"/>
                  </w:rPr>
                  <w:t xml:space="preserve"> obligations.</w:t>
                </w:r>
              </w:p>
              <w:p w14:paraId="4C1D2EB1" w14:textId="658571B7" w:rsidR="00634DAB" w:rsidRPr="00566A1C" w:rsidRDefault="00EA60D4" w:rsidP="00CD7DC5">
                <w:pPr>
                  <w:pStyle w:val="ListParagraph"/>
                  <w:numPr>
                    <w:ilvl w:val="0"/>
                    <w:numId w:val="15"/>
                  </w:numPr>
                  <w:spacing w:before="120" w:after="120" w:line="360" w:lineRule="auto"/>
                  <w:ind w:left="36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hyperlink r:id="rId25">
                  <w:r>
                    <w:rPr>
                      <w:rStyle w:val="Hyperlink"/>
                      <w:rFonts w:asciiTheme="majorHAnsi" w:eastAsia="Segoe UI" w:hAnsiTheme="majorHAnsi" w:cstheme="majorHAnsi"/>
                      <w:color w:val="016574" w:themeColor="accent2"/>
                      <w:sz w:val="24"/>
                      <w:szCs w:val="24"/>
                    </w:rPr>
                    <w:t>WST-G-031: Financial provision for non-landfill waste management</w:t>
                  </w:r>
                </w:hyperlink>
              </w:p>
            </w:tc>
            <w:tc>
              <w:tcPr>
                <w:tcW w:w="9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6950EF3" w14:textId="23725B02" w:rsidR="00634DAB" w:rsidRPr="00275240" w:rsidRDefault="00634DAB" w:rsidP="00EB5FEC">
                <w:pPr>
                  <w:spacing w:before="120" w:after="0"/>
                  <w:ind w:left="113" w:right="113"/>
                  <w:rPr>
                    <w:rFonts w:ascii="Arial" w:eastAsia="Arial" w:hAnsi="Arial" w:cs="Arial"/>
                  </w:rPr>
                </w:pPr>
                <w:r w:rsidRPr="00131952">
                  <w:rPr>
                    <w:rFonts w:ascii="Arial" w:eastAsia="Arial" w:hAnsi="Arial" w:cs="Arial"/>
                  </w:rPr>
                  <w:t>Demonstration that adequate financial provision is being maintained by the authorised person</w:t>
                </w:r>
                <w:r w:rsidR="00EF6C22" w:rsidRPr="00131952">
                  <w:rPr>
                    <w:rFonts w:ascii="Arial" w:eastAsia="Arial" w:hAnsi="Arial" w:cs="Arial"/>
                  </w:rPr>
                  <w:t>.</w:t>
                </w:r>
              </w:p>
            </w:tc>
          </w:tr>
          <w:tr w:rsidR="00634DAB" w:rsidRPr="00131952" w14:paraId="3A9160FE" w14:textId="77777777" w:rsidTr="6B32524A">
            <w:trPr>
              <w:trHeight w:val="392"/>
            </w:trPr>
            <w:tc>
              <w:tcPr>
                <w:tcW w:w="976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A27B5CC" w14:textId="3607E8DE" w:rsidR="00634DAB" w:rsidRPr="00131952" w:rsidRDefault="00634DAB" w:rsidP="00634DAB">
                <w:pPr>
                  <w:spacing w:before="120" w:after="120"/>
                  <w:rPr>
                    <w:rFonts w:asciiTheme="majorHAnsi" w:eastAsia="Aptos" w:hAnsiTheme="majorHAnsi" w:cstheme="majorHAnsi"/>
                  </w:rPr>
                </w:pPr>
                <w:r w:rsidRPr="00131952">
                  <w:rPr>
                    <w:rFonts w:ascii="Arial" w:hAnsi="Arial" w:cs="Arial"/>
                  </w:rPr>
                  <w:t>Acceptance of waste</w:t>
                </w:r>
                <w:r w:rsidR="00EF6C22" w:rsidRPr="0013195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01DA1B9" w14:textId="3E6111D3" w:rsidR="00634DAB" w:rsidRPr="00A773CE" w:rsidRDefault="00634DAB" w:rsidP="00634DAB">
                <w:pPr>
                  <w:spacing w:before="120" w:after="120"/>
                </w:pPr>
                <w:r w:rsidRPr="00131952">
                  <w:t>Failure to implement appropriate pre-acceptance audit procedures of waste on receipt and</w:t>
                </w:r>
                <w:r w:rsidR="009E17B6">
                  <w:t xml:space="preserve"> </w:t>
                </w:r>
                <w:r w:rsidRPr="00131952">
                  <w:t>/</w:t>
                </w:r>
                <w:r w:rsidR="009E17B6">
                  <w:t xml:space="preserve"> </w:t>
                </w:r>
                <w:r w:rsidRPr="00131952">
                  <w:t>or at the point of disposal.</w:t>
                </w:r>
              </w:p>
              <w:p w14:paraId="7BD215E3" w14:textId="77777777" w:rsidR="00634DAB" w:rsidRPr="00131952" w:rsidRDefault="00634DAB" w:rsidP="00634DAB">
                <w:pPr>
                  <w:spacing w:before="120" w:after="120"/>
                  <w:rPr>
                    <w:rFonts w:cstheme="minorHAnsi"/>
                  </w:rPr>
                </w:pPr>
                <w:r w:rsidRPr="00131952">
                  <w:rPr>
                    <w:rFonts w:cstheme="minorHAnsi"/>
                  </w:rPr>
                  <w:t>Failure to provide and maintain a calibrated weighbridge at the authorised place.</w:t>
                </w:r>
              </w:p>
              <w:p w14:paraId="720445C4" w14:textId="77777777" w:rsidR="00634DAB" w:rsidRPr="00131952" w:rsidRDefault="00634DAB" w:rsidP="00634DAB">
                <w:pPr>
                  <w:spacing w:before="120" w:after="120"/>
                  <w:rPr>
                    <w:rFonts w:cstheme="minorHAnsi"/>
                  </w:rPr>
                </w:pPr>
                <w:r w:rsidRPr="00131952">
                  <w:rPr>
                    <w:rFonts w:cstheme="minorHAnsi"/>
                  </w:rPr>
                  <w:t>Failure to record and weigh all waste accepted at the authorised place using the weighbridge.</w:t>
                </w:r>
              </w:p>
              <w:p w14:paraId="67C9DB6D" w14:textId="77777777" w:rsidR="00634DAB" w:rsidRPr="00131952" w:rsidRDefault="00634DAB" w:rsidP="00634DAB">
                <w:pPr>
                  <w:spacing w:before="120" w:after="120"/>
                  <w:rPr>
                    <w:rFonts w:cstheme="minorHAnsi"/>
                  </w:rPr>
                </w:pPr>
                <w:r w:rsidRPr="00131952">
                  <w:rPr>
                    <w:rFonts w:cstheme="minorHAnsi"/>
                  </w:rPr>
                  <w:t>Failure to comply with:</w:t>
                </w:r>
              </w:p>
              <w:p w14:paraId="40764946" w14:textId="45F3C28F" w:rsidR="00634DAB" w:rsidRPr="00131952" w:rsidRDefault="00634DAB" w:rsidP="00CD7DC5">
                <w:pPr>
                  <w:pStyle w:val="ListParagraph"/>
                  <w:numPr>
                    <w:ilvl w:val="0"/>
                    <w:numId w:val="15"/>
                  </w:numPr>
                  <w:spacing w:before="120" w:after="12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131952">
                  <w:rPr>
                    <w:rFonts w:cstheme="minorHAnsi"/>
                    <w:sz w:val="24"/>
                    <w:szCs w:val="24"/>
                  </w:rPr>
                  <w:lastRenderedPageBreak/>
                  <w:t>The criteria and procedures for the acceptance of waste at Landfills (Scotland) Direction 2005.</w:t>
                </w:r>
              </w:p>
            </w:tc>
            <w:tc>
              <w:tcPr>
                <w:tcW w:w="14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AC2E050" w14:textId="2464E195" w:rsidR="00634DAB" w:rsidRPr="00357E82" w:rsidRDefault="00634DAB" w:rsidP="00357E82">
                <w:pPr>
                  <w:pStyle w:val="ListParagraph"/>
                  <w:numPr>
                    <w:ilvl w:val="0"/>
                    <w:numId w:val="15"/>
                  </w:numPr>
                  <w:spacing w:before="120" w:after="120" w:line="360" w:lineRule="auto"/>
                  <w:ind w:left="360"/>
                  <w:rPr>
                    <w:sz w:val="24"/>
                    <w:szCs w:val="24"/>
                  </w:rPr>
                </w:pPr>
                <w:r w:rsidRPr="00131952">
                  <w:rPr>
                    <w:rFonts w:cstheme="minorHAnsi"/>
                    <w:sz w:val="24"/>
                    <w:szCs w:val="24"/>
                  </w:rPr>
                  <w:lastRenderedPageBreak/>
                  <w:t xml:space="preserve">Assessment by document review with reference to </w:t>
                </w:r>
                <w:hyperlink r:id="rId26" w:history="1">
                  <w:r w:rsidR="00357E82">
                    <w:rPr>
                      <w:rStyle w:val="Hyperlink"/>
                      <w:rFonts w:cstheme="minorHAnsi"/>
                      <w:color w:val="016574"/>
                      <w:sz w:val="24"/>
                      <w:szCs w:val="24"/>
                    </w:rPr>
                    <w:t>AMSG: Guidance for the storage and treatment of healthcare waste</w:t>
                  </w:r>
                </w:hyperlink>
                <w:r w:rsidR="00357E82">
                  <w:t xml:space="preserve">. </w:t>
                </w:r>
                <w:r w:rsidRPr="00F87E12">
                  <w:rPr>
                    <w:rFonts w:cstheme="minorHAnsi"/>
                    <w:sz w:val="24"/>
                    <w:szCs w:val="24"/>
                  </w:rPr>
                  <w:t>P</w:t>
                </w:r>
                <w:r w:rsidR="00207B02" w:rsidRPr="00F87E12">
                  <w:rPr>
                    <w:rFonts w:cstheme="minorHAnsi"/>
                    <w:sz w:val="24"/>
                    <w:szCs w:val="24"/>
                  </w:rPr>
                  <w:t>re-</w:t>
                </w:r>
                <w:r w:rsidRPr="00F87E12">
                  <w:rPr>
                    <w:rFonts w:cstheme="minorHAnsi"/>
                    <w:sz w:val="24"/>
                    <w:szCs w:val="24"/>
                  </w:rPr>
                  <w:t>A</w:t>
                </w:r>
                <w:r w:rsidR="00207B02" w:rsidRPr="00F87E12">
                  <w:rPr>
                    <w:rFonts w:cstheme="minorHAnsi"/>
                    <w:sz w:val="24"/>
                    <w:szCs w:val="24"/>
                  </w:rPr>
                  <w:t xml:space="preserve">cceptance </w:t>
                </w:r>
                <w:r w:rsidRPr="00F87E12">
                  <w:rPr>
                    <w:rFonts w:cstheme="minorHAnsi"/>
                    <w:sz w:val="24"/>
                    <w:szCs w:val="24"/>
                  </w:rPr>
                  <w:t>A</w:t>
                </w:r>
                <w:r w:rsidR="00EF7E4F" w:rsidRPr="00F87E12">
                  <w:rPr>
                    <w:rFonts w:cstheme="minorHAnsi"/>
                    <w:sz w:val="24"/>
                    <w:szCs w:val="24"/>
                  </w:rPr>
                  <w:t>udit</w:t>
                </w:r>
                <w:r w:rsidRPr="00F87E12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="00EF7E4F" w:rsidRPr="00F87E12">
                  <w:rPr>
                    <w:rFonts w:cstheme="minorHAnsi"/>
                    <w:sz w:val="24"/>
                    <w:szCs w:val="24"/>
                  </w:rPr>
                  <w:t>must</w:t>
                </w:r>
                <w:r w:rsidRPr="00F87E12">
                  <w:rPr>
                    <w:rFonts w:cstheme="minorHAnsi"/>
                    <w:sz w:val="24"/>
                    <w:szCs w:val="24"/>
                  </w:rPr>
                  <w:t xml:space="preserve"> be satisfactory</w:t>
                </w:r>
                <w:r w:rsidR="00357E82" w:rsidRPr="00F87E12">
                  <w:rPr>
                    <w:rFonts w:cstheme="minorHAnsi"/>
                    <w:sz w:val="24"/>
                    <w:szCs w:val="24"/>
                  </w:rPr>
                  <w:t>.</w:t>
                </w:r>
                <w:r w:rsidR="00357E82" w:rsidRPr="00357E82">
                  <w:rPr>
                    <w:rFonts w:cstheme="minorHAnsi"/>
                  </w:rPr>
                  <w:t xml:space="preserve"> </w:t>
                </w:r>
              </w:p>
              <w:p w14:paraId="40F2D23F" w14:textId="687D6B6E" w:rsidR="00634DAB" w:rsidRPr="00131952" w:rsidRDefault="00634DAB" w:rsidP="00CD7DC5">
                <w:pPr>
                  <w:pStyle w:val="ListParagraph"/>
                  <w:numPr>
                    <w:ilvl w:val="0"/>
                    <w:numId w:val="15"/>
                  </w:numPr>
                  <w:spacing w:before="120" w:after="120" w:line="360" w:lineRule="auto"/>
                  <w:ind w:left="360"/>
                  <w:rPr>
                    <w:rFonts w:cstheme="minorHAnsi"/>
                    <w:sz w:val="24"/>
                    <w:szCs w:val="24"/>
                  </w:rPr>
                </w:pPr>
                <w:r w:rsidRPr="00131952">
                  <w:rPr>
                    <w:rFonts w:cstheme="minorHAnsi"/>
                    <w:sz w:val="24"/>
                    <w:szCs w:val="24"/>
                  </w:rPr>
                  <w:t>Inspection of weighbridge records</w:t>
                </w:r>
                <w:r w:rsidR="00EF6C22" w:rsidRPr="00131952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2D00E9AE" w14:textId="1DE429CB" w:rsidR="00634DAB" w:rsidRPr="00131952" w:rsidRDefault="40A30550" w:rsidP="00CD7DC5">
                <w:pPr>
                  <w:pStyle w:val="ListParagraph"/>
                  <w:numPr>
                    <w:ilvl w:val="0"/>
                    <w:numId w:val="15"/>
                  </w:numPr>
                  <w:spacing w:before="120" w:after="120" w:line="360" w:lineRule="auto"/>
                  <w:ind w:left="360"/>
                  <w:rPr>
                    <w:sz w:val="24"/>
                    <w:szCs w:val="24"/>
                  </w:rPr>
                </w:pPr>
                <w:r w:rsidRPr="40BF848D">
                  <w:rPr>
                    <w:sz w:val="24"/>
                    <w:szCs w:val="24"/>
                  </w:rPr>
                  <w:t xml:space="preserve">Refer to Authorised Wastes &amp; Quantities Schedule of </w:t>
                </w:r>
                <w:r w:rsidR="704F80A4" w:rsidRPr="40BF848D">
                  <w:rPr>
                    <w:sz w:val="24"/>
                    <w:szCs w:val="24"/>
                  </w:rPr>
                  <w:t>authorisation</w:t>
                </w:r>
                <w:r w:rsidRPr="40BF848D">
                  <w:rPr>
                    <w:sz w:val="24"/>
                    <w:szCs w:val="24"/>
                  </w:rPr>
                  <w:t xml:space="preserve"> and </w:t>
                </w:r>
                <w:hyperlink r:id="rId27">
                  <w:r w:rsidR="002435CE">
                    <w:rPr>
                      <w:rStyle w:val="Hyperlink"/>
                      <w:color w:val="016574" w:themeColor="accent6"/>
                      <w:sz w:val="24"/>
                      <w:szCs w:val="24"/>
                    </w:rPr>
                    <w:t>Landfill site management plan guidance</w:t>
                  </w:r>
                </w:hyperlink>
                <w:r w:rsidR="002435CE">
                  <w:t>.</w:t>
                </w:r>
              </w:p>
              <w:p w14:paraId="14E5C711" w14:textId="0765916E" w:rsidR="00634DAB" w:rsidRPr="00131952" w:rsidRDefault="00634DAB" w:rsidP="00634DAB">
                <w:pPr>
                  <w:spacing w:before="120" w:after="120"/>
                  <w:ind w:right="288"/>
                  <w:textAlignment w:val="baseline"/>
                  <w:rPr>
                    <w:rFonts w:asciiTheme="majorHAnsi" w:hAnsiTheme="majorHAnsi" w:cstheme="majorHAnsi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>The Landfill Regulation Team will use waste acceptance criteria themed inspection checklists to assess compliance</w:t>
                </w:r>
                <w:r w:rsidR="00EF6C22" w:rsidRPr="0013195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9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36C7D74" w14:textId="2E8F528C" w:rsidR="00634DAB" w:rsidRPr="00131952" w:rsidRDefault="00634DAB" w:rsidP="00EB5FEC">
                <w:pPr>
                  <w:pStyle w:val="ListParagraph"/>
                  <w:numPr>
                    <w:ilvl w:val="0"/>
                    <w:numId w:val="30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Demonstration that pre-acceptance procedures are being implemented</w:t>
                </w:r>
                <w:r w:rsidR="00EF6C22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34159D30" w14:textId="4B5E9ACD" w:rsidR="00634DAB" w:rsidRPr="00131952" w:rsidRDefault="00634DAB" w:rsidP="00EB5FEC">
                <w:pPr>
                  <w:pStyle w:val="ListParagraph"/>
                  <w:numPr>
                    <w:ilvl w:val="0"/>
                    <w:numId w:val="30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Evidence of a calibrated weighbridge certificate provided</w:t>
                </w:r>
                <w:r w:rsidR="00EF6C22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3C3C104E" w14:textId="77777777" w:rsidR="00634DAB" w:rsidRPr="00131952" w:rsidRDefault="00634DAB" w:rsidP="00A77697">
                <w:pPr>
                  <w:spacing w:before="120" w:after="0"/>
                  <w:ind w:left="144" w:right="113"/>
                  <w:textAlignment w:val="baseline"/>
                  <w:rPr>
                    <w:rFonts w:ascii="Arial" w:hAnsi="Arial" w:cs="Arial"/>
                  </w:rPr>
                </w:pPr>
              </w:p>
              <w:p w14:paraId="674A6051" w14:textId="77777777" w:rsidR="00634DAB" w:rsidRPr="00131952" w:rsidRDefault="00634DAB" w:rsidP="00634DAB">
                <w:pPr>
                  <w:spacing w:before="120" w:after="120"/>
                  <w:ind w:left="144" w:right="288"/>
                  <w:textAlignment w:val="baseline"/>
                  <w:rPr>
                    <w:rFonts w:ascii="Arial" w:hAnsi="Arial" w:cs="Arial"/>
                  </w:rPr>
                </w:pPr>
              </w:p>
              <w:p w14:paraId="4E129956" w14:textId="2B5DF76B" w:rsidR="00634DAB" w:rsidRPr="00131952" w:rsidRDefault="00634DAB" w:rsidP="00634DAB">
                <w:pPr>
                  <w:spacing w:before="120" w:after="120"/>
                  <w:rPr>
                    <w:rFonts w:asciiTheme="majorHAnsi" w:hAnsiTheme="majorHAnsi" w:cstheme="majorHAnsi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 xml:space="preserve"> </w:t>
                </w:r>
              </w:p>
            </w:tc>
          </w:tr>
          <w:tr w:rsidR="00634DAB" w:rsidRPr="00131952" w14:paraId="5C35906F" w14:textId="77777777" w:rsidTr="6B32524A">
            <w:trPr>
              <w:trHeight w:val="2252"/>
            </w:trPr>
            <w:tc>
              <w:tcPr>
                <w:tcW w:w="976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9A943B0" w14:textId="1720B2A9" w:rsidR="00634DAB" w:rsidRPr="00131952" w:rsidRDefault="00634DAB" w:rsidP="00634DAB">
                <w:pPr>
                  <w:spacing w:before="120" w:after="120"/>
                  <w:textAlignment w:val="baseline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>Any BAT requirement (as defined by SEPA)</w:t>
                </w:r>
                <w:r w:rsidR="008A6B04" w:rsidRPr="00131952">
                  <w:rPr>
                    <w:rFonts w:ascii="Arial" w:hAnsi="Arial" w:cs="Arial"/>
                  </w:rPr>
                  <w:t>.</w:t>
                </w:r>
              </w:p>
              <w:p w14:paraId="54B491CD" w14:textId="1FE28FAB" w:rsidR="00634DAB" w:rsidRPr="00131952" w:rsidRDefault="00634DAB" w:rsidP="00634DAB">
                <w:pPr>
                  <w:spacing w:before="120" w:after="120"/>
                  <w:rPr>
                    <w:rFonts w:asciiTheme="majorHAnsi" w:hAnsiTheme="majorHAnsi" w:cstheme="majorHAnsi"/>
                  </w:rPr>
                </w:pPr>
              </w:p>
            </w:tc>
            <w:tc>
              <w:tcPr>
                <w:tcW w:w="1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E4A4379" w14:textId="5D6E63A9" w:rsidR="00634DAB" w:rsidRPr="00131952" w:rsidRDefault="40A30550" w:rsidP="00634DAB">
                <w:pPr>
                  <w:spacing w:before="120" w:after="120"/>
                </w:pPr>
                <w:r>
                  <w:t>Failure to comply with a</w:t>
                </w:r>
                <w:r w:rsidR="3E4146A7">
                  <w:t>n authorisation</w:t>
                </w:r>
                <w:r>
                  <w:t xml:space="preserve"> condition requiring the implementation of BAT (as defined by SEPA).</w:t>
                </w:r>
              </w:p>
            </w:tc>
            <w:tc>
              <w:tcPr>
                <w:tcW w:w="14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EADDE39" w14:textId="0F77543C" w:rsidR="00634DAB" w:rsidRPr="00B83DBD" w:rsidRDefault="00634DAB" w:rsidP="00B83DBD">
                <w:pPr>
                  <w:pStyle w:val="ListParagraph"/>
                  <w:numPr>
                    <w:ilvl w:val="0"/>
                    <w:numId w:val="30"/>
                  </w:numPr>
                  <w:tabs>
                    <w:tab w:val="left" w:pos="216"/>
                  </w:tabs>
                  <w:spacing w:before="120" w:after="0" w:line="360" w:lineRule="auto"/>
                  <w:ind w:left="544" w:hanging="425"/>
                  <w:rPr>
                    <w:rFonts w:ascii="Arial" w:hAnsi="Arial" w:cs="Arial"/>
                    <w:sz w:val="24"/>
                    <w:szCs w:val="24"/>
                  </w:rPr>
                </w:pPr>
                <w:hyperlink r:id="rId28" w:history="1">
                  <w:r w:rsidRPr="00131952">
                    <w:rPr>
                      <w:rStyle w:val="Hyperlink"/>
                      <w:rFonts w:ascii="Arial" w:hAnsi="Arial" w:cs="Arial"/>
                      <w:sz w:val="24"/>
                      <w:szCs w:val="24"/>
                    </w:rPr>
                    <w:t>BAT reference documents - BREFs + BATCs</w:t>
                  </w:r>
                </w:hyperlink>
              </w:p>
              <w:p w14:paraId="1852DEB4" w14:textId="5A4C007D" w:rsidR="00634DAB" w:rsidRPr="00B83DBD" w:rsidRDefault="00634DAB" w:rsidP="00B83DBD">
                <w:pPr>
                  <w:pStyle w:val="ListParagraph"/>
                  <w:numPr>
                    <w:ilvl w:val="0"/>
                    <w:numId w:val="30"/>
                  </w:numPr>
                  <w:tabs>
                    <w:tab w:val="left" w:pos="216"/>
                  </w:tabs>
                  <w:spacing w:before="120" w:after="0" w:line="360" w:lineRule="auto"/>
                  <w:ind w:left="544" w:hanging="425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UK BAT Implementation Guidance</w:t>
                </w:r>
                <w:r w:rsidR="008A6B04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3E3A7E09" w14:textId="77777777" w:rsidR="005D2F0C" w:rsidRPr="005D2F0C" w:rsidRDefault="00634DAB" w:rsidP="00CD7DC5">
                <w:pPr>
                  <w:pStyle w:val="ListParagraph"/>
                  <w:numPr>
                    <w:ilvl w:val="0"/>
                    <w:numId w:val="30"/>
                  </w:numPr>
                  <w:tabs>
                    <w:tab w:val="left" w:pos="216"/>
                  </w:tabs>
                  <w:spacing w:before="120" w:after="0" w:line="360" w:lineRule="auto"/>
                  <w:ind w:left="544" w:hanging="425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 xml:space="preserve">SEPA decision based on Sector Comparison and SEPA Guidance here; </w:t>
                </w:r>
                <w:hyperlink r:id="rId29" w:history="1">
                  <w:r w:rsidR="005D2F0C" w:rsidRPr="005D2F0C">
                    <w:rPr>
                      <w:rStyle w:val="Hyperlink"/>
                      <w:sz w:val="24"/>
                      <w:szCs w:val="24"/>
                    </w:rPr>
                    <w:t>Industrial activities | Beta | SEPA | Scottish Environment Protection Agency</w:t>
                  </w:r>
                </w:hyperlink>
                <w:r w:rsidR="005D2F0C">
                  <w:t xml:space="preserve"> </w:t>
                </w:r>
              </w:p>
              <w:p w14:paraId="720B3A97" w14:textId="17839B60" w:rsidR="00634DAB" w:rsidRPr="00131952" w:rsidRDefault="00634DAB" w:rsidP="00CD7DC5">
                <w:pPr>
                  <w:pStyle w:val="ListParagraph"/>
                  <w:numPr>
                    <w:ilvl w:val="0"/>
                    <w:numId w:val="30"/>
                  </w:numPr>
                  <w:tabs>
                    <w:tab w:val="left" w:pos="216"/>
                  </w:tabs>
                  <w:spacing w:before="120" w:after="0" w:line="360" w:lineRule="auto"/>
                  <w:ind w:left="544" w:hanging="425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 xml:space="preserve">Best practice guidance where available e.g. </w:t>
                </w:r>
                <w:r w:rsidR="007C58E4">
                  <w:rPr>
                    <w:rFonts w:ascii="Arial" w:hAnsi="Arial" w:cs="Arial"/>
                    <w:sz w:val="24"/>
                    <w:szCs w:val="24"/>
                  </w:rPr>
                  <w:t xml:space="preserve">Sector and </w:t>
                </w:r>
                <w:r w:rsidRPr="00131952">
                  <w:rPr>
                    <w:rFonts w:ascii="Arial" w:hAnsi="Arial" w:cs="Arial"/>
                    <w:sz w:val="24"/>
                    <w:szCs w:val="24"/>
                  </w:rPr>
                  <w:t>Technical Guidance notes, EA Guidance etc</w:t>
                </w:r>
                <w:r w:rsidR="008A6B04"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  <w:r w:rsidRPr="0013195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9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3D3B78E" w14:textId="4BB23BB3" w:rsidR="00634DAB" w:rsidRPr="00A77697" w:rsidRDefault="40A30550" w:rsidP="00EB5FEC">
                <w:pPr>
                  <w:spacing w:before="120" w:after="0"/>
                  <w:ind w:left="113" w:right="113"/>
                  <w:rPr>
                    <w:rFonts w:asciiTheme="majorHAnsi" w:hAnsiTheme="majorHAnsi" w:cstheme="majorBidi"/>
                  </w:rPr>
                </w:pPr>
                <w:r w:rsidRPr="00A77697">
                  <w:rPr>
                    <w:rFonts w:asciiTheme="majorHAnsi" w:hAnsiTheme="majorHAnsi" w:cstheme="majorBidi"/>
                  </w:rPr>
                  <w:t xml:space="preserve">Implement BAT in accordance with the </w:t>
                </w:r>
                <w:r w:rsidR="457FD31F" w:rsidRPr="00A77697">
                  <w:rPr>
                    <w:rFonts w:asciiTheme="majorHAnsi" w:hAnsiTheme="majorHAnsi" w:cstheme="majorBidi"/>
                  </w:rPr>
                  <w:t>authorisation</w:t>
                </w:r>
                <w:r w:rsidR="62D7DFC2" w:rsidRPr="00A77697">
                  <w:rPr>
                    <w:rFonts w:asciiTheme="majorHAnsi" w:hAnsiTheme="majorHAnsi" w:cstheme="majorBidi"/>
                  </w:rPr>
                  <w:t>.</w:t>
                </w:r>
              </w:p>
            </w:tc>
          </w:tr>
          <w:tr w:rsidR="00634DAB" w:rsidRPr="00131952" w14:paraId="09C0D168" w14:textId="77777777" w:rsidTr="6B32524A">
            <w:trPr>
              <w:trHeight w:val="392"/>
            </w:trPr>
            <w:tc>
              <w:tcPr>
                <w:tcW w:w="976" w:type="pct"/>
                <w:tcBorders>
                  <w:top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422ECC4" w14:textId="602D042F" w:rsidR="00634DAB" w:rsidRPr="00131952" w:rsidRDefault="00634DAB" w:rsidP="00634DAB">
                <w:pPr>
                  <w:spacing w:before="120" w:after="120"/>
                  <w:rPr>
                    <w:rFonts w:asciiTheme="majorHAnsi" w:hAnsiTheme="majorHAnsi" w:cstheme="majorHAnsi"/>
                  </w:rPr>
                </w:pPr>
                <w:r w:rsidRPr="00131952">
                  <w:rPr>
                    <w:rFonts w:ascii="Arial" w:hAnsi="Arial" w:cs="Arial"/>
                  </w:rPr>
                  <w:t>Monitoring</w:t>
                </w:r>
                <w:r w:rsidR="008A6B04" w:rsidRPr="0013195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42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5DA9BA4" w14:textId="1ED82673" w:rsidR="00634DAB" w:rsidRPr="00E97CCF" w:rsidRDefault="00634DAB" w:rsidP="00E97CCF">
                <w:pPr>
                  <w:pStyle w:val="ListParagraph"/>
                  <w:numPr>
                    <w:ilvl w:val="0"/>
                    <w:numId w:val="31"/>
                  </w:numPr>
                  <w:spacing w:before="120" w:after="0" w:line="360" w:lineRule="auto"/>
                  <w:ind w:left="210" w:hanging="210"/>
                  <w:rPr>
                    <w:rFonts w:cstheme="minorHAnsi"/>
                    <w:sz w:val="24"/>
                    <w:szCs w:val="24"/>
                  </w:rPr>
                </w:pPr>
                <w:r w:rsidRPr="00131952">
                  <w:rPr>
                    <w:rFonts w:cstheme="minorHAnsi"/>
                    <w:sz w:val="24"/>
                    <w:szCs w:val="24"/>
                  </w:rPr>
                  <w:t>Monitoring not undertaken for a period of more than 30 days from the required date.</w:t>
                </w:r>
              </w:p>
              <w:p w14:paraId="7E91A1E4" w14:textId="77777777" w:rsidR="00634DAB" w:rsidRPr="00131952" w:rsidRDefault="00634DAB" w:rsidP="00CD7DC5">
                <w:pPr>
                  <w:pStyle w:val="ListParagraph"/>
                  <w:numPr>
                    <w:ilvl w:val="0"/>
                    <w:numId w:val="31"/>
                  </w:numPr>
                  <w:spacing w:before="120" w:after="0" w:line="360" w:lineRule="auto"/>
                  <w:ind w:left="210" w:right="216" w:hanging="210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131952">
                  <w:rPr>
                    <w:rFonts w:cstheme="minorHAnsi"/>
                    <w:sz w:val="24"/>
                    <w:szCs w:val="24"/>
                  </w:rPr>
                  <w:lastRenderedPageBreak/>
                  <w:t>Deviation from monitoring requirements of their authorisation. The extent of the deviation will determine if the breach is considered major non-compliance.</w:t>
                </w:r>
              </w:p>
              <w:p w14:paraId="4AE1DF16" w14:textId="77777777" w:rsidR="00634DAB" w:rsidRPr="00131952" w:rsidRDefault="00634DAB" w:rsidP="00634DAB">
                <w:pPr>
                  <w:spacing w:before="120" w:after="120"/>
                  <w:rPr>
                    <w:rFonts w:cstheme="minorHAnsi"/>
                  </w:rPr>
                </w:pPr>
              </w:p>
            </w:tc>
            <w:tc>
              <w:tcPr>
                <w:tcW w:w="1498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3C8C86E" w14:textId="5D66B77C" w:rsidR="00634DAB" w:rsidRPr="00E97CCF" w:rsidRDefault="00634DAB" w:rsidP="00E97CCF">
                <w:pPr>
                  <w:pStyle w:val="ListParagraph"/>
                  <w:numPr>
                    <w:ilvl w:val="0"/>
                    <w:numId w:val="31"/>
                  </w:numPr>
                  <w:spacing w:before="120" w:after="0" w:line="360" w:lineRule="auto"/>
                  <w:ind w:left="544" w:right="215" w:hanging="425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 xml:space="preserve">SEPA will review the operators monitoring to assess extent of </w:t>
                </w:r>
                <w:r w:rsidRPr="00131952" w:rsidDel="00BC1D2C">
                  <w:rPr>
                    <w:rFonts w:ascii="Arial" w:hAnsi="Arial" w:cs="Arial"/>
                    <w:sz w:val="24"/>
                    <w:szCs w:val="24"/>
                  </w:rPr>
                  <w:t>deviation</w:t>
                </w:r>
                <w:r w:rsidRPr="0013195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  <w:r w:rsidRPr="00131952" w:rsidDel="00BC1D2C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  <w:p w14:paraId="56383E8F" w14:textId="4D98D656" w:rsidR="00634DAB" w:rsidRPr="003B747C" w:rsidRDefault="00634DAB" w:rsidP="003B747C">
                <w:pPr>
                  <w:pStyle w:val="ListParagraph"/>
                  <w:numPr>
                    <w:ilvl w:val="0"/>
                    <w:numId w:val="31"/>
                  </w:numPr>
                  <w:spacing w:before="120" w:after="0" w:line="360" w:lineRule="auto"/>
                  <w:ind w:left="544" w:right="215" w:hanging="425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Available Standards, Guidance and Procedures e.g. UKAS, MCERTS</w:t>
                </w:r>
              </w:p>
            </w:tc>
            <w:tc>
              <w:tcPr>
                <w:tcW w:w="984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AE399E9" w14:textId="6B1B383E" w:rsidR="00634DAB" w:rsidRPr="00131952" w:rsidRDefault="00634DAB" w:rsidP="00EB5FEC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 xml:space="preserve">Information submission </w:t>
                </w:r>
                <w:r w:rsidR="00E97CCF">
                  <w:rPr>
                    <w:rFonts w:ascii="Arial" w:hAnsi="Arial" w:cs="Arial"/>
                  </w:rPr>
                  <w:t>that</w:t>
                </w:r>
                <w:r w:rsidRPr="00131952">
                  <w:rPr>
                    <w:rFonts w:ascii="Arial" w:hAnsi="Arial" w:cs="Arial"/>
                  </w:rPr>
                  <w:t xml:space="preserve"> includes:</w:t>
                </w:r>
              </w:p>
              <w:p w14:paraId="38945E94" w14:textId="77777777" w:rsidR="00634DAB" w:rsidRPr="00131952" w:rsidRDefault="00634DAB" w:rsidP="00A77697">
                <w:pPr>
                  <w:pStyle w:val="ListParagraph"/>
                  <w:numPr>
                    <w:ilvl w:val="0"/>
                    <w:numId w:val="8"/>
                  </w:numPr>
                  <w:spacing w:before="120" w:after="0" w:line="360" w:lineRule="auto"/>
                  <w:ind w:left="437" w:right="113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Corrective actions/reasons for missing information</w:t>
                </w:r>
              </w:p>
              <w:p w14:paraId="2EFD3300" w14:textId="7B9E50A8" w:rsidR="00634DAB" w:rsidRPr="00131952" w:rsidRDefault="00634DAB" w:rsidP="00A77697">
                <w:pPr>
                  <w:pStyle w:val="ListParagraph"/>
                  <w:numPr>
                    <w:ilvl w:val="0"/>
                    <w:numId w:val="8"/>
                  </w:numPr>
                  <w:spacing w:before="120" w:after="0" w:line="360" w:lineRule="auto"/>
                  <w:ind w:left="437" w:right="113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26A3526B">
                  <w:rPr>
                    <w:rFonts w:ascii="Arial" w:hAnsi="Arial" w:cs="Arial"/>
                    <w:sz w:val="24"/>
                    <w:szCs w:val="24"/>
                  </w:rPr>
                  <w:t xml:space="preserve">Assessment of </w:t>
                </w:r>
                <w:r w:rsidR="00CB3C33" w:rsidRPr="26A3526B">
                  <w:rPr>
                    <w:rFonts w:ascii="Arial" w:hAnsi="Arial" w:cs="Arial"/>
                    <w:sz w:val="24"/>
                    <w:szCs w:val="24"/>
                  </w:rPr>
                  <w:t xml:space="preserve">the </w:t>
                </w:r>
                <w:bookmarkStart w:id="19" w:name="_Int_yfhBGSjw"/>
                <w:r w:rsidR="00CB3C33" w:rsidRPr="26A3526B">
                  <w:rPr>
                    <w:rFonts w:ascii="Arial" w:hAnsi="Arial" w:cs="Arial"/>
                    <w:sz w:val="24"/>
                    <w:szCs w:val="24"/>
                  </w:rPr>
                  <w:t>likely</w:t>
                </w:r>
                <w:r w:rsidRPr="26A3526B">
                  <w:rPr>
                    <w:rFonts w:ascii="Arial" w:hAnsi="Arial" w:cs="Arial"/>
                    <w:sz w:val="24"/>
                    <w:szCs w:val="24"/>
                  </w:rPr>
                  <w:t xml:space="preserve"> impact</w:t>
                </w:r>
                <w:bookmarkEnd w:id="19"/>
                <w:r w:rsidRPr="26A3526B">
                  <w:rPr>
                    <w:rFonts w:ascii="Arial" w:hAnsi="Arial" w:cs="Arial"/>
                    <w:sz w:val="24"/>
                    <w:szCs w:val="24"/>
                  </w:rPr>
                  <w:t xml:space="preserve"> from missing data</w:t>
                </w:r>
              </w:p>
              <w:p w14:paraId="36BB92B4" w14:textId="5E4BD6E5" w:rsidR="00634DAB" w:rsidRPr="00E97CCF" w:rsidRDefault="00634DAB" w:rsidP="00A77697">
                <w:pPr>
                  <w:pStyle w:val="ListParagraph"/>
                  <w:numPr>
                    <w:ilvl w:val="0"/>
                    <w:numId w:val="8"/>
                  </w:numPr>
                  <w:spacing w:before="120" w:after="0" w:line="360" w:lineRule="auto"/>
                  <w:ind w:left="437" w:right="113"/>
                  <w:rPr>
                    <w:rFonts w:ascii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sz w:val="24"/>
                    <w:szCs w:val="24"/>
                  </w:rPr>
                  <w:t>Evidence that the monitoring is now being carried out</w:t>
                </w:r>
              </w:p>
              <w:p w14:paraId="46C4DF8C" w14:textId="2EC4778E" w:rsidR="00634DAB" w:rsidRPr="00131952" w:rsidRDefault="00634DAB" w:rsidP="00EB5FEC">
                <w:pPr>
                  <w:spacing w:before="120" w:after="0"/>
                  <w:ind w:left="113" w:right="113"/>
                  <w:textAlignment w:val="baseline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 xml:space="preserve">SEPA will assess submission and ascertain if enough information is provided to </w:t>
                </w:r>
                <w:r w:rsidR="003D63A4">
                  <w:rPr>
                    <w:rFonts w:ascii="Arial" w:hAnsi="Arial" w:cs="Arial"/>
                  </w:rPr>
                  <w:t>resolve</w:t>
                </w:r>
                <w:r w:rsidRPr="00131952">
                  <w:rPr>
                    <w:rFonts w:ascii="Arial" w:hAnsi="Arial" w:cs="Arial"/>
                  </w:rPr>
                  <w:t xml:space="preserve"> compliance.</w:t>
                </w:r>
              </w:p>
            </w:tc>
          </w:tr>
        </w:tbl>
        <w:p w14:paraId="680CE808" w14:textId="77777777" w:rsidR="007971D1" w:rsidRPr="00131952" w:rsidRDefault="007971D1" w:rsidP="00181CBE">
          <w:pPr>
            <w:spacing w:before="120" w:after="120"/>
            <w:sectPr w:rsidR="007971D1" w:rsidRPr="00131952" w:rsidSect="00DD3CCE">
              <w:headerReference w:type="first" r:id="rId30"/>
              <w:pgSz w:w="16840" w:h="11900" w:orient="landscape"/>
              <w:pgMar w:top="839" w:right="839" w:bottom="839" w:left="839" w:header="794" w:footer="240" w:gutter="0"/>
              <w:cols w:space="708"/>
              <w:titlePg/>
              <w:docGrid w:linePitch="360"/>
            </w:sectPr>
          </w:pPr>
        </w:p>
        <w:p w14:paraId="613206FE" w14:textId="286654C2" w:rsidR="00DB6433" w:rsidRPr="00131952" w:rsidRDefault="009F3A7A" w:rsidP="004B5A38">
          <w:pPr>
            <w:pStyle w:val="Caption"/>
            <w:spacing w:before="120" w:after="12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</w:pP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lastRenderedPageBreak/>
            <w:t xml:space="preserve">Table </w:t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begin"/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instrText xml:space="preserve"> SEQ Table \* ARABIC </w:instrText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separate"/>
          </w:r>
          <w:r w:rsidR="00EA3FD3" w:rsidRPr="00131952">
            <w:rPr>
              <w:rFonts w:asciiTheme="majorHAnsi" w:hAnsiTheme="majorHAnsi" w:cstheme="majorHAnsi"/>
              <w:b/>
              <w:bCs/>
              <w:i w:val="0"/>
              <w:iCs w:val="0"/>
              <w:noProof/>
              <w:color w:val="auto"/>
              <w:sz w:val="24"/>
              <w:szCs w:val="24"/>
            </w:rPr>
            <w:t>5</w:t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end"/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:</w:t>
          </w:r>
          <w:r w:rsidR="004B5A38"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021600"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Wider</w:t>
          </w:r>
          <w:r w:rsidR="00654C45"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021600"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legal </w:t>
          </w:r>
          <w:r w:rsidR="00654C45"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environmental requirements and </w:t>
          </w:r>
          <w:r w:rsidR="00021600"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financial non-compliance</w:t>
          </w:r>
        </w:p>
        <w:p w14:paraId="53E9BA25" w14:textId="7FF6DCA7" w:rsidR="00DB6433" w:rsidRPr="00131952" w:rsidRDefault="11F2F4EB" w:rsidP="00181CBE">
          <w:pPr>
            <w:spacing w:before="120" w:after="120"/>
          </w:pPr>
          <w:r>
            <w:t>EPAS is designed to provide a more accurate picture of legal environmental compliance</w:t>
          </w:r>
          <w:bookmarkStart w:id="20" w:name="_Int_fR5TqIu2"/>
          <w:r>
            <w:t xml:space="preserve">.  </w:t>
          </w:r>
          <w:bookmarkEnd w:id="20"/>
          <w:r w:rsidR="7EAD0F43">
            <w:t>Under EPAS we</w:t>
          </w:r>
          <w:r>
            <w:t xml:space="preserve"> will therefore assess compliance of the following situations as it is </w:t>
          </w:r>
          <w:r w:rsidR="436B912A">
            <w:t xml:space="preserve">important </w:t>
          </w:r>
          <w:r w:rsidR="7EAD0F43">
            <w:t>a</w:t>
          </w:r>
          <w:r w:rsidR="436B912A">
            <w:t xml:space="preserve"> performance r</w:t>
          </w:r>
          <w:r w:rsidR="384C407A">
            <w:t>ating</w:t>
          </w:r>
          <w:r w:rsidR="436B912A">
            <w:t xml:space="preserve"> reflects this.</w:t>
          </w:r>
          <w:r w:rsidR="1FF03750">
            <w:t xml:space="preserve"> </w:t>
          </w:r>
          <w:r w:rsidR="7FA28913">
            <w:t>In addition to below, our intent is to develop major non-compliance criteria for duty of care and special waste regulation</w:t>
          </w:r>
          <w:r w:rsidR="5EB703B7">
            <w:t xml:space="preserve"> </w:t>
          </w:r>
          <w:r w:rsidR="7FA28913">
            <w:t xml:space="preserve">contraventions </w:t>
          </w:r>
          <w:r w:rsidR="24FA6BE6">
            <w:t>and start to use these at the same time.</w:t>
          </w:r>
        </w:p>
        <w:tbl>
          <w:tblPr>
            <w:tblW w:w="5008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5: Wider legal environmental requirements and financial non-compliance"/>
            <w:tblDescription w:val="Table containing 4 columns &quot;Contravention&quot;, &quot;Major Non-Compliance&quot;, &quot;How Will SEPA Assess / Supporting Guidance&quot; and &quot;Return To Compliance Examples&quot; and 4 rows. Table highlights conditions within authorisations, when the condition would become major non-compliant, how SEPA will assess and actions the site would have to undertake to return to compliance. "/>
          </w:tblPr>
          <w:tblGrid>
            <w:gridCol w:w="2964"/>
            <w:gridCol w:w="3859"/>
            <w:gridCol w:w="5220"/>
            <w:gridCol w:w="3113"/>
          </w:tblGrid>
          <w:tr w:rsidR="009F3A7A" w:rsidRPr="00131952" w14:paraId="35E7B07D" w14:textId="77777777" w:rsidTr="26A3526B">
            <w:trPr>
              <w:trHeight w:val="610"/>
              <w:tblHeader/>
            </w:trPr>
            <w:tc>
              <w:tcPr>
                <w:tcW w:w="978" w:type="pct"/>
                <w:tcBorders>
                  <w:bottom w:val="single" w:sz="12" w:space="0" w:color="auto"/>
                </w:tcBorders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F121579" w14:textId="28F432ED" w:rsidR="009F3A7A" w:rsidRPr="00131952" w:rsidRDefault="007A4720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Contravention</w:t>
                </w:r>
              </w:p>
            </w:tc>
            <w:tc>
              <w:tcPr>
                <w:tcW w:w="1273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3CE92C2" w14:textId="77777777" w:rsidR="009F3A7A" w:rsidRPr="00131952" w:rsidRDefault="009F3A7A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13195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722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6E0E11C" w14:textId="77777777" w:rsidR="009F3A7A" w:rsidRPr="00131952" w:rsidRDefault="009F3A7A" w:rsidP="00AF65E6">
                <w:pPr>
                  <w:spacing w:before="120" w:after="0"/>
                  <w:ind w:left="113" w:right="113"/>
                  <w:rPr>
                    <w:rFonts w:eastAsia="Times New Roman" w:cstheme="minorHAnsi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cstheme="minorHAnsi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027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C28D7B3" w14:textId="17B70F65" w:rsidR="009F3A7A" w:rsidRPr="00131952" w:rsidRDefault="009F3A7A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Return to compliance</w:t>
                </w:r>
                <w:r w:rsidR="00627E39" w:rsidRPr="00131952">
                  <w:rPr>
                    <w:rFonts w:ascii="Arial" w:hAnsi="Arial" w:cs="Arial"/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026ADC" w:rsidRPr="00131952" w14:paraId="75F97AB7" w14:textId="77777777" w:rsidTr="26A3526B">
            <w:trPr>
              <w:trHeight w:val="315"/>
            </w:trPr>
            <w:tc>
              <w:tcPr>
                <w:tcW w:w="978" w:type="pct"/>
                <w:tcBorders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46A89AC" w14:textId="57481B94" w:rsidR="00026ADC" w:rsidRPr="00131952" w:rsidRDefault="00026ADC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31952">
                  <w:rPr>
                    <w:rFonts w:ascii="Arial" w:eastAsia="Times New Roman" w:hAnsi="Arial" w:cs="Arial"/>
                    <w:lang w:eastAsia="en-GB"/>
                  </w:rPr>
                  <w:t>Undertaking a regulated activity without authorisation</w:t>
                </w:r>
                <w:r w:rsidR="00F3294E" w:rsidRPr="00131952">
                  <w:rPr>
                    <w:rFonts w:ascii="Arial" w:eastAsia="Times New Roman" w:hAnsi="Arial" w:cs="Arial"/>
                    <w:lang w:eastAsia="en-GB"/>
                  </w:rPr>
                  <w:t>.</w:t>
                </w:r>
              </w:p>
            </w:tc>
            <w:tc>
              <w:tcPr>
                <w:tcW w:w="127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F71990A" w14:textId="31ECF2CC" w:rsidR="00026ADC" w:rsidRPr="00131952" w:rsidRDefault="00026ADC" w:rsidP="00181CBE">
                <w:pPr>
                  <w:pStyle w:val="paragraph"/>
                  <w:spacing w:before="120" w:beforeAutospacing="0" w:after="120" w:afterAutospacing="0" w:line="360" w:lineRule="auto"/>
                  <w:rPr>
                    <w:rFonts w:ascii="Arial" w:eastAsiaTheme="majorEastAsia" w:hAnsi="Arial" w:cs="Arial"/>
                  </w:rPr>
                </w:pPr>
                <w:r w:rsidRPr="00131952">
                  <w:rPr>
                    <w:rFonts w:ascii="Arial" w:eastAsiaTheme="majorEastAsia" w:hAnsi="Arial" w:cs="Arial"/>
                  </w:rPr>
                  <w:t xml:space="preserve">Undertaking a regulated activity without authorisation. </w:t>
                </w:r>
              </w:p>
              <w:p w14:paraId="20A4A259" w14:textId="15C21B1F" w:rsidR="00026ADC" w:rsidRPr="00131952" w:rsidRDefault="00026ADC" w:rsidP="00181CBE">
                <w:pPr>
                  <w:pStyle w:val="paragraph"/>
                  <w:spacing w:before="120" w:beforeAutospacing="0" w:after="120" w:afterAutospacing="0" w:line="360" w:lineRule="auto"/>
                  <w:rPr>
                    <w:rFonts w:ascii="Arial" w:eastAsiaTheme="majorEastAsia" w:hAnsi="Arial" w:cs="Arial"/>
                  </w:rPr>
                </w:pPr>
                <w:r w:rsidRPr="00131952">
                  <w:rPr>
                    <w:rFonts w:ascii="Arial" w:eastAsiaTheme="majorEastAsia" w:hAnsi="Arial" w:cs="Arial"/>
                  </w:rPr>
                  <w:t xml:space="preserve">For </w:t>
                </w:r>
                <w:r w:rsidR="00A10360" w:rsidRPr="00131952">
                  <w:rPr>
                    <w:rFonts w:ascii="Arial" w:eastAsiaTheme="majorEastAsia" w:hAnsi="Arial" w:cs="Arial"/>
                  </w:rPr>
                  <w:t>e</w:t>
                </w:r>
                <w:r w:rsidRPr="00131952">
                  <w:rPr>
                    <w:rFonts w:ascii="Arial" w:eastAsiaTheme="majorEastAsia" w:hAnsi="Arial" w:cs="Arial"/>
                  </w:rPr>
                  <w:t>xample:</w:t>
                </w:r>
              </w:p>
              <w:p w14:paraId="525AD7E0" w14:textId="77777777" w:rsidR="00026ADC" w:rsidRPr="00131952" w:rsidRDefault="00026ADC" w:rsidP="00CD7DC5">
                <w:pPr>
                  <w:pStyle w:val="paragraph"/>
                  <w:numPr>
                    <w:ilvl w:val="0"/>
                    <w:numId w:val="10"/>
                  </w:numPr>
                  <w:spacing w:before="120" w:beforeAutospacing="0" w:after="120" w:afterAutospacing="0" w:line="360" w:lineRule="auto"/>
                  <w:ind w:left="313" w:hanging="283"/>
                  <w:rPr>
                    <w:rFonts w:ascii="Arial" w:eastAsiaTheme="majorEastAsia" w:hAnsi="Arial" w:cs="Arial"/>
                  </w:rPr>
                </w:pPr>
                <w:r w:rsidRPr="00131952">
                  <w:rPr>
                    <w:rFonts w:ascii="Arial" w:eastAsiaTheme="majorEastAsia" w:hAnsi="Arial" w:cs="Arial"/>
                  </w:rPr>
                  <w:t>Unauthorised direct discharge into groundwater.</w:t>
                </w:r>
              </w:p>
              <w:p w14:paraId="50BCFCF8" w14:textId="77777777" w:rsidR="00026ADC" w:rsidRPr="00131952" w:rsidRDefault="00026ADC" w:rsidP="00CD7DC5">
                <w:pPr>
                  <w:pStyle w:val="paragraph"/>
                  <w:numPr>
                    <w:ilvl w:val="0"/>
                    <w:numId w:val="10"/>
                  </w:numPr>
                  <w:spacing w:before="120" w:beforeAutospacing="0" w:after="120" w:afterAutospacing="0" w:line="360" w:lineRule="auto"/>
                  <w:ind w:left="313" w:hanging="283"/>
                  <w:rPr>
                    <w:rFonts w:ascii="Arial" w:eastAsiaTheme="majorEastAsia" w:hAnsi="Arial" w:cs="Arial"/>
                  </w:rPr>
                </w:pPr>
                <w:r w:rsidRPr="00131952">
                  <w:rPr>
                    <w:rFonts w:ascii="Arial" w:eastAsiaTheme="majorEastAsia" w:hAnsi="Arial" w:cs="Arial"/>
                  </w:rPr>
                  <w:t xml:space="preserve">Unauthorised discharge to surface water. </w:t>
                </w:r>
              </w:p>
              <w:p w14:paraId="5630524A" w14:textId="4D07B89D" w:rsidR="00026ADC" w:rsidRPr="00131952" w:rsidRDefault="00026ADC" w:rsidP="00CD7DC5">
                <w:pPr>
                  <w:pStyle w:val="paragraph"/>
                  <w:numPr>
                    <w:ilvl w:val="0"/>
                    <w:numId w:val="10"/>
                  </w:numPr>
                  <w:spacing w:before="120" w:beforeAutospacing="0" w:after="120" w:afterAutospacing="0" w:line="360" w:lineRule="auto"/>
                  <w:ind w:left="313" w:hanging="283"/>
                  <w:rPr>
                    <w:rFonts w:ascii="Arial" w:eastAsiaTheme="majorEastAsia" w:hAnsi="Arial" w:cs="Arial"/>
                  </w:rPr>
                </w:pPr>
                <w:r w:rsidRPr="00131952">
                  <w:rPr>
                    <w:rFonts w:ascii="Arial" w:eastAsiaTheme="majorEastAsia" w:hAnsi="Arial" w:cs="Arial"/>
                  </w:rPr>
                  <w:t xml:space="preserve">Unauthorised Directly Associated Activities. </w:t>
                </w:r>
              </w:p>
            </w:tc>
            <w:tc>
              <w:tcPr>
                <w:tcW w:w="172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6D1D3AD" w14:textId="67A2B6D3" w:rsidR="00026ADC" w:rsidRPr="00131952" w:rsidRDefault="00026ADC" w:rsidP="00687F40">
                <w:pPr>
                  <w:spacing w:before="120" w:after="120"/>
                  <w:rPr>
                    <w:rFonts w:eastAsia="Times New Roman" w:cstheme="minorHAnsi"/>
                    <w:lang w:eastAsia="en-GB"/>
                  </w:rPr>
                </w:pPr>
                <w:r w:rsidRPr="00131952">
                  <w:rPr>
                    <w:rFonts w:cstheme="minorHAnsi"/>
                  </w:rPr>
                  <w:t xml:space="preserve">SEPA will check if an activity is being carried out </w:t>
                </w:r>
                <w:r w:rsidR="00AF06F4">
                  <w:rPr>
                    <w:rFonts w:cstheme="minorHAnsi"/>
                  </w:rPr>
                  <w:t>that</w:t>
                </w:r>
                <w:r w:rsidRPr="00131952">
                  <w:rPr>
                    <w:rFonts w:cstheme="minorHAnsi"/>
                  </w:rPr>
                  <w:t xml:space="preserve"> is not covered by an appropriate authorisation</w:t>
                </w:r>
                <w:r w:rsidR="00F3294E" w:rsidRPr="00131952">
                  <w:rPr>
                    <w:rFonts w:cstheme="minorHAnsi"/>
                  </w:rPr>
                  <w:t>.</w:t>
                </w:r>
              </w:p>
            </w:tc>
            <w:tc>
              <w:tcPr>
                <w:tcW w:w="1027" w:type="pct"/>
                <w:tcBorders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AB251D1" w14:textId="2B0AE576" w:rsidR="00026ADC" w:rsidRPr="00131952" w:rsidRDefault="731E0086" w:rsidP="00EB5FEC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40BF848D">
                  <w:rPr>
                    <w:rFonts w:ascii="Arial" w:hAnsi="Arial" w:cs="Arial"/>
                  </w:rPr>
                  <w:t>Unauthorised activity ceases</w:t>
                </w:r>
                <w:r w:rsidR="00C56B1B">
                  <w:rPr>
                    <w:rFonts w:ascii="Arial" w:hAnsi="Arial" w:cs="Arial"/>
                  </w:rPr>
                  <w:t>, or</w:t>
                </w:r>
                <w:r w:rsidRPr="40BF848D">
                  <w:rPr>
                    <w:rFonts w:ascii="Arial" w:hAnsi="Arial" w:cs="Arial"/>
                  </w:rPr>
                  <w:t xml:space="preserve"> </w:t>
                </w:r>
                <w:r w:rsidR="10EE021F" w:rsidRPr="40BF848D">
                  <w:rPr>
                    <w:rFonts w:ascii="Arial" w:hAnsi="Arial" w:cs="Arial"/>
                  </w:rPr>
                  <w:t>authorisation</w:t>
                </w:r>
                <w:r w:rsidRPr="40BF848D">
                  <w:rPr>
                    <w:rFonts w:ascii="Arial" w:hAnsi="Arial" w:cs="Arial"/>
                  </w:rPr>
                  <w:t xml:space="preserve"> is varied to include the activity</w:t>
                </w:r>
                <w:r w:rsidR="00C56B1B">
                  <w:rPr>
                    <w:rFonts w:ascii="Arial" w:hAnsi="Arial" w:cs="Arial"/>
                  </w:rPr>
                  <w:t>,</w:t>
                </w:r>
                <w:r w:rsidRPr="40BF848D">
                  <w:rPr>
                    <w:rFonts w:ascii="Arial" w:hAnsi="Arial" w:cs="Arial"/>
                  </w:rPr>
                  <w:t xml:space="preserve"> or appropriate authorisation </w:t>
                </w:r>
                <w:r w:rsidR="00C56B1B">
                  <w:rPr>
                    <w:rFonts w:ascii="Arial" w:hAnsi="Arial" w:cs="Arial"/>
                  </w:rPr>
                  <w:t xml:space="preserve">is </w:t>
                </w:r>
                <w:r w:rsidRPr="40BF848D">
                  <w:rPr>
                    <w:rFonts w:ascii="Arial" w:hAnsi="Arial" w:cs="Arial"/>
                  </w:rPr>
                  <w:t>obtained.</w:t>
                </w:r>
              </w:p>
            </w:tc>
          </w:tr>
          <w:tr w:rsidR="00E333B2" w:rsidRPr="00131952" w14:paraId="725E50BE" w14:textId="77777777" w:rsidTr="26A3526B">
            <w:trPr>
              <w:trHeight w:val="315"/>
            </w:trPr>
            <w:tc>
              <w:tcPr>
                <w:tcW w:w="97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1BD4E27" w14:textId="2F8CBF45" w:rsidR="00E333B2" w:rsidRPr="00131952" w:rsidRDefault="00E333B2" w:rsidP="00181CBE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31952">
                  <w:rPr>
                    <w:rFonts w:ascii="Arial" w:hAnsi="Arial" w:cs="Arial"/>
                  </w:rPr>
                  <w:t xml:space="preserve">Environmental event at an authorised site </w:t>
                </w:r>
                <w:r w:rsidR="00D96426">
                  <w:rPr>
                    <w:rFonts w:ascii="Arial" w:hAnsi="Arial" w:cs="Arial"/>
                  </w:rPr>
                  <w:t>that</w:t>
                </w:r>
                <w:r w:rsidRPr="00131952">
                  <w:rPr>
                    <w:rFonts w:ascii="Arial" w:hAnsi="Arial" w:cs="Arial"/>
                  </w:rPr>
                  <w:t xml:space="preserve"> is </w:t>
                </w:r>
                <w:r w:rsidRPr="00CD278D">
                  <w:rPr>
                    <w:rFonts w:ascii="Arial" w:hAnsi="Arial" w:cs="Arial"/>
                    <w:b/>
                    <w:bCs/>
                  </w:rPr>
                  <w:lastRenderedPageBreak/>
                  <w:t>unrelated to the authorised activity</w:t>
                </w:r>
                <w:r w:rsidR="00F3294E" w:rsidRPr="00CD278D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9D81A18" w14:textId="77777777" w:rsidR="00E333B2" w:rsidRPr="00131952" w:rsidRDefault="00E333B2" w:rsidP="00181CBE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>Causes:</w:t>
                </w:r>
              </w:p>
              <w:p w14:paraId="126DD799" w14:textId="753A559F" w:rsidR="00E333B2" w:rsidRPr="00131952" w:rsidRDefault="00E333B2" w:rsidP="00181CBE">
                <w:pPr>
                  <w:pStyle w:val="ListParagraph"/>
                  <w:numPr>
                    <w:ilvl w:val="0"/>
                    <w:numId w:val="4"/>
                  </w:numPr>
                  <w:spacing w:before="120" w:after="120" w:line="360" w:lineRule="auto"/>
                  <w:ind w:left="324" w:right="180" w:hanging="283"/>
                  <w:contextualSpacing w:val="0"/>
                  <w:textAlignment w:val="baseline"/>
                  <w:rPr>
                    <w:rFonts w:ascii="Arial" w:eastAsiaTheme="minorEastAsia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Theme="minorEastAsia" w:hAnsi="Arial" w:cs="Arial"/>
                    <w:sz w:val="24"/>
                    <w:szCs w:val="24"/>
                  </w:rPr>
                  <w:t>category 1 or 2 environmental event</w:t>
                </w:r>
                <w:r w:rsidR="00F3294E" w:rsidRPr="00131952">
                  <w:rPr>
                    <w:rFonts w:ascii="Arial" w:eastAsiaTheme="minorEastAsia" w:hAnsi="Arial" w:cs="Arial"/>
                    <w:sz w:val="24"/>
                    <w:szCs w:val="24"/>
                  </w:rPr>
                  <w:t>.</w:t>
                </w:r>
              </w:p>
              <w:p w14:paraId="1AF4C9FF" w14:textId="72251F7F" w:rsidR="00E333B2" w:rsidRPr="00131952" w:rsidRDefault="00E333B2" w:rsidP="00181CBE">
                <w:pPr>
                  <w:numPr>
                    <w:ilvl w:val="0"/>
                    <w:numId w:val="4"/>
                  </w:numPr>
                  <w:tabs>
                    <w:tab w:val="left" w:pos="360"/>
                  </w:tabs>
                  <w:spacing w:before="120" w:after="120"/>
                  <w:ind w:left="324" w:hanging="283"/>
                  <w:textAlignment w:val="baseline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>breach of water or air quality standard</w:t>
                </w:r>
                <w:r w:rsidR="00F3294E" w:rsidRPr="00131952">
                  <w:rPr>
                    <w:rFonts w:ascii="Arial" w:hAnsi="Arial" w:cs="Arial"/>
                  </w:rPr>
                  <w:t>.</w:t>
                </w:r>
              </w:p>
              <w:p w14:paraId="3BF60511" w14:textId="153641D3" w:rsidR="00E333B2" w:rsidRPr="00131952" w:rsidRDefault="00E333B2" w:rsidP="00181CBE">
                <w:pPr>
                  <w:numPr>
                    <w:ilvl w:val="0"/>
                    <w:numId w:val="4"/>
                  </w:numPr>
                  <w:tabs>
                    <w:tab w:val="left" w:pos="360"/>
                  </w:tabs>
                  <w:spacing w:before="120" w:after="120"/>
                  <w:ind w:left="324" w:hanging="283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>significant and sustained adverse trend for groundwater</w:t>
                </w:r>
                <w:r w:rsidR="00F3294E" w:rsidRPr="00131952">
                  <w:rPr>
                    <w:rFonts w:ascii="Arial" w:hAnsi="Arial" w:cs="Arial"/>
                  </w:rPr>
                  <w:t>.</w:t>
                </w:r>
              </w:p>
              <w:p w14:paraId="278945A0" w14:textId="77777777" w:rsidR="002C4E48" w:rsidRPr="00131952" w:rsidRDefault="002C4E48" w:rsidP="002C4E48">
                <w:pPr>
                  <w:pStyle w:val="paragraph"/>
                  <w:spacing w:before="120" w:after="120" w:line="360" w:lineRule="auto"/>
                  <w:rPr>
                    <w:rFonts w:ascii="Arial" w:eastAsiaTheme="majorEastAsia" w:hAnsi="Arial" w:cs="Arial"/>
                  </w:rPr>
                </w:pPr>
                <w:r w:rsidRPr="00131952">
                  <w:rPr>
                    <w:rFonts w:ascii="Arial" w:eastAsiaTheme="majorEastAsia" w:hAnsi="Arial" w:cs="Arial"/>
                  </w:rPr>
                  <w:t>Examples relevant to industrial activities: </w:t>
                </w:r>
              </w:p>
              <w:p w14:paraId="5D6D8D53" w14:textId="3A76E58F" w:rsidR="00B87EC8" w:rsidRPr="00131952" w:rsidRDefault="002C4E48" w:rsidP="00CD278D">
                <w:pPr>
                  <w:pStyle w:val="paragraph"/>
                  <w:numPr>
                    <w:ilvl w:val="0"/>
                    <w:numId w:val="24"/>
                  </w:numPr>
                  <w:spacing w:line="360" w:lineRule="auto"/>
                  <w:rPr>
                    <w:rFonts w:ascii="Arial" w:eastAsiaTheme="majorEastAsia" w:hAnsi="Arial" w:cs="Arial"/>
                  </w:rPr>
                </w:pPr>
                <w:r w:rsidRPr="00131952">
                  <w:rPr>
                    <w:rFonts w:ascii="Arial" w:eastAsiaTheme="majorEastAsia" w:hAnsi="Arial" w:cs="Arial"/>
                  </w:rPr>
                  <w:t xml:space="preserve">hydrocarbon pollution unrelated to authorised activity – diesel tank on site </w:t>
                </w:r>
                <w:r w:rsidR="00AF06F4">
                  <w:rPr>
                    <w:rFonts w:ascii="Arial" w:eastAsiaTheme="majorEastAsia" w:hAnsi="Arial" w:cs="Arial"/>
                  </w:rPr>
                  <w:t>that</w:t>
                </w:r>
                <w:r w:rsidRPr="00131952">
                  <w:rPr>
                    <w:rFonts w:ascii="Arial" w:eastAsiaTheme="majorEastAsia" w:hAnsi="Arial" w:cs="Arial"/>
                  </w:rPr>
                  <w:t xml:space="preserve"> is used to fuel vehicles ruptures</w:t>
                </w:r>
                <w:r w:rsidR="00E20EE6" w:rsidRPr="00131952">
                  <w:rPr>
                    <w:rFonts w:ascii="Arial" w:eastAsiaTheme="majorEastAsia" w:hAnsi="Arial" w:cs="Arial"/>
                  </w:rPr>
                  <w:t>.</w:t>
                </w:r>
              </w:p>
              <w:p w14:paraId="266BF534" w14:textId="5E37A611" w:rsidR="00E333B2" w:rsidRPr="00131952" w:rsidRDefault="6B058697" w:rsidP="00CD7DC5">
                <w:pPr>
                  <w:pStyle w:val="paragraph"/>
                  <w:numPr>
                    <w:ilvl w:val="0"/>
                    <w:numId w:val="24"/>
                  </w:numPr>
                  <w:spacing w:before="120" w:after="120" w:line="360" w:lineRule="auto"/>
                  <w:rPr>
                    <w:rFonts w:ascii="Arial" w:eastAsiaTheme="majorEastAsia" w:hAnsi="Arial" w:cs="Arial"/>
                  </w:rPr>
                </w:pPr>
                <w:r w:rsidRPr="40BF848D">
                  <w:rPr>
                    <w:rFonts w:ascii="Arial" w:eastAsiaTheme="majorEastAsia" w:hAnsi="Arial" w:cs="Arial"/>
                  </w:rPr>
                  <w:t xml:space="preserve">slow contamination of borehole required by </w:t>
                </w:r>
                <w:r w:rsidR="663857C7" w:rsidRPr="40BF848D">
                  <w:rPr>
                    <w:rFonts w:ascii="Arial" w:eastAsiaTheme="majorEastAsia" w:hAnsi="Arial" w:cs="Arial"/>
                  </w:rPr>
                  <w:t>authorisation</w:t>
                </w:r>
                <w:r w:rsidRPr="40BF848D">
                  <w:rPr>
                    <w:rFonts w:ascii="Arial" w:eastAsiaTheme="majorEastAsia" w:hAnsi="Arial" w:cs="Arial"/>
                  </w:rPr>
                  <w:t xml:space="preserve"> from unrelated vehicles. </w:t>
                </w: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82D3750" w14:textId="30716E53" w:rsidR="00E333B2" w:rsidRPr="00131952" w:rsidRDefault="00E333B2" w:rsidP="00687F40">
                <w:pPr>
                  <w:pStyle w:val="ListParagraph"/>
                  <w:numPr>
                    <w:ilvl w:val="0"/>
                    <w:numId w:val="4"/>
                  </w:numPr>
                  <w:spacing w:before="120" w:after="120" w:line="360" w:lineRule="auto"/>
                  <w:ind w:left="360"/>
                  <w:contextualSpacing w:val="0"/>
                  <w:rPr>
                    <w:rFonts w:eastAsiaTheme="minorEastAsia" w:cstheme="minorHAnsi"/>
                    <w:sz w:val="24"/>
                    <w:szCs w:val="24"/>
                  </w:rPr>
                </w:pPr>
                <w:r w:rsidRPr="00131952">
                  <w:rPr>
                    <w:rFonts w:eastAsiaTheme="minorEastAsia" w:cstheme="minorHAnsi"/>
                    <w:sz w:val="24"/>
                    <w:szCs w:val="24"/>
                  </w:rPr>
                  <w:lastRenderedPageBreak/>
                  <w:t>Environmental events guidance</w:t>
                </w:r>
                <w:r w:rsidR="00E20EE6" w:rsidRPr="00131952">
                  <w:rPr>
                    <w:rFonts w:eastAsiaTheme="minorEastAsia" w:cstheme="minorHAnsi"/>
                    <w:sz w:val="24"/>
                    <w:szCs w:val="24"/>
                  </w:rPr>
                  <w:t>.</w:t>
                </w:r>
              </w:p>
              <w:p w14:paraId="29AFE59C" w14:textId="28DA5D01" w:rsidR="00E333B2" w:rsidRPr="00131952" w:rsidRDefault="127B0E07" w:rsidP="00687F40">
                <w:pPr>
                  <w:pStyle w:val="ListParagraph"/>
                  <w:numPr>
                    <w:ilvl w:val="0"/>
                    <w:numId w:val="5"/>
                  </w:numPr>
                  <w:spacing w:before="120" w:after="120" w:line="360" w:lineRule="auto"/>
                  <w:ind w:left="360"/>
                  <w:contextualSpacing w:val="0"/>
                  <w:rPr>
                    <w:rFonts w:cstheme="minorHAnsi"/>
                    <w:sz w:val="24"/>
                    <w:szCs w:val="24"/>
                  </w:rPr>
                </w:pPr>
                <w:r w:rsidRPr="16FF1441">
                  <w:rPr>
                    <w:rFonts w:eastAsiaTheme="minorEastAsia"/>
                    <w:sz w:val="24"/>
                    <w:szCs w:val="24"/>
                  </w:rPr>
                  <w:lastRenderedPageBreak/>
                  <w:t>Determine if any environmental standards have been breached:</w:t>
                </w:r>
              </w:p>
              <w:p w14:paraId="4787AF7D" w14:textId="0E5B1AFE" w:rsidR="00E333B2" w:rsidRPr="00131952" w:rsidRDefault="00E333B2" w:rsidP="00CD7DC5">
                <w:pPr>
                  <w:pStyle w:val="ListParagraph"/>
                  <w:numPr>
                    <w:ilvl w:val="0"/>
                    <w:numId w:val="23"/>
                  </w:numPr>
                  <w:spacing w:before="120" w:after="12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131952">
                  <w:rPr>
                    <w:rFonts w:cstheme="minorHAnsi"/>
                    <w:sz w:val="24"/>
                    <w:szCs w:val="24"/>
                  </w:rPr>
                  <w:t>Local environmental standard e.g. spatial standard breach</w:t>
                </w:r>
                <w:r w:rsidR="00E20EE6" w:rsidRPr="00131952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0DEFDF56" w14:textId="4983C7E5" w:rsidR="00E333B2" w:rsidRPr="00131952" w:rsidRDefault="00E333B2" w:rsidP="00631A57">
                <w:pPr>
                  <w:pStyle w:val="ListParagraph"/>
                  <w:numPr>
                    <w:ilvl w:val="0"/>
                    <w:numId w:val="5"/>
                  </w:numPr>
                  <w:spacing w:before="120" w:after="120" w:line="360" w:lineRule="auto"/>
                  <w:ind w:left="360"/>
                  <w:contextualSpacing w:val="0"/>
                  <w:rPr>
                    <w:rStyle w:val="eop"/>
                    <w:rFonts w:cstheme="minorHAnsi"/>
                    <w:sz w:val="24"/>
                    <w:szCs w:val="24"/>
                  </w:rPr>
                </w:pPr>
                <w:r w:rsidRPr="00131952">
                  <w:rPr>
                    <w:rFonts w:eastAsiaTheme="minorEastAsia" w:cstheme="minorHAnsi"/>
                    <w:sz w:val="24"/>
                    <w:szCs w:val="24"/>
                  </w:rPr>
                  <w:t>Groundwater monitoring / investigation shows</w:t>
                </w:r>
                <w:r w:rsidR="007A7E61" w:rsidRPr="00131952">
                  <w:rPr>
                    <w:rFonts w:eastAsiaTheme="minorEastAsia" w:cstheme="minorHAnsi"/>
                    <w:sz w:val="24"/>
                    <w:szCs w:val="24"/>
                  </w:rPr>
                  <w:t>,</w:t>
                </w:r>
                <w:r w:rsidRPr="00131952">
                  <w:rPr>
                    <w:rFonts w:eastAsiaTheme="minorEastAsia" w:cstheme="minorHAnsi"/>
                    <w:sz w:val="24"/>
                    <w:szCs w:val="24"/>
                  </w:rPr>
                  <w:t xml:space="preserve"> or modelling demonstrates</w:t>
                </w:r>
                <w:r w:rsidR="007A7E61" w:rsidRPr="00131952">
                  <w:rPr>
                    <w:rFonts w:eastAsiaTheme="minorEastAsia" w:cstheme="minorHAnsi"/>
                    <w:sz w:val="24"/>
                    <w:szCs w:val="24"/>
                  </w:rPr>
                  <w:t>,</w:t>
                </w:r>
                <w:r w:rsidRPr="00131952">
                  <w:rPr>
                    <w:rFonts w:eastAsiaTheme="minorEastAsia" w:cstheme="minorHAnsi"/>
                    <w:sz w:val="24"/>
                    <w:szCs w:val="24"/>
                  </w:rPr>
                  <w:t xml:space="preserve"> significant and sustained adverse trend.</w:t>
                </w:r>
              </w:p>
              <w:p w14:paraId="16AA86DD" w14:textId="16036B50" w:rsidR="00E333B2" w:rsidRPr="00131952" w:rsidRDefault="00BF6B6E" w:rsidP="00687F40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Style w:val="eop"/>
                    <w:rFonts w:cstheme="minorHAnsi"/>
                  </w:rPr>
                  <w:t>Note:</w:t>
                </w:r>
                <w:r w:rsidR="00E333B2" w:rsidRPr="00131952">
                  <w:rPr>
                    <w:rStyle w:val="eop"/>
                    <w:rFonts w:cstheme="minorHAnsi"/>
                  </w:rPr>
                  <w:t xml:space="preserve"> Modelling can be used </w:t>
                </w:r>
                <w:r w:rsidR="00E333B2" w:rsidRPr="00131952">
                  <w:rPr>
                    <w:rFonts w:cstheme="minorHAnsi"/>
                  </w:rPr>
                  <w:t>to predict area of impact, and/or test if it breaches spatial standards.</w:t>
                </w:r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A376C83" w14:textId="73DEF522" w:rsidR="7688BF72" w:rsidRDefault="5CB65545" w:rsidP="00EB5FEC">
                <w:pPr>
                  <w:spacing w:before="120" w:after="0"/>
                  <w:ind w:left="113" w:right="113"/>
                  <w:rPr>
                    <w:rFonts w:ascii="Aptos" w:eastAsia="Aptos" w:hAnsi="Aptos" w:cs="Aptos"/>
                  </w:rPr>
                </w:pPr>
                <w:r w:rsidRPr="26A3526B">
                  <w:rPr>
                    <w:rFonts w:ascii="Arial" w:hAnsi="Arial" w:cs="Arial"/>
                  </w:rPr>
                  <w:lastRenderedPageBreak/>
                  <w:t>Demonstration that</w:t>
                </w:r>
                <w:r w:rsidR="629AD7E2" w:rsidRPr="26A3526B">
                  <w:rPr>
                    <w:rFonts w:ascii="Arial" w:eastAsia="Arial" w:hAnsi="Arial" w:cs="Arial"/>
                    <w:color w:val="000000"/>
                  </w:rPr>
                  <w:t xml:space="preserve"> the cause or </w:t>
                </w:r>
                <w:bookmarkStart w:id="21" w:name="_Int_Eu5C0L3g"/>
                <w:r w:rsidR="629AD7E2" w:rsidRPr="26A3526B">
                  <w:rPr>
                    <w:rFonts w:ascii="Arial" w:eastAsia="Arial" w:hAnsi="Arial" w:cs="Arial"/>
                    <w:color w:val="000000"/>
                  </w:rPr>
                  <w:t>likely cause</w:t>
                </w:r>
                <w:bookmarkEnd w:id="21"/>
                <w:r w:rsidR="629AD7E2" w:rsidRPr="26A3526B">
                  <w:rPr>
                    <w:rFonts w:ascii="Arial" w:eastAsia="Arial" w:hAnsi="Arial" w:cs="Arial"/>
                    <w:color w:val="000000"/>
                  </w:rPr>
                  <w:t xml:space="preserve"> of the harm has ceased </w:t>
                </w:r>
                <w:r w:rsidR="0759432F" w:rsidRPr="26A3526B">
                  <w:rPr>
                    <w:rFonts w:ascii="Arial" w:eastAsia="Arial" w:hAnsi="Arial" w:cs="Arial"/>
                    <w:color w:val="000000"/>
                  </w:rPr>
                  <w:t>or</w:t>
                </w:r>
                <w:r w:rsidR="629AD7E2" w:rsidRPr="26A3526B">
                  <w:rPr>
                    <w:rFonts w:ascii="Arial" w:eastAsia="Arial" w:hAnsi="Arial" w:cs="Arial"/>
                    <w:color w:val="000000"/>
                  </w:rPr>
                  <w:t xml:space="preserve"> </w:t>
                </w:r>
                <w:r w:rsidR="629AD7E2" w:rsidRPr="26A3526B">
                  <w:rPr>
                    <w:rFonts w:ascii="Arial" w:eastAsia="Arial" w:hAnsi="Arial" w:cs="Arial"/>
                    <w:color w:val="000000"/>
                  </w:rPr>
                  <w:lastRenderedPageBreak/>
                  <w:t xml:space="preserve">been resolved. This can include monitoring </w:t>
                </w:r>
                <w:r w:rsidR="0759432F" w:rsidRPr="26A3526B">
                  <w:rPr>
                    <w:rFonts w:ascii="Arial" w:eastAsia="Arial" w:hAnsi="Arial" w:cs="Arial"/>
                    <w:color w:val="000000"/>
                  </w:rPr>
                  <w:t>and</w:t>
                </w:r>
                <w:r w:rsidR="629AD7E2" w:rsidRPr="26A3526B">
                  <w:rPr>
                    <w:rFonts w:ascii="Arial" w:eastAsia="Arial" w:hAnsi="Arial" w:cs="Arial"/>
                    <w:color w:val="000000"/>
                  </w:rPr>
                  <w:t xml:space="preserve"> modelling.</w:t>
                </w:r>
              </w:p>
              <w:p w14:paraId="2DC8F2DA" w14:textId="5B04C6F5" w:rsidR="16FF1441" w:rsidRDefault="16FF1441" w:rsidP="00EB5FEC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</w:p>
              <w:p w14:paraId="27047DE4" w14:textId="77777777" w:rsidR="00E333B2" w:rsidRPr="00131952" w:rsidRDefault="00E333B2" w:rsidP="00EB5FEC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</w:p>
            </w:tc>
          </w:tr>
          <w:tr w:rsidR="00021600" w:rsidRPr="00131952" w14:paraId="46097244" w14:textId="77777777" w:rsidTr="26A3526B">
            <w:trPr>
              <w:trHeight w:val="315"/>
            </w:trPr>
            <w:tc>
              <w:tcPr>
                <w:tcW w:w="97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3D5DBAF" w14:textId="1FF5DAF4" w:rsidR="002E701B" w:rsidRPr="00131952" w:rsidRDefault="7B0079F4" w:rsidP="00181CBE">
                <w:pPr>
                  <w:spacing w:before="120" w:after="120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lastRenderedPageBreak/>
                  <w:t xml:space="preserve">Failure to comply with </w:t>
                </w:r>
                <w:r w:rsidR="284DCF06" w:rsidRPr="00131952">
                  <w:rPr>
                    <w:rFonts w:ascii="Arial" w:hAnsi="Arial" w:cs="Arial"/>
                  </w:rPr>
                  <w:t xml:space="preserve">requirements of </w:t>
                </w:r>
                <w:r w:rsidR="2BB1EBAA" w:rsidRPr="00131952">
                  <w:rPr>
                    <w:rFonts w:ascii="Arial" w:hAnsi="Arial" w:cs="Arial"/>
                    <w:color w:val="3C4741" w:themeColor="text1"/>
                  </w:rPr>
                  <w:t xml:space="preserve">the </w:t>
                </w:r>
                <w:hyperlink r:id="rId31">
                  <w:r w:rsidR="2BB1EBAA" w:rsidRPr="00131952">
                    <w:rPr>
                      <w:rStyle w:val="Hyperlink"/>
                      <w:rFonts w:ascii="Arial" w:hAnsi="Arial" w:cs="Arial"/>
                    </w:rPr>
                    <w:t>UK POPs Regulations</w:t>
                  </w:r>
                </w:hyperlink>
                <w:r w:rsidR="00E20EE6" w:rsidRPr="00131952">
                  <w:t>.</w:t>
                </w:r>
              </w:p>
              <w:p w14:paraId="0E3BAE99" w14:textId="0E59923B" w:rsidR="00021600" w:rsidRPr="00131952" w:rsidRDefault="00021600" w:rsidP="00181CBE">
                <w:pPr>
                  <w:spacing w:before="120" w:after="120"/>
                  <w:rPr>
                    <w:rFonts w:ascii="Arial" w:hAnsi="Arial" w:cs="Arial"/>
                  </w:rPr>
                </w:pP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6CF97E5" w14:textId="35DD73F2" w:rsidR="004333ED" w:rsidRPr="00131952" w:rsidRDefault="004333ED" w:rsidP="00CD7DC5">
                <w:pPr>
                  <w:pStyle w:val="ListParagraph"/>
                  <w:numPr>
                    <w:ilvl w:val="0"/>
                    <w:numId w:val="9"/>
                  </w:numPr>
                  <w:spacing w:before="120" w:after="120" w:line="360" w:lineRule="auto"/>
                  <w:contextualSpacing w:val="0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131952">
                  <w:rPr>
                    <w:rFonts w:ascii="Arial" w:hAnsi="Arial" w:cs="Arial"/>
                    <w:bCs/>
                    <w:sz w:val="24"/>
                    <w:szCs w:val="24"/>
                  </w:rPr>
                  <w:t>Failure to dispose of or recover POPs-contaminated waste in such a way as to ensure that the POPs content is destroyed or irreversibly transformed</w:t>
                </w:r>
                <w:r w:rsidR="00E20EE6" w:rsidRPr="00131952">
                  <w:rPr>
                    <w:rFonts w:ascii="Arial" w:hAnsi="Arial" w:cs="Arial"/>
                    <w:bCs/>
                    <w:sz w:val="24"/>
                    <w:szCs w:val="24"/>
                  </w:rPr>
                  <w:t>.</w:t>
                </w:r>
              </w:p>
              <w:p w14:paraId="22A5E12D" w14:textId="0BB5D253" w:rsidR="00021600" w:rsidRPr="00131952" w:rsidRDefault="004333ED" w:rsidP="26A3526B">
                <w:pPr>
                  <w:pStyle w:val="ListParagraph"/>
                  <w:numPr>
                    <w:ilvl w:val="0"/>
                    <w:numId w:val="9"/>
                  </w:numPr>
                  <w:spacing w:before="120" w:after="120" w:line="360" w:lineRule="auto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26A3526B">
                  <w:rPr>
                    <w:rFonts w:ascii="Arial" w:hAnsi="Arial" w:cs="Arial"/>
                    <w:sz w:val="24"/>
                    <w:szCs w:val="24"/>
                  </w:rPr>
                  <w:t xml:space="preserve">Undertaking any disposal or recovery operations that may lead to recovery, recycling, </w:t>
                </w:r>
                <w:bookmarkStart w:id="22" w:name="_Int_xsblx8Ba"/>
                <w:r w:rsidRPr="26A3526B">
                  <w:rPr>
                    <w:rFonts w:ascii="Arial" w:hAnsi="Arial" w:cs="Arial"/>
                    <w:sz w:val="24"/>
                    <w:szCs w:val="24"/>
                  </w:rPr>
                  <w:t>reclamation</w:t>
                </w:r>
                <w:bookmarkEnd w:id="22"/>
                <w:r w:rsidRPr="26A3526B">
                  <w:rPr>
                    <w:rFonts w:ascii="Arial" w:hAnsi="Arial" w:cs="Arial"/>
                    <w:sz w:val="24"/>
                    <w:szCs w:val="24"/>
                  </w:rPr>
                  <w:t xml:space="preserve"> or reuse on their own of the POPs-contaminated wastes</w:t>
                </w:r>
                <w:r w:rsidR="00E20EE6" w:rsidRPr="26A3526B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0BC3AA9" w14:textId="72BB21E7" w:rsidR="00021600" w:rsidRPr="00131952" w:rsidRDefault="00E664ED" w:rsidP="00687F40">
                <w:pPr>
                  <w:spacing w:before="120" w:after="120"/>
                  <w:rPr>
                    <w:rFonts w:cstheme="minorHAnsi"/>
                  </w:rPr>
                </w:pPr>
                <w:r w:rsidRPr="00131952">
                  <w:rPr>
                    <w:rFonts w:cstheme="minorHAnsi"/>
                  </w:rPr>
                  <w:t xml:space="preserve">Assessment against </w:t>
                </w:r>
                <w:hyperlink r:id="rId32">
                  <w:r w:rsidRPr="00131952">
                    <w:rPr>
                      <w:rStyle w:val="Hyperlink"/>
                      <w:rFonts w:eastAsia="Arial" w:cstheme="minorHAnsi"/>
                    </w:rPr>
                    <w:t>Guidance on the management of Waste Upholstered Domestic Seating (WUDS) containing Persistent Organic Pollutants (POPs)</w:t>
                  </w:r>
                </w:hyperlink>
                <w:r w:rsidRPr="00131952">
                  <w:rPr>
                    <w:rFonts w:cstheme="minorHAnsi"/>
                  </w:rPr>
                  <w:t xml:space="preserve"> and </w:t>
                </w:r>
                <w:r w:rsidRPr="00131952">
                  <w:rPr>
                    <w:rFonts w:cstheme="minorHAnsi"/>
                    <w:color w:val="3C4741" w:themeColor="text1"/>
                  </w:rPr>
                  <w:t xml:space="preserve">the overarching requirements of the </w:t>
                </w:r>
                <w:hyperlink r:id="rId33">
                  <w:r w:rsidRPr="00131952">
                    <w:rPr>
                      <w:rStyle w:val="Hyperlink"/>
                      <w:rFonts w:cstheme="minorHAnsi"/>
                    </w:rPr>
                    <w:t>UK POPs Regulations</w:t>
                  </w:r>
                </w:hyperlink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02351E4" w14:textId="77777777" w:rsidR="00021600" w:rsidRPr="00131952" w:rsidRDefault="00021600" w:rsidP="00181CBE">
                <w:pPr>
                  <w:spacing w:before="120" w:after="120"/>
                  <w:rPr>
                    <w:rFonts w:ascii="Arial" w:hAnsi="Arial" w:cs="Arial"/>
                  </w:rPr>
                </w:pPr>
              </w:p>
            </w:tc>
          </w:tr>
          <w:tr w:rsidR="00021600" w:rsidRPr="00131952" w14:paraId="58F3C127" w14:textId="77777777" w:rsidTr="26A3526B">
            <w:trPr>
              <w:trHeight w:val="2575"/>
            </w:trPr>
            <w:tc>
              <w:tcPr>
                <w:tcW w:w="978" w:type="pct"/>
                <w:tcBorders>
                  <w:top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DCC675" w14:textId="10EEC27F" w:rsidR="00021600" w:rsidRPr="00131952" w:rsidRDefault="00021600" w:rsidP="00181CBE">
                <w:pPr>
                  <w:spacing w:before="120" w:after="120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>Non-payment of annual charges</w:t>
                </w:r>
                <w:r w:rsidR="00E20EE6" w:rsidRPr="0013195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C3CC022" w14:textId="77777777" w:rsidR="00F2112D" w:rsidRPr="00C26A1D" w:rsidRDefault="00F2112D" w:rsidP="00F2112D">
                <w:pPr>
                  <w:spacing w:before="120" w:after="0"/>
                  <w:rPr>
                    <w:rStyle w:val="cf01"/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E</w:t>
                </w:r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scalation to debt collection or if debt goes into </w:t>
                </w: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the </w:t>
                </w:r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next </w:t>
                </w:r>
                <w:bookmarkStart w:id="23" w:name="_Int_ilNXBrqb"/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financial year</w:t>
                </w:r>
                <w:bookmarkEnd w:id="23"/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672ABA5A" w14:textId="03636E19" w:rsidR="00021600" w:rsidRPr="00131952" w:rsidRDefault="00021600" w:rsidP="00181CBE">
                <w:pPr>
                  <w:spacing w:before="120" w:after="120"/>
                  <w:rPr>
                    <w:rFonts w:ascii="Arial" w:hAnsi="Arial" w:cs="Arial"/>
                  </w:rPr>
                </w:pPr>
                <w:r w:rsidRPr="26A3526B">
                  <w:rPr>
                    <w:rStyle w:val="cf01"/>
                    <w:rFonts w:ascii="Arial" w:hAnsi="Arial" w:cs="Arial"/>
                    <w:sz w:val="24"/>
                    <w:szCs w:val="24"/>
                  </w:rPr>
                  <w:lastRenderedPageBreak/>
                  <w:t xml:space="preserve">Major non-compliance </w:t>
                </w:r>
                <w:r w:rsidR="00211DEB" w:rsidRPr="26A3526B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equals</w:t>
                </w:r>
                <w:r w:rsidRPr="26A3526B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 escalation to debt collection or if debt goes into next financial year</w:t>
                </w:r>
                <w:r w:rsidR="00E20EE6" w:rsidRPr="26A3526B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50B6342B" w14:textId="57665BE1" w:rsidR="00021600" w:rsidRPr="00131952" w:rsidRDefault="00790593" w:rsidP="00181CBE">
                <w:pPr>
                  <w:spacing w:before="120" w:after="120"/>
                  <w:ind w:right="180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(</w:t>
                </w:r>
                <w:r w:rsidRPr="00902174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Non-compliance </w:t>
                </w: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is when payment is</w:t>
                </w:r>
                <w:r w:rsidRPr="00902174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 more than 90 days late</w:t>
                </w:r>
                <w:r w:rsidR="00F2112D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)</w:t>
                </w:r>
                <w:r w:rsidR="00F2112D" w:rsidRPr="00C26A1D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8FC4244" w14:textId="4ADCE44E" w:rsidR="00021600" w:rsidRPr="00A77697" w:rsidRDefault="00021600" w:rsidP="00A77697">
                <w:pPr>
                  <w:spacing w:before="120" w:after="120"/>
                  <w:rPr>
                    <w:rFonts w:cstheme="minorHAnsi"/>
                  </w:rPr>
                </w:pPr>
                <w:r w:rsidRPr="00A77697">
                  <w:rPr>
                    <w:rStyle w:val="cf01"/>
                    <w:rFonts w:asciiTheme="minorHAnsi" w:hAnsiTheme="minorHAnsi" w:cstheme="minorHAnsi"/>
                    <w:sz w:val="24"/>
                    <w:szCs w:val="24"/>
                  </w:rPr>
                  <w:lastRenderedPageBreak/>
                  <w:t>Monthly debtors report</w:t>
                </w:r>
                <w:r w:rsidR="00E20EE6" w:rsidRPr="00A77697">
                  <w:rPr>
                    <w:rStyle w:val="cf01"/>
                    <w:rFonts w:asciiTheme="minorHAnsi" w:hAnsiTheme="minorHAnsi" w:cstheme="minorHAnsi"/>
                    <w:sz w:val="24"/>
                    <w:szCs w:val="24"/>
                  </w:rPr>
                  <w:t>.</w:t>
                </w:r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47593C0" w14:textId="77777777" w:rsidR="005911A9" w:rsidRPr="005521CB" w:rsidRDefault="00021600" w:rsidP="00EB5FEC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131952">
                  <w:rPr>
                    <w:rFonts w:ascii="Arial" w:hAnsi="Arial" w:cs="Arial"/>
                  </w:rPr>
                  <w:t xml:space="preserve">Payment of annual charges. </w:t>
                </w:r>
              </w:p>
              <w:p w14:paraId="00871315" w14:textId="0E0F8780" w:rsidR="00021600" w:rsidRPr="00131952" w:rsidRDefault="005521CB" w:rsidP="00EB5FEC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(</w:t>
                </w:r>
                <w:r w:rsidR="005719BD">
                  <w:rPr>
                    <w:rFonts w:ascii="Arial" w:hAnsi="Arial" w:cs="Arial"/>
                  </w:rPr>
                  <w:t>P</w:t>
                </w:r>
                <w:r w:rsidR="005911A9" w:rsidRPr="005521CB">
                  <w:rPr>
                    <w:rFonts w:ascii="Arial" w:hAnsi="Arial" w:cs="Arial"/>
                  </w:rPr>
                  <w:t xml:space="preserve">ayment plan agreed with SEPA is equivalent </w:t>
                </w:r>
                <w:r w:rsidR="005911A9" w:rsidRPr="005521CB">
                  <w:rPr>
                    <w:rFonts w:ascii="Arial" w:hAnsi="Arial" w:cs="Arial"/>
                  </w:rPr>
                  <w:lastRenderedPageBreak/>
                  <w:t>to a compliance recovery plan.</w:t>
                </w:r>
                <w:r>
                  <w:rPr>
                    <w:rFonts w:ascii="Arial" w:hAnsi="Arial" w:cs="Arial"/>
                  </w:rPr>
                  <w:t>)</w:t>
                </w:r>
              </w:p>
            </w:tc>
          </w:tr>
        </w:tbl>
        <w:p w14:paraId="78A338F9" w14:textId="4AD6826F" w:rsidR="00016644" w:rsidRPr="00131952" w:rsidRDefault="00016644" w:rsidP="00674B66">
          <w:pPr>
            <w:spacing w:before="120" w:after="120"/>
          </w:pPr>
        </w:p>
        <w:p w14:paraId="473AD701" w14:textId="3308AC1C" w:rsidR="00016644" w:rsidRPr="00131952" w:rsidRDefault="00016644" w:rsidP="00674B66">
          <w:pPr>
            <w:spacing w:before="120" w:after="120"/>
          </w:pPr>
        </w:p>
        <w:p w14:paraId="12AF56BB" w14:textId="77777777" w:rsidR="00C7778E" w:rsidRDefault="00C7778E" w:rsidP="53A6354E">
          <w:pPr>
            <w:spacing w:before="120" w:after="120"/>
            <w:rPr>
              <w:rFonts w:ascii="Arial" w:eastAsia="Arial" w:hAnsi="Arial" w:cs="Arial"/>
              <w:b/>
              <w:bCs/>
              <w:color w:val="000000"/>
            </w:rPr>
            <w:sectPr w:rsidR="00C7778E" w:rsidSect="004362FB">
              <w:headerReference w:type="default" r:id="rId34"/>
              <w:footerReference w:type="default" r:id="rId35"/>
              <w:headerReference w:type="first" r:id="rId36"/>
              <w:footerReference w:type="first" r:id="rId37"/>
              <w:pgSz w:w="16840" w:h="11900" w:orient="landscape"/>
              <w:pgMar w:top="57" w:right="839" w:bottom="839" w:left="839" w:header="794" w:footer="0" w:gutter="0"/>
              <w:cols w:space="708"/>
              <w:titlePg/>
              <w:docGrid w:linePitch="360"/>
            </w:sectPr>
          </w:pPr>
        </w:p>
        <w:p w14:paraId="56937BB2" w14:textId="3B79BC87" w:rsidR="00016644" w:rsidRDefault="157A87E9" w:rsidP="00C132C0">
          <w:pPr>
            <w:pStyle w:val="Heading1"/>
            <w:rPr>
              <w:rFonts w:eastAsia="Arial"/>
            </w:rPr>
          </w:pPr>
          <w:r w:rsidRPr="00131952">
            <w:rPr>
              <w:rFonts w:eastAsia="Arial"/>
            </w:rPr>
            <w:lastRenderedPageBreak/>
            <w:t>Annex</w:t>
          </w:r>
          <w:r w:rsidR="00C132C0">
            <w:rPr>
              <w:rFonts w:eastAsia="Arial"/>
            </w:rPr>
            <w:t xml:space="preserve"> 1</w:t>
          </w:r>
          <w:r w:rsidRPr="00131952">
            <w:rPr>
              <w:rFonts w:eastAsia="Arial"/>
            </w:rPr>
            <w:t xml:space="preserve">: Major non-compliance specific to landfill activities (in </w:t>
          </w:r>
          <w:r w:rsidR="00525537">
            <w:rPr>
              <w:rFonts w:eastAsia="Arial"/>
            </w:rPr>
            <w:t xml:space="preserve">addition to </w:t>
          </w:r>
          <w:r w:rsidRPr="00131952">
            <w:rPr>
              <w:rFonts w:eastAsia="Arial"/>
            </w:rPr>
            <w:t xml:space="preserve">the </w:t>
          </w:r>
          <w:r w:rsidR="00BF16ED" w:rsidRPr="00131952">
            <w:rPr>
              <w:rFonts w:eastAsia="Arial"/>
            </w:rPr>
            <w:t>Industrial Activities</w:t>
          </w:r>
          <w:r w:rsidRPr="00131952">
            <w:rPr>
              <w:rFonts w:eastAsia="Arial"/>
            </w:rPr>
            <w:t xml:space="preserve"> general document above)</w:t>
          </w:r>
        </w:p>
        <w:p w14:paraId="74BFBC2B" w14:textId="2C800A3F" w:rsidR="00BC4C15" w:rsidRDefault="00BC4C15" w:rsidP="00BC4C15">
          <w:pPr>
            <w:spacing w:before="120" w:after="120"/>
            <w:rPr>
              <w:rFonts w:asciiTheme="majorHAnsi" w:hAnsiTheme="majorHAnsi" w:cstheme="majorBidi"/>
              <w:b/>
            </w:rPr>
          </w:pPr>
          <w:r w:rsidRPr="00131952">
            <w:rPr>
              <w:rFonts w:asciiTheme="majorHAnsi" w:hAnsiTheme="majorHAnsi" w:cstheme="majorBidi"/>
              <w:b/>
            </w:rPr>
            <w:t xml:space="preserve">Table </w:t>
          </w:r>
          <w:r w:rsidRPr="00131952">
            <w:rPr>
              <w:rFonts w:asciiTheme="majorHAnsi" w:hAnsiTheme="majorHAnsi" w:cstheme="majorBidi"/>
              <w:b/>
              <w:i/>
            </w:rPr>
            <w:fldChar w:fldCharType="begin"/>
          </w:r>
          <w:r w:rsidRPr="00131952">
            <w:rPr>
              <w:rFonts w:asciiTheme="majorHAnsi" w:hAnsiTheme="majorHAnsi" w:cstheme="majorBidi"/>
              <w:b/>
            </w:rPr>
            <w:instrText xml:space="preserve"> SEQ Table \* ARABIC </w:instrText>
          </w:r>
          <w:r w:rsidRPr="00131952">
            <w:rPr>
              <w:rFonts w:asciiTheme="majorHAnsi" w:hAnsiTheme="majorHAnsi" w:cstheme="majorBidi"/>
              <w:b/>
              <w:i/>
            </w:rPr>
            <w:fldChar w:fldCharType="separate"/>
          </w:r>
          <w:r w:rsidRPr="00131952">
            <w:rPr>
              <w:rFonts w:asciiTheme="majorHAnsi" w:hAnsiTheme="majorHAnsi" w:cstheme="majorBidi"/>
              <w:b/>
            </w:rPr>
            <w:t>3</w:t>
          </w:r>
          <w:r w:rsidRPr="00131952">
            <w:rPr>
              <w:rFonts w:asciiTheme="majorHAnsi" w:hAnsiTheme="majorHAnsi" w:cstheme="majorBidi"/>
              <w:b/>
              <w:i/>
            </w:rPr>
            <w:fldChar w:fldCharType="end"/>
          </w:r>
          <w:r w:rsidRPr="00131952">
            <w:rPr>
              <w:rFonts w:asciiTheme="majorHAnsi" w:hAnsiTheme="majorHAnsi" w:cstheme="majorBidi"/>
              <w:b/>
            </w:rPr>
            <w:t>:</w:t>
          </w:r>
          <w:r w:rsidRPr="00131952">
            <w:t xml:space="preserve"> </w:t>
          </w:r>
          <w:r w:rsidRPr="00131952">
            <w:rPr>
              <w:rFonts w:asciiTheme="majorHAnsi" w:hAnsiTheme="majorHAnsi" w:cstheme="majorBidi"/>
              <w:b/>
            </w:rPr>
            <w:t>Understanding of authorised activities</w:t>
          </w:r>
          <w:r w:rsidR="00D628D4">
            <w:rPr>
              <w:rFonts w:asciiTheme="majorHAnsi" w:hAnsiTheme="majorHAnsi" w:cstheme="majorBidi"/>
              <w:b/>
            </w:rPr>
            <w:t xml:space="preserve">, additional landfill </w:t>
          </w:r>
          <w:r w:rsidR="00C323FF">
            <w:rPr>
              <w:rFonts w:asciiTheme="majorHAnsi" w:hAnsiTheme="majorHAnsi" w:cstheme="majorBidi"/>
              <w:b/>
            </w:rPr>
            <w:t xml:space="preserve">specific </w:t>
          </w:r>
          <w:r w:rsidR="00D628D4">
            <w:rPr>
              <w:rFonts w:asciiTheme="majorHAnsi" w:hAnsiTheme="majorHAnsi" w:cstheme="majorBidi"/>
              <w:b/>
            </w:rPr>
            <w:t>authorisation conditions.</w:t>
          </w:r>
        </w:p>
        <w:tbl>
          <w:tblPr>
            <w:tblW w:w="496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64"/>
            <w:gridCol w:w="4680"/>
            <w:gridCol w:w="3966"/>
            <w:gridCol w:w="3401"/>
          </w:tblGrid>
          <w:tr w:rsidR="00BA4C7C" w:rsidRPr="00131952" w14:paraId="670DDFD9" w14:textId="77777777" w:rsidTr="26A3526B">
            <w:trPr>
              <w:trHeight w:val="610"/>
              <w:tblHeader/>
            </w:trPr>
            <w:tc>
              <w:tcPr>
                <w:tcW w:w="987" w:type="pct"/>
                <w:tcBorders>
                  <w:bottom w:val="single" w:sz="12" w:space="0" w:color="auto"/>
                </w:tcBorders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2D1B630" w14:textId="77777777" w:rsidR="00BA4C7C" w:rsidRPr="00131952" w:rsidRDefault="00BA4C7C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13195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559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2470504" w14:textId="77777777" w:rsidR="00BA4C7C" w:rsidRPr="00131952" w:rsidRDefault="00BA4C7C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13195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321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4998190F" w14:textId="77777777" w:rsidR="00BA4C7C" w:rsidRPr="00131952" w:rsidRDefault="00BA4C7C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133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B062D89" w14:textId="77777777" w:rsidR="00BA4C7C" w:rsidRPr="00131952" w:rsidRDefault="00BA4C7C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Return to compliance examples</w:t>
                </w:r>
              </w:p>
            </w:tc>
          </w:tr>
          <w:tr w:rsidR="00BA4C7C" w:rsidRPr="00131952" w14:paraId="14B6B4E0" w14:textId="77777777" w:rsidTr="26A3526B">
            <w:trPr>
              <w:trHeight w:val="315"/>
            </w:trPr>
            <w:tc>
              <w:tcPr>
                <w:tcW w:w="987" w:type="pct"/>
                <w:tcBorders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A516412" w14:textId="2CF9EC25" w:rsidR="00BA4C7C" w:rsidRPr="00131952" w:rsidRDefault="00BC2CC5" w:rsidP="003B747C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31952">
                  <w:rPr>
                    <w:rFonts w:ascii="Arial" w:eastAsia="Arial" w:hAnsi="Arial" w:cs="Arial"/>
                  </w:rPr>
                  <w:t>Financial provision.</w:t>
                </w:r>
              </w:p>
            </w:tc>
            <w:tc>
              <w:tcPr>
                <w:tcW w:w="1559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0DB898B" w14:textId="77777777" w:rsidR="00BC2CC5" w:rsidRPr="00131952" w:rsidRDefault="00BC2CC5" w:rsidP="00BC2CC5">
                <w:pPr>
                  <w:pStyle w:val="ListParagraph"/>
                  <w:numPr>
                    <w:ilvl w:val="0"/>
                    <w:numId w:val="32"/>
                  </w:numPr>
                  <w:spacing w:after="0" w:line="360" w:lineRule="auto"/>
                  <w:ind w:left="380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40BF848D">
                  <w:rPr>
                    <w:rFonts w:ascii="Arial" w:eastAsia="Arial" w:hAnsi="Arial" w:cs="Arial"/>
                    <w:sz w:val="24"/>
                    <w:szCs w:val="24"/>
                  </w:rPr>
                  <w:t>Submissions to demonstrate the maintenance of adequate financial provisions are not provided to SEPA within 30 days of the date specified in the authorisation.</w:t>
                </w:r>
              </w:p>
              <w:p w14:paraId="6138908E" w14:textId="77777777" w:rsidR="00BC2CC5" w:rsidRPr="00131952" w:rsidRDefault="00BC2CC5" w:rsidP="00BC2CC5">
                <w:pPr>
                  <w:spacing w:after="0"/>
                  <w:ind w:left="96"/>
                  <w:rPr>
                    <w:rFonts w:ascii="Arial" w:eastAsia="Arial" w:hAnsi="Arial" w:cs="Arial"/>
                  </w:rPr>
                </w:pPr>
              </w:p>
              <w:p w14:paraId="1D02D3C8" w14:textId="77777777" w:rsidR="00BC2CC5" w:rsidRDefault="00BC2CC5" w:rsidP="00BC2CC5">
                <w:pPr>
                  <w:pStyle w:val="ListParagraph"/>
                  <w:numPr>
                    <w:ilvl w:val="0"/>
                    <w:numId w:val="32"/>
                  </w:numPr>
                  <w:spacing w:after="0" w:line="360" w:lineRule="auto"/>
                  <w:ind w:left="380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>Failure to maintain adequate financial provisions until the authorisation is surrendered.</w:t>
                </w:r>
              </w:p>
              <w:p w14:paraId="10836E69" w14:textId="77777777" w:rsidR="00BC2CC5" w:rsidRPr="00BC2CC5" w:rsidRDefault="00BC2CC5" w:rsidP="00BC2CC5">
                <w:pPr>
                  <w:pStyle w:val="ListParagraph"/>
                  <w:rPr>
                    <w:rFonts w:ascii="Arial" w:eastAsia="Arial" w:hAnsi="Arial" w:cs="Arial"/>
                  </w:rPr>
                </w:pPr>
              </w:p>
              <w:p w14:paraId="68608A72" w14:textId="2D9A8C3D" w:rsidR="00BA4C7C" w:rsidRPr="00BC2CC5" w:rsidRDefault="00BC2CC5" w:rsidP="00BC2CC5">
                <w:pPr>
                  <w:pStyle w:val="ListParagraph"/>
                  <w:numPr>
                    <w:ilvl w:val="0"/>
                    <w:numId w:val="32"/>
                  </w:numPr>
                  <w:spacing w:after="0" w:line="360" w:lineRule="auto"/>
                  <w:ind w:left="380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BC2CC5">
                  <w:rPr>
                    <w:rFonts w:ascii="Arial" w:eastAsia="Arial" w:hAnsi="Arial" w:cs="Arial"/>
                  </w:rPr>
                  <w:t>Non-renewal of bond as per frequency specified in performance agreement.</w:t>
                </w:r>
              </w:p>
            </w:tc>
            <w:tc>
              <w:tcPr>
                <w:tcW w:w="132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D663931" w14:textId="77777777" w:rsidR="00645476" w:rsidRPr="00131952" w:rsidRDefault="00645476" w:rsidP="00645476">
                <w:pPr>
                  <w:pStyle w:val="ListParagraph"/>
                  <w:numPr>
                    <w:ilvl w:val="0"/>
                    <w:numId w:val="32"/>
                  </w:numPr>
                  <w:spacing w:after="0" w:line="360" w:lineRule="auto"/>
                  <w:ind w:left="307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26A3526B">
                  <w:rPr>
                    <w:rFonts w:ascii="Arial" w:eastAsia="Arial" w:hAnsi="Arial" w:cs="Arial"/>
                    <w:sz w:val="24"/>
                    <w:szCs w:val="24"/>
                  </w:rPr>
                  <w:t xml:space="preserve">Assess submission of annual financial certificate and three yearly </w:t>
                </w:r>
                <w:bookmarkStart w:id="24" w:name="_Int_OEnKZBhW"/>
                <w:proofErr w:type="gramStart"/>
                <w:r w:rsidRPr="26A3526B">
                  <w:rPr>
                    <w:rFonts w:ascii="Arial" w:eastAsia="Arial" w:hAnsi="Arial" w:cs="Arial"/>
                    <w:sz w:val="24"/>
                    <w:szCs w:val="24"/>
                  </w:rPr>
                  <w:t>confirmation</w:t>
                </w:r>
                <w:bookmarkEnd w:id="24"/>
                <w:proofErr w:type="gramEnd"/>
                <w:r w:rsidRPr="26A3526B">
                  <w:rPr>
                    <w:rFonts w:ascii="Arial" w:eastAsia="Arial" w:hAnsi="Arial" w:cs="Arial"/>
                    <w:sz w:val="24"/>
                    <w:szCs w:val="24"/>
                  </w:rPr>
                  <w:t xml:space="preserve"> of the financial certificate.</w:t>
                </w:r>
              </w:p>
              <w:p w14:paraId="65ACF446" w14:textId="77777777" w:rsidR="00645476" w:rsidRPr="00131952" w:rsidRDefault="00645476" w:rsidP="00645476">
                <w:pPr>
                  <w:spacing w:after="0"/>
                  <w:ind w:left="307" w:hanging="284"/>
                  <w:rPr>
                    <w:rFonts w:ascii="Arial" w:eastAsia="Arial" w:hAnsi="Arial" w:cs="Arial"/>
                  </w:rPr>
                </w:pPr>
              </w:p>
              <w:p w14:paraId="37241BB7" w14:textId="77777777" w:rsidR="00645476" w:rsidRPr="00131952" w:rsidRDefault="00645476" w:rsidP="00645476">
                <w:pPr>
                  <w:pStyle w:val="ListParagraph"/>
                  <w:numPr>
                    <w:ilvl w:val="0"/>
                    <w:numId w:val="32"/>
                  </w:numPr>
                  <w:spacing w:after="0" w:line="360" w:lineRule="auto"/>
                  <w:ind w:left="307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40BF848D">
                  <w:rPr>
                    <w:rFonts w:ascii="Arial" w:eastAsia="Arial" w:hAnsi="Arial" w:cs="Arial"/>
                    <w:sz w:val="24"/>
                    <w:szCs w:val="24"/>
                  </w:rPr>
                  <w:t xml:space="preserve">Assessment to ensure adequate financial provisions are being made to cover all authorisation obligations including aftercare and closure. </w:t>
                </w:r>
              </w:p>
              <w:p w14:paraId="7F47FFBD" w14:textId="77777777" w:rsidR="00645476" w:rsidRPr="00131952" w:rsidRDefault="00645476" w:rsidP="00645476">
                <w:pPr>
                  <w:spacing w:after="0"/>
                  <w:ind w:left="307" w:hanging="284"/>
                  <w:rPr>
                    <w:rFonts w:ascii="Arial" w:eastAsia="Arial" w:hAnsi="Arial" w:cs="Arial"/>
                  </w:rPr>
                </w:pPr>
              </w:p>
              <w:p w14:paraId="082AE1B6" w14:textId="77777777" w:rsidR="00645476" w:rsidRPr="00131952" w:rsidRDefault="00645476" w:rsidP="00645476">
                <w:pPr>
                  <w:pStyle w:val="ListParagraph"/>
                  <w:numPr>
                    <w:ilvl w:val="0"/>
                    <w:numId w:val="32"/>
                  </w:numPr>
                  <w:spacing w:after="0" w:line="360" w:lineRule="auto"/>
                  <w:ind w:left="307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 xml:space="preserve">Bond should be renewed as per frequency and at quantum </w:t>
                </w: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lastRenderedPageBreak/>
                  <w:t>specified in associated performance agreement.</w:t>
                </w:r>
              </w:p>
              <w:p w14:paraId="63B6E20D" w14:textId="7021B3E5" w:rsidR="00BA4C7C" w:rsidRPr="00131952" w:rsidRDefault="00645476" w:rsidP="00645476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hyperlink r:id="rId38">
                  <w:r w:rsidRPr="00131952">
                    <w:rPr>
                      <w:rStyle w:val="Hyperlink"/>
                      <w:rFonts w:ascii="Arial" w:eastAsia="Arial" w:hAnsi="Arial" w:cs="Arial"/>
                    </w:rPr>
                    <w:t>technical-guidance-note-estimate-of-amount-of-financial-provision-for-landfill.pdf</w:t>
                  </w:r>
                </w:hyperlink>
              </w:p>
            </w:tc>
            <w:tc>
              <w:tcPr>
                <w:tcW w:w="1133" w:type="pct"/>
                <w:tcBorders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BD1A65" w14:textId="6B9872DF" w:rsidR="00645476" w:rsidRPr="00131952" w:rsidRDefault="00645476" w:rsidP="00EB5FEC">
                <w:pPr>
                  <w:pStyle w:val="ListParagraph"/>
                  <w:numPr>
                    <w:ilvl w:val="0"/>
                    <w:numId w:val="33"/>
                  </w:numPr>
                  <w:spacing w:before="120" w:after="0" w:line="360" w:lineRule="auto"/>
                  <w:ind w:left="397" w:right="113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lastRenderedPageBreak/>
                  <w:t xml:space="preserve">Annual and three yearly submissions submitted </w:t>
                </w:r>
                <w:r w:rsidR="00AF06F4">
                  <w:rPr>
                    <w:rFonts w:ascii="Arial" w:eastAsia="Arial" w:hAnsi="Arial" w:cs="Arial"/>
                    <w:sz w:val="24"/>
                    <w:szCs w:val="24"/>
                  </w:rPr>
                  <w:t>that</w:t>
                </w: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 xml:space="preserve"> demonstrate compliance.</w:t>
                </w:r>
              </w:p>
              <w:p w14:paraId="7FAA94F7" w14:textId="77777777" w:rsidR="00645476" w:rsidRPr="00131952" w:rsidRDefault="00645476" w:rsidP="00EB5FEC">
                <w:pPr>
                  <w:spacing w:before="120" w:after="0"/>
                  <w:ind w:left="397" w:right="113" w:hanging="284"/>
                  <w:rPr>
                    <w:rFonts w:ascii="Arial" w:eastAsia="Arial" w:hAnsi="Arial" w:cs="Arial"/>
                  </w:rPr>
                </w:pPr>
              </w:p>
              <w:p w14:paraId="4E21C6BC" w14:textId="77777777" w:rsidR="00645476" w:rsidRPr="00131952" w:rsidRDefault="00645476" w:rsidP="00EB5FEC">
                <w:pPr>
                  <w:pStyle w:val="ListParagraph"/>
                  <w:numPr>
                    <w:ilvl w:val="0"/>
                    <w:numId w:val="33"/>
                  </w:numPr>
                  <w:spacing w:before="120" w:after="0" w:line="360" w:lineRule="auto"/>
                  <w:ind w:left="397" w:right="113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>Demonstration that adequate financial provision is being maintained by the authorised person.</w:t>
                </w:r>
              </w:p>
              <w:p w14:paraId="00D1EFA5" w14:textId="77777777" w:rsidR="00645476" w:rsidRPr="00131952" w:rsidRDefault="00645476" w:rsidP="00EB5FEC">
                <w:pPr>
                  <w:spacing w:before="120" w:after="0"/>
                  <w:ind w:left="397" w:right="113" w:hanging="284"/>
                  <w:rPr>
                    <w:rFonts w:ascii="Arial" w:eastAsia="Arial" w:hAnsi="Arial" w:cs="Arial"/>
                  </w:rPr>
                </w:pPr>
              </w:p>
              <w:p w14:paraId="10E33C26" w14:textId="77777777" w:rsidR="00645476" w:rsidRPr="00131952" w:rsidRDefault="00645476" w:rsidP="00EB5FEC">
                <w:pPr>
                  <w:pStyle w:val="ListParagraph"/>
                  <w:numPr>
                    <w:ilvl w:val="0"/>
                    <w:numId w:val="33"/>
                  </w:numPr>
                  <w:spacing w:before="120" w:after="0" w:line="360" w:lineRule="auto"/>
                  <w:ind w:left="397" w:right="113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 xml:space="preserve">Demonstration that the bond has been renewed </w:t>
                </w: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lastRenderedPageBreak/>
                  <w:t>in accordance with the provisions of the performance agreement between the authorised person and SEPA.</w:t>
                </w:r>
              </w:p>
              <w:p w14:paraId="7A0B0B20" w14:textId="44F9EC87" w:rsidR="00BA4C7C" w:rsidRPr="00131952" w:rsidRDefault="00BA4C7C" w:rsidP="003B747C">
                <w:pPr>
                  <w:spacing w:before="120" w:after="120"/>
                  <w:rPr>
                    <w:rFonts w:ascii="Arial" w:hAnsi="Arial" w:cs="Arial"/>
                  </w:rPr>
                </w:pPr>
              </w:p>
            </w:tc>
          </w:tr>
        </w:tbl>
        <w:p w14:paraId="1468C81D" w14:textId="77777777" w:rsidR="00BA4C7C" w:rsidRDefault="00BA4C7C" w:rsidP="00BC4C15">
          <w:pPr>
            <w:spacing w:before="120" w:after="120"/>
          </w:pPr>
        </w:p>
        <w:p w14:paraId="1C43F90B" w14:textId="1029D418" w:rsidR="00956191" w:rsidRPr="00956191" w:rsidRDefault="00956191" w:rsidP="00956191">
          <w:pPr>
            <w:pStyle w:val="Caption"/>
            <w:spacing w:before="120" w:after="12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</w:pP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Table </w:t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begin"/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instrText xml:space="preserve"> SEQ Table \* ARABIC </w:instrText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separate"/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noProof/>
              <w:color w:val="auto"/>
              <w:sz w:val="24"/>
              <w:szCs w:val="24"/>
            </w:rPr>
            <w:t>4</w:t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end"/>
          </w:r>
          <w:r w:rsidRPr="0013195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: Overall management of authorised activities</w:t>
          </w:r>
          <w:r w:rsidR="00D628D4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, additional landfill </w:t>
          </w:r>
          <w:r w:rsidR="00C323FF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specific authorisation conditions.</w:t>
          </w:r>
        </w:p>
        <w:tbl>
          <w:tblPr>
            <w:tblW w:w="496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31"/>
            <w:gridCol w:w="4629"/>
            <w:gridCol w:w="4497"/>
            <w:gridCol w:w="2954"/>
          </w:tblGrid>
          <w:tr w:rsidR="00956191" w:rsidRPr="00131952" w14:paraId="740800D5" w14:textId="77777777" w:rsidTr="6B32524A">
            <w:trPr>
              <w:trHeight w:val="610"/>
              <w:tblHeader/>
            </w:trPr>
            <w:tc>
              <w:tcPr>
                <w:tcW w:w="976" w:type="pct"/>
                <w:tcBorders>
                  <w:bottom w:val="single" w:sz="12" w:space="0" w:color="auto"/>
                </w:tcBorders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E5140D1" w14:textId="77777777" w:rsidR="00956191" w:rsidRPr="00131952" w:rsidRDefault="00956191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13195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542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E308F6E" w14:textId="77777777" w:rsidR="00956191" w:rsidRPr="00131952" w:rsidRDefault="00956191" w:rsidP="00AF65E6">
                <w:pPr>
                  <w:spacing w:before="120" w:after="0"/>
                  <w:ind w:left="113" w:right="113"/>
                  <w:rPr>
                    <w:rFonts w:eastAsia="Times New Roman" w:cstheme="minorHAnsi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cstheme="minorHAnsi"/>
                    <w:b/>
                    <w:color w:val="FFFFFF" w:themeColor="background1"/>
                  </w:rPr>
                  <w:t>Major non-compliance</w:t>
                </w:r>
                <w:r w:rsidRPr="00131952">
                  <w:rPr>
                    <w:rFonts w:cstheme="minorHAnsi"/>
                    <w:color w:val="FFFFFF" w:themeColor="background1"/>
                  </w:rPr>
                  <w:t> </w:t>
                </w:r>
              </w:p>
            </w:tc>
            <w:tc>
              <w:tcPr>
                <w:tcW w:w="1498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7FB5263" w14:textId="77777777" w:rsidR="00956191" w:rsidRPr="00131952" w:rsidRDefault="00956191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984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F94A198" w14:textId="77777777" w:rsidR="00956191" w:rsidRPr="00131952" w:rsidRDefault="00956191" w:rsidP="00AF65E6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131952">
                  <w:rPr>
                    <w:rFonts w:ascii="Arial" w:hAnsi="Arial" w:cs="Arial"/>
                    <w:b/>
                    <w:color w:val="FFFFFF" w:themeColor="background1"/>
                  </w:rPr>
                  <w:t xml:space="preserve">Return to compliance examples </w:t>
                </w:r>
              </w:p>
            </w:tc>
          </w:tr>
          <w:tr w:rsidR="00FF4CEA" w:rsidRPr="00131952" w14:paraId="38CDB05D" w14:textId="77777777" w:rsidTr="6B32524A">
            <w:trPr>
              <w:trHeight w:val="392"/>
            </w:trPr>
            <w:tc>
              <w:tcPr>
                <w:tcW w:w="976" w:type="pct"/>
                <w:tcBorders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214E98E" w14:textId="20EFAFC0" w:rsidR="00FF4CEA" w:rsidRPr="00131952" w:rsidRDefault="00FF4CEA" w:rsidP="00FF4CEA">
                <w:pPr>
                  <w:spacing w:before="120" w:after="120"/>
                  <w:rPr>
                    <w:rFonts w:asciiTheme="majorHAnsi" w:eastAsia="Times New Roman" w:hAnsiTheme="majorHAnsi" w:cstheme="majorHAnsi"/>
                    <w:lang w:eastAsia="en-GB"/>
                  </w:rPr>
                </w:pPr>
                <w:r w:rsidRPr="00131952">
                  <w:rPr>
                    <w:rFonts w:ascii="Arial" w:eastAsia="Arial" w:hAnsi="Arial" w:cs="Arial"/>
                    <w:color w:val="000000"/>
                  </w:rPr>
                  <w:t>Conditions covering containment, capping and restoration.</w:t>
                </w:r>
              </w:p>
            </w:tc>
            <w:tc>
              <w:tcPr>
                <w:tcW w:w="154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BD611AE" w14:textId="77777777" w:rsidR="00FF4CEA" w:rsidRPr="00131952" w:rsidRDefault="00FF4CEA" w:rsidP="00C96A32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left="380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26A3526B">
                  <w:rPr>
                    <w:rFonts w:ascii="Arial" w:eastAsia="Arial" w:hAnsi="Arial" w:cs="Arial"/>
                    <w:sz w:val="24"/>
                    <w:szCs w:val="24"/>
                  </w:rPr>
                  <w:t xml:space="preserve">Construction Quality Assurance (CQA) Plans or Reports are not submitted, or where they are </w:t>
                </w:r>
                <w:bookmarkStart w:id="25" w:name="_Int_DnhjNIs7"/>
                <w:proofErr w:type="gramStart"/>
                <w:r w:rsidRPr="26A3526B">
                  <w:rPr>
                    <w:rFonts w:ascii="Arial" w:eastAsia="Arial" w:hAnsi="Arial" w:cs="Arial"/>
                    <w:sz w:val="24"/>
                    <w:szCs w:val="24"/>
                  </w:rPr>
                  <w:t>submitted</w:t>
                </w:r>
                <w:bookmarkEnd w:id="25"/>
                <w:proofErr w:type="gramEnd"/>
                <w:r w:rsidRPr="26A3526B">
                  <w:rPr>
                    <w:rFonts w:ascii="Arial" w:eastAsia="Arial" w:hAnsi="Arial" w:cs="Arial"/>
                    <w:sz w:val="24"/>
                    <w:szCs w:val="24"/>
                  </w:rPr>
                  <w:t xml:space="preserve"> they are of </w:t>
                </w:r>
                <w:bookmarkStart w:id="26" w:name="_Int_GawEhcBD"/>
                <w:r w:rsidRPr="26A3526B">
                  <w:rPr>
                    <w:rFonts w:ascii="Arial" w:eastAsia="Arial" w:hAnsi="Arial" w:cs="Arial"/>
                    <w:sz w:val="24"/>
                    <w:szCs w:val="24"/>
                  </w:rPr>
                  <w:t>very poor</w:t>
                </w:r>
                <w:bookmarkEnd w:id="26"/>
                <w:r w:rsidRPr="26A3526B">
                  <w:rPr>
                    <w:rFonts w:ascii="Arial" w:eastAsia="Arial" w:hAnsi="Arial" w:cs="Arial"/>
                    <w:sz w:val="24"/>
                    <w:szCs w:val="24"/>
                  </w:rPr>
                  <w:t xml:space="preserve"> quality or content.</w:t>
                </w:r>
              </w:p>
              <w:p w14:paraId="4E7112DB" w14:textId="77777777" w:rsidR="00FF4CEA" w:rsidRPr="00131952" w:rsidRDefault="00FF4CEA" w:rsidP="00C96A32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left="380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lastRenderedPageBreak/>
                  <w:t>Failure to provide a CQA Report prior to the deposition of waste in any new cell.</w:t>
                </w:r>
              </w:p>
              <w:p w14:paraId="62ED42CF" w14:textId="77777777" w:rsidR="00FF4CEA" w:rsidRPr="00131952" w:rsidRDefault="00FF4CEA" w:rsidP="00C96A32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left="380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40BF848D">
                  <w:rPr>
                    <w:rFonts w:ascii="Arial" w:eastAsia="Arial" w:hAnsi="Arial" w:cs="Arial"/>
                    <w:sz w:val="24"/>
                    <w:szCs w:val="24"/>
                  </w:rPr>
                  <w:t>Failure to provide a CQA Report within 30 days from the date specified in the Authorisation, for capping, leachate well and landfill gas infrastructure.</w:t>
                </w:r>
              </w:p>
              <w:p w14:paraId="08434173" w14:textId="77777777" w:rsidR="00FF4CEA" w:rsidRPr="00131952" w:rsidRDefault="00FF4CEA" w:rsidP="00C96A32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left="380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40BF848D">
                  <w:rPr>
                    <w:rFonts w:ascii="Arial" w:eastAsia="Arial" w:hAnsi="Arial" w:cs="Arial"/>
                    <w:sz w:val="24"/>
                    <w:szCs w:val="24"/>
                  </w:rPr>
                  <w:t xml:space="preserve">Capping not applied </w:t>
                </w:r>
                <w:r w:rsidRPr="40BF848D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within three months of the date specified in the authorisation.</w:t>
                </w:r>
              </w:p>
              <w:p w14:paraId="173286B6" w14:textId="77777777" w:rsidR="00FF4CEA" w:rsidRPr="00131952" w:rsidRDefault="00FF4CEA" w:rsidP="00C96A32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left="380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26A3526B">
                  <w:rPr>
                    <w:rFonts w:ascii="Arial" w:eastAsia="Arial" w:hAnsi="Arial" w:cs="Arial"/>
                    <w:sz w:val="24"/>
                    <w:szCs w:val="24"/>
                  </w:rPr>
                  <w:t xml:space="preserve">Restoration Management Plan (RMP) not submitted or is not representative of on-site activities or when they are submitted, they are of </w:t>
                </w:r>
                <w:bookmarkStart w:id="27" w:name="_Int_i6ugauMV"/>
                <w:r w:rsidRPr="26A3526B">
                  <w:rPr>
                    <w:rFonts w:ascii="Arial" w:eastAsia="Arial" w:hAnsi="Arial" w:cs="Arial"/>
                    <w:sz w:val="24"/>
                    <w:szCs w:val="24"/>
                  </w:rPr>
                  <w:t>very poor</w:t>
                </w:r>
                <w:bookmarkEnd w:id="27"/>
                <w:r w:rsidRPr="26A3526B">
                  <w:rPr>
                    <w:rFonts w:ascii="Arial" w:eastAsia="Arial" w:hAnsi="Arial" w:cs="Arial"/>
                    <w:sz w:val="24"/>
                    <w:szCs w:val="24"/>
                  </w:rPr>
                  <w:t xml:space="preserve"> quality or content.</w:t>
                </w:r>
              </w:p>
              <w:p w14:paraId="65845D23" w14:textId="77777777" w:rsidR="00FF4CEA" w:rsidRPr="00A67B8E" w:rsidRDefault="00FF4CEA" w:rsidP="00A67B8E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left="380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 xml:space="preserve">Failure to restore the landfill in </w:t>
                </w:r>
                <w:r w:rsidRPr="00A67B8E">
                  <w:rPr>
                    <w:rFonts w:ascii="Arial" w:eastAsia="Arial" w:hAnsi="Arial" w:cs="Arial"/>
                    <w:sz w:val="24"/>
                    <w:szCs w:val="24"/>
                  </w:rPr>
                  <w:t>accordance with a SEPA agreed RMP.</w:t>
                </w:r>
              </w:p>
              <w:p w14:paraId="1EA14946" w14:textId="62334FAC" w:rsidR="00FF4CEA" w:rsidRPr="00D603E8" w:rsidRDefault="00FF4CEA" w:rsidP="00A67B8E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left="380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A67B8E">
                  <w:rPr>
                    <w:rFonts w:ascii="Arial" w:eastAsia="Arial" w:hAnsi="Arial" w:cs="Arial"/>
                    <w:sz w:val="24"/>
                    <w:szCs w:val="24"/>
                  </w:rPr>
                  <w:lastRenderedPageBreak/>
                  <w:t>Undertaking restoration without having a SEPA agreed RMP.</w:t>
                </w:r>
              </w:p>
            </w:tc>
            <w:tc>
              <w:tcPr>
                <w:tcW w:w="149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C289B5E" w14:textId="77777777" w:rsidR="00FF4CEA" w:rsidRPr="00131952" w:rsidRDefault="00FF4CEA" w:rsidP="00C96A32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left="307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40BF848D">
                  <w:rPr>
                    <w:rFonts w:ascii="Arial" w:eastAsia="Arial" w:hAnsi="Arial" w:cs="Arial"/>
                    <w:sz w:val="24"/>
                    <w:szCs w:val="24"/>
                  </w:rPr>
                  <w:lastRenderedPageBreak/>
                  <w:t>SEPA will assess the submission against relevant authorisation conditions using landfill engineering guidance documents.</w:t>
                </w:r>
              </w:p>
              <w:p w14:paraId="2CDD3C5E" w14:textId="77777777" w:rsidR="00FF4CEA" w:rsidRPr="00131952" w:rsidRDefault="00FF4CEA" w:rsidP="00C96A32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left="307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>Site inspection</w:t>
                </w:r>
              </w:p>
              <w:p w14:paraId="3E61A61C" w14:textId="77777777" w:rsidR="00FF4CEA" w:rsidRPr="00131952" w:rsidRDefault="00FF4CEA" w:rsidP="00C96A32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left="307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 xml:space="preserve">SEPA will assess the quality of RMP against WST-G-57 guidance. </w:t>
                </w:r>
              </w:p>
              <w:p w14:paraId="432E5058" w14:textId="77777777" w:rsidR="00FF4CEA" w:rsidRPr="00131952" w:rsidRDefault="00FF4CEA" w:rsidP="00C96A32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left="307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lastRenderedPageBreak/>
                  <w:t xml:space="preserve">Site inspection to assess </w:t>
                </w:r>
                <w:r w:rsidRPr="0013195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potential to cause an impact upon the environment or human health. </w:t>
                </w:r>
              </w:p>
              <w:p w14:paraId="62CD2771" w14:textId="77777777" w:rsidR="00FF4CEA" w:rsidRPr="00131952" w:rsidRDefault="00FF4CEA" w:rsidP="00F02685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left="307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A review of documents to confirm </w:t>
                </w:r>
              </w:p>
              <w:p w14:paraId="736F1455" w14:textId="77777777" w:rsidR="00FF4CEA" w:rsidRPr="00131952" w:rsidRDefault="00FF4CEA" w:rsidP="00F02685">
                <w:pPr>
                  <w:pStyle w:val="ListParagraph"/>
                  <w:numPr>
                    <w:ilvl w:val="0"/>
                    <w:numId w:val="42"/>
                  </w:numPr>
                  <w:spacing w:before="120" w:line="36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>Correct waste types.</w:t>
                </w:r>
              </w:p>
              <w:p w14:paraId="076BEB81" w14:textId="77777777" w:rsidR="00FF4CEA" w:rsidRPr="00131952" w:rsidRDefault="00FF4CEA" w:rsidP="00F02685">
                <w:pPr>
                  <w:pStyle w:val="ListParagraph"/>
                  <w:numPr>
                    <w:ilvl w:val="0"/>
                    <w:numId w:val="42"/>
                  </w:numPr>
                  <w:spacing w:before="120" w:line="36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>Excessive waste volumes.</w:t>
                </w:r>
              </w:p>
              <w:p w14:paraId="2F99819D" w14:textId="02648CDA" w:rsidR="00FF4CEA" w:rsidRPr="00131952" w:rsidRDefault="00FF4CEA" w:rsidP="00C96A32">
                <w:pPr>
                  <w:pStyle w:val="ListParagraph"/>
                  <w:spacing w:before="120" w:after="120" w:line="360" w:lineRule="auto"/>
                  <w:ind w:left="401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984" w:type="pct"/>
                <w:tcBorders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EA6E91F" w14:textId="77777777" w:rsidR="00F63426" w:rsidRPr="00131952" w:rsidRDefault="00F63426" w:rsidP="00C96A32">
                <w:pPr>
                  <w:pStyle w:val="ListParagraph"/>
                  <w:numPr>
                    <w:ilvl w:val="0"/>
                    <w:numId w:val="35"/>
                  </w:numPr>
                  <w:spacing w:before="120" w:after="0" w:line="360" w:lineRule="auto"/>
                  <w:ind w:left="375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lastRenderedPageBreak/>
                  <w:t xml:space="preserve">Provision of compliant CQA documentation. </w:t>
                </w:r>
              </w:p>
              <w:p w14:paraId="744A1929" w14:textId="77777777" w:rsidR="00F63426" w:rsidRPr="00131952" w:rsidRDefault="00F63426" w:rsidP="00C96A32">
                <w:pPr>
                  <w:pStyle w:val="ListParagraph"/>
                  <w:numPr>
                    <w:ilvl w:val="0"/>
                    <w:numId w:val="35"/>
                  </w:numPr>
                  <w:spacing w:before="120" w:after="0" w:line="360" w:lineRule="auto"/>
                  <w:ind w:left="375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>Compliant capping system installed at the site.</w:t>
                </w:r>
              </w:p>
              <w:p w14:paraId="59B41DFF" w14:textId="35B79373" w:rsidR="00F63426" w:rsidRPr="00131952" w:rsidRDefault="00F63426" w:rsidP="00A77697">
                <w:pPr>
                  <w:pStyle w:val="ListParagraph"/>
                  <w:numPr>
                    <w:ilvl w:val="0"/>
                    <w:numId w:val="35"/>
                  </w:numPr>
                  <w:spacing w:before="120" w:after="0" w:line="360" w:lineRule="auto"/>
                  <w:ind w:left="375" w:right="113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>Provision of compliant RMP</w:t>
                </w:r>
                <w:r w:rsidR="00A77697">
                  <w:rPr>
                    <w:rFonts w:ascii="Arial" w:eastAsia="Arial" w:hAnsi="Arial" w:cs="Arial"/>
                    <w:sz w:val="24"/>
                    <w:szCs w:val="24"/>
                  </w:rPr>
                  <w:t>.</w:t>
                </w: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</w:p>
              <w:p w14:paraId="6DEFB340" w14:textId="77777777" w:rsidR="00F63426" w:rsidRPr="00131952" w:rsidRDefault="00F63426" w:rsidP="00A77697">
                <w:pPr>
                  <w:pStyle w:val="ListParagraph"/>
                  <w:numPr>
                    <w:ilvl w:val="0"/>
                    <w:numId w:val="35"/>
                  </w:numPr>
                  <w:spacing w:before="120" w:after="0" w:line="360" w:lineRule="auto"/>
                  <w:ind w:left="375" w:right="113" w:hanging="28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lastRenderedPageBreak/>
                  <w:t>Restoration is undertaken in accordance with the agreed RMP.</w:t>
                </w:r>
              </w:p>
              <w:p w14:paraId="4D43B042" w14:textId="0851332B" w:rsidR="00FF4CEA" w:rsidRPr="00131952" w:rsidRDefault="00FF4CEA" w:rsidP="00C96A32">
                <w:pPr>
                  <w:pStyle w:val="ListParagraph"/>
                  <w:spacing w:before="120" w:after="0" w:line="360" w:lineRule="auto"/>
                  <w:ind w:left="357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  <w:tr w:rsidR="00FF4CEA" w:rsidRPr="00131952" w14:paraId="76BFF8E6" w14:textId="77777777" w:rsidTr="6B32524A">
            <w:trPr>
              <w:trHeight w:val="392"/>
            </w:trPr>
            <w:tc>
              <w:tcPr>
                <w:tcW w:w="976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5F3B833" w14:textId="676FFD42" w:rsidR="00FF4CEA" w:rsidRPr="00131952" w:rsidRDefault="00F63426" w:rsidP="00FF4CEA">
                <w:pPr>
                  <w:spacing w:before="120" w:after="120"/>
                  <w:rPr>
                    <w:rFonts w:asciiTheme="majorHAnsi" w:eastAsia="Times New Roman" w:hAnsiTheme="majorHAnsi" w:cstheme="majorHAnsi"/>
                    <w:lang w:eastAsia="en-GB"/>
                  </w:rPr>
                </w:pPr>
                <w:r w:rsidRPr="00131952">
                  <w:rPr>
                    <w:rFonts w:ascii="Arial" w:eastAsia="Arial" w:hAnsi="Arial" w:cs="Arial"/>
                    <w:color w:val="000000"/>
                  </w:rPr>
                  <w:lastRenderedPageBreak/>
                  <w:t>Requirement to extend the landfill gas (LFG) management system following the capping of a cell or phase.</w:t>
                </w:r>
              </w:p>
            </w:tc>
            <w:tc>
              <w:tcPr>
                <w:tcW w:w="1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507E5EF" w14:textId="1A7BE91F" w:rsidR="00FF4CEA" w:rsidRPr="00F63426" w:rsidRDefault="00F63426" w:rsidP="00F63426">
                <w:pPr>
                  <w:spacing w:before="120" w:after="120"/>
                  <w:ind w:right="288"/>
                  <w:textAlignment w:val="baseline"/>
                  <w:rPr>
                    <w:rFonts w:cstheme="minorHAnsi"/>
                  </w:rPr>
                </w:pPr>
                <w:r w:rsidRPr="00131952">
                  <w:rPr>
                    <w:rFonts w:ascii="Arial" w:eastAsia="Arial" w:hAnsi="Arial" w:cs="Arial"/>
                    <w:color w:val="000000"/>
                  </w:rPr>
                  <w:t>Failure to extend the landfill gas management system within six months of capping a cell or phase.</w:t>
                </w:r>
              </w:p>
            </w:tc>
            <w:tc>
              <w:tcPr>
                <w:tcW w:w="14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2C43285" w14:textId="77777777" w:rsidR="00F63426" w:rsidRPr="00131952" w:rsidRDefault="39B810E1" w:rsidP="00C96A32">
                <w:pPr>
                  <w:spacing w:before="120"/>
                  <w:ind w:right="252"/>
                  <w:rPr>
                    <w:rFonts w:ascii="Arial" w:eastAsia="Arial" w:hAnsi="Arial" w:cs="Arial"/>
                    <w:color w:val="000000"/>
                  </w:rPr>
                </w:pPr>
                <w:r w:rsidRPr="26A3526B">
                  <w:rPr>
                    <w:rFonts w:ascii="Arial" w:eastAsia="Arial" w:hAnsi="Arial" w:cs="Arial"/>
                    <w:color w:val="000000"/>
                  </w:rPr>
                  <w:t>Site inspection and review of CQA documents</w:t>
                </w:r>
                <w:bookmarkStart w:id="28" w:name="_Int_btFJ8Npk"/>
                <w:r w:rsidRPr="26A3526B">
                  <w:rPr>
                    <w:rFonts w:ascii="Arial" w:eastAsia="Arial" w:hAnsi="Arial" w:cs="Arial"/>
                    <w:color w:val="000000"/>
                  </w:rPr>
                  <w:t xml:space="preserve">.  </w:t>
                </w:r>
                <w:bookmarkEnd w:id="28"/>
              </w:p>
              <w:p w14:paraId="4906F370" w14:textId="77777777" w:rsidR="00FF4CEA" w:rsidRPr="00131952" w:rsidRDefault="00FF4CEA" w:rsidP="00C96A32">
                <w:pPr>
                  <w:spacing w:before="120" w:after="120"/>
                  <w:rPr>
                    <w:rFonts w:asciiTheme="majorHAnsi" w:hAnsiTheme="majorHAnsi" w:cstheme="majorHAnsi"/>
                  </w:rPr>
                </w:pPr>
              </w:p>
            </w:tc>
            <w:tc>
              <w:tcPr>
                <w:tcW w:w="9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E948ACC" w14:textId="77777777" w:rsidR="00F63426" w:rsidRDefault="00F63426" w:rsidP="00A77697">
                <w:pPr>
                  <w:pStyle w:val="ListParagraph"/>
                  <w:numPr>
                    <w:ilvl w:val="0"/>
                    <w:numId w:val="36"/>
                  </w:numPr>
                  <w:spacing w:before="120" w:after="0" w:line="360" w:lineRule="auto"/>
                  <w:ind w:left="374" w:right="113" w:hanging="37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31952">
                  <w:rPr>
                    <w:rFonts w:ascii="Arial" w:eastAsia="Arial" w:hAnsi="Arial" w:cs="Arial"/>
                    <w:sz w:val="24"/>
                    <w:szCs w:val="24"/>
                  </w:rPr>
                  <w:t>Confirmation that the LFG management system has been installed and is operational.</w:t>
                </w:r>
              </w:p>
              <w:p w14:paraId="7108B977" w14:textId="56FBA277" w:rsidR="00FF4CEA" w:rsidRPr="00F63426" w:rsidRDefault="00F63426" w:rsidP="00A77697">
                <w:pPr>
                  <w:pStyle w:val="ListParagraph"/>
                  <w:numPr>
                    <w:ilvl w:val="0"/>
                    <w:numId w:val="36"/>
                  </w:numPr>
                  <w:spacing w:before="120" w:after="0" w:line="360" w:lineRule="auto"/>
                  <w:ind w:left="374" w:right="113" w:hanging="374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F63426">
                  <w:rPr>
                    <w:rFonts w:ascii="Arial" w:eastAsia="Arial" w:hAnsi="Arial" w:cs="Arial"/>
                  </w:rPr>
                  <w:t>CQA documentation has been assessed as complaint (where relevant).</w:t>
                </w:r>
              </w:p>
            </w:tc>
          </w:tr>
          <w:tr w:rsidR="003B31F4" w:rsidRPr="00131952" w14:paraId="5A40CF8A" w14:textId="77777777" w:rsidTr="6B32524A">
            <w:trPr>
              <w:trHeight w:val="392"/>
            </w:trPr>
            <w:tc>
              <w:tcPr>
                <w:tcW w:w="976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F0EB3C5" w14:textId="1F0DA69D" w:rsidR="003B31F4" w:rsidRPr="00131952" w:rsidRDefault="003B31F4" w:rsidP="003B31F4">
                <w:pPr>
                  <w:spacing w:before="120" w:after="120"/>
                  <w:rPr>
                    <w:rFonts w:asciiTheme="majorHAnsi" w:eastAsia="Times New Roman" w:hAnsiTheme="majorHAnsi" w:cstheme="majorHAnsi"/>
                    <w:lang w:eastAsia="en-GB"/>
                  </w:rPr>
                </w:pPr>
                <w:r w:rsidRPr="00131952">
                  <w:rPr>
                    <w:rFonts w:ascii="Arial" w:eastAsia="Arial" w:hAnsi="Arial" w:cs="Arial"/>
                  </w:rPr>
                  <w:t>Conditions covering the management of asbestos waste.</w:t>
                </w:r>
              </w:p>
            </w:tc>
            <w:tc>
              <w:tcPr>
                <w:tcW w:w="15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5777126" w14:textId="28428DAC" w:rsidR="003B31F4" w:rsidRPr="00131952" w:rsidRDefault="003B31F4" w:rsidP="00C96A32">
                <w:pPr>
                  <w:spacing w:before="120"/>
                  <w:ind w:right="289"/>
                  <w:rPr>
                    <w:rFonts w:ascii="Arial" w:eastAsia="Arial" w:hAnsi="Arial" w:cs="Arial"/>
                    <w:color w:val="000000"/>
                  </w:rPr>
                </w:pPr>
                <w:r w:rsidRPr="00131952">
                  <w:rPr>
                    <w:rFonts w:ascii="Arial" w:eastAsia="Arial" w:hAnsi="Arial" w:cs="Arial"/>
                    <w:color w:val="000000"/>
                  </w:rPr>
                  <w:t xml:space="preserve">Operations </w:t>
                </w:r>
                <w:r w:rsidR="00535216">
                  <w:rPr>
                    <w:rFonts w:ascii="Arial" w:eastAsia="Arial" w:hAnsi="Arial" w:cs="Arial"/>
                    <w:color w:val="000000"/>
                  </w:rPr>
                  <w:t>that</w:t>
                </w:r>
                <w:r w:rsidRPr="00131952">
                  <w:rPr>
                    <w:rFonts w:ascii="Arial" w:eastAsia="Arial" w:hAnsi="Arial" w:cs="Arial"/>
                    <w:color w:val="000000"/>
                  </w:rPr>
                  <w:t xml:space="preserve"> could lead to the release of asbestos fibres</w:t>
                </w:r>
                <w:r w:rsidRPr="00131952">
                  <w:rPr>
                    <w:rFonts w:ascii="Arial" w:eastAsia="Arial" w:hAnsi="Arial" w:cs="Arial"/>
                  </w:rPr>
                  <w:t>. M</w:t>
                </w:r>
                <w:r w:rsidRPr="00131952">
                  <w:rPr>
                    <w:rFonts w:ascii="Arial" w:eastAsia="Arial" w:hAnsi="Arial" w:cs="Arial"/>
                    <w:color w:val="000000"/>
                  </w:rPr>
                  <w:t xml:space="preserve">ajor non-compliance but not necessarily a category </w:t>
                </w:r>
                <w:r w:rsidR="00A67B8E">
                  <w:rPr>
                    <w:rFonts w:ascii="Arial" w:eastAsia="Arial" w:hAnsi="Arial" w:cs="Arial"/>
                    <w:color w:val="000000"/>
                  </w:rPr>
                  <w:t>1</w:t>
                </w:r>
                <w:r w:rsidRPr="00131952">
                  <w:rPr>
                    <w:rFonts w:ascii="Arial" w:eastAsia="Arial" w:hAnsi="Arial" w:cs="Arial"/>
                    <w:color w:val="000000"/>
                  </w:rPr>
                  <w:t xml:space="preserve"> or 2 environmental event. </w:t>
                </w:r>
              </w:p>
              <w:p w14:paraId="72138B58" w14:textId="77777777" w:rsidR="003B31F4" w:rsidRPr="003B31F4" w:rsidRDefault="003B31F4" w:rsidP="003B31F4">
                <w:pPr>
                  <w:spacing w:before="120" w:after="120"/>
                  <w:ind w:right="288"/>
                  <w:textAlignment w:val="baseline"/>
                  <w:rPr>
                    <w:rFonts w:cstheme="minorHAnsi"/>
                  </w:rPr>
                </w:pPr>
              </w:p>
            </w:tc>
            <w:tc>
              <w:tcPr>
                <w:tcW w:w="14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2D595B1" w14:textId="0280CA47" w:rsidR="003B31F4" w:rsidRPr="00612F3E" w:rsidRDefault="003B31F4" w:rsidP="00612F3E">
                <w:pPr>
                  <w:spacing w:before="120" w:after="0"/>
                  <w:rPr>
                    <w:rFonts w:ascii="Arial" w:eastAsia="Arial" w:hAnsi="Arial" w:cs="Arial"/>
                  </w:rPr>
                </w:pPr>
                <w:r w:rsidRPr="00612F3E">
                  <w:rPr>
                    <w:rFonts w:ascii="Arial" w:eastAsia="Arial" w:hAnsi="Arial" w:cs="Arial"/>
                  </w:rPr>
                  <w:t>Site inspection</w:t>
                </w:r>
                <w:r w:rsidR="00612F3E" w:rsidRPr="00612F3E">
                  <w:rPr>
                    <w:rFonts w:ascii="Arial" w:eastAsia="Arial" w:hAnsi="Arial" w:cs="Arial"/>
                  </w:rPr>
                  <w:t xml:space="preserve">: </w:t>
                </w:r>
                <w:hyperlink r:id="rId39">
                  <w:r w:rsidR="004154C4" w:rsidRPr="00612F3E">
                    <w:rPr>
                      <w:rStyle w:val="Hyperlink"/>
                      <w:rFonts w:ascii="Arial" w:eastAsia="Arial" w:hAnsi="Arial" w:cs="Arial"/>
                    </w:rPr>
                    <w:t xml:space="preserve">Technical Guidance Note: The disposal in landfills for non-hazardous waste of asbestos, wastes </w:t>
                  </w:r>
                </w:hyperlink>
                <w:r>
                  <w:t>.</w:t>
                </w:r>
              </w:p>
            </w:tc>
            <w:tc>
              <w:tcPr>
                <w:tcW w:w="9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6DCA8B5" w14:textId="0684573D" w:rsidR="003B31F4" w:rsidRPr="00131952" w:rsidRDefault="43E8EEEC" w:rsidP="003B31F4">
                <w:pPr>
                  <w:spacing w:before="120" w:after="0"/>
                  <w:ind w:right="288"/>
                  <w:textAlignment w:val="baseline"/>
                  <w:rPr>
                    <w:rFonts w:ascii="Arial" w:hAnsi="Arial" w:cs="Arial"/>
                  </w:rPr>
                </w:pPr>
                <w:r w:rsidRPr="6B32524A">
                  <w:rPr>
                    <w:rFonts w:ascii="Arial" w:eastAsia="Arial" w:hAnsi="Arial" w:cs="Arial"/>
                  </w:rPr>
                  <w:t xml:space="preserve">Operations have ceased or reduced to levels </w:t>
                </w:r>
                <w:r w:rsidR="4B55960C" w:rsidRPr="6B32524A">
                  <w:rPr>
                    <w:rFonts w:ascii="Arial" w:eastAsia="Arial" w:hAnsi="Arial" w:cs="Arial"/>
                  </w:rPr>
                  <w:t>that</w:t>
                </w:r>
                <w:r w:rsidRPr="6B32524A">
                  <w:rPr>
                    <w:rFonts w:ascii="Arial" w:eastAsia="Arial" w:hAnsi="Arial" w:cs="Arial"/>
                  </w:rPr>
                  <w:t xml:space="preserve"> no longer</w:t>
                </w:r>
                <w:r w:rsidRPr="6B32524A">
                  <w:rPr>
                    <w:rFonts w:ascii="Arial" w:eastAsia="Arial" w:hAnsi="Arial" w:cs="Arial"/>
                    <w:color w:val="000000"/>
                  </w:rPr>
                  <w:t xml:space="preserve"> cause or </w:t>
                </w:r>
                <w:r w:rsidR="45764598" w:rsidRPr="6B32524A">
                  <w:rPr>
                    <w:rFonts w:ascii="Arial" w:eastAsia="Arial" w:hAnsi="Arial" w:cs="Arial"/>
                    <w:color w:val="000000"/>
                  </w:rPr>
                  <w:t>likely to cause</w:t>
                </w:r>
                <w:r w:rsidRPr="6B32524A">
                  <w:rPr>
                    <w:rFonts w:ascii="Arial" w:eastAsia="Arial" w:hAnsi="Arial" w:cs="Arial"/>
                    <w:color w:val="000000"/>
                  </w:rPr>
                  <w:t xml:space="preserve"> a category 1 or 2 environmental event.</w:t>
                </w:r>
              </w:p>
            </w:tc>
          </w:tr>
        </w:tbl>
        <w:p w14:paraId="1FC9E1A2" w14:textId="77777777" w:rsidR="00956191" w:rsidRPr="00BC4C15" w:rsidRDefault="00956191" w:rsidP="00BC4C15">
          <w:pPr>
            <w:spacing w:before="120" w:after="120"/>
          </w:pPr>
        </w:p>
        <w:p w14:paraId="241BDC6A" w14:textId="082E94DC" w:rsidR="003171B6" w:rsidRPr="00131952" w:rsidRDefault="00281BB1" w:rsidP="00674B66">
          <w:pPr>
            <w:spacing w:before="120" w:after="120"/>
          </w:pPr>
          <w:r w:rsidRPr="00131952">
            <w:rPr>
              <w:noProof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6EA44112" wp14:editId="2E613AD6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6338570</wp:posOffset>
                    </wp:positionV>
                    <wp:extent cx="4308475" cy="178435"/>
                    <wp:effectExtent l="0" t="0" r="0" b="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4FB0D2" w14:textId="77777777" w:rsidR="00281BB1" w:rsidRPr="009A240D" w:rsidRDefault="00281BB1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9A240D">
                                  <w:rPr>
                                    <w:color w:val="FFFFFF" w:themeColor="background1"/>
                                  </w:rPr>
                                  <w:t>&lt;Report date here (month, year)&gt;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A441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9.8pt;margin-top:499.1pt;width:339.2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AE&#10;Nzi43wAAAAsBAAAPAAAAAAAAAAAAAAAAAGkEAABkcnMvZG93bnJldi54bWxQSwUGAAAAAAQABADz&#10;AAAAdQUAAAAA&#10;" filled="f" stroked="f" strokeweight=".5pt">
                    <v:textbox inset="0,0,0,0">
                      <w:txbxContent>
                        <w:p w14:paraId="1B4FB0D2" w14:textId="77777777" w:rsidR="00281BB1" w:rsidRPr="009A240D" w:rsidRDefault="00281BB1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9A240D">
                            <w:rPr>
                              <w:color w:val="FFFFFF" w:themeColor="background1"/>
                            </w:rPr>
                            <w:t>&lt;Report date here (month, year)&gt;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sdtContent>
    </w:sdt>
    <w:p w14:paraId="1992E6AB" w14:textId="77777777" w:rsidR="007A7E61" w:rsidRDefault="007A7E61" w:rsidP="00E61C8F">
      <w:pPr>
        <w:pStyle w:val="BodyText1"/>
        <w:spacing w:after="0"/>
        <w:rPr>
          <w:sz w:val="28"/>
          <w:szCs w:val="28"/>
        </w:rPr>
      </w:pPr>
    </w:p>
    <w:p w14:paraId="19F96B4D" w14:textId="19EC4EAC" w:rsidR="00E61C8F" w:rsidRPr="00BC36C4" w:rsidRDefault="00E61C8F" w:rsidP="00E61C8F">
      <w:pPr>
        <w:pStyle w:val="BodyText1"/>
        <w:spacing w:after="0"/>
        <w:rPr>
          <w:sz w:val="28"/>
          <w:szCs w:val="28"/>
        </w:rPr>
      </w:pPr>
      <w:r w:rsidRPr="00BC36C4">
        <w:rPr>
          <w:sz w:val="28"/>
          <w:szCs w:val="28"/>
        </w:rPr>
        <w:t xml:space="preserve">For information on accessing this document in an alternative format or language, please contact SEPA by </w:t>
      </w:r>
      <w:hyperlink r:id="rId40">
        <w:r w:rsidRPr="00BC36C4">
          <w:rPr>
            <w:rStyle w:val="Hyperlink"/>
            <w:sz w:val="28"/>
            <w:szCs w:val="28"/>
          </w:rPr>
          <w:t>email</w:t>
        </w:r>
      </w:hyperlink>
      <w:r w:rsidRPr="00BC36C4">
        <w:rPr>
          <w:sz w:val="28"/>
          <w:szCs w:val="28"/>
        </w:rPr>
        <w:t xml:space="preserve"> or telephone 0300 099 6699.</w:t>
      </w:r>
    </w:p>
    <w:p w14:paraId="11C0513E" w14:textId="6A7EAA62" w:rsidR="00E61C8F" w:rsidRPr="00BC36C4" w:rsidRDefault="00E61C8F" w:rsidP="00CC2C80">
      <w:pPr>
        <w:pStyle w:val="BodyText1"/>
        <w:spacing w:after="0"/>
        <w:rPr>
          <w:sz w:val="28"/>
          <w:szCs w:val="28"/>
        </w:rPr>
      </w:pPr>
      <w:r w:rsidRPr="00BC36C4">
        <w:rPr>
          <w:sz w:val="28"/>
          <w:szCs w:val="28"/>
        </w:rPr>
        <w:t xml:space="preserve">If you are a user of British Sign Language (BSL), the </w:t>
      </w:r>
      <w:hyperlink r:id="rId41" w:history="1">
        <w:r w:rsidRPr="00BC36C4">
          <w:rPr>
            <w:rStyle w:val="Hyperlink"/>
            <w:sz w:val="28"/>
            <w:szCs w:val="28"/>
          </w:rPr>
          <w:t>Contact Scotland BSL</w:t>
        </w:r>
      </w:hyperlink>
      <w:r w:rsidRPr="00BC36C4">
        <w:rPr>
          <w:sz w:val="28"/>
          <w:szCs w:val="28"/>
        </w:rPr>
        <w:t xml:space="preserve"> service gives you access to an online interpreter, enabling you to communicate with us using sign language.</w:t>
      </w:r>
    </w:p>
    <w:sectPr w:rsidR="00E61C8F" w:rsidRPr="00BC36C4" w:rsidSect="004362FB">
      <w:pgSz w:w="16840" w:h="11900" w:orient="landscape"/>
      <w:pgMar w:top="57" w:right="839" w:bottom="839" w:left="839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7ABB" w14:textId="77777777" w:rsidR="002C5138" w:rsidRDefault="002C5138" w:rsidP="00660C79">
      <w:pPr>
        <w:spacing w:line="240" w:lineRule="auto"/>
      </w:pPr>
      <w:r>
        <w:separator/>
      </w:r>
    </w:p>
  </w:endnote>
  <w:endnote w:type="continuationSeparator" w:id="0">
    <w:p w14:paraId="1E03D5AC" w14:textId="77777777" w:rsidR="002C5138" w:rsidRDefault="002C5138" w:rsidP="00660C79">
      <w:pPr>
        <w:spacing w:line="240" w:lineRule="auto"/>
      </w:pPr>
      <w:r>
        <w:continuationSeparator/>
      </w:r>
    </w:p>
  </w:endnote>
  <w:endnote w:type="continuationNotice" w:id="1">
    <w:p w14:paraId="033BC94E" w14:textId="77777777" w:rsidR="002C5138" w:rsidRDefault="002C5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A46E" w14:textId="48261FFC" w:rsidR="00EC6A73" w:rsidRDefault="00E710F2" w:rsidP="00CB144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9A5F344" wp14:editId="686A0E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205791029" name="Text Box 1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80E34" w14:textId="2275A873" w:rsidR="00E710F2" w:rsidRPr="00E710F2" w:rsidRDefault="00E710F2" w:rsidP="00E710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10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5F34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PUBLIC" style="position:absolute;margin-left:0;margin-top:0;width:33.15pt;height:33.3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35E80E34" w14:textId="2275A873" w:rsidR="00E710F2" w:rsidRPr="00E710F2" w:rsidRDefault="00E710F2" w:rsidP="00E710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10F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574A7364" w14:textId="77777777" w:rsidR="00EC6A73" w:rsidRDefault="00EC6A73" w:rsidP="00CB14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311403BA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FC278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6055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80FD1" w14:textId="272F9A83" w:rsidR="00DD3CCE" w:rsidRDefault="00DD3C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AE659E" w14:textId="5E30CA25" w:rsidR="00917BB1" w:rsidRDefault="00917BB1" w:rsidP="00F7795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62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08B5E" w14:textId="6C87C7AE" w:rsidR="00366DDD" w:rsidRDefault="00366D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B5DF98" w14:textId="68118322" w:rsidR="002369CA" w:rsidRDefault="002369CA" w:rsidP="0075535A">
    <w:pPr>
      <w:pStyle w:val="Footer"/>
      <w:tabs>
        <w:tab w:val="clear" w:pos="4513"/>
        <w:tab w:val="clear" w:pos="9026"/>
        <w:tab w:val="left" w:pos="3765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122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966E4" w14:textId="4094AC4A" w:rsidR="004362FB" w:rsidRDefault="004362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F0F94A" w14:textId="11A0E5D0" w:rsidR="6FAC080C" w:rsidRDefault="6FAC080C" w:rsidP="6FAC080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139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DF9EA" w14:textId="51507E9C" w:rsidR="004362FB" w:rsidRDefault="004362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FA7C50" w14:textId="1ADE6B15" w:rsidR="6FAC080C" w:rsidRDefault="6FAC080C" w:rsidP="6FAC0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19EB" w14:textId="77777777" w:rsidR="002C5138" w:rsidRDefault="002C5138" w:rsidP="00660C79">
      <w:pPr>
        <w:spacing w:line="240" w:lineRule="auto"/>
      </w:pPr>
      <w:r>
        <w:separator/>
      </w:r>
    </w:p>
  </w:footnote>
  <w:footnote w:type="continuationSeparator" w:id="0">
    <w:p w14:paraId="474B36B7" w14:textId="77777777" w:rsidR="002C5138" w:rsidRDefault="002C5138" w:rsidP="00660C79">
      <w:pPr>
        <w:spacing w:line="240" w:lineRule="auto"/>
      </w:pPr>
      <w:r>
        <w:continuationSeparator/>
      </w:r>
    </w:p>
  </w:footnote>
  <w:footnote w:type="continuationNotice" w:id="1">
    <w:p w14:paraId="3E910962" w14:textId="77777777" w:rsidR="002C5138" w:rsidRDefault="002C5138">
      <w:pPr>
        <w:spacing w:after="0" w:line="240" w:lineRule="auto"/>
      </w:pPr>
    </w:p>
  </w:footnote>
  <w:footnote w:id="2">
    <w:p w14:paraId="2A72FAAA" w14:textId="13FA1FB0" w:rsidR="00E92489" w:rsidRDefault="00E924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6608C">
        <w:t xml:space="preserve">Additional </w:t>
      </w:r>
      <w:r w:rsidR="00E56F3F">
        <w:t>criteria</w:t>
      </w:r>
      <w:r w:rsidR="00C6608C">
        <w:t xml:space="preserve"> specific to landfill can be viewed in Annex 1, table 3.</w:t>
      </w:r>
    </w:p>
  </w:footnote>
  <w:footnote w:id="3">
    <w:p w14:paraId="4B1839F4" w14:textId="2B37C5FB" w:rsidR="0053483E" w:rsidRDefault="0053483E">
      <w:pPr>
        <w:pStyle w:val="FootnoteText"/>
      </w:pPr>
      <w:r>
        <w:rPr>
          <w:rStyle w:val="FootnoteReference"/>
        </w:rPr>
        <w:footnoteRef/>
      </w:r>
      <w:r>
        <w:t xml:space="preserve"> Adequate quality means containing the required information to enable the assessment of compliance with authorisation conditions.</w:t>
      </w:r>
    </w:p>
  </w:footnote>
  <w:footnote w:id="4">
    <w:p w14:paraId="679FFF6A" w14:textId="5C5C8629" w:rsidR="00AA3C6E" w:rsidRDefault="00AA3C6E">
      <w:pPr>
        <w:pStyle w:val="FootnoteText"/>
      </w:pPr>
      <w:r>
        <w:rPr>
          <w:rStyle w:val="FootnoteReference"/>
        </w:rPr>
        <w:footnoteRef/>
      </w:r>
      <w:r>
        <w:t xml:space="preserve"> Additional MNC criteria that are specific to landfill can be viewed in Annex 1, table </w:t>
      </w:r>
      <w:r w:rsidR="0090795B">
        <w:t>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54C2" w14:textId="29D6EA19" w:rsidR="003C2CED" w:rsidRDefault="00E710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DF7E73" wp14:editId="38456F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383545129" name="Text Box 1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43DB7" w14:textId="6AD0953B" w:rsidR="00E710F2" w:rsidRPr="00E710F2" w:rsidRDefault="00E710F2" w:rsidP="00E710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10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F7E7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PUBLIC" style="position:absolute;margin-left:0;margin-top:0;width:33.15pt;height:33.3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textbox style="mso-fit-shape-to-text:t" inset="0,15pt,0,0">
                <w:txbxContent>
                  <w:p w14:paraId="70543DB7" w14:textId="6AD0953B" w:rsidR="00E710F2" w:rsidRPr="00E710F2" w:rsidRDefault="00E710F2" w:rsidP="00E710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10F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DA06" w14:textId="0A6661DA" w:rsidR="008D113C" w:rsidRPr="00917BB1" w:rsidRDefault="00E710F2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4C4A0C5" wp14:editId="5252C7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486040240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8E37D" w14:textId="16ABF3C0" w:rsidR="00E710F2" w:rsidRPr="00E710F2" w:rsidRDefault="00E710F2" w:rsidP="00E710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10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4A0C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PUBLIC" style="position:absolute;left:0;text-align:left;margin-left:0;margin-top:0;width:33.15pt;height:33.3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textbox style="mso-fit-shape-to-text:t" inset="0,15pt,0,0">
                <w:txbxContent>
                  <w:p w14:paraId="1728E37D" w14:textId="16ABF3C0" w:rsidR="00E710F2" w:rsidRPr="00E710F2" w:rsidRDefault="00E710F2" w:rsidP="00E710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10F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0952" w14:textId="61B87827" w:rsidR="002369CA" w:rsidRDefault="00E710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E661C2" wp14:editId="3A5947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447352433" name="Text Box 1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741DC" w14:textId="5DA66DC9" w:rsidR="00E710F2" w:rsidRPr="00E710F2" w:rsidRDefault="00E710F2" w:rsidP="00E710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10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661C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PUBLIC" style="position:absolute;margin-left:0;margin-top:0;width:33.15pt;height:33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Fk6JTw4CAAAc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39F741DC" w14:textId="5DA66DC9" w:rsidR="00E710F2" w:rsidRPr="00E710F2" w:rsidRDefault="00E710F2" w:rsidP="00E710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10F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4A1E">
      <w:rPr>
        <w:noProof/>
      </w:rPr>
      <w:drawing>
        <wp:inline distT="0" distB="0" distL="0" distR="0" wp14:anchorId="0A96D578" wp14:editId="578815FD">
          <wp:extent cx="3449124" cy="619125"/>
          <wp:effectExtent l="0" t="0" r="5715" b="3175"/>
          <wp:docPr id="205246839" name="Picture 2052468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52" cy="63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04D7" w14:textId="3E2AF0C9" w:rsidR="007676FF" w:rsidRDefault="00E710F2" w:rsidP="0075535A">
    <w:pPr>
      <w:pStyle w:val="Header"/>
      <w:tabs>
        <w:tab w:val="clear" w:pos="4513"/>
        <w:tab w:val="clear" w:pos="9026"/>
        <w:tab w:val="left" w:pos="1245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0642078" wp14:editId="313506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83148222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8B9DB" w14:textId="73FED142" w:rsidR="00E710F2" w:rsidRPr="00E710F2" w:rsidRDefault="00E710F2" w:rsidP="00E710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10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4207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alt="PUBLIC" style="position:absolute;margin-left:0;margin-top:0;width:33.15pt;height:33.3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textbox style="mso-fit-shape-to-text:t" inset="0,15pt,0,0">
                <w:txbxContent>
                  <w:p w14:paraId="2FF8B9DB" w14:textId="73FED142" w:rsidR="00E710F2" w:rsidRPr="00E710F2" w:rsidRDefault="00E710F2" w:rsidP="00E710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10F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C2B7" w14:textId="7CA323ED" w:rsidR="00F811AB" w:rsidRDefault="00E710F2" w:rsidP="0075535A">
    <w:pPr>
      <w:pStyle w:val="Header"/>
      <w:tabs>
        <w:tab w:val="clear" w:pos="4513"/>
        <w:tab w:val="clear" w:pos="9026"/>
        <w:tab w:val="left" w:pos="1245"/>
      </w:tabs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9A644AB" wp14:editId="182D34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736133625" name="Text Box 1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5A9AA" w14:textId="4D7AB573" w:rsidR="00E710F2" w:rsidRPr="00E710F2" w:rsidRDefault="00E710F2" w:rsidP="00E710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10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644A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alt="PUBLIC" style="position:absolute;margin-left:0;margin-top:0;width:33.15pt;height:33.3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eM0mwg4CAAAc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4AF5A9AA" w14:textId="4D7AB573" w:rsidR="00E710F2" w:rsidRPr="00E710F2" w:rsidRDefault="00E710F2" w:rsidP="00E710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10F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50"/>
      <w:gridCol w:w="5050"/>
      <w:gridCol w:w="5050"/>
    </w:tblGrid>
    <w:tr w:rsidR="6FAC080C" w14:paraId="1748EEA2" w14:textId="77777777" w:rsidTr="6FAC080C">
      <w:trPr>
        <w:trHeight w:val="300"/>
      </w:trPr>
      <w:tc>
        <w:tcPr>
          <w:tcW w:w="5050" w:type="dxa"/>
        </w:tcPr>
        <w:p w14:paraId="1A1B6509" w14:textId="2C32E343" w:rsidR="6FAC080C" w:rsidRDefault="6FAC080C" w:rsidP="6FAC080C">
          <w:pPr>
            <w:pStyle w:val="Header"/>
            <w:ind w:left="-115"/>
          </w:pPr>
        </w:p>
      </w:tc>
      <w:tc>
        <w:tcPr>
          <w:tcW w:w="5050" w:type="dxa"/>
        </w:tcPr>
        <w:p w14:paraId="14AD33FD" w14:textId="74B7AE4D" w:rsidR="6FAC080C" w:rsidRDefault="6FAC080C" w:rsidP="6FAC080C">
          <w:pPr>
            <w:pStyle w:val="Header"/>
            <w:jc w:val="center"/>
          </w:pPr>
        </w:p>
      </w:tc>
      <w:tc>
        <w:tcPr>
          <w:tcW w:w="5050" w:type="dxa"/>
        </w:tcPr>
        <w:p w14:paraId="7B6131BF" w14:textId="5E36DFEA" w:rsidR="6FAC080C" w:rsidRDefault="6FAC080C" w:rsidP="6FAC080C">
          <w:pPr>
            <w:pStyle w:val="Header"/>
            <w:ind w:right="-115"/>
            <w:jc w:val="right"/>
          </w:pPr>
        </w:p>
      </w:tc>
    </w:tr>
  </w:tbl>
  <w:p w14:paraId="70F21E19" w14:textId="4A2BAD31" w:rsidR="6FAC080C" w:rsidRDefault="6FAC080C" w:rsidP="6FAC080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50"/>
      <w:gridCol w:w="5050"/>
      <w:gridCol w:w="5050"/>
    </w:tblGrid>
    <w:tr w:rsidR="6FAC080C" w14:paraId="13DB7805" w14:textId="77777777" w:rsidTr="6FAC080C">
      <w:trPr>
        <w:trHeight w:val="300"/>
      </w:trPr>
      <w:tc>
        <w:tcPr>
          <w:tcW w:w="5050" w:type="dxa"/>
        </w:tcPr>
        <w:p w14:paraId="385E8C57" w14:textId="12313F74" w:rsidR="6FAC080C" w:rsidRDefault="6FAC080C" w:rsidP="6FAC080C">
          <w:pPr>
            <w:pStyle w:val="Header"/>
            <w:ind w:left="-115"/>
          </w:pPr>
        </w:p>
      </w:tc>
      <w:tc>
        <w:tcPr>
          <w:tcW w:w="5050" w:type="dxa"/>
        </w:tcPr>
        <w:p w14:paraId="0A09D8B7" w14:textId="3F0F25ED" w:rsidR="6FAC080C" w:rsidRDefault="6FAC080C" w:rsidP="6FAC080C">
          <w:pPr>
            <w:pStyle w:val="Header"/>
            <w:jc w:val="center"/>
          </w:pPr>
        </w:p>
      </w:tc>
      <w:tc>
        <w:tcPr>
          <w:tcW w:w="5050" w:type="dxa"/>
        </w:tcPr>
        <w:p w14:paraId="366DB332" w14:textId="7B679BB9" w:rsidR="6FAC080C" w:rsidRDefault="6FAC080C" w:rsidP="6FAC080C">
          <w:pPr>
            <w:pStyle w:val="Header"/>
            <w:ind w:right="-115"/>
            <w:jc w:val="right"/>
          </w:pPr>
        </w:p>
      </w:tc>
    </w:tr>
  </w:tbl>
  <w:p w14:paraId="43DF17A1" w14:textId="28852B07" w:rsidR="6FAC080C" w:rsidRDefault="6FAC080C" w:rsidP="6FAC0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854"/>
    <w:multiLevelType w:val="hybridMultilevel"/>
    <w:tmpl w:val="E5826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1CB5"/>
    <w:multiLevelType w:val="hybridMultilevel"/>
    <w:tmpl w:val="1108AE14"/>
    <w:lvl w:ilvl="0" w:tplc="176C0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700"/>
    <w:multiLevelType w:val="hybridMultilevel"/>
    <w:tmpl w:val="5928C3DE"/>
    <w:lvl w:ilvl="0" w:tplc="176C0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B08DC"/>
    <w:multiLevelType w:val="hybridMultilevel"/>
    <w:tmpl w:val="10C6D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542DA5"/>
    <w:multiLevelType w:val="hybridMultilevel"/>
    <w:tmpl w:val="AFFA8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9684F"/>
    <w:multiLevelType w:val="hybridMultilevel"/>
    <w:tmpl w:val="56BE0F6E"/>
    <w:lvl w:ilvl="0" w:tplc="57CE0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9039C"/>
    <w:multiLevelType w:val="multilevel"/>
    <w:tmpl w:val="322C4E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63AB2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2486C"/>
    <w:multiLevelType w:val="hybridMultilevel"/>
    <w:tmpl w:val="569AC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E39B4"/>
    <w:multiLevelType w:val="hybridMultilevel"/>
    <w:tmpl w:val="64CAF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728C3"/>
    <w:multiLevelType w:val="hybridMultilevel"/>
    <w:tmpl w:val="17B85454"/>
    <w:lvl w:ilvl="0" w:tplc="FDB262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0773D"/>
    <w:multiLevelType w:val="hybridMultilevel"/>
    <w:tmpl w:val="138C4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1399E"/>
    <w:multiLevelType w:val="hybridMultilevel"/>
    <w:tmpl w:val="4A204166"/>
    <w:lvl w:ilvl="0" w:tplc="176C0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21DD4"/>
    <w:multiLevelType w:val="hybridMultilevel"/>
    <w:tmpl w:val="8CAC17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D137B"/>
    <w:multiLevelType w:val="hybridMultilevel"/>
    <w:tmpl w:val="D88892B4"/>
    <w:lvl w:ilvl="0" w:tplc="B53A2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E8F"/>
    <w:multiLevelType w:val="hybridMultilevel"/>
    <w:tmpl w:val="818AE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25A59"/>
    <w:multiLevelType w:val="hybridMultilevel"/>
    <w:tmpl w:val="9FF4F6F0"/>
    <w:lvl w:ilvl="0" w:tplc="176C0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BE619"/>
    <w:multiLevelType w:val="hybridMultilevel"/>
    <w:tmpl w:val="DC4CD354"/>
    <w:lvl w:ilvl="0" w:tplc="CD48E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81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1CB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C4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4F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A06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05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A4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2D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858B7"/>
    <w:multiLevelType w:val="hybridMultilevel"/>
    <w:tmpl w:val="FBE0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194C67"/>
    <w:multiLevelType w:val="hybridMultilevel"/>
    <w:tmpl w:val="BC6293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B74FF"/>
    <w:multiLevelType w:val="hybridMultilevel"/>
    <w:tmpl w:val="4914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46EF6"/>
    <w:multiLevelType w:val="hybridMultilevel"/>
    <w:tmpl w:val="440E6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359AF"/>
    <w:multiLevelType w:val="hybridMultilevel"/>
    <w:tmpl w:val="A0DCA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A4743"/>
    <w:multiLevelType w:val="hybridMultilevel"/>
    <w:tmpl w:val="96362AEE"/>
    <w:lvl w:ilvl="0" w:tplc="45649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642A2"/>
    <w:multiLevelType w:val="hybridMultilevel"/>
    <w:tmpl w:val="E4647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D4F86"/>
    <w:multiLevelType w:val="hybridMultilevel"/>
    <w:tmpl w:val="393C426E"/>
    <w:lvl w:ilvl="0" w:tplc="0809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26" w15:restartNumberingAfterBreak="0">
    <w:nsid w:val="51DE6A06"/>
    <w:multiLevelType w:val="hybridMultilevel"/>
    <w:tmpl w:val="4EDA7F38"/>
    <w:lvl w:ilvl="0" w:tplc="B53A2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C79D6"/>
    <w:multiLevelType w:val="hybridMultilevel"/>
    <w:tmpl w:val="B838E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FFAA4"/>
    <w:multiLevelType w:val="hybridMultilevel"/>
    <w:tmpl w:val="70D8A16C"/>
    <w:lvl w:ilvl="0" w:tplc="176C0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63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C1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CC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6F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D66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8B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C8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0C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94EAF"/>
    <w:multiLevelType w:val="hybridMultilevel"/>
    <w:tmpl w:val="8F04389A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F01608"/>
    <w:multiLevelType w:val="hybridMultilevel"/>
    <w:tmpl w:val="AE1ABA68"/>
    <w:lvl w:ilvl="0" w:tplc="A600E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1242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C2080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CE95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32AE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7E9D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40D8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D6B0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E96AF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CD79FF"/>
    <w:multiLevelType w:val="hybridMultilevel"/>
    <w:tmpl w:val="0E6CA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F2972"/>
    <w:multiLevelType w:val="hybridMultilevel"/>
    <w:tmpl w:val="FAF09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45B8E"/>
    <w:multiLevelType w:val="hybridMultilevel"/>
    <w:tmpl w:val="596C17D6"/>
    <w:lvl w:ilvl="0" w:tplc="176C0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DADA9"/>
    <w:multiLevelType w:val="hybridMultilevel"/>
    <w:tmpl w:val="1486D5C2"/>
    <w:lvl w:ilvl="0" w:tplc="16308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2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6B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47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07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64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61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CD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4F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40F4A"/>
    <w:multiLevelType w:val="hybridMultilevel"/>
    <w:tmpl w:val="74BE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45F72"/>
    <w:multiLevelType w:val="hybridMultilevel"/>
    <w:tmpl w:val="CB4CD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73E33"/>
    <w:multiLevelType w:val="hybridMultilevel"/>
    <w:tmpl w:val="617C65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C23D8"/>
    <w:multiLevelType w:val="hybridMultilevel"/>
    <w:tmpl w:val="86F84CAC"/>
    <w:lvl w:ilvl="0" w:tplc="176C0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678CA"/>
    <w:multiLevelType w:val="hybridMultilevel"/>
    <w:tmpl w:val="E350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22856"/>
    <w:multiLevelType w:val="hybridMultilevel"/>
    <w:tmpl w:val="33D8394C"/>
    <w:lvl w:ilvl="0" w:tplc="176C069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1" w15:restartNumberingAfterBreak="0">
    <w:nsid w:val="7FF52128"/>
    <w:multiLevelType w:val="hybridMultilevel"/>
    <w:tmpl w:val="6972D1EE"/>
    <w:lvl w:ilvl="0" w:tplc="176C0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76304">
    <w:abstractNumId w:val="30"/>
  </w:num>
  <w:num w:numId="2" w16cid:durableId="1328364645">
    <w:abstractNumId w:val="34"/>
  </w:num>
  <w:num w:numId="3" w16cid:durableId="162819723">
    <w:abstractNumId w:val="7"/>
  </w:num>
  <w:num w:numId="4" w16cid:durableId="325745831">
    <w:abstractNumId w:val="39"/>
  </w:num>
  <w:num w:numId="5" w16cid:durableId="471292683">
    <w:abstractNumId w:val="5"/>
  </w:num>
  <w:num w:numId="6" w16cid:durableId="1105882425">
    <w:abstractNumId w:val="32"/>
  </w:num>
  <w:num w:numId="7" w16cid:durableId="1483546537">
    <w:abstractNumId w:val="25"/>
  </w:num>
  <w:num w:numId="8" w16cid:durableId="378408279">
    <w:abstractNumId w:val="36"/>
  </w:num>
  <w:num w:numId="9" w16cid:durableId="1483157780">
    <w:abstractNumId w:val="3"/>
  </w:num>
  <w:num w:numId="10" w16cid:durableId="2108307644">
    <w:abstractNumId w:val="22"/>
  </w:num>
  <w:num w:numId="11" w16cid:durableId="637759909">
    <w:abstractNumId w:val="9"/>
  </w:num>
  <w:num w:numId="12" w16cid:durableId="1173716925">
    <w:abstractNumId w:val="20"/>
  </w:num>
  <w:num w:numId="13" w16cid:durableId="726220118">
    <w:abstractNumId w:val="23"/>
  </w:num>
  <w:num w:numId="14" w16cid:durableId="210386229">
    <w:abstractNumId w:val="27"/>
  </w:num>
  <w:num w:numId="15" w16cid:durableId="563374908">
    <w:abstractNumId w:val="11"/>
  </w:num>
  <w:num w:numId="16" w16cid:durableId="185870386">
    <w:abstractNumId w:val="21"/>
  </w:num>
  <w:num w:numId="17" w16cid:durableId="1071469180">
    <w:abstractNumId w:val="15"/>
  </w:num>
  <w:num w:numId="18" w16cid:durableId="93061718">
    <w:abstractNumId w:val="28"/>
  </w:num>
  <w:num w:numId="19" w16cid:durableId="1978760414">
    <w:abstractNumId w:val="17"/>
  </w:num>
  <w:num w:numId="20" w16cid:durableId="1898661143">
    <w:abstractNumId w:val="18"/>
  </w:num>
  <w:num w:numId="21" w16cid:durableId="1096249251">
    <w:abstractNumId w:val="0"/>
  </w:num>
  <w:num w:numId="22" w16cid:durableId="1172795782">
    <w:abstractNumId w:val="35"/>
  </w:num>
  <w:num w:numId="23" w16cid:durableId="1950121513">
    <w:abstractNumId w:val="13"/>
  </w:num>
  <w:num w:numId="24" w16cid:durableId="653529444">
    <w:abstractNumId w:val="6"/>
  </w:num>
  <w:num w:numId="25" w16cid:durableId="954408297">
    <w:abstractNumId w:val="4"/>
  </w:num>
  <w:num w:numId="26" w16cid:durableId="1954708840">
    <w:abstractNumId w:val="29"/>
  </w:num>
  <w:num w:numId="27" w16cid:durableId="756097344">
    <w:abstractNumId w:val="24"/>
  </w:num>
  <w:num w:numId="28" w16cid:durableId="591545846">
    <w:abstractNumId w:val="19"/>
  </w:num>
  <w:num w:numId="29" w16cid:durableId="218826214">
    <w:abstractNumId w:val="31"/>
  </w:num>
  <w:num w:numId="30" w16cid:durableId="1583951497">
    <w:abstractNumId w:val="40"/>
  </w:num>
  <w:num w:numId="31" w16cid:durableId="1656687855">
    <w:abstractNumId w:val="33"/>
  </w:num>
  <w:num w:numId="32" w16cid:durableId="65301267">
    <w:abstractNumId w:val="1"/>
  </w:num>
  <w:num w:numId="33" w16cid:durableId="1066296033">
    <w:abstractNumId w:val="12"/>
  </w:num>
  <w:num w:numId="34" w16cid:durableId="724377474">
    <w:abstractNumId w:val="38"/>
  </w:num>
  <w:num w:numId="35" w16cid:durableId="1764909001">
    <w:abstractNumId w:val="41"/>
  </w:num>
  <w:num w:numId="36" w16cid:durableId="1929535250">
    <w:abstractNumId w:val="2"/>
  </w:num>
  <w:num w:numId="37" w16cid:durableId="7757294">
    <w:abstractNumId w:val="16"/>
  </w:num>
  <w:num w:numId="38" w16cid:durableId="1295136982">
    <w:abstractNumId w:val="8"/>
  </w:num>
  <w:num w:numId="39" w16cid:durableId="293633467">
    <w:abstractNumId w:val="14"/>
  </w:num>
  <w:num w:numId="40" w16cid:durableId="183323829">
    <w:abstractNumId w:val="10"/>
  </w:num>
  <w:num w:numId="41" w16cid:durableId="1600330968">
    <w:abstractNumId w:val="26"/>
  </w:num>
  <w:num w:numId="42" w16cid:durableId="2066293939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10"/>
    <w:rsid w:val="0000212E"/>
    <w:rsid w:val="00006732"/>
    <w:rsid w:val="0000693F"/>
    <w:rsid w:val="000100FF"/>
    <w:rsid w:val="00013B25"/>
    <w:rsid w:val="00016384"/>
    <w:rsid w:val="00016644"/>
    <w:rsid w:val="00021600"/>
    <w:rsid w:val="00025FA5"/>
    <w:rsid w:val="00026ADC"/>
    <w:rsid w:val="00032829"/>
    <w:rsid w:val="00033437"/>
    <w:rsid w:val="0003409A"/>
    <w:rsid w:val="00037DDA"/>
    <w:rsid w:val="00040561"/>
    <w:rsid w:val="00044619"/>
    <w:rsid w:val="000450FB"/>
    <w:rsid w:val="00047067"/>
    <w:rsid w:val="0005256D"/>
    <w:rsid w:val="000525CD"/>
    <w:rsid w:val="000537FC"/>
    <w:rsid w:val="00053A76"/>
    <w:rsid w:val="00054060"/>
    <w:rsid w:val="00061B50"/>
    <w:rsid w:val="00070937"/>
    <w:rsid w:val="00074457"/>
    <w:rsid w:val="000769D9"/>
    <w:rsid w:val="0007722D"/>
    <w:rsid w:val="000779C0"/>
    <w:rsid w:val="000811FC"/>
    <w:rsid w:val="00085430"/>
    <w:rsid w:val="000863D8"/>
    <w:rsid w:val="00087A6E"/>
    <w:rsid w:val="000916C2"/>
    <w:rsid w:val="00092D4D"/>
    <w:rsid w:val="000930F6"/>
    <w:rsid w:val="000933AC"/>
    <w:rsid w:val="00093F6E"/>
    <w:rsid w:val="000940EC"/>
    <w:rsid w:val="00094345"/>
    <w:rsid w:val="000948E1"/>
    <w:rsid w:val="00095686"/>
    <w:rsid w:val="000A163D"/>
    <w:rsid w:val="000A2EA4"/>
    <w:rsid w:val="000A3077"/>
    <w:rsid w:val="000A35F8"/>
    <w:rsid w:val="000A3D9F"/>
    <w:rsid w:val="000A5183"/>
    <w:rsid w:val="000A682E"/>
    <w:rsid w:val="000A6865"/>
    <w:rsid w:val="000A70F7"/>
    <w:rsid w:val="000B00B1"/>
    <w:rsid w:val="000B67AE"/>
    <w:rsid w:val="000B7559"/>
    <w:rsid w:val="000C1A03"/>
    <w:rsid w:val="000C2DBA"/>
    <w:rsid w:val="000C5D5B"/>
    <w:rsid w:val="000D238C"/>
    <w:rsid w:val="000D282D"/>
    <w:rsid w:val="000D58FA"/>
    <w:rsid w:val="000D5D46"/>
    <w:rsid w:val="000D7CFB"/>
    <w:rsid w:val="000E0D15"/>
    <w:rsid w:val="000E162A"/>
    <w:rsid w:val="000E16F8"/>
    <w:rsid w:val="000E17EE"/>
    <w:rsid w:val="000E3F12"/>
    <w:rsid w:val="000E4D11"/>
    <w:rsid w:val="000F5617"/>
    <w:rsid w:val="000F5A94"/>
    <w:rsid w:val="001019C4"/>
    <w:rsid w:val="00103E08"/>
    <w:rsid w:val="00105F31"/>
    <w:rsid w:val="0010613C"/>
    <w:rsid w:val="00115254"/>
    <w:rsid w:val="00115A37"/>
    <w:rsid w:val="001161E3"/>
    <w:rsid w:val="0012147D"/>
    <w:rsid w:val="001263A4"/>
    <w:rsid w:val="00131952"/>
    <w:rsid w:val="00134E0C"/>
    <w:rsid w:val="00136683"/>
    <w:rsid w:val="001410A9"/>
    <w:rsid w:val="00141C99"/>
    <w:rsid w:val="00146055"/>
    <w:rsid w:val="0015498A"/>
    <w:rsid w:val="00154DE5"/>
    <w:rsid w:val="00155086"/>
    <w:rsid w:val="00160D21"/>
    <w:rsid w:val="00163621"/>
    <w:rsid w:val="00165D09"/>
    <w:rsid w:val="00167010"/>
    <w:rsid w:val="001700EA"/>
    <w:rsid w:val="0017644A"/>
    <w:rsid w:val="0018028F"/>
    <w:rsid w:val="001805F2"/>
    <w:rsid w:val="00180809"/>
    <w:rsid w:val="00181CBE"/>
    <w:rsid w:val="0018687A"/>
    <w:rsid w:val="00192057"/>
    <w:rsid w:val="0019408B"/>
    <w:rsid w:val="00197E04"/>
    <w:rsid w:val="001A155C"/>
    <w:rsid w:val="001A1790"/>
    <w:rsid w:val="001A708A"/>
    <w:rsid w:val="001B06B4"/>
    <w:rsid w:val="001B28CA"/>
    <w:rsid w:val="001B681C"/>
    <w:rsid w:val="001C05DA"/>
    <w:rsid w:val="001C350B"/>
    <w:rsid w:val="001C4913"/>
    <w:rsid w:val="001C7C49"/>
    <w:rsid w:val="001D0A0F"/>
    <w:rsid w:val="001D5139"/>
    <w:rsid w:val="001E1ABC"/>
    <w:rsid w:val="001E2D93"/>
    <w:rsid w:val="001E3D4B"/>
    <w:rsid w:val="001E4E2B"/>
    <w:rsid w:val="001E4F9D"/>
    <w:rsid w:val="001E6482"/>
    <w:rsid w:val="001F2043"/>
    <w:rsid w:val="001F62F1"/>
    <w:rsid w:val="001F7F37"/>
    <w:rsid w:val="00207636"/>
    <w:rsid w:val="00207B02"/>
    <w:rsid w:val="00210378"/>
    <w:rsid w:val="00211DEB"/>
    <w:rsid w:val="0021236A"/>
    <w:rsid w:val="002140A6"/>
    <w:rsid w:val="0021580B"/>
    <w:rsid w:val="00221B3E"/>
    <w:rsid w:val="00226981"/>
    <w:rsid w:val="00226E5A"/>
    <w:rsid w:val="00230F11"/>
    <w:rsid w:val="00233852"/>
    <w:rsid w:val="002340FB"/>
    <w:rsid w:val="00236552"/>
    <w:rsid w:val="002369CA"/>
    <w:rsid w:val="002435CE"/>
    <w:rsid w:val="00244457"/>
    <w:rsid w:val="00245C48"/>
    <w:rsid w:val="0024684E"/>
    <w:rsid w:val="00246ACA"/>
    <w:rsid w:val="00250421"/>
    <w:rsid w:val="002539EC"/>
    <w:rsid w:val="0026138E"/>
    <w:rsid w:val="0026194E"/>
    <w:rsid w:val="0026427A"/>
    <w:rsid w:val="00266FAE"/>
    <w:rsid w:val="00267D76"/>
    <w:rsid w:val="002721AA"/>
    <w:rsid w:val="002727F3"/>
    <w:rsid w:val="00272983"/>
    <w:rsid w:val="00275240"/>
    <w:rsid w:val="00280763"/>
    <w:rsid w:val="0028172C"/>
    <w:rsid w:val="00281BB1"/>
    <w:rsid w:val="00284357"/>
    <w:rsid w:val="00284C2F"/>
    <w:rsid w:val="002945CC"/>
    <w:rsid w:val="00294A4C"/>
    <w:rsid w:val="00296D59"/>
    <w:rsid w:val="00296E6D"/>
    <w:rsid w:val="00297698"/>
    <w:rsid w:val="002A2C43"/>
    <w:rsid w:val="002A3882"/>
    <w:rsid w:val="002A64A3"/>
    <w:rsid w:val="002B33CC"/>
    <w:rsid w:val="002B36A3"/>
    <w:rsid w:val="002B6CBD"/>
    <w:rsid w:val="002C22EB"/>
    <w:rsid w:val="002C3088"/>
    <w:rsid w:val="002C4B4F"/>
    <w:rsid w:val="002C4E48"/>
    <w:rsid w:val="002C5138"/>
    <w:rsid w:val="002C6860"/>
    <w:rsid w:val="002C7710"/>
    <w:rsid w:val="002D1302"/>
    <w:rsid w:val="002D7C4F"/>
    <w:rsid w:val="002E6F62"/>
    <w:rsid w:val="002E701B"/>
    <w:rsid w:val="002F0A37"/>
    <w:rsid w:val="002F266C"/>
    <w:rsid w:val="002F2CA3"/>
    <w:rsid w:val="002F5150"/>
    <w:rsid w:val="002F61A3"/>
    <w:rsid w:val="002F756F"/>
    <w:rsid w:val="0030096D"/>
    <w:rsid w:val="0030221B"/>
    <w:rsid w:val="0030479F"/>
    <w:rsid w:val="00307C25"/>
    <w:rsid w:val="00315558"/>
    <w:rsid w:val="003171B6"/>
    <w:rsid w:val="00317618"/>
    <w:rsid w:val="00320925"/>
    <w:rsid w:val="00321849"/>
    <w:rsid w:val="00332B89"/>
    <w:rsid w:val="00336A19"/>
    <w:rsid w:val="003423C7"/>
    <w:rsid w:val="003425EE"/>
    <w:rsid w:val="00345C24"/>
    <w:rsid w:val="00353761"/>
    <w:rsid w:val="00357E82"/>
    <w:rsid w:val="003661F8"/>
    <w:rsid w:val="00366DDD"/>
    <w:rsid w:val="00367563"/>
    <w:rsid w:val="00367610"/>
    <w:rsid w:val="00373BE8"/>
    <w:rsid w:val="00373EFF"/>
    <w:rsid w:val="0037578C"/>
    <w:rsid w:val="00377490"/>
    <w:rsid w:val="00377ACC"/>
    <w:rsid w:val="003818A7"/>
    <w:rsid w:val="00381F1F"/>
    <w:rsid w:val="003832B7"/>
    <w:rsid w:val="00384216"/>
    <w:rsid w:val="00385600"/>
    <w:rsid w:val="0038679B"/>
    <w:rsid w:val="003901C8"/>
    <w:rsid w:val="00393507"/>
    <w:rsid w:val="00396273"/>
    <w:rsid w:val="003A0D01"/>
    <w:rsid w:val="003A2731"/>
    <w:rsid w:val="003A3950"/>
    <w:rsid w:val="003B31F4"/>
    <w:rsid w:val="003B3BE8"/>
    <w:rsid w:val="003B6B07"/>
    <w:rsid w:val="003B747C"/>
    <w:rsid w:val="003B7A41"/>
    <w:rsid w:val="003C1147"/>
    <w:rsid w:val="003C25FF"/>
    <w:rsid w:val="003C2CED"/>
    <w:rsid w:val="003C4C00"/>
    <w:rsid w:val="003C5FBD"/>
    <w:rsid w:val="003D02EF"/>
    <w:rsid w:val="003D325A"/>
    <w:rsid w:val="003D63A4"/>
    <w:rsid w:val="003D6632"/>
    <w:rsid w:val="003D7596"/>
    <w:rsid w:val="003E19CE"/>
    <w:rsid w:val="003E218F"/>
    <w:rsid w:val="003E4FE5"/>
    <w:rsid w:val="003E6261"/>
    <w:rsid w:val="003E63D5"/>
    <w:rsid w:val="003F3ACE"/>
    <w:rsid w:val="003F4BF8"/>
    <w:rsid w:val="003F5384"/>
    <w:rsid w:val="003F5554"/>
    <w:rsid w:val="003F7204"/>
    <w:rsid w:val="004025F2"/>
    <w:rsid w:val="00406222"/>
    <w:rsid w:val="004073BC"/>
    <w:rsid w:val="00412609"/>
    <w:rsid w:val="00412B2C"/>
    <w:rsid w:val="00413500"/>
    <w:rsid w:val="004154C4"/>
    <w:rsid w:val="00416766"/>
    <w:rsid w:val="00420982"/>
    <w:rsid w:val="00422FD0"/>
    <w:rsid w:val="00423408"/>
    <w:rsid w:val="00423CC1"/>
    <w:rsid w:val="00426767"/>
    <w:rsid w:val="00431D15"/>
    <w:rsid w:val="004333ED"/>
    <w:rsid w:val="004361C7"/>
    <w:rsid w:val="004362FB"/>
    <w:rsid w:val="00440313"/>
    <w:rsid w:val="00440958"/>
    <w:rsid w:val="00443B07"/>
    <w:rsid w:val="00443FCE"/>
    <w:rsid w:val="00444AA1"/>
    <w:rsid w:val="00444F7C"/>
    <w:rsid w:val="00445BA1"/>
    <w:rsid w:val="004465E7"/>
    <w:rsid w:val="004500D8"/>
    <w:rsid w:val="00451542"/>
    <w:rsid w:val="004519C2"/>
    <w:rsid w:val="00453C64"/>
    <w:rsid w:val="00460FE5"/>
    <w:rsid w:val="004617D2"/>
    <w:rsid w:val="00465459"/>
    <w:rsid w:val="00466D27"/>
    <w:rsid w:val="0047401F"/>
    <w:rsid w:val="00474DB0"/>
    <w:rsid w:val="0047568B"/>
    <w:rsid w:val="00480480"/>
    <w:rsid w:val="00482656"/>
    <w:rsid w:val="004836A5"/>
    <w:rsid w:val="004856D1"/>
    <w:rsid w:val="00486505"/>
    <w:rsid w:val="0049110A"/>
    <w:rsid w:val="004914D9"/>
    <w:rsid w:val="00495D22"/>
    <w:rsid w:val="004A30BC"/>
    <w:rsid w:val="004A7232"/>
    <w:rsid w:val="004A7F5D"/>
    <w:rsid w:val="004B1DBD"/>
    <w:rsid w:val="004B3A20"/>
    <w:rsid w:val="004B5125"/>
    <w:rsid w:val="004B5A06"/>
    <w:rsid w:val="004B5A38"/>
    <w:rsid w:val="004C0A36"/>
    <w:rsid w:val="004C0BCC"/>
    <w:rsid w:val="004C1D9B"/>
    <w:rsid w:val="004C2374"/>
    <w:rsid w:val="004C51C6"/>
    <w:rsid w:val="004C6561"/>
    <w:rsid w:val="004D2916"/>
    <w:rsid w:val="004D37B1"/>
    <w:rsid w:val="004D3FF2"/>
    <w:rsid w:val="004D52A3"/>
    <w:rsid w:val="004D5DEE"/>
    <w:rsid w:val="004D6309"/>
    <w:rsid w:val="004D6DB1"/>
    <w:rsid w:val="004E27FD"/>
    <w:rsid w:val="004E2936"/>
    <w:rsid w:val="004E36FB"/>
    <w:rsid w:val="004E38F8"/>
    <w:rsid w:val="004E3B56"/>
    <w:rsid w:val="004E520D"/>
    <w:rsid w:val="004E6527"/>
    <w:rsid w:val="004F0029"/>
    <w:rsid w:val="004F27AB"/>
    <w:rsid w:val="004F34A4"/>
    <w:rsid w:val="004F3632"/>
    <w:rsid w:val="004F4771"/>
    <w:rsid w:val="004F4793"/>
    <w:rsid w:val="00500673"/>
    <w:rsid w:val="00503A24"/>
    <w:rsid w:val="00507279"/>
    <w:rsid w:val="00511BDD"/>
    <w:rsid w:val="00513847"/>
    <w:rsid w:val="00516068"/>
    <w:rsid w:val="00521698"/>
    <w:rsid w:val="00521E4B"/>
    <w:rsid w:val="00522118"/>
    <w:rsid w:val="00525537"/>
    <w:rsid w:val="00526CBA"/>
    <w:rsid w:val="00531591"/>
    <w:rsid w:val="00531B07"/>
    <w:rsid w:val="00532F83"/>
    <w:rsid w:val="0053393B"/>
    <w:rsid w:val="0053483E"/>
    <w:rsid w:val="00535216"/>
    <w:rsid w:val="00535F4E"/>
    <w:rsid w:val="00546E92"/>
    <w:rsid w:val="00550D0C"/>
    <w:rsid w:val="005521CB"/>
    <w:rsid w:val="005559C9"/>
    <w:rsid w:val="00555B76"/>
    <w:rsid w:val="005609F4"/>
    <w:rsid w:val="0056680F"/>
    <w:rsid w:val="00566A1C"/>
    <w:rsid w:val="0057016A"/>
    <w:rsid w:val="00570BDB"/>
    <w:rsid w:val="005719BD"/>
    <w:rsid w:val="00572245"/>
    <w:rsid w:val="00574167"/>
    <w:rsid w:val="005758E9"/>
    <w:rsid w:val="005759EF"/>
    <w:rsid w:val="005850F3"/>
    <w:rsid w:val="005900AA"/>
    <w:rsid w:val="0059044F"/>
    <w:rsid w:val="005911A9"/>
    <w:rsid w:val="00592BF4"/>
    <w:rsid w:val="00592C9F"/>
    <w:rsid w:val="00593927"/>
    <w:rsid w:val="00593BE4"/>
    <w:rsid w:val="005A1067"/>
    <w:rsid w:val="005A2375"/>
    <w:rsid w:val="005A2887"/>
    <w:rsid w:val="005A355E"/>
    <w:rsid w:val="005B0384"/>
    <w:rsid w:val="005B1CFC"/>
    <w:rsid w:val="005B2620"/>
    <w:rsid w:val="005B26E2"/>
    <w:rsid w:val="005B3E11"/>
    <w:rsid w:val="005B456B"/>
    <w:rsid w:val="005C38CE"/>
    <w:rsid w:val="005C3BC9"/>
    <w:rsid w:val="005C6821"/>
    <w:rsid w:val="005C78B6"/>
    <w:rsid w:val="005D1213"/>
    <w:rsid w:val="005D2F0C"/>
    <w:rsid w:val="005D4596"/>
    <w:rsid w:val="005D4D5C"/>
    <w:rsid w:val="005D55D4"/>
    <w:rsid w:val="005D623D"/>
    <w:rsid w:val="005D6D5D"/>
    <w:rsid w:val="005D7437"/>
    <w:rsid w:val="005E46EC"/>
    <w:rsid w:val="005F02F3"/>
    <w:rsid w:val="005F2453"/>
    <w:rsid w:val="005F42CF"/>
    <w:rsid w:val="005F5C65"/>
    <w:rsid w:val="005F7714"/>
    <w:rsid w:val="00602366"/>
    <w:rsid w:val="00603037"/>
    <w:rsid w:val="006033E7"/>
    <w:rsid w:val="00604CCA"/>
    <w:rsid w:val="00605CE0"/>
    <w:rsid w:val="00610A8B"/>
    <w:rsid w:val="00612F3E"/>
    <w:rsid w:val="00617B2E"/>
    <w:rsid w:val="00620EF9"/>
    <w:rsid w:val="006218CE"/>
    <w:rsid w:val="00622FCA"/>
    <w:rsid w:val="006243FF"/>
    <w:rsid w:val="00627E39"/>
    <w:rsid w:val="00627F76"/>
    <w:rsid w:val="0063046B"/>
    <w:rsid w:val="00631A57"/>
    <w:rsid w:val="00633DEB"/>
    <w:rsid w:val="00634616"/>
    <w:rsid w:val="00634DAB"/>
    <w:rsid w:val="0063637F"/>
    <w:rsid w:val="00636656"/>
    <w:rsid w:val="00636B9C"/>
    <w:rsid w:val="006425D9"/>
    <w:rsid w:val="00643CC2"/>
    <w:rsid w:val="00644727"/>
    <w:rsid w:val="006449CF"/>
    <w:rsid w:val="00645476"/>
    <w:rsid w:val="0064549D"/>
    <w:rsid w:val="0064657C"/>
    <w:rsid w:val="00646985"/>
    <w:rsid w:val="00652B69"/>
    <w:rsid w:val="00653B4D"/>
    <w:rsid w:val="0065413C"/>
    <w:rsid w:val="00654C45"/>
    <w:rsid w:val="00660C79"/>
    <w:rsid w:val="00661788"/>
    <w:rsid w:val="006642BE"/>
    <w:rsid w:val="00673529"/>
    <w:rsid w:val="00674B66"/>
    <w:rsid w:val="00676020"/>
    <w:rsid w:val="006768EF"/>
    <w:rsid w:val="00677702"/>
    <w:rsid w:val="006859F1"/>
    <w:rsid w:val="00685BA6"/>
    <w:rsid w:val="00686F75"/>
    <w:rsid w:val="00687F40"/>
    <w:rsid w:val="0069269B"/>
    <w:rsid w:val="006975F1"/>
    <w:rsid w:val="006B0822"/>
    <w:rsid w:val="006B0DE1"/>
    <w:rsid w:val="006B333E"/>
    <w:rsid w:val="006B6042"/>
    <w:rsid w:val="006B60C9"/>
    <w:rsid w:val="006B615B"/>
    <w:rsid w:val="006B61EC"/>
    <w:rsid w:val="006B6FBC"/>
    <w:rsid w:val="006C35ED"/>
    <w:rsid w:val="006C45AC"/>
    <w:rsid w:val="006C6843"/>
    <w:rsid w:val="006D16CE"/>
    <w:rsid w:val="006D43D9"/>
    <w:rsid w:val="006D6E2F"/>
    <w:rsid w:val="006D6F32"/>
    <w:rsid w:val="006D7989"/>
    <w:rsid w:val="006E28C4"/>
    <w:rsid w:val="006E3865"/>
    <w:rsid w:val="006E3AB2"/>
    <w:rsid w:val="006E5BDD"/>
    <w:rsid w:val="006E5D8B"/>
    <w:rsid w:val="006E705E"/>
    <w:rsid w:val="006F5C24"/>
    <w:rsid w:val="006F70E2"/>
    <w:rsid w:val="006F7614"/>
    <w:rsid w:val="007036CB"/>
    <w:rsid w:val="007047BD"/>
    <w:rsid w:val="00707D58"/>
    <w:rsid w:val="00710B12"/>
    <w:rsid w:val="0071167C"/>
    <w:rsid w:val="00711E93"/>
    <w:rsid w:val="00712D47"/>
    <w:rsid w:val="007130A6"/>
    <w:rsid w:val="00715DF5"/>
    <w:rsid w:val="00716E1F"/>
    <w:rsid w:val="007205F3"/>
    <w:rsid w:val="007247C7"/>
    <w:rsid w:val="0072765F"/>
    <w:rsid w:val="0073343B"/>
    <w:rsid w:val="00744A48"/>
    <w:rsid w:val="00744EF2"/>
    <w:rsid w:val="0074642A"/>
    <w:rsid w:val="00751A53"/>
    <w:rsid w:val="0075288E"/>
    <w:rsid w:val="00754754"/>
    <w:rsid w:val="0075535A"/>
    <w:rsid w:val="007578EA"/>
    <w:rsid w:val="0076073C"/>
    <w:rsid w:val="007608DC"/>
    <w:rsid w:val="00760F9A"/>
    <w:rsid w:val="00765AE1"/>
    <w:rsid w:val="00766162"/>
    <w:rsid w:val="007676FF"/>
    <w:rsid w:val="00770506"/>
    <w:rsid w:val="00782777"/>
    <w:rsid w:val="007834A4"/>
    <w:rsid w:val="007835FD"/>
    <w:rsid w:val="00783E5C"/>
    <w:rsid w:val="0078627A"/>
    <w:rsid w:val="00790593"/>
    <w:rsid w:val="007929A4"/>
    <w:rsid w:val="00796918"/>
    <w:rsid w:val="007970AD"/>
    <w:rsid w:val="007971D1"/>
    <w:rsid w:val="007A0777"/>
    <w:rsid w:val="007A4720"/>
    <w:rsid w:val="007A49A3"/>
    <w:rsid w:val="007A66D9"/>
    <w:rsid w:val="007A6FC9"/>
    <w:rsid w:val="007A7E61"/>
    <w:rsid w:val="007B05D9"/>
    <w:rsid w:val="007B0CDF"/>
    <w:rsid w:val="007B40AB"/>
    <w:rsid w:val="007B4391"/>
    <w:rsid w:val="007B709F"/>
    <w:rsid w:val="007C3F12"/>
    <w:rsid w:val="007C4A14"/>
    <w:rsid w:val="007C58E4"/>
    <w:rsid w:val="007D441B"/>
    <w:rsid w:val="007E0562"/>
    <w:rsid w:val="007E3230"/>
    <w:rsid w:val="007E531C"/>
    <w:rsid w:val="007E584A"/>
    <w:rsid w:val="007E5C5F"/>
    <w:rsid w:val="007F0B04"/>
    <w:rsid w:val="007F25FE"/>
    <w:rsid w:val="007F5426"/>
    <w:rsid w:val="007F6249"/>
    <w:rsid w:val="007F6EFE"/>
    <w:rsid w:val="008010CA"/>
    <w:rsid w:val="00801105"/>
    <w:rsid w:val="00802F06"/>
    <w:rsid w:val="0080382B"/>
    <w:rsid w:val="0081433E"/>
    <w:rsid w:val="00814DA3"/>
    <w:rsid w:val="0081641D"/>
    <w:rsid w:val="00820293"/>
    <w:rsid w:val="008220E7"/>
    <w:rsid w:val="0082547B"/>
    <w:rsid w:val="00825DDC"/>
    <w:rsid w:val="0083155B"/>
    <w:rsid w:val="00831809"/>
    <w:rsid w:val="00836585"/>
    <w:rsid w:val="00836E98"/>
    <w:rsid w:val="008374D0"/>
    <w:rsid w:val="008400CE"/>
    <w:rsid w:val="0084217A"/>
    <w:rsid w:val="0084559F"/>
    <w:rsid w:val="008465EE"/>
    <w:rsid w:val="008528F2"/>
    <w:rsid w:val="00852D62"/>
    <w:rsid w:val="00853441"/>
    <w:rsid w:val="008543FB"/>
    <w:rsid w:val="00854D20"/>
    <w:rsid w:val="00861B46"/>
    <w:rsid w:val="00863AA8"/>
    <w:rsid w:val="00863B35"/>
    <w:rsid w:val="00864CBD"/>
    <w:rsid w:val="00865237"/>
    <w:rsid w:val="0086634D"/>
    <w:rsid w:val="00872B68"/>
    <w:rsid w:val="00877BE7"/>
    <w:rsid w:val="00880A22"/>
    <w:rsid w:val="0088615B"/>
    <w:rsid w:val="0088777F"/>
    <w:rsid w:val="0089075F"/>
    <w:rsid w:val="008921FA"/>
    <w:rsid w:val="008954B6"/>
    <w:rsid w:val="00896D6F"/>
    <w:rsid w:val="008A03D4"/>
    <w:rsid w:val="008A345E"/>
    <w:rsid w:val="008A47AE"/>
    <w:rsid w:val="008A4C8F"/>
    <w:rsid w:val="008A5426"/>
    <w:rsid w:val="008A550D"/>
    <w:rsid w:val="008A5F2D"/>
    <w:rsid w:val="008A6B04"/>
    <w:rsid w:val="008A73D4"/>
    <w:rsid w:val="008B0725"/>
    <w:rsid w:val="008B12C2"/>
    <w:rsid w:val="008B13B4"/>
    <w:rsid w:val="008B258B"/>
    <w:rsid w:val="008B4FD3"/>
    <w:rsid w:val="008B58C4"/>
    <w:rsid w:val="008B68F1"/>
    <w:rsid w:val="008C1556"/>
    <w:rsid w:val="008C1601"/>
    <w:rsid w:val="008C1A73"/>
    <w:rsid w:val="008C1AFD"/>
    <w:rsid w:val="008C2F31"/>
    <w:rsid w:val="008C555F"/>
    <w:rsid w:val="008C6651"/>
    <w:rsid w:val="008C78C7"/>
    <w:rsid w:val="008D113C"/>
    <w:rsid w:val="008D34E3"/>
    <w:rsid w:val="008D376F"/>
    <w:rsid w:val="008D38D9"/>
    <w:rsid w:val="008D5E27"/>
    <w:rsid w:val="008D6799"/>
    <w:rsid w:val="008E0D28"/>
    <w:rsid w:val="008E0E3F"/>
    <w:rsid w:val="008E3017"/>
    <w:rsid w:val="008E3A44"/>
    <w:rsid w:val="008E416C"/>
    <w:rsid w:val="008E4B4E"/>
    <w:rsid w:val="008E5FE0"/>
    <w:rsid w:val="008F3DF8"/>
    <w:rsid w:val="008F48CC"/>
    <w:rsid w:val="00900110"/>
    <w:rsid w:val="0090081E"/>
    <w:rsid w:val="0090795B"/>
    <w:rsid w:val="009131FD"/>
    <w:rsid w:val="009140F7"/>
    <w:rsid w:val="00916128"/>
    <w:rsid w:val="00917337"/>
    <w:rsid w:val="00917BB1"/>
    <w:rsid w:val="00921A2A"/>
    <w:rsid w:val="00922124"/>
    <w:rsid w:val="00926EA6"/>
    <w:rsid w:val="00927FA0"/>
    <w:rsid w:val="0093463C"/>
    <w:rsid w:val="0093501C"/>
    <w:rsid w:val="00942B88"/>
    <w:rsid w:val="0094457F"/>
    <w:rsid w:val="00946656"/>
    <w:rsid w:val="00947838"/>
    <w:rsid w:val="00950BF9"/>
    <w:rsid w:val="00953291"/>
    <w:rsid w:val="009550B6"/>
    <w:rsid w:val="00956191"/>
    <w:rsid w:val="00956F7F"/>
    <w:rsid w:val="00961CA7"/>
    <w:rsid w:val="00962059"/>
    <w:rsid w:val="009634D2"/>
    <w:rsid w:val="009636C2"/>
    <w:rsid w:val="00965648"/>
    <w:rsid w:val="009664FD"/>
    <w:rsid w:val="009666EE"/>
    <w:rsid w:val="0096745E"/>
    <w:rsid w:val="00972076"/>
    <w:rsid w:val="00972094"/>
    <w:rsid w:val="00974351"/>
    <w:rsid w:val="00975979"/>
    <w:rsid w:val="00975D21"/>
    <w:rsid w:val="00980531"/>
    <w:rsid w:val="009805ED"/>
    <w:rsid w:val="0098088A"/>
    <w:rsid w:val="00984B3C"/>
    <w:rsid w:val="009875CF"/>
    <w:rsid w:val="0099065F"/>
    <w:rsid w:val="00991C3F"/>
    <w:rsid w:val="00993751"/>
    <w:rsid w:val="009A0B57"/>
    <w:rsid w:val="009A1998"/>
    <w:rsid w:val="009A240D"/>
    <w:rsid w:val="009A37DF"/>
    <w:rsid w:val="009A3959"/>
    <w:rsid w:val="009A3D38"/>
    <w:rsid w:val="009A3DF4"/>
    <w:rsid w:val="009A5FFD"/>
    <w:rsid w:val="009B0C0B"/>
    <w:rsid w:val="009B2B4E"/>
    <w:rsid w:val="009B2D00"/>
    <w:rsid w:val="009B3216"/>
    <w:rsid w:val="009B44E3"/>
    <w:rsid w:val="009C6874"/>
    <w:rsid w:val="009C7A88"/>
    <w:rsid w:val="009C7ACA"/>
    <w:rsid w:val="009D19DF"/>
    <w:rsid w:val="009D30BA"/>
    <w:rsid w:val="009D3BB0"/>
    <w:rsid w:val="009D4EC8"/>
    <w:rsid w:val="009D5C4E"/>
    <w:rsid w:val="009D6BAA"/>
    <w:rsid w:val="009D7789"/>
    <w:rsid w:val="009E17B6"/>
    <w:rsid w:val="009E1D00"/>
    <w:rsid w:val="009E22DF"/>
    <w:rsid w:val="009E25C5"/>
    <w:rsid w:val="009E46B6"/>
    <w:rsid w:val="009E69CD"/>
    <w:rsid w:val="009E7363"/>
    <w:rsid w:val="009F1EFA"/>
    <w:rsid w:val="009F39FC"/>
    <w:rsid w:val="009F3A7A"/>
    <w:rsid w:val="009F461F"/>
    <w:rsid w:val="009F5A06"/>
    <w:rsid w:val="00A00173"/>
    <w:rsid w:val="00A00563"/>
    <w:rsid w:val="00A02507"/>
    <w:rsid w:val="00A03990"/>
    <w:rsid w:val="00A0689F"/>
    <w:rsid w:val="00A079C0"/>
    <w:rsid w:val="00A10360"/>
    <w:rsid w:val="00A1173F"/>
    <w:rsid w:val="00A15532"/>
    <w:rsid w:val="00A162ED"/>
    <w:rsid w:val="00A20F7E"/>
    <w:rsid w:val="00A269A3"/>
    <w:rsid w:val="00A3160A"/>
    <w:rsid w:val="00A31E26"/>
    <w:rsid w:val="00A32F12"/>
    <w:rsid w:val="00A34780"/>
    <w:rsid w:val="00A34BB2"/>
    <w:rsid w:val="00A418BA"/>
    <w:rsid w:val="00A44423"/>
    <w:rsid w:val="00A46521"/>
    <w:rsid w:val="00A4691F"/>
    <w:rsid w:val="00A47638"/>
    <w:rsid w:val="00A5092D"/>
    <w:rsid w:val="00A511BF"/>
    <w:rsid w:val="00A514A4"/>
    <w:rsid w:val="00A51ED5"/>
    <w:rsid w:val="00A52070"/>
    <w:rsid w:val="00A52FA6"/>
    <w:rsid w:val="00A5749C"/>
    <w:rsid w:val="00A613E1"/>
    <w:rsid w:val="00A62CC8"/>
    <w:rsid w:val="00A63422"/>
    <w:rsid w:val="00A67B8E"/>
    <w:rsid w:val="00A705E3"/>
    <w:rsid w:val="00A7227E"/>
    <w:rsid w:val="00A752B2"/>
    <w:rsid w:val="00A76967"/>
    <w:rsid w:val="00A773CE"/>
    <w:rsid w:val="00A775FD"/>
    <w:rsid w:val="00A77697"/>
    <w:rsid w:val="00A80B42"/>
    <w:rsid w:val="00A85BED"/>
    <w:rsid w:val="00A8789C"/>
    <w:rsid w:val="00A91126"/>
    <w:rsid w:val="00A9349C"/>
    <w:rsid w:val="00A93AB2"/>
    <w:rsid w:val="00A94A79"/>
    <w:rsid w:val="00A95375"/>
    <w:rsid w:val="00AA392B"/>
    <w:rsid w:val="00AA3C6E"/>
    <w:rsid w:val="00AA484B"/>
    <w:rsid w:val="00AA651A"/>
    <w:rsid w:val="00AA6DC0"/>
    <w:rsid w:val="00AB05B3"/>
    <w:rsid w:val="00AB2779"/>
    <w:rsid w:val="00AB4578"/>
    <w:rsid w:val="00AB47A9"/>
    <w:rsid w:val="00AB48FC"/>
    <w:rsid w:val="00AB690A"/>
    <w:rsid w:val="00AB7BA9"/>
    <w:rsid w:val="00AC04C2"/>
    <w:rsid w:val="00AC2D33"/>
    <w:rsid w:val="00AC3CCE"/>
    <w:rsid w:val="00AD0166"/>
    <w:rsid w:val="00AD3C18"/>
    <w:rsid w:val="00AD606E"/>
    <w:rsid w:val="00AE068C"/>
    <w:rsid w:val="00AF06F4"/>
    <w:rsid w:val="00AF1C78"/>
    <w:rsid w:val="00AF4115"/>
    <w:rsid w:val="00AF5D51"/>
    <w:rsid w:val="00AF607B"/>
    <w:rsid w:val="00AF65E6"/>
    <w:rsid w:val="00B0119A"/>
    <w:rsid w:val="00B03D67"/>
    <w:rsid w:val="00B05207"/>
    <w:rsid w:val="00B11912"/>
    <w:rsid w:val="00B13F08"/>
    <w:rsid w:val="00B14A1E"/>
    <w:rsid w:val="00B1655B"/>
    <w:rsid w:val="00B165C4"/>
    <w:rsid w:val="00B21B2C"/>
    <w:rsid w:val="00B26B28"/>
    <w:rsid w:val="00B30745"/>
    <w:rsid w:val="00B31AA7"/>
    <w:rsid w:val="00B3371F"/>
    <w:rsid w:val="00B35128"/>
    <w:rsid w:val="00B37932"/>
    <w:rsid w:val="00B407DD"/>
    <w:rsid w:val="00B42561"/>
    <w:rsid w:val="00B44DFB"/>
    <w:rsid w:val="00B45241"/>
    <w:rsid w:val="00B46549"/>
    <w:rsid w:val="00B46E48"/>
    <w:rsid w:val="00B50985"/>
    <w:rsid w:val="00B50E2F"/>
    <w:rsid w:val="00B5256C"/>
    <w:rsid w:val="00B53802"/>
    <w:rsid w:val="00B53F74"/>
    <w:rsid w:val="00B54CF4"/>
    <w:rsid w:val="00B556BC"/>
    <w:rsid w:val="00B6482E"/>
    <w:rsid w:val="00B71D94"/>
    <w:rsid w:val="00B72669"/>
    <w:rsid w:val="00B755DC"/>
    <w:rsid w:val="00B758D5"/>
    <w:rsid w:val="00B75DC8"/>
    <w:rsid w:val="00B7739C"/>
    <w:rsid w:val="00B8024C"/>
    <w:rsid w:val="00B825D5"/>
    <w:rsid w:val="00B82D7C"/>
    <w:rsid w:val="00B83DBD"/>
    <w:rsid w:val="00B87EC8"/>
    <w:rsid w:val="00B912C4"/>
    <w:rsid w:val="00B91602"/>
    <w:rsid w:val="00B92295"/>
    <w:rsid w:val="00BA4C7C"/>
    <w:rsid w:val="00BA62F7"/>
    <w:rsid w:val="00BB09B4"/>
    <w:rsid w:val="00BB09E3"/>
    <w:rsid w:val="00BB7195"/>
    <w:rsid w:val="00BC0C72"/>
    <w:rsid w:val="00BC2CC5"/>
    <w:rsid w:val="00BC2F7B"/>
    <w:rsid w:val="00BC3512"/>
    <w:rsid w:val="00BC36C4"/>
    <w:rsid w:val="00BC4C15"/>
    <w:rsid w:val="00BD142E"/>
    <w:rsid w:val="00BD39FE"/>
    <w:rsid w:val="00BD4941"/>
    <w:rsid w:val="00BD5DDE"/>
    <w:rsid w:val="00BE0E2E"/>
    <w:rsid w:val="00BE28C9"/>
    <w:rsid w:val="00BE424F"/>
    <w:rsid w:val="00BE60E1"/>
    <w:rsid w:val="00BF16ED"/>
    <w:rsid w:val="00BF3E5D"/>
    <w:rsid w:val="00BF41D6"/>
    <w:rsid w:val="00BF5645"/>
    <w:rsid w:val="00BF6B6E"/>
    <w:rsid w:val="00C007FC"/>
    <w:rsid w:val="00C00C4B"/>
    <w:rsid w:val="00C038BD"/>
    <w:rsid w:val="00C070A9"/>
    <w:rsid w:val="00C070FF"/>
    <w:rsid w:val="00C07D9D"/>
    <w:rsid w:val="00C1260A"/>
    <w:rsid w:val="00C132C0"/>
    <w:rsid w:val="00C16619"/>
    <w:rsid w:val="00C208F4"/>
    <w:rsid w:val="00C2329B"/>
    <w:rsid w:val="00C247CA"/>
    <w:rsid w:val="00C26406"/>
    <w:rsid w:val="00C274B7"/>
    <w:rsid w:val="00C2779F"/>
    <w:rsid w:val="00C323FF"/>
    <w:rsid w:val="00C34B1A"/>
    <w:rsid w:val="00C35850"/>
    <w:rsid w:val="00C3676E"/>
    <w:rsid w:val="00C4021B"/>
    <w:rsid w:val="00C441F7"/>
    <w:rsid w:val="00C54157"/>
    <w:rsid w:val="00C569B9"/>
    <w:rsid w:val="00C56B1B"/>
    <w:rsid w:val="00C6218C"/>
    <w:rsid w:val="00C62EAF"/>
    <w:rsid w:val="00C633C5"/>
    <w:rsid w:val="00C63AF5"/>
    <w:rsid w:val="00C648B1"/>
    <w:rsid w:val="00C657F9"/>
    <w:rsid w:val="00C6608C"/>
    <w:rsid w:val="00C72FD6"/>
    <w:rsid w:val="00C7561E"/>
    <w:rsid w:val="00C7634F"/>
    <w:rsid w:val="00C770CB"/>
    <w:rsid w:val="00C7778E"/>
    <w:rsid w:val="00C80C69"/>
    <w:rsid w:val="00C80F22"/>
    <w:rsid w:val="00C81223"/>
    <w:rsid w:val="00C94AD0"/>
    <w:rsid w:val="00C94C91"/>
    <w:rsid w:val="00C95B8C"/>
    <w:rsid w:val="00C96579"/>
    <w:rsid w:val="00C96A32"/>
    <w:rsid w:val="00CA2698"/>
    <w:rsid w:val="00CA581E"/>
    <w:rsid w:val="00CA6316"/>
    <w:rsid w:val="00CA70A5"/>
    <w:rsid w:val="00CB0310"/>
    <w:rsid w:val="00CB1440"/>
    <w:rsid w:val="00CB26A6"/>
    <w:rsid w:val="00CB3C33"/>
    <w:rsid w:val="00CC01E4"/>
    <w:rsid w:val="00CC2452"/>
    <w:rsid w:val="00CC2A9F"/>
    <w:rsid w:val="00CC2C80"/>
    <w:rsid w:val="00CC397D"/>
    <w:rsid w:val="00CC463C"/>
    <w:rsid w:val="00CC46CF"/>
    <w:rsid w:val="00CC7455"/>
    <w:rsid w:val="00CC75C4"/>
    <w:rsid w:val="00CD278D"/>
    <w:rsid w:val="00CD2B09"/>
    <w:rsid w:val="00CD32FA"/>
    <w:rsid w:val="00CD409D"/>
    <w:rsid w:val="00CD482B"/>
    <w:rsid w:val="00CD7DC5"/>
    <w:rsid w:val="00CE0768"/>
    <w:rsid w:val="00CE1409"/>
    <w:rsid w:val="00CE1BA0"/>
    <w:rsid w:val="00CE3F44"/>
    <w:rsid w:val="00CE59FD"/>
    <w:rsid w:val="00CE6D78"/>
    <w:rsid w:val="00CF0AA4"/>
    <w:rsid w:val="00CF425B"/>
    <w:rsid w:val="00CF7293"/>
    <w:rsid w:val="00CF7EFB"/>
    <w:rsid w:val="00D02BB6"/>
    <w:rsid w:val="00D037FF"/>
    <w:rsid w:val="00D04FCA"/>
    <w:rsid w:val="00D0591F"/>
    <w:rsid w:val="00D06258"/>
    <w:rsid w:val="00D107D9"/>
    <w:rsid w:val="00D11053"/>
    <w:rsid w:val="00D11335"/>
    <w:rsid w:val="00D11D27"/>
    <w:rsid w:val="00D12E0B"/>
    <w:rsid w:val="00D17371"/>
    <w:rsid w:val="00D240DA"/>
    <w:rsid w:val="00D27FAA"/>
    <w:rsid w:val="00D31399"/>
    <w:rsid w:val="00D33183"/>
    <w:rsid w:val="00D34B02"/>
    <w:rsid w:val="00D35448"/>
    <w:rsid w:val="00D50F32"/>
    <w:rsid w:val="00D53DB9"/>
    <w:rsid w:val="00D56181"/>
    <w:rsid w:val="00D603E8"/>
    <w:rsid w:val="00D62030"/>
    <w:rsid w:val="00D624C2"/>
    <w:rsid w:val="00D628D4"/>
    <w:rsid w:val="00D64A88"/>
    <w:rsid w:val="00D661AD"/>
    <w:rsid w:val="00D67A44"/>
    <w:rsid w:val="00D71FF0"/>
    <w:rsid w:val="00D72C2B"/>
    <w:rsid w:val="00D748A6"/>
    <w:rsid w:val="00D74E59"/>
    <w:rsid w:val="00D76EB4"/>
    <w:rsid w:val="00D80BBF"/>
    <w:rsid w:val="00D81B0F"/>
    <w:rsid w:val="00D86811"/>
    <w:rsid w:val="00D930E0"/>
    <w:rsid w:val="00D94FD0"/>
    <w:rsid w:val="00D95345"/>
    <w:rsid w:val="00D96426"/>
    <w:rsid w:val="00DA16DC"/>
    <w:rsid w:val="00DA235B"/>
    <w:rsid w:val="00DA2998"/>
    <w:rsid w:val="00DA5195"/>
    <w:rsid w:val="00DA6AFD"/>
    <w:rsid w:val="00DA782D"/>
    <w:rsid w:val="00DB19CE"/>
    <w:rsid w:val="00DB298A"/>
    <w:rsid w:val="00DB3C97"/>
    <w:rsid w:val="00DB6433"/>
    <w:rsid w:val="00DB6A31"/>
    <w:rsid w:val="00DC1FC5"/>
    <w:rsid w:val="00DC222B"/>
    <w:rsid w:val="00DC3408"/>
    <w:rsid w:val="00DC4602"/>
    <w:rsid w:val="00DC4BD6"/>
    <w:rsid w:val="00DC50D3"/>
    <w:rsid w:val="00DC522F"/>
    <w:rsid w:val="00DC55A1"/>
    <w:rsid w:val="00DC55E6"/>
    <w:rsid w:val="00DC6180"/>
    <w:rsid w:val="00DC6D21"/>
    <w:rsid w:val="00DD24D6"/>
    <w:rsid w:val="00DD3169"/>
    <w:rsid w:val="00DD3CCE"/>
    <w:rsid w:val="00DD74E3"/>
    <w:rsid w:val="00DE1CD0"/>
    <w:rsid w:val="00DE2CC2"/>
    <w:rsid w:val="00DF3AEE"/>
    <w:rsid w:val="00DF4DD9"/>
    <w:rsid w:val="00DF75C4"/>
    <w:rsid w:val="00E01602"/>
    <w:rsid w:val="00E137A5"/>
    <w:rsid w:val="00E15A95"/>
    <w:rsid w:val="00E16A02"/>
    <w:rsid w:val="00E1710D"/>
    <w:rsid w:val="00E20EE6"/>
    <w:rsid w:val="00E245AC"/>
    <w:rsid w:val="00E304E7"/>
    <w:rsid w:val="00E3069A"/>
    <w:rsid w:val="00E333B2"/>
    <w:rsid w:val="00E334B2"/>
    <w:rsid w:val="00E461DB"/>
    <w:rsid w:val="00E4625F"/>
    <w:rsid w:val="00E46AFD"/>
    <w:rsid w:val="00E5316D"/>
    <w:rsid w:val="00E53901"/>
    <w:rsid w:val="00E56F3F"/>
    <w:rsid w:val="00E61C8F"/>
    <w:rsid w:val="00E62524"/>
    <w:rsid w:val="00E63C58"/>
    <w:rsid w:val="00E664ED"/>
    <w:rsid w:val="00E67C75"/>
    <w:rsid w:val="00E710F2"/>
    <w:rsid w:val="00E8017B"/>
    <w:rsid w:val="00E80C96"/>
    <w:rsid w:val="00E80CDC"/>
    <w:rsid w:val="00E861E1"/>
    <w:rsid w:val="00E86B69"/>
    <w:rsid w:val="00E91671"/>
    <w:rsid w:val="00E92489"/>
    <w:rsid w:val="00E970D3"/>
    <w:rsid w:val="00E97CCF"/>
    <w:rsid w:val="00EA1A0D"/>
    <w:rsid w:val="00EA20CA"/>
    <w:rsid w:val="00EA297B"/>
    <w:rsid w:val="00EA3832"/>
    <w:rsid w:val="00EA3FD3"/>
    <w:rsid w:val="00EA469E"/>
    <w:rsid w:val="00EA60D4"/>
    <w:rsid w:val="00EA670A"/>
    <w:rsid w:val="00EA7073"/>
    <w:rsid w:val="00EB5AEF"/>
    <w:rsid w:val="00EB5FEC"/>
    <w:rsid w:val="00EC4BF4"/>
    <w:rsid w:val="00EC6A73"/>
    <w:rsid w:val="00EC78BC"/>
    <w:rsid w:val="00ED0D0F"/>
    <w:rsid w:val="00ED2CF8"/>
    <w:rsid w:val="00ED3EE7"/>
    <w:rsid w:val="00ED4ED5"/>
    <w:rsid w:val="00EE0DB1"/>
    <w:rsid w:val="00EE17E6"/>
    <w:rsid w:val="00EE1E44"/>
    <w:rsid w:val="00EE4AB4"/>
    <w:rsid w:val="00EE6486"/>
    <w:rsid w:val="00EF0C6A"/>
    <w:rsid w:val="00EF2807"/>
    <w:rsid w:val="00EF38F2"/>
    <w:rsid w:val="00EF564C"/>
    <w:rsid w:val="00EF6C22"/>
    <w:rsid w:val="00EF71A9"/>
    <w:rsid w:val="00EF7941"/>
    <w:rsid w:val="00EF7E4F"/>
    <w:rsid w:val="00F0237A"/>
    <w:rsid w:val="00F02685"/>
    <w:rsid w:val="00F02A63"/>
    <w:rsid w:val="00F04299"/>
    <w:rsid w:val="00F07048"/>
    <w:rsid w:val="00F11845"/>
    <w:rsid w:val="00F14331"/>
    <w:rsid w:val="00F15342"/>
    <w:rsid w:val="00F2020C"/>
    <w:rsid w:val="00F2112D"/>
    <w:rsid w:val="00F25EF9"/>
    <w:rsid w:val="00F3294E"/>
    <w:rsid w:val="00F335E9"/>
    <w:rsid w:val="00F33937"/>
    <w:rsid w:val="00F35A5E"/>
    <w:rsid w:val="00F376AD"/>
    <w:rsid w:val="00F417D5"/>
    <w:rsid w:val="00F42358"/>
    <w:rsid w:val="00F44E85"/>
    <w:rsid w:val="00F471D6"/>
    <w:rsid w:val="00F47265"/>
    <w:rsid w:val="00F51482"/>
    <w:rsid w:val="00F52332"/>
    <w:rsid w:val="00F56806"/>
    <w:rsid w:val="00F568C2"/>
    <w:rsid w:val="00F60886"/>
    <w:rsid w:val="00F60DD8"/>
    <w:rsid w:val="00F63426"/>
    <w:rsid w:val="00F64447"/>
    <w:rsid w:val="00F679AB"/>
    <w:rsid w:val="00F72274"/>
    <w:rsid w:val="00F77432"/>
    <w:rsid w:val="00F7795C"/>
    <w:rsid w:val="00F811AB"/>
    <w:rsid w:val="00F85787"/>
    <w:rsid w:val="00F858AE"/>
    <w:rsid w:val="00F86BE3"/>
    <w:rsid w:val="00F87E12"/>
    <w:rsid w:val="00F906DB"/>
    <w:rsid w:val="00F94011"/>
    <w:rsid w:val="00FA2D73"/>
    <w:rsid w:val="00FA378A"/>
    <w:rsid w:val="00FA3DA6"/>
    <w:rsid w:val="00FA4E9F"/>
    <w:rsid w:val="00FA7191"/>
    <w:rsid w:val="00FB0A0A"/>
    <w:rsid w:val="00FC0CF3"/>
    <w:rsid w:val="00FC33C6"/>
    <w:rsid w:val="00FC4777"/>
    <w:rsid w:val="00FD2229"/>
    <w:rsid w:val="00FD5E93"/>
    <w:rsid w:val="00FE1D88"/>
    <w:rsid w:val="00FE5380"/>
    <w:rsid w:val="00FF1835"/>
    <w:rsid w:val="00FF238C"/>
    <w:rsid w:val="00FF2800"/>
    <w:rsid w:val="00FF2EE0"/>
    <w:rsid w:val="00FF315C"/>
    <w:rsid w:val="00FF417B"/>
    <w:rsid w:val="00FF4CEA"/>
    <w:rsid w:val="00FF5B44"/>
    <w:rsid w:val="00FF5D5A"/>
    <w:rsid w:val="00FF669F"/>
    <w:rsid w:val="00FF7A82"/>
    <w:rsid w:val="015A3EFC"/>
    <w:rsid w:val="01ADE1DA"/>
    <w:rsid w:val="0231A81A"/>
    <w:rsid w:val="03DA583B"/>
    <w:rsid w:val="04D1C0F7"/>
    <w:rsid w:val="04F07A62"/>
    <w:rsid w:val="05A097D5"/>
    <w:rsid w:val="06331763"/>
    <w:rsid w:val="06BC5D16"/>
    <w:rsid w:val="06F7B909"/>
    <w:rsid w:val="06F8E682"/>
    <w:rsid w:val="0759432F"/>
    <w:rsid w:val="076FA445"/>
    <w:rsid w:val="07F68771"/>
    <w:rsid w:val="0951D66D"/>
    <w:rsid w:val="09644D7B"/>
    <w:rsid w:val="09A0636B"/>
    <w:rsid w:val="09C61253"/>
    <w:rsid w:val="0A00231B"/>
    <w:rsid w:val="0AA27ADB"/>
    <w:rsid w:val="0B1346D5"/>
    <w:rsid w:val="0BF36D26"/>
    <w:rsid w:val="0C20EFA4"/>
    <w:rsid w:val="0C5C2946"/>
    <w:rsid w:val="0C619E3F"/>
    <w:rsid w:val="0C7F5BF4"/>
    <w:rsid w:val="0E07390E"/>
    <w:rsid w:val="0F517EC3"/>
    <w:rsid w:val="0F6A9F6E"/>
    <w:rsid w:val="0F7588DE"/>
    <w:rsid w:val="0FE58CE8"/>
    <w:rsid w:val="10EE021F"/>
    <w:rsid w:val="11F2F4EB"/>
    <w:rsid w:val="12235C13"/>
    <w:rsid w:val="127B0E07"/>
    <w:rsid w:val="139F72B5"/>
    <w:rsid w:val="13AB5250"/>
    <w:rsid w:val="13C27D97"/>
    <w:rsid w:val="157A87E9"/>
    <w:rsid w:val="16FF1441"/>
    <w:rsid w:val="190D66E6"/>
    <w:rsid w:val="19BF9F4A"/>
    <w:rsid w:val="1B0A06CE"/>
    <w:rsid w:val="1C83D391"/>
    <w:rsid w:val="1DEDBD61"/>
    <w:rsid w:val="1E639E35"/>
    <w:rsid w:val="1ECCEA61"/>
    <w:rsid w:val="1ED24310"/>
    <w:rsid w:val="1F7F4C95"/>
    <w:rsid w:val="1FF03750"/>
    <w:rsid w:val="20DCF076"/>
    <w:rsid w:val="224DCAC0"/>
    <w:rsid w:val="22707492"/>
    <w:rsid w:val="22F85652"/>
    <w:rsid w:val="2306F7AE"/>
    <w:rsid w:val="2327B306"/>
    <w:rsid w:val="239120E3"/>
    <w:rsid w:val="24B65F06"/>
    <w:rsid w:val="24FA6BE6"/>
    <w:rsid w:val="26938201"/>
    <w:rsid w:val="26A3526B"/>
    <w:rsid w:val="276CA39F"/>
    <w:rsid w:val="27E7FA9B"/>
    <w:rsid w:val="27FDF7E4"/>
    <w:rsid w:val="284DCF06"/>
    <w:rsid w:val="28F08983"/>
    <w:rsid w:val="28FB650C"/>
    <w:rsid w:val="29445E1E"/>
    <w:rsid w:val="2AC69E7C"/>
    <w:rsid w:val="2BB1EBAA"/>
    <w:rsid w:val="2BE2BC94"/>
    <w:rsid w:val="2D0D5D67"/>
    <w:rsid w:val="2D2A5046"/>
    <w:rsid w:val="2D8AE3EB"/>
    <w:rsid w:val="2DB0D945"/>
    <w:rsid w:val="2E84B18F"/>
    <w:rsid w:val="2F2118DD"/>
    <w:rsid w:val="300E3427"/>
    <w:rsid w:val="304F98DD"/>
    <w:rsid w:val="30659FF3"/>
    <w:rsid w:val="3068F352"/>
    <w:rsid w:val="3092989E"/>
    <w:rsid w:val="30E37736"/>
    <w:rsid w:val="317311A8"/>
    <w:rsid w:val="31E2394F"/>
    <w:rsid w:val="32933DA4"/>
    <w:rsid w:val="32B2DAF5"/>
    <w:rsid w:val="32C485DF"/>
    <w:rsid w:val="34473533"/>
    <w:rsid w:val="3573CF36"/>
    <w:rsid w:val="3580A0D1"/>
    <w:rsid w:val="3590B72E"/>
    <w:rsid w:val="364395B6"/>
    <w:rsid w:val="36B96417"/>
    <w:rsid w:val="374E1E29"/>
    <w:rsid w:val="37A2A439"/>
    <w:rsid w:val="37D5443A"/>
    <w:rsid w:val="384C407A"/>
    <w:rsid w:val="39B810E1"/>
    <w:rsid w:val="39ED04A0"/>
    <w:rsid w:val="3A0731BB"/>
    <w:rsid w:val="3AAA779B"/>
    <w:rsid w:val="3B185ABA"/>
    <w:rsid w:val="3B4EE9FF"/>
    <w:rsid w:val="3B944713"/>
    <w:rsid w:val="3C0BA97A"/>
    <w:rsid w:val="3CB8D94C"/>
    <w:rsid w:val="3CC2C5E9"/>
    <w:rsid w:val="3CDAC8C1"/>
    <w:rsid w:val="3D0CEF8C"/>
    <w:rsid w:val="3E4146A7"/>
    <w:rsid w:val="3E832E01"/>
    <w:rsid w:val="3F5B2675"/>
    <w:rsid w:val="3F5ED8E6"/>
    <w:rsid w:val="3FA6A861"/>
    <w:rsid w:val="401CF7A0"/>
    <w:rsid w:val="4040B886"/>
    <w:rsid w:val="40A30550"/>
    <w:rsid w:val="40BF848D"/>
    <w:rsid w:val="41EB4B9D"/>
    <w:rsid w:val="436B912A"/>
    <w:rsid w:val="43E8EEEC"/>
    <w:rsid w:val="444D001B"/>
    <w:rsid w:val="449F19E6"/>
    <w:rsid w:val="45764598"/>
    <w:rsid w:val="457DB624"/>
    <w:rsid w:val="457FD31F"/>
    <w:rsid w:val="463DB732"/>
    <w:rsid w:val="46DFF1E2"/>
    <w:rsid w:val="470B9C68"/>
    <w:rsid w:val="47AF9AC8"/>
    <w:rsid w:val="4857CFF0"/>
    <w:rsid w:val="4863FF0E"/>
    <w:rsid w:val="488DBA86"/>
    <w:rsid w:val="48E1CB60"/>
    <w:rsid w:val="48F1F25F"/>
    <w:rsid w:val="49D1CD13"/>
    <w:rsid w:val="4B55960C"/>
    <w:rsid w:val="4B59E00C"/>
    <w:rsid w:val="4BB73E84"/>
    <w:rsid w:val="4D03B591"/>
    <w:rsid w:val="4E282426"/>
    <w:rsid w:val="4EBA46A3"/>
    <w:rsid w:val="4F699917"/>
    <w:rsid w:val="50831AB3"/>
    <w:rsid w:val="50FFDC7F"/>
    <w:rsid w:val="51B24DD2"/>
    <w:rsid w:val="52038F27"/>
    <w:rsid w:val="520BD319"/>
    <w:rsid w:val="528E7778"/>
    <w:rsid w:val="538F5EE5"/>
    <w:rsid w:val="53A6354E"/>
    <w:rsid w:val="5428B999"/>
    <w:rsid w:val="56317692"/>
    <w:rsid w:val="566BBEBD"/>
    <w:rsid w:val="567940B9"/>
    <w:rsid w:val="56A3420C"/>
    <w:rsid w:val="570D87A7"/>
    <w:rsid w:val="57A9180E"/>
    <w:rsid w:val="5819E720"/>
    <w:rsid w:val="58ADB09E"/>
    <w:rsid w:val="58C5B209"/>
    <w:rsid w:val="58E5D4E3"/>
    <w:rsid w:val="5972A268"/>
    <w:rsid w:val="5A19A9E5"/>
    <w:rsid w:val="5ACB9953"/>
    <w:rsid w:val="5AE0505C"/>
    <w:rsid w:val="5B8E0DB2"/>
    <w:rsid w:val="5BA41371"/>
    <w:rsid w:val="5BBF9772"/>
    <w:rsid w:val="5C28C660"/>
    <w:rsid w:val="5C34C27C"/>
    <w:rsid w:val="5CB65545"/>
    <w:rsid w:val="5E114CF5"/>
    <w:rsid w:val="5EB703B7"/>
    <w:rsid w:val="5EEE8201"/>
    <w:rsid w:val="5F314455"/>
    <w:rsid w:val="5FB55E21"/>
    <w:rsid w:val="5FC28B09"/>
    <w:rsid w:val="5FFECB79"/>
    <w:rsid w:val="60162A9A"/>
    <w:rsid w:val="6088A58C"/>
    <w:rsid w:val="60E17D2B"/>
    <w:rsid w:val="629AD7E2"/>
    <w:rsid w:val="62D7DFC2"/>
    <w:rsid w:val="62E2E0B1"/>
    <w:rsid w:val="63222191"/>
    <w:rsid w:val="636A52C2"/>
    <w:rsid w:val="637CFCC6"/>
    <w:rsid w:val="647A1569"/>
    <w:rsid w:val="648743C1"/>
    <w:rsid w:val="64C8E0A3"/>
    <w:rsid w:val="65CC3408"/>
    <w:rsid w:val="6610698A"/>
    <w:rsid w:val="663857C7"/>
    <w:rsid w:val="6708525E"/>
    <w:rsid w:val="68715373"/>
    <w:rsid w:val="687F1EE3"/>
    <w:rsid w:val="69EE17DF"/>
    <w:rsid w:val="6A7C51DC"/>
    <w:rsid w:val="6AEEACE1"/>
    <w:rsid w:val="6B058697"/>
    <w:rsid w:val="6B2AF2B4"/>
    <w:rsid w:val="6B32524A"/>
    <w:rsid w:val="6B6D2E34"/>
    <w:rsid w:val="6B757B5E"/>
    <w:rsid w:val="6B82EF05"/>
    <w:rsid w:val="6C99CFCD"/>
    <w:rsid w:val="6DB59372"/>
    <w:rsid w:val="6EC8E884"/>
    <w:rsid w:val="6EDC4587"/>
    <w:rsid w:val="6EE78CA5"/>
    <w:rsid w:val="6FAC080C"/>
    <w:rsid w:val="7022D255"/>
    <w:rsid w:val="704F80A4"/>
    <w:rsid w:val="709B0FC2"/>
    <w:rsid w:val="70F56616"/>
    <w:rsid w:val="713FE3D7"/>
    <w:rsid w:val="72063C9D"/>
    <w:rsid w:val="731E0086"/>
    <w:rsid w:val="741CD6EB"/>
    <w:rsid w:val="75390B7A"/>
    <w:rsid w:val="7688BF72"/>
    <w:rsid w:val="76F19A50"/>
    <w:rsid w:val="77775C12"/>
    <w:rsid w:val="77DF7F4C"/>
    <w:rsid w:val="780E0418"/>
    <w:rsid w:val="78EB8F32"/>
    <w:rsid w:val="791E9804"/>
    <w:rsid w:val="79EC6676"/>
    <w:rsid w:val="7AADC684"/>
    <w:rsid w:val="7AD728C5"/>
    <w:rsid w:val="7B0079F4"/>
    <w:rsid w:val="7B223817"/>
    <w:rsid w:val="7BA4F038"/>
    <w:rsid w:val="7BF08917"/>
    <w:rsid w:val="7C4B579B"/>
    <w:rsid w:val="7D67E5BE"/>
    <w:rsid w:val="7DBC82B8"/>
    <w:rsid w:val="7E7876D1"/>
    <w:rsid w:val="7EACB2E6"/>
    <w:rsid w:val="7EAD0F43"/>
    <w:rsid w:val="7EC97742"/>
    <w:rsid w:val="7F67B297"/>
    <w:rsid w:val="7FA28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BA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426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paragraph" w:styleId="Caption">
    <w:name w:val="caption"/>
    <w:basedOn w:val="Normal"/>
    <w:next w:val="Normal"/>
    <w:uiPriority w:val="35"/>
    <w:unhideWhenUsed/>
    <w:qFormat/>
    <w:rsid w:val="00F7795C"/>
    <w:pPr>
      <w:spacing w:after="200" w:line="240" w:lineRule="auto"/>
    </w:pPr>
    <w:rPr>
      <w:i/>
      <w:iCs/>
      <w:color w:val="6E7571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522118"/>
  </w:style>
  <w:style w:type="character" w:customStyle="1" w:styleId="eop">
    <w:name w:val="eop"/>
    <w:basedOn w:val="DefaultParagraphFont"/>
    <w:rsid w:val="00522118"/>
  </w:style>
  <w:style w:type="paragraph" w:styleId="ListParagraph">
    <w:name w:val="List Paragraph"/>
    <w:basedOn w:val="Normal"/>
    <w:link w:val="ListParagraphChar"/>
    <w:uiPriority w:val="34"/>
    <w:qFormat/>
    <w:rsid w:val="0052211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22118"/>
    <w:rPr>
      <w:kern w:val="2"/>
      <w:sz w:val="22"/>
      <w:szCs w:val="22"/>
      <w14:ligatures w14:val="standardContextual"/>
    </w:rPr>
  </w:style>
  <w:style w:type="paragraph" w:customStyle="1" w:styleId="paragraph">
    <w:name w:val="paragraph"/>
    <w:basedOn w:val="Normal"/>
    <w:rsid w:val="00F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5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AE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AEF"/>
    <w:rPr>
      <w:rFonts w:eastAsiaTheme="minorEastAsia"/>
      <w:b/>
      <w:bCs/>
      <w:sz w:val="20"/>
      <w:szCs w:val="20"/>
    </w:rPr>
  </w:style>
  <w:style w:type="character" w:customStyle="1" w:styleId="cf01">
    <w:name w:val="cf01"/>
    <w:basedOn w:val="DefaultParagraphFont"/>
    <w:rsid w:val="00D17371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C94AD0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/>
  </w:style>
  <w:style w:type="character" w:styleId="FollowedHyperlink">
    <w:name w:val="FollowedHyperlink"/>
    <w:basedOn w:val="DefaultParagraphFont"/>
    <w:uiPriority w:val="99"/>
    <w:semiHidden/>
    <w:unhideWhenUsed/>
    <w:rsid w:val="00942B88"/>
    <w:rPr>
      <w:color w:val="016574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24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48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24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pa.org.uk/media/28986/guidance-on-the-management-of-landfill-gas.pdf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view.officeapps.live.com/op/view.aspx?src=https%3A%2F%2Fwww.sepa.org.uk%2Fmedia%2F40kf3raj%2Fguidance_storage_treatment_hcw.docx&amp;wdOrigin=BROWSELINK" TargetMode="External"/><Relationship Id="rId39" Type="http://schemas.openxmlformats.org/officeDocument/2006/relationships/hyperlink" Target="https://www.sepa.org.uk/media/28999/the-disposal-in-landfills-for-non-hazardous-waste-of-asbestos-wastes.pdf" TargetMode="External"/><Relationship Id="rId21" Type="http://schemas.openxmlformats.org/officeDocument/2006/relationships/header" Target="header4.xml"/><Relationship Id="rId34" Type="http://schemas.openxmlformats.org/officeDocument/2006/relationships/header" Target="header6.xm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beta.sepa.scot/regulation/authorisations-and-compliance/easr-authorisations/industrial-activities/" TargetMode="External"/><Relationship Id="rId41" Type="http://schemas.openxmlformats.org/officeDocument/2006/relationships/hyperlink" Target="mailto:contactscotland-bsl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www.sepa.org.uk%2Fmedia%2Fh4ocmt2z%2Fsepa-odour-guidance-2025.docx&amp;wdOrigin=BROWSELINK" TargetMode="External"/><Relationship Id="rId24" Type="http://schemas.openxmlformats.org/officeDocument/2006/relationships/hyperlink" Target="https://www.sepa.org.uk/media/594599/sepa-landfill-management-plan-guidance.pdf" TargetMode="External"/><Relationship Id="rId32" Type="http://schemas.openxmlformats.org/officeDocument/2006/relationships/hyperlink" Target="https://www.sepa.org.uk/media/tnoa12he/waste-upholstered-domestic-seating-containing-pops-guidance.pdf" TargetMode="External"/><Relationship Id="rId37" Type="http://schemas.openxmlformats.org/officeDocument/2006/relationships/footer" Target="footer5.xml"/><Relationship Id="rId40" Type="http://schemas.openxmlformats.org/officeDocument/2006/relationships/hyperlink" Target="mailto:epas@sepa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www.sepa.org.uk/media/5tqhkxzl/technically_competent_management_licenced_waste_management_facilities.pdf" TargetMode="External"/><Relationship Id="rId28" Type="http://schemas.openxmlformats.org/officeDocument/2006/relationships/hyperlink" Target="https://eippcb.jrc.ec.europa.eu/reference/" TargetMode="External"/><Relationship Id="rId36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yperlink" Target="https://www.legislation.gov.uk/uksi/2007/310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pa.org.uk/media/152818/wat-rm-40.pdf" TargetMode="External"/><Relationship Id="rId22" Type="http://schemas.openxmlformats.org/officeDocument/2006/relationships/hyperlink" Target="https://eippcb.jrc.ec.europa.eu/reference/" TargetMode="External"/><Relationship Id="rId27" Type="http://schemas.openxmlformats.org/officeDocument/2006/relationships/hyperlink" Target="https://www.sepa.org.uk/media/594599/sepa-landfill-management-plan-guidance.pdf" TargetMode="External"/><Relationship Id="rId30" Type="http://schemas.openxmlformats.org/officeDocument/2006/relationships/header" Target="header5.xml"/><Relationship Id="rId35" Type="http://schemas.openxmlformats.org/officeDocument/2006/relationships/footer" Target="footer4.xm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epa.org.uk/media/152818/wat-rm-40.pdf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www.sepa.org.uk/media/s1inm3dz/wst-g-031-financial-provision-for-non-landfill-waste-management.pdf" TargetMode="External"/><Relationship Id="rId33" Type="http://schemas.openxmlformats.org/officeDocument/2006/relationships/hyperlink" Target="https://www.legislation.gov.uk/uksi/2007/3106" TargetMode="External"/><Relationship Id="rId38" Type="http://schemas.openxmlformats.org/officeDocument/2006/relationships/hyperlink" Target="https://www.sepa.org.uk/media/28996/technical-guidance-note-estimate-of-amount-of-financial-provision-for-landfill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167d41c3a344c9b412e8938e1d4d76 xmlns="da804293-9b54-4d41-bda8-49841b43b8d0">
      <Terms xmlns="http://schemas.microsoft.com/office/infopath/2007/PartnerControls"/>
    </ie167d41c3a344c9b412e8938e1d4d76>
    <lcf76f155ced4ddcb4097134ff3c332f xmlns="da804293-9b54-4d41-bda8-49841b43b8d0">
      <Terms xmlns="http://schemas.microsoft.com/office/infopath/2007/PartnerControls"/>
    </lcf76f155ced4ddcb4097134ff3c332f>
    <TaxCatchAll xmlns="d78196fb-9298-4b53-bbe4-5b9c17bf8b2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D5F771FAE4846B93912554B05E957" ma:contentTypeVersion="18" ma:contentTypeDescription="Create a new document." ma:contentTypeScope="" ma:versionID="cfbb0f67fdcb20f11cbb8ebbb7db94d9">
  <xsd:schema xmlns:xsd="http://www.w3.org/2001/XMLSchema" xmlns:xs="http://www.w3.org/2001/XMLSchema" xmlns:p="http://schemas.microsoft.com/office/2006/metadata/properties" xmlns:ns2="da804293-9b54-4d41-bda8-49841b43b8d0" xmlns:ns3="d78196fb-9298-4b53-bbe4-5b9c17bf8b22" targetNamespace="http://schemas.microsoft.com/office/2006/metadata/properties" ma:root="true" ma:fieldsID="d8ba7c30d25fd49f294ba980ac580ffb" ns2:_="" ns3:_="">
    <xsd:import namespace="da804293-9b54-4d41-bda8-49841b43b8d0"/>
    <xsd:import namespace="d78196fb-9298-4b53-bbe4-5b9c17bf8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e167d41c3a344c9b412e8938e1d4d76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4293-9b54-4d41-bda8-49841b43b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e167d41c3a344c9b412e8938e1d4d76" ma:index="22" nillable="true" ma:taxonomy="true" ma:internalName="ie167d41c3a344c9b412e8938e1d4d76" ma:taxonomyFieldName="Document_x0020_type" ma:displayName="Document type" ma:default="" ma:fieldId="{2e167d41-c3a3-44c9-b412-e8938e1d4d76}" ma:sspId="1abd7744-4958-4c37-886f-e01d22e71ff3" ma:termSetId="d3c938fa-a694-4da5-b804-456904939c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196fb-9298-4b53-bbe4-5b9c17bf8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62cf9-4c3a-4e04-bb82-536bf1b7f4ca}" ma:internalName="TaxCatchAll" ma:showField="CatchAllData" ma:web="d78196fb-9298-4b53-bbe4-5b9c17bf8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0CB33-9075-4D21-A775-FE9D64008D01}">
  <ds:schemaRefs>
    <ds:schemaRef ds:uri="http://schemas.microsoft.com/office/2006/metadata/properties"/>
    <ds:schemaRef ds:uri="http://schemas.microsoft.com/office/infopath/2007/PartnerControls"/>
    <ds:schemaRef ds:uri="da804293-9b54-4d41-bda8-49841b43b8d0"/>
    <ds:schemaRef ds:uri="d78196fb-9298-4b53-bbe4-5b9c17bf8b22"/>
  </ds:schemaRefs>
</ds:datastoreItem>
</file>

<file path=customXml/itemProps2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E0A2F4-75EC-4B73-8B17-E14AA5FEB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4293-9b54-4d41-bda8-49841b43b8d0"/>
    <ds:schemaRef ds:uri="d78196fb-9298-4b53-bbe4-5b9c17bf8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B804B-1FAE-4691-AD85-F08D2CB33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3216</Words>
  <Characters>19334</Characters>
  <Application>Microsoft Office Word</Application>
  <DocSecurity>0</DocSecurity>
  <Lines>1017</Lines>
  <Paragraphs>357</Paragraphs>
  <ScaleCrop>false</ScaleCrop>
  <Company/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dcterms:created xsi:type="dcterms:W3CDTF">2025-11-06T07:03:00Z</dcterms:created>
  <dcterms:modified xsi:type="dcterms:W3CDTF">2025-12-05T12:55:00Z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5644d871,16dc6f29,1cf862b0,4f4bdbe,2be081f9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68009efd,c441f35,d51c347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2025-11-05T15:04:11Z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f1f32358-008d-42a6-9c81-e0568a06cd7d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  <property fmtid="{D5CDD505-2E9C-101B-9397-08002B2CF9AE}" pid="16" name="MSIP_Label_ea4fd52f-9814-4cae-aa53-0ea7b16cd381_Enabled">
    <vt:lpwstr>true</vt:lpwstr>
  </property>
  <property fmtid="{D5CDD505-2E9C-101B-9397-08002B2CF9AE}" pid="17" name="MediaServiceImageTags">
    <vt:lpwstr/>
  </property>
  <property fmtid="{D5CDD505-2E9C-101B-9397-08002B2CF9AE}" pid="18" name="MSIP_Label_ea4fd52f-9814-4cae-aa53-0ea7b16cd381_SetDate">
    <vt:lpwstr>2023-03-29T16:54:40Z</vt:lpwstr>
  </property>
  <property fmtid="{D5CDD505-2E9C-101B-9397-08002B2CF9AE}" pid="19" name="ContentTypeId">
    <vt:lpwstr>0x010100CC0D5F771FAE4846B93912554B05E957</vt:lpwstr>
  </property>
  <property fmtid="{D5CDD505-2E9C-101B-9397-08002B2CF9AE}" pid="20" name="Document_x0020_type">
    <vt:lpwstr/>
  </property>
  <property fmtid="{D5CDD505-2E9C-101B-9397-08002B2CF9AE}" pid="21" name="docLang">
    <vt:lpwstr>en</vt:lpwstr>
  </property>
  <property fmtid="{D5CDD505-2E9C-101B-9397-08002B2CF9AE}" pid="22" name="MSIP_Label_ea4fd52f-9814-4cae-aa53-0ea7b16cd381_Method">
    <vt:lpwstr>Privileged</vt:lpwstr>
  </property>
  <property fmtid="{D5CDD505-2E9C-101B-9397-08002B2CF9AE}" pid="23" name="MSIP_Label_ea4fd52f-9814-4cae-aa53-0ea7b16cd381_SiteId">
    <vt:lpwstr>5cf26d65-cf46-4c72-ba82-7577d9c2d7ab</vt:lpwstr>
  </property>
  <property fmtid="{D5CDD505-2E9C-101B-9397-08002B2CF9AE}" pid="24" name="MSIP_Label_ea4fd52f-9814-4cae-aa53-0ea7b16cd381_Name">
    <vt:lpwstr>Official General</vt:lpwstr>
  </property>
  <property fmtid="{D5CDD505-2E9C-101B-9397-08002B2CF9AE}" pid="25" name="MSIP_Label_ea4fd52f-9814-4cae-aa53-0ea7b16cd381_ContentBits">
    <vt:lpwstr>3</vt:lpwstr>
  </property>
  <property fmtid="{D5CDD505-2E9C-101B-9397-08002B2CF9AE}" pid="26" name="MSIP_Label_ea4fd52f-9814-4cae-aa53-0ea7b16cd381_ActionId">
    <vt:lpwstr>f869009a-32b8-4965-9a48-fd59adde153c</vt:lpwstr>
  </property>
  <property fmtid="{D5CDD505-2E9C-101B-9397-08002B2CF9AE}" pid="27" name="Document type">
    <vt:lpwstr/>
  </property>
</Properties>
</file>