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sdt>
      <w:sdtPr>
        <w:id w:val="-191923907"/>
        <w:docPartObj>
          <w:docPartGallery w:val="Cover Pages"/>
          <w:docPartUnique/>
        </w:docPartObj>
      </w:sdtPr>
      <w:sdtContent>
        <w:p w:rsidR="004073BC" w:rsidP="00F72274" w:rsidRDefault="00F72274" w14:paraId="662DF787" w14:textId="77777777">
          <w:r>
            <w:rPr>
              <w:noProof/>
            </w:rPr>
            <w:drawing>
              <wp:anchor distT="0" distB="0" distL="114300" distR="114300" simplePos="0" relativeHeight="251658241" behindDoc="1" locked="0" layoutInCell="1" allowOverlap="1" wp14:anchorId="612C1F0F" wp14:editId="74B061D4">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DA60AFC" wp14:editId="560040E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rsidR="004073BC" w:rsidP="008C1A73" w:rsidRDefault="004073BC" w14:paraId="0C7DF041" w14:textId="77777777"/>
        <w:p w:rsidR="004073BC" w:rsidP="008C1A73" w:rsidRDefault="004073BC" w14:paraId="5676AAE7" w14:textId="77777777"/>
        <w:p w:rsidR="004073BC" w:rsidP="008C1A73" w:rsidRDefault="004073BC" w14:paraId="21875016" w14:textId="77777777"/>
        <w:p w:rsidR="004073BC" w:rsidP="008C1A73" w:rsidRDefault="004073BC" w14:paraId="5F18329C" w14:textId="77777777"/>
        <w:p w:rsidR="004073BC" w:rsidP="008C1A73" w:rsidRDefault="00E26FDE" w14:paraId="3E5A639D" w14:textId="5D74FD6F">
          <w:r w:rsidRPr="00E26FDE">
            <w:rPr>
              <w:rFonts w:ascii="Times New Roman" w:hAnsi="Times New Roman" w:eastAsia="Arial" w:cs="Times New Roman"/>
              <w:noProof/>
              <w:lang w:eastAsia="en-GB"/>
            </w:rPr>
            <mc:AlternateContent>
              <mc:Choice Requires="wps">
                <w:drawing>
                  <wp:anchor distT="0" distB="0" distL="114300" distR="114300" simplePos="0" relativeHeight="251660289" behindDoc="0" locked="1" layoutInCell="1" allowOverlap="1" wp14:anchorId="6C2B70B3" wp14:editId="598F7A03">
                    <wp:simplePos x="0" y="0"/>
                    <wp:positionH relativeFrom="margin">
                      <wp:posOffset>0</wp:posOffset>
                    </wp:positionH>
                    <wp:positionV relativeFrom="paragraph">
                      <wp:posOffset>-145415</wp:posOffset>
                    </wp:positionV>
                    <wp:extent cx="4308475" cy="285750"/>
                    <wp:effectExtent l="0" t="0" r="0" b="0"/>
                    <wp:wrapNone/>
                    <wp:docPr id="616340192" name="Text Box 18591646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85750"/>
                            </a:xfrm>
                            <a:prstGeom prst="rect">
                              <a:avLst/>
                            </a:prstGeom>
                            <a:noFill/>
                            <a:ln w="6350">
                              <a:noFill/>
                            </a:ln>
                          </wps:spPr>
                          <wps:txbx>
                            <w:txbxContent>
                              <w:p w:rsidR="00E26FDE" w:rsidP="00E26FDE" w:rsidRDefault="00306816" w14:paraId="0A48C74F" w14:textId="4B4703DE">
                                <w:pPr>
                                  <w:pStyle w:val="BodyText1"/>
                                  <w:rPr>
                                    <w:color w:val="FFFFFF" w:themeColor="background1"/>
                                    <w:sz w:val="40"/>
                                    <w:szCs w:val="40"/>
                                  </w:rPr>
                                </w:pPr>
                                <w:r>
                                  <w:rPr>
                                    <w:b/>
                                    <w:bCs/>
                                    <w:color w:val="FFFFFF" w:themeColor="background1"/>
                                    <w:sz w:val="32"/>
                                    <w:szCs w:val="32"/>
                                  </w:rPr>
                                  <w:t>WAS-G-63</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2B70B3">
                    <v:stroke joinstyle="miter"/>
                    <v:path gradientshapeok="t" o:connecttype="rect"/>
                  </v:shapetype>
                  <v:shape id="Text Box 1859164630" style="position:absolute;margin-left:0;margin-top:-11.45pt;width:339.25pt;height:22.5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">
                    <v:textbox inset="0,0,0,0">
                      <w:txbxContent>
                        <w:p w:rsidR="00E26FDE" w:rsidP="00E26FDE" w:rsidRDefault="00306816" w14:paraId="0A48C74F" w14:textId="4B4703DE">
                          <w:pPr>
                            <w:pStyle w:val="BodyText1"/>
                            <w:rPr>
                              <w:color w:val="FFFFFF" w:themeColor="background1"/>
                              <w:sz w:val="40"/>
                              <w:szCs w:val="40"/>
                            </w:rPr>
                          </w:pPr>
                          <w:r>
                            <w:rPr>
                              <w:b/>
                              <w:bCs/>
                              <w:color w:val="FFFFFF" w:themeColor="background1"/>
                              <w:sz w:val="32"/>
                              <w:szCs w:val="32"/>
                            </w:rPr>
                            <w:t>WAS-G-63</w:t>
                          </w:r>
                        </w:p>
                      </w:txbxContent>
                    </v:textbox>
                    <w10:wrap anchorx="margin"/>
                    <w10:anchorlock/>
                  </v:shape>
                </w:pict>
              </mc:Fallback>
            </mc:AlternateContent>
          </w:r>
        </w:p>
        <w:p w:rsidR="00281BB1" w:rsidP="00281BB1" w:rsidRDefault="00281BB1" w14:paraId="2CAC48D1" w14:textId="77777777">
          <w:pPr>
            <w:rPr>
              <w:b/>
              <w:bCs/>
              <w:color w:val="FFFFFF" w:themeColor="background1"/>
              <w:sz w:val="84"/>
              <w:szCs w:val="84"/>
            </w:rPr>
          </w:pPr>
        </w:p>
        <w:p w:rsidR="00FE1ADE" w:rsidP="00801105" w:rsidRDefault="00281BB1" w14:paraId="667ACB4C" w14:textId="1CF622DA">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2C6080C" wp14:editId="622FAE6A">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rsidRPr="009A240D" w:rsidR="00281BB1" w:rsidP="00281BB1" w:rsidRDefault="00843071" w14:paraId="165D1278" w14:textId="7BD962E8">
                                <w:pPr>
                                  <w:pStyle w:val="BodyText1"/>
                                  <w:rPr>
                                    <w:color w:val="FFFFFF" w:themeColor="background1"/>
                                  </w:rPr>
                                </w:pPr>
                                <w:r>
                                  <w:rPr>
                                    <w:color w:val="FFFFFF" w:themeColor="background1"/>
                                  </w:rPr>
                                  <w:t>Decem</w:t>
                                </w:r>
                                <w:r w:rsidR="00693258">
                                  <w:rPr>
                                    <w:color w:val="FFFFFF" w:themeColor="background1"/>
                                  </w:rPr>
                                  <w:t>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Text Box 3"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" w14:anchorId="62C6080C">
                    <v:textbox inset="0,0,0,0">
                      <w:txbxContent>
                        <w:p w:rsidRPr="009A240D" w:rsidR="00281BB1" w:rsidP="00281BB1" w:rsidRDefault="00843071" w14:paraId="165D1278" w14:textId="7BD962E8">
                          <w:pPr>
                            <w:pStyle w:val="BodyText1"/>
                            <w:rPr>
                              <w:color w:val="FFFFFF" w:themeColor="background1"/>
                            </w:rPr>
                          </w:pPr>
                          <w:r>
                            <w:rPr>
                              <w:color w:val="FFFFFF" w:themeColor="background1"/>
                            </w:rPr>
                            <w:t>Decem</w:t>
                          </w:r>
                          <w:r w:rsidR="00693258">
                            <w:rPr>
                              <w:color w:val="FFFFFF" w:themeColor="background1"/>
                            </w:rPr>
                            <w:t>ber 2025</w:t>
                          </w:r>
                        </w:p>
                      </w:txbxContent>
                    </v:textbox>
                    <w10:anchorlock/>
                  </v:shape>
                </w:pict>
              </mc:Fallback>
            </mc:AlternateContent>
          </w:r>
          <w:r w:rsidR="00C30753">
            <w:rPr>
              <w:b/>
              <w:bCs/>
              <w:color w:val="FFFFFF" w:themeColor="background1"/>
              <w:sz w:val="84"/>
              <w:szCs w:val="84"/>
            </w:rPr>
            <w:t xml:space="preserve">Landfill </w:t>
          </w:r>
          <w:r w:rsidR="009C1418">
            <w:rPr>
              <w:b/>
              <w:bCs/>
              <w:color w:val="FFFFFF" w:themeColor="background1"/>
              <w:sz w:val="84"/>
              <w:szCs w:val="84"/>
            </w:rPr>
            <w:t>R</w:t>
          </w:r>
          <w:r w:rsidR="00C30753">
            <w:rPr>
              <w:b/>
              <w:bCs/>
              <w:color w:val="FFFFFF" w:themeColor="background1"/>
              <w:sz w:val="84"/>
              <w:szCs w:val="84"/>
            </w:rPr>
            <w:t xml:space="preserve">estoration </w:t>
          </w:r>
          <w:r w:rsidR="007B1173">
            <w:rPr>
              <w:b/>
              <w:bCs/>
              <w:color w:val="FFFFFF" w:themeColor="background1"/>
              <w:sz w:val="84"/>
              <w:szCs w:val="84"/>
            </w:rPr>
            <w:t xml:space="preserve">Management </w:t>
          </w:r>
          <w:r w:rsidR="00DC19B8">
            <w:rPr>
              <w:b/>
              <w:bCs/>
              <w:color w:val="FFFFFF" w:themeColor="background1"/>
              <w:sz w:val="84"/>
              <w:szCs w:val="84"/>
            </w:rPr>
            <w:t>P</w:t>
          </w:r>
          <w:r w:rsidR="00C30753">
            <w:rPr>
              <w:b/>
              <w:bCs/>
              <w:color w:val="FFFFFF" w:themeColor="background1"/>
              <w:sz w:val="84"/>
              <w:szCs w:val="84"/>
            </w:rPr>
            <w:t xml:space="preserve">lan- </w:t>
          </w:r>
          <w:r w:rsidR="00FE1ADE">
            <w:rPr>
              <w:b/>
              <w:bCs/>
              <w:color w:val="FFFFFF" w:themeColor="background1"/>
              <w:sz w:val="84"/>
              <w:szCs w:val="84"/>
            </w:rPr>
            <w:t>O</w:t>
          </w:r>
          <w:r w:rsidR="00C30753">
            <w:rPr>
              <w:b/>
              <w:bCs/>
              <w:color w:val="FFFFFF" w:themeColor="background1"/>
              <w:sz w:val="84"/>
              <w:szCs w:val="84"/>
            </w:rPr>
            <w:t xml:space="preserve">perator </w:t>
          </w:r>
          <w:r w:rsidR="00FE1ADE">
            <w:rPr>
              <w:b/>
              <w:bCs/>
              <w:color w:val="FFFFFF" w:themeColor="background1"/>
              <w:sz w:val="84"/>
              <w:szCs w:val="84"/>
            </w:rPr>
            <w:t>N</w:t>
          </w:r>
          <w:r w:rsidR="00C30753">
            <w:rPr>
              <w:b/>
              <w:bCs/>
              <w:color w:val="FFFFFF" w:themeColor="background1"/>
              <w:sz w:val="84"/>
              <w:szCs w:val="84"/>
            </w:rPr>
            <w:t xml:space="preserve">otification </w:t>
          </w:r>
          <w:r w:rsidR="00FE1ADE">
            <w:rPr>
              <w:b/>
              <w:bCs/>
              <w:color w:val="FFFFFF" w:themeColor="background1"/>
              <w:sz w:val="84"/>
              <w:szCs w:val="84"/>
            </w:rPr>
            <w:t>G</w:t>
          </w:r>
          <w:r w:rsidR="00C30753">
            <w:rPr>
              <w:b/>
              <w:bCs/>
              <w:color w:val="FFFFFF" w:themeColor="background1"/>
              <w:sz w:val="84"/>
              <w:szCs w:val="84"/>
            </w:rPr>
            <w:t>uidance</w:t>
          </w:r>
          <w:r w:rsidR="00D756F2">
            <w:rPr>
              <w:b/>
              <w:bCs/>
              <w:color w:val="FFFFFF" w:themeColor="background1"/>
              <w:sz w:val="84"/>
              <w:szCs w:val="84"/>
            </w:rPr>
            <w:t>:</w:t>
          </w:r>
          <w:r w:rsidR="00FE1ADE">
            <w:rPr>
              <w:b/>
              <w:bCs/>
              <w:color w:val="FFFFFF" w:themeColor="background1"/>
              <w:sz w:val="84"/>
              <w:szCs w:val="84"/>
            </w:rPr>
            <w:t xml:space="preserve"> </w:t>
          </w:r>
          <w:r w:rsidR="003010E9">
            <w:rPr>
              <w:b/>
              <w:bCs/>
              <w:color w:val="FFFFFF" w:themeColor="background1"/>
              <w:sz w:val="84"/>
              <w:szCs w:val="84"/>
            </w:rPr>
            <w:t xml:space="preserve"> Demonstrating </w:t>
          </w:r>
          <w:r w:rsidR="00CA141F">
            <w:rPr>
              <w:b/>
              <w:bCs/>
              <w:color w:val="FFFFFF" w:themeColor="background1"/>
              <w:sz w:val="84"/>
              <w:szCs w:val="84"/>
            </w:rPr>
            <w:t>Suitability of Material</w:t>
          </w:r>
        </w:p>
        <w:p w:rsidRPr="00CF7EFB" w:rsidR="008C1A73" w:rsidP="00CF7EFB" w:rsidRDefault="008C1A73" w14:paraId="00DCC7BB" w14:textId="77777777">
          <w:pPr>
            <w:rPr>
              <w:b/>
              <w:bCs/>
              <w:color w:val="FFFFFF" w:themeColor="background1"/>
              <w:sz w:val="84"/>
              <w:szCs w:val="84"/>
            </w:rPr>
          </w:pPr>
          <w:r>
            <w:br w:type="page"/>
          </w:r>
        </w:p>
      </w:sdtContent>
    </w:sdt>
    <w:p w:rsidR="00C30753" w:rsidP="00C30753" w:rsidRDefault="0057718C" w14:paraId="68D0FD6D" w14:textId="47D1D591">
      <w:pPr>
        <w:pStyle w:val="Heading2"/>
      </w:pPr>
      <w:bookmarkStart w:name="_Hlk214016731" w:id="0"/>
      <w:r>
        <w:lastRenderedPageBreak/>
        <w:t>Purpose</w:t>
      </w:r>
    </w:p>
    <w:bookmarkEnd w:id="0"/>
    <w:p w:rsidR="00C30753" w:rsidP="00C30753" w:rsidRDefault="00C30753" w14:paraId="34971EF5" w14:textId="4F1646BC">
      <w:pPr>
        <w:pStyle w:val="BodyText1"/>
      </w:pPr>
      <w:r>
        <w:t xml:space="preserve">The Landfill Restoration General Guidance (WST-G-057) provides general information for landfill restoration. The purpose of this </w:t>
      </w:r>
      <w:r w:rsidR="00D77758">
        <w:t xml:space="preserve">guidance </w:t>
      </w:r>
      <w:r>
        <w:t xml:space="preserve">is to ensure that the waste materials used </w:t>
      </w:r>
      <w:r w:rsidRPr="00B91BB2" w:rsidR="00B91BB2">
        <w:t xml:space="preserve">in </w:t>
      </w:r>
      <w:r w:rsidR="00141802">
        <w:t xml:space="preserve">landfill </w:t>
      </w:r>
      <w:r w:rsidRPr="00B91BB2" w:rsidR="00B91BB2">
        <w:t>restoration projects</w:t>
      </w:r>
      <w:r w:rsidR="005B2140">
        <w:t>,</w:t>
      </w:r>
      <w:r w:rsidR="00B91BB2">
        <w:t xml:space="preserve"> </w:t>
      </w:r>
      <w:r w:rsidR="008C035E">
        <w:t xml:space="preserve">can be </w:t>
      </w:r>
      <w:r>
        <w:t>demonstra</w:t>
      </w:r>
      <w:r w:rsidR="008C035E">
        <w:t xml:space="preserve">ted to be </w:t>
      </w:r>
      <w:r>
        <w:t xml:space="preserve">suitable. This applies to both imported soils (topsoil and subsoil) or other waste </w:t>
      </w:r>
      <w:r w:rsidR="00141802">
        <w:t xml:space="preserve">materials </w:t>
      </w:r>
      <w:r>
        <w:t xml:space="preserve">used to manufacture topsoil or subsoil.    </w:t>
      </w:r>
    </w:p>
    <w:p w:rsidR="006E1F4F" w:rsidP="006E1F4F" w:rsidRDefault="006E1F4F" w14:paraId="296413E2" w14:textId="77777777">
      <w:pPr>
        <w:pStyle w:val="Heading2"/>
      </w:pPr>
      <w:r>
        <w:t>Waste acceptance procedures</w:t>
      </w:r>
    </w:p>
    <w:p w:rsidR="00C30753" w:rsidP="00C30753" w:rsidRDefault="00C30753" w14:paraId="248B671C" w14:textId="10A1139E">
      <w:pPr>
        <w:pStyle w:val="BodyText1"/>
      </w:pPr>
      <w:r>
        <w:t>Operators should have in place waste acceptance procedures which are adequate to ensure all wastes used in the restoration layers are suitable</w:t>
      </w:r>
      <w:r w:rsidR="00F437E2">
        <w:t xml:space="preserve"> as a growing medium </w:t>
      </w:r>
      <w:r w:rsidR="00726540">
        <w:t xml:space="preserve">for the pre-approved land use </w:t>
      </w:r>
      <w:r w:rsidR="00F437E2">
        <w:t>and will not cause unacceptable risk to human health and the environment</w:t>
      </w:r>
      <w:r>
        <w:t xml:space="preserve">. These procedures should also ensure that Duty of Care requirements are met for these wastes. This applies whether the waste is generated </w:t>
      </w:r>
      <w:r w:rsidR="00D6784F">
        <w:t xml:space="preserve">at the </w:t>
      </w:r>
      <w:r>
        <w:t xml:space="preserve">site or </w:t>
      </w:r>
      <w:r w:rsidR="00D6784F">
        <w:t>otherwise imported</w:t>
      </w:r>
      <w:r>
        <w:t>. Such procedures, including proposed frequencies of testing, should support the assessments to demonstrate acceptable criteria for restoration material (</w:t>
      </w:r>
      <w:r w:rsidR="0020792F">
        <w:t>detailed</w:t>
      </w:r>
      <w:r>
        <w:t xml:space="preserve"> below)</w:t>
      </w:r>
      <w:r w:rsidR="00A124CA">
        <w:t xml:space="preserve">. The procedures </w:t>
      </w:r>
      <w:r>
        <w:t xml:space="preserve">should be </w:t>
      </w:r>
      <w:r w:rsidR="008222C7">
        <w:t xml:space="preserve">included within the Restoration Management Plan </w:t>
      </w:r>
      <w:r w:rsidR="005D24A8">
        <w:t xml:space="preserve">(RMP) </w:t>
      </w:r>
      <w:r w:rsidR="00C46863">
        <w:t xml:space="preserve">and </w:t>
      </w:r>
      <w:r>
        <w:t xml:space="preserve">submitted to </w:t>
      </w:r>
      <w:r w:rsidR="009066EF">
        <w:t xml:space="preserve">and approved by </w:t>
      </w:r>
      <w:r>
        <w:t xml:space="preserve">SEPA prior to the </w:t>
      </w:r>
      <w:r w:rsidR="009066EF">
        <w:t>use</w:t>
      </w:r>
      <w:r>
        <w:t xml:space="preserve"> of waste materials in the restoration layer. </w:t>
      </w:r>
    </w:p>
    <w:p w:rsidR="00C30753" w:rsidP="00C30753" w:rsidRDefault="00C30753" w14:paraId="12FF694D" w14:textId="77777777">
      <w:pPr>
        <w:pStyle w:val="Heading2"/>
      </w:pPr>
      <w:r w:rsidRPr="00165D64">
        <w:t>Waste types and waste classificatio</w:t>
      </w:r>
      <w:r>
        <w:t>n</w:t>
      </w:r>
    </w:p>
    <w:p w:rsidR="00264973" w:rsidP="00C30753" w:rsidRDefault="00C30753" w14:paraId="63BE2740" w14:textId="77777777">
      <w:pPr>
        <w:pStyle w:val="BodyText1"/>
      </w:pPr>
      <w:r w:rsidRPr="00165D64">
        <w:t xml:space="preserve">There are </w:t>
      </w:r>
      <w:r w:rsidR="00655F0C">
        <w:t xml:space="preserve">a </w:t>
      </w:r>
      <w:r w:rsidRPr="00165D64">
        <w:t xml:space="preserve">range of different waste materials that could be used </w:t>
      </w:r>
      <w:r w:rsidR="00797A64">
        <w:t>directly</w:t>
      </w:r>
      <w:r w:rsidR="002E4B29">
        <w:t xml:space="preserve"> in the restoration of a landfill</w:t>
      </w:r>
      <w:r w:rsidR="00797A64">
        <w:t xml:space="preserve"> or </w:t>
      </w:r>
      <w:r w:rsidRPr="00165D64">
        <w:t xml:space="preserve">to manufacture soils </w:t>
      </w:r>
      <w:r w:rsidR="005C4C2F">
        <w:t>which may</w:t>
      </w:r>
      <w:r w:rsidR="00960CB6">
        <w:t xml:space="preserve"> </w:t>
      </w:r>
      <w:r w:rsidR="005C4C2F">
        <w:t>be</w:t>
      </w:r>
      <w:r w:rsidR="00960CB6">
        <w:t xml:space="preserve"> </w:t>
      </w:r>
      <w:r w:rsidRPr="00165D64">
        <w:t xml:space="preserve">required to complete restoration of the landfill. </w:t>
      </w:r>
    </w:p>
    <w:p w:rsidR="00264973" w:rsidP="00C30753" w:rsidRDefault="00264973" w14:paraId="0CE29FFB" w14:textId="6F64367B">
      <w:pPr>
        <w:pStyle w:val="BodyText1"/>
      </w:pPr>
      <w:r>
        <w:t xml:space="preserve">Waste Acceptance Criteria (WAC) specified in the Criteria and Procedures for the acceptance of waste at Landfills (Scotland) Direction 2005, relating to disposal within the landfill are not appropriate for waste that is being </w:t>
      </w:r>
      <w:r w:rsidR="00791EBB">
        <w:t>used in the restoration of the landfill,</w:t>
      </w:r>
      <w:r>
        <w:t xml:space="preserve"> i.e., on top of </w:t>
      </w:r>
      <w:r w:rsidR="00834818">
        <w:t>the engineered</w:t>
      </w:r>
      <w:r>
        <w:t xml:space="preserve"> cap.</w:t>
      </w:r>
    </w:p>
    <w:p w:rsidRPr="00AA46B0" w:rsidR="00C30753" w:rsidP="00AA46B0" w:rsidRDefault="00BC5274" w14:paraId="612D833C" w14:textId="42316A3B">
      <w:pPr>
        <w:pStyle w:val="BodyText1"/>
        <w:rPr>
          <w:rFonts w:ascii="Arial" w:hAnsi="Arial" w:eastAsia="Times New Roman" w:cs="Arial"/>
        </w:rPr>
      </w:pPr>
      <w:r>
        <w:t>This l</w:t>
      </w:r>
      <w:r w:rsidRPr="00165D64">
        <w:t xml:space="preserve">ist </w:t>
      </w:r>
      <w:r w:rsidR="00960CB6">
        <w:t xml:space="preserve">below </w:t>
      </w:r>
      <w:r w:rsidRPr="00165D64" w:rsidR="00C30753">
        <w:t xml:space="preserve">includes some </w:t>
      </w:r>
      <w:r w:rsidR="004D435E">
        <w:t xml:space="preserve">commonly used </w:t>
      </w:r>
      <w:r w:rsidRPr="00165D64" w:rsidR="00C30753">
        <w:t>examples of waste codes</w:t>
      </w:r>
      <w:r w:rsidR="00ED7A91">
        <w:t xml:space="preserve"> </w:t>
      </w:r>
      <w:r w:rsidR="008B6E16">
        <w:t xml:space="preserve">and descriptions </w:t>
      </w:r>
      <w:r w:rsidR="00ED7A91">
        <w:t xml:space="preserve">from the European Waste Catalogue </w:t>
      </w:r>
      <w:r w:rsidR="00592E6A">
        <w:t>(EWC) Chapters</w:t>
      </w:r>
      <w:r w:rsidR="008B6E16">
        <w:t xml:space="preserve"> and</w:t>
      </w:r>
      <w:r w:rsidR="00592E6A">
        <w:t xml:space="preserve"> subchapters </w:t>
      </w:r>
      <w:r w:rsidR="008B6E16">
        <w:t xml:space="preserve">that may be acceptable for </w:t>
      </w:r>
      <w:r w:rsidR="007A4BF9">
        <w:t xml:space="preserve">use in </w:t>
      </w:r>
      <w:r w:rsidR="008B6E16">
        <w:t>restoration</w:t>
      </w:r>
      <w:r w:rsidR="007A4BF9">
        <w:t xml:space="preserve"> of a landfill</w:t>
      </w:r>
      <w:r w:rsidRPr="00165D64" w:rsidR="00C30753">
        <w:t xml:space="preserve">. </w:t>
      </w:r>
      <w:r w:rsidR="00D5546B">
        <w:t>T</w:t>
      </w:r>
      <w:r w:rsidRPr="00165D64" w:rsidR="00C30753">
        <w:t xml:space="preserve">his list is not exhaustive. </w:t>
      </w:r>
      <w:r w:rsidRPr="00AA46B0" w:rsidR="00C96F78">
        <w:rPr>
          <w:rFonts w:ascii="Arial" w:hAnsi="Arial" w:eastAsia="Times New Roman" w:cs="Arial"/>
        </w:rPr>
        <w:t xml:space="preserve">Waste codes shown </w:t>
      </w:r>
      <w:r w:rsidRPr="00AA46B0" w:rsidR="00C30753">
        <w:rPr>
          <w:rFonts w:ascii="Arial" w:hAnsi="Arial" w:eastAsia="Times New Roman" w:cs="Arial"/>
        </w:rPr>
        <w:t xml:space="preserve">in bold are non-hazardous </w:t>
      </w:r>
      <w:r w:rsidRPr="00AA46B0" w:rsidR="00F05D1A">
        <w:rPr>
          <w:rFonts w:ascii="Arial" w:hAnsi="Arial" w:eastAsia="Times New Roman" w:cs="Arial"/>
        </w:rPr>
        <w:t xml:space="preserve">mirror </w:t>
      </w:r>
      <w:r w:rsidRPr="00AA46B0" w:rsidR="00C92D95">
        <w:rPr>
          <w:rFonts w:ascii="Arial" w:hAnsi="Arial" w:eastAsia="Times New Roman" w:cs="Arial"/>
        </w:rPr>
        <w:t>entries.</w:t>
      </w:r>
    </w:p>
    <w:p w:rsidRPr="00535912" w:rsidR="00C30753" w:rsidP="00C30753" w:rsidRDefault="00C30753" w14:paraId="2A1091B4" w14:textId="77777777">
      <w:pPr>
        <w:pStyle w:val="BodyText1"/>
        <w:numPr>
          <w:ilvl w:val="0"/>
          <w:numId w:val="14"/>
        </w:numPr>
        <w:rPr>
          <w:rFonts w:eastAsia="Times New Roman"/>
        </w:rPr>
      </w:pPr>
      <w:r w:rsidRPr="00535912">
        <w:rPr>
          <w:rFonts w:eastAsia="Times New Roman"/>
        </w:rPr>
        <w:t>Chapter 17 Construction and demolition wastes (including excavated soil from contaminated sites)</w:t>
      </w:r>
    </w:p>
    <w:p w:rsidRPr="00535912" w:rsidR="00C30753" w:rsidP="00C30753" w:rsidRDefault="00C30753" w14:paraId="58B2785C" w14:textId="77777777">
      <w:pPr>
        <w:pStyle w:val="BodyText1"/>
        <w:numPr>
          <w:ilvl w:val="1"/>
          <w:numId w:val="14"/>
        </w:numPr>
        <w:rPr>
          <w:rFonts w:eastAsia="Times New Roman"/>
        </w:rPr>
      </w:pPr>
      <w:r w:rsidRPr="00535912">
        <w:rPr>
          <w:rFonts w:eastAsia="Times New Roman"/>
        </w:rPr>
        <w:lastRenderedPageBreak/>
        <w:t>Sub chapter 17 05 Soil (including excavated soil from contaminated sites), stones and dredging spoil</w:t>
      </w:r>
    </w:p>
    <w:p w:rsidRPr="00840EDB" w:rsidR="00C30753" w:rsidP="00C30753" w:rsidRDefault="00C30753" w14:paraId="51C056AF" w14:textId="77777777">
      <w:pPr>
        <w:pStyle w:val="BodyText1"/>
        <w:numPr>
          <w:ilvl w:val="2"/>
          <w:numId w:val="14"/>
        </w:numPr>
        <w:rPr>
          <w:rFonts w:eastAsia="Times New Roman"/>
          <w:b/>
          <w:bCs/>
        </w:rPr>
      </w:pPr>
      <w:r w:rsidRPr="00840EDB">
        <w:rPr>
          <w:rFonts w:eastAsia="Times New Roman"/>
          <w:b/>
          <w:bCs/>
        </w:rPr>
        <w:t>17 05 04 Soils and stones other than those mentioned in 17 05 03</w:t>
      </w:r>
    </w:p>
    <w:p w:rsidRPr="00535912" w:rsidR="00C30753" w:rsidP="00C30753" w:rsidRDefault="00C30753" w14:paraId="5ACA5BAD" w14:textId="77777777">
      <w:pPr>
        <w:pStyle w:val="BodyText1"/>
        <w:numPr>
          <w:ilvl w:val="0"/>
          <w:numId w:val="14"/>
        </w:numPr>
        <w:rPr>
          <w:rFonts w:eastAsia="Times New Roman"/>
        </w:rPr>
      </w:pPr>
      <w:r w:rsidRPr="00535912">
        <w:rPr>
          <w:rFonts w:eastAsia="Times New Roman"/>
        </w:rPr>
        <w:t xml:space="preserve">Chapter 19 Wastes from waste management facilities, off-site </w:t>
      </w:r>
      <w:proofErr w:type="gramStart"/>
      <w:r w:rsidRPr="00535912">
        <w:rPr>
          <w:rFonts w:eastAsia="Times New Roman"/>
        </w:rPr>
        <w:t>waste water</w:t>
      </w:r>
      <w:proofErr w:type="gramEnd"/>
      <w:r w:rsidRPr="00535912">
        <w:rPr>
          <w:rFonts w:eastAsia="Times New Roman"/>
        </w:rPr>
        <w:t xml:space="preserve"> treatment plants and the preparation of water intended for human consumption and water for industrial use</w:t>
      </w:r>
    </w:p>
    <w:p w:rsidRPr="00535912" w:rsidR="00C30753" w:rsidP="00C30753" w:rsidRDefault="00C30753" w14:paraId="202BEF77" w14:textId="77777777">
      <w:pPr>
        <w:pStyle w:val="BodyText1"/>
        <w:numPr>
          <w:ilvl w:val="1"/>
          <w:numId w:val="14"/>
        </w:numPr>
        <w:rPr>
          <w:rFonts w:eastAsia="Times New Roman"/>
        </w:rPr>
      </w:pPr>
      <w:r w:rsidRPr="00535912">
        <w:rPr>
          <w:rFonts w:eastAsia="Times New Roman"/>
        </w:rPr>
        <w:t>Sub chapter 19 05 Wastes from aerobic treatment of solid wastes:</w:t>
      </w:r>
    </w:p>
    <w:p w:rsidRPr="00535912" w:rsidR="00C30753" w:rsidP="00C30753" w:rsidRDefault="00C30753" w14:paraId="508E661F" w14:textId="77777777">
      <w:pPr>
        <w:pStyle w:val="BodyText1"/>
        <w:numPr>
          <w:ilvl w:val="2"/>
          <w:numId w:val="14"/>
        </w:numPr>
        <w:rPr>
          <w:rFonts w:eastAsia="Times New Roman"/>
        </w:rPr>
      </w:pPr>
      <w:r w:rsidRPr="00535912">
        <w:rPr>
          <w:rFonts w:eastAsia="Times New Roman"/>
        </w:rPr>
        <w:t>19 05 03 Off specification compost</w:t>
      </w:r>
    </w:p>
    <w:p w:rsidRPr="00535912" w:rsidR="00C30753" w:rsidP="00C30753" w:rsidRDefault="00C30753" w14:paraId="01F08E74" w14:textId="77777777">
      <w:pPr>
        <w:pStyle w:val="BodyText1"/>
        <w:numPr>
          <w:ilvl w:val="1"/>
          <w:numId w:val="14"/>
        </w:numPr>
        <w:rPr>
          <w:rFonts w:eastAsia="Times New Roman"/>
        </w:rPr>
      </w:pPr>
      <w:r w:rsidRPr="00535912">
        <w:rPr>
          <w:rFonts w:eastAsia="Times New Roman"/>
        </w:rPr>
        <w:t>Sub chapter 19 12 Wastes from the mechanical treatment of waste (for example sorting, crushing, compacting, pelletising) not otherwise specified</w:t>
      </w:r>
    </w:p>
    <w:p w:rsidRPr="00535912" w:rsidR="00C30753" w:rsidP="00C30753" w:rsidRDefault="00C30753" w14:paraId="0495ADCB" w14:textId="77777777">
      <w:pPr>
        <w:pStyle w:val="BodyText1"/>
        <w:numPr>
          <w:ilvl w:val="2"/>
          <w:numId w:val="14"/>
        </w:numPr>
        <w:rPr>
          <w:rFonts w:eastAsia="Times New Roman"/>
        </w:rPr>
      </w:pPr>
      <w:r w:rsidRPr="00535912">
        <w:rPr>
          <w:rFonts w:eastAsia="Times New Roman"/>
        </w:rPr>
        <w:t>19 12 09 Minerals (for example sand, stones)</w:t>
      </w:r>
    </w:p>
    <w:p w:rsidRPr="00840EDB" w:rsidR="00C30753" w:rsidP="00C30753" w:rsidRDefault="00C30753" w14:paraId="7D38FA52" w14:textId="77777777">
      <w:pPr>
        <w:pStyle w:val="BodyText1"/>
        <w:numPr>
          <w:ilvl w:val="2"/>
          <w:numId w:val="14"/>
        </w:numPr>
        <w:rPr>
          <w:rFonts w:eastAsia="Times New Roman"/>
          <w:b/>
          <w:bCs/>
        </w:rPr>
      </w:pPr>
      <w:r w:rsidRPr="00840EDB">
        <w:rPr>
          <w:rFonts w:eastAsia="Times New Roman"/>
          <w:b/>
          <w:bCs/>
        </w:rPr>
        <w:t>19 12 12 Other wastes (including mixtures of materials) from mechanical treatment of waste other than those mentioned in 19 12 11</w:t>
      </w:r>
    </w:p>
    <w:p w:rsidRPr="00535912" w:rsidR="00C30753" w:rsidP="00C30753" w:rsidRDefault="00C30753" w14:paraId="0DE807C1" w14:textId="77777777">
      <w:pPr>
        <w:pStyle w:val="BodyText1"/>
        <w:numPr>
          <w:ilvl w:val="0"/>
          <w:numId w:val="14"/>
        </w:numPr>
        <w:rPr>
          <w:rFonts w:eastAsia="Times New Roman"/>
        </w:rPr>
      </w:pPr>
      <w:r w:rsidRPr="00535912">
        <w:rPr>
          <w:rFonts w:eastAsia="Times New Roman"/>
        </w:rPr>
        <w:t>Chapter 20 Municipal wastes (household waste and similar commercial, industrial and institutional wastes) including separately collected fractions</w:t>
      </w:r>
    </w:p>
    <w:p w:rsidRPr="00535912" w:rsidR="00C30753" w:rsidP="00C30753" w:rsidRDefault="00C30753" w14:paraId="197E37EE" w14:textId="77777777">
      <w:pPr>
        <w:pStyle w:val="BodyText1"/>
        <w:numPr>
          <w:ilvl w:val="1"/>
          <w:numId w:val="14"/>
        </w:numPr>
        <w:rPr>
          <w:rFonts w:eastAsia="Times New Roman"/>
        </w:rPr>
      </w:pPr>
      <w:r w:rsidRPr="00535912">
        <w:rPr>
          <w:rFonts w:eastAsia="Times New Roman"/>
        </w:rPr>
        <w:t>Sub chapter 20 02 Garden and park wastes (including cemetery waste)</w:t>
      </w:r>
    </w:p>
    <w:p w:rsidRPr="00535912" w:rsidR="00C30753" w:rsidP="00C30753" w:rsidRDefault="00C30753" w14:paraId="1A345D83" w14:textId="77777777">
      <w:pPr>
        <w:pStyle w:val="BodyText1"/>
        <w:numPr>
          <w:ilvl w:val="2"/>
          <w:numId w:val="14"/>
        </w:numPr>
        <w:rPr>
          <w:rFonts w:eastAsia="Times New Roman"/>
        </w:rPr>
      </w:pPr>
      <w:r w:rsidRPr="00535912">
        <w:rPr>
          <w:rFonts w:eastAsia="Times New Roman"/>
        </w:rPr>
        <w:t>20 02 02 Soils and stones</w:t>
      </w:r>
    </w:p>
    <w:p w:rsidR="00C30753" w:rsidP="00C30753" w:rsidRDefault="00C30753" w14:paraId="65F418F8" w14:textId="224EEE12">
      <w:pPr>
        <w:pStyle w:val="BodyText1"/>
      </w:pPr>
      <w:r>
        <w:t xml:space="preserve">Minerals (EWC </w:t>
      </w:r>
      <w:r w:rsidR="00A95788">
        <w:t xml:space="preserve">code </w:t>
      </w:r>
      <w:r>
        <w:t xml:space="preserve">19 12 09) is used to describe naturally occurring minerals produced from mechanical treatment. </w:t>
      </w:r>
      <w:r w:rsidR="009F3FF3">
        <w:t>Therefore</w:t>
      </w:r>
      <w:r w:rsidR="000B4C9E">
        <w:t>,</w:t>
      </w:r>
      <w:r w:rsidR="009F3FF3">
        <w:t xml:space="preserve"> </w:t>
      </w:r>
      <w:r w:rsidR="00EE4501">
        <w:t>such</w:t>
      </w:r>
      <w:r w:rsidR="009F3FF3">
        <w:t xml:space="preserve"> waste</w:t>
      </w:r>
      <w:r w:rsidR="00EE4501">
        <w:t>s</w:t>
      </w:r>
      <w:r w:rsidR="009F3FF3">
        <w:t xml:space="preserve"> </w:t>
      </w:r>
      <w:r>
        <w:t>should not include man-made material</w:t>
      </w:r>
      <w:r w:rsidR="00EE4501">
        <w:t>s</w:t>
      </w:r>
      <w:r>
        <w:t xml:space="preserve"> </w:t>
      </w:r>
      <w:r w:rsidR="00EE4501">
        <w:t xml:space="preserve">for example, </w:t>
      </w:r>
      <w:r>
        <w:t xml:space="preserve">concrete or bricks or any other non-mineral </w:t>
      </w:r>
      <w:r w:rsidR="004E7FFD">
        <w:t>components</w:t>
      </w:r>
      <w:r>
        <w:t xml:space="preserve">. </w:t>
      </w:r>
    </w:p>
    <w:p w:rsidR="00C30753" w:rsidP="00C30753" w:rsidRDefault="00C30753" w14:paraId="606ECCA4" w14:textId="2248840B">
      <w:pPr>
        <w:pStyle w:val="BodyText1"/>
      </w:pPr>
      <w:r>
        <w:t>Only non-hazardous waste may be used in restoration activities</w:t>
      </w:r>
      <w:r w:rsidR="002B4BCD">
        <w:t>. W</w:t>
      </w:r>
      <w:r>
        <w:t xml:space="preserve">astes assigned an absolute non-hazardous waste code do not require further assessment to assign the EWC code. For the remaining wastes, </w:t>
      </w:r>
      <w:r w:rsidR="00045D34">
        <w:t>i.e. those assigned a mirror EWC code</w:t>
      </w:r>
      <w:r w:rsidR="38D2B273">
        <w:t>,</w:t>
      </w:r>
      <w:r w:rsidR="00045D34">
        <w:t xml:space="preserve"> further </w:t>
      </w:r>
      <w:r w:rsidR="00116477">
        <w:t xml:space="preserve">assessment </w:t>
      </w:r>
      <w:r w:rsidR="00045D34">
        <w:t xml:space="preserve">and testing </w:t>
      </w:r>
      <w:r w:rsidR="00116477">
        <w:t>is required</w:t>
      </w:r>
      <w:r w:rsidR="00045D34">
        <w:t xml:space="preserve">. This ensures </w:t>
      </w:r>
      <w:r>
        <w:t>the correct EWC</w:t>
      </w:r>
      <w:r w:rsidR="00B328E4">
        <w:t xml:space="preserve"> code</w:t>
      </w:r>
      <w:r>
        <w:t xml:space="preserve"> </w:t>
      </w:r>
      <w:r w:rsidR="00C32659">
        <w:t xml:space="preserve">from the </w:t>
      </w:r>
      <w:r w:rsidR="00461859">
        <w:t xml:space="preserve">mirror pair </w:t>
      </w:r>
      <w:r>
        <w:t>has been assigned</w:t>
      </w:r>
      <w:r w:rsidR="00852591">
        <w:t xml:space="preserve"> to the waste</w:t>
      </w:r>
      <w:r w:rsidR="006C7671">
        <w:t xml:space="preserve"> following </w:t>
      </w:r>
      <w:r w:rsidR="00E73673">
        <w:t xml:space="preserve">an assessment of </w:t>
      </w:r>
      <w:r w:rsidR="006C7671">
        <w:t>the hazardous propert</w:t>
      </w:r>
      <w:r w:rsidR="00E73673">
        <w:t>ies</w:t>
      </w:r>
      <w:r w:rsidR="006C7671">
        <w:t xml:space="preserve"> </w:t>
      </w:r>
      <w:r w:rsidR="00E73673">
        <w:t>of the waste</w:t>
      </w:r>
      <w:r w:rsidR="000D21FB">
        <w:t xml:space="preserve">. </w:t>
      </w:r>
      <w:r w:rsidR="00F7003F">
        <w:t>W</w:t>
      </w:r>
      <w:r w:rsidR="00C804C2">
        <w:t>here necessary</w:t>
      </w:r>
      <w:r w:rsidR="00F7003F">
        <w:t>,</w:t>
      </w:r>
      <w:r w:rsidR="00C804C2">
        <w:t xml:space="preserve"> the</w:t>
      </w:r>
      <w:r w:rsidR="00BC5343">
        <w:t xml:space="preserve"> </w:t>
      </w:r>
      <w:r w:rsidR="00C04C8C">
        <w:t xml:space="preserve">waste </w:t>
      </w:r>
      <w:r w:rsidR="00BC5343">
        <w:t xml:space="preserve">should </w:t>
      </w:r>
      <w:r w:rsidR="000D21FB">
        <w:t xml:space="preserve">be sampled, tested, assessed and classified, using Guidance on the Classification </w:t>
      </w:r>
      <w:r w:rsidR="000D21FB">
        <w:lastRenderedPageBreak/>
        <w:t>and Assessment of Waste (Technical Guidance WM3).</w:t>
      </w:r>
      <w:r w:rsidR="007D0484">
        <w:t xml:space="preserve"> </w:t>
      </w:r>
      <w:r>
        <w:t>This includes any waste to be used in the initial capping protection layer</w:t>
      </w:r>
      <w:r w:rsidR="007D0484">
        <w:t xml:space="preserve"> as well as the subsoil and topsoil</w:t>
      </w:r>
      <w:r>
        <w:t xml:space="preserve">.  </w:t>
      </w:r>
    </w:p>
    <w:p w:rsidRPr="00EB6A3F" w:rsidR="00C30753" w:rsidP="00C30753" w:rsidRDefault="00C30753" w14:paraId="15AD94A9" w14:textId="171B7BF8">
      <w:pPr>
        <w:pStyle w:val="BodyText1"/>
      </w:pPr>
      <w:r w:rsidRPr="00EB6A3F">
        <w:t xml:space="preserve">The assessment should cover the full range </w:t>
      </w:r>
      <w:r w:rsidRPr="00EB6A3F" w:rsidR="00B437DA">
        <w:t xml:space="preserve">of </w:t>
      </w:r>
      <w:r w:rsidRPr="00EB6A3F">
        <w:t xml:space="preserve">hazardous properties (HP1 to HP15 and persistent organic pollutants (POPs)) as specified in the </w:t>
      </w:r>
      <w:r w:rsidRPr="00EB6A3F" w:rsidR="00507A0A">
        <w:t xml:space="preserve">Technical Guidance </w:t>
      </w:r>
      <w:r w:rsidRPr="00EB6A3F">
        <w:t xml:space="preserve">WM3. This is required to show that the </w:t>
      </w:r>
      <w:r w:rsidRPr="00EB6A3F" w:rsidR="00B437DA">
        <w:t>waste</w:t>
      </w:r>
      <w:r w:rsidRPr="00EB6A3F">
        <w:t xml:space="preserve"> does not possess any hazardous properties and is assigned the correct EWC code from the mirror pairing. The assessment requires regular testing for compliance and/or </w:t>
      </w:r>
      <w:r w:rsidRPr="00EB6A3F" w:rsidR="009C56A1">
        <w:t>on-</w:t>
      </w:r>
      <w:r w:rsidRPr="00EB6A3F">
        <w:t xml:space="preserve">site verification testing as described in </w:t>
      </w:r>
      <w:r w:rsidRPr="00EB6A3F" w:rsidR="00507A0A">
        <w:t>T</w:t>
      </w:r>
      <w:r w:rsidRPr="00EB6A3F">
        <w:t xml:space="preserve">echnical </w:t>
      </w:r>
      <w:r w:rsidRPr="00EB6A3F" w:rsidR="00507A0A">
        <w:t>G</w:t>
      </w:r>
      <w:r w:rsidRPr="00EB6A3F">
        <w:t>uidance</w:t>
      </w:r>
      <w:r w:rsidRPr="00EB6A3F" w:rsidR="00507A0A">
        <w:t xml:space="preserve"> WM3</w:t>
      </w:r>
      <w:r w:rsidRPr="00EB6A3F">
        <w:t>. Equally, the sampling of the waste should be based on a sampling plan (BS EN 14899</w:t>
      </w:r>
      <w:r w:rsidRPr="00EB6A3F" w:rsidR="006817E1">
        <w:t xml:space="preserve"> </w:t>
      </w:r>
      <w:r w:rsidRPr="00EB6A3F">
        <w:t>2005).</w:t>
      </w:r>
    </w:p>
    <w:p w:rsidR="00C30753" w:rsidP="00C30753" w:rsidRDefault="00C30753" w14:paraId="3F2CCC25" w14:textId="77777777">
      <w:pPr>
        <w:pStyle w:val="Heading2"/>
      </w:pPr>
      <w:r w:rsidRPr="00840EDB">
        <w:t>Assessments required to demonstrate acceptability for use</w:t>
      </w:r>
    </w:p>
    <w:p w:rsidR="0014359A" w:rsidP="00C30753" w:rsidRDefault="00C30753" w14:paraId="69B413D6" w14:textId="41C5E336">
      <w:pPr>
        <w:pStyle w:val="BodyText1"/>
      </w:pPr>
      <w:r>
        <w:t>It is possible that both topsoil and subsoil will be “manufactured” using different waste types from a variety of sources</w:t>
      </w:r>
      <w:r w:rsidR="00943363">
        <w:t>.</w:t>
      </w:r>
      <w:r w:rsidR="001E1521">
        <w:t xml:space="preserve"> </w:t>
      </w:r>
      <w:r>
        <w:t xml:space="preserve">Therefore, it is essential that the wastes accepted should be suitable </w:t>
      </w:r>
      <w:r w:rsidR="003B51CD">
        <w:t xml:space="preserve">for use directly </w:t>
      </w:r>
      <w:r w:rsidR="00376C2E">
        <w:t>or</w:t>
      </w:r>
      <w:r w:rsidR="003B51CD">
        <w:t xml:space="preserve"> </w:t>
      </w:r>
      <w:r>
        <w:t xml:space="preserve">as constituents of topsoil and subsoil. </w:t>
      </w:r>
    </w:p>
    <w:p w:rsidR="00C30753" w:rsidP="00C30753" w:rsidRDefault="00587F71" w14:paraId="34A07C7C" w14:textId="36FC0300">
      <w:pPr>
        <w:pStyle w:val="BodyText1"/>
      </w:pPr>
      <w:r>
        <w:t>T</w:t>
      </w:r>
      <w:r w:rsidR="00C30753">
        <w:t xml:space="preserve">o be suitable for use as a restoration material, </w:t>
      </w:r>
      <w:r w:rsidR="00657A04">
        <w:t>once the waste has been classified as described above</w:t>
      </w:r>
      <w:r w:rsidR="001A4B19">
        <w:t xml:space="preserve">, </w:t>
      </w:r>
      <w:r w:rsidR="00C30753">
        <w:t>the material should be assessed for the three criteria described below:</w:t>
      </w:r>
    </w:p>
    <w:p w:rsidR="00C30753" w:rsidP="00C30753" w:rsidRDefault="00C30753" w14:paraId="0BD4811C" w14:textId="7FA6DA2A">
      <w:pPr>
        <w:pStyle w:val="ListParagraph"/>
        <w:numPr>
          <w:ilvl w:val="0"/>
          <w:numId w:val="15"/>
        </w:numPr>
      </w:pPr>
      <w:r>
        <w:t>Human health risk</w:t>
      </w:r>
      <w:r w:rsidR="00587F71">
        <w:t>s</w:t>
      </w:r>
    </w:p>
    <w:p w:rsidR="00C30753" w:rsidP="00C30753" w:rsidRDefault="00C30753" w14:paraId="7269BD66" w14:textId="2572AB59">
      <w:pPr>
        <w:pStyle w:val="ListParagraph"/>
        <w:numPr>
          <w:ilvl w:val="0"/>
          <w:numId w:val="15"/>
        </w:numPr>
      </w:pPr>
      <w:r>
        <w:t>Environmental risk</w:t>
      </w:r>
      <w:r w:rsidR="00587F71">
        <w:t>s</w:t>
      </w:r>
    </w:p>
    <w:p w:rsidR="00C30753" w:rsidP="00C30753" w:rsidRDefault="006A4DD5" w14:paraId="5D93F507" w14:textId="5B8F89AA">
      <w:pPr>
        <w:pStyle w:val="ListParagraph"/>
        <w:numPr>
          <w:ilvl w:val="0"/>
          <w:numId w:val="15"/>
        </w:numPr>
      </w:pPr>
      <w:r>
        <w:t>S</w:t>
      </w:r>
      <w:r w:rsidR="00C30753">
        <w:t xml:space="preserve">uitability for use as </w:t>
      </w:r>
      <w:r w:rsidR="0025089C">
        <w:t xml:space="preserve">either </w:t>
      </w:r>
      <w:r w:rsidR="00C30753">
        <w:t>subsoil</w:t>
      </w:r>
      <w:r w:rsidR="009964BB">
        <w:t xml:space="preserve"> or </w:t>
      </w:r>
      <w:r w:rsidR="00C30753">
        <w:t>topsoil</w:t>
      </w:r>
    </w:p>
    <w:p w:rsidR="002634C1" w:rsidP="003B0B92" w:rsidRDefault="002634C1" w14:paraId="108C7CE3" w14:textId="6C6110F5">
      <w:r>
        <w:t xml:space="preserve">There is also a need to ensure that </w:t>
      </w:r>
      <w:r w:rsidR="002B5C69">
        <w:t xml:space="preserve">wastes accepted are also </w:t>
      </w:r>
      <w:r>
        <w:t>geotechnically suitable</w:t>
      </w:r>
      <w:r w:rsidR="002B5C69">
        <w:t xml:space="preserve">, for example with </w:t>
      </w:r>
      <w:r>
        <w:t>respect to slope stability and settlement.</w:t>
      </w:r>
    </w:p>
    <w:p w:rsidR="4A88A901" w:rsidRDefault="4A88A901" w14:paraId="7F1DC17F" w14:textId="24B15002"/>
    <w:p w:rsidR="00C30753" w:rsidP="0052298B" w:rsidRDefault="00C30753" w14:paraId="102BFADE" w14:textId="77777777">
      <w:pPr>
        <w:pStyle w:val="Heading2"/>
      </w:pPr>
      <w:r>
        <w:t>Human Health Risk Assessment</w:t>
      </w:r>
    </w:p>
    <w:p w:rsidR="00C30753" w:rsidP="00C30753" w:rsidRDefault="00C30753" w14:paraId="0243CAA7" w14:textId="3F9046C9">
      <w:pPr>
        <w:pStyle w:val="BodyText1"/>
      </w:pPr>
      <w:r>
        <w:t xml:space="preserve">The suitability of </w:t>
      </w:r>
      <w:r w:rsidR="00331430">
        <w:t xml:space="preserve">waste to be used as </w:t>
      </w:r>
      <w:r>
        <w:t xml:space="preserve">restoration materials may be screened for risks to human health using appropriate Generic Assessment Criteria (GAC). The assessment </w:t>
      </w:r>
      <w:r w:rsidR="009964BB">
        <w:t xml:space="preserve">of human health risks </w:t>
      </w:r>
      <w:r>
        <w:t xml:space="preserve">is primarily aimed at restoration material </w:t>
      </w:r>
      <w:r w:rsidR="00AF1804">
        <w:t xml:space="preserve">that will be </w:t>
      </w:r>
      <w:r>
        <w:t xml:space="preserve">placed at or close to the surface. Therefore, potential pollutant linkages will need to be </w:t>
      </w:r>
      <w:r w:rsidR="006D05CD">
        <w:t>considered</w:t>
      </w:r>
      <w:r>
        <w:t xml:space="preserve">, i.e., source → pathway → receptor.  This </w:t>
      </w:r>
      <w:r w:rsidR="00AF1804">
        <w:t xml:space="preserve">GAC </w:t>
      </w:r>
      <w:r>
        <w:t xml:space="preserve">assessment should be made for </w:t>
      </w:r>
      <w:proofErr w:type="gramStart"/>
      <w:r>
        <w:t>all of</w:t>
      </w:r>
      <w:proofErr w:type="gramEnd"/>
      <w:r>
        <w:t xml:space="preserve"> the relevant </w:t>
      </w:r>
      <w:r w:rsidR="00AB6923">
        <w:t>contaminants</w:t>
      </w:r>
      <w:r>
        <w:t xml:space="preserve"> of concern and the GAC used should reflect the future us</w:t>
      </w:r>
      <w:r w:rsidR="00AB6923">
        <w:t>e</w:t>
      </w:r>
      <w:r>
        <w:t xml:space="preserve"> of the site.</w:t>
      </w:r>
    </w:p>
    <w:p w:rsidR="00C30753" w:rsidP="00C30753" w:rsidRDefault="00C33091" w14:paraId="7DC21E63" w14:textId="5517E7BD">
      <w:pPr>
        <w:pStyle w:val="BodyText1"/>
      </w:pPr>
      <w:r>
        <w:lastRenderedPageBreak/>
        <w:t xml:space="preserve">GACs </w:t>
      </w:r>
      <w:r w:rsidR="00ED0852">
        <w:t xml:space="preserve">such as </w:t>
      </w:r>
      <w:r w:rsidR="00C30753">
        <w:t xml:space="preserve">the LQM/CIEH </w:t>
      </w:r>
      <w:r w:rsidR="00FD2881">
        <w:t>Suitable for Use Levels (</w:t>
      </w:r>
      <w:r w:rsidR="00C30753">
        <w:t>S4U</w:t>
      </w:r>
      <w:r w:rsidR="00FD2881">
        <w:t>l</w:t>
      </w:r>
      <w:r w:rsidR="00C30753">
        <w:t>s</w:t>
      </w:r>
      <w:r w:rsidR="00FD2881">
        <w:t>)</w:t>
      </w:r>
      <w:r w:rsidR="00C30753">
        <w:t xml:space="preserve"> </w:t>
      </w:r>
      <w:r w:rsidR="00ED0852">
        <w:t xml:space="preserve">or </w:t>
      </w:r>
      <w:r w:rsidR="009F5DEE">
        <w:t xml:space="preserve">Category </w:t>
      </w:r>
      <w:r w:rsidR="002659FA">
        <w:t xml:space="preserve">Four Screening Levels (C4SL) </w:t>
      </w:r>
      <w:r w:rsidR="00C30753">
        <w:t xml:space="preserve">are intended to assess the potential risks posed to human health by contaminants in soil. The derivation of </w:t>
      </w:r>
      <w:r w:rsidR="00845A5E">
        <w:t xml:space="preserve">the LQM/CIEH S4ULs </w:t>
      </w:r>
      <w:r w:rsidR="00C30753">
        <w:t xml:space="preserve">is intended to be </w:t>
      </w:r>
      <w:proofErr w:type="gramStart"/>
      <w:r w:rsidR="00C30753">
        <w:t>transparent</w:t>
      </w:r>
      <w:proofErr w:type="gramEnd"/>
      <w:r w:rsidR="00C30753">
        <w:t xml:space="preserve"> and the values are considered as cautious trigger values. When a GAC is exceeded for </w:t>
      </w:r>
      <w:r w:rsidR="00295B49">
        <w:t xml:space="preserve">waste that is </w:t>
      </w:r>
      <w:r w:rsidR="00C30753">
        <w:t xml:space="preserve">proposed </w:t>
      </w:r>
      <w:r w:rsidR="00295B49">
        <w:t xml:space="preserve">to be used in </w:t>
      </w:r>
      <w:r w:rsidR="00C30753">
        <w:t xml:space="preserve">restoration material the suitability of the material is questionable. If the material is still to be considered for use, the exceedance should trigger a further detailed quantitative risk assessment which may include site-specific parameters to derive site-specific assessment criteria. </w:t>
      </w:r>
    </w:p>
    <w:p w:rsidR="00C30753" w:rsidP="00C30753" w:rsidRDefault="00C30753" w14:paraId="1B14C53D" w14:textId="122DF5B6">
      <w:pPr>
        <w:pStyle w:val="Heading2"/>
      </w:pPr>
      <w:r>
        <w:t xml:space="preserve">Environmental </w:t>
      </w:r>
      <w:r w:rsidR="25BC7B16">
        <w:t>r</w:t>
      </w:r>
      <w:r>
        <w:t xml:space="preserve">isk </w:t>
      </w:r>
      <w:r w:rsidR="7DBDDC69">
        <w:t>a</w:t>
      </w:r>
      <w:r>
        <w:t>ssessment</w:t>
      </w:r>
    </w:p>
    <w:p w:rsidR="00C30753" w:rsidP="00C30753" w:rsidRDefault="00C30753" w14:paraId="06DF76BA" w14:textId="77777777">
      <w:pPr>
        <w:pStyle w:val="Heading3"/>
      </w:pPr>
      <w:r>
        <w:t xml:space="preserve">Water environment </w:t>
      </w:r>
    </w:p>
    <w:p w:rsidR="00C30753" w:rsidP="00C30753" w:rsidRDefault="00C30753" w14:paraId="45DA6E93" w14:textId="77FBC895">
      <w:pPr>
        <w:pStyle w:val="BodyText1"/>
      </w:pPr>
      <w:r>
        <w:t xml:space="preserve">Restoration material </w:t>
      </w:r>
      <w:r w:rsidR="0065477D">
        <w:t xml:space="preserve">in </w:t>
      </w:r>
      <w:r w:rsidR="00FF4324">
        <w:t xml:space="preserve">most </w:t>
      </w:r>
      <w:r w:rsidR="00CB0184">
        <w:t xml:space="preserve">cases is </w:t>
      </w:r>
      <w:r>
        <w:t>likely to be placed above the capped cells</w:t>
      </w:r>
      <w:r w:rsidR="009E530E">
        <w:t>.</w:t>
      </w:r>
      <w:r w:rsidR="00CB0184">
        <w:t xml:space="preserve"> </w:t>
      </w:r>
      <w:r w:rsidR="009E530E">
        <w:t xml:space="preserve">It may </w:t>
      </w:r>
      <w:r w:rsidR="00DA220A">
        <w:t xml:space="preserve">also </w:t>
      </w:r>
      <w:r w:rsidRPr="009E530E" w:rsidR="009E530E">
        <w:t>need to be applied in small amounts to aid final contours over the site which has not had waste placed e</w:t>
      </w:r>
      <w:r w:rsidR="00DA220A">
        <w:t>.</w:t>
      </w:r>
      <w:r w:rsidRPr="009E530E" w:rsidR="009E530E">
        <w:t>g</w:t>
      </w:r>
      <w:r w:rsidR="00DA220A">
        <w:t>.</w:t>
      </w:r>
      <w:r w:rsidRPr="009E530E" w:rsidR="009E530E">
        <w:t xml:space="preserve"> haul roads</w:t>
      </w:r>
      <w:r>
        <w:t xml:space="preserve">. </w:t>
      </w:r>
      <w:r w:rsidR="00753AF0">
        <w:t>T</w:t>
      </w:r>
      <w:r>
        <w:t>he presence of the capping and landfill lining system are likely to constrain significant downward migration of contaminants</w:t>
      </w:r>
      <w:r w:rsidR="00055101">
        <w:t xml:space="preserve">. Contaminants </w:t>
      </w:r>
      <w:r>
        <w:t>can migrate laterally above the cap via run-off and interflow</w:t>
      </w:r>
      <w:r w:rsidR="00B61A74">
        <w:t xml:space="preserve"> before </w:t>
      </w:r>
      <w:r w:rsidR="00055101">
        <w:t>migratin</w:t>
      </w:r>
      <w:r w:rsidR="004304F0">
        <w:t>g</w:t>
      </w:r>
      <w:r w:rsidR="00055101">
        <w:t xml:space="preserve"> </w:t>
      </w:r>
      <w:r w:rsidR="00B61A74">
        <w:t>beyond the extent of the capped area</w:t>
      </w:r>
      <w:r>
        <w:t xml:space="preserve">. Dissolved phase and particulate contaminants may enter surface water drainage systems. Dissolved-phase contaminants may also potentially infiltrate </w:t>
      </w:r>
      <w:r w:rsidR="00512E74">
        <w:t>through the subsurf</w:t>
      </w:r>
      <w:r w:rsidR="00B06536">
        <w:t>a</w:t>
      </w:r>
      <w:r w:rsidR="00512E74">
        <w:t>c</w:t>
      </w:r>
      <w:r w:rsidR="00B06536">
        <w:t xml:space="preserve">e </w:t>
      </w:r>
      <w:r>
        <w:t xml:space="preserve">to groundwater beyond the edge of the engineered cells. The potential for infiltration will depend on the geological and hydrogeological setting. There may be potential for off-site migration of contaminants via surface water and/or groundwater in the direction of water flow. The proximity of </w:t>
      </w:r>
      <w:r w:rsidR="00B06536">
        <w:t xml:space="preserve">sensitive </w:t>
      </w:r>
      <w:r>
        <w:t xml:space="preserve">water-dependent receptors such as abstractions or groundwater-dependent terrestrial ecosystems (wetlands) should be considered.   </w:t>
      </w:r>
    </w:p>
    <w:p w:rsidR="00C30753" w:rsidP="00C30753" w:rsidRDefault="00C30753" w14:paraId="67D0CF4C" w14:textId="2FABC166">
      <w:pPr>
        <w:pStyle w:val="BodyText1"/>
      </w:pPr>
      <w:r>
        <w:t xml:space="preserve">Therefore, the potential risks to the water environment need to be considered when assessing the suitability of waste for use in the restoration. This will require an assessment of potential pollutant linkages i.e., source → pathway → receptor.  This assessment should be made for </w:t>
      </w:r>
      <w:proofErr w:type="gramStart"/>
      <w:r>
        <w:t>all of</w:t>
      </w:r>
      <w:proofErr w:type="gramEnd"/>
      <w:r>
        <w:t xml:space="preserve"> the relevant </w:t>
      </w:r>
      <w:r w:rsidR="002C2A8D">
        <w:t>contaminants</w:t>
      </w:r>
      <w:r>
        <w:t xml:space="preserve"> of concern.    </w:t>
      </w:r>
    </w:p>
    <w:p w:rsidR="00C30753" w:rsidP="00C30753" w:rsidRDefault="00C30753" w14:paraId="50AD84E7" w14:textId="7DC5CBC0">
      <w:pPr>
        <w:pStyle w:val="BodyText1"/>
      </w:pPr>
      <w:r>
        <w:t xml:space="preserve">Using the identified pollutant linkages, </w:t>
      </w:r>
      <w:r w:rsidR="00CD7D40">
        <w:t xml:space="preserve">waste </w:t>
      </w:r>
      <w:r>
        <w:t xml:space="preserve">to be used within the restoration layer should be assessed for suitability in terms of risk to the water environment to fulfil both the requirements under the </w:t>
      </w:r>
      <w:r w:rsidR="009B056B">
        <w:t xml:space="preserve">Environmental Authorisations (Scotland) </w:t>
      </w:r>
      <w:r w:rsidR="00CD7D40">
        <w:t>Regulations 2018</w:t>
      </w:r>
      <w:r>
        <w:t xml:space="preserve"> and to not hinder the future surrender of the permit. </w:t>
      </w:r>
    </w:p>
    <w:p w:rsidR="00C30753" w:rsidP="00C30753" w:rsidRDefault="00C30753" w14:paraId="77EAAA51" w14:textId="77777777">
      <w:pPr>
        <w:pStyle w:val="BodyText1"/>
      </w:pPr>
      <w:r>
        <w:lastRenderedPageBreak/>
        <w:t xml:space="preserve">The relevant quality standards can be found within the latest versions of the following SEPA guidance documents: </w:t>
      </w:r>
    </w:p>
    <w:p w:rsidR="00C30753" w:rsidP="00C30753" w:rsidRDefault="00C30753" w14:paraId="0094CD35" w14:textId="349142AB">
      <w:pPr>
        <w:pStyle w:val="ListParagraph"/>
        <w:numPr>
          <w:ilvl w:val="0"/>
          <w:numId w:val="16"/>
        </w:numPr>
        <w:spacing w:after="0" w:line="240" w:lineRule="auto"/>
      </w:pPr>
      <w:r>
        <w:t xml:space="preserve">SEPA </w:t>
      </w:r>
      <w:r w:rsidR="00EF5903">
        <w:t xml:space="preserve">Guidance </w:t>
      </w:r>
      <w:r>
        <w:t xml:space="preserve">– </w:t>
      </w:r>
      <w:r w:rsidR="00EF5903">
        <w:t>Guidance on the use of groundwater standards</w:t>
      </w:r>
    </w:p>
    <w:p w:rsidR="00793794" w:rsidP="00C30753" w:rsidRDefault="00150230" w14:paraId="30416BF4" w14:textId="63D96588">
      <w:pPr>
        <w:pStyle w:val="ListParagraph"/>
        <w:numPr>
          <w:ilvl w:val="0"/>
          <w:numId w:val="16"/>
        </w:numPr>
        <w:spacing w:after="0" w:line="240" w:lineRule="auto"/>
      </w:pPr>
      <w:r w:rsidRPr="00150230">
        <w:t>SEPA List of Groundwater Standards</w:t>
      </w:r>
    </w:p>
    <w:p w:rsidR="00C30753" w:rsidP="00C30753" w:rsidRDefault="00C30753" w14:paraId="67910D65" w14:textId="38408ECF">
      <w:pPr>
        <w:pStyle w:val="ListParagraph"/>
        <w:numPr>
          <w:ilvl w:val="0"/>
          <w:numId w:val="16"/>
        </w:numPr>
        <w:spacing w:after="0" w:line="240" w:lineRule="auto"/>
      </w:pPr>
      <w:r>
        <w:t xml:space="preserve">SEPA Guidance (WAT-SG-53) – Environmental </w:t>
      </w:r>
      <w:proofErr w:type="gramStart"/>
      <w:r>
        <w:t>Standards a for</w:t>
      </w:r>
      <w:proofErr w:type="gramEnd"/>
      <w:r>
        <w:t xml:space="preserve"> Discharges to Surface Waters </w:t>
      </w:r>
    </w:p>
    <w:p w:rsidR="00C30753" w:rsidP="00C30753" w:rsidRDefault="00C30753" w14:paraId="42BBBCCD" w14:textId="77777777">
      <w:pPr>
        <w:pStyle w:val="ListParagraph"/>
        <w:spacing w:after="0" w:line="240" w:lineRule="auto"/>
      </w:pPr>
    </w:p>
    <w:p w:rsidR="00AF657A" w:rsidP="00C30753" w:rsidRDefault="00AF657A" w14:paraId="262F0334" w14:textId="3EB101E0">
      <w:pPr>
        <w:pStyle w:val="BodyText1"/>
      </w:pPr>
      <w:r>
        <w:t xml:space="preserve">The potential leachability of contaminants in the waste is likely to be a key factor when assessing potential risks to the water environment. This should be considered when characterising the waste. This is discussed further in the section on testing. </w:t>
      </w:r>
    </w:p>
    <w:p w:rsidR="00C30753" w:rsidP="00C30753" w:rsidRDefault="00C30753" w14:paraId="3746D300" w14:textId="5896A46E">
      <w:pPr>
        <w:pStyle w:val="BodyText1"/>
      </w:pPr>
      <w:r>
        <w:t>It is assumed that restoration soils are unlikely to be placed below the water table</w:t>
      </w:r>
      <w:r w:rsidR="009F536C">
        <w:t xml:space="preserve">. Note that </w:t>
      </w:r>
      <w:r>
        <w:t>direct discharges to groundwater are unlikely</w:t>
      </w:r>
      <w:r w:rsidR="009F536C">
        <w:t xml:space="preserve"> to be acceptable to SEPA</w:t>
      </w:r>
      <w:r>
        <w:t xml:space="preserve">. </w:t>
      </w:r>
    </w:p>
    <w:p w:rsidR="00C30753" w:rsidP="00C30753" w:rsidRDefault="00C30753" w14:paraId="33196843" w14:textId="3CC62D5C">
      <w:pPr>
        <w:pStyle w:val="Heading3"/>
      </w:pPr>
      <w:r>
        <w:t xml:space="preserve">Terrestrial </w:t>
      </w:r>
      <w:r w:rsidR="416186B5">
        <w:t>e</w:t>
      </w:r>
      <w:r>
        <w:t>nvironment</w:t>
      </w:r>
    </w:p>
    <w:p w:rsidR="00C30753" w:rsidP="00C90989" w:rsidRDefault="00C30753" w14:paraId="70C1B432" w14:textId="37FD5C54">
      <w:pPr>
        <w:pStyle w:val="BodyText1"/>
      </w:pPr>
      <w:r>
        <w:t>Beyond the water environment and when relevant pollutant linkages exist</w:t>
      </w:r>
      <w:r w:rsidR="00527555">
        <w:t>, e</w:t>
      </w:r>
      <w:r>
        <w:t>cological risks may be assessed using Soil Screening Values</w:t>
      </w:r>
      <w:r w:rsidR="00436197">
        <w:rPr>
          <w:rStyle w:val="FootnoteReference"/>
        </w:rPr>
        <w:footnoteReference w:id="2"/>
      </w:r>
      <w:r>
        <w:t xml:space="preserve"> (see additional reading) where available.</w:t>
      </w:r>
      <w:r w:rsidR="00F07326">
        <w:t xml:space="preserve"> These were developed by the E</w:t>
      </w:r>
      <w:r w:rsidR="00C351A5">
        <w:t>nvironment Agency</w:t>
      </w:r>
      <w:r w:rsidR="00EA4106">
        <w:t xml:space="preserve"> and </w:t>
      </w:r>
      <w:r w:rsidR="00C90989">
        <w:t xml:space="preserve">are </w:t>
      </w:r>
      <w:proofErr w:type="gramStart"/>
      <w:r w:rsidR="00D770EB">
        <w:t>similar to</w:t>
      </w:r>
      <w:proofErr w:type="gramEnd"/>
      <w:r w:rsidR="00D770EB">
        <w:t xml:space="preserve"> the soil guideline values for human health risk assessment. T</w:t>
      </w:r>
      <w:r w:rsidR="00C90989">
        <w:t>he</w:t>
      </w:r>
      <w:r w:rsidR="00D770EB">
        <w:t xml:space="preserve">y are the </w:t>
      </w:r>
      <w:r w:rsidR="00C90989">
        <w:t xml:space="preserve">concentration of </w:t>
      </w:r>
      <w:r w:rsidR="00842714">
        <w:t xml:space="preserve">the </w:t>
      </w:r>
      <w:r w:rsidR="00C90989">
        <w:t xml:space="preserve">chemical </w:t>
      </w:r>
      <w:r w:rsidR="00842714">
        <w:t xml:space="preserve">in the </w:t>
      </w:r>
      <w:r w:rsidR="00C90989">
        <w:t>soil</w:t>
      </w:r>
      <w:r w:rsidR="00D770EB">
        <w:t xml:space="preserve"> </w:t>
      </w:r>
      <w:r w:rsidR="00C90989">
        <w:t xml:space="preserve">below which adverse effects on </w:t>
      </w:r>
      <w:r w:rsidR="00585F1B">
        <w:t>organisms</w:t>
      </w:r>
      <w:r w:rsidR="00842714">
        <w:t xml:space="preserve"> </w:t>
      </w:r>
      <w:r w:rsidR="00C90989">
        <w:t>or on the microbial functioning of soils</w:t>
      </w:r>
      <w:r w:rsidR="00585F1B">
        <w:t xml:space="preserve"> are not expected</w:t>
      </w:r>
      <w:r w:rsidR="00C90989">
        <w:t>.</w:t>
      </w:r>
    </w:p>
    <w:p w:rsidR="00C30753" w:rsidP="00C30753" w:rsidRDefault="00C30753" w14:paraId="522AC48B" w14:textId="77777777">
      <w:pPr>
        <w:pStyle w:val="Heading2"/>
      </w:pPr>
      <w:r>
        <w:t>Assessment of suitability for use as topsoil/subsoil</w:t>
      </w:r>
    </w:p>
    <w:p w:rsidR="00AE1840" w:rsidP="00C30753" w:rsidRDefault="00123551" w14:paraId="258593DA" w14:textId="729C11CD">
      <w:pPr>
        <w:pStyle w:val="BodyText1"/>
      </w:pPr>
      <w:r>
        <w:t>Waste</w:t>
      </w:r>
      <w:r w:rsidR="00C30753">
        <w:t xml:space="preserve"> materials to be used as a subsoil or topsoil (either </w:t>
      </w:r>
      <w:r w:rsidR="00457D20">
        <w:t xml:space="preserve">imported </w:t>
      </w:r>
      <w:r w:rsidR="00F869E8">
        <w:t>‘</w:t>
      </w:r>
      <w:r w:rsidR="00C30753">
        <w:t xml:space="preserve">as </w:t>
      </w:r>
      <w:r w:rsidR="00702FCC">
        <w:t>dug</w:t>
      </w:r>
      <w:r w:rsidR="00F869E8">
        <w:t xml:space="preserve">’ </w:t>
      </w:r>
      <w:r w:rsidR="00C30753">
        <w:t>or manufactured) within the restoration layer should be assessed for suitability for the identified final use, against the acceptable limits set out in British Standard BS3882</w:t>
      </w:r>
      <w:r w:rsidR="00E06565">
        <w:t>:</w:t>
      </w:r>
      <w:r w:rsidR="00C30753">
        <w:t>2015 for topsoil and/or BS8601</w:t>
      </w:r>
      <w:r w:rsidR="00E06565">
        <w:t>:</w:t>
      </w:r>
      <w:r w:rsidR="00C30753">
        <w:t>2013 for subsoil</w:t>
      </w:r>
      <w:r w:rsidR="00E06565">
        <w:t>.</w:t>
      </w:r>
      <w:r w:rsidR="00C30753">
        <w:t xml:space="preserve"> </w:t>
      </w:r>
      <w:r w:rsidRPr="003B51CD" w:rsidR="00AE1840">
        <w:t xml:space="preserve">Organic materials, for example, off-specification compost (EWC code 19 05 03) should not be mixed with topsoil but only mixed with subsoil like materials to manufacture topsoil. This is because topsoil for restoration is unlikely to require any additional nutrient enrichment. </w:t>
      </w:r>
    </w:p>
    <w:p w:rsidR="00C30753" w:rsidP="00C30753" w:rsidRDefault="00E06565" w14:paraId="4DC2F55E" w14:textId="2B598D11">
      <w:pPr>
        <w:pStyle w:val="BodyText1"/>
      </w:pPr>
      <w:r>
        <w:t xml:space="preserve">In addition, </w:t>
      </w:r>
      <w:r w:rsidR="008866DF">
        <w:t xml:space="preserve">the limits for extractable phosphorus </w:t>
      </w:r>
      <w:r w:rsidR="00C30753">
        <w:t>in Table 1 below</w:t>
      </w:r>
      <w:r w:rsidR="008866DF">
        <w:t xml:space="preserve"> apply</w:t>
      </w:r>
      <w:r w:rsidR="00D1192A">
        <w:t xml:space="preserve"> and take precedence</w:t>
      </w:r>
      <w:r w:rsidR="00B27823">
        <w:t xml:space="preserve"> over any limits for extractable phosphorus in the British Standards</w:t>
      </w:r>
      <w:r w:rsidR="00C30753">
        <w:t xml:space="preserve">. If this assessment is not </w:t>
      </w:r>
      <w:r w:rsidR="00C30753">
        <w:lastRenderedPageBreak/>
        <w:t xml:space="preserve">carried out, operators </w:t>
      </w:r>
      <w:r w:rsidR="00426ACA">
        <w:t xml:space="preserve">must </w:t>
      </w:r>
      <w:r w:rsidR="00C30753">
        <w:t>explain why</w:t>
      </w:r>
      <w:r w:rsidR="00251A76">
        <w:t xml:space="preserve"> </w:t>
      </w:r>
      <w:r w:rsidR="00C30753">
        <w:t>and provide justification for the use of this waste</w:t>
      </w:r>
      <w:r w:rsidR="00E00670">
        <w:t xml:space="preserve"> </w:t>
      </w:r>
      <w:r w:rsidR="00C30753">
        <w:t>in their Restoration Management Plan.</w:t>
      </w:r>
      <w:r w:rsidR="00E00670">
        <w:t xml:space="preserve"> </w:t>
      </w:r>
      <w:r w:rsidR="00C30753">
        <w:t xml:space="preserve"> </w:t>
      </w:r>
    </w:p>
    <w:p w:rsidR="00C30753" w:rsidP="00C30753" w:rsidRDefault="00B766D3" w14:paraId="4B4BEE11" w14:textId="1F019A63">
      <w:pPr>
        <w:pStyle w:val="BodyText1"/>
      </w:pPr>
      <w:r>
        <w:t xml:space="preserve">Therefore, </w:t>
      </w:r>
      <w:r w:rsidR="00575E48">
        <w:t xml:space="preserve">imported </w:t>
      </w:r>
      <w:r w:rsidR="001F0A28">
        <w:t>“</w:t>
      </w:r>
      <w:r>
        <w:t>as dug</w:t>
      </w:r>
      <w:r w:rsidR="00300512">
        <w:t>”</w:t>
      </w:r>
      <w:r>
        <w:t xml:space="preserve"> topsoil and subsoil will require</w:t>
      </w:r>
      <w:r w:rsidR="009C2F4C">
        <w:t xml:space="preserve"> testing to demonstrate </w:t>
      </w:r>
      <w:r w:rsidR="002E1CD8">
        <w:t>suitability</w:t>
      </w:r>
      <w:r w:rsidR="009C2F4C">
        <w:t xml:space="preserve"> for use in restoration. Equally, “manufactured</w:t>
      </w:r>
      <w:r w:rsidR="00D2266C">
        <w:t xml:space="preserve">” </w:t>
      </w:r>
      <w:r w:rsidR="00C30753">
        <w:t>topsoil and subsoil</w:t>
      </w:r>
      <w:r w:rsidR="00E00670">
        <w:t xml:space="preserve"> </w:t>
      </w:r>
      <w:r w:rsidR="00C30753">
        <w:t xml:space="preserve">from the blending of different waste materials </w:t>
      </w:r>
      <w:r w:rsidR="00E00670">
        <w:t>will also</w:t>
      </w:r>
      <w:r w:rsidR="00D2266C">
        <w:t xml:space="preserve"> </w:t>
      </w:r>
      <w:r w:rsidR="005826B7">
        <w:t>require</w:t>
      </w:r>
      <w:r w:rsidR="00D2266C">
        <w:t xml:space="preserve"> laboratory testing</w:t>
      </w:r>
      <w:r w:rsidR="00C30753">
        <w:t>. This testing will be required to ensure both that the wastes used are likely to be suitable</w:t>
      </w:r>
      <w:r w:rsidR="00087163">
        <w:t xml:space="preserve"> </w:t>
      </w:r>
      <w:r w:rsidR="00C30753">
        <w:t>and to guide the proportions of wastes to be used for the manufacture of the</w:t>
      </w:r>
      <w:r w:rsidR="003A05AF">
        <w:t>se</w:t>
      </w:r>
      <w:r w:rsidR="00C30753">
        <w:t xml:space="preserve"> soils</w:t>
      </w:r>
      <w:r w:rsidR="00E00108">
        <w:t>, a</w:t>
      </w:r>
      <w:r w:rsidR="00087163">
        <w:t xml:space="preserve">s well as a final check on the </w:t>
      </w:r>
      <w:r w:rsidR="00B555BF">
        <w:t>manufactured soil through verification testing.</w:t>
      </w:r>
    </w:p>
    <w:p w:rsidRPr="0096745E" w:rsidR="00C30753" w:rsidP="00C30753" w:rsidRDefault="00C30753" w14:paraId="3AF8D0A0" w14:textId="4859D05A">
      <w:pPr>
        <w:rPr>
          <w:rFonts w:ascii="Arial" w:hAnsi="Arial" w:eastAsia="Arial" w:cs="Arial"/>
          <w:b/>
          <w:bCs/>
        </w:rPr>
      </w:pPr>
      <w:r w:rsidRPr="0096745E">
        <w:rPr>
          <w:rFonts w:ascii="Arial" w:hAnsi="Arial" w:eastAsia="Arial" w:cs="Arial"/>
          <w:b/>
          <w:bCs/>
        </w:rPr>
        <w:t xml:space="preserve">Table </w:t>
      </w:r>
      <w:r>
        <w:rPr>
          <w:rFonts w:ascii="Arial" w:hAnsi="Arial" w:eastAsia="Arial" w:cs="Arial"/>
          <w:b/>
          <w:bCs/>
        </w:rPr>
        <w:t>1</w:t>
      </w:r>
      <w:r w:rsidRPr="0096745E">
        <w:rPr>
          <w:rFonts w:ascii="Arial" w:hAnsi="Arial" w:eastAsia="Arial" w:cs="Arial"/>
          <w:b/>
          <w:bCs/>
        </w:rPr>
        <w:t xml:space="preserve">: </w:t>
      </w:r>
      <w:r w:rsidR="008878A5">
        <w:rPr>
          <w:rFonts w:ascii="Arial" w:hAnsi="Arial" w:eastAsia="Arial" w:cs="Arial"/>
          <w:b/>
          <w:bCs/>
        </w:rPr>
        <w:t>Extractable Phosphorus Limits</w:t>
      </w:r>
    </w:p>
    <w:tbl>
      <w:tblPr>
        <w:tblW w:w="5000" w:type="pct"/>
        <w:tblLayout w:type="fixed"/>
        <w:tblCellMar>
          <w:left w:w="0" w:type="dxa"/>
          <w:right w:w="0" w:type="dxa"/>
        </w:tblCellMar>
        <w:tblLook w:val="04A0" w:firstRow="1" w:lastRow="0" w:firstColumn="1" w:lastColumn="0" w:noHBand="0" w:noVBand="1"/>
        <w:tblCaption w:val="restoration Topsoil and subsoil limits for extractable phosphorus"/>
        <w:tblDescription w:val="Extractable phosphorus limits for restoration subsoil and low fertitility and multipurpose topsoil "/>
      </w:tblPr>
      <w:tblGrid>
        <w:gridCol w:w="3751"/>
        <w:gridCol w:w="826"/>
        <w:gridCol w:w="1873"/>
        <w:gridCol w:w="1875"/>
        <w:gridCol w:w="1877"/>
      </w:tblGrid>
      <w:tr w:rsidRPr="0096745E" w:rsidR="00C30753" w14:paraId="0DF1FD5D" w14:textId="77777777">
        <w:trPr>
          <w:trHeight w:val="610"/>
          <w:tblHeader/>
        </w:trPr>
        <w:tc>
          <w:tcPr>
            <w:tcW w:w="183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6745E" w:rsidR="00C30753" w:rsidRDefault="00C30753" w14:paraId="76686AC8" w14:textId="77777777">
            <w:pPr>
              <w:spacing w:before="120" w:after="120" w:line="276" w:lineRule="auto"/>
              <w:jc w:val="center"/>
              <w:rPr>
                <w:rFonts w:ascii="Arial" w:hAnsi="Arial" w:eastAsia="Times New Roman" w:cs="Arial"/>
                <w:b/>
                <w:bCs/>
                <w:color w:val="016574"/>
                <w:lang w:eastAsia="en-GB"/>
              </w:rPr>
            </w:pPr>
            <w:proofErr w:type="spellStart"/>
            <w:r>
              <w:rPr>
                <w:rFonts w:ascii="Arial" w:hAnsi="Arial" w:eastAsia="Times New Roman" w:cs="Arial"/>
                <w:b/>
                <w:bCs/>
                <w:color w:val="016574"/>
                <w:lang w:eastAsia="en-GB"/>
              </w:rPr>
              <w:t>Determinand</w:t>
            </w:r>
            <w:proofErr w:type="spellEnd"/>
          </w:p>
        </w:tc>
        <w:tc>
          <w:tcPr>
            <w:tcW w:w="405"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96745E" w:rsidR="00C30753" w:rsidRDefault="00C30753" w14:paraId="1ED560A3" w14:textId="77777777">
            <w:pPr>
              <w:spacing w:before="120" w:after="120" w:line="276" w:lineRule="auto"/>
              <w:jc w:val="center"/>
              <w:rPr>
                <w:rFonts w:ascii="Arial" w:hAnsi="Arial" w:eastAsia="Times New Roman" w:cs="Arial"/>
                <w:b/>
                <w:bCs/>
                <w:color w:val="016574"/>
                <w:lang w:eastAsia="en-GB"/>
              </w:rPr>
            </w:pPr>
            <w:r>
              <w:rPr>
                <w:rFonts w:ascii="Arial" w:hAnsi="Arial" w:eastAsia="Times New Roman" w:cs="Arial"/>
                <w:b/>
                <w:bCs/>
                <w:color w:val="016574"/>
                <w:lang w:eastAsia="en-GB"/>
              </w:rPr>
              <w:t>Unit</w:t>
            </w:r>
          </w:p>
        </w:tc>
        <w:tc>
          <w:tcPr>
            <w:tcW w:w="918"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96745E" w:rsidR="00C30753" w:rsidRDefault="00C30753" w14:paraId="7AE908EE" w14:textId="77777777">
            <w:pPr>
              <w:spacing w:before="120" w:after="120" w:line="276" w:lineRule="auto"/>
              <w:jc w:val="center"/>
              <w:rPr>
                <w:rFonts w:ascii="Arial" w:hAnsi="Arial" w:eastAsia="Times New Roman" w:cs="Arial"/>
                <w:b/>
                <w:bCs/>
                <w:color w:val="016574"/>
                <w:lang w:eastAsia="en-GB"/>
              </w:rPr>
            </w:pPr>
            <w:r>
              <w:rPr>
                <w:rFonts w:ascii="Arial" w:hAnsi="Arial" w:eastAsia="Times New Roman" w:cs="Arial"/>
                <w:b/>
                <w:bCs/>
                <w:color w:val="016574"/>
                <w:lang w:eastAsia="en-GB"/>
              </w:rPr>
              <w:t>Subsoil</w:t>
            </w:r>
          </w:p>
        </w:tc>
        <w:tc>
          <w:tcPr>
            <w:tcW w:w="919"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96745E" w:rsidR="00C30753" w:rsidRDefault="00C30753" w14:paraId="590889BF" w14:textId="77777777">
            <w:pPr>
              <w:spacing w:before="120" w:after="120" w:line="276" w:lineRule="auto"/>
              <w:jc w:val="center"/>
              <w:rPr>
                <w:rFonts w:ascii="Arial" w:hAnsi="Arial" w:eastAsia="Times New Roman" w:cs="Arial"/>
                <w:b/>
                <w:bCs/>
                <w:color w:val="016574"/>
                <w:lang w:eastAsia="en-GB"/>
              </w:rPr>
            </w:pPr>
            <w:r>
              <w:rPr>
                <w:rFonts w:ascii="Arial" w:hAnsi="Arial" w:eastAsia="Times New Roman" w:cs="Arial"/>
                <w:b/>
                <w:bCs/>
                <w:color w:val="016574"/>
                <w:lang w:eastAsia="en-GB"/>
              </w:rPr>
              <w:t>Topsoil – low fertility</w:t>
            </w:r>
          </w:p>
        </w:tc>
        <w:tc>
          <w:tcPr>
            <w:tcW w:w="920" w:type="pct"/>
            <w:tcBorders>
              <w:top w:val="single" w:color="auto" w:sz="8" w:space="0"/>
              <w:left w:val="nil"/>
              <w:bottom w:val="single" w:color="auto" w:sz="8" w:space="0"/>
              <w:right w:val="single" w:color="auto" w:sz="8" w:space="0"/>
            </w:tcBorders>
          </w:tcPr>
          <w:p w:rsidR="00C30753" w:rsidRDefault="00C30753" w14:paraId="379944D2" w14:textId="77777777">
            <w:pPr>
              <w:spacing w:before="120" w:after="120" w:line="276" w:lineRule="auto"/>
              <w:jc w:val="center"/>
              <w:rPr>
                <w:rFonts w:ascii="Arial" w:hAnsi="Arial" w:eastAsia="Times New Roman" w:cs="Arial"/>
                <w:b/>
                <w:bCs/>
                <w:color w:val="016574"/>
                <w:lang w:eastAsia="en-GB"/>
              </w:rPr>
            </w:pPr>
            <w:r>
              <w:rPr>
                <w:rFonts w:ascii="Arial" w:hAnsi="Arial" w:eastAsia="Times New Roman" w:cs="Arial"/>
                <w:b/>
                <w:bCs/>
                <w:color w:val="016574"/>
                <w:lang w:eastAsia="en-GB"/>
              </w:rPr>
              <w:t>Topsoil – multipurpose</w:t>
            </w:r>
          </w:p>
        </w:tc>
      </w:tr>
      <w:tr w:rsidRPr="0096745E" w:rsidR="00C30753" w14:paraId="68199F65" w14:textId="77777777">
        <w:trPr>
          <w:trHeight w:val="315"/>
        </w:trPr>
        <w:tc>
          <w:tcPr>
            <w:tcW w:w="1838" w:type="pct"/>
            <w:tcBorders>
              <w:top w:val="nil"/>
              <w:left w:val="single" w:color="A6A6A6" w:sz="8" w:space="0"/>
              <w:bottom w:val="single" w:color="A6A6A6" w:sz="8" w:space="0"/>
              <w:right w:val="single" w:color="A6A6A6" w:sz="8" w:space="0"/>
            </w:tcBorders>
            <w:noWrap/>
            <w:tcMar>
              <w:top w:w="0" w:type="dxa"/>
              <w:left w:w="108" w:type="dxa"/>
              <w:bottom w:w="0" w:type="dxa"/>
              <w:right w:w="108" w:type="dxa"/>
            </w:tcMar>
            <w:vAlign w:val="center"/>
            <w:hideMark/>
          </w:tcPr>
          <w:p w:rsidRPr="0096745E" w:rsidR="00C30753" w:rsidRDefault="00C30753" w14:paraId="1791A0CB" w14:textId="3B063D35">
            <w:pPr>
              <w:spacing w:before="120" w:after="120" w:line="240" w:lineRule="auto"/>
              <w:jc w:val="center"/>
              <w:rPr>
                <w:rFonts w:ascii="Arial" w:hAnsi="Arial" w:eastAsia="Times New Roman" w:cs="Arial"/>
                <w:lang w:eastAsia="en-GB"/>
              </w:rPr>
            </w:pPr>
            <w:r>
              <w:rPr>
                <w:rFonts w:ascii="Arial" w:hAnsi="Arial" w:eastAsia="Times New Roman" w:cs="Arial"/>
                <w:lang w:eastAsia="en-GB"/>
              </w:rPr>
              <w:t>Extractable P</w:t>
            </w:r>
            <w:r w:rsidR="00310F8D">
              <w:rPr>
                <w:rFonts w:ascii="Arial" w:hAnsi="Arial" w:eastAsia="Times New Roman" w:cs="Arial"/>
                <w:lang w:eastAsia="en-GB"/>
              </w:rPr>
              <w:t>hosphorus</w:t>
            </w:r>
            <w:r>
              <w:rPr>
                <w:rFonts w:ascii="Arial" w:hAnsi="Arial" w:eastAsia="Times New Roman" w:cs="Arial"/>
                <w:lang w:eastAsia="en-GB"/>
              </w:rPr>
              <w:t xml:space="preserve"> (Olsen)</w:t>
            </w:r>
            <w:r>
              <w:rPr>
                <w:rStyle w:val="FootnoteReference"/>
                <w:rFonts w:ascii="Arial" w:hAnsi="Arial" w:eastAsia="Times New Roman" w:cs="Arial"/>
                <w:lang w:eastAsia="en-GB"/>
              </w:rPr>
              <w:footnoteReference w:id="3"/>
            </w:r>
          </w:p>
        </w:tc>
        <w:tc>
          <w:tcPr>
            <w:tcW w:w="405" w:type="pct"/>
            <w:tcBorders>
              <w:top w:val="nil"/>
              <w:left w:val="nil"/>
              <w:bottom w:val="single" w:color="A6A6A6" w:sz="8" w:space="0"/>
              <w:right w:val="single" w:color="A6A6A6" w:sz="8" w:space="0"/>
            </w:tcBorders>
            <w:noWrap/>
            <w:tcMar>
              <w:top w:w="0" w:type="dxa"/>
              <w:left w:w="108" w:type="dxa"/>
              <w:bottom w:w="0" w:type="dxa"/>
              <w:right w:w="108" w:type="dxa"/>
            </w:tcMar>
            <w:vAlign w:val="center"/>
            <w:hideMark/>
          </w:tcPr>
          <w:p w:rsidRPr="0096745E" w:rsidR="00C30753" w:rsidRDefault="0052625F" w14:paraId="48D25494" w14:textId="051B5E9F">
            <w:pPr>
              <w:spacing w:before="120" w:after="120" w:line="240" w:lineRule="auto"/>
              <w:jc w:val="center"/>
              <w:rPr>
                <w:rFonts w:ascii="Arial" w:hAnsi="Arial" w:eastAsia="Times New Roman" w:cs="Arial"/>
                <w:lang w:eastAsia="en-GB"/>
              </w:rPr>
            </w:pPr>
            <w:r>
              <w:rPr>
                <w:rFonts w:ascii="Arial" w:hAnsi="Arial" w:eastAsia="Times New Roman" w:cs="Arial"/>
                <w:lang w:eastAsia="en-GB"/>
              </w:rPr>
              <w:t>mg</w:t>
            </w:r>
            <w:r w:rsidR="00C30753">
              <w:rPr>
                <w:rFonts w:ascii="Arial" w:hAnsi="Arial" w:eastAsia="Times New Roman" w:cs="Arial"/>
                <w:lang w:eastAsia="en-GB"/>
              </w:rPr>
              <w:t>/</w:t>
            </w:r>
            <w:r>
              <w:rPr>
                <w:rFonts w:ascii="Arial" w:hAnsi="Arial" w:eastAsia="Times New Roman" w:cs="Arial"/>
                <w:lang w:eastAsia="en-GB"/>
              </w:rPr>
              <w:t xml:space="preserve"> </w:t>
            </w:r>
            <w:r w:rsidR="00C30753">
              <w:rPr>
                <w:rFonts w:ascii="Arial" w:hAnsi="Arial" w:eastAsia="Times New Roman" w:cs="Arial"/>
                <w:lang w:eastAsia="en-GB"/>
              </w:rPr>
              <w:t>l</w:t>
            </w:r>
          </w:p>
        </w:tc>
        <w:tc>
          <w:tcPr>
            <w:tcW w:w="918" w:type="pct"/>
            <w:tcBorders>
              <w:top w:val="nil"/>
              <w:left w:val="nil"/>
              <w:bottom w:val="single" w:color="A6A6A6" w:sz="8" w:space="0"/>
              <w:right w:val="single" w:color="A6A6A6" w:sz="8" w:space="0"/>
            </w:tcBorders>
            <w:noWrap/>
            <w:tcMar>
              <w:top w:w="0" w:type="dxa"/>
              <w:left w:w="108" w:type="dxa"/>
              <w:bottom w:w="0" w:type="dxa"/>
              <w:right w:w="108" w:type="dxa"/>
            </w:tcMar>
            <w:vAlign w:val="center"/>
            <w:hideMark/>
          </w:tcPr>
          <w:p w:rsidRPr="0096745E" w:rsidR="00C30753" w:rsidRDefault="00C30753" w14:paraId="48037A85" w14:textId="77777777">
            <w:pPr>
              <w:spacing w:before="120" w:after="120" w:line="240" w:lineRule="auto"/>
              <w:jc w:val="center"/>
              <w:rPr>
                <w:rFonts w:ascii="Arial" w:hAnsi="Arial" w:eastAsia="Times New Roman" w:cs="Arial"/>
                <w:lang w:eastAsia="en-GB"/>
              </w:rPr>
            </w:pPr>
            <w:r>
              <w:rPr>
                <w:rFonts w:ascii="Arial" w:hAnsi="Arial" w:eastAsia="Times New Roman" w:cs="Arial"/>
                <w:lang w:eastAsia="en-GB"/>
              </w:rPr>
              <w:t>&lt;15</w:t>
            </w:r>
          </w:p>
        </w:tc>
        <w:tc>
          <w:tcPr>
            <w:tcW w:w="919" w:type="pct"/>
            <w:tcBorders>
              <w:top w:val="nil"/>
              <w:left w:val="nil"/>
              <w:bottom w:val="single" w:color="A6A6A6" w:sz="8" w:space="0"/>
              <w:right w:val="single" w:color="A6A6A6" w:sz="8" w:space="0"/>
            </w:tcBorders>
            <w:noWrap/>
            <w:tcMar>
              <w:top w:w="0" w:type="dxa"/>
              <w:left w:w="108" w:type="dxa"/>
              <w:bottom w:w="0" w:type="dxa"/>
              <w:right w:w="108" w:type="dxa"/>
            </w:tcMar>
            <w:vAlign w:val="center"/>
            <w:hideMark/>
          </w:tcPr>
          <w:p w:rsidRPr="0096745E" w:rsidR="00C30753" w:rsidRDefault="00C30753" w14:paraId="48802877" w14:textId="77777777">
            <w:pPr>
              <w:spacing w:before="120" w:after="120" w:line="240" w:lineRule="auto"/>
              <w:jc w:val="center"/>
              <w:rPr>
                <w:rFonts w:ascii="Arial" w:hAnsi="Arial" w:eastAsia="Times New Roman" w:cs="Arial"/>
                <w:lang w:eastAsia="en-GB"/>
              </w:rPr>
            </w:pPr>
            <w:r>
              <w:rPr>
                <w:rFonts w:ascii="Arial" w:hAnsi="Arial" w:eastAsia="Times New Roman" w:cs="Arial"/>
                <w:lang w:eastAsia="en-GB"/>
              </w:rPr>
              <w:t>&lt;15</w:t>
            </w:r>
          </w:p>
        </w:tc>
        <w:tc>
          <w:tcPr>
            <w:tcW w:w="920" w:type="pct"/>
            <w:tcBorders>
              <w:top w:val="nil"/>
              <w:left w:val="nil"/>
              <w:bottom w:val="single" w:color="A6A6A6" w:sz="8" w:space="0"/>
              <w:right w:val="single" w:color="A6A6A6" w:sz="8" w:space="0"/>
            </w:tcBorders>
          </w:tcPr>
          <w:p w:rsidRPr="0096745E" w:rsidR="00C30753" w:rsidRDefault="00C30753" w14:paraId="779D4980" w14:textId="77777777">
            <w:pPr>
              <w:spacing w:before="120" w:after="120" w:line="240" w:lineRule="auto"/>
              <w:jc w:val="center"/>
              <w:rPr>
                <w:rFonts w:ascii="Arial" w:hAnsi="Arial" w:eastAsia="Times New Roman" w:cs="Arial"/>
                <w:lang w:eastAsia="en-GB"/>
              </w:rPr>
            </w:pPr>
            <w:r>
              <w:rPr>
                <w:rFonts w:ascii="Arial" w:hAnsi="Arial" w:eastAsia="Times New Roman" w:cs="Arial"/>
                <w:lang w:eastAsia="en-GB"/>
              </w:rPr>
              <w:t>&lt;45</w:t>
            </w:r>
          </w:p>
        </w:tc>
      </w:tr>
      <w:tr w:rsidRPr="0096745E" w:rsidR="00C30753" w14:paraId="39E481F8" w14:textId="77777777">
        <w:trPr>
          <w:trHeight w:val="300"/>
        </w:trPr>
        <w:tc>
          <w:tcPr>
            <w:tcW w:w="1838" w:type="pct"/>
            <w:tcBorders>
              <w:top w:val="nil"/>
              <w:left w:val="single" w:color="A6A6A6" w:sz="8" w:space="0"/>
              <w:bottom w:val="single" w:color="A6A6A6" w:sz="8" w:space="0"/>
              <w:right w:val="single" w:color="A6A6A6" w:sz="8" w:space="0"/>
            </w:tcBorders>
            <w:noWrap/>
            <w:tcMar>
              <w:top w:w="0" w:type="dxa"/>
              <w:left w:w="108" w:type="dxa"/>
              <w:bottom w:w="0" w:type="dxa"/>
              <w:right w:w="108" w:type="dxa"/>
            </w:tcMar>
            <w:vAlign w:val="center"/>
            <w:hideMark/>
          </w:tcPr>
          <w:p w:rsidRPr="0096745E" w:rsidR="00C30753" w:rsidRDefault="00C30753" w14:paraId="3A04D51C" w14:textId="68A22DA2">
            <w:pPr>
              <w:spacing w:before="120" w:after="120" w:line="240" w:lineRule="auto"/>
              <w:jc w:val="center"/>
              <w:rPr>
                <w:rFonts w:ascii="Arial" w:hAnsi="Arial" w:eastAsia="Times New Roman" w:cs="Arial"/>
                <w:lang w:eastAsia="en-GB"/>
              </w:rPr>
            </w:pPr>
            <w:r>
              <w:rPr>
                <w:rFonts w:ascii="Arial" w:hAnsi="Arial" w:eastAsia="Times New Roman" w:cs="Arial"/>
                <w:lang w:eastAsia="en-GB"/>
              </w:rPr>
              <w:t>Extractable P</w:t>
            </w:r>
            <w:r w:rsidR="00310F8D">
              <w:rPr>
                <w:rFonts w:ascii="Arial" w:hAnsi="Arial" w:eastAsia="Times New Roman" w:cs="Arial"/>
                <w:lang w:eastAsia="en-GB"/>
              </w:rPr>
              <w:t>hosphorus</w:t>
            </w:r>
            <w:r>
              <w:rPr>
                <w:rFonts w:ascii="Arial" w:hAnsi="Arial" w:eastAsia="Times New Roman" w:cs="Arial"/>
                <w:lang w:eastAsia="en-GB"/>
              </w:rPr>
              <w:t xml:space="preserve"> (Modified Morgan)</w:t>
            </w:r>
          </w:p>
        </w:tc>
        <w:tc>
          <w:tcPr>
            <w:tcW w:w="405" w:type="pct"/>
            <w:tcBorders>
              <w:top w:val="nil"/>
              <w:left w:val="nil"/>
              <w:bottom w:val="single" w:color="A6A6A6" w:sz="8" w:space="0"/>
              <w:right w:val="single" w:color="A6A6A6" w:sz="8" w:space="0"/>
            </w:tcBorders>
            <w:noWrap/>
            <w:tcMar>
              <w:top w:w="0" w:type="dxa"/>
              <w:left w:w="108" w:type="dxa"/>
              <w:bottom w:w="0" w:type="dxa"/>
              <w:right w:w="108" w:type="dxa"/>
            </w:tcMar>
            <w:vAlign w:val="center"/>
            <w:hideMark/>
          </w:tcPr>
          <w:p w:rsidRPr="0096745E" w:rsidR="00C30753" w:rsidRDefault="00C30753" w14:paraId="667070D5" w14:textId="77777777">
            <w:pPr>
              <w:spacing w:before="120" w:after="120" w:line="240" w:lineRule="auto"/>
              <w:jc w:val="center"/>
              <w:rPr>
                <w:rFonts w:ascii="Arial" w:hAnsi="Arial" w:eastAsia="Times New Roman" w:cs="Arial"/>
                <w:lang w:eastAsia="en-GB"/>
              </w:rPr>
            </w:pPr>
            <w:r>
              <w:rPr>
                <w:rFonts w:ascii="Arial" w:hAnsi="Arial" w:eastAsia="Times New Roman" w:cs="Arial"/>
                <w:lang w:eastAsia="en-GB"/>
              </w:rPr>
              <w:t>mg/l</w:t>
            </w:r>
          </w:p>
        </w:tc>
        <w:tc>
          <w:tcPr>
            <w:tcW w:w="918" w:type="pct"/>
            <w:tcBorders>
              <w:top w:val="nil"/>
              <w:left w:val="nil"/>
              <w:bottom w:val="single" w:color="A6A6A6" w:sz="8" w:space="0"/>
              <w:right w:val="single" w:color="A6A6A6" w:sz="8" w:space="0"/>
            </w:tcBorders>
            <w:noWrap/>
            <w:tcMar>
              <w:top w:w="0" w:type="dxa"/>
              <w:left w:w="108" w:type="dxa"/>
              <w:bottom w:w="0" w:type="dxa"/>
              <w:right w:w="108" w:type="dxa"/>
            </w:tcMar>
            <w:vAlign w:val="center"/>
            <w:hideMark/>
          </w:tcPr>
          <w:p w:rsidRPr="0096745E" w:rsidR="00C30753" w:rsidRDefault="00C30753" w14:paraId="02A5772C" w14:textId="77777777">
            <w:pPr>
              <w:spacing w:before="120" w:after="120" w:line="240" w:lineRule="auto"/>
              <w:jc w:val="center"/>
              <w:rPr>
                <w:rFonts w:ascii="Arial" w:hAnsi="Arial" w:eastAsia="Times New Roman" w:cs="Arial"/>
                <w:lang w:eastAsia="en-GB"/>
              </w:rPr>
            </w:pPr>
            <w:r>
              <w:rPr>
                <w:rFonts w:ascii="Arial" w:hAnsi="Arial" w:eastAsia="Times New Roman" w:cs="Arial"/>
                <w:lang w:eastAsia="en-GB"/>
              </w:rPr>
              <w:t>&lt;4.4</w:t>
            </w:r>
          </w:p>
        </w:tc>
        <w:tc>
          <w:tcPr>
            <w:tcW w:w="919" w:type="pct"/>
            <w:tcBorders>
              <w:top w:val="nil"/>
              <w:left w:val="nil"/>
              <w:bottom w:val="single" w:color="A6A6A6" w:sz="8" w:space="0"/>
              <w:right w:val="single" w:color="A6A6A6" w:sz="8" w:space="0"/>
            </w:tcBorders>
            <w:noWrap/>
            <w:tcMar>
              <w:top w:w="0" w:type="dxa"/>
              <w:left w:w="108" w:type="dxa"/>
              <w:bottom w:w="0" w:type="dxa"/>
              <w:right w:w="108" w:type="dxa"/>
            </w:tcMar>
            <w:vAlign w:val="center"/>
            <w:hideMark/>
          </w:tcPr>
          <w:p w:rsidRPr="0096745E" w:rsidR="00C30753" w:rsidRDefault="00C30753" w14:paraId="20D973A8" w14:textId="77777777">
            <w:pPr>
              <w:spacing w:before="120" w:after="120" w:line="240" w:lineRule="auto"/>
              <w:jc w:val="center"/>
              <w:rPr>
                <w:rFonts w:ascii="Arial" w:hAnsi="Arial" w:eastAsia="Times New Roman" w:cs="Arial"/>
                <w:lang w:eastAsia="en-GB"/>
              </w:rPr>
            </w:pPr>
            <w:r>
              <w:rPr>
                <w:rFonts w:ascii="Arial" w:hAnsi="Arial" w:eastAsia="Times New Roman" w:cs="Arial"/>
                <w:lang w:eastAsia="en-GB"/>
              </w:rPr>
              <w:t>&lt;4.4</w:t>
            </w:r>
          </w:p>
        </w:tc>
        <w:tc>
          <w:tcPr>
            <w:tcW w:w="920" w:type="pct"/>
            <w:tcBorders>
              <w:top w:val="nil"/>
              <w:left w:val="nil"/>
              <w:bottom w:val="single" w:color="A6A6A6" w:sz="8" w:space="0"/>
              <w:right w:val="single" w:color="A6A6A6" w:sz="8" w:space="0"/>
            </w:tcBorders>
          </w:tcPr>
          <w:p w:rsidRPr="0096745E" w:rsidR="00C30753" w:rsidRDefault="00C30753" w14:paraId="5136AF00" w14:textId="77777777">
            <w:pPr>
              <w:spacing w:before="120" w:after="120" w:line="240" w:lineRule="auto"/>
              <w:jc w:val="center"/>
              <w:rPr>
                <w:rFonts w:ascii="Arial" w:hAnsi="Arial" w:eastAsia="Times New Roman" w:cs="Arial"/>
                <w:lang w:eastAsia="en-GB"/>
              </w:rPr>
            </w:pPr>
            <w:r>
              <w:rPr>
                <w:rFonts w:ascii="Arial" w:hAnsi="Arial" w:eastAsia="Times New Roman" w:cs="Arial"/>
                <w:lang w:eastAsia="en-GB"/>
              </w:rPr>
              <w:t>&lt;30</w:t>
            </w:r>
          </w:p>
        </w:tc>
      </w:tr>
    </w:tbl>
    <w:p w:rsidR="00C30753" w:rsidP="00C30753" w:rsidRDefault="00C30753" w14:paraId="0E5AE150" w14:textId="77777777">
      <w:pPr>
        <w:pStyle w:val="Heading2"/>
      </w:pPr>
      <w:r>
        <w:br/>
      </w:r>
      <w:r w:rsidRPr="00BD2F5C">
        <w:t>Sampling and analysis of waste material</w:t>
      </w:r>
    </w:p>
    <w:p w:rsidR="00C30753" w:rsidP="00C30753" w:rsidRDefault="00C30753" w14:paraId="4F8261D9" w14:textId="77777777">
      <w:pPr>
        <w:pStyle w:val="BodyText1"/>
      </w:pPr>
      <w:r>
        <w:t xml:space="preserve">The previous sections have discussed the assessments required to demonstrate that waste material is suitable for use in the restoration. </w:t>
      </w:r>
    </w:p>
    <w:p w:rsidR="00C30753" w:rsidP="00C30753" w:rsidRDefault="00C30753" w14:paraId="57F0ACFA" w14:textId="77777777">
      <w:pPr>
        <w:pStyle w:val="Heading3"/>
      </w:pPr>
      <w:r>
        <w:t>Sources of variation</w:t>
      </w:r>
    </w:p>
    <w:p w:rsidR="00C30753" w:rsidP="00C30753" w:rsidRDefault="00C30753" w14:paraId="4728E948" w14:textId="2F0984C2">
      <w:pPr>
        <w:pStyle w:val="BodyText1"/>
      </w:pPr>
      <w:r>
        <w:t xml:space="preserve">The nature and properties of waste materials can present obstacles to their use in restoration projects. One of the most obvious is that waste materials are more variable than either virgin materials or manufactured products. Variation obviously exists between different waste types </w:t>
      </w:r>
      <w:proofErr w:type="gramStart"/>
      <w:r>
        <w:t>e.g.,</w:t>
      </w:r>
      <w:proofErr w:type="gramEnd"/>
      <w:r>
        <w:t xml:space="preserve"> soils and stones as compared to minerals. The same categories of waste material produced by different activities may also show significant variation, for example soils and stones from construction and demolition sources (EWC </w:t>
      </w:r>
      <w:r w:rsidR="00B328E4">
        <w:t xml:space="preserve">code </w:t>
      </w:r>
      <w:r>
        <w:t xml:space="preserve">17 05 04) as compared to soils and stones sourced from garden and park wastes (EWC </w:t>
      </w:r>
      <w:r w:rsidR="00B328E4">
        <w:t xml:space="preserve">code </w:t>
      </w:r>
      <w:r>
        <w:t xml:space="preserve">20 02 02). </w:t>
      </w:r>
    </w:p>
    <w:p w:rsidR="00C30753" w:rsidP="00C30753" w:rsidRDefault="00C30753" w14:paraId="078A4FAB" w14:textId="5A25AD4B">
      <w:pPr>
        <w:pStyle w:val="BodyText1"/>
      </w:pPr>
      <w:r>
        <w:lastRenderedPageBreak/>
        <w:t xml:space="preserve">This variation is also present within the same broad waste type, e.g. a sandy waste soil will have very different properties and be suitable for use in different circumstances to a clayey waste soil. The properties of soils and stones from construction and demolition sites will vary between different donor sites. There can also be significant variation in the same waste from within a single site, e.g., soils and stones from a brownfield site may </w:t>
      </w:r>
      <w:r w:rsidR="002E2515">
        <w:t xml:space="preserve">vary in </w:t>
      </w:r>
      <w:r w:rsidR="00685F0E">
        <w:t xml:space="preserve">composition depending on the spatial distribution of </w:t>
      </w:r>
      <w:r>
        <w:t xml:space="preserve">contamination </w:t>
      </w:r>
      <w:r w:rsidR="002E28E9">
        <w:t>across the site</w:t>
      </w:r>
      <w:r>
        <w:t xml:space="preserve">. </w:t>
      </w:r>
    </w:p>
    <w:p w:rsidR="00C30753" w:rsidP="00C30753" w:rsidRDefault="00C30753" w14:paraId="601F04CC" w14:textId="77777777">
      <w:pPr>
        <w:pStyle w:val="BodyText1"/>
      </w:pPr>
      <w:r>
        <w:t xml:space="preserve">The source(s) of this inherent variation needs to be considered to allow an adequate assessment of the suitability of wastes for use in restoration activities. This is discussed further in Appendix D of the WM3 guidance. The development of the sample plan should reflect these aspects for each type and source of waste as required.       </w:t>
      </w:r>
    </w:p>
    <w:p w:rsidR="00C30753" w:rsidP="00C30753" w:rsidRDefault="00C30753" w14:paraId="2107F05C" w14:textId="77777777">
      <w:pPr>
        <w:pStyle w:val="Heading3"/>
      </w:pPr>
      <w:r>
        <w:t xml:space="preserve">Testing </w:t>
      </w:r>
    </w:p>
    <w:p w:rsidR="00C30753" w:rsidP="00C30753" w:rsidRDefault="00C30753" w14:paraId="489CC2A0" w14:textId="77777777">
      <w:pPr>
        <w:pStyle w:val="BodyText1"/>
      </w:pPr>
      <w:r>
        <w:t>For assessing the suitability of waste for restoration, the flow chart shown in Figure 1 should be followed alongside this text.</w:t>
      </w:r>
    </w:p>
    <w:p w:rsidR="00C30753" w:rsidP="00C30753" w:rsidRDefault="00C30753" w14:paraId="40E35FB9" w14:textId="6A3E10C3">
      <w:pPr>
        <w:pStyle w:val="BodyText1"/>
      </w:pPr>
      <w:r>
        <w:t>The testing to support waste classification is detailed in Box 1 of Figure 1. This sampling and testing must be undertaken as described in Appendix D of the WM3 waste classification guidance, which is based on the waste sampling framework standards (BS EN14899</w:t>
      </w:r>
      <w:r w:rsidR="00B555BF">
        <w:t xml:space="preserve"> </w:t>
      </w:r>
      <w:r>
        <w:t>2005 and Part 1 to 5 of PD CEN/TR 153101</w:t>
      </w:r>
      <w:r w:rsidR="00B555BF">
        <w:t xml:space="preserve"> </w:t>
      </w:r>
      <w:r>
        <w:t>2006). Both the analysing laboratory and the individual test methods should, wherever possible, be accredited by United Kingdom Accreditation Service (UKAS) to BS EN ISO/IEC 17025. These waste classification requirements apply to the wastes to be used as is</w:t>
      </w:r>
      <w:r w:rsidR="0009747B">
        <w:t>,</w:t>
      </w:r>
      <w:r>
        <w:t xml:space="preserve"> </w:t>
      </w:r>
      <w:r w:rsidR="005C270C">
        <w:t xml:space="preserve">as well as </w:t>
      </w:r>
      <w:r w:rsidR="00220B20">
        <w:t xml:space="preserve">individual constituents used to </w:t>
      </w:r>
      <w:r>
        <w:t>“manufacture” restoration soils.</w:t>
      </w:r>
      <w:r w:rsidR="00220B20">
        <w:t xml:space="preserve"> </w:t>
      </w:r>
    </w:p>
    <w:p w:rsidR="00C30753" w:rsidP="00C30753" w:rsidRDefault="00C30753" w14:paraId="6DDC0FC0" w14:textId="77CDD575">
      <w:pPr>
        <w:pStyle w:val="BodyText1"/>
      </w:pPr>
      <w:r>
        <w:t>Beyond the testing required to support waste classification</w:t>
      </w:r>
      <w:r w:rsidR="00D61EB0">
        <w:t xml:space="preserve"> under WM3</w:t>
      </w:r>
      <w:r>
        <w:t xml:space="preserve">, restoration material brought on site will need to be sampled, tested and assessed to show that it meets the suitability criteria (Box 2 Figure 1). Although the information contained in Appendix D of the WM3 guidance specifically relates to waste classification, it could be usefully applied to </w:t>
      </w:r>
      <w:proofErr w:type="gramStart"/>
      <w:r>
        <w:t>all of</w:t>
      </w:r>
      <w:proofErr w:type="gramEnd"/>
      <w:r>
        <w:t xml:space="preserve"> the assessments detailed in this guidance to ensure that the samples analysed are representative of the wastes accepted. More detailed guidance can be found in the framework British Standard (BS EN 14899</w:t>
      </w:r>
      <w:r w:rsidR="00B555BF">
        <w:t xml:space="preserve"> </w:t>
      </w:r>
      <w:r>
        <w:t>2005) for the characteri</w:t>
      </w:r>
      <w:r w:rsidR="00C31122">
        <w:t>s</w:t>
      </w:r>
      <w:r>
        <w:t xml:space="preserve">ation of waste. </w:t>
      </w:r>
    </w:p>
    <w:p w:rsidR="00C30753" w:rsidP="00C30753" w:rsidRDefault="00C30753" w14:paraId="2E5526E5" w14:textId="7CB1F0F6">
      <w:pPr>
        <w:pStyle w:val="BodyText1"/>
      </w:pPr>
      <w:r>
        <w:t xml:space="preserve">For the assessment of risks relating to the water environment, it is unlikely that measurements of the concentrations of contaminants found in the solid waste alone are suitable. However, </w:t>
      </w:r>
      <w:r>
        <w:lastRenderedPageBreak/>
        <w:t xml:space="preserve">such measurements </w:t>
      </w:r>
      <w:r w:rsidR="00C31122">
        <w:t>may</w:t>
      </w:r>
      <w:r>
        <w:t xml:space="preserve"> be used to discount a contaminant from further assessment</w:t>
      </w:r>
      <w:r w:rsidR="00EB050D">
        <w:t xml:space="preserve"> </w:t>
      </w:r>
      <w:r w:rsidRPr="00CA4A91" w:rsidR="00CA4A91">
        <w:t>or to inform modelling of contaminant mobility. L</w:t>
      </w:r>
      <w:r>
        <w:t xml:space="preserve">eaching tests are important to assess the risk of release of pollutants from waste solids into groundwater or surface waters. All leaching tests aim to determine the expected </w:t>
      </w:r>
      <w:r w:rsidR="004D7E1D">
        <w:t xml:space="preserve">dissolved-phase </w:t>
      </w:r>
      <w:r>
        <w:t xml:space="preserve">concentrations of contaminants </w:t>
      </w:r>
      <w:r w:rsidR="004D7E1D">
        <w:t xml:space="preserve">that may be generated </w:t>
      </w:r>
      <w:r>
        <w:t xml:space="preserve">from the solid waste. </w:t>
      </w:r>
    </w:p>
    <w:p w:rsidR="009F6FDC" w:rsidP="00C30753" w:rsidRDefault="00C30753" w14:paraId="1B6D7A1B" w14:textId="48CF3EE6">
      <w:pPr>
        <w:pStyle w:val="BodyText1"/>
      </w:pPr>
      <w:r>
        <w:t xml:space="preserve">There are </w:t>
      </w:r>
      <w:proofErr w:type="gramStart"/>
      <w:r>
        <w:t>a number of</w:t>
      </w:r>
      <w:proofErr w:type="gramEnd"/>
      <w:r>
        <w:t xml:space="preserve"> methods for the preparation of leachate which have various pros and cons. The most common leachate preparation methods are those employed for Waste Acceptance Criteria testing (WAC) either with or without size reduction of the material to be tested. In this regard, the most basic method is a single stage 10 l/kg method (BS EN 12457-2</w:t>
      </w:r>
      <w:r w:rsidR="00824191">
        <w:t>,</w:t>
      </w:r>
      <w:r w:rsidR="001A33FD">
        <w:t xml:space="preserve"> 2002</w:t>
      </w:r>
      <w:r>
        <w:t xml:space="preserve">). Another widely used method is a serial batch leaching test, for example the </w:t>
      </w:r>
      <w:proofErr w:type="gramStart"/>
      <w:r>
        <w:t>two stage</w:t>
      </w:r>
      <w:proofErr w:type="gramEnd"/>
      <w:r>
        <w:t xml:space="preserve"> method 2 l/kg and 8 l/kg (BS EN 12457-3</w:t>
      </w:r>
      <w:r w:rsidR="001A33FD">
        <w:t xml:space="preserve"> 2002</w:t>
      </w:r>
      <w:r>
        <w:t xml:space="preserve">). The 10 l/kg means that the leachate is produced from the proportion of 1 kg of solid waste mixed with 10 l of water. The </w:t>
      </w:r>
      <w:proofErr w:type="gramStart"/>
      <w:r>
        <w:t>two stage</w:t>
      </w:r>
      <w:proofErr w:type="gramEnd"/>
      <w:r>
        <w:t xml:space="preserve"> method as the name suggests is a sequential leachate preparation to make up the 10 l/kg proportion. Obviously, this is a ratio rather than the amount used in the test (test portion) which is 0.09 to 0.005 kg dry solid (BS EN 12457-2</w:t>
      </w:r>
      <w:r w:rsidR="001A33FD">
        <w:t xml:space="preserve"> 2002</w:t>
      </w:r>
      <w:r>
        <w:t xml:space="preserve">). More complex methods of preparing a leachate can be used such as the </w:t>
      </w:r>
      <w:proofErr w:type="gramStart"/>
      <w:r>
        <w:t>up flow</w:t>
      </w:r>
      <w:proofErr w:type="gramEnd"/>
      <w:r>
        <w:t xml:space="preserve"> percolation test (BS EN 14405</w:t>
      </w:r>
      <w:r w:rsidR="009D111F">
        <w:t>,</w:t>
      </w:r>
      <w:r w:rsidR="001A33FD">
        <w:t xml:space="preserve"> 2017</w:t>
      </w:r>
      <w:r w:rsidR="00C3081A">
        <w:t xml:space="preserve"> </w:t>
      </w:r>
      <w:r w:rsidR="004B4CEB">
        <w:t xml:space="preserve">&amp; </w:t>
      </w:r>
      <w:r w:rsidR="00C3081A">
        <w:t xml:space="preserve">BS </w:t>
      </w:r>
      <w:r w:rsidR="00824191">
        <w:t>EN 17516, 2023</w:t>
      </w:r>
      <w:r>
        <w:t>). Although these percolation tests are preferable</w:t>
      </w:r>
      <w:r w:rsidR="0080252A">
        <w:t>,</w:t>
      </w:r>
      <w:r>
        <w:t xml:space="preserve"> as they better represent the leaching process, they may not be necessary where the “simpler” methods show an acceptable level of risk.</w:t>
      </w:r>
      <w:r w:rsidR="001A33FD">
        <w:t xml:space="preserve"> </w:t>
      </w:r>
      <w:r w:rsidRPr="005B71B6" w:rsidR="005B71B6">
        <w:t xml:space="preserve">Longer duration leachability testing is also an option to assess the long-term leaching behaviour of a particular waste material, particularly if this is expected to vary significantly over time. </w:t>
      </w:r>
    </w:p>
    <w:p w:rsidR="00C30753" w:rsidP="00C30753" w:rsidRDefault="00C30753" w14:paraId="1392788C" w14:textId="2FD29E77">
      <w:pPr>
        <w:pStyle w:val="BodyText1"/>
      </w:pPr>
      <w:r>
        <w:t xml:space="preserve">Note that the methods described in these standards describe the production of leachate rather than the testing suite. </w:t>
      </w:r>
      <w:r w:rsidR="00416CEF">
        <w:t xml:space="preserve">While </w:t>
      </w:r>
      <w:r w:rsidR="00B43B56">
        <w:t>t</w:t>
      </w:r>
      <w:r>
        <w:t>he testing suite should reflect the contaminants of concern, e.g., metals, total petroleum hydrocarbons, and/or polycyclic aromatic hydrocarbons</w:t>
      </w:r>
      <w:r w:rsidR="00BE2352">
        <w:t>,</w:t>
      </w:r>
      <w:r>
        <w:t xml:space="preserve"> </w:t>
      </w:r>
      <w:r w:rsidR="00BE2352">
        <w:t>t</w:t>
      </w:r>
      <w:r w:rsidR="00416CEF">
        <w:t xml:space="preserve">he leachability testing of organic compounds, particularly, the more volatile species, can be problematic. </w:t>
      </w:r>
      <w:r>
        <w:t xml:space="preserve">The standard leachable WAC tests for acceptance of inert or hazardous waste at landfill sites are unlikely to fully cover all </w:t>
      </w:r>
      <w:r w:rsidR="00807FB2">
        <w:t xml:space="preserve">contaminants </w:t>
      </w:r>
      <w:r>
        <w:t xml:space="preserve">required.              </w:t>
      </w:r>
    </w:p>
    <w:p w:rsidR="00C30753" w:rsidP="00C30753" w:rsidRDefault="00C30753" w14:paraId="75274B47" w14:textId="008ED1AF">
      <w:pPr>
        <w:pStyle w:val="BodyText1"/>
      </w:pPr>
      <w:r>
        <w:t xml:space="preserve">One aspect that needs careful consideration is the use of statistical methods as part of the assessment of the test results. The statistical approaches that can be used have been widely applied. These are described in the context of waste in </w:t>
      </w:r>
      <w:r w:rsidR="0024227B">
        <w:t>the</w:t>
      </w:r>
      <w:r>
        <w:t xml:space="preserve"> WM3 technical guidance. </w:t>
      </w:r>
      <w:r w:rsidR="00D0017B">
        <w:t xml:space="preserve">Alternatively, </w:t>
      </w:r>
      <w:r>
        <w:t xml:space="preserve">the guidance on comparing soil contamination data with a critical concentration </w:t>
      </w:r>
      <w:r>
        <w:lastRenderedPageBreak/>
        <w:t xml:space="preserve">from </w:t>
      </w:r>
      <w:proofErr w:type="gramStart"/>
      <w:r>
        <w:t>CL:AIRE</w:t>
      </w:r>
      <w:proofErr w:type="gramEnd"/>
      <w:r>
        <w:t xml:space="preserve"> (Contaminated Land Applications in Real Environments) is applicable. To apply these statistical methods requires a methodological approach to sampling and testing different waste populations. In the absence of this planned approach to both sampling and testing it is unlikely that the outcome of an assessment of the data using statistical methods will be </w:t>
      </w:r>
      <w:r w:rsidR="00FB4796">
        <w:t>dependable</w:t>
      </w:r>
      <w:r>
        <w:t xml:space="preserve">.             </w:t>
      </w:r>
    </w:p>
    <w:p w:rsidR="00C30753" w:rsidP="00C30753" w:rsidRDefault="00C30753" w14:paraId="7F7FDA60" w14:textId="3D2454A9">
      <w:pPr>
        <w:pStyle w:val="BodyText1"/>
      </w:pPr>
      <w:r>
        <w:t>The</w:t>
      </w:r>
      <w:r w:rsidR="00416CEF">
        <w:t xml:space="preserve"> </w:t>
      </w:r>
      <w:r w:rsidR="00FC4A89">
        <w:t xml:space="preserve">number of </w:t>
      </w:r>
      <w:r>
        <w:t xml:space="preserve">samples </w:t>
      </w:r>
      <w:r w:rsidR="00FC4A89">
        <w:t xml:space="preserve">required </w:t>
      </w:r>
      <w:r>
        <w:t>to ensure that the waste materials tested are adequately assessed</w:t>
      </w:r>
      <w:r w:rsidR="00FC4A89">
        <w:t xml:space="preserve"> will vary on a site-specif</w:t>
      </w:r>
      <w:r w:rsidR="00806DAD">
        <w:t>ic basis</w:t>
      </w:r>
      <w:r>
        <w:t>. Note that the frequency of testing required is to some extent dependent on a combination of the purpose of the testing and how much information is available already for each type and source of waste material. Where the wastes to be used have already been characterised (which includes chemical analysis), the amount of testing could potentially be reduced for some aspects.</w:t>
      </w:r>
      <w:r w:rsidR="00B62B77">
        <w:t xml:space="preserve"> </w:t>
      </w:r>
      <w:r w:rsidRPr="00B62B77" w:rsidR="00B62B77">
        <w:t>The submission should include justification of the adequacy of the dataset provided.</w:t>
      </w:r>
    </w:p>
    <w:p w:rsidR="00C30753" w:rsidP="00C30753" w:rsidRDefault="00C30753" w14:paraId="66E9912E" w14:textId="5E7F4BEA">
      <w:pPr>
        <w:pStyle w:val="BodyText1"/>
      </w:pPr>
      <w:r>
        <w:t xml:space="preserve">The wastes used in the restoration </w:t>
      </w:r>
      <w:r w:rsidR="00EB0FB3">
        <w:t xml:space="preserve">layer above the cap </w:t>
      </w:r>
      <w:r>
        <w:t xml:space="preserve">are likely to be used in one of two ways. Some wastes e.g., waste topsoil or the landfill cap protection layer are more likely to be </w:t>
      </w:r>
      <w:r w:rsidR="00AA1A04">
        <w:t xml:space="preserve">natural soils </w:t>
      </w:r>
      <w:r w:rsidR="00B62B77">
        <w:t xml:space="preserve">or </w:t>
      </w:r>
      <w:r w:rsidR="00AA1A04">
        <w:t>perhaps screened o</w:t>
      </w:r>
      <w:r w:rsidR="008F568D">
        <w:t xml:space="preserve">nly </w:t>
      </w:r>
      <w:r>
        <w:t xml:space="preserve">i.e., not </w:t>
      </w:r>
      <w:r w:rsidR="008F568D">
        <w:t xml:space="preserve">a </w:t>
      </w:r>
      <w:r>
        <w:t>manufacture</w:t>
      </w:r>
      <w:r w:rsidR="008F568D">
        <w:t>d</w:t>
      </w:r>
      <w:r>
        <w:t xml:space="preserve"> </w:t>
      </w:r>
      <w:r w:rsidR="00FD1BA2">
        <w:t xml:space="preserve">soil.  Such </w:t>
      </w:r>
      <w:r>
        <w:t xml:space="preserve">wastes can be sampled, tested and assessed for their suitability and stockpiled for use.     </w:t>
      </w:r>
    </w:p>
    <w:p w:rsidR="00C30753" w:rsidP="00C30753" w:rsidRDefault="00C30753" w14:paraId="297378BD" w14:textId="386CF52E">
      <w:pPr>
        <w:pStyle w:val="BodyText1"/>
      </w:pPr>
      <w:r>
        <w:t xml:space="preserve">The alternative, for wastes that are not suitable for use alone, e.g. </w:t>
      </w:r>
      <w:r w:rsidR="00B62B77">
        <w:t>off-</w:t>
      </w:r>
      <w:r>
        <w:t xml:space="preserve">specification compost and minerals and wastes from mechanical treatment, is for these to be mixed with other materials to form </w:t>
      </w:r>
      <w:r w:rsidR="00B62B77">
        <w:t xml:space="preserve">a material </w:t>
      </w:r>
      <w:r>
        <w:t>suitable for use in restoration, such as manufactured topsoil or subsoil.</w:t>
      </w:r>
      <w:r w:rsidR="007116A4">
        <w:t xml:space="preserve"> </w:t>
      </w:r>
    </w:p>
    <w:p w:rsidR="00C30753" w:rsidP="00C30753" w:rsidRDefault="00C30753" w14:paraId="4DEBBB22" w14:textId="27B3AB58">
      <w:pPr>
        <w:pStyle w:val="BodyText1"/>
      </w:pPr>
      <w:r>
        <w:t xml:space="preserve">Finally, verification testing of materials prior to placement is important and should be </w:t>
      </w:r>
      <w:r w:rsidR="00C82D70">
        <w:t xml:space="preserve">planned as an integral part of the </w:t>
      </w:r>
      <w:r>
        <w:t>restoration project. This testing is intended as a final check of the suitability of the material. As such it is</w:t>
      </w:r>
      <w:r w:rsidR="00A667DE">
        <w:t xml:space="preserve"> </w:t>
      </w:r>
      <w:r w:rsidR="000B4C9E">
        <w:t>a key step</w:t>
      </w:r>
      <w:r>
        <w:t xml:space="preserve"> and can also be used as evidence </w:t>
      </w:r>
      <w:r w:rsidR="00B62B77">
        <w:t xml:space="preserve">towards </w:t>
      </w:r>
      <w:r>
        <w:t xml:space="preserve">the eventual surrender of the permit. A sampling plan for verification testing should be provided. A key part of this plan should anticipate </w:t>
      </w:r>
      <w:proofErr w:type="gramStart"/>
      <w:r>
        <w:t>whether or not</w:t>
      </w:r>
      <w:proofErr w:type="gramEnd"/>
      <w:r>
        <w:t xml:space="preserve"> a statistical method can be used to allow a more nuanced assessment rather than the binary pass/fail for each individual testing batch and</w:t>
      </w:r>
      <w:r w:rsidR="00B62B77">
        <w:t>,</w:t>
      </w:r>
      <w:r>
        <w:t xml:space="preserve"> if such an approach can be used, how it is best deployed. Verification testing of the material to be placed in the restoration layer should be at a minimum frequency of 1 sample per 5,000m</w:t>
      </w:r>
      <w:r w:rsidRPr="0059714B">
        <w:rPr>
          <w:vertAlign w:val="superscript"/>
        </w:rPr>
        <w:t>3</w:t>
      </w:r>
      <w:r>
        <w:t xml:space="preserve"> of material.</w:t>
      </w:r>
    </w:p>
    <w:p w:rsidR="00C30753" w:rsidP="00C30753" w:rsidRDefault="00C30753" w14:paraId="6688E8C1" w14:textId="77777777">
      <w:pPr>
        <w:spacing w:line="240" w:lineRule="auto"/>
        <w:sectPr w:rsidR="00C30753" w:rsidSect="00C30753">
          <w:headerReference w:type="default" r:id="rId13"/>
          <w:footerReference w:type="even" r:id="rId14"/>
          <w:footerReference w:type="default" r:id="rId15"/>
          <w:headerReference w:type="first" r:id="rId16"/>
          <w:footerReference w:type="first" r:id="rId17"/>
          <w:pgSz w:w="11900" w:h="16840" w:orient="portrait"/>
          <w:pgMar w:top="839" w:right="839" w:bottom="839" w:left="839" w:header="794" w:footer="567" w:gutter="0"/>
          <w:pgNumType w:start="0"/>
          <w:cols w:space="708"/>
          <w:titlePg/>
          <w:docGrid w:linePitch="360"/>
        </w:sectPr>
      </w:pPr>
    </w:p>
    <w:p w:rsidR="00C30753" w:rsidP="00C30753" w:rsidRDefault="001E6825" w14:paraId="2D561213" w14:textId="2C57C2B0">
      <w:pPr>
        <w:spacing w:line="240" w:lineRule="auto"/>
      </w:pPr>
      <w:r>
        <w:rPr>
          <w:rFonts w:ascii="Arial" w:hAnsi="Arial" w:eastAsia="Arial" w:cs="Arial"/>
          <w:b/>
          <w:bCs/>
        </w:rPr>
        <w:lastRenderedPageBreak/>
        <w:t xml:space="preserve">Figure 1: </w:t>
      </w:r>
      <w:r w:rsidR="00C30753">
        <w:rPr>
          <w:rFonts w:ascii="Arial" w:hAnsi="Arial" w:eastAsia="Arial" w:cs="Arial"/>
          <w:b/>
          <w:bCs/>
        </w:rPr>
        <w:t xml:space="preserve">Flowchart outlining waste material </w:t>
      </w:r>
      <w:r w:rsidR="002B1B75">
        <w:rPr>
          <w:rFonts w:ascii="Arial" w:hAnsi="Arial" w:eastAsia="Arial" w:cs="Arial"/>
          <w:b/>
          <w:bCs/>
        </w:rPr>
        <w:t>testing.</w:t>
      </w:r>
    </w:p>
    <w:p w:rsidR="00C30753" w:rsidP="00C30753" w:rsidRDefault="00C30753" w14:paraId="5A003433" w14:textId="7D003BEA">
      <w:pPr>
        <w:spacing w:line="240" w:lineRule="auto"/>
      </w:pPr>
    </w:p>
    <w:p w:rsidR="00C30753" w:rsidP="00C30753" w:rsidRDefault="00ED607E" w14:paraId="54DF6570" w14:textId="1805F6B3">
      <w:pPr>
        <w:spacing w:line="240" w:lineRule="auto"/>
      </w:pPr>
      <w:r>
        <w:rPr>
          <w:noProof/>
        </w:rPr>
        <w:drawing>
          <wp:inline distT="0" distB="0" distL="0" distR="0" wp14:anchorId="51B3C407" wp14:editId="7F21A0B1">
            <wp:extent cx="8532000" cy="4798800"/>
            <wp:effectExtent l="0" t="0" r="2540" b="1905"/>
            <wp:docPr id="927715249" name="Picture 1" descr="Schematic for testing waste to be used in the rest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15249" name="Picture 1" descr="Schematic for testing waste to be used in the restoration"/>
                    <pic:cNvPicPr/>
                  </pic:nvPicPr>
                  <pic:blipFill>
                    <a:blip r:embed="rId18">
                      <a:extLst>
                        <a:ext uri="{28A0092B-C50C-407E-A947-70E740481C1C}">
                          <a14:useLocalDpi xmlns:a14="http://schemas.microsoft.com/office/drawing/2010/main" val="0"/>
                        </a:ext>
                      </a:extLst>
                    </a:blip>
                    <a:stretch>
                      <a:fillRect/>
                    </a:stretch>
                  </pic:blipFill>
                  <pic:spPr>
                    <a:xfrm>
                      <a:off x="0" y="0"/>
                      <a:ext cx="8532000" cy="4798800"/>
                    </a:xfrm>
                    <a:prstGeom prst="rect">
                      <a:avLst/>
                    </a:prstGeom>
                  </pic:spPr>
                </pic:pic>
              </a:graphicData>
            </a:graphic>
          </wp:inline>
        </w:drawing>
      </w:r>
    </w:p>
    <w:p w:rsidR="0012625D" w:rsidRDefault="0012625D" w14:paraId="0C8E6EA8" w14:textId="77777777">
      <w:pPr>
        <w:spacing w:line="240" w:lineRule="auto"/>
      </w:pPr>
    </w:p>
    <w:p w:rsidR="00C30753" w:rsidP="00C30753" w:rsidRDefault="00C30753" w14:paraId="41EB1821" w14:textId="77777777">
      <w:pPr>
        <w:spacing w:line="240" w:lineRule="auto"/>
        <w:sectPr w:rsidR="00C30753" w:rsidSect="00C30753">
          <w:headerReference w:type="default" r:id="rId19"/>
          <w:footerReference w:type="default" r:id="rId20"/>
          <w:pgSz w:w="16840" w:h="11900" w:orient="landscape"/>
          <w:pgMar w:top="839" w:right="839" w:bottom="839" w:left="839" w:header="794" w:footer="567" w:gutter="0"/>
          <w:cols w:space="708"/>
          <w:docGrid w:linePitch="360"/>
        </w:sectPr>
      </w:pPr>
    </w:p>
    <w:p w:rsidR="00AE7C3D" w:rsidP="00AE7C3D" w:rsidRDefault="00AE7C3D" w14:paraId="70AF8437" w14:textId="77777777">
      <w:pPr>
        <w:pStyle w:val="Heading2"/>
      </w:pPr>
      <w:r>
        <w:lastRenderedPageBreak/>
        <w:t>Further Reading</w:t>
      </w:r>
    </w:p>
    <w:p w:rsidR="00561CB7" w:rsidP="00561CB7" w:rsidRDefault="009B721A" w14:paraId="330571E6" w14:textId="10813D95">
      <w:r>
        <w:t>Below</w:t>
      </w:r>
      <w:r w:rsidR="00FC4DDE">
        <w:t xml:space="preserve"> </w:t>
      </w:r>
      <w:r w:rsidR="00357AED">
        <w:t>is</w:t>
      </w:r>
      <w:r w:rsidR="00002630">
        <w:t xml:space="preserve"> a list of </w:t>
      </w:r>
      <w:r w:rsidR="00357AED">
        <w:t xml:space="preserve">additional references </w:t>
      </w:r>
      <w:r w:rsidR="00002630">
        <w:t>that</w:t>
      </w:r>
      <w:r w:rsidR="00D41E22">
        <w:t xml:space="preserve"> may assist you in learning more on this topic</w:t>
      </w:r>
      <w:r w:rsidR="00EE4FCD">
        <w:t>.</w:t>
      </w:r>
    </w:p>
    <w:p w:rsidRPr="00561CB7" w:rsidR="00EE4FCD" w:rsidP="004B5367" w:rsidRDefault="00EE4FCD" w14:paraId="4CE2B1CF" w14:textId="77777777"/>
    <w:p w:rsidR="00AE7C3D" w:rsidP="00770EB9" w:rsidRDefault="00AE7C3D" w14:paraId="187037BB" w14:textId="1D25FCFC">
      <w:pPr>
        <w:pStyle w:val="ListParagraph"/>
        <w:numPr>
          <w:ilvl w:val="0"/>
          <w:numId w:val="17"/>
        </w:numPr>
      </w:pPr>
      <w:hyperlink w:history="1" r:id="rId21">
        <w:r>
          <w:rPr>
            <w:rStyle w:val="Hyperlink"/>
          </w:rPr>
          <w:t>SEPA Landfill restoration general guidance</w:t>
        </w:r>
        <w:r w:rsidR="00406243">
          <w:rPr>
            <w:rStyle w:val="Hyperlink"/>
          </w:rPr>
          <w:t>.</w:t>
        </w:r>
        <w:r>
          <w:rPr>
            <w:rStyle w:val="Hyperlink"/>
          </w:rPr>
          <w:t xml:space="preserve"> WST-G-057 Version 1</w:t>
        </w:r>
      </w:hyperlink>
      <w:r w:rsidR="00406243">
        <w:t>,</w:t>
      </w:r>
      <w:r>
        <w:rPr>
          <w:rStyle w:val="Hyperlink"/>
        </w:rPr>
        <w:t xml:space="preserve"> 2018.</w:t>
      </w:r>
    </w:p>
    <w:p w:rsidR="00AE7C3D" w:rsidP="00770EB9" w:rsidRDefault="00406243" w14:paraId="2416BD41" w14:textId="325CDF71">
      <w:pPr>
        <w:pStyle w:val="ListParagraph"/>
        <w:numPr>
          <w:ilvl w:val="0"/>
          <w:numId w:val="17"/>
        </w:numPr>
      </w:pPr>
      <w:hyperlink w:history="1" r:id="rId22">
        <w:r>
          <w:rPr>
            <w:rStyle w:val="Hyperlink"/>
          </w:rPr>
          <w:t>General requirements for the competence of testing and calibration laboratories. BS EN ISO/IEC 17025, 2017.</w:t>
        </w:r>
      </w:hyperlink>
    </w:p>
    <w:p w:rsidR="00806746" w:rsidP="00806746" w:rsidRDefault="00806746" w14:paraId="4B422C14" w14:textId="0B97A1FA">
      <w:pPr>
        <w:pStyle w:val="ListParagraph"/>
        <w:numPr>
          <w:ilvl w:val="0"/>
          <w:numId w:val="17"/>
        </w:numPr>
      </w:pPr>
      <w:hyperlink w:history="1" r:id="rId23">
        <w:r w:rsidRPr="00806746">
          <w:rPr>
            <w:rStyle w:val="Hyperlink"/>
          </w:rPr>
          <w:t>Soil quality- Determination of dry bulk density. BS EN ISO 11272, 2017</w:t>
        </w:r>
      </w:hyperlink>
      <w:r w:rsidR="00245AC5">
        <w:t>.</w:t>
      </w:r>
    </w:p>
    <w:p w:rsidR="00806746" w:rsidP="00245AC5" w:rsidRDefault="0037001E" w14:paraId="5AFD92D6" w14:textId="36234D57">
      <w:pPr>
        <w:pStyle w:val="ListParagraph"/>
        <w:numPr>
          <w:ilvl w:val="0"/>
          <w:numId w:val="17"/>
        </w:numPr>
      </w:pPr>
      <w:hyperlink w:history="1" r:id="rId24">
        <w:r>
          <w:rPr>
            <w:rStyle w:val="Hyperlink"/>
          </w:rPr>
          <w:t>Specification for topsoil. BS 3882, 2015</w:t>
        </w:r>
      </w:hyperlink>
      <w:r w:rsidR="00AE7C3D">
        <w:rPr>
          <w:rStyle w:val="Hyperlink"/>
        </w:rPr>
        <w:t>.</w:t>
      </w:r>
    </w:p>
    <w:p w:rsidR="00AE7C3D" w:rsidP="009F1E87" w:rsidRDefault="00AE7C3D" w14:paraId="6B48C193" w14:textId="34184F3E">
      <w:pPr>
        <w:pStyle w:val="ListParagraph"/>
        <w:numPr>
          <w:ilvl w:val="0"/>
          <w:numId w:val="17"/>
        </w:numPr>
      </w:pPr>
      <w:hyperlink w:history="1" r:id="rId25">
        <w:r>
          <w:rPr>
            <w:rStyle w:val="Hyperlink"/>
          </w:rPr>
          <w:t>Specification for subsoil and requirements for use</w:t>
        </w:r>
      </w:hyperlink>
      <w:r>
        <w:rPr>
          <w:rStyle w:val="Hyperlink"/>
        </w:rPr>
        <w:t>.</w:t>
      </w:r>
      <w:r w:rsidR="00245AC5">
        <w:rPr>
          <w:rStyle w:val="Hyperlink"/>
        </w:rPr>
        <w:t xml:space="preserve"> </w:t>
      </w:r>
      <w:r w:rsidRPr="00245AC5" w:rsidR="00245AC5">
        <w:rPr>
          <w:rStyle w:val="Hyperlink"/>
        </w:rPr>
        <w:t>BS 8601</w:t>
      </w:r>
      <w:r w:rsidR="00245AC5">
        <w:rPr>
          <w:rStyle w:val="Hyperlink"/>
        </w:rPr>
        <w:t>,</w:t>
      </w:r>
      <w:r w:rsidRPr="00245AC5" w:rsidR="00245AC5">
        <w:rPr>
          <w:rStyle w:val="Hyperlink"/>
        </w:rPr>
        <w:t xml:space="preserve"> 2013</w:t>
      </w:r>
      <w:r w:rsidR="00245AC5">
        <w:rPr>
          <w:rStyle w:val="Hyperlink"/>
        </w:rPr>
        <w:t>.</w:t>
      </w:r>
    </w:p>
    <w:p w:rsidR="00AE7C3D" w:rsidP="009F1E87" w:rsidRDefault="00AE7C3D" w14:paraId="61371CF6" w14:textId="078E96A0">
      <w:pPr>
        <w:pStyle w:val="ListParagraph"/>
        <w:numPr>
          <w:ilvl w:val="0"/>
          <w:numId w:val="17"/>
        </w:numPr>
      </w:pPr>
      <w:hyperlink w:history="1" r:id="rId26">
        <w:r>
          <w:rPr>
            <w:rStyle w:val="Hyperlink"/>
          </w:rPr>
          <w:t>Contaminated Land Application in Real Environments P</w:t>
        </w:r>
        <w:r w:rsidRPr="00E87164">
          <w:rPr>
            <w:rStyle w:val="Hyperlink"/>
          </w:rPr>
          <w:t>rofessional Guidance: Comparing Soil Contamination Data with a</w:t>
        </w:r>
        <w:r>
          <w:rPr>
            <w:rStyle w:val="Hyperlink"/>
          </w:rPr>
          <w:t xml:space="preserve"> </w:t>
        </w:r>
        <w:r w:rsidRPr="00E87164">
          <w:rPr>
            <w:rStyle w:val="Hyperlink"/>
          </w:rPr>
          <w:t>Critical Concentration.</w:t>
        </w:r>
        <w:r>
          <w:rPr>
            <w:rStyle w:val="Hyperlink"/>
          </w:rPr>
          <w:t xml:space="preserve"> Published in 2020 by </w:t>
        </w:r>
        <w:proofErr w:type="gramStart"/>
        <w:r w:rsidRPr="00E87164">
          <w:rPr>
            <w:rStyle w:val="Hyperlink"/>
          </w:rPr>
          <w:t>CL:AIRE</w:t>
        </w:r>
        <w:proofErr w:type="gramEnd"/>
        <w:r w:rsidRPr="00E87164">
          <w:rPr>
            <w:rStyle w:val="Hyperlink"/>
          </w:rPr>
          <w:t>, Buckinghamshire. ISBN 978-1-905046-35-5.</w:t>
        </w:r>
      </w:hyperlink>
    </w:p>
    <w:p w:rsidR="00AE7C3D" w:rsidP="009F1E87" w:rsidRDefault="00AE7C3D" w14:paraId="1A5EED40" w14:textId="77777777">
      <w:pPr>
        <w:pStyle w:val="ListParagraph"/>
        <w:numPr>
          <w:ilvl w:val="0"/>
          <w:numId w:val="17"/>
        </w:numPr>
      </w:pPr>
      <w:hyperlink w:history="1" r:id="rId27">
        <w:r w:rsidRPr="004A2720">
          <w:rPr>
            <w:rStyle w:val="Hyperlink"/>
          </w:rPr>
          <w:t>LQM/CIEH 'Suitable 4 Use Levels'</w:t>
        </w:r>
      </w:hyperlink>
      <w:r>
        <w:rPr>
          <w:rStyle w:val="Hyperlink"/>
        </w:rPr>
        <w:t>.</w:t>
      </w:r>
    </w:p>
    <w:p w:rsidR="00AE7C3D" w:rsidP="009F1E87" w:rsidRDefault="00AE7C3D" w14:paraId="46C06899" w14:textId="60A2329C">
      <w:pPr>
        <w:pStyle w:val="ListParagraph"/>
        <w:numPr>
          <w:ilvl w:val="0"/>
          <w:numId w:val="17"/>
        </w:numPr>
      </w:pPr>
      <w:hyperlink w:history="1" r:id="rId28">
        <w:r>
          <w:rPr>
            <w:rStyle w:val="Hyperlink"/>
          </w:rPr>
          <w:t>E</w:t>
        </w:r>
        <w:r w:rsidRPr="00D7264C">
          <w:rPr>
            <w:rStyle w:val="Hyperlink"/>
          </w:rPr>
          <w:t xml:space="preserve">nvironment Agency Land Contamination Technical Guidance </w:t>
        </w:r>
        <w:r>
          <w:rPr>
            <w:rStyle w:val="Hyperlink"/>
          </w:rPr>
          <w:t xml:space="preserve">Contaminated Land Exposure Assessment </w:t>
        </w:r>
        <w:r w:rsidRPr="00D7264C">
          <w:rPr>
            <w:rStyle w:val="Hyperlink"/>
          </w:rPr>
          <w:t>(</w:t>
        </w:r>
        <w:r>
          <w:rPr>
            <w:rStyle w:val="Hyperlink"/>
          </w:rPr>
          <w:t xml:space="preserve">Abbreviation </w:t>
        </w:r>
        <w:r w:rsidRPr="00D7264C">
          <w:rPr>
            <w:rStyle w:val="Hyperlink"/>
          </w:rPr>
          <w:t>CLEA)</w:t>
        </w:r>
      </w:hyperlink>
      <w:r>
        <w:rPr>
          <w:rStyle w:val="Hyperlink"/>
        </w:rPr>
        <w:t>.</w:t>
      </w:r>
    </w:p>
    <w:p w:rsidR="00AE7C3D" w:rsidP="4C25AB11" w:rsidRDefault="00EF5903" w14:paraId="5E797FD6" w14:textId="332B2FB1">
      <w:pPr>
        <w:pStyle w:val="ListParagraph"/>
        <w:numPr>
          <w:ilvl w:val="0"/>
          <w:numId w:val="17"/>
        </w:numPr>
        <w:rPr>
          <w:rStyle w:val="Hyperlink"/>
        </w:rPr>
      </w:pPr>
      <w:hyperlink r:id="rId29">
        <w:r>
          <w:rPr>
            <w:rStyle w:val="Hyperlink"/>
          </w:rPr>
          <w:t>Guidance on the use of groundwater standards</w:t>
        </w:r>
      </w:hyperlink>
    </w:p>
    <w:p w:rsidR="00B766CE" w:rsidP="009F1E87" w:rsidRDefault="00B766CE" w14:paraId="528024E0" w14:textId="4A0E6522">
      <w:pPr>
        <w:pStyle w:val="ListParagraph"/>
        <w:numPr>
          <w:ilvl w:val="0"/>
          <w:numId w:val="17"/>
        </w:numPr>
      </w:pPr>
      <w:hyperlink w:history="1" r:id="rId30">
        <w:r w:rsidRPr="00B766CE">
          <w:rPr>
            <w:rStyle w:val="Hyperlink"/>
          </w:rPr>
          <w:t>List of Groundwater Standards.</w:t>
        </w:r>
      </w:hyperlink>
    </w:p>
    <w:p w:rsidR="00AE7C3D" w:rsidP="009F1E87" w:rsidRDefault="004A5616" w14:paraId="762A0ECE" w14:textId="6C1EED15">
      <w:pPr>
        <w:pStyle w:val="ListParagraph"/>
        <w:numPr>
          <w:ilvl w:val="0"/>
          <w:numId w:val="17"/>
        </w:numPr>
      </w:pPr>
      <w:hyperlink w:history="1" r:id="rId31">
        <w:r>
          <w:rPr>
            <w:rStyle w:val="Hyperlink"/>
          </w:rPr>
          <w:t>WAT-SG-53 Environmental Standards for Discharges to Surface Waters</w:t>
        </w:r>
      </w:hyperlink>
      <w:r w:rsidR="00AE7C3D">
        <w:rPr>
          <w:rStyle w:val="Hyperlink"/>
        </w:rPr>
        <w:t>.</w:t>
      </w:r>
    </w:p>
    <w:p w:rsidRPr="00270D8D" w:rsidR="00AE7C3D" w:rsidP="009F1E87" w:rsidRDefault="00AE7C3D" w14:paraId="4686DB6A" w14:textId="77777777">
      <w:pPr>
        <w:pStyle w:val="ListParagraph"/>
        <w:numPr>
          <w:ilvl w:val="0"/>
          <w:numId w:val="17"/>
        </w:numPr>
        <w:rPr>
          <w:rStyle w:val="Hyperlink"/>
          <w:color w:val="auto"/>
          <w:u w:val="none"/>
        </w:rPr>
      </w:pPr>
      <w:hyperlink w:history="1" r:id="rId32">
        <w:r w:rsidRPr="00C764F7">
          <w:rPr>
            <w:rStyle w:val="Hyperlink"/>
          </w:rPr>
          <w:t>Soil screening values for assessing ecological risk</w:t>
        </w:r>
      </w:hyperlink>
      <w:r>
        <w:rPr>
          <w:rStyle w:val="Hyperlink"/>
        </w:rPr>
        <w:t>.</w:t>
      </w:r>
    </w:p>
    <w:p w:rsidR="00280F34" w:rsidP="009F1E87" w:rsidRDefault="00280F34" w14:paraId="637CAC5A" w14:textId="0634797B">
      <w:pPr>
        <w:pStyle w:val="ListParagraph"/>
        <w:numPr>
          <w:ilvl w:val="0"/>
          <w:numId w:val="17"/>
        </w:numPr>
      </w:pPr>
      <w:hyperlink w:history="1" r:id="rId33">
        <w:r w:rsidRPr="00D750D2">
          <w:rPr>
            <w:rStyle w:val="Hyperlink"/>
          </w:rPr>
          <w:t>Derivation and use of soil screening values for assessing ec</w:t>
        </w:r>
        <w:r w:rsidRPr="00D750D2" w:rsidR="002C493E">
          <w:rPr>
            <w:rStyle w:val="Hyperlink"/>
          </w:rPr>
          <w:t>ological risks.</w:t>
        </w:r>
      </w:hyperlink>
    </w:p>
    <w:p w:rsidR="00AE7C3D" w:rsidP="009F1E87" w:rsidRDefault="00AE7C3D" w14:paraId="3E9C3E9C" w14:textId="497C71FF">
      <w:pPr>
        <w:pStyle w:val="ListParagraph"/>
        <w:numPr>
          <w:ilvl w:val="0"/>
          <w:numId w:val="17"/>
        </w:numPr>
      </w:pPr>
      <w:hyperlink w:history="1" r:id="rId34">
        <w:r>
          <w:rPr>
            <w:rStyle w:val="Hyperlink"/>
          </w:rPr>
          <w:t>Characterization of waste. Sampling of waste materials. Framework for the preparation and application of a sampling plan</w:t>
        </w:r>
      </w:hyperlink>
      <w:r>
        <w:rPr>
          <w:rStyle w:val="Hyperlink"/>
        </w:rPr>
        <w:t>.</w:t>
      </w:r>
      <w:r w:rsidR="00D7040A">
        <w:rPr>
          <w:rStyle w:val="Hyperlink"/>
        </w:rPr>
        <w:t xml:space="preserve"> </w:t>
      </w:r>
      <w:r w:rsidRPr="00D7040A" w:rsidR="00D7040A">
        <w:rPr>
          <w:rStyle w:val="Hyperlink"/>
        </w:rPr>
        <w:t>BS EN 14899</w:t>
      </w:r>
      <w:r w:rsidR="00D7040A">
        <w:rPr>
          <w:rStyle w:val="Hyperlink"/>
        </w:rPr>
        <w:t>,</w:t>
      </w:r>
      <w:r w:rsidRPr="00D7040A" w:rsidR="00D7040A">
        <w:rPr>
          <w:rStyle w:val="Hyperlink"/>
        </w:rPr>
        <w:t xml:space="preserve"> 2005</w:t>
      </w:r>
    </w:p>
    <w:p w:rsidR="00AE7C3D" w:rsidP="009F1E87" w:rsidRDefault="00AE7C3D" w14:paraId="0B1ABCFE" w14:textId="6E4A8110">
      <w:pPr>
        <w:pStyle w:val="ListParagraph"/>
        <w:numPr>
          <w:ilvl w:val="0"/>
          <w:numId w:val="17"/>
        </w:numPr>
      </w:pPr>
      <w:hyperlink w:history="1" r:id="rId35">
        <w:r w:rsidRPr="00BD133E">
          <w:rPr>
            <w:rStyle w:val="Hyperlink"/>
          </w:rPr>
          <w:t>Guidance on selection and application of criteria for sampling under various conditions</w:t>
        </w:r>
      </w:hyperlink>
      <w:r>
        <w:rPr>
          <w:rStyle w:val="Hyperlink"/>
        </w:rPr>
        <w:t>.</w:t>
      </w:r>
      <w:r w:rsidR="00911003">
        <w:rPr>
          <w:rStyle w:val="Hyperlink"/>
        </w:rPr>
        <w:t xml:space="preserve"> </w:t>
      </w:r>
      <w:r w:rsidRPr="00911003" w:rsidR="00911003">
        <w:rPr>
          <w:rStyle w:val="Hyperlink"/>
        </w:rPr>
        <w:t>PD CEN/TR 15310-1</w:t>
      </w:r>
      <w:r w:rsidR="00911003">
        <w:rPr>
          <w:rStyle w:val="Hyperlink"/>
        </w:rPr>
        <w:t>,</w:t>
      </w:r>
      <w:r w:rsidRPr="00911003" w:rsidR="00911003">
        <w:rPr>
          <w:rStyle w:val="Hyperlink"/>
        </w:rPr>
        <w:t xml:space="preserve"> 2006</w:t>
      </w:r>
      <w:r w:rsidR="00911003">
        <w:rPr>
          <w:rStyle w:val="Hyperlink"/>
        </w:rPr>
        <w:t>.</w:t>
      </w:r>
    </w:p>
    <w:p w:rsidR="00AE7C3D" w:rsidP="009F1E87" w:rsidRDefault="00AE7C3D" w14:paraId="1BD11958" w14:textId="667DEA33">
      <w:pPr>
        <w:pStyle w:val="ListParagraph"/>
        <w:numPr>
          <w:ilvl w:val="0"/>
          <w:numId w:val="17"/>
        </w:numPr>
      </w:pPr>
      <w:hyperlink w:history="1" r:id="rId36">
        <w:r w:rsidRPr="00A21419">
          <w:rPr>
            <w:rStyle w:val="Hyperlink"/>
          </w:rPr>
          <w:t>Guidance on sampling techniques</w:t>
        </w:r>
      </w:hyperlink>
      <w:r>
        <w:rPr>
          <w:rStyle w:val="Hyperlink"/>
        </w:rPr>
        <w:t>.</w:t>
      </w:r>
      <w:r w:rsidR="00911003">
        <w:rPr>
          <w:rStyle w:val="Hyperlink"/>
        </w:rPr>
        <w:t xml:space="preserve"> </w:t>
      </w:r>
      <w:r w:rsidRPr="00911003" w:rsidR="00911003">
        <w:rPr>
          <w:rStyle w:val="Hyperlink"/>
        </w:rPr>
        <w:t>PD CEN/TR 15310-2</w:t>
      </w:r>
      <w:r w:rsidR="00911003">
        <w:rPr>
          <w:rStyle w:val="Hyperlink"/>
        </w:rPr>
        <w:t>,</w:t>
      </w:r>
      <w:r w:rsidRPr="00911003" w:rsidR="00911003">
        <w:rPr>
          <w:rStyle w:val="Hyperlink"/>
        </w:rPr>
        <w:t xml:space="preserve"> 2006</w:t>
      </w:r>
      <w:r w:rsidR="00911003">
        <w:rPr>
          <w:rStyle w:val="Hyperlink"/>
        </w:rPr>
        <w:t>.</w:t>
      </w:r>
    </w:p>
    <w:p w:rsidR="00AE7C3D" w:rsidP="009F1E87" w:rsidRDefault="00AE7C3D" w14:paraId="3FC5F9DE" w14:textId="5DE634D8">
      <w:pPr>
        <w:pStyle w:val="ListParagraph"/>
        <w:numPr>
          <w:ilvl w:val="0"/>
          <w:numId w:val="17"/>
        </w:numPr>
      </w:pPr>
      <w:hyperlink w:history="1" r:id="rId37">
        <w:r w:rsidRPr="0006172D">
          <w:rPr>
            <w:rStyle w:val="Hyperlink"/>
          </w:rPr>
          <w:t>Guidance on procedures for sub-sampling in the field</w:t>
        </w:r>
      </w:hyperlink>
      <w:r>
        <w:rPr>
          <w:rStyle w:val="Hyperlink"/>
        </w:rPr>
        <w:t>.</w:t>
      </w:r>
      <w:r w:rsidR="00892F42">
        <w:rPr>
          <w:rStyle w:val="Hyperlink"/>
        </w:rPr>
        <w:t xml:space="preserve"> </w:t>
      </w:r>
      <w:r w:rsidRPr="00892F42" w:rsidR="00892F42">
        <w:rPr>
          <w:rStyle w:val="Hyperlink"/>
        </w:rPr>
        <w:t>PD CEN/TR 15310-3</w:t>
      </w:r>
      <w:r w:rsidR="00892F42">
        <w:rPr>
          <w:rStyle w:val="Hyperlink"/>
        </w:rPr>
        <w:t>,</w:t>
      </w:r>
      <w:r w:rsidRPr="00892F42" w:rsidR="00892F42">
        <w:rPr>
          <w:rStyle w:val="Hyperlink"/>
        </w:rPr>
        <w:t xml:space="preserve"> 2006</w:t>
      </w:r>
      <w:r w:rsidR="00892F42">
        <w:rPr>
          <w:rStyle w:val="Hyperlink"/>
        </w:rPr>
        <w:t>.</w:t>
      </w:r>
    </w:p>
    <w:p w:rsidR="00AE7C3D" w:rsidP="009F1E87" w:rsidRDefault="00AE7C3D" w14:paraId="290F9CA1" w14:textId="68E5835E">
      <w:pPr>
        <w:pStyle w:val="ListParagraph"/>
        <w:numPr>
          <w:ilvl w:val="0"/>
          <w:numId w:val="17"/>
        </w:numPr>
      </w:pPr>
      <w:hyperlink w:history="1" r:id="rId38">
        <w:r w:rsidRPr="002F6389">
          <w:rPr>
            <w:rStyle w:val="Hyperlink"/>
          </w:rPr>
          <w:t>Guidance on procedures for sample packaging, storage, preservation, transport and delivery</w:t>
        </w:r>
      </w:hyperlink>
      <w:r>
        <w:rPr>
          <w:rStyle w:val="Hyperlink"/>
        </w:rPr>
        <w:t>.</w:t>
      </w:r>
      <w:r w:rsidR="00892F42">
        <w:rPr>
          <w:rStyle w:val="Hyperlink"/>
        </w:rPr>
        <w:t xml:space="preserve"> </w:t>
      </w:r>
      <w:r w:rsidRPr="00892F42" w:rsidR="00892F42">
        <w:rPr>
          <w:rStyle w:val="Hyperlink"/>
        </w:rPr>
        <w:t>PD CEN/TR 15310-4</w:t>
      </w:r>
      <w:r w:rsidR="00892F42">
        <w:rPr>
          <w:rStyle w:val="Hyperlink"/>
        </w:rPr>
        <w:t>,</w:t>
      </w:r>
      <w:r w:rsidRPr="00892F42" w:rsidR="00892F42">
        <w:rPr>
          <w:rStyle w:val="Hyperlink"/>
        </w:rPr>
        <w:t xml:space="preserve"> 2006</w:t>
      </w:r>
      <w:r w:rsidR="00892F42">
        <w:rPr>
          <w:rStyle w:val="Hyperlink"/>
        </w:rPr>
        <w:t>.</w:t>
      </w:r>
      <w:r>
        <w:rPr>
          <w:rStyle w:val="Hyperlink"/>
        </w:rPr>
        <w:br/>
      </w:r>
      <w:hyperlink w:history="1" r:id="rId39">
        <w:r w:rsidRPr="0082432A">
          <w:rPr>
            <w:rStyle w:val="Hyperlink"/>
          </w:rPr>
          <w:t>Guidance on the process of defining the sampling plan</w:t>
        </w:r>
      </w:hyperlink>
      <w:r>
        <w:rPr>
          <w:rStyle w:val="Hyperlink"/>
        </w:rPr>
        <w:t>.</w:t>
      </w:r>
      <w:r w:rsidR="009D111F">
        <w:rPr>
          <w:rStyle w:val="Hyperlink"/>
        </w:rPr>
        <w:t xml:space="preserve"> </w:t>
      </w:r>
      <w:r w:rsidRPr="009D111F" w:rsidR="009D111F">
        <w:rPr>
          <w:rStyle w:val="Hyperlink"/>
        </w:rPr>
        <w:t>PD CEN/TR 15310-5</w:t>
      </w:r>
      <w:r w:rsidR="009D111F">
        <w:rPr>
          <w:rStyle w:val="Hyperlink"/>
        </w:rPr>
        <w:t>,</w:t>
      </w:r>
      <w:r w:rsidRPr="009D111F" w:rsidR="009D111F">
        <w:rPr>
          <w:rStyle w:val="Hyperlink"/>
        </w:rPr>
        <w:t xml:space="preserve"> 2006</w:t>
      </w:r>
      <w:r w:rsidR="009D111F">
        <w:rPr>
          <w:rStyle w:val="Hyperlink"/>
        </w:rPr>
        <w:t>.</w:t>
      </w:r>
    </w:p>
    <w:p w:rsidR="00AE7C3D" w:rsidP="009F1E87" w:rsidRDefault="00AE7C3D" w14:paraId="56F8A44E" w14:textId="58B0A8CD">
      <w:pPr>
        <w:pStyle w:val="ListParagraph"/>
        <w:numPr>
          <w:ilvl w:val="0"/>
          <w:numId w:val="17"/>
        </w:numPr>
        <w:rPr>
          <w:rStyle w:val="Hyperlink"/>
        </w:rPr>
      </w:pPr>
      <w:hyperlink w:history="1" r:id="rId40">
        <w:r>
          <w:rPr>
            <w:rStyle w:val="Hyperlink"/>
          </w:rPr>
          <w:t>Scottish Landfill Tax Guidance for Restoration Published by Revenue Scotland</w:t>
        </w:r>
      </w:hyperlink>
      <w:r w:rsidR="009D111F">
        <w:t>.</w:t>
      </w:r>
      <w:r>
        <w:rPr>
          <w:rStyle w:val="Hyperlink"/>
        </w:rPr>
        <w:t xml:space="preserve"> SLFT 3003.</w:t>
      </w:r>
    </w:p>
    <w:p w:rsidR="00AE7C3D" w:rsidP="009F1E87" w:rsidRDefault="00AE7C3D" w14:paraId="1BC419AF" w14:textId="6F7B80FD">
      <w:pPr>
        <w:pStyle w:val="ListParagraph"/>
        <w:numPr>
          <w:ilvl w:val="0"/>
          <w:numId w:val="17"/>
        </w:numPr>
      </w:pPr>
      <w:hyperlink w:history="1" r:id="rId41">
        <w:r w:rsidRPr="00D03E27">
          <w:rPr>
            <w:rStyle w:val="Hyperlink"/>
          </w:rPr>
          <w:t>Characterisation of waste. Leaching. Compliance test for leaching of granular waste materials and sludges. One stage batch test at a liquid to solid ratio of 10 l/kg for materials with particle size below 4 mm (without or with size reduction)</w:t>
        </w:r>
      </w:hyperlink>
      <w:r>
        <w:rPr>
          <w:rStyle w:val="Hyperlink"/>
        </w:rPr>
        <w:t>.</w:t>
      </w:r>
      <w:r w:rsidR="009D111F">
        <w:rPr>
          <w:rStyle w:val="Hyperlink"/>
        </w:rPr>
        <w:t xml:space="preserve"> </w:t>
      </w:r>
      <w:r w:rsidRPr="009D111F" w:rsidR="009D111F">
        <w:rPr>
          <w:rStyle w:val="Hyperlink"/>
        </w:rPr>
        <w:t>BS EN 12457-2</w:t>
      </w:r>
      <w:r w:rsidR="009D111F">
        <w:rPr>
          <w:rStyle w:val="Hyperlink"/>
        </w:rPr>
        <w:t>,</w:t>
      </w:r>
      <w:r w:rsidRPr="009D111F" w:rsidR="009D111F">
        <w:rPr>
          <w:rStyle w:val="Hyperlink"/>
        </w:rPr>
        <w:t xml:space="preserve"> 2002</w:t>
      </w:r>
      <w:r w:rsidR="009D111F">
        <w:rPr>
          <w:rStyle w:val="Hyperlink"/>
        </w:rPr>
        <w:t>.</w:t>
      </w:r>
      <w:r w:rsidRPr="009D111F" w:rsidR="009D111F">
        <w:rPr>
          <w:rStyle w:val="Hyperlink"/>
        </w:rPr>
        <w:t xml:space="preserve"> </w:t>
      </w:r>
      <w:r>
        <w:t xml:space="preserve"> </w:t>
      </w:r>
    </w:p>
    <w:p w:rsidR="00AE7C3D" w:rsidP="009F1E87" w:rsidRDefault="00AE7C3D" w14:paraId="4D19FDC7" w14:textId="1C972204">
      <w:pPr>
        <w:pStyle w:val="ListParagraph"/>
        <w:numPr>
          <w:ilvl w:val="0"/>
          <w:numId w:val="17"/>
        </w:numPr>
        <w:rPr>
          <w:rStyle w:val="Hyperlink"/>
        </w:rPr>
      </w:pPr>
      <w:hyperlink w:history="1" r:id="rId42">
        <w:r w:rsidRPr="00A7256E">
          <w:rPr>
            <w:rStyle w:val="Hyperlink"/>
          </w:rPr>
          <w:t xml:space="preserve">Characterisation of waste. Leaching. Compliance test for leaching of granular waste materials and sludges. Two stage batch </w:t>
        </w:r>
        <w:proofErr w:type="gramStart"/>
        <w:r w:rsidRPr="00A7256E">
          <w:rPr>
            <w:rStyle w:val="Hyperlink"/>
          </w:rPr>
          <w:t>test</w:t>
        </w:r>
        <w:proofErr w:type="gramEnd"/>
        <w:r w:rsidRPr="00A7256E">
          <w:rPr>
            <w:rStyle w:val="Hyperlink"/>
          </w:rPr>
          <w:t xml:space="preserve"> at a liquid to solid ratio of 2 l/kg and 8 l/kg for materials with a high solid content and with a particle size below 4 mm (without or with size reduction)</w:t>
        </w:r>
      </w:hyperlink>
      <w:r>
        <w:rPr>
          <w:rStyle w:val="Hyperlink"/>
        </w:rPr>
        <w:t>.</w:t>
      </w:r>
      <w:r w:rsidR="009D111F">
        <w:rPr>
          <w:rStyle w:val="Hyperlink"/>
        </w:rPr>
        <w:t xml:space="preserve"> </w:t>
      </w:r>
      <w:r w:rsidRPr="009D111F" w:rsidR="009D111F">
        <w:rPr>
          <w:rStyle w:val="Hyperlink"/>
        </w:rPr>
        <w:t>BS EN 12457-3</w:t>
      </w:r>
      <w:r w:rsidR="009D111F">
        <w:rPr>
          <w:rStyle w:val="Hyperlink"/>
        </w:rPr>
        <w:t>,</w:t>
      </w:r>
      <w:r w:rsidRPr="009D111F" w:rsidR="009D111F">
        <w:rPr>
          <w:rStyle w:val="Hyperlink"/>
        </w:rPr>
        <w:t xml:space="preserve"> 2002</w:t>
      </w:r>
      <w:r w:rsidR="009D111F">
        <w:rPr>
          <w:rStyle w:val="Hyperlink"/>
        </w:rPr>
        <w:t>.</w:t>
      </w:r>
      <w:r w:rsidRPr="009D111F" w:rsidR="009D111F">
        <w:rPr>
          <w:rStyle w:val="Hyperlink"/>
        </w:rPr>
        <w:t xml:space="preserve"> </w:t>
      </w:r>
      <w:r>
        <w:t xml:space="preserve"> </w:t>
      </w:r>
    </w:p>
    <w:p w:rsidRPr="006233F5" w:rsidR="00AE7C3D" w:rsidP="009F1E87" w:rsidRDefault="00AE7C3D" w14:paraId="7929A5C3" w14:textId="33EBB531">
      <w:pPr>
        <w:pStyle w:val="ListParagraph"/>
        <w:numPr>
          <w:ilvl w:val="0"/>
          <w:numId w:val="17"/>
        </w:numPr>
        <w:rPr>
          <w:rStyle w:val="Hyperlink"/>
        </w:rPr>
      </w:pPr>
      <w:r>
        <w:rPr>
          <w:rStyle w:val="Hyperlink"/>
        </w:rPr>
        <w:fldChar w:fldCharType="begin"/>
      </w:r>
      <w:r>
        <w:rPr>
          <w:rStyle w:val="Hyperlink"/>
        </w:rPr>
        <w:instrText xml:space="preserve"> HYPERLINK "https://knowledge.bsigroup.com/products/characterization-of-waste-leaching-behaviour-test-up-flow-percolation-test-under-specified-conditions?version=standard" </w:instrText>
      </w:r>
      <w:r>
        <w:rPr>
          <w:rStyle w:val="Hyperlink"/>
        </w:rPr>
      </w:r>
      <w:r>
        <w:rPr>
          <w:rStyle w:val="Hyperlink"/>
        </w:rPr>
        <w:fldChar w:fldCharType="separate"/>
      </w:r>
      <w:r w:rsidRPr="006233F5">
        <w:rPr>
          <w:rStyle w:val="Hyperlink"/>
        </w:rPr>
        <w:t>Characterization of waste - Leaching behaviour test - Up-flow percolation test (under specified conditions)</w:t>
      </w:r>
      <w:r>
        <w:rPr>
          <w:rStyle w:val="Hyperlink"/>
        </w:rPr>
        <w:t>.</w:t>
      </w:r>
      <w:r w:rsidR="009D111F">
        <w:rPr>
          <w:rStyle w:val="Hyperlink"/>
        </w:rPr>
        <w:t xml:space="preserve"> </w:t>
      </w:r>
      <w:r w:rsidRPr="009D111F" w:rsidR="009D111F">
        <w:rPr>
          <w:rStyle w:val="Hyperlink"/>
        </w:rPr>
        <w:t>BS EN 14405</w:t>
      </w:r>
      <w:r w:rsidR="009D111F">
        <w:rPr>
          <w:rStyle w:val="Hyperlink"/>
        </w:rPr>
        <w:t>,</w:t>
      </w:r>
      <w:r w:rsidRPr="009D111F" w:rsidR="009D111F">
        <w:rPr>
          <w:rStyle w:val="Hyperlink"/>
        </w:rPr>
        <w:t xml:space="preserve"> 2017</w:t>
      </w:r>
      <w:r w:rsidR="009D111F">
        <w:rPr>
          <w:rStyle w:val="Hyperlink"/>
        </w:rPr>
        <w:t>.</w:t>
      </w:r>
      <w:r w:rsidR="0095452C">
        <w:rPr>
          <w:rStyle w:val="Hyperlink"/>
        </w:rPr>
        <w:t xml:space="preserve"> </w:t>
      </w:r>
    </w:p>
    <w:p w:rsidR="00616117" w:rsidP="000D0AEB" w:rsidRDefault="00AE7C3D" w14:paraId="52EA3EC3" w14:textId="0C2757FB">
      <w:pPr>
        <w:pStyle w:val="ListParagraph"/>
        <w:numPr>
          <w:ilvl w:val="0"/>
          <w:numId w:val="17"/>
        </w:numPr>
        <w:rPr>
          <w:rStyle w:val="Hyperlink"/>
          <w:rFonts w:eastAsiaTheme="minorHAnsi"/>
          <w:sz w:val="22"/>
          <w:szCs w:val="22"/>
        </w:rPr>
      </w:pPr>
      <w:r>
        <w:rPr>
          <w:rStyle w:val="Hyperlink"/>
          <w:rFonts w:eastAsiaTheme="minorHAnsi"/>
          <w:sz w:val="22"/>
          <w:szCs w:val="22"/>
        </w:rPr>
        <w:fldChar w:fldCharType="end"/>
      </w:r>
      <w:hyperlink w:history="1" r:id="rId43">
        <w:r w:rsidRPr="000D0AEB" w:rsidR="00EE4DA9">
          <w:rPr>
            <w:rStyle w:val="Hyperlink"/>
          </w:rPr>
          <w:t>W</w:t>
        </w:r>
        <w:r w:rsidRPr="000D0AEB" w:rsidR="00EE4DA9">
          <w:rPr>
            <w:rStyle w:val="Hyperlink"/>
            <w:rFonts w:eastAsiaTheme="minorHAnsi"/>
            <w:sz w:val="22"/>
            <w:szCs w:val="22"/>
          </w:rPr>
          <w:t>aste. Characterization of granular solids with potential for use as construction material. Compliance leaching test. Up-flow percolation test</w:t>
        </w:r>
        <w:r w:rsidRPr="000D0AEB" w:rsidR="005E5230">
          <w:rPr>
            <w:rStyle w:val="Hyperlink"/>
            <w:rFonts w:eastAsiaTheme="minorHAnsi"/>
            <w:sz w:val="22"/>
            <w:szCs w:val="22"/>
          </w:rPr>
          <w:t>. BS EN 17516, 2023.</w:t>
        </w:r>
      </w:hyperlink>
    </w:p>
    <w:p w:rsidR="00C30753" w:rsidP="00EE4FCD" w:rsidRDefault="00C30753" w14:paraId="05021C28" w14:textId="7DE19A52">
      <w:pPr>
        <w:pStyle w:val="Heading4"/>
      </w:pPr>
      <w:r>
        <w:rPr>
          <w:rFonts w:ascii="Arial" w:hAnsi="Arial" w:eastAsia="Times New Roman" w:cs="Arial"/>
          <w:color w:val="016574"/>
          <w:sz w:val="40"/>
          <w:szCs w:val="32"/>
        </w:rPr>
        <w:br w:type="page"/>
      </w:r>
    </w:p>
    <w:p w:rsidRPr="00B54CF4" w:rsidR="00C30753" w:rsidP="00C30753" w:rsidRDefault="00C30753" w14:paraId="3CFECE33" w14:textId="77777777">
      <w:pPr>
        <w:pStyle w:val="BodyText1"/>
      </w:pPr>
      <w:r w:rsidRPr="00B54CF4">
        <w:lastRenderedPageBreak/>
        <w:t>For information on accessing this document in an alternative format or language</w:t>
      </w:r>
      <w:r>
        <w:t>,</w:t>
      </w:r>
      <w:r w:rsidRPr="00B54CF4">
        <w:t xml:space="preserve"> please contact SEPA by emailing </w:t>
      </w:r>
      <w:hyperlink w:history="1" r:id="rId44">
        <w:r w:rsidRPr="00D90757">
          <w:rPr>
            <w:rStyle w:val="Hyperlink"/>
          </w:rPr>
          <w:t>equalities@sepa.org.uk</w:t>
        </w:r>
      </w:hyperlink>
    </w:p>
    <w:p w:rsidRPr="00E245AC" w:rsidR="00C30753" w:rsidP="00C30753" w:rsidRDefault="00C30753" w14:paraId="16393FB0" w14:textId="77777777">
      <w:pPr>
        <w:pStyle w:val="BodyText1"/>
      </w:pPr>
      <w:r w:rsidRPr="00B54CF4">
        <w:t>If you are a user of British Sign Language (BSL)</w:t>
      </w:r>
      <w:r>
        <w:t>,</w:t>
      </w:r>
      <w:r w:rsidRPr="00B54CF4">
        <w:t xml:space="preserve"> the Contact Scotland BSL service gives you access to an online interpreter</w:t>
      </w:r>
      <w:r>
        <w:t>,</w:t>
      </w:r>
      <w:r w:rsidRPr="00B54CF4">
        <w:t xml:space="preserve"> enabling you to communicate with us using sign language.</w:t>
      </w:r>
      <w:r>
        <w:t xml:space="preserve"> </w:t>
      </w:r>
      <w:hyperlink w:history="1" r:id="rId45">
        <w:r w:rsidRPr="00760F9A">
          <w:rPr>
            <w:rStyle w:val="Hyperlink"/>
            <w:color w:val="016574"/>
          </w:rPr>
          <w:t>contactscotland-bsl.org</w:t>
        </w:r>
      </w:hyperlink>
    </w:p>
    <w:p w:rsidRPr="00382BF8" w:rsidR="00382BF8" w:rsidP="00C30753" w:rsidRDefault="00382BF8" w14:paraId="44A2845E" w14:textId="2D4D0F84">
      <w:pPr>
        <w:spacing w:line="240" w:lineRule="auto"/>
        <w:rPr>
          <w:rFonts w:ascii="Arial" w:hAnsi="Arial" w:eastAsia="Times New Roman" w:cs="Arial"/>
          <w:b/>
          <w:color w:val="016574"/>
          <w:sz w:val="40"/>
          <w:szCs w:val="32"/>
        </w:rPr>
      </w:pPr>
    </w:p>
    <w:sectPr w:rsidRPr="00382BF8" w:rsidR="00382BF8" w:rsidSect="00126339">
      <w:headerReference w:type="even" r:id="rId46"/>
      <w:headerReference w:type="default" r:id="rId47"/>
      <w:footerReference w:type="even" r:id="rId48"/>
      <w:footerReference w:type="default" r:id="rId49"/>
      <w:headerReference w:type="first" r:id="rId50"/>
      <w:footerReference w:type="first" r:id="rId51"/>
      <w:pgSz w:w="11900" w:h="16840" w:orient="portrait"/>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E41" w:rsidP="00660C79" w:rsidRDefault="00FE2E41" w14:paraId="22B10D5F" w14:textId="77777777">
      <w:pPr>
        <w:spacing w:line="240" w:lineRule="auto"/>
      </w:pPr>
      <w:r>
        <w:separator/>
      </w:r>
    </w:p>
  </w:endnote>
  <w:endnote w:type="continuationSeparator" w:id="0">
    <w:p w:rsidR="00FE2E41" w:rsidP="00660C79" w:rsidRDefault="00FE2E41" w14:paraId="1DDD57DF" w14:textId="77777777">
      <w:pPr>
        <w:spacing w:line="240" w:lineRule="auto"/>
      </w:pPr>
      <w:r>
        <w:continuationSeparator/>
      </w:r>
    </w:p>
  </w:endnote>
  <w:endnote w:type="continuationNotice" w:id="1">
    <w:p w:rsidR="00FE2E41" w:rsidRDefault="00FE2E41" w14:paraId="1C41151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030430"/>
      <w:docPartObj>
        <w:docPartGallery w:val="Page Numbers (Bottom of Page)"/>
        <w:docPartUnique/>
      </w:docPartObj>
    </w:sdtPr>
    <w:sdtContent>
      <w:p w:rsidR="00C30753" w:rsidRDefault="00C30753" w14:paraId="7062AFAA"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1115941165"/>
      <w:docPartObj>
        <w:docPartGallery w:val="Page Numbers (Bottom of Page)"/>
        <w:docPartUnique/>
      </w:docPartObj>
    </w:sdtPr>
    <w:sdtContent>
      <w:p w:rsidR="00C30753" w:rsidP="00EC6A73" w:rsidRDefault="00C30753" w14:paraId="14F9EFE4"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C30753" w:rsidP="00917BB1" w:rsidRDefault="00C30753" w14:paraId="5374BD4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16sdtfl w16du wp14">
  <w:p w:rsidR="00C30753" w:rsidP="00917BB1" w:rsidRDefault="00C30753" w14:paraId="3E8E879F" w14:textId="77777777">
    <w:pPr>
      <w:pStyle w:val="Footer"/>
      <w:ind w:right="360"/>
    </w:pPr>
    <w:r>
      <w:rPr>
        <w:noProof/>
      </w:rPr>
      <mc:AlternateContent>
        <mc:Choice Requires="wps">
          <w:drawing>
            <wp:anchor distT="0" distB="0" distL="114300" distR="114300" simplePos="0" relativeHeight="251660800" behindDoc="0" locked="0" layoutInCell="0" allowOverlap="1" wp14:anchorId="22918115" wp14:editId="4311B907">
              <wp:simplePos x="0" y="0"/>
              <wp:positionH relativeFrom="page">
                <wp:posOffset>0</wp:posOffset>
              </wp:positionH>
              <wp:positionV relativeFrom="page">
                <wp:posOffset>10229215</wp:posOffset>
              </wp:positionV>
              <wp:extent cx="7556500" cy="273050"/>
              <wp:effectExtent l="0" t="0" r="0" b="12700"/>
              <wp:wrapNone/>
              <wp:docPr id="1640645856"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C30753" w:rsidRDefault="00C30753" w14:paraId="5BBBA58F"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dec="http://schemas.microsoft.com/office/drawing/2017/decorative" xmlns:a="http://schemas.openxmlformats.org/drawingml/2006/main">
          <w:pict>
            <v:shapetype id="_x0000_t202" coordsize="21600,21600" o:spt="202" path="m,l,21600r21600,l21600,xe" w14:anchorId="22918115">
              <v:stroke joinstyle="miter"/>
              <v:path gradientshapeok="t" o:connecttype="rect"/>
            </v:shapetype>
            <v:shape id="MSIPCM5e5e4a189a8ec75f16fc991b" style="position:absolute;margin-left:0;margin-top:805.45pt;width:595pt;height:21.5pt;z-index:251660800;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v:textbox inset=",0,,0">
                <w:txbxContent>
                  <w:p w:rsidRPr="002369CA" w:rsidR="00C30753" w:rsidRDefault="00C30753" w14:paraId="5BBBA58F"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19F41670" wp14:editId="440D98CF">
              <wp:simplePos x="0" y="0"/>
              <wp:positionH relativeFrom="column">
                <wp:posOffset>23826</wp:posOffset>
              </wp:positionH>
              <wp:positionV relativeFrom="paragraph">
                <wp:posOffset>74240</wp:posOffset>
              </wp:positionV>
              <wp:extent cx="6466840" cy="0"/>
              <wp:effectExtent l="0" t="0" r="10160" b="12700"/>
              <wp:wrapNone/>
              <wp:docPr id="1767008846" name="Straight Connector 17670088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dec="http://schemas.microsoft.com/office/drawing/2017/decorative" xmlns:a="http://schemas.openxmlformats.org/drawingml/2006/main">
          <w:pict>
            <v:line id="Straight Connector 176700884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1664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834447786"/>
      <w:docPartObj>
        <w:docPartGallery w:val="Page Numbers (Bottom of Page)"/>
        <w:docPartUnique/>
      </w:docPartObj>
    </w:sdtPr>
    <w:sdtContent>
      <w:p w:rsidR="00C30753" w:rsidP="00EC6A73" w:rsidRDefault="00C30753" w14:paraId="7CF5C290" w14:textId="77777777">
        <w:pPr>
          <w:pStyle w:val="Footer"/>
          <w:framePr w:wrap="none" w:hAnchor="page" w:vAnchor="text"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C30753" w:rsidP="00917BB1" w:rsidRDefault="00C30753" w14:paraId="7B360C6A" w14:textId="77777777">
    <w:pPr>
      <w:pStyle w:val="Footer"/>
      <w:ind w:right="360"/>
    </w:pPr>
    <w:r>
      <w:rPr>
        <w:noProof/>
      </w:rPr>
      <w:drawing>
        <wp:inline distT="0" distB="0" distL="0" distR="0" wp14:anchorId="58AC1A09" wp14:editId="5D6FA721">
          <wp:extent cx="1007167" cy="265044"/>
          <wp:effectExtent l="0" t="0" r="0" b="1905"/>
          <wp:docPr id="933946640" name="Picture 933946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C30753" w:rsidRDefault="00C30753" w14:paraId="21C8703A" w14:textId="77777777">
    <w:pPr>
      <w:pStyle w:val="Footer"/>
    </w:pPr>
    <w:r>
      <w:rPr>
        <w:noProof/>
      </w:rPr>
      <mc:AlternateContent>
        <mc:Choice Requires="wps">
          <w:drawing>
            <wp:anchor distT="0" distB="0" distL="114300" distR="114300" simplePos="0" relativeHeight="251661824" behindDoc="0" locked="0" layoutInCell="0" allowOverlap="1" wp14:anchorId="2179CAA0" wp14:editId="585F1598">
              <wp:simplePos x="0" y="0"/>
              <wp:positionH relativeFrom="page">
                <wp:posOffset>0</wp:posOffset>
              </wp:positionH>
              <wp:positionV relativeFrom="page">
                <wp:posOffset>10229215</wp:posOffset>
              </wp:positionV>
              <wp:extent cx="7556500" cy="273050"/>
              <wp:effectExtent l="0" t="0" r="0" b="12700"/>
              <wp:wrapNone/>
              <wp:docPr id="1522916489"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C30753" w:rsidRDefault="00C30753" w14:paraId="1564D359"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type id="_x0000_t202" coordsize="21600,21600" o:spt="202" path="m,l,21600r21600,l21600,xe" w14:anchorId="2179CAA0">
              <v:stroke joinstyle="miter"/>
              <v:path gradientshapeok="t" o:connecttype="rect"/>
            </v:shapetype>
            <v:shape id="MSIPCM4e4a48088b4676f42cc92ab1" style="position:absolute;margin-left:0;margin-top:805.45pt;width:595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v:textbox inset=",0,,0">
                <w:txbxContent>
                  <w:p w:rsidRPr="002369CA" w:rsidR="00C30753" w:rsidRDefault="00C30753" w14:paraId="1564D359"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16sdtfl w16du wp14">
  <w:p w:rsidR="00073F91" w:rsidP="00917BB1" w:rsidRDefault="00073F91" w14:paraId="489750E8" w14:textId="01CCB819">
    <w:pPr>
      <w:pStyle w:val="Footer"/>
      <w:ind w:right="360"/>
    </w:pPr>
    <w:r>
      <w:rPr>
        <w:noProof/>
      </w:rPr>
      <mc:AlternateContent>
        <mc:Choice Requires="wps">
          <w:drawing>
            <wp:anchor distT="0" distB="0" distL="114300" distR="114300" simplePos="0" relativeHeight="251664896" behindDoc="0" locked="0" layoutInCell="1" allowOverlap="1" wp14:anchorId="1521BB17" wp14:editId="11643AE6">
              <wp:simplePos x="0" y="0"/>
              <wp:positionH relativeFrom="column">
                <wp:posOffset>24081</wp:posOffset>
              </wp:positionH>
              <wp:positionV relativeFrom="paragraph">
                <wp:posOffset>74197</wp:posOffset>
              </wp:positionV>
              <wp:extent cx="9603740" cy="29308"/>
              <wp:effectExtent l="0" t="0" r="35560" b="27940"/>
              <wp:wrapNone/>
              <wp:docPr id="1406754857" name="Straight Connector 14067548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603740" cy="29308"/>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v:line id="Straight Connector 1406754857"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16574 [3205]" strokeweight=".5pt" from="1.9pt,5.85pt" to="758.1pt,8.15pt" w14:anchorId="267B5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">
              <v:stroke joinstyle="miter"/>
            </v:line>
          </w:pict>
        </mc:Fallback>
      </mc:AlternateContent>
    </w:r>
    <w:r>
      <w:rPr>
        <w:noProof/>
      </w:rPr>
      <mc:AlternateContent>
        <mc:Choice Requires="wps">
          <w:drawing>
            <wp:anchor distT="0" distB="0" distL="114300" distR="114300" simplePos="0" relativeHeight="251665920" behindDoc="0" locked="0" layoutInCell="0" allowOverlap="1" wp14:anchorId="26D71D0E" wp14:editId="74042A3B">
              <wp:simplePos x="0" y="0"/>
              <wp:positionH relativeFrom="page">
                <wp:posOffset>0</wp:posOffset>
              </wp:positionH>
              <wp:positionV relativeFrom="page">
                <wp:posOffset>10229215</wp:posOffset>
              </wp:positionV>
              <wp:extent cx="7556500" cy="273050"/>
              <wp:effectExtent l="0" t="0" r="0" b="12700"/>
              <wp:wrapNone/>
              <wp:docPr id="1690843978"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073F91" w:rsidRDefault="00073F91" w14:paraId="54874FE9"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dec="http://schemas.microsoft.com/office/drawing/2017/decorative" xmlns:a="http://schemas.openxmlformats.org/drawingml/2006/main">
          <w:pict>
            <v:shapetype id="_x0000_t202" coordsize="21600,21600" o:spt="202" path="m,l,21600r21600,l21600,xe" w14:anchorId="26D71D0E">
              <v:stroke joinstyle="miter"/>
              <v:path gradientshapeok="t" o:connecttype="rect"/>
            </v:shapetype>
            <v:shape id="_x0000_s1033" style="position:absolute;margin-left:0;margin-top:805.45pt;width:595pt;height:21.5pt;z-index:251665920;visibility:visible;mso-wrap-style:square;mso-wrap-distance-left:9pt;mso-wrap-distance-top:0;mso-wrap-distance-right:9pt;mso-wrap-distance-bottom:0;mso-position-horizontal:absolute;mso-position-horizontal-relative:page;mso-position-vertical:absolute;mso-position-vertical-relative:page;v-text-anchor:bottom" alt="&quot;&quot;"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v:textbox inset=",0,,0">
                <w:txbxContent>
                  <w:p w:rsidRPr="002369CA" w:rsidR="00073F91" w:rsidRDefault="00073F91" w14:paraId="54874FE9"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sdt>
    <w:sdtPr>
      <w:rPr>
        <w:rStyle w:val="PageNumber"/>
      </w:rPr>
      <w:id w:val="1175540788"/>
      <w:docPartObj>
        <w:docPartGallery w:val="Page Numbers (Bottom of Page)"/>
        <w:docPartUnique/>
      </w:docPartObj>
    </w:sdtPr>
    <w:sdtContent>
      <w:p w:rsidR="00073F91" w:rsidP="00CF0127" w:rsidRDefault="00073F91" w14:paraId="7007AF04" w14:textId="77777777">
        <w:pPr>
          <w:pStyle w:val="Footer"/>
          <w:framePr w:wrap="none" w:hAnchor="page" w:vAnchor="text" w:x="15721" w:y="11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073F91" w:rsidP="00917BB1" w:rsidRDefault="00073F91" w14:paraId="71D22B61" w14:textId="77777777">
    <w:pPr>
      <w:pStyle w:val="Footer"/>
      <w:ind w:right="360"/>
    </w:pPr>
    <w:r>
      <w:rPr>
        <w:noProof/>
      </w:rPr>
      <w:drawing>
        <wp:inline distT="0" distB="0" distL="0" distR="0" wp14:anchorId="59AE3A11" wp14:editId="0BF67F36">
          <wp:extent cx="1007167" cy="265044"/>
          <wp:effectExtent l="0" t="0" r="0" b="1905"/>
          <wp:docPr id="56764373" name="Picture 56764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00EC6A73" w:rsidRDefault="00EF03D8" w14:paraId="3ECCAC58" w14:textId="77777777">
    <w:pPr>
      <w:pStyle w:val="Footer"/>
      <w:framePr w:wrap="none" w:hAnchor="margin" w:vAnchor="text" w:xAlign="right" w:y="1"/>
      <w:rPr>
        <w:rStyle w:val="PageNumber"/>
      </w:rPr>
    </w:pPr>
    <w:r>
      <w:rPr>
        <w:noProof/>
      </w:rPr>
      <mc:AlternateContent>
        <mc:Choice Requires="wps">
          <w:drawing>
            <wp:anchor distT="0" distB="0" distL="0" distR="0" simplePos="0" relativeHeight="251654656" behindDoc="0" locked="0" layoutInCell="1" allowOverlap="1" wp14:anchorId="6B8E703B" wp14:editId="527483D0">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F03D8" w:rsidR="00EF03D8" w:rsidP="00EF03D8" w:rsidRDefault="00EF03D8" w14:paraId="0648B5B1"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v:shapetype id="_x0000_t202" coordsize="21600,21600" o:spt="202" path="m,l,21600r21600,l21600,xe" w14:anchorId="6B8E703B">
              <v:stroke joinstyle="miter"/>
              <v:path gradientshapeok="t" o:connecttype="rect"/>
            </v:shapetype>
            <v:shape id="Text Box 11" style="position:absolute;margin-left:0;margin-top:0;width:34.95pt;height:34.95pt;z-index:251654656;visibility:visible;mso-wrap-style:none;mso-wrap-distance-left:0;mso-wrap-distance-top:0;mso-wrap-distance-right:0;mso-wrap-distance-bottom:0;mso-position-horizontal:center;mso-position-horizontal-relative:page;mso-position-vertical:bottom;mso-position-vertical-relative:page;v-text-anchor:bottom" alt="&quot;&quot;"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v:textbox style="mso-fit-shape-to-text:t" inset="0,0,0,15pt">
                <w:txbxContent>
                  <w:p w:rsidRPr="00EF03D8" w:rsidR="00EF03D8" w:rsidP="00EF03D8" w:rsidRDefault="00EF03D8" w14:paraId="0648B5B1"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rsidR="00EC6A73" w:rsidRDefault="00EC6A73" w14:paraId="4CFC92C5"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1749717889"/>
      <w:docPartObj>
        <w:docPartGallery w:val="Page Numbers (Bottom of Page)"/>
        <w:docPartUnique/>
      </w:docPartObj>
    </w:sdtPr>
    <w:sdtContent>
      <w:p w:rsidR="00917BB1" w:rsidP="00EC6A73" w:rsidRDefault="00917BB1" w14:paraId="10977180"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917BB1" w:rsidP="00917BB1" w:rsidRDefault="00917BB1" w14:paraId="1CE9FE7D" w14:textId="7777777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mc:Ignorable="w14 w15 w16se w16cid w16 w16cex w16sdtdh w16sdtfl w16du wp14">
  <w:p w:rsidR="00EC6A73" w:rsidP="00917BB1" w:rsidRDefault="00EF03D8" w14:paraId="18656088" w14:textId="77777777">
    <w:pPr>
      <w:pStyle w:val="Footer"/>
      <w:ind w:right="360"/>
    </w:pPr>
    <w:r>
      <w:rPr>
        <w:noProof/>
      </w:rPr>
      <mc:AlternateContent>
        <mc:Choice Requires="wps">
          <w:drawing>
            <wp:anchor distT="0" distB="0" distL="0" distR="0" simplePos="0" relativeHeight="251656704" behindDoc="0" locked="0" layoutInCell="1" allowOverlap="1" wp14:anchorId="5AF1B07B" wp14:editId="050C4A6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F03D8" w:rsidR="00EF03D8" w:rsidP="00EF03D8" w:rsidRDefault="00EF03D8" w14:paraId="73F6262F"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v:shapetype id="_x0000_t202" coordsize="21600,21600" o:spt="202" path="m,l,21600r21600,l21600,xe" w14:anchorId="5AF1B07B">
              <v:stroke joinstyle="miter"/>
              <v:path gradientshapeok="t" o:connecttype="rect"/>
            </v:shapetype>
            <v:shape id="Text Box 12"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alt="&quot;&quot;"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v:textbox style="mso-fit-shape-to-text:t" inset="0,0,0,15pt">
                <w:txbxContent>
                  <w:p w:rsidRPr="00EF03D8" w:rsidR="00EF03D8" w:rsidP="00EF03D8" w:rsidRDefault="00EF03D8" w14:paraId="73F6262F"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v:textbox>
              <w10:wrap anchorx="page" anchory="page"/>
            </v:shape>
          </w:pict>
        </mc:Fallback>
      </mc:AlternateContent>
    </w:r>
  </w:p>
  <w:p w:rsidR="00917BB1" w:rsidP="00917BB1" w:rsidRDefault="000E0D15" w14:paraId="04351076" w14:textId="77777777">
    <w:pPr>
      <w:pStyle w:val="Footer"/>
      <w:ind w:right="360"/>
    </w:pPr>
    <w:r>
      <w:rPr>
        <w:noProof/>
      </w:rPr>
      <mc:AlternateContent>
        <mc:Choice Requires="wps">
          <w:drawing>
            <wp:anchor distT="0" distB="0" distL="114300" distR="114300" simplePos="0" relativeHeight="251649536" behindDoc="0" locked="0" layoutInCell="1" allowOverlap="1" wp14:anchorId="43903F71" wp14:editId="0FDEB7F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v:line id="Straight Connector 10" style="position:absolute;z-index:25164953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A43A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rsidR="00EC6A73" w:rsidP="00EC6A73" w:rsidRDefault="00EC6A73" w14:paraId="02C5242F" w14:textId="77777777">
        <w:pPr>
          <w:pStyle w:val="Footer"/>
          <w:framePr w:wrap="none" w:hAnchor="page" w:vAnchor="text"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917BB1" w:rsidP="00917BB1" w:rsidRDefault="00917BB1" w14:paraId="6009E415" w14:textId="77777777">
    <w:pPr>
      <w:pStyle w:val="Footer"/>
      <w:ind w:right="360"/>
    </w:pPr>
    <w:r>
      <w:rPr>
        <w:noProof/>
      </w:rPr>
      <w:drawing>
        <wp:inline distT="0" distB="0" distL="0" distR="0" wp14:anchorId="6E43E6AD" wp14:editId="3DF56F4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00EF03D8" w:rsidRDefault="00EF03D8" w14:paraId="19AB8755" w14:textId="77777777">
    <w:pPr>
      <w:pStyle w:val="Footer"/>
    </w:pPr>
    <w:r>
      <w:rPr>
        <w:noProof/>
      </w:rPr>
      <mc:AlternateContent>
        <mc:Choice Requires="wps">
          <w:drawing>
            <wp:anchor distT="0" distB="0" distL="0" distR="0" simplePos="0" relativeHeight="251653632" behindDoc="0" locked="0" layoutInCell="1" allowOverlap="1" wp14:anchorId="32916ECD" wp14:editId="10548ACA">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F03D8" w:rsidR="00EF03D8" w:rsidP="00EF03D8" w:rsidRDefault="00EF03D8" w14:paraId="43888FB6"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v:shapetype id="_x0000_t202" coordsize="21600,21600" o:spt="202" path="m,l,21600r21600,l21600,xe" w14:anchorId="32916ECD">
              <v:stroke joinstyle="miter"/>
              <v:path gradientshapeok="t" o:connecttype="rect"/>
            </v:shapetype>
            <v:shape id="Text Box 9" style="position:absolute;margin-left:0;margin-top:0;width:34.95pt;height:34.95pt;z-index:251653632;visibility:visible;mso-wrap-style:none;mso-wrap-distance-left:0;mso-wrap-distance-top:0;mso-wrap-distance-right:0;mso-wrap-distance-bottom:0;mso-position-horizontal:center;mso-position-horizontal-relative:page;mso-position-vertical:bottom;mso-position-vertical-relative:page;v-text-anchor:bottom" alt="&quot;&quot;"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v:textbox style="mso-fit-shape-to-text:t" inset="0,0,0,15pt">
                <w:txbxContent>
                  <w:p w:rsidRPr="00EF03D8" w:rsidR="00EF03D8" w:rsidP="00EF03D8" w:rsidRDefault="00EF03D8" w14:paraId="43888FB6"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E41" w:rsidP="00660C79" w:rsidRDefault="00FE2E41" w14:paraId="377255A6" w14:textId="77777777">
      <w:pPr>
        <w:spacing w:line="240" w:lineRule="auto"/>
      </w:pPr>
      <w:r>
        <w:separator/>
      </w:r>
    </w:p>
  </w:footnote>
  <w:footnote w:type="continuationSeparator" w:id="0">
    <w:p w:rsidR="00FE2E41" w:rsidP="00660C79" w:rsidRDefault="00FE2E41" w14:paraId="6F613B2B" w14:textId="77777777">
      <w:pPr>
        <w:spacing w:line="240" w:lineRule="auto"/>
      </w:pPr>
      <w:r>
        <w:continuationSeparator/>
      </w:r>
    </w:p>
  </w:footnote>
  <w:footnote w:type="continuationNotice" w:id="1">
    <w:p w:rsidR="00FE2E41" w:rsidRDefault="00FE2E41" w14:paraId="146D35E3" w14:textId="77777777">
      <w:pPr>
        <w:spacing w:line="240" w:lineRule="auto"/>
      </w:pPr>
    </w:p>
  </w:footnote>
  <w:footnote w:id="2">
    <w:p w:rsidR="00436197" w:rsidP="00932687" w:rsidRDefault="00436197" w14:paraId="0DCBD850" w14:textId="4D93DD6D">
      <w:pPr>
        <w:pStyle w:val="FootnoteText"/>
      </w:pPr>
      <w:r>
        <w:rPr>
          <w:rStyle w:val="FootnoteReference"/>
        </w:rPr>
        <w:footnoteRef/>
      </w:r>
      <w:r>
        <w:t xml:space="preserve"> </w:t>
      </w:r>
      <w:r w:rsidR="00932687">
        <w:t>Derivation and use of soil screening values for assessing ecological risks</w:t>
      </w:r>
    </w:p>
  </w:footnote>
  <w:footnote w:id="3">
    <w:p w:rsidR="00C30753" w:rsidP="00C30753" w:rsidRDefault="00C30753" w14:paraId="0BC3206B" w14:textId="2749605F">
      <w:pPr>
        <w:pStyle w:val="FootnoteText"/>
      </w:pPr>
      <w:r>
        <w:rPr>
          <w:rStyle w:val="FootnoteReference"/>
        </w:rPr>
        <w:footnoteRef/>
      </w:r>
      <w:r>
        <w:t xml:space="preserve"> For extractable </w:t>
      </w:r>
      <w:r w:rsidR="00B61A74">
        <w:t>p</w:t>
      </w:r>
      <w:r>
        <w:t>hosphorus, s</w:t>
      </w:r>
      <w:r w:rsidRPr="00BD2F5C">
        <w:t xml:space="preserve">amples can be analysed using either the Olsen or the Modified Morgan method. They do not have to be extracted </w:t>
      </w:r>
      <w:r w:rsidR="0076690D">
        <w:t xml:space="preserve">using </w:t>
      </w:r>
      <w:r w:rsidRPr="00BD2F5C">
        <w:t>both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Pr="00917BB1" w:rsidR="00C30753" w:rsidP="008D113C" w:rsidRDefault="00C30753" w14:paraId="78C853CD" w14:textId="67C3A5D8">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752" behindDoc="0" locked="0" layoutInCell="0" allowOverlap="1" wp14:anchorId="333BC917" wp14:editId="179E3373">
              <wp:simplePos x="0" y="0"/>
              <wp:positionH relativeFrom="page">
                <wp:posOffset>0</wp:posOffset>
              </wp:positionH>
              <wp:positionV relativeFrom="page">
                <wp:posOffset>190500</wp:posOffset>
              </wp:positionV>
              <wp:extent cx="7556500" cy="273050"/>
              <wp:effectExtent l="0" t="0" r="0" b="12700"/>
              <wp:wrapNone/>
              <wp:docPr id="840159214"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C30753" w:rsidRDefault="00C30753" w14:paraId="38080111"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type id="_x0000_t202" coordsize="21600,21600" o:spt="202" path="m,l,21600r21600,l21600,xe" w14:anchorId="333BC917">
              <v:stroke joinstyle="miter"/>
              <v:path gradientshapeok="t" o:connecttype="rect"/>
            </v:shapetype>
            <v:shape id="MSIPCM3e7c4667b3fb4a16462b8c07" style="position:absolute;left:0;text-align:left;margin-left:0;margin-top:15pt;width:59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alt="&quot;&quot;"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v:textbox inset=",0,,0">
                <w:txbxContent>
                  <w:p w:rsidRPr="002369CA" w:rsidR="00C30753" w:rsidRDefault="00C30753" w14:paraId="38080111"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1C1C12">
      <w:rPr>
        <w:color w:val="6E7571" w:themeColor="text2"/>
      </w:rPr>
      <w:t xml:space="preserve">Landfill Restoration </w:t>
    </w:r>
  </w:p>
  <w:p w:rsidR="00C30753" w:rsidP="008D113C" w:rsidRDefault="00C30753" w14:paraId="3843D556" w14:textId="77777777">
    <w:pPr>
      <w:pStyle w:val="BodyText1"/>
      <w:jc w:val="right"/>
    </w:pPr>
    <w:r>
      <w:rPr>
        <w:noProof/>
      </w:rPr>
      <mc:AlternateContent>
        <mc:Choice Requires="wps">
          <w:drawing>
            <wp:anchor distT="0" distB="0" distL="114300" distR="114300" simplePos="0" relativeHeight="251655680" behindDoc="0" locked="0" layoutInCell="1" allowOverlap="1" wp14:anchorId="2B28902E" wp14:editId="570CC8ED">
              <wp:simplePos x="0" y="0"/>
              <wp:positionH relativeFrom="column">
                <wp:posOffset>23826</wp:posOffset>
              </wp:positionH>
              <wp:positionV relativeFrom="paragraph">
                <wp:posOffset>89176</wp:posOffset>
              </wp:positionV>
              <wp:extent cx="6467061" cy="0"/>
              <wp:effectExtent l="0" t="0" r="10160" b="12700"/>
              <wp:wrapNone/>
              <wp:docPr id="1546629271" name="Straight Connector 15466292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http://schemas.openxmlformats.org/drawingml/2006/main">
          <w:pict>
            <v:line id="Straight Connector 1546629271"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16574 [3205]" strokeweight=".5pt" from="1.9pt,7pt" to="511.1pt,7pt" w14:anchorId="68E86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C30753" w:rsidRDefault="00000000" w14:paraId="54C8B185" w14:textId="13674F48">
    <w:pPr>
      <w:pStyle w:val="Header"/>
    </w:pPr>
    <w:sdt>
      <w:sdtPr>
        <w:id w:val="507646798"/>
        <w:docPartObj>
          <w:docPartGallery w:val="Watermarks"/>
          <w:docPartUnique/>
        </w:docPartObj>
      </w:sdtPr>
      <w:sdtContent>
        <w:r>
          <w:rPr>
            <w:noProof/>
          </w:rPr>
          <w:pict w14:anchorId="4C74A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49536;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sdtContent>
    </w:sdt>
    <w:r w:rsidR="00C30753">
      <w:rPr>
        <w:noProof/>
      </w:rPr>
      <mc:AlternateContent>
        <mc:Choice Requires="wps">
          <w:drawing>
            <wp:anchor distT="0" distB="0" distL="114300" distR="114300" simplePos="0" relativeHeight="251659776" behindDoc="0" locked="0" layoutInCell="0" allowOverlap="1" wp14:anchorId="1F6B915B" wp14:editId="7CB406E7">
              <wp:simplePos x="0" y="0"/>
              <wp:positionH relativeFrom="page">
                <wp:posOffset>0</wp:posOffset>
              </wp:positionH>
              <wp:positionV relativeFrom="page">
                <wp:posOffset>190500</wp:posOffset>
              </wp:positionV>
              <wp:extent cx="7556500" cy="273050"/>
              <wp:effectExtent l="0" t="0" r="0" b="12700"/>
              <wp:wrapNone/>
              <wp:docPr id="173795161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C30753" w:rsidRDefault="00C30753" w14:paraId="39BB531F"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type id="_x0000_t202" coordsize="21600,21600" o:spt="202" path="m,l,21600r21600,l21600,xe" w14:anchorId="1F6B915B">
              <v:stroke joinstyle="miter"/>
              <v:path gradientshapeok="t" o:connecttype="rect"/>
            </v:shapetype>
            <v:shape id="MSIPCMa3a54bf5b0225d2ae74b3b10" style="position:absolute;margin-left:0;margin-top:15pt;width:595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top" alt="&quot;&quot;"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v:textbox inset=",0,,0">
                <w:txbxContent>
                  <w:p w:rsidRPr="002369CA" w:rsidR="00C30753" w:rsidRDefault="00C30753" w14:paraId="39BB531F"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Pr="00917BB1" w:rsidR="00073F91" w:rsidP="008D113C" w:rsidRDefault="00073F91" w14:paraId="55935D43" w14:textId="77777777">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63872" behindDoc="0" locked="0" layoutInCell="0" allowOverlap="1" wp14:anchorId="3A375140" wp14:editId="7734DC83">
              <wp:simplePos x="0" y="0"/>
              <wp:positionH relativeFrom="page">
                <wp:posOffset>0</wp:posOffset>
              </wp:positionH>
              <wp:positionV relativeFrom="page">
                <wp:posOffset>190500</wp:posOffset>
              </wp:positionV>
              <wp:extent cx="7556500" cy="273050"/>
              <wp:effectExtent l="0" t="0" r="0" b="12700"/>
              <wp:wrapNone/>
              <wp:docPr id="493421065"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073F91" w:rsidRDefault="00073F91" w14:paraId="5F3C29FE"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type id="_x0000_t202" coordsize="21600,21600" o:spt="202" path="m,l,21600r21600,l21600,xe" w14:anchorId="3A375140">
              <v:stroke joinstyle="miter"/>
              <v:path gradientshapeok="t" o:connecttype="rect"/>
            </v:shapetype>
            <v:shape id="_x0000_s1032" style="position:absolute;left:0;text-align:left;margin-left:0;margin-top:15pt;width:595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top" alt="&quot;&quot;"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d6FwIAACsEAAAOAAAAZHJzL2Uyb0RvYy54bWysU99v2jAQfp+0/8Hy+0igQL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r/JZwjW73LbOh68CGhKNkjqkJaHF&#10;jhsfsCOmDimxmYG10jpRow1pSzq/wpK/RfCGNnjxMmu0QrfriKpKOh322EF1wvUc9Mx7y9cKZ9gw&#10;H56YQ6pxbJRveMRDasBecLYoqcH9/Js/5iMDGKWkRemU1P84MCco0d8McvN5PJ1GraUfNNxb727w&#10;mkNzB6jKMT4Qy5MZc4MeTOmgeUF1r2I3DDHDsWdJw2DehV7I+Dq4WK1SEqrKsrAxW8tj6YhZRPa5&#10;e2HOnuEPSNwDDOJixTsW+twe7dUhgFSJoohvj+YZdlRkYu78eqLk3/6nrMsbX/4C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A5knehcCAAArBAAADgAAAAAAAAAAAAAAAAAuAgAAZHJzL2Uyb0RvYy54bWxQSwECLQAUAAYACAAA&#10;ACEAjH9QWtsAAAAHAQAADwAAAAAAAAAAAAAAAABxBAAAZHJzL2Rvd25yZXYueG1sUEsFBgAAAAAE&#10;AAQA8wAAAHkFAAAAAA==&#10;">
              <v:textbox inset=",0,,0">
                <w:txbxContent>
                  <w:p w:rsidRPr="002369CA" w:rsidR="00073F91" w:rsidRDefault="00073F91" w14:paraId="5F3C29FE"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Pr>
        <w:color w:val="6E7571" w:themeColor="text2"/>
      </w:rPr>
      <w:t xml:space="preserve">SEPA </w:t>
    </w:r>
    <w:proofErr w:type="gramStart"/>
    <w:r>
      <w:rPr>
        <w:color w:val="6E7571" w:themeColor="text2"/>
      </w:rPr>
      <w:t xml:space="preserve">Guidance </w:t>
    </w:r>
    <w:r w:rsidRPr="005A20B7">
      <w:rPr>
        <w:color w:val="6E7571" w:themeColor="text2"/>
      </w:rPr>
      <w:t xml:space="preserve"> |</w:t>
    </w:r>
    <w:proofErr w:type="gramEnd"/>
    <w:r>
      <w:rPr>
        <w:color w:val="6E7571" w:themeColor="text2"/>
      </w:rPr>
      <w:t xml:space="preserve"> WST-G??? </w:t>
    </w:r>
    <w:r w:rsidRPr="005A20B7">
      <w:rPr>
        <w:color w:val="6E7571" w:themeColor="text2"/>
      </w:rPr>
      <w:t>|</w:t>
    </w:r>
    <w:r>
      <w:rPr>
        <w:color w:val="6E7571" w:themeColor="text2"/>
      </w:rPr>
      <w:t xml:space="preserve"> version 1 </w:t>
    </w:r>
    <w:r w:rsidRPr="005A20B7">
      <w:rPr>
        <w:color w:val="6E7571" w:themeColor="text2"/>
      </w:rPr>
      <w:t>|</w:t>
    </w:r>
    <w:r>
      <w:rPr>
        <w:color w:val="6E7571" w:themeColor="text2"/>
      </w:rPr>
      <w:t xml:space="preserve"> Issued MMM YYYY</w:t>
    </w:r>
  </w:p>
  <w:p w:rsidR="00073F91" w:rsidP="008D113C" w:rsidRDefault="00073F91" w14:paraId="116DBEA4" w14:textId="77777777">
    <w:pPr>
      <w:pStyle w:val="BodyText1"/>
      <w:jc w:val="right"/>
    </w:pPr>
    <w:r>
      <w:rPr>
        <w:noProof/>
      </w:rPr>
      <mc:AlternateContent>
        <mc:Choice Requires="wps">
          <w:drawing>
            <wp:anchor distT="0" distB="0" distL="114300" distR="114300" simplePos="0" relativeHeight="251662848" behindDoc="0" locked="0" layoutInCell="1" allowOverlap="1" wp14:anchorId="41FC8CBE" wp14:editId="270CA87A">
              <wp:simplePos x="0" y="0"/>
              <wp:positionH relativeFrom="column">
                <wp:posOffset>24080</wp:posOffset>
              </wp:positionH>
              <wp:positionV relativeFrom="paragraph">
                <wp:posOffset>88412</wp:posOffset>
              </wp:positionV>
              <wp:extent cx="9603789" cy="35169"/>
              <wp:effectExtent l="0" t="0" r="16510" b="22225"/>
              <wp:wrapNone/>
              <wp:docPr id="1543433532" name="Straight Connector 15434335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603789" cy="35169"/>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http://schemas.openxmlformats.org/drawingml/2006/main">
          <w:pict>
            <v:line id="Straight Connector 1543433532"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16574 [3205]" strokeweight=".5pt" from="1.9pt,6.95pt" to="758.1pt,9.7pt" w14:anchorId="25590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">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00EF03D8" w:rsidRDefault="00EF03D8" w14:paraId="3DC6B7B2" w14:textId="77777777">
    <w:pPr>
      <w:pStyle w:val="Header"/>
    </w:pPr>
    <w:r>
      <w:rPr>
        <w:noProof/>
      </w:rPr>
      <mc:AlternateContent>
        <mc:Choice Requires="wps">
          <w:drawing>
            <wp:anchor distT="0" distB="0" distL="0" distR="0" simplePos="0" relativeHeight="251651584" behindDoc="0" locked="0" layoutInCell="1" allowOverlap="1" wp14:anchorId="1A6FF0FF" wp14:editId="537D290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F03D8" w:rsidR="00EF03D8" w:rsidP="00EF03D8" w:rsidRDefault="00EF03D8" w14:paraId="3E019E11"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v:shapetype id="_x0000_t202" coordsize="21600,21600" o:spt="202" path="m,l,21600r21600,l21600,xe" w14:anchorId="1A6FF0FF">
              <v:stroke joinstyle="miter"/>
              <v:path gradientshapeok="t" o:connecttype="rect"/>
            </v:shapetype>
            <v:shape id="Text Box 6" style="position:absolute;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alt="&quot;&quot;"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v:textbox style="mso-fit-shape-to-text:t" inset="0,15pt,0,0">
                <w:txbxContent>
                  <w:p w:rsidRPr="00EF03D8" w:rsidR="00EF03D8" w:rsidP="00EF03D8" w:rsidRDefault="00EF03D8" w14:paraId="3E019E11"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Pr="00917BB1" w:rsidR="008D113C" w:rsidP="008D113C" w:rsidRDefault="00EF03D8" w14:paraId="13B7781A" w14:textId="0F7E1B02">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2608" behindDoc="0" locked="0" layoutInCell="1" allowOverlap="1" wp14:anchorId="039BA27A" wp14:editId="04B4C6E4">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F03D8" w:rsidR="00EF03D8" w:rsidP="00EF03D8" w:rsidRDefault="00EF03D8" w14:paraId="79D19CD9"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v:shapetype id="_x0000_t202" coordsize="21600,21600" o:spt="202" path="m,l,21600r21600,l21600,xe" w14:anchorId="039BA27A">
              <v:stroke joinstyle="miter"/>
              <v:path gradientshapeok="t" o:connecttype="rect"/>
            </v:shapetype>
            <v:shape id="Text Box 8"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alt="&quot;&quot;"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v:textbox style="mso-fit-shape-to-text:t" inset="0,15pt,0,0">
                <w:txbxContent>
                  <w:p w:rsidRPr="00EF03D8" w:rsidR="00EF03D8" w:rsidP="00EF03D8" w:rsidRDefault="00EF03D8" w14:paraId="79D19CD9"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v:textbox>
              <w10:wrap anchorx="page" anchory="page"/>
            </v:shape>
          </w:pict>
        </mc:Fallback>
      </mc:AlternateContent>
    </w:r>
    <w:r w:rsidR="00C30753">
      <w:rPr>
        <w:color w:val="6E7571" w:themeColor="text2"/>
      </w:rPr>
      <w:t>S</w:t>
    </w:r>
    <w:r w:rsidRPr="00C30753" w:rsidR="00C30753">
      <w:rPr>
        <w:color w:val="6E7571" w:themeColor="text2"/>
      </w:rPr>
      <w:t xml:space="preserve">EPA </w:t>
    </w:r>
    <w:proofErr w:type="gramStart"/>
    <w:r w:rsidRPr="00C30753" w:rsidR="00C30753">
      <w:rPr>
        <w:color w:val="6E7571" w:themeColor="text2"/>
      </w:rPr>
      <w:t>Guidance  |</w:t>
    </w:r>
    <w:proofErr w:type="gramEnd"/>
    <w:r w:rsidRPr="00C30753" w:rsidR="00C30753">
      <w:rPr>
        <w:color w:val="6E7571" w:themeColor="text2"/>
      </w:rPr>
      <w:t xml:space="preserve"> WST-G058 | version 2 | Issued MMM YYYY</w:t>
    </w:r>
  </w:p>
  <w:p w:rsidR="008D113C" w:rsidP="008D113C" w:rsidRDefault="007D441B" w14:paraId="0087338C" w14:textId="77777777">
    <w:pPr>
      <w:pStyle w:val="BodyText1"/>
      <w:jc w:val="right"/>
    </w:pPr>
    <w:r>
      <w:rPr>
        <w:noProof/>
      </w:rPr>
      <mc:AlternateContent>
        <mc:Choice Requires="wps">
          <w:drawing>
            <wp:anchor distT="0" distB="0" distL="114300" distR="114300" simplePos="0" relativeHeight="251648512" behindDoc="0" locked="0" layoutInCell="1" allowOverlap="1" wp14:anchorId="263EBE85" wp14:editId="501FB5C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clsh="http://schemas.microsoft.com/office/drawing/2020/classificationShape" xmlns:adec="http://schemas.microsoft.com/office/drawing/2017/decorative" xmlns:a="http://schemas.openxmlformats.org/drawingml/2006/main">
          <w:pict>
            <v:line id="Straight Connector 7" style="position:absolute;flip:x;z-index:2516485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0BE0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00EF03D8" w:rsidRDefault="00EF03D8" w14:paraId="228CD800" w14:textId="77777777">
    <w:pPr>
      <w:pStyle w:val="Header"/>
    </w:pPr>
    <w:r>
      <w:rPr>
        <w:noProof/>
      </w:rPr>
      <mc:AlternateContent>
        <mc:Choice Requires="wps">
          <w:drawing>
            <wp:anchor distT="0" distB="0" distL="0" distR="0" simplePos="0" relativeHeight="251650560" behindDoc="0" locked="0" layoutInCell="1" allowOverlap="1" wp14:anchorId="0BBB27DA" wp14:editId="25F491F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F03D8" w:rsidR="00EF03D8" w:rsidP="00EF03D8" w:rsidRDefault="00EF03D8" w14:paraId="0AA6D24E"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v:shapetype id="_x0000_t202" coordsize="21600,21600" o:spt="202" path="m,l,21600r21600,l21600,xe" w14:anchorId="0BBB27DA">
              <v:stroke joinstyle="miter"/>
              <v:path gradientshapeok="t" o:connecttype="rect"/>
            </v:shapetype>
            <v:shape id="Text Box 1" style="position:absolute;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alt="&quot;&quot;"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v:textbox style="mso-fit-shape-to-text:t" inset="0,15pt,0,0">
                <w:txbxContent>
                  <w:p w:rsidRPr="00EF03D8" w:rsidR="00EF03D8" w:rsidP="00EF03D8" w:rsidRDefault="00EF03D8" w14:paraId="0AA6D24E"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D76806"/>
    <w:multiLevelType w:val="hybridMultilevel"/>
    <w:tmpl w:val="D924E0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3B6EE9"/>
    <w:multiLevelType w:val="hybridMultilevel"/>
    <w:tmpl w:val="798EA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0016B0"/>
    <w:multiLevelType w:val="hybridMultilevel"/>
    <w:tmpl w:val="3D241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1D3259"/>
    <w:multiLevelType w:val="hybridMultilevel"/>
    <w:tmpl w:val="612AE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5C1647"/>
    <w:multiLevelType w:val="multilevel"/>
    <w:tmpl w:val="A790B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5"/>
  </w:num>
  <w:num w:numId="12" w16cid:durableId="381441349">
    <w:abstractNumId w:val="10"/>
  </w:num>
  <w:num w:numId="13" w16cid:durableId="1900898286">
    <w:abstractNumId w:val="16"/>
  </w:num>
  <w:num w:numId="14" w16cid:durableId="1832914775">
    <w:abstractNumId w:val="11"/>
  </w:num>
  <w:num w:numId="15" w16cid:durableId="1310940360">
    <w:abstractNumId w:val="12"/>
  </w:num>
  <w:num w:numId="16" w16cid:durableId="1278831628">
    <w:abstractNumId w:val="14"/>
  </w:num>
  <w:num w:numId="17" w16cid:durableId="1845196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53"/>
    <w:rsid w:val="000004E0"/>
    <w:rsid w:val="00000F92"/>
    <w:rsid w:val="00002630"/>
    <w:rsid w:val="00005BDA"/>
    <w:rsid w:val="00016523"/>
    <w:rsid w:val="000242AF"/>
    <w:rsid w:val="00032829"/>
    <w:rsid w:val="00035146"/>
    <w:rsid w:val="00037083"/>
    <w:rsid w:val="00040561"/>
    <w:rsid w:val="000425A8"/>
    <w:rsid w:val="00043901"/>
    <w:rsid w:val="0004430D"/>
    <w:rsid w:val="00045D34"/>
    <w:rsid w:val="00055101"/>
    <w:rsid w:val="00060917"/>
    <w:rsid w:val="000677FB"/>
    <w:rsid w:val="00070937"/>
    <w:rsid w:val="00073F91"/>
    <w:rsid w:val="000764CC"/>
    <w:rsid w:val="00085548"/>
    <w:rsid w:val="00087163"/>
    <w:rsid w:val="000908C2"/>
    <w:rsid w:val="00096CC1"/>
    <w:rsid w:val="0009747B"/>
    <w:rsid w:val="000A0D2D"/>
    <w:rsid w:val="000A2ADE"/>
    <w:rsid w:val="000A31DA"/>
    <w:rsid w:val="000A5AD8"/>
    <w:rsid w:val="000B4C9E"/>
    <w:rsid w:val="000B6F75"/>
    <w:rsid w:val="000B7559"/>
    <w:rsid w:val="000C1A4F"/>
    <w:rsid w:val="000D0AEB"/>
    <w:rsid w:val="000D21FB"/>
    <w:rsid w:val="000D78C9"/>
    <w:rsid w:val="000E0D15"/>
    <w:rsid w:val="000E6FF8"/>
    <w:rsid w:val="000F28D2"/>
    <w:rsid w:val="001009F0"/>
    <w:rsid w:val="00103F1B"/>
    <w:rsid w:val="00105F31"/>
    <w:rsid w:val="001063F0"/>
    <w:rsid w:val="00106E98"/>
    <w:rsid w:val="00116477"/>
    <w:rsid w:val="001168E4"/>
    <w:rsid w:val="001172AD"/>
    <w:rsid w:val="0012157F"/>
    <w:rsid w:val="00122E36"/>
    <w:rsid w:val="00123551"/>
    <w:rsid w:val="0012625D"/>
    <w:rsid w:val="00126339"/>
    <w:rsid w:val="0012694C"/>
    <w:rsid w:val="001330DA"/>
    <w:rsid w:val="00133688"/>
    <w:rsid w:val="00136EF8"/>
    <w:rsid w:val="00141802"/>
    <w:rsid w:val="0014359A"/>
    <w:rsid w:val="00150230"/>
    <w:rsid w:val="00152835"/>
    <w:rsid w:val="00153B35"/>
    <w:rsid w:val="0016053D"/>
    <w:rsid w:val="001608F8"/>
    <w:rsid w:val="00160CF1"/>
    <w:rsid w:val="0016492C"/>
    <w:rsid w:val="0017021B"/>
    <w:rsid w:val="00173146"/>
    <w:rsid w:val="00177E0D"/>
    <w:rsid w:val="001804EC"/>
    <w:rsid w:val="00186FF0"/>
    <w:rsid w:val="0019791A"/>
    <w:rsid w:val="001A1BAD"/>
    <w:rsid w:val="001A33FD"/>
    <w:rsid w:val="001A39B9"/>
    <w:rsid w:val="001A450A"/>
    <w:rsid w:val="001A4B19"/>
    <w:rsid w:val="001A550C"/>
    <w:rsid w:val="001B4537"/>
    <w:rsid w:val="001C1C12"/>
    <w:rsid w:val="001C23F5"/>
    <w:rsid w:val="001C57F1"/>
    <w:rsid w:val="001C7E65"/>
    <w:rsid w:val="001D609F"/>
    <w:rsid w:val="001E1521"/>
    <w:rsid w:val="001E6825"/>
    <w:rsid w:val="001E7D00"/>
    <w:rsid w:val="001F0A28"/>
    <w:rsid w:val="00202178"/>
    <w:rsid w:val="0020792F"/>
    <w:rsid w:val="00210A96"/>
    <w:rsid w:val="0021203B"/>
    <w:rsid w:val="00212B43"/>
    <w:rsid w:val="002131C2"/>
    <w:rsid w:val="002144A1"/>
    <w:rsid w:val="00216ED1"/>
    <w:rsid w:val="002207BC"/>
    <w:rsid w:val="00220B20"/>
    <w:rsid w:val="00227F25"/>
    <w:rsid w:val="002306B5"/>
    <w:rsid w:val="002314CA"/>
    <w:rsid w:val="0023159D"/>
    <w:rsid w:val="00232551"/>
    <w:rsid w:val="00236552"/>
    <w:rsid w:val="0024227B"/>
    <w:rsid w:val="00245AC5"/>
    <w:rsid w:val="0025089C"/>
    <w:rsid w:val="00251853"/>
    <w:rsid w:val="00251A76"/>
    <w:rsid w:val="00263024"/>
    <w:rsid w:val="002634C1"/>
    <w:rsid w:val="00264973"/>
    <w:rsid w:val="002659FA"/>
    <w:rsid w:val="00270D8D"/>
    <w:rsid w:val="0027291F"/>
    <w:rsid w:val="00277C97"/>
    <w:rsid w:val="00280F34"/>
    <w:rsid w:val="00281BB1"/>
    <w:rsid w:val="00286F2D"/>
    <w:rsid w:val="00290B1F"/>
    <w:rsid w:val="00290C74"/>
    <w:rsid w:val="00291755"/>
    <w:rsid w:val="00295B49"/>
    <w:rsid w:val="002A400F"/>
    <w:rsid w:val="002A7A67"/>
    <w:rsid w:val="002B1704"/>
    <w:rsid w:val="002B1B75"/>
    <w:rsid w:val="002B2D28"/>
    <w:rsid w:val="002B4BCD"/>
    <w:rsid w:val="002B50A7"/>
    <w:rsid w:val="002B5C69"/>
    <w:rsid w:val="002C2A8D"/>
    <w:rsid w:val="002C493E"/>
    <w:rsid w:val="002D4266"/>
    <w:rsid w:val="002D4907"/>
    <w:rsid w:val="002E0A94"/>
    <w:rsid w:val="002E0A96"/>
    <w:rsid w:val="002E1CD8"/>
    <w:rsid w:val="002E250E"/>
    <w:rsid w:val="002E2515"/>
    <w:rsid w:val="002E28E9"/>
    <w:rsid w:val="002E2A45"/>
    <w:rsid w:val="002E4B29"/>
    <w:rsid w:val="002F0D34"/>
    <w:rsid w:val="002F111C"/>
    <w:rsid w:val="002F772C"/>
    <w:rsid w:val="00300512"/>
    <w:rsid w:val="0030096D"/>
    <w:rsid w:val="003010E9"/>
    <w:rsid w:val="00306816"/>
    <w:rsid w:val="00307A5D"/>
    <w:rsid w:val="00310F8D"/>
    <w:rsid w:val="00311EC1"/>
    <w:rsid w:val="003123CC"/>
    <w:rsid w:val="00312E33"/>
    <w:rsid w:val="003172FC"/>
    <w:rsid w:val="00317618"/>
    <w:rsid w:val="003205DF"/>
    <w:rsid w:val="003225CD"/>
    <w:rsid w:val="00322CF8"/>
    <w:rsid w:val="00327EC9"/>
    <w:rsid w:val="00331430"/>
    <w:rsid w:val="003344A3"/>
    <w:rsid w:val="00334E0B"/>
    <w:rsid w:val="00335628"/>
    <w:rsid w:val="00335DE0"/>
    <w:rsid w:val="0034637F"/>
    <w:rsid w:val="0035187F"/>
    <w:rsid w:val="0035193B"/>
    <w:rsid w:val="0035282E"/>
    <w:rsid w:val="00353005"/>
    <w:rsid w:val="003556D0"/>
    <w:rsid w:val="00357AED"/>
    <w:rsid w:val="00366B8B"/>
    <w:rsid w:val="0037001E"/>
    <w:rsid w:val="00372C87"/>
    <w:rsid w:val="003732EA"/>
    <w:rsid w:val="00376C2E"/>
    <w:rsid w:val="00377E34"/>
    <w:rsid w:val="00380DAC"/>
    <w:rsid w:val="0038179E"/>
    <w:rsid w:val="00381A44"/>
    <w:rsid w:val="00382BF8"/>
    <w:rsid w:val="00383643"/>
    <w:rsid w:val="003858AA"/>
    <w:rsid w:val="003858D1"/>
    <w:rsid w:val="003938E4"/>
    <w:rsid w:val="003A05AF"/>
    <w:rsid w:val="003A0B97"/>
    <w:rsid w:val="003A2BD3"/>
    <w:rsid w:val="003B08A0"/>
    <w:rsid w:val="003B0B92"/>
    <w:rsid w:val="003B24F6"/>
    <w:rsid w:val="003B42EF"/>
    <w:rsid w:val="003B51CD"/>
    <w:rsid w:val="003C46DD"/>
    <w:rsid w:val="003C5DE5"/>
    <w:rsid w:val="003C6A3D"/>
    <w:rsid w:val="003D1888"/>
    <w:rsid w:val="003D1ABF"/>
    <w:rsid w:val="003E6113"/>
    <w:rsid w:val="003F17B5"/>
    <w:rsid w:val="003F5384"/>
    <w:rsid w:val="00402203"/>
    <w:rsid w:val="00402F70"/>
    <w:rsid w:val="00403AAD"/>
    <w:rsid w:val="0040475E"/>
    <w:rsid w:val="00404B01"/>
    <w:rsid w:val="00405AA2"/>
    <w:rsid w:val="00406243"/>
    <w:rsid w:val="004073AB"/>
    <w:rsid w:val="004073BC"/>
    <w:rsid w:val="00411E98"/>
    <w:rsid w:val="0041560E"/>
    <w:rsid w:val="00416CEF"/>
    <w:rsid w:val="0042052C"/>
    <w:rsid w:val="00423D24"/>
    <w:rsid w:val="00426ACA"/>
    <w:rsid w:val="00427687"/>
    <w:rsid w:val="004304F0"/>
    <w:rsid w:val="004337DD"/>
    <w:rsid w:val="00434958"/>
    <w:rsid w:val="00434E67"/>
    <w:rsid w:val="00436197"/>
    <w:rsid w:val="0044292B"/>
    <w:rsid w:val="00444AA1"/>
    <w:rsid w:val="00445775"/>
    <w:rsid w:val="00455E9A"/>
    <w:rsid w:val="004563FA"/>
    <w:rsid w:val="00457D20"/>
    <w:rsid w:val="00461859"/>
    <w:rsid w:val="00466BF6"/>
    <w:rsid w:val="00471910"/>
    <w:rsid w:val="004723DC"/>
    <w:rsid w:val="004856B0"/>
    <w:rsid w:val="004900E2"/>
    <w:rsid w:val="0049015C"/>
    <w:rsid w:val="0049623D"/>
    <w:rsid w:val="004A024E"/>
    <w:rsid w:val="004A1D05"/>
    <w:rsid w:val="004A5616"/>
    <w:rsid w:val="004A633D"/>
    <w:rsid w:val="004B2B05"/>
    <w:rsid w:val="004B3B61"/>
    <w:rsid w:val="004B4CEB"/>
    <w:rsid w:val="004B5367"/>
    <w:rsid w:val="004B5DFE"/>
    <w:rsid w:val="004C02C4"/>
    <w:rsid w:val="004D07EB"/>
    <w:rsid w:val="004D2A44"/>
    <w:rsid w:val="004D435E"/>
    <w:rsid w:val="004D7E1D"/>
    <w:rsid w:val="004E3A65"/>
    <w:rsid w:val="004E5C85"/>
    <w:rsid w:val="004E7FFD"/>
    <w:rsid w:val="004F0B90"/>
    <w:rsid w:val="004F2415"/>
    <w:rsid w:val="004F6447"/>
    <w:rsid w:val="00503DAD"/>
    <w:rsid w:val="00507A0A"/>
    <w:rsid w:val="00512C76"/>
    <w:rsid w:val="00512E74"/>
    <w:rsid w:val="0051621A"/>
    <w:rsid w:val="00517AE2"/>
    <w:rsid w:val="005206EA"/>
    <w:rsid w:val="00522579"/>
    <w:rsid w:val="0052298B"/>
    <w:rsid w:val="005255E4"/>
    <w:rsid w:val="0052625F"/>
    <w:rsid w:val="00527555"/>
    <w:rsid w:val="00530CF6"/>
    <w:rsid w:val="00532C38"/>
    <w:rsid w:val="00534BE7"/>
    <w:rsid w:val="00535396"/>
    <w:rsid w:val="005408A5"/>
    <w:rsid w:val="00551989"/>
    <w:rsid w:val="00561CB7"/>
    <w:rsid w:val="0056314E"/>
    <w:rsid w:val="00570389"/>
    <w:rsid w:val="0057468B"/>
    <w:rsid w:val="0057522D"/>
    <w:rsid w:val="00575BBE"/>
    <w:rsid w:val="00575E48"/>
    <w:rsid w:val="0057718C"/>
    <w:rsid w:val="005775C1"/>
    <w:rsid w:val="00580461"/>
    <w:rsid w:val="00580921"/>
    <w:rsid w:val="005826B7"/>
    <w:rsid w:val="00583A3D"/>
    <w:rsid w:val="00585F1B"/>
    <w:rsid w:val="00587F71"/>
    <w:rsid w:val="00591ED5"/>
    <w:rsid w:val="00592E6A"/>
    <w:rsid w:val="00595802"/>
    <w:rsid w:val="0059714B"/>
    <w:rsid w:val="005978CA"/>
    <w:rsid w:val="005A0970"/>
    <w:rsid w:val="005A355E"/>
    <w:rsid w:val="005A55A3"/>
    <w:rsid w:val="005B07B4"/>
    <w:rsid w:val="005B1FA0"/>
    <w:rsid w:val="005B2140"/>
    <w:rsid w:val="005B71B6"/>
    <w:rsid w:val="005C1653"/>
    <w:rsid w:val="005C16C8"/>
    <w:rsid w:val="005C270C"/>
    <w:rsid w:val="005C3CE2"/>
    <w:rsid w:val="005C42F7"/>
    <w:rsid w:val="005C4948"/>
    <w:rsid w:val="005C4C2F"/>
    <w:rsid w:val="005C5DEF"/>
    <w:rsid w:val="005D1213"/>
    <w:rsid w:val="005D19DC"/>
    <w:rsid w:val="005D24A8"/>
    <w:rsid w:val="005D327F"/>
    <w:rsid w:val="005D7196"/>
    <w:rsid w:val="005E01D0"/>
    <w:rsid w:val="005E5230"/>
    <w:rsid w:val="005E59CA"/>
    <w:rsid w:val="005E6D31"/>
    <w:rsid w:val="005E6D8C"/>
    <w:rsid w:val="005F1832"/>
    <w:rsid w:val="005F280E"/>
    <w:rsid w:val="005F2B1A"/>
    <w:rsid w:val="005F335C"/>
    <w:rsid w:val="0060554D"/>
    <w:rsid w:val="00610757"/>
    <w:rsid w:val="006116DF"/>
    <w:rsid w:val="00612B21"/>
    <w:rsid w:val="00616117"/>
    <w:rsid w:val="00620BD0"/>
    <w:rsid w:val="006243FF"/>
    <w:rsid w:val="0063304B"/>
    <w:rsid w:val="0063426E"/>
    <w:rsid w:val="00634CCD"/>
    <w:rsid w:val="0064000A"/>
    <w:rsid w:val="006403EC"/>
    <w:rsid w:val="00643ED5"/>
    <w:rsid w:val="00644225"/>
    <w:rsid w:val="0065477D"/>
    <w:rsid w:val="00655F0C"/>
    <w:rsid w:val="00656418"/>
    <w:rsid w:val="00657A04"/>
    <w:rsid w:val="00660C79"/>
    <w:rsid w:val="00662AD5"/>
    <w:rsid w:val="006779C1"/>
    <w:rsid w:val="0068159D"/>
    <w:rsid w:val="006817E1"/>
    <w:rsid w:val="00681B65"/>
    <w:rsid w:val="0068229C"/>
    <w:rsid w:val="006829CA"/>
    <w:rsid w:val="00685F0E"/>
    <w:rsid w:val="00686EC6"/>
    <w:rsid w:val="00693258"/>
    <w:rsid w:val="00694B32"/>
    <w:rsid w:val="006A1239"/>
    <w:rsid w:val="006A2D46"/>
    <w:rsid w:val="006A4A08"/>
    <w:rsid w:val="006A4DD5"/>
    <w:rsid w:val="006A5BDB"/>
    <w:rsid w:val="006A5DB5"/>
    <w:rsid w:val="006B4212"/>
    <w:rsid w:val="006B517A"/>
    <w:rsid w:val="006C39A6"/>
    <w:rsid w:val="006C7671"/>
    <w:rsid w:val="006D05CD"/>
    <w:rsid w:val="006D0F4A"/>
    <w:rsid w:val="006D16CE"/>
    <w:rsid w:val="006D4F16"/>
    <w:rsid w:val="006D567F"/>
    <w:rsid w:val="006E0BD6"/>
    <w:rsid w:val="006E1F4F"/>
    <w:rsid w:val="006E2081"/>
    <w:rsid w:val="006E77D4"/>
    <w:rsid w:val="006F2A3F"/>
    <w:rsid w:val="006F7F70"/>
    <w:rsid w:val="00702FCC"/>
    <w:rsid w:val="00703A2E"/>
    <w:rsid w:val="007055A2"/>
    <w:rsid w:val="007071AE"/>
    <w:rsid w:val="00707500"/>
    <w:rsid w:val="007110EE"/>
    <w:rsid w:val="007116A4"/>
    <w:rsid w:val="007119F8"/>
    <w:rsid w:val="00717EAC"/>
    <w:rsid w:val="00726540"/>
    <w:rsid w:val="00744920"/>
    <w:rsid w:val="00746C25"/>
    <w:rsid w:val="00751581"/>
    <w:rsid w:val="00753AF0"/>
    <w:rsid w:val="00755024"/>
    <w:rsid w:val="00756BB0"/>
    <w:rsid w:val="007604A8"/>
    <w:rsid w:val="00760C04"/>
    <w:rsid w:val="0076142C"/>
    <w:rsid w:val="007649E7"/>
    <w:rsid w:val="0076690D"/>
    <w:rsid w:val="00766C73"/>
    <w:rsid w:val="00770EB9"/>
    <w:rsid w:val="007723C4"/>
    <w:rsid w:val="00783144"/>
    <w:rsid w:val="0078685F"/>
    <w:rsid w:val="00791EBB"/>
    <w:rsid w:val="00793794"/>
    <w:rsid w:val="007956B3"/>
    <w:rsid w:val="00797A64"/>
    <w:rsid w:val="007A1FB8"/>
    <w:rsid w:val="007A4BF9"/>
    <w:rsid w:val="007A61E7"/>
    <w:rsid w:val="007A72F2"/>
    <w:rsid w:val="007B1173"/>
    <w:rsid w:val="007B2B7F"/>
    <w:rsid w:val="007B38BA"/>
    <w:rsid w:val="007B454F"/>
    <w:rsid w:val="007B4AA4"/>
    <w:rsid w:val="007B4CA8"/>
    <w:rsid w:val="007B6514"/>
    <w:rsid w:val="007C3F12"/>
    <w:rsid w:val="007C3FCA"/>
    <w:rsid w:val="007C44AD"/>
    <w:rsid w:val="007D0484"/>
    <w:rsid w:val="007D0987"/>
    <w:rsid w:val="007D441B"/>
    <w:rsid w:val="007D75CF"/>
    <w:rsid w:val="007E102A"/>
    <w:rsid w:val="007E12FE"/>
    <w:rsid w:val="007E476A"/>
    <w:rsid w:val="007E7A3E"/>
    <w:rsid w:val="007F108C"/>
    <w:rsid w:val="00801105"/>
    <w:rsid w:val="00801563"/>
    <w:rsid w:val="0080252A"/>
    <w:rsid w:val="00806746"/>
    <w:rsid w:val="00806C28"/>
    <w:rsid w:val="00806DAD"/>
    <w:rsid w:val="00807FB2"/>
    <w:rsid w:val="008106A5"/>
    <w:rsid w:val="008164F2"/>
    <w:rsid w:val="008170B9"/>
    <w:rsid w:val="00821B5F"/>
    <w:rsid w:val="00821E52"/>
    <w:rsid w:val="008222C7"/>
    <w:rsid w:val="0082296D"/>
    <w:rsid w:val="00824191"/>
    <w:rsid w:val="0082432A"/>
    <w:rsid w:val="00824579"/>
    <w:rsid w:val="00827CD6"/>
    <w:rsid w:val="00831D9D"/>
    <w:rsid w:val="00834818"/>
    <w:rsid w:val="00842714"/>
    <w:rsid w:val="00843071"/>
    <w:rsid w:val="00843560"/>
    <w:rsid w:val="008449CA"/>
    <w:rsid w:val="008450CE"/>
    <w:rsid w:val="00845A5E"/>
    <w:rsid w:val="0085046D"/>
    <w:rsid w:val="00852591"/>
    <w:rsid w:val="0086113D"/>
    <w:rsid w:val="00861B46"/>
    <w:rsid w:val="00863C77"/>
    <w:rsid w:val="00865FA7"/>
    <w:rsid w:val="00874E84"/>
    <w:rsid w:val="00881A4D"/>
    <w:rsid w:val="00884CB9"/>
    <w:rsid w:val="008866DF"/>
    <w:rsid w:val="008878A5"/>
    <w:rsid w:val="0089006F"/>
    <w:rsid w:val="00891688"/>
    <w:rsid w:val="00892F42"/>
    <w:rsid w:val="00895937"/>
    <w:rsid w:val="008A4358"/>
    <w:rsid w:val="008A56A2"/>
    <w:rsid w:val="008B0A83"/>
    <w:rsid w:val="008B0EEC"/>
    <w:rsid w:val="008B0F5B"/>
    <w:rsid w:val="008B6E16"/>
    <w:rsid w:val="008C035E"/>
    <w:rsid w:val="008C1A73"/>
    <w:rsid w:val="008C33CA"/>
    <w:rsid w:val="008C3D85"/>
    <w:rsid w:val="008C4585"/>
    <w:rsid w:val="008D0D24"/>
    <w:rsid w:val="008D113C"/>
    <w:rsid w:val="008D376F"/>
    <w:rsid w:val="008D4ABC"/>
    <w:rsid w:val="008D52E6"/>
    <w:rsid w:val="008D5545"/>
    <w:rsid w:val="008E0D04"/>
    <w:rsid w:val="008E41F0"/>
    <w:rsid w:val="008E7109"/>
    <w:rsid w:val="008E7B0C"/>
    <w:rsid w:val="008F0711"/>
    <w:rsid w:val="008F54D6"/>
    <w:rsid w:val="008F568D"/>
    <w:rsid w:val="008F6A02"/>
    <w:rsid w:val="009003C5"/>
    <w:rsid w:val="009066EF"/>
    <w:rsid w:val="00911003"/>
    <w:rsid w:val="00914FB0"/>
    <w:rsid w:val="00917BB1"/>
    <w:rsid w:val="009209DF"/>
    <w:rsid w:val="009279CE"/>
    <w:rsid w:val="00932687"/>
    <w:rsid w:val="00943363"/>
    <w:rsid w:val="009451D1"/>
    <w:rsid w:val="0095245F"/>
    <w:rsid w:val="0095452C"/>
    <w:rsid w:val="00960CB6"/>
    <w:rsid w:val="00961D82"/>
    <w:rsid w:val="00961E03"/>
    <w:rsid w:val="00963F38"/>
    <w:rsid w:val="00967045"/>
    <w:rsid w:val="009750F6"/>
    <w:rsid w:val="00975C66"/>
    <w:rsid w:val="00975D21"/>
    <w:rsid w:val="00980531"/>
    <w:rsid w:val="00983C68"/>
    <w:rsid w:val="00987AA0"/>
    <w:rsid w:val="00991406"/>
    <w:rsid w:val="00992CFD"/>
    <w:rsid w:val="009964BB"/>
    <w:rsid w:val="00996955"/>
    <w:rsid w:val="009A0A18"/>
    <w:rsid w:val="009A240D"/>
    <w:rsid w:val="009B032C"/>
    <w:rsid w:val="009B056B"/>
    <w:rsid w:val="009B721A"/>
    <w:rsid w:val="009B798A"/>
    <w:rsid w:val="009B79D1"/>
    <w:rsid w:val="009C1418"/>
    <w:rsid w:val="009C2F4C"/>
    <w:rsid w:val="009C56A1"/>
    <w:rsid w:val="009C7E56"/>
    <w:rsid w:val="009D111F"/>
    <w:rsid w:val="009D15AB"/>
    <w:rsid w:val="009D76DB"/>
    <w:rsid w:val="009E0416"/>
    <w:rsid w:val="009E4E95"/>
    <w:rsid w:val="009E530E"/>
    <w:rsid w:val="009E757D"/>
    <w:rsid w:val="009F1E87"/>
    <w:rsid w:val="009F2EF7"/>
    <w:rsid w:val="009F3FF3"/>
    <w:rsid w:val="009F4C9B"/>
    <w:rsid w:val="009F536C"/>
    <w:rsid w:val="009F5DEE"/>
    <w:rsid w:val="009F6FDC"/>
    <w:rsid w:val="009F786A"/>
    <w:rsid w:val="00A00E1D"/>
    <w:rsid w:val="00A01830"/>
    <w:rsid w:val="00A02B17"/>
    <w:rsid w:val="00A07CC6"/>
    <w:rsid w:val="00A124CA"/>
    <w:rsid w:val="00A153A4"/>
    <w:rsid w:val="00A255CF"/>
    <w:rsid w:val="00A31707"/>
    <w:rsid w:val="00A35201"/>
    <w:rsid w:val="00A36286"/>
    <w:rsid w:val="00A44328"/>
    <w:rsid w:val="00A45EAA"/>
    <w:rsid w:val="00A47FB0"/>
    <w:rsid w:val="00A52C13"/>
    <w:rsid w:val="00A52F4D"/>
    <w:rsid w:val="00A56D7D"/>
    <w:rsid w:val="00A667DE"/>
    <w:rsid w:val="00A761B8"/>
    <w:rsid w:val="00A76A63"/>
    <w:rsid w:val="00A82A51"/>
    <w:rsid w:val="00A844D9"/>
    <w:rsid w:val="00A918DE"/>
    <w:rsid w:val="00A9349C"/>
    <w:rsid w:val="00A95788"/>
    <w:rsid w:val="00A9686F"/>
    <w:rsid w:val="00A97FBB"/>
    <w:rsid w:val="00AA1A04"/>
    <w:rsid w:val="00AA46B0"/>
    <w:rsid w:val="00AA480D"/>
    <w:rsid w:val="00AB1141"/>
    <w:rsid w:val="00AB1D85"/>
    <w:rsid w:val="00AB38DA"/>
    <w:rsid w:val="00AB3CDF"/>
    <w:rsid w:val="00AB6923"/>
    <w:rsid w:val="00AC1871"/>
    <w:rsid w:val="00AC1C2F"/>
    <w:rsid w:val="00AC71B3"/>
    <w:rsid w:val="00AD02B4"/>
    <w:rsid w:val="00AD3216"/>
    <w:rsid w:val="00AE068C"/>
    <w:rsid w:val="00AE1840"/>
    <w:rsid w:val="00AE3FF3"/>
    <w:rsid w:val="00AE49D8"/>
    <w:rsid w:val="00AE7C3D"/>
    <w:rsid w:val="00AF0EE6"/>
    <w:rsid w:val="00AF1804"/>
    <w:rsid w:val="00AF1855"/>
    <w:rsid w:val="00AF657A"/>
    <w:rsid w:val="00B00402"/>
    <w:rsid w:val="00B00DB5"/>
    <w:rsid w:val="00B03A38"/>
    <w:rsid w:val="00B05CA5"/>
    <w:rsid w:val="00B06536"/>
    <w:rsid w:val="00B15584"/>
    <w:rsid w:val="00B229CB"/>
    <w:rsid w:val="00B24925"/>
    <w:rsid w:val="00B26052"/>
    <w:rsid w:val="00B27823"/>
    <w:rsid w:val="00B27BF9"/>
    <w:rsid w:val="00B328E4"/>
    <w:rsid w:val="00B34DF1"/>
    <w:rsid w:val="00B35AE6"/>
    <w:rsid w:val="00B35E1D"/>
    <w:rsid w:val="00B3639F"/>
    <w:rsid w:val="00B371A9"/>
    <w:rsid w:val="00B40F1F"/>
    <w:rsid w:val="00B437DA"/>
    <w:rsid w:val="00B43B56"/>
    <w:rsid w:val="00B46E48"/>
    <w:rsid w:val="00B52FD7"/>
    <w:rsid w:val="00B54CF4"/>
    <w:rsid w:val="00B555BF"/>
    <w:rsid w:val="00B56776"/>
    <w:rsid w:val="00B600EA"/>
    <w:rsid w:val="00B61A74"/>
    <w:rsid w:val="00B62B77"/>
    <w:rsid w:val="00B75673"/>
    <w:rsid w:val="00B766CE"/>
    <w:rsid w:val="00B766D3"/>
    <w:rsid w:val="00B76E6F"/>
    <w:rsid w:val="00B82336"/>
    <w:rsid w:val="00B85370"/>
    <w:rsid w:val="00B91BB2"/>
    <w:rsid w:val="00BA2057"/>
    <w:rsid w:val="00BA6646"/>
    <w:rsid w:val="00BB100D"/>
    <w:rsid w:val="00BB516A"/>
    <w:rsid w:val="00BC2FF5"/>
    <w:rsid w:val="00BC5274"/>
    <w:rsid w:val="00BC5343"/>
    <w:rsid w:val="00BD0781"/>
    <w:rsid w:val="00BD1DFA"/>
    <w:rsid w:val="00BD2A98"/>
    <w:rsid w:val="00BD399D"/>
    <w:rsid w:val="00BD5075"/>
    <w:rsid w:val="00BE1FDF"/>
    <w:rsid w:val="00BE2352"/>
    <w:rsid w:val="00BE4411"/>
    <w:rsid w:val="00BE4CBC"/>
    <w:rsid w:val="00BF2948"/>
    <w:rsid w:val="00BF2ACA"/>
    <w:rsid w:val="00C0348C"/>
    <w:rsid w:val="00C04C8C"/>
    <w:rsid w:val="00C05B88"/>
    <w:rsid w:val="00C104F8"/>
    <w:rsid w:val="00C10507"/>
    <w:rsid w:val="00C11095"/>
    <w:rsid w:val="00C11CE5"/>
    <w:rsid w:val="00C1209A"/>
    <w:rsid w:val="00C13E2E"/>
    <w:rsid w:val="00C2441E"/>
    <w:rsid w:val="00C247B8"/>
    <w:rsid w:val="00C30247"/>
    <w:rsid w:val="00C30753"/>
    <w:rsid w:val="00C3081A"/>
    <w:rsid w:val="00C31122"/>
    <w:rsid w:val="00C32659"/>
    <w:rsid w:val="00C33091"/>
    <w:rsid w:val="00C351A5"/>
    <w:rsid w:val="00C40DF0"/>
    <w:rsid w:val="00C437A0"/>
    <w:rsid w:val="00C46617"/>
    <w:rsid w:val="00C46863"/>
    <w:rsid w:val="00C469AB"/>
    <w:rsid w:val="00C51026"/>
    <w:rsid w:val="00C569B9"/>
    <w:rsid w:val="00C65EF9"/>
    <w:rsid w:val="00C777FD"/>
    <w:rsid w:val="00C804C2"/>
    <w:rsid w:val="00C82D70"/>
    <w:rsid w:val="00C84912"/>
    <w:rsid w:val="00C9061C"/>
    <w:rsid w:val="00C90989"/>
    <w:rsid w:val="00C92D95"/>
    <w:rsid w:val="00C945F6"/>
    <w:rsid w:val="00C96F78"/>
    <w:rsid w:val="00CA141F"/>
    <w:rsid w:val="00CA330F"/>
    <w:rsid w:val="00CA4A91"/>
    <w:rsid w:val="00CA58E2"/>
    <w:rsid w:val="00CA5E12"/>
    <w:rsid w:val="00CA74E9"/>
    <w:rsid w:val="00CA7B37"/>
    <w:rsid w:val="00CB0184"/>
    <w:rsid w:val="00CB17BC"/>
    <w:rsid w:val="00CB3E5F"/>
    <w:rsid w:val="00CB50EB"/>
    <w:rsid w:val="00CB52A6"/>
    <w:rsid w:val="00CC0C35"/>
    <w:rsid w:val="00CC17A6"/>
    <w:rsid w:val="00CC4C7C"/>
    <w:rsid w:val="00CC7CC9"/>
    <w:rsid w:val="00CD10A0"/>
    <w:rsid w:val="00CD154F"/>
    <w:rsid w:val="00CD55D8"/>
    <w:rsid w:val="00CD5D7D"/>
    <w:rsid w:val="00CD63C5"/>
    <w:rsid w:val="00CD6555"/>
    <w:rsid w:val="00CD6AC0"/>
    <w:rsid w:val="00CD7D40"/>
    <w:rsid w:val="00CE0472"/>
    <w:rsid w:val="00CE4319"/>
    <w:rsid w:val="00CE4EE5"/>
    <w:rsid w:val="00CE6045"/>
    <w:rsid w:val="00CF0127"/>
    <w:rsid w:val="00CF2CD5"/>
    <w:rsid w:val="00CF2D94"/>
    <w:rsid w:val="00CF515E"/>
    <w:rsid w:val="00CF7AEB"/>
    <w:rsid w:val="00CF7EFB"/>
    <w:rsid w:val="00D0017B"/>
    <w:rsid w:val="00D02006"/>
    <w:rsid w:val="00D1192A"/>
    <w:rsid w:val="00D11E67"/>
    <w:rsid w:val="00D169E3"/>
    <w:rsid w:val="00D2266C"/>
    <w:rsid w:val="00D247EC"/>
    <w:rsid w:val="00D251E5"/>
    <w:rsid w:val="00D2793D"/>
    <w:rsid w:val="00D35448"/>
    <w:rsid w:val="00D366C4"/>
    <w:rsid w:val="00D41E22"/>
    <w:rsid w:val="00D43A6C"/>
    <w:rsid w:val="00D44618"/>
    <w:rsid w:val="00D4595C"/>
    <w:rsid w:val="00D5534B"/>
    <w:rsid w:val="00D5546B"/>
    <w:rsid w:val="00D55C1D"/>
    <w:rsid w:val="00D61EB0"/>
    <w:rsid w:val="00D6253C"/>
    <w:rsid w:val="00D64AA6"/>
    <w:rsid w:val="00D663DB"/>
    <w:rsid w:val="00D6784F"/>
    <w:rsid w:val="00D7040A"/>
    <w:rsid w:val="00D72E0F"/>
    <w:rsid w:val="00D750D2"/>
    <w:rsid w:val="00D756F2"/>
    <w:rsid w:val="00D7623B"/>
    <w:rsid w:val="00D770EB"/>
    <w:rsid w:val="00D77758"/>
    <w:rsid w:val="00D868BD"/>
    <w:rsid w:val="00D90E64"/>
    <w:rsid w:val="00DA1526"/>
    <w:rsid w:val="00DA220A"/>
    <w:rsid w:val="00DA510F"/>
    <w:rsid w:val="00DC143C"/>
    <w:rsid w:val="00DC19B8"/>
    <w:rsid w:val="00DC301B"/>
    <w:rsid w:val="00DC6C88"/>
    <w:rsid w:val="00DD0179"/>
    <w:rsid w:val="00DD08CF"/>
    <w:rsid w:val="00DD0EA8"/>
    <w:rsid w:val="00DD24FD"/>
    <w:rsid w:val="00DD7A3B"/>
    <w:rsid w:val="00DE03BB"/>
    <w:rsid w:val="00DE628F"/>
    <w:rsid w:val="00DF448A"/>
    <w:rsid w:val="00DF5D21"/>
    <w:rsid w:val="00E00108"/>
    <w:rsid w:val="00E00670"/>
    <w:rsid w:val="00E02569"/>
    <w:rsid w:val="00E05DB8"/>
    <w:rsid w:val="00E06565"/>
    <w:rsid w:val="00E11A56"/>
    <w:rsid w:val="00E2385D"/>
    <w:rsid w:val="00E26FDE"/>
    <w:rsid w:val="00E31D5C"/>
    <w:rsid w:val="00E32796"/>
    <w:rsid w:val="00E336EB"/>
    <w:rsid w:val="00E60B07"/>
    <w:rsid w:val="00E622FE"/>
    <w:rsid w:val="00E63B16"/>
    <w:rsid w:val="00E66514"/>
    <w:rsid w:val="00E67524"/>
    <w:rsid w:val="00E67C75"/>
    <w:rsid w:val="00E72038"/>
    <w:rsid w:val="00E73673"/>
    <w:rsid w:val="00E73A1C"/>
    <w:rsid w:val="00E753E8"/>
    <w:rsid w:val="00E76600"/>
    <w:rsid w:val="00E86904"/>
    <w:rsid w:val="00E8699A"/>
    <w:rsid w:val="00E86B2A"/>
    <w:rsid w:val="00E91BFF"/>
    <w:rsid w:val="00E95C23"/>
    <w:rsid w:val="00EA3E88"/>
    <w:rsid w:val="00EA4106"/>
    <w:rsid w:val="00EB050D"/>
    <w:rsid w:val="00EB0FB3"/>
    <w:rsid w:val="00EB1D8B"/>
    <w:rsid w:val="00EB6A3F"/>
    <w:rsid w:val="00EB7C77"/>
    <w:rsid w:val="00EC6A73"/>
    <w:rsid w:val="00EC7CBB"/>
    <w:rsid w:val="00ED0852"/>
    <w:rsid w:val="00ED176A"/>
    <w:rsid w:val="00ED607E"/>
    <w:rsid w:val="00ED7A91"/>
    <w:rsid w:val="00EE4501"/>
    <w:rsid w:val="00EE4DA9"/>
    <w:rsid w:val="00EE4FCD"/>
    <w:rsid w:val="00EF03D8"/>
    <w:rsid w:val="00EF06F6"/>
    <w:rsid w:val="00EF1879"/>
    <w:rsid w:val="00EF58E5"/>
    <w:rsid w:val="00EF5903"/>
    <w:rsid w:val="00F05D1A"/>
    <w:rsid w:val="00F07048"/>
    <w:rsid w:val="00F07326"/>
    <w:rsid w:val="00F07384"/>
    <w:rsid w:val="00F11A44"/>
    <w:rsid w:val="00F14765"/>
    <w:rsid w:val="00F224E7"/>
    <w:rsid w:val="00F335EC"/>
    <w:rsid w:val="00F33BA9"/>
    <w:rsid w:val="00F34A43"/>
    <w:rsid w:val="00F369FA"/>
    <w:rsid w:val="00F437E2"/>
    <w:rsid w:val="00F477F2"/>
    <w:rsid w:val="00F51898"/>
    <w:rsid w:val="00F55E15"/>
    <w:rsid w:val="00F5621E"/>
    <w:rsid w:val="00F610E5"/>
    <w:rsid w:val="00F63843"/>
    <w:rsid w:val="00F7003F"/>
    <w:rsid w:val="00F72274"/>
    <w:rsid w:val="00F7439C"/>
    <w:rsid w:val="00F770B0"/>
    <w:rsid w:val="00F770E3"/>
    <w:rsid w:val="00F8266D"/>
    <w:rsid w:val="00F83972"/>
    <w:rsid w:val="00F85AB2"/>
    <w:rsid w:val="00F869E8"/>
    <w:rsid w:val="00F9023D"/>
    <w:rsid w:val="00F90B40"/>
    <w:rsid w:val="00F90D88"/>
    <w:rsid w:val="00F962B2"/>
    <w:rsid w:val="00F97F01"/>
    <w:rsid w:val="00FA097C"/>
    <w:rsid w:val="00FA6D96"/>
    <w:rsid w:val="00FB470D"/>
    <w:rsid w:val="00FB4796"/>
    <w:rsid w:val="00FC4A89"/>
    <w:rsid w:val="00FC4DDE"/>
    <w:rsid w:val="00FD1BA2"/>
    <w:rsid w:val="00FD2881"/>
    <w:rsid w:val="00FD354C"/>
    <w:rsid w:val="00FD7B4A"/>
    <w:rsid w:val="00FE1ADE"/>
    <w:rsid w:val="00FE2E41"/>
    <w:rsid w:val="00FE325E"/>
    <w:rsid w:val="00FE7A32"/>
    <w:rsid w:val="00FF2F70"/>
    <w:rsid w:val="00FF3DD6"/>
    <w:rsid w:val="00FF4324"/>
    <w:rsid w:val="00FF5D5A"/>
    <w:rsid w:val="0A3A4D8D"/>
    <w:rsid w:val="146FC26B"/>
    <w:rsid w:val="17D588D6"/>
    <w:rsid w:val="25BC7B16"/>
    <w:rsid w:val="2A8C81F7"/>
    <w:rsid w:val="2E430FD6"/>
    <w:rsid w:val="378BD963"/>
    <w:rsid w:val="38D2B273"/>
    <w:rsid w:val="416186B5"/>
    <w:rsid w:val="4A88A901"/>
    <w:rsid w:val="4C25AB11"/>
    <w:rsid w:val="58AD2209"/>
    <w:rsid w:val="58C862E2"/>
    <w:rsid w:val="611B01DA"/>
    <w:rsid w:val="65B5DB38"/>
    <w:rsid w:val="6E6DDBF3"/>
    <w:rsid w:val="6F3CFC11"/>
    <w:rsid w:val="7C421E85"/>
    <w:rsid w:val="7DBDDC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62225"/>
  <w15:chartTrackingRefBased/>
  <w15:docId w15:val="{BB1CFE73-1D95-480B-92BD-55728966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hAnsiTheme="majorHAnsi" w:eastAsiaTheme="majorEastAsia"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hAnsiTheme="majorHAnsi" w:eastAsiaTheme="majorEastAsia"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hAnsiTheme="majorHAnsi" w:eastAsiaTheme="majorEastAsia"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hAnsiTheme="majorHAnsi" w:eastAsiaTheme="majorEastAsia" w:cstheme="majorBidi"/>
      <w:color w:val="004B5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Orangetable" w:customStyle="1">
    <w:name w:val="Orange table"/>
    <w:basedOn w:val="TableNormal"/>
    <w:uiPriority w:val="99"/>
    <w:rsid w:val="00444AA1"/>
    <w:rPr>
      <w:rFonts w:ascii="Verdana" w:hAnsi="Verdana" w:eastAsia="Times New Roman"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styleId="Heading1Char" w:customStyle="1">
    <w:name w:val="Heading 1 Char"/>
    <w:basedOn w:val="DefaultParagraphFont"/>
    <w:link w:val="Heading1"/>
    <w:uiPriority w:val="9"/>
    <w:rsid w:val="00644225"/>
    <w:rPr>
      <w:rFonts w:asciiTheme="majorHAnsi" w:hAnsiTheme="majorHAnsi" w:eastAsiaTheme="majorEastAsia" w:cstheme="majorBidi"/>
      <w:b/>
      <w:color w:val="016574" w:themeColor="accent2"/>
      <w:sz w:val="40"/>
      <w:szCs w:val="32"/>
    </w:rPr>
  </w:style>
  <w:style w:type="character" w:styleId="Heading2Char" w:customStyle="1">
    <w:name w:val="Heading 2 Char"/>
    <w:basedOn w:val="DefaultParagraphFont"/>
    <w:link w:val="Heading2"/>
    <w:uiPriority w:val="9"/>
    <w:rsid w:val="00644225"/>
    <w:rPr>
      <w:rFonts w:asciiTheme="majorHAnsi" w:hAnsiTheme="majorHAnsi" w:eastAsiaTheme="majorEastAsia" w:cstheme="majorBidi"/>
      <w:b/>
      <w:color w:val="016574" w:themeColor="accent2"/>
      <w:sz w:val="32"/>
      <w:szCs w:val="26"/>
    </w:rPr>
  </w:style>
  <w:style w:type="character" w:styleId="Heading3Char" w:customStyle="1">
    <w:name w:val="Heading 3 Char"/>
    <w:basedOn w:val="DefaultParagraphFont"/>
    <w:link w:val="Heading3"/>
    <w:uiPriority w:val="9"/>
    <w:rsid w:val="00644225"/>
    <w:rPr>
      <w:rFonts w:asciiTheme="majorHAnsi" w:hAnsiTheme="majorHAnsi" w:eastAsiaTheme="majorEastAsia" w:cstheme="majorBidi"/>
      <w:b/>
      <w:sz w:val="28"/>
    </w:rPr>
  </w:style>
  <w:style w:type="character" w:styleId="Heading4Char" w:customStyle="1">
    <w:name w:val="Heading 4 Char"/>
    <w:basedOn w:val="DefaultParagraphFont"/>
    <w:link w:val="Heading4"/>
    <w:uiPriority w:val="9"/>
    <w:rsid w:val="00644225"/>
    <w:rPr>
      <w:rFonts w:asciiTheme="majorHAnsi" w:hAnsiTheme="majorHAnsi" w:eastAsiaTheme="majorEastAsia" w:cstheme="majorBidi"/>
      <w:b/>
      <w:iCs/>
    </w:rPr>
  </w:style>
  <w:style w:type="paragraph" w:styleId="BodyText1" w:customStyle="1">
    <w:name w:val="Body Text1"/>
    <w:basedOn w:val="Normal"/>
    <w:uiPriority w:val="99"/>
    <w:qFormat/>
    <w:rsid w:val="00212B43"/>
    <w:pPr>
      <w:spacing w:after="240"/>
    </w:pPr>
  </w:style>
  <w:style w:type="character" w:styleId="Heading5Char" w:customStyle="1">
    <w:name w:val="Heading 5 Char"/>
    <w:basedOn w:val="DefaultParagraphFont"/>
    <w:link w:val="Heading5"/>
    <w:uiPriority w:val="9"/>
    <w:semiHidden/>
    <w:rsid w:val="00105F31"/>
    <w:rPr>
      <w:rFonts w:asciiTheme="majorHAnsi" w:hAnsiTheme="majorHAnsi" w:eastAsiaTheme="majorEastAsia"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styleId="NoSpacingChar" w:customStyle="1">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styleId="HeaderChar" w:customStyle="1">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styleId="FooterChar" w:customStyle="1">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hAnsi="Times New Roman" w:eastAsia="Times New Roman" w:cs="Times New Roman"/>
      <w:lang w:eastAsia="en-GB"/>
    </w:rPr>
  </w:style>
  <w:style w:type="character" w:styleId="CommentReference">
    <w:name w:val="annotation reference"/>
    <w:basedOn w:val="DefaultParagraphFont"/>
    <w:uiPriority w:val="99"/>
    <w:semiHidden/>
    <w:unhideWhenUsed/>
    <w:rsid w:val="00C30753"/>
    <w:rPr>
      <w:sz w:val="16"/>
      <w:szCs w:val="16"/>
    </w:rPr>
  </w:style>
  <w:style w:type="paragraph" w:styleId="CommentText">
    <w:name w:val="annotation text"/>
    <w:basedOn w:val="Normal"/>
    <w:link w:val="CommentTextChar"/>
    <w:uiPriority w:val="99"/>
    <w:unhideWhenUsed/>
    <w:rsid w:val="00C30753"/>
    <w:pPr>
      <w:spacing w:after="240" w:line="240" w:lineRule="auto"/>
    </w:pPr>
    <w:rPr>
      <w:sz w:val="20"/>
      <w:szCs w:val="20"/>
    </w:rPr>
  </w:style>
  <w:style w:type="character" w:styleId="CommentTextChar" w:customStyle="1">
    <w:name w:val="Comment Text Char"/>
    <w:basedOn w:val="DefaultParagraphFont"/>
    <w:link w:val="CommentText"/>
    <w:uiPriority w:val="99"/>
    <w:rsid w:val="00C30753"/>
    <w:rPr>
      <w:rFonts w:eastAsiaTheme="minorEastAsia"/>
      <w:sz w:val="20"/>
      <w:szCs w:val="20"/>
    </w:rPr>
  </w:style>
  <w:style w:type="paragraph" w:styleId="ListParagraph">
    <w:name w:val="List Paragraph"/>
    <w:basedOn w:val="Normal"/>
    <w:uiPriority w:val="34"/>
    <w:qFormat/>
    <w:rsid w:val="00C30753"/>
    <w:pPr>
      <w:spacing w:after="240"/>
      <w:ind w:left="720"/>
      <w:contextualSpacing/>
    </w:pPr>
  </w:style>
  <w:style w:type="paragraph" w:styleId="FootnoteText">
    <w:name w:val="footnote text"/>
    <w:basedOn w:val="Normal"/>
    <w:link w:val="FootnoteTextChar"/>
    <w:uiPriority w:val="99"/>
    <w:semiHidden/>
    <w:unhideWhenUsed/>
    <w:rsid w:val="00C30753"/>
    <w:pPr>
      <w:spacing w:line="240" w:lineRule="auto"/>
    </w:pPr>
    <w:rPr>
      <w:sz w:val="20"/>
      <w:szCs w:val="20"/>
    </w:rPr>
  </w:style>
  <w:style w:type="character" w:styleId="FootnoteTextChar" w:customStyle="1">
    <w:name w:val="Footnote Text Char"/>
    <w:basedOn w:val="DefaultParagraphFont"/>
    <w:link w:val="FootnoteText"/>
    <w:uiPriority w:val="99"/>
    <w:semiHidden/>
    <w:rsid w:val="00C30753"/>
    <w:rPr>
      <w:rFonts w:eastAsiaTheme="minorEastAsia"/>
      <w:sz w:val="20"/>
      <w:szCs w:val="20"/>
    </w:rPr>
  </w:style>
  <w:style w:type="character" w:styleId="FootnoteReference">
    <w:name w:val="footnote reference"/>
    <w:basedOn w:val="DefaultParagraphFont"/>
    <w:uiPriority w:val="99"/>
    <w:semiHidden/>
    <w:unhideWhenUsed/>
    <w:rsid w:val="00C30753"/>
    <w:rPr>
      <w:vertAlign w:val="superscript"/>
    </w:rPr>
  </w:style>
  <w:style w:type="paragraph" w:styleId="CommentSubject">
    <w:name w:val="annotation subject"/>
    <w:basedOn w:val="CommentText"/>
    <w:next w:val="CommentText"/>
    <w:link w:val="CommentSubjectChar"/>
    <w:uiPriority w:val="99"/>
    <w:semiHidden/>
    <w:unhideWhenUsed/>
    <w:rsid w:val="00427687"/>
    <w:pPr>
      <w:spacing w:after="0"/>
    </w:pPr>
    <w:rPr>
      <w:b/>
      <w:bCs/>
    </w:rPr>
  </w:style>
  <w:style w:type="character" w:styleId="CommentSubjectChar" w:customStyle="1">
    <w:name w:val="Comment Subject Char"/>
    <w:basedOn w:val="CommentTextChar"/>
    <w:link w:val="CommentSubject"/>
    <w:uiPriority w:val="99"/>
    <w:semiHidden/>
    <w:rsid w:val="00427687"/>
    <w:rPr>
      <w:rFonts w:eastAsiaTheme="minorEastAsia"/>
      <w:b/>
      <w:bCs/>
      <w:sz w:val="20"/>
      <w:szCs w:val="20"/>
    </w:rPr>
  </w:style>
  <w:style w:type="character" w:styleId="Mention">
    <w:name w:val="Mention"/>
    <w:basedOn w:val="DefaultParagraphFont"/>
    <w:uiPriority w:val="99"/>
    <w:unhideWhenUsed/>
    <w:rsid w:val="007C44AD"/>
    <w:rPr>
      <w:color w:val="2B579A"/>
      <w:shd w:val="clear" w:color="auto" w:fill="E1DFDD"/>
    </w:rPr>
  </w:style>
  <w:style w:type="character" w:styleId="FollowedHyperlink">
    <w:name w:val="FollowedHyperlink"/>
    <w:basedOn w:val="DefaultParagraphFont"/>
    <w:uiPriority w:val="99"/>
    <w:semiHidden/>
    <w:unhideWhenUsed/>
    <w:rsid w:val="005E59CA"/>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4752">
      <w:bodyDiv w:val="1"/>
      <w:marLeft w:val="0"/>
      <w:marRight w:val="0"/>
      <w:marTop w:val="0"/>
      <w:marBottom w:val="0"/>
      <w:divBdr>
        <w:top w:val="none" w:sz="0" w:space="0" w:color="auto"/>
        <w:left w:val="none" w:sz="0" w:space="0" w:color="auto"/>
        <w:bottom w:val="none" w:sz="0" w:space="0" w:color="auto"/>
        <w:right w:val="none" w:sz="0" w:space="0" w:color="auto"/>
      </w:divBdr>
    </w:div>
    <w:div w:id="1166476974">
      <w:bodyDiv w:val="1"/>
      <w:marLeft w:val="0"/>
      <w:marRight w:val="0"/>
      <w:marTop w:val="0"/>
      <w:marBottom w:val="0"/>
      <w:divBdr>
        <w:top w:val="none" w:sz="0" w:space="0" w:color="auto"/>
        <w:left w:val="none" w:sz="0" w:space="0" w:color="auto"/>
        <w:bottom w:val="none" w:sz="0" w:space="0" w:color="auto"/>
        <w:right w:val="none" w:sz="0" w:space="0" w:color="auto"/>
      </w:divBdr>
    </w:div>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 w:id="1580361989">
      <w:bodyDiv w:val="1"/>
      <w:marLeft w:val="0"/>
      <w:marRight w:val="0"/>
      <w:marTop w:val="0"/>
      <w:marBottom w:val="0"/>
      <w:divBdr>
        <w:top w:val="none" w:sz="0" w:space="0" w:color="auto"/>
        <w:left w:val="none" w:sz="0" w:space="0" w:color="auto"/>
        <w:bottom w:val="none" w:sz="0" w:space="0" w:color="auto"/>
        <w:right w:val="none" w:sz="0" w:space="0" w:color="auto"/>
      </w:divBdr>
    </w:div>
    <w:div w:id="158429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image" Target="media/image4.png" Id="rId18" /><Relationship Type="http://schemas.openxmlformats.org/officeDocument/2006/relationships/hyperlink" Target="https://www.claire.co.uk/component/phocadownload/category/9-other-cl-aire-documents?download=745:2020-stats-guidance" TargetMode="External" Id="rId26" /><Relationship Type="http://schemas.openxmlformats.org/officeDocument/2006/relationships/hyperlink" Target="https://knowledge.bsigroup.com/products/characterization-of-waste-sampling-of-waste-materials-guidance-on-the-process-of-defining-the-sampling-plan?version=standard" TargetMode="External" Id="rId39" /><Relationship Type="http://schemas.openxmlformats.org/officeDocument/2006/relationships/hyperlink" Target="https://www.sepa.org.uk/media/594440/sepa-guidance-wst-g-057-restoration.pdf" TargetMode="External" Id="rId21" /><Relationship Type="http://schemas.openxmlformats.org/officeDocument/2006/relationships/hyperlink" Target="https://knowledge.bsigroup.com/products/characterization-of-waste-sampling-of-waste-materials-framework-for-the-preparation-and-application-of-a-sampling-plan/standard" TargetMode="External" Id="rId34" /><Relationship Type="http://schemas.openxmlformats.org/officeDocument/2006/relationships/hyperlink" Target="https://knowledge.bsigroup.com/products/characterisation-of-waste-leaching-compliance-test-for-leaching-of-granular-waste-materials-and-sludges-two-stage-batch-test-at-a-liquid-to-solid-ratio-of-2-l-kg-and-8-l-kg-for-materials-with-a-high-solid-content-and-with-a-particle-size?version=standard" TargetMode="External" Id="rId42" /><Relationship Type="http://schemas.openxmlformats.org/officeDocument/2006/relationships/header" Target="header5.xml" Id="rId47" /><Relationship Type="http://schemas.openxmlformats.org/officeDocument/2006/relationships/header" Target="header6.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view.officeapps.live.com/op/view.aspx?src=https%3A%2F%2Fwww.sepa.org.uk%2Fmedia%2Fsajhsp2l%2Fguidance-on-application-of-standards.docx&amp;wdOrigin=BROWSELINK" TargetMode="External" Id="rId29" /><Relationship Type="http://schemas.openxmlformats.org/officeDocument/2006/relationships/image" Target="media/image1.png" Id="rId11" /><Relationship Type="http://schemas.openxmlformats.org/officeDocument/2006/relationships/hyperlink" Target="https://knowledge.bsigroup.com/products/specification-for-topsoil/tracked-changes" TargetMode="External" Id="rId24" /><Relationship Type="http://schemas.openxmlformats.org/officeDocument/2006/relationships/hyperlink" Target="https://assets.publishing.service.gov.uk/government/uploads/system/uploads/attachment_data/file/657722/Soil_screening_values_for_assessing_ecological_risk_-_summary.pdf" TargetMode="External" Id="rId32" /><Relationship Type="http://schemas.openxmlformats.org/officeDocument/2006/relationships/hyperlink" Target="https://knowledge.bsigroup.com/products/characterization-of-waste-sampling-of-waste-materials-guidance-on-procedures-for-sub-sampling-in-the-field/standard" TargetMode="External" Id="rId37" /><Relationship Type="http://schemas.openxmlformats.org/officeDocument/2006/relationships/hyperlink" Target="https://revenue.scot/taxes/scottish-landfill-tax/slft-legislation-guidance/determining-whether-tax-payable/slft3003-restoration" TargetMode="External" Id="rId40" /><Relationship Type="http://schemas.openxmlformats.org/officeDocument/2006/relationships/hyperlink" Target="http://contactscotland-bsl.org/"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hyperlink" Target="https://view.officeapps.live.com/op/view.aspx?src=https%3A%2F%2Fwww.sepa.org.uk%2Fmedia%2Fduhlbumr%2Fwatsg53_jan25.docx&amp;wdOrigin=BROWSELINK" TargetMode="External" Id="rId31" /><Relationship Type="http://schemas.openxmlformats.org/officeDocument/2006/relationships/hyperlink" Target="mailto:equalities@sepa.org.uk"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knowledge.bsigroup.com/products/general-requirements-for-the-competence-of-testing-and-calibration-laboratories-1/standard" TargetMode="External" Id="rId22" /><Relationship Type="http://schemas.openxmlformats.org/officeDocument/2006/relationships/hyperlink" Target="https://www.lqm.co.uk/products/lqm-cieh-suitable-4-use-levels" TargetMode="External" Id="rId27" /><Relationship Type="http://schemas.openxmlformats.org/officeDocument/2006/relationships/hyperlink" Target="https://view.officeapps.live.com/op/view.aspx?src=https%3A%2F%2Fwww.sepa.org.uk%2Fmedia%2Fgaamktb2%2Flist-of-groundwater-standards.docx&amp;wdOrigin=BROWSELINK" TargetMode="External" Id="rId30" /><Relationship Type="http://schemas.openxmlformats.org/officeDocument/2006/relationships/hyperlink" Target="https://knowledge.bsigroup.com/products/characterization-of-waste-sampling-of-waste-materials-guidance-on-selection-and-application-of-criteria-for-sampling-under-various-conditions/standard" TargetMode="External" Id="rId35" /><Relationship Type="http://schemas.openxmlformats.org/officeDocument/2006/relationships/hyperlink" Target="https://knowledge.bsigroup.com/products/waste-characterization-of-granular-solids-with-potential-for-use-as-construction-material-compliance-leaching-test-up-flow-percolation-test" TargetMode="External" Id="rId43" /><Relationship Type="http://schemas.openxmlformats.org/officeDocument/2006/relationships/footer" Target="footer5.xml" Id="rId48" /><Relationship Type="http://schemas.openxmlformats.org/officeDocument/2006/relationships/webSettings" Target="webSettings.xml" Id="rId8" /><Relationship Type="http://schemas.openxmlformats.org/officeDocument/2006/relationships/footer" Target="footer7.xml"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footer" Target="footer3.xml" Id="rId17" /><Relationship Type="http://schemas.openxmlformats.org/officeDocument/2006/relationships/hyperlink" Target="https://knowledge.bsigroup.com/products/specification-for-subsoil-and-requirements-for-use/standard" TargetMode="External" Id="rId25" /><Relationship Type="http://schemas.openxmlformats.org/officeDocument/2006/relationships/hyperlink" Target="https://assets.publishing.service.gov.uk/media/61e7de5c8fa8f505985ef41c/Soil_screening_values_for_assessing_ecological_risk_-_report.pdf" TargetMode="External" Id="rId33" /><Relationship Type="http://schemas.openxmlformats.org/officeDocument/2006/relationships/hyperlink" Target="https://knowledge.bsigroup.com/products/characterization-of-waste-sampling-of-waste-materials-guidance-on-procedures-for-sample-packaging-storage-preservation-transport-and-delivery/standard" TargetMode="External" Id="rId38" /><Relationship Type="http://schemas.openxmlformats.org/officeDocument/2006/relationships/header" Target="header4.xml" Id="rId46" /><Relationship Type="http://schemas.openxmlformats.org/officeDocument/2006/relationships/footer" Target="footer4.xml" Id="rId20" /><Relationship Type="http://schemas.openxmlformats.org/officeDocument/2006/relationships/hyperlink" Target="https://knowledge.bsigroup.com/products/characterisation-of-waste-leaching-compliance-test-for-leaching-of-granular-waste-materials-and-sludges-one-stage-batch-test-at-a-liquid-to-solid-ratio-of-10-l-kg-for-materials-with-particle-size-below-4-mm-without-or-with-size-reduction?version=standard"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15" /><Relationship Type="http://schemas.openxmlformats.org/officeDocument/2006/relationships/hyperlink" Target="https://knowledge.bsigroup.com/products/soil-quality-determination-of-dry-bulk-density/standard" TargetMode="External" Id="rId23" /><Relationship Type="http://schemas.openxmlformats.org/officeDocument/2006/relationships/hyperlink" Target="https://www.gov.uk/government/collections/land-contamination-technical-guidance" TargetMode="External" Id="rId28" /><Relationship Type="http://schemas.openxmlformats.org/officeDocument/2006/relationships/hyperlink" Target="https://knowledge.bsigroup.com/products/characterization-of-waste-sampling-of-waste-materials-guidance-on-sampling-techniques/standard" TargetMode="External" Id="rId36" /><Relationship Type="http://schemas.openxmlformats.org/officeDocument/2006/relationships/footer" Target="footer6.xml" Id="rId49"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nformation_cover.dotx" TargetMode="External"/></Relationships>
</file>

<file path=word/theme/theme1.xml><?xml version="1.0" encoding="utf-8"?>
<a:theme xmlns:a="http://schemas.openxmlformats.org/drawingml/2006/main" xmlns:thm15="http://schemas.microsoft.com/office/thememl/2012/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93FA6D39FD28498D7126A787C1F60A" ma:contentTypeVersion="19" ma:contentTypeDescription="Create a new document." ma:contentTypeScope="" ma:versionID="e2cfb19c846aae772eb70e2d2fc0ba92">
  <xsd:schema xmlns:xsd="http://www.w3.org/2001/XMLSchema" xmlns:xs="http://www.w3.org/2001/XMLSchema" xmlns:p="http://schemas.microsoft.com/office/2006/metadata/properties" xmlns:ns2="7261b49d-014c-4303-857c-88073c315517" xmlns:ns3="4091aca9-d0cd-45fe-8926-5f68776ac804" xmlns:ns4="6817a18b-ca13-4b62-8bc4-ed31bbcf9b80" targetNamespace="http://schemas.microsoft.com/office/2006/metadata/properties" ma:root="true" ma:fieldsID="ec2bc4ffe8de4dc28658abbdfd3379be" ns2:_="" ns3:_="" ns4:_="">
    <xsd:import namespace="7261b49d-014c-4303-857c-88073c315517"/>
    <xsd:import namespace="4091aca9-d0cd-45fe-8926-5f68776ac804"/>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1b49d-014c-4303-857c-88073c3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aca9-d0cd-45fe-8926-5f68776ac8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cfadf84-2959-418a-ab5b-870ff986892d}" ma:internalName="TaxCatchAll" ma:showField="CatchAllData" ma:web="4091aca9-d0cd-45fe-8926-5f68776ac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17a18b-ca13-4b62-8bc4-ed31bbcf9b80" xsi:nil="true"/>
    <lcf76f155ced4ddcb4097134ff3c332f xmlns="7261b49d-014c-4303-857c-88073c3155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6EF86EDE-37F2-44BF-87CC-CE15998DE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1b49d-014c-4303-857c-88073c315517"/>
    <ds:schemaRef ds:uri="4091aca9-d0cd-45fe-8926-5f68776ac804"/>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91B34-5309-48CE-B340-30E1946A584E}">
  <ds:schemaRefs>
    <ds:schemaRef ds:uri="http://schemas.microsoft.com/sharepoint/v3/contenttype/forms"/>
  </ds:schemaRefs>
</ds:datastoreItem>
</file>

<file path=customXml/itemProps4.xml><?xml version="1.0" encoding="utf-8"?>
<ds:datastoreItem xmlns:ds="http://schemas.openxmlformats.org/officeDocument/2006/customXml" ds:itemID="{1822FF7C-1B63-4754-8982-61EBA8CBA7E6}">
  <ds:schemaRefs>
    <ds:schemaRef ds:uri="http://schemas.microsoft.com/office/2006/metadata/properties"/>
    <ds:schemaRef ds:uri="http://schemas.microsoft.com/office/infopath/2007/PartnerControls"/>
    <ds:schemaRef ds:uri="6817a18b-ca13-4b62-8bc4-ed31bbcf9b80"/>
    <ds:schemaRef ds:uri="7261b49d-014c-4303-857c-88073c3155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SEPA_word_template_information_cover</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Hern, Alan</dc:creator>
  <keywords/>
  <dc:description/>
  <lastModifiedBy>Blair, Sharon</lastModifiedBy>
  <revision>6</revision>
  <lastPrinted>2023-03-24T04:44:00.0000000Z</lastPrinted>
  <dcterms:created xsi:type="dcterms:W3CDTF">2025-12-18T09:24:00.0000000Z</dcterms:created>
  <dcterms:modified xsi:type="dcterms:W3CDTF">2025-12-18T09:42:01.0935388Z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2023-07-28T13:51:55Z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d18da352-8de7-47a8-8c82-602c8e675dc2</vt:lpwstr>
  </property>
  <property fmtid="{D5CDD505-2E9C-101B-9397-08002B2CF9AE}" pid="14" name="MSIP_Label_ea4fd52f-9814-4cae-aa53-0ea7b16cd381_ContentBits">
    <vt:lpwstr>3</vt:lpwstr>
  </property>
  <property fmtid="{D5CDD505-2E9C-101B-9397-08002B2CF9AE}" pid="15" name="ContentTypeId">
    <vt:lpwstr>0x0101002493FA6D39FD28498D7126A787C1F60A</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lcf76f155ced4ddcb4097134ff3c332f">
    <vt:lpwstr/>
  </property>
  <property fmtid="{D5CDD505-2E9C-101B-9397-08002B2CF9AE}" pid="32" name="Issued/Authorised By">
    <vt:lpwstr>98;#Alan.Hern@sepa.org.uk</vt:lpwstr>
  </property>
  <property fmtid="{D5CDD505-2E9C-101B-9397-08002B2CF9AE}" pid="33" name="Waste Media Subcolumn">
    <vt:lpwstr>Use</vt:lpwstr>
  </property>
</Properties>
</file>