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4A4B58EA" w14:textId="77777777" w:rsidR="004073BC" w:rsidRPr="00BF6160" w:rsidRDefault="00F72274" w:rsidP="00F72274">
          <w:pPr>
            <w:rPr>
              <w:rFonts w:cstheme="minorHAnsi"/>
            </w:rPr>
          </w:pPr>
          <w:r w:rsidRPr="00BF6160">
            <w:rPr>
              <w:rFonts w:cstheme="minorHAnsi"/>
              <w:noProof/>
            </w:rPr>
            <w:drawing>
              <wp:anchor distT="0" distB="0" distL="114300" distR="114300" simplePos="0" relativeHeight="251658241" behindDoc="1" locked="0" layoutInCell="1" allowOverlap="1" wp14:anchorId="634FA5EA" wp14:editId="019CE73D">
                <wp:simplePos x="0" y="0"/>
                <wp:positionH relativeFrom="page">
                  <wp:posOffset>0</wp:posOffset>
                </wp:positionH>
                <wp:positionV relativeFrom="paragraph">
                  <wp:posOffset>-895645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973" cy="10911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 w:rsidRPr="00BF6160">
            <w:rPr>
              <w:rFonts w:cstheme="minorHAnsi"/>
              <w:noProof/>
            </w:rPr>
            <w:drawing>
              <wp:inline distT="0" distB="0" distL="0" distR="0" wp14:anchorId="7B5FD1D8" wp14:editId="26023EA3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9EDFC6" w14:textId="77777777" w:rsidR="004073BC" w:rsidRPr="00BF6160" w:rsidRDefault="004073BC" w:rsidP="008C1A73">
          <w:pPr>
            <w:rPr>
              <w:rFonts w:cstheme="minorHAnsi"/>
            </w:rPr>
          </w:pPr>
        </w:p>
        <w:p w14:paraId="34FB95CF" w14:textId="77777777" w:rsidR="004073BC" w:rsidRPr="00BF6160" w:rsidRDefault="004073BC" w:rsidP="008C1A73">
          <w:pPr>
            <w:rPr>
              <w:rFonts w:cstheme="minorHAnsi"/>
            </w:rPr>
          </w:pPr>
        </w:p>
        <w:p w14:paraId="32AEE8BD" w14:textId="77777777" w:rsidR="004073BC" w:rsidRPr="00BF6160" w:rsidRDefault="004073BC" w:rsidP="008C1A73">
          <w:pPr>
            <w:rPr>
              <w:rFonts w:cstheme="minorHAnsi"/>
            </w:rPr>
          </w:pPr>
        </w:p>
        <w:p w14:paraId="7B235986" w14:textId="77777777" w:rsidR="004073BC" w:rsidRPr="00BF6160" w:rsidRDefault="004073BC" w:rsidP="008C1A73">
          <w:pPr>
            <w:rPr>
              <w:rFonts w:cstheme="minorHAnsi"/>
            </w:rPr>
          </w:pPr>
        </w:p>
        <w:p w14:paraId="162E52BB" w14:textId="77777777" w:rsidR="004073BC" w:rsidRPr="00BF6160" w:rsidRDefault="004073BC" w:rsidP="008C1A73">
          <w:pPr>
            <w:rPr>
              <w:rFonts w:cstheme="minorHAnsi"/>
            </w:rPr>
          </w:pPr>
        </w:p>
        <w:p w14:paraId="531778D8" w14:textId="2D786A21" w:rsidR="00801105" w:rsidRPr="00BF6160" w:rsidRDefault="00281BB1" w:rsidP="00EF7F00">
          <w:pPr>
            <w:spacing w:line="240" w:lineRule="auto"/>
            <w:rPr>
              <w:rFonts w:cstheme="minorHAnsi"/>
              <w:b/>
              <w:bCs/>
              <w:color w:val="FFFFFF" w:themeColor="background1"/>
              <w:sz w:val="84"/>
              <w:szCs w:val="84"/>
            </w:rPr>
          </w:pPr>
          <w:r w:rsidRPr="00BF6160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3F29B946" wp14:editId="3EB585E6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D87AB6" w14:textId="32DAF636" w:rsidR="00281BB1" w:rsidRPr="009A240D" w:rsidRDefault="008421B4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December</w:t>
                                </w:r>
                                <w:r w:rsidR="00386EF9">
                                  <w:rPr>
                                    <w:color w:val="FFFFFF" w:themeColor="background1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29B94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18D87AB6" w14:textId="32DAF636" w:rsidR="00281BB1" w:rsidRPr="009A240D" w:rsidRDefault="008421B4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December</w:t>
                          </w:r>
                          <w:r w:rsidR="00386EF9">
                            <w:rPr>
                              <w:color w:val="FFFFFF" w:themeColor="background1"/>
                            </w:rPr>
                            <w:t xml:space="preserve"> 2025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995CEA">
            <w:rPr>
              <w:rFonts w:cstheme="minorHAnsi"/>
              <w:b/>
              <w:bCs/>
              <w:color w:val="FFFFFF" w:themeColor="background1"/>
              <w:sz w:val="84"/>
              <w:szCs w:val="84"/>
            </w:rPr>
            <w:t>Guidance</w:t>
          </w:r>
          <w:r w:rsidR="000E429F">
            <w:rPr>
              <w:rFonts w:cstheme="minorHAnsi"/>
              <w:b/>
              <w:bCs/>
              <w:color w:val="FFFFFF" w:themeColor="background1"/>
              <w:sz w:val="84"/>
              <w:szCs w:val="84"/>
            </w:rPr>
            <w:t>:</w:t>
          </w:r>
          <w:r w:rsidR="000E429F" w:rsidRPr="000E429F">
            <w:rPr>
              <w:rFonts w:cstheme="minorHAnsi"/>
              <w:b/>
              <w:bCs/>
              <w:color w:val="FFFFFF" w:themeColor="background1"/>
              <w:sz w:val="84"/>
              <w:szCs w:val="84"/>
            </w:rPr>
            <w:t xml:space="preserve"> </w:t>
          </w:r>
          <w:r w:rsidR="000E429F" w:rsidRPr="00BF6160">
            <w:rPr>
              <w:rFonts w:cstheme="minorHAnsi"/>
              <w:b/>
              <w:bCs/>
              <w:color w:val="FFFFFF" w:themeColor="background1"/>
              <w:sz w:val="84"/>
              <w:szCs w:val="84"/>
            </w:rPr>
            <w:t>Environmental event</w:t>
          </w:r>
          <w:r w:rsidR="00A407B5">
            <w:rPr>
              <w:rFonts w:cstheme="minorHAnsi"/>
              <w:b/>
              <w:bCs/>
              <w:color w:val="FFFFFF" w:themeColor="background1"/>
              <w:sz w:val="84"/>
              <w:szCs w:val="84"/>
            </w:rPr>
            <w:t xml:space="preserve"> categorisation for radioactive substances</w:t>
          </w:r>
        </w:p>
        <w:p w14:paraId="592241DC" w14:textId="12457D13" w:rsidR="00D7682F" w:rsidRDefault="008C1A73" w:rsidP="00D7682F">
          <w:pPr>
            <w:pStyle w:val="BodyText1"/>
            <w:tabs>
              <w:tab w:val="left" w:pos="6885"/>
            </w:tabs>
          </w:pPr>
          <w:r w:rsidRPr="00BF6160">
            <w:rPr>
              <w:rFonts w:cstheme="minorHAnsi"/>
            </w:rPr>
            <w:br w:type="page"/>
          </w:r>
        </w:p>
      </w:sdtContent>
    </w:sdt>
    <w:bookmarkStart w:id="0" w:name="_Toc192778974" w:displacedByCustomXml="prev"/>
    <w:bookmarkEnd w:id="0"/>
    <w:p w14:paraId="491C0622" w14:textId="77777777" w:rsidR="0003313D" w:rsidRDefault="0003313D" w:rsidP="0003313D">
      <w:pPr>
        <w:tabs>
          <w:tab w:val="left" w:pos="5906"/>
        </w:tabs>
      </w:pPr>
    </w:p>
    <w:p w14:paraId="532424FC" w14:textId="77777777" w:rsidR="0003313D" w:rsidRPr="00796E8D" w:rsidRDefault="0003313D" w:rsidP="0003313D">
      <w:pPr>
        <w:spacing w:line="240" w:lineRule="auto"/>
        <w:rPr>
          <w:color w:val="016574"/>
          <w:sz w:val="32"/>
          <w:szCs w:val="32"/>
        </w:rPr>
      </w:pPr>
      <w:r w:rsidRPr="00796E8D">
        <w:rPr>
          <w:color w:val="016574"/>
          <w:sz w:val="32"/>
          <w:szCs w:val="32"/>
        </w:rPr>
        <w:t>Document Control</w:t>
      </w:r>
    </w:p>
    <w:p w14:paraId="2CABC133" w14:textId="77777777" w:rsidR="0003313D" w:rsidRPr="00796E8D" w:rsidRDefault="0003313D" w:rsidP="0003313D">
      <w:pPr>
        <w:spacing w:line="240" w:lineRule="auto"/>
        <w:rPr>
          <w:color w:val="6E7571" w:themeColor="text2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40"/>
      </w:tblGrid>
      <w:tr w:rsidR="0003313D" w:rsidRPr="00796E8D" w14:paraId="689C2551" w14:textId="77777777">
        <w:tc>
          <w:tcPr>
            <w:tcW w:w="2972" w:type="dxa"/>
            <w:vAlign w:val="center"/>
          </w:tcPr>
          <w:p w14:paraId="541F7959" w14:textId="77777777" w:rsidR="0003313D" w:rsidRPr="00796E8D" w:rsidRDefault="0003313D">
            <w:pPr>
              <w:spacing w:before="120" w:after="120"/>
            </w:pPr>
            <w:r w:rsidRPr="00796E8D">
              <w:t>Title</w:t>
            </w:r>
          </w:p>
        </w:tc>
        <w:tc>
          <w:tcPr>
            <w:tcW w:w="7240" w:type="dxa"/>
            <w:vAlign w:val="center"/>
          </w:tcPr>
          <w:p w14:paraId="567F3188" w14:textId="5DD50879" w:rsidR="0003313D" w:rsidRPr="00796E8D" w:rsidRDefault="00C55537">
            <w:pPr>
              <w:spacing w:before="120" w:after="120"/>
            </w:pPr>
            <w:r>
              <w:t>Environmental event categorisation for radioactive substances</w:t>
            </w:r>
          </w:p>
        </w:tc>
      </w:tr>
      <w:tr w:rsidR="0003313D" w:rsidRPr="00796E8D" w14:paraId="07412B82" w14:textId="77777777">
        <w:tc>
          <w:tcPr>
            <w:tcW w:w="2972" w:type="dxa"/>
            <w:vAlign w:val="center"/>
          </w:tcPr>
          <w:p w14:paraId="49507861" w14:textId="77777777" w:rsidR="0003313D" w:rsidRPr="00796E8D" w:rsidRDefault="0003313D">
            <w:pPr>
              <w:spacing w:before="120" w:after="120"/>
            </w:pPr>
            <w:r w:rsidRPr="00796E8D">
              <w:t>Version</w:t>
            </w:r>
          </w:p>
        </w:tc>
        <w:tc>
          <w:tcPr>
            <w:tcW w:w="7240" w:type="dxa"/>
            <w:vAlign w:val="center"/>
          </w:tcPr>
          <w:p w14:paraId="2F2706EB" w14:textId="68F4FDBB" w:rsidR="0003313D" w:rsidRPr="00796E8D" w:rsidRDefault="00C55537">
            <w:pPr>
              <w:spacing w:before="120" w:after="120"/>
            </w:pPr>
            <w:r>
              <w:t>1</w:t>
            </w:r>
          </w:p>
        </w:tc>
      </w:tr>
      <w:tr w:rsidR="0003313D" w:rsidRPr="00796E8D" w14:paraId="31F14254" w14:textId="77777777">
        <w:tc>
          <w:tcPr>
            <w:tcW w:w="2972" w:type="dxa"/>
            <w:vAlign w:val="center"/>
          </w:tcPr>
          <w:p w14:paraId="6A2ECE4D" w14:textId="77777777" w:rsidR="0003313D" w:rsidRPr="00796E8D" w:rsidRDefault="0003313D">
            <w:pPr>
              <w:spacing w:before="120" w:after="120"/>
            </w:pPr>
            <w:r w:rsidRPr="00796E8D">
              <w:t>Approved by</w:t>
            </w:r>
          </w:p>
        </w:tc>
        <w:tc>
          <w:tcPr>
            <w:tcW w:w="7240" w:type="dxa"/>
            <w:vAlign w:val="center"/>
          </w:tcPr>
          <w:p w14:paraId="20AD4308" w14:textId="77777777" w:rsidR="0003313D" w:rsidRPr="00796E8D" w:rsidRDefault="0003313D">
            <w:pPr>
              <w:spacing w:before="120" w:after="120"/>
            </w:pPr>
            <w:r w:rsidRPr="00796E8D">
              <w:t>RASRAP</w:t>
            </w:r>
          </w:p>
        </w:tc>
      </w:tr>
      <w:tr w:rsidR="0003313D" w:rsidRPr="00796E8D" w14:paraId="514AABE5" w14:textId="77777777">
        <w:tc>
          <w:tcPr>
            <w:tcW w:w="2972" w:type="dxa"/>
            <w:vAlign w:val="center"/>
          </w:tcPr>
          <w:p w14:paraId="0F8A61BE" w14:textId="77777777" w:rsidR="0003313D" w:rsidRPr="00796E8D" w:rsidRDefault="0003313D">
            <w:pPr>
              <w:spacing w:before="120" w:after="120"/>
            </w:pPr>
            <w:r w:rsidRPr="00796E8D">
              <w:t>Date approved</w:t>
            </w:r>
          </w:p>
        </w:tc>
        <w:tc>
          <w:tcPr>
            <w:tcW w:w="7240" w:type="dxa"/>
            <w:vAlign w:val="center"/>
          </w:tcPr>
          <w:p w14:paraId="4AD4659A" w14:textId="28852AC6" w:rsidR="0003313D" w:rsidRPr="00796E8D" w:rsidRDefault="00317C5A">
            <w:pPr>
              <w:spacing w:before="120" w:after="120"/>
            </w:pPr>
            <w:r>
              <w:t>02 December 2025</w:t>
            </w:r>
          </w:p>
        </w:tc>
      </w:tr>
    </w:tbl>
    <w:p w14:paraId="38B1600F" w14:textId="77777777" w:rsidR="0003313D" w:rsidRPr="00796E8D" w:rsidRDefault="0003313D" w:rsidP="0003313D">
      <w:pPr>
        <w:spacing w:after="240"/>
        <w:rPr>
          <w:color w:val="6E7571" w:themeColor="text2"/>
          <w:sz w:val="32"/>
          <w:szCs w:val="32"/>
          <w:u w:val="single"/>
        </w:rPr>
      </w:pPr>
    </w:p>
    <w:p w14:paraId="660C4155" w14:textId="77777777" w:rsidR="00685CD6" w:rsidRDefault="00685CD6" w:rsidP="0003313D">
      <w:pPr>
        <w:spacing w:after="240"/>
        <w:rPr>
          <w:color w:val="6E7571" w:themeColor="text2"/>
          <w:sz w:val="32"/>
          <w:szCs w:val="32"/>
          <w:u w:val="single"/>
        </w:rPr>
      </w:pPr>
    </w:p>
    <w:p w14:paraId="0A2C0735" w14:textId="77777777" w:rsidR="00685CD6" w:rsidRPr="00C9352C" w:rsidRDefault="00685CD6" w:rsidP="00685CD6">
      <w:pPr>
        <w:pStyle w:val="BodyText1"/>
        <w:rPr>
          <w:rFonts w:eastAsia="Times New Roman"/>
          <w:sz w:val="32"/>
          <w:szCs w:val="32"/>
        </w:rPr>
      </w:pPr>
      <w:r w:rsidRPr="00C9352C">
        <w:rPr>
          <w:rFonts w:eastAsia="Times New Roman"/>
          <w:sz w:val="32"/>
          <w:szCs w:val="32"/>
        </w:rPr>
        <w:t>If you would like this document in an accessible format, such as large print, audio recording or braille, please contact SEPA by emailing </w:t>
      </w:r>
      <w:hyperlink r:id="rId10" w:tgtFrame="_blank" w:tooltip="mailto:equalities@sepa.org.uk" w:history="1">
        <w:r w:rsidRPr="00C9352C">
          <w:rPr>
            <w:rFonts w:eastAsia="Times New Roman"/>
            <w:color w:val="016574" w:themeColor="hyperlink"/>
            <w:sz w:val="32"/>
            <w:szCs w:val="32"/>
            <w:u w:val="single"/>
          </w:rPr>
          <w:t>equalities@sepa.org.uk</w:t>
        </w:r>
      </w:hyperlink>
      <w:r w:rsidRPr="00C9352C">
        <w:rPr>
          <w:rFonts w:eastAsia="Times New Roman"/>
          <w:sz w:val="32"/>
          <w:szCs w:val="32"/>
        </w:rPr>
        <w:t xml:space="preserve"> </w:t>
      </w:r>
    </w:p>
    <w:p w14:paraId="6FC8ECA9" w14:textId="77777777" w:rsidR="00685CD6" w:rsidRPr="00796E8D" w:rsidRDefault="00685CD6" w:rsidP="0003313D">
      <w:pPr>
        <w:spacing w:after="240"/>
        <w:rPr>
          <w:color w:val="6E7571" w:themeColor="text2"/>
          <w:sz w:val="32"/>
          <w:szCs w:val="32"/>
          <w:u w:val="single"/>
        </w:rPr>
      </w:pPr>
    </w:p>
    <w:p w14:paraId="7D84FD8C" w14:textId="77777777" w:rsidR="007C7E25" w:rsidRDefault="007C7E25" w:rsidP="51905196">
      <w:pPr>
        <w:pStyle w:val="BodyText1"/>
        <w:tabs>
          <w:tab w:val="left" w:pos="6885"/>
        </w:tabs>
        <w:rPr>
          <w:rFonts w:eastAsiaTheme="majorEastAsia"/>
          <w:b/>
          <w:bCs/>
          <w:color w:val="016574" w:themeColor="accent6"/>
          <w:sz w:val="40"/>
          <w:szCs w:val="40"/>
        </w:rPr>
      </w:pPr>
      <w:r>
        <w:rPr>
          <w:rFonts w:eastAsiaTheme="majorEastAsia"/>
          <w:b/>
          <w:bCs/>
          <w:color w:val="016574" w:themeColor="accent6"/>
          <w:sz w:val="40"/>
          <w:szCs w:val="40"/>
        </w:rPr>
        <w:br w:type="page"/>
      </w:r>
    </w:p>
    <w:p w14:paraId="37B91268" w14:textId="7AAA978D" w:rsidR="00AA1CC6" w:rsidRPr="00D7682F" w:rsidRDefault="00AA1CC6" w:rsidP="00D7682F">
      <w:pPr>
        <w:pStyle w:val="BodyText1"/>
        <w:tabs>
          <w:tab w:val="left" w:pos="6885"/>
        </w:tabs>
        <w:rPr>
          <w:b/>
          <w:color w:val="FFFFFF" w:themeColor="background1"/>
          <w:sz w:val="84"/>
          <w:szCs w:val="84"/>
        </w:rPr>
      </w:pPr>
      <w:r w:rsidRPr="6048326E">
        <w:rPr>
          <w:rFonts w:eastAsiaTheme="majorEastAsia"/>
          <w:b/>
          <w:bCs/>
          <w:color w:val="016574" w:themeColor="accent6"/>
          <w:sz w:val="40"/>
          <w:szCs w:val="40"/>
        </w:rPr>
        <w:lastRenderedPageBreak/>
        <w:t>Environmental event</w:t>
      </w:r>
      <w:r w:rsidR="00AC5E5C">
        <w:rPr>
          <w:rFonts w:eastAsiaTheme="majorEastAsia"/>
          <w:b/>
          <w:bCs/>
          <w:color w:val="016574" w:themeColor="accent6"/>
          <w:sz w:val="40"/>
          <w:szCs w:val="40"/>
        </w:rPr>
        <w:t xml:space="preserve"> categorisation </w:t>
      </w:r>
      <w:r w:rsidR="00F50B10">
        <w:rPr>
          <w:rFonts w:eastAsiaTheme="majorEastAsia"/>
          <w:b/>
          <w:bCs/>
          <w:color w:val="016574" w:themeColor="accent6"/>
          <w:sz w:val="40"/>
          <w:szCs w:val="40"/>
        </w:rPr>
        <w:t>for radioactive substances</w:t>
      </w:r>
    </w:p>
    <w:p w14:paraId="3350D93C" w14:textId="6EB40C5C" w:rsidR="00F15231" w:rsidRDefault="00521296" w:rsidP="00CC52C4">
      <w:pPr>
        <w:pStyle w:val="Heading2"/>
      </w:pPr>
      <w:r>
        <w:t xml:space="preserve">What is a </w:t>
      </w:r>
      <w:r w:rsidR="17411622">
        <w:t>radioactive substances</w:t>
      </w:r>
      <w:r w:rsidDel="00521296">
        <w:t xml:space="preserve"> </w:t>
      </w:r>
      <w:r>
        <w:t>event</w:t>
      </w:r>
      <w:r w:rsidR="00C21AE7">
        <w:t>?</w:t>
      </w:r>
    </w:p>
    <w:p w14:paraId="5203E251" w14:textId="103C63B1" w:rsidR="00AA1CC6" w:rsidRPr="003239E2" w:rsidRDefault="000B52B2" w:rsidP="00616784">
      <w:pPr>
        <w:spacing w:before="120" w:after="120"/>
      </w:pPr>
      <w:r>
        <w:rPr>
          <w:rFonts w:cstheme="minorHAnsi"/>
        </w:rPr>
        <w:t>With the introduction of the Environmental Performance Assessment Scheme (EPAS), t</w:t>
      </w:r>
      <w:r w:rsidR="00827750">
        <w:rPr>
          <w:rFonts w:cstheme="minorHAnsi"/>
        </w:rPr>
        <w:t xml:space="preserve">he environmental events categorisation </w:t>
      </w:r>
      <w:r w:rsidR="000E0C8F">
        <w:rPr>
          <w:rFonts w:cstheme="minorHAnsi"/>
        </w:rPr>
        <w:t>f</w:t>
      </w:r>
      <w:r w:rsidR="00E07AF4">
        <w:rPr>
          <w:rFonts w:cstheme="minorHAnsi"/>
        </w:rPr>
        <w:t xml:space="preserve">or events </w:t>
      </w:r>
      <w:r w:rsidR="00827750">
        <w:rPr>
          <w:rFonts w:cstheme="minorHAnsi"/>
        </w:rPr>
        <w:t>involving</w:t>
      </w:r>
      <w:r w:rsidR="00E07AF4">
        <w:rPr>
          <w:rFonts w:cstheme="minorHAnsi"/>
        </w:rPr>
        <w:t xml:space="preserve"> </w:t>
      </w:r>
      <w:r w:rsidR="00226084">
        <w:rPr>
          <w:rFonts w:cstheme="minorHAnsi"/>
        </w:rPr>
        <w:t>r</w:t>
      </w:r>
      <w:r w:rsidR="00E07AF4">
        <w:rPr>
          <w:rFonts w:cstheme="minorHAnsi"/>
        </w:rPr>
        <w:t xml:space="preserve">adioactive </w:t>
      </w:r>
      <w:r w:rsidR="00226084">
        <w:rPr>
          <w:rFonts w:cstheme="minorHAnsi"/>
        </w:rPr>
        <w:t>s</w:t>
      </w:r>
      <w:r w:rsidR="00E07AF4">
        <w:rPr>
          <w:rFonts w:cstheme="minorHAnsi"/>
        </w:rPr>
        <w:t xml:space="preserve">ubstances, </w:t>
      </w:r>
      <w:r w:rsidR="009D2025">
        <w:rPr>
          <w:rFonts w:cstheme="minorHAnsi"/>
        </w:rPr>
        <w:t>will</w:t>
      </w:r>
      <w:r w:rsidR="00764D48">
        <w:rPr>
          <w:rFonts w:cstheme="minorHAnsi"/>
        </w:rPr>
        <w:t xml:space="preserve"> not change from what </w:t>
      </w:r>
      <w:r w:rsidR="00855D19">
        <w:rPr>
          <w:rFonts w:cstheme="minorHAnsi"/>
        </w:rPr>
        <w:t xml:space="preserve">was </w:t>
      </w:r>
      <w:r w:rsidR="00764D48" w:rsidDel="006F3E0F">
        <w:rPr>
          <w:rFonts w:cstheme="minorHAnsi"/>
        </w:rPr>
        <w:t>in place</w:t>
      </w:r>
      <w:r w:rsidR="006F3E0F">
        <w:rPr>
          <w:rFonts w:cstheme="minorHAnsi"/>
        </w:rPr>
        <w:t xml:space="preserve"> previously</w:t>
      </w:r>
      <w:r w:rsidR="00C94627">
        <w:rPr>
          <w:rFonts w:cstheme="minorHAnsi"/>
        </w:rPr>
        <w:t>.</w:t>
      </w:r>
      <w:r w:rsidR="00E07AF4" w:rsidDel="00C94627">
        <w:rPr>
          <w:rFonts w:cstheme="minorHAnsi"/>
        </w:rPr>
        <w:t xml:space="preserve"> </w:t>
      </w:r>
    </w:p>
    <w:p w14:paraId="0E5DE157" w14:textId="737224D6" w:rsidR="1BA4DF62" w:rsidRDefault="68F32F60" w:rsidP="00616784">
      <w:pPr>
        <w:spacing w:before="120" w:after="120"/>
      </w:pPr>
      <w:r w:rsidRPr="51905196">
        <w:t>“Radioactive Substances Events” are those events, incidents or occurrences where there is a real, perceived or potential risk of a member of the public receiving an unplanned radiation dose or harm to the environment (e.g. non-human biota) from such activities.</w:t>
      </w:r>
    </w:p>
    <w:p w14:paraId="708AE22C" w14:textId="2E05743E" w:rsidR="1BA4DF62" w:rsidRDefault="68F32F60" w:rsidP="00616784">
      <w:pPr>
        <w:spacing w:before="120" w:after="120"/>
      </w:pPr>
      <w:r w:rsidRPr="51905196">
        <w:t>It relates to both radioactive material and radioactive waste as defined by</w:t>
      </w:r>
      <w:r w:rsidR="00DB78DE">
        <w:t xml:space="preserve"> the Environmental </w:t>
      </w:r>
      <w:r w:rsidR="00776A7B">
        <w:t>Authorisations (Scotland) Regulations</w:t>
      </w:r>
      <w:r w:rsidRPr="51905196">
        <w:t xml:space="preserve"> </w:t>
      </w:r>
      <w:r w:rsidR="00776A7B">
        <w:t>(</w:t>
      </w:r>
      <w:r w:rsidRPr="51905196">
        <w:t>EASR</w:t>
      </w:r>
      <w:r w:rsidR="00776A7B">
        <w:t>)</w:t>
      </w:r>
      <w:r w:rsidR="009E26B0">
        <w:t>,</w:t>
      </w:r>
      <w:r w:rsidRPr="51905196">
        <w:t xml:space="preserve"> as well as substances </w:t>
      </w:r>
      <w:r w:rsidR="0008765D">
        <w:t>that</w:t>
      </w:r>
      <w:r w:rsidRPr="51905196">
        <w:t xml:space="preserve"> are believed to be radioactive at the time</w:t>
      </w:r>
      <w:r w:rsidR="003761B6" w:rsidRPr="51905196">
        <w:t>,</w:t>
      </w:r>
      <w:r w:rsidRPr="51905196">
        <w:t xml:space="preserve"> and </w:t>
      </w:r>
      <w:r w:rsidR="0008765D">
        <w:t>that</w:t>
      </w:r>
      <w:r w:rsidRPr="51905196">
        <w:t xml:space="preserve"> are subsequently proven not to be.</w:t>
      </w:r>
    </w:p>
    <w:p w14:paraId="521F7B4C" w14:textId="13AF477D" w:rsidR="1BA4DF62" w:rsidRDefault="68F32F60" w:rsidP="00616784">
      <w:pPr>
        <w:spacing w:before="120" w:after="120"/>
      </w:pPr>
      <w:r w:rsidRPr="51905196">
        <w:t xml:space="preserve">Events can occur at any location and can involve authorised persons or authorised places under EASR. Events can occur at any time, including those periods </w:t>
      </w:r>
      <w:proofErr w:type="spellStart"/>
      <w:r w:rsidRPr="51905196">
        <w:t>outwith</w:t>
      </w:r>
      <w:proofErr w:type="spellEnd"/>
      <w:r w:rsidRPr="51905196">
        <w:t xml:space="preserve"> normal business hours.</w:t>
      </w:r>
    </w:p>
    <w:p w14:paraId="1061116E" w14:textId="4AB14397" w:rsidR="1BA4DF62" w:rsidRDefault="68F32F60" w:rsidP="00616784">
      <w:pPr>
        <w:spacing w:before="120" w:after="120"/>
      </w:pPr>
      <w:r w:rsidRPr="51905196">
        <w:t>The regulation of radioactive substances in the UK is shared between different regulators; SEPA is responsible for regulating the management of radioactive substances in Scotland.</w:t>
      </w:r>
    </w:p>
    <w:p w14:paraId="4117F2D3" w14:textId="4AD3C0F9" w:rsidR="1BA4DF62" w:rsidRDefault="00F53CE7" w:rsidP="00616784">
      <w:pPr>
        <w:spacing w:before="120" w:after="120"/>
      </w:pPr>
      <w:r>
        <w:t>If you have any questions surrounding an environmental event involving rad</w:t>
      </w:r>
      <w:r w:rsidR="008317AF">
        <w:t xml:space="preserve">ioactive substances, please contact us on </w:t>
      </w:r>
      <w:hyperlink r:id="rId11" w:history="1">
        <w:r w:rsidR="00226084" w:rsidRPr="00B834DF">
          <w:rPr>
            <w:rStyle w:val="Hyperlink"/>
          </w:rPr>
          <w:t>rsenquiries@sepa.org.uk</w:t>
        </w:r>
      </w:hyperlink>
      <w:r w:rsidR="00226084">
        <w:t xml:space="preserve">. </w:t>
      </w:r>
    </w:p>
    <w:p w14:paraId="13C04FC3" w14:textId="7FB84847" w:rsidR="0096733A" w:rsidRDefault="00CB345A" w:rsidP="00616784">
      <w:pPr>
        <w:spacing w:before="120" w:after="120"/>
      </w:pPr>
      <w:r>
        <w:t xml:space="preserve">The </w:t>
      </w:r>
      <w:r w:rsidR="001011D1">
        <w:t>four categories of environmental</w:t>
      </w:r>
      <w:r>
        <w:t xml:space="preserve"> events for radioactive substances are </w:t>
      </w:r>
      <w:r w:rsidR="000032F7">
        <w:t>laid out below:</w:t>
      </w:r>
    </w:p>
    <w:p w14:paraId="0D9DC0B8" w14:textId="19708DD7" w:rsidR="003C0D29" w:rsidRDefault="003C0D29" w:rsidP="00D76123">
      <w:r>
        <w:br w:type="page"/>
      </w:r>
    </w:p>
    <w:p w14:paraId="737D46B2" w14:textId="2B806F77" w:rsidR="00933BC0" w:rsidRDefault="00933BC0" w:rsidP="00940BB6">
      <w:pPr>
        <w:pStyle w:val="Heading2"/>
      </w:pPr>
      <w:r>
        <w:lastRenderedPageBreak/>
        <w:t>Category 1</w:t>
      </w:r>
    </w:p>
    <w:p w14:paraId="3D5C35C6" w14:textId="0BAB6D16" w:rsidR="000032F7" w:rsidRPr="00D76123" w:rsidRDefault="000032F7" w:rsidP="00273082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An event involving radioactive substances </w:t>
      </w:r>
      <w:proofErr w:type="gramStart"/>
      <w:r w:rsidRPr="00D76123">
        <w:rPr>
          <w:rFonts w:ascii="Arial" w:hAnsi="Arial" w:cs="Arial"/>
        </w:rPr>
        <w:t>is considered to be</w:t>
      </w:r>
      <w:proofErr w:type="gramEnd"/>
      <w:r w:rsidRPr="00D76123">
        <w:rPr>
          <w:rFonts w:ascii="Arial" w:hAnsi="Arial" w:cs="Arial"/>
        </w:rPr>
        <w:t xml:space="preserve"> </w:t>
      </w:r>
      <w:r w:rsidR="00245749">
        <w:rPr>
          <w:rFonts w:ascii="Arial" w:hAnsi="Arial" w:cs="Arial"/>
        </w:rPr>
        <w:t>most serious</w:t>
      </w:r>
      <w:r w:rsidRPr="00D76123">
        <w:rPr>
          <w:rFonts w:ascii="Arial" w:hAnsi="Arial" w:cs="Arial"/>
        </w:rPr>
        <w:t xml:space="preserve"> where:</w:t>
      </w:r>
    </w:p>
    <w:p w14:paraId="1587BBAF" w14:textId="77777777" w:rsidR="000032F7" w:rsidRPr="00D76123" w:rsidRDefault="000032F7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 total dose to a member of the public</w:t>
      </w:r>
      <w:r w:rsidRPr="00D76123">
        <w:rPr>
          <w:rFonts w:ascii="Arial" w:eastAsiaTheme="majorEastAsia" w:hAnsi="Arial" w:cs="Arial"/>
          <w:vertAlign w:val="superscript"/>
        </w:rPr>
        <w:footnoteReference w:id="2"/>
      </w:r>
      <w:r w:rsidRPr="00D76123">
        <w:rPr>
          <w:rFonts w:ascii="Arial" w:hAnsi="Arial" w:cs="Arial"/>
        </w:rPr>
        <w:t xml:space="preserve"> may </w:t>
      </w:r>
      <w:r w:rsidRPr="00D76123">
        <w:rPr>
          <w:rFonts w:ascii="Arial" w:hAnsi="Arial" w:cs="Arial"/>
          <w:b/>
          <w:bCs/>
        </w:rPr>
        <w:t>exceed 5 mSv/y</w:t>
      </w:r>
      <w:r w:rsidRPr="00D76123">
        <w:rPr>
          <w:rFonts w:ascii="Arial" w:eastAsiaTheme="majorEastAsia" w:hAnsi="Arial" w:cs="Arial"/>
          <w:vertAlign w:val="superscript"/>
        </w:rPr>
        <w:footnoteReference w:id="3"/>
      </w:r>
      <w:r w:rsidRPr="00D76123">
        <w:rPr>
          <w:rFonts w:ascii="Arial" w:hAnsi="Arial" w:cs="Arial"/>
        </w:rPr>
        <w:t>; or</w:t>
      </w:r>
    </w:p>
    <w:p w14:paraId="1337D862" w14:textId="77777777" w:rsidR="000032F7" w:rsidRPr="00D76123" w:rsidRDefault="000032F7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There is widespread radioactive contamination requiring countermeasures; or</w:t>
      </w:r>
    </w:p>
    <w:p w14:paraId="6074D6BB" w14:textId="77777777" w:rsidR="000032F7" w:rsidRPr="00D76123" w:rsidRDefault="000032F7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Considerable secondary radioactive waste has been generated </w:t>
      </w:r>
      <w:proofErr w:type="gramStart"/>
      <w:r w:rsidRPr="00D76123">
        <w:rPr>
          <w:rFonts w:ascii="Arial" w:hAnsi="Arial" w:cs="Arial"/>
        </w:rPr>
        <w:t>as a result of</w:t>
      </w:r>
      <w:proofErr w:type="gramEnd"/>
      <w:r w:rsidRPr="00D76123">
        <w:rPr>
          <w:rFonts w:ascii="Arial" w:hAnsi="Arial" w:cs="Arial"/>
        </w:rPr>
        <w:t xml:space="preserve"> the event; or</w:t>
      </w:r>
    </w:p>
    <w:p w14:paraId="7D5EA76F" w14:textId="77777777" w:rsidR="000032F7" w:rsidRPr="00D76123" w:rsidRDefault="000032F7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There is major impairment to commercial services in the vicinity of the event; or</w:t>
      </w:r>
    </w:p>
    <w:p w14:paraId="334A55EB" w14:textId="77777777" w:rsidR="000032F7" w:rsidRPr="00D76123" w:rsidRDefault="000032F7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There is major adverse effect on the amenity value in the vicinity of the event.</w:t>
      </w:r>
    </w:p>
    <w:p w14:paraId="45CEF74E" w14:textId="77777777" w:rsidR="000032F7" w:rsidRPr="00D76123" w:rsidRDefault="000032F7" w:rsidP="00616784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widespread</w:t>
      </w:r>
      <w:proofErr w:type="gramEnd"/>
      <w:r w:rsidRPr="00D76123">
        <w:rPr>
          <w:rFonts w:ascii="Arial" w:hAnsi="Arial" w:cs="Arial"/>
        </w:rPr>
        <w:t xml:space="preserve"> contamination” would typically involve an event where the contamination could not be/has not been readily contained, such as a large discharge to atmosphere following a fire.</w:t>
      </w:r>
    </w:p>
    <w:p w14:paraId="2FF24A7F" w14:textId="77777777" w:rsidR="000032F7" w:rsidRPr="00D76123" w:rsidRDefault="000032F7" w:rsidP="00616784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considerable</w:t>
      </w:r>
      <w:proofErr w:type="gramEnd"/>
      <w:r w:rsidRPr="00D76123">
        <w:rPr>
          <w:rFonts w:ascii="Arial" w:hAnsi="Arial" w:cs="Arial"/>
        </w:rPr>
        <w:t xml:space="preserve"> secondary radioactive waste” would typically mean amounts greater than 5m</w:t>
      </w:r>
      <w:r w:rsidRPr="00D76123">
        <w:rPr>
          <w:rFonts w:ascii="Arial" w:hAnsi="Arial" w:cs="Arial"/>
          <w:vertAlign w:val="superscript"/>
        </w:rPr>
        <w:t>3</w:t>
      </w:r>
      <w:r w:rsidRPr="00D76123">
        <w:rPr>
          <w:rFonts w:ascii="Arial" w:hAnsi="Arial" w:cs="Arial"/>
        </w:rPr>
        <w:t xml:space="preserve"> of solid, longer-lived LLW which require disposal to an authorised person.</w:t>
      </w:r>
    </w:p>
    <w:p w14:paraId="7D20B7D5" w14:textId="77777777" w:rsidR="000032F7" w:rsidRPr="00D76123" w:rsidRDefault="000032F7" w:rsidP="00616784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major</w:t>
      </w:r>
      <w:proofErr w:type="gramEnd"/>
      <w:r w:rsidRPr="00D76123">
        <w:rPr>
          <w:rFonts w:ascii="Arial" w:hAnsi="Arial" w:cs="Arial"/>
        </w:rPr>
        <w:t xml:space="preserve"> impairment” relating to commercial activities would usually involve the closure of multiple businesses in the vicinity of the event.</w:t>
      </w:r>
    </w:p>
    <w:p w14:paraId="51CC5142" w14:textId="6B397471" w:rsidR="002D3F23" w:rsidRDefault="000032F7" w:rsidP="00616784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major</w:t>
      </w:r>
      <w:proofErr w:type="gramEnd"/>
      <w:r w:rsidRPr="00D76123">
        <w:rPr>
          <w:rFonts w:ascii="Arial" w:hAnsi="Arial" w:cs="Arial"/>
        </w:rPr>
        <w:t xml:space="preserve"> adverse effect” relating to amenity value would typically be an event which prohibits the normal range of activities at an important recreation activity, event or public space.</w:t>
      </w:r>
    </w:p>
    <w:p w14:paraId="39B7A204" w14:textId="77777777" w:rsidR="008A6932" w:rsidRDefault="008A6932" w:rsidP="000032F7">
      <w:pPr>
        <w:rPr>
          <w:rFonts w:ascii="Arial" w:hAnsi="Arial" w:cs="Arial"/>
        </w:rPr>
      </w:pPr>
    </w:p>
    <w:p w14:paraId="07FE00C3" w14:textId="2B46A2B6" w:rsidR="008A6932" w:rsidRDefault="008A6932" w:rsidP="008A6932">
      <w:pPr>
        <w:pStyle w:val="Heading2"/>
      </w:pPr>
      <w:r>
        <w:t>Category 2</w:t>
      </w:r>
    </w:p>
    <w:p w14:paraId="02568D13" w14:textId="77777777" w:rsidR="008A6932" w:rsidRPr="00D76123" w:rsidRDefault="008A6932" w:rsidP="00273082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An event involving radioactive substances </w:t>
      </w:r>
      <w:proofErr w:type="gramStart"/>
      <w:r w:rsidRPr="00D76123">
        <w:rPr>
          <w:rFonts w:ascii="Arial" w:hAnsi="Arial" w:cs="Arial"/>
        </w:rPr>
        <w:t>is considered to be</w:t>
      </w:r>
      <w:proofErr w:type="gramEnd"/>
      <w:r w:rsidRPr="00D76123">
        <w:rPr>
          <w:rFonts w:ascii="Arial" w:hAnsi="Arial" w:cs="Arial"/>
        </w:rPr>
        <w:t xml:space="preserve"> serious where:</w:t>
      </w:r>
    </w:p>
    <w:p w14:paraId="4D6EB7D1" w14:textId="77777777" w:rsidR="008A6932" w:rsidRPr="00D76123" w:rsidRDefault="008A6932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 total dose to a member of the public</w:t>
      </w:r>
      <w:r w:rsidRPr="00D76123">
        <w:t xml:space="preserve"> </w:t>
      </w:r>
      <w:r w:rsidRPr="00D76123">
        <w:rPr>
          <w:rFonts w:ascii="Arial" w:hAnsi="Arial" w:cs="Arial"/>
        </w:rPr>
        <w:t xml:space="preserve">falls </w:t>
      </w:r>
      <w:r w:rsidRPr="00D76123">
        <w:rPr>
          <w:rFonts w:ascii="Arial" w:hAnsi="Arial" w:cs="Arial"/>
          <w:b/>
          <w:bCs/>
        </w:rPr>
        <w:t>between 1 mSv/y and 5 mSv/y</w:t>
      </w:r>
      <w:r w:rsidRPr="00D76123">
        <w:rPr>
          <w:rFonts w:ascii="Arial" w:hAnsi="Arial" w:cs="Arial"/>
        </w:rPr>
        <w:t>; or</w:t>
      </w:r>
    </w:p>
    <w:p w14:paraId="2B8EA352" w14:textId="32B485B4" w:rsidR="008A6932" w:rsidRPr="00D76123" w:rsidRDefault="008A6932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It involves a </w:t>
      </w:r>
      <w:r w:rsidR="001D5251" w:rsidRPr="00D76123">
        <w:rPr>
          <w:rFonts w:ascii="Arial" w:hAnsi="Arial" w:cs="Arial"/>
        </w:rPr>
        <w:t>high activity</w:t>
      </w:r>
      <w:r w:rsidRPr="00D76123">
        <w:rPr>
          <w:rFonts w:ascii="Arial" w:hAnsi="Arial" w:cs="Arial"/>
        </w:rPr>
        <w:t xml:space="preserve"> sealed source (HASS)</w:t>
      </w:r>
      <w:r w:rsidRPr="00D76123">
        <w:rPr>
          <w:rFonts w:ascii="Arial" w:eastAsiaTheme="majorEastAsia" w:hAnsi="Arial" w:cs="Arial"/>
          <w:vertAlign w:val="superscript"/>
        </w:rPr>
        <w:footnoteReference w:id="4"/>
      </w:r>
      <w:r w:rsidRPr="00D76123">
        <w:rPr>
          <w:rFonts w:ascii="Arial" w:hAnsi="Arial" w:cs="Arial"/>
        </w:rPr>
        <w:t>; or</w:t>
      </w:r>
    </w:p>
    <w:p w14:paraId="1A1C5BD4" w14:textId="77777777" w:rsidR="008A6932" w:rsidRPr="00D76123" w:rsidRDefault="008A6932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It involves an unsealed source with an activity greater than its D value; or</w:t>
      </w:r>
    </w:p>
    <w:p w14:paraId="4CFBA217" w14:textId="77777777" w:rsidR="008A6932" w:rsidRPr="00D76123" w:rsidRDefault="008A6932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There is significant spread of contamination; or </w:t>
      </w:r>
    </w:p>
    <w:p w14:paraId="6C863088" w14:textId="005BE4F5" w:rsidR="008A6932" w:rsidRPr="00D76123" w:rsidRDefault="00EA7FFB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8A6932" w:rsidRPr="00D76123">
        <w:rPr>
          <w:rFonts w:ascii="Arial" w:hAnsi="Arial" w:cs="Arial"/>
        </w:rPr>
        <w:t xml:space="preserve">ignificant secondary radioactive waste has been generated </w:t>
      </w:r>
      <w:proofErr w:type="gramStart"/>
      <w:r w:rsidR="008A6932" w:rsidRPr="00D76123">
        <w:rPr>
          <w:rFonts w:ascii="Arial" w:hAnsi="Arial" w:cs="Arial"/>
        </w:rPr>
        <w:t>as a result of</w:t>
      </w:r>
      <w:proofErr w:type="gramEnd"/>
      <w:r w:rsidR="008A6932" w:rsidRPr="00D76123">
        <w:rPr>
          <w:rFonts w:ascii="Arial" w:hAnsi="Arial" w:cs="Arial"/>
        </w:rPr>
        <w:t xml:space="preserve"> the event; or</w:t>
      </w:r>
    </w:p>
    <w:p w14:paraId="7300CBFC" w14:textId="77777777" w:rsidR="008A6932" w:rsidRPr="00D76123" w:rsidRDefault="008A6932" w:rsidP="00273082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There is major impairment to commercial services in the vicinity of the event; or</w:t>
      </w:r>
    </w:p>
    <w:p w14:paraId="009E890C" w14:textId="77777777" w:rsidR="008A6932" w:rsidRPr="00D76123" w:rsidRDefault="008A6932" w:rsidP="00A3501E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There is significant disturbance to commercial activities in the vicinity of the event; or</w:t>
      </w:r>
    </w:p>
    <w:p w14:paraId="5CFC46A2" w14:textId="77777777" w:rsidR="008A6932" w:rsidRPr="00D76123" w:rsidRDefault="008A6932" w:rsidP="00A3501E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There is a significant reduction in the amenity value of the area affected.</w:t>
      </w:r>
    </w:p>
    <w:p w14:paraId="552E944F" w14:textId="77777777" w:rsidR="008A6932" w:rsidRPr="00D76123" w:rsidRDefault="008A6932" w:rsidP="00A3501E">
      <w:pPr>
        <w:spacing w:before="120" w:after="120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significant</w:t>
      </w:r>
      <w:proofErr w:type="gramEnd"/>
      <w:r w:rsidRPr="00D76123">
        <w:rPr>
          <w:rFonts w:ascii="Arial" w:hAnsi="Arial" w:cs="Arial"/>
        </w:rPr>
        <w:t xml:space="preserve"> contamination” would typically involve an event where the contamination can be contained and access to it controlled but which has spread beyond the area where the radioactive substance is normally kept.</w:t>
      </w:r>
    </w:p>
    <w:p w14:paraId="76FC8FBC" w14:textId="77777777" w:rsidR="008A6932" w:rsidRPr="00D76123" w:rsidRDefault="008A6932" w:rsidP="00A3501E">
      <w:pPr>
        <w:spacing w:before="120" w:after="120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significant</w:t>
      </w:r>
      <w:proofErr w:type="gramEnd"/>
      <w:r w:rsidRPr="00D76123">
        <w:rPr>
          <w:rFonts w:ascii="Arial" w:hAnsi="Arial" w:cs="Arial"/>
        </w:rPr>
        <w:t xml:space="preserve"> secondary radioactive waste” would typically mean amounts of less than 5m</w:t>
      </w:r>
      <w:r w:rsidRPr="00D76123">
        <w:rPr>
          <w:rFonts w:ascii="Arial" w:hAnsi="Arial" w:cs="Arial"/>
          <w:vertAlign w:val="superscript"/>
        </w:rPr>
        <w:t>3</w:t>
      </w:r>
      <w:r w:rsidRPr="00D76123">
        <w:rPr>
          <w:rFonts w:ascii="Arial" w:hAnsi="Arial" w:cs="Arial"/>
        </w:rPr>
        <w:t xml:space="preserve"> of longer-lived LLW which require disposal to an authorised person.</w:t>
      </w:r>
    </w:p>
    <w:p w14:paraId="760DA224" w14:textId="56C26001" w:rsidR="008A6932" w:rsidRDefault="008A6932" w:rsidP="00A3501E">
      <w:pPr>
        <w:spacing w:before="120" w:after="120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significant</w:t>
      </w:r>
      <w:proofErr w:type="gramEnd"/>
      <w:r w:rsidRPr="00D76123">
        <w:rPr>
          <w:rFonts w:ascii="Arial" w:hAnsi="Arial" w:cs="Arial"/>
        </w:rPr>
        <w:t xml:space="preserve"> disturbance” relating to commercial activities would usually only involve disruption to economic activity rather than closure of the businesses affected.</w:t>
      </w:r>
    </w:p>
    <w:p w14:paraId="31F7B2C9" w14:textId="77777777" w:rsidR="008A6932" w:rsidRDefault="008A6932" w:rsidP="000032F7">
      <w:pPr>
        <w:rPr>
          <w:rFonts w:ascii="Arial" w:hAnsi="Arial" w:cs="Arial"/>
        </w:rPr>
      </w:pPr>
    </w:p>
    <w:p w14:paraId="05D20385" w14:textId="187002D7" w:rsidR="004A3A03" w:rsidRDefault="004A3A03" w:rsidP="004A3A03">
      <w:pPr>
        <w:pStyle w:val="Heading2"/>
      </w:pPr>
      <w:r>
        <w:t>Category 3</w:t>
      </w:r>
    </w:p>
    <w:p w14:paraId="7AF00CFB" w14:textId="77777777" w:rsidR="004A3A03" w:rsidRPr="00D76123" w:rsidRDefault="004A3A03" w:rsidP="00273082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An event involving radioactive substances </w:t>
      </w:r>
      <w:proofErr w:type="gramStart"/>
      <w:r w:rsidRPr="00D76123">
        <w:rPr>
          <w:rFonts w:ascii="Arial" w:hAnsi="Arial" w:cs="Arial"/>
        </w:rPr>
        <w:t>is considered to be</w:t>
      </w:r>
      <w:proofErr w:type="gramEnd"/>
      <w:r w:rsidRPr="00D76123">
        <w:rPr>
          <w:rFonts w:ascii="Arial" w:hAnsi="Arial" w:cs="Arial"/>
        </w:rPr>
        <w:t xml:space="preserve"> minor where:</w:t>
      </w:r>
    </w:p>
    <w:p w14:paraId="662EFCAE" w14:textId="77777777" w:rsidR="004A3A03" w:rsidRPr="00D76123" w:rsidRDefault="004A3A03" w:rsidP="00C1623D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 total dose to a member of the public</w:t>
      </w:r>
      <w:r w:rsidRPr="00D76123">
        <w:t xml:space="preserve"> </w:t>
      </w:r>
      <w:r w:rsidRPr="00D76123">
        <w:rPr>
          <w:rFonts w:ascii="Arial" w:hAnsi="Arial" w:cs="Arial"/>
        </w:rPr>
        <w:t xml:space="preserve">falls </w:t>
      </w:r>
      <w:r w:rsidRPr="00D76123">
        <w:rPr>
          <w:rFonts w:ascii="Arial" w:hAnsi="Arial" w:cs="Arial"/>
          <w:b/>
          <w:bCs/>
        </w:rPr>
        <w:t>between 10 µ</w:t>
      </w:r>
      <w:proofErr w:type="spellStart"/>
      <w:r w:rsidRPr="00D76123">
        <w:rPr>
          <w:rFonts w:ascii="Arial" w:hAnsi="Arial" w:cs="Arial"/>
          <w:b/>
          <w:bCs/>
        </w:rPr>
        <w:t>Sv</w:t>
      </w:r>
      <w:proofErr w:type="spellEnd"/>
      <w:r w:rsidRPr="00D76123">
        <w:rPr>
          <w:rFonts w:ascii="Arial" w:hAnsi="Arial" w:cs="Arial"/>
          <w:b/>
          <w:bCs/>
        </w:rPr>
        <w:t>/y and 1 mSv/y</w:t>
      </w:r>
      <w:r w:rsidRPr="00D76123">
        <w:rPr>
          <w:rFonts w:ascii="Arial" w:hAnsi="Arial" w:cs="Arial"/>
        </w:rPr>
        <w:t>; or</w:t>
      </w:r>
    </w:p>
    <w:p w14:paraId="33A09706" w14:textId="3F38FC78" w:rsidR="004A3A03" w:rsidRPr="00D76123" w:rsidRDefault="004A3A03" w:rsidP="00C1623D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It involves a </w:t>
      </w:r>
      <w:r w:rsidRPr="51905196">
        <w:rPr>
          <w:rFonts w:ascii="Arial" w:hAnsi="Arial" w:cs="Arial"/>
        </w:rPr>
        <w:t>sealed source in IAEA Categories 1 to 4 that is not HASS</w:t>
      </w:r>
      <w:r w:rsidRPr="00D76123">
        <w:rPr>
          <w:rFonts w:ascii="Arial" w:hAnsi="Arial" w:cs="Arial"/>
        </w:rPr>
        <w:t xml:space="preserve"> or</w:t>
      </w:r>
    </w:p>
    <w:p w14:paraId="32CE85AA" w14:textId="77777777" w:rsidR="004A3A03" w:rsidRPr="00D76123" w:rsidRDefault="004A3A03" w:rsidP="00C1623D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It involves an unsealed source with an activity greater than its D value; or</w:t>
      </w:r>
    </w:p>
    <w:p w14:paraId="37EAA559" w14:textId="77777777" w:rsidR="004A3A03" w:rsidRPr="00D76123" w:rsidRDefault="004A3A03" w:rsidP="00C1623D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Negligible secondary radioactive waste has been generated </w:t>
      </w:r>
      <w:proofErr w:type="gramStart"/>
      <w:r w:rsidRPr="00D76123">
        <w:rPr>
          <w:rFonts w:ascii="Arial" w:hAnsi="Arial" w:cs="Arial"/>
        </w:rPr>
        <w:t>as a result of</w:t>
      </w:r>
      <w:proofErr w:type="gramEnd"/>
      <w:r w:rsidRPr="00D76123">
        <w:rPr>
          <w:rFonts w:ascii="Arial" w:hAnsi="Arial" w:cs="Arial"/>
        </w:rPr>
        <w:t xml:space="preserve"> the event; or</w:t>
      </w:r>
    </w:p>
    <w:p w14:paraId="3FD611F6" w14:textId="77777777" w:rsidR="004A3A03" w:rsidRPr="00D76123" w:rsidRDefault="004A3A03" w:rsidP="00C1623D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Minor spread of contamination; or</w:t>
      </w:r>
    </w:p>
    <w:p w14:paraId="127BE0EA" w14:textId="77777777" w:rsidR="004A3A03" w:rsidRPr="00D76123" w:rsidRDefault="004A3A03" w:rsidP="00C1623D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76123">
        <w:rPr>
          <w:rFonts w:ascii="Arial" w:hAnsi="Arial" w:cs="Arial"/>
        </w:rPr>
        <w:t>inor impairment to commercial services in the vicinity of the event; or</w:t>
      </w:r>
    </w:p>
    <w:p w14:paraId="35701C9E" w14:textId="77777777" w:rsidR="004A3A03" w:rsidRPr="00D76123" w:rsidRDefault="004A3A03" w:rsidP="00C1623D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76123">
        <w:rPr>
          <w:rFonts w:ascii="Arial" w:hAnsi="Arial" w:cs="Arial"/>
        </w:rPr>
        <w:t>inor reduction in the amenity value of the area affected.</w:t>
      </w:r>
    </w:p>
    <w:p w14:paraId="2906A84D" w14:textId="77777777" w:rsidR="004A3A03" w:rsidRPr="00D76123" w:rsidRDefault="004A3A03" w:rsidP="00273082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minor</w:t>
      </w:r>
      <w:proofErr w:type="gramEnd"/>
      <w:r w:rsidRPr="00D76123">
        <w:rPr>
          <w:rFonts w:ascii="Arial" w:hAnsi="Arial" w:cs="Arial"/>
        </w:rPr>
        <w:t xml:space="preserve"> contamination” would typically involve an event where the contamination has been contained to the room in which the radioactive substance is normally kept and access to the room is controlled.</w:t>
      </w:r>
    </w:p>
    <w:p w14:paraId="7F734FB6" w14:textId="77777777" w:rsidR="004A3A03" w:rsidRPr="00D76123" w:rsidRDefault="004A3A03" w:rsidP="00273082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negligible</w:t>
      </w:r>
      <w:proofErr w:type="gramEnd"/>
      <w:r w:rsidRPr="00D76123">
        <w:rPr>
          <w:rFonts w:ascii="Arial" w:hAnsi="Arial" w:cs="Arial"/>
        </w:rPr>
        <w:t xml:space="preserve"> secondary radioactive waste” would typically mean items such as gloves or short-lived waste which can be expected to decay away in a reasonably short period of time (e.g., Tc-99m).</w:t>
      </w:r>
    </w:p>
    <w:p w14:paraId="05C5ECBC" w14:textId="77777777" w:rsidR="004A3A03" w:rsidRDefault="004A3A03" w:rsidP="00273082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lastRenderedPageBreak/>
        <w:t>“</w:t>
      </w:r>
      <w:proofErr w:type="gramStart"/>
      <w:r w:rsidRPr="00D76123">
        <w:rPr>
          <w:rFonts w:ascii="Arial" w:hAnsi="Arial" w:cs="Arial"/>
        </w:rPr>
        <w:t>minor</w:t>
      </w:r>
      <w:proofErr w:type="gramEnd"/>
      <w:r w:rsidRPr="00D76123">
        <w:rPr>
          <w:rFonts w:ascii="Arial" w:hAnsi="Arial" w:cs="Arial"/>
        </w:rPr>
        <w:t xml:space="preserve"> impairment” relating to commercial activities would usually involve some disruption for a short period of time without any significant economic loss to the businesses affected.</w:t>
      </w:r>
    </w:p>
    <w:p w14:paraId="6B5AF567" w14:textId="77777777" w:rsidR="00B43784" w:rsidRPr="00D76123" w:rsidRDefault="00B43784" w:rsidP="00273082">
      <w:pPr>
        <w:spacing w:before="120"/>
        <w:rPr>
          <w:rFonts w:ascii="Arial" w:hAnsi="Arial" w:cs="Arial"/>
        </w:rPr>
      </w:pPr>
    </w:p>
    <w:p w14:paraId="3360DC7F" w14:textId="1517A644" w:rsidR="008A6932" w:rsidDel="009B55B8" w:rsidRDefault="004A3A03" w:rsidP="004A3A03">
      <w:pPr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minor</w:t>
      </w:r>
      <w:proofErr w:type="gramEnd"/>
      <w:r w:rsidRPr="00D76123">
        <w:rPr>
          <w:rFonts w:ascii="Arial" w:hAnsi="Arial" w:cs="Arial"/>
        </w:rPr>
        <w:t xml:space="preserve"> reduction” in relation to amenity value would typically mean a localised or transitory effect on local amenities that aren’t necessarily considered to be sensitive receptors, such as sports pitches. Normally, a small proportion of the amenity area would be </w:t>
      </w:r>
      <w:proofErr w:type="gramStart"/>
      <w:r w:rsidRPr="00D76123">
        <w:rPr>
          <w:rFonts w:ascii="Arial" w:hAnsi="Arial" w:cs="Arial"/>
        </w:rPr>
        <w:t>affec</w:t>
      </w:r>
      <w:r w:rsidRPr="00D76123" w:rsidDel="009B55B8">
        <w:rPr>
          <w:rFonts w:ascii="Arial" w:hAnsi="Arial" w:cs="Arial"/>
        </w:rPr>
        <w:t>ted</w:t>
      </w:r>
      <w:proofErr w:type="gramEnd"/>
      <w:r w:rsidRPr="00D76123" w:rsidDel="009B55B8">
        <w:rPr>
          <w:rFonts w:ascii="Arial" w:hAnsi="Arial" w:cs="Arial"/>
        </w:rPr>
        <w:t xml:space="preserve"> and people would still be using the area despite the event.</w:t>
      </w:r>
    </w:p>
    <w:p w14:paraId="4A587B9A" w14:textId="77777777" w:rsidR="008A6932" w:rsidDel="009B55B8" w:rsidRDefault="008A6932" w:rsidP="000032F7">
      <w:pPr>
        <w:rPr>
          <w:rFonts w:ascii="Arial" w:hAnsi="Arial" w:cs="Arial"/>
        </w:rPr>
      </w:pPr>
    </w:p>
    <w:p w14:paraId="051D03DB" w14:textId="57F7C37E" w:rsidR="004A3A03" w:rsidDel="009B55B8" w:rsidRDefault="004A3A03" w:rsidP="004A3A03">
      <w:pPr>
        <w:pStyle w:val="Heading2"/>
      </w:pPr>
      <w:r w:rsidDel="009B55B8">
        <w:t>Category 4</w:t>
      </w:r>
    </w:p>
    <w:p w14:paraId="1CE91F18" w14:textId="77777777" w:rsidR="004A3A03" w:rsidRPr="00D76123" w:rsidRDefault="004A3A03" w:rsidP="004A3A03">
      <w:pPr>
        <w:spacing w:before="120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An event involving radioactive substances </w:t>
      </w:r>
      <w:proofErr w:type="gramStart"/>
      <w:r w:rsidRPr="00D76123">
        <w:rPr>
          <w:rFonts w:ascii="Arial" w:hAnsi="Arial" w:cs="Arial"/>
        </w:rPr>
        <w:t>is considered to be</w:t>
      </w:r>
      <w:proofErr w:type="gramEnd"/>
      <w:r w:rsidRPr="00D76123">
        <w:rPr>
          <w:rFonts w:ascii="Arial" w:hAnsi="Arial" w:cs="Arial"/>
        </w:rPr>
        <w:t xml:space="preserve"> ‘other’ where:</w:t>
      </w:r>
    </w:p>
    <w:p w14:paraId="365AA081" w14:textId="77777777" w:rsidR="004A3A03" w:rsidRPr="00D76123" w:rsidRDefault="004A3A03" w:rsidP="004A3A03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>The total dose to a member of the public</w:t>
      </w:r>
      <w:r w:rsidRPr="00D76123">
        <w:t xml:space="preserve"> </w:t>
      </w:r>
      <w:r w:rsidRPr="00D76123">
        <w:rPr>
          <w:rFonts w:ascii="Arial" w:hAnsi="Arial" w:cs="Arial"/>
        </w:rPr>
        <w:t xml:space="preserve">falls </w:t>
      </w:r>
      <w:r w:rsidRPr="00D76123">
        <w:rPr>
          <w:rFonts w:ascii="Arial" w:hAnsi="Arial" w:cs="Arial"/>
          <w:b/>
          <w:bCs/>
        </w:rPr>
        <w:t>below 10 µ</w:t>
      </w:r>
      <w:proofErr w:type="spellStart"/>
      <w:r w:rsidRPr="00D76123">
        <w:rPr>
          <w:rFonts w:ascii="Arial" w:hAnsi="Arial" w:cs="Arial"/>
          <w:b/>
          <w:bCs/>
        </w:rPr>
        <w:t>Sv</w:t>
      </w:r>
      <w:proofErr w:type="spellEnd"/>
      <w:r w:rsidRPr="00D76123">
        <w:rPr>
          <w:rFonts w:ascii="Arial" w:hAnsi="Arial" w:cs="Arial"/>
          <w:b/>
          <w:bCs/>
        </w:rPr>
        <w:t>/y</w:t>
      </w:r>
      <w:r w:rsidRPr="00D76123">
        <w:rPr>
          <w:rFonts w:ascii="Arial" w:hAnsi="Arial" w:cs="Arial"/>
        </w:rPr>
        <w:t>; or</w:t>
      </w:r>
    </w:p>
    <w:p w14:paraId="4DCC44F6" w14:textId="77777777" w:rsidR="004A3A03" w:rsidRPr="00D76123" w:rsidRDefault="004A3A03" w:rsidP="004A3A03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 w:rsidRPr="00D76123">
        <w:rPr>
          <w:rFonts w:ascii="Arial" w:hAnsi="Arial" w:cs="Arial"/>
        </w:rPr>
        <w:t xml:space="preserve">No secondary radioactive waste has been generated </w:t>
      </w:r>
      <w:proofErr w:type="gramStart"/>
      <w:r w:rsidRPr="00D76123">
        <w:rPr>
          <w:rFonts w:ascii="Arial" w:hAnsi="Arial" w:cs="Arial"/>
        </w:rPr>
        <w:t>as a result of</w:t>
      </w:r>
      <w:proofErr w:type="gramEnd"/>
      <w:r w:rsidRPr="00D76123">
        <w:rPr>
          <w:rFonts w:ascii="Arial" w:hAnsi="Arial" w:cs="Arial"/>
        </w:rPr>
        <w:t xml:space="preserve"> the event; or</w:t>
      </w:r>
    </w:p>
    <w:p w14:paraId="307E71E0" w14:textId="77777777" w:rsidR="004A3A03" w:rsidRPr="00D76123" w:rsidRDefault="004A3A03" w:rsidP="004A3A03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76123">
        <w:rPr>
          <w:rFonts w:ascii="Arial" w:hAnsi="Arial" w:cs="Arial"/>
        </w:rPr>
        <w:t>o spread of contamination; or</w:t>
      </w:r>
    </w:p>
    <w:p w14:paraId="7DE3766A" w14:textId="77777777" w:rsidR="004A3A03" w:rsidRPr="00D76123" w:rsidRDefault="004A3A03" w:rsidP="004A3A03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76123">
        <w:rPr>
          <w:rFonts w:ascii="Arial" w:hAnsi="Arial" w:cs="Arial"/>
        </w:rPr>
        <w:t>o impairment to commercial services in the vicinity of the event; or</w:t>
      </w:r>
    </w:p>
    <w:p w14:paraId="1A42AAC2" w14:textId="77777777" w:rsidR="004A3A03" w:rsidRPr="00D76123" w:rsidRDefault="004A3A03" w:rsidP="004A3A03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76123">
        <w:rPr>
          <w:rFonts w:ascii="Arial" w:hAnsi="Arial" w:cs="Arial"/>
        </w:rPr>
        <w:t>o impact on the local amenity; or</w:t>
      </w:r>
    </w:p>
    <w:p w14:paraId="0A9D9DD6" w14:textId="77777777" w:rsidR="004A3A03" w:rsidRPr="00D76123" w:rsidRDefault="004A3A03" w:rsidP="004A3A03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76123">
        <w:rPr>
          <w:rFonts w:ascii="Arial" w:hAnsi="Arial" w:cs="Arial"/>
        </w:rPr>
        <w:t>t is a reported event where there is no environmental impact or adverse consequence for the commercial activities or amenity value of the local area; or</w:t>
      </w:r>
    </w:p>
    <w:p w14:paraId="5BBCC78C" w14:textId="77777777" w:rsidR="004A3A03" w:rsidRDefault="004A3A03" w:rsidP="004A3A03">
      <w:pPr>
        <w:numPr>
          <w:ilvl w:val="0"/>
          <w:numId w:val="19"/>
        </w:numPr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76123">
        <w:rPr>
          <w:rFonts w:ascii="Arial" w:hAnsi="Arial" w:cs="Arial"/>
        </w:rPr>
        <w:t>he event was unsubstantiated.</w:t>
      </w:r>
    </w:p>
    <w:p w14:paraId="29A4B731" w14:textId="64B13B38" w:rsidR="004A3A03" w:rsidRPr="00D76123" w:rsidRDefault="004A3A03" w:rsidP="00225A13">
      <w:pPr>
        <w:spacing w:before="120"/>
        <w:ind w:left="57"/>
        <w:rPr>
          <w:rFonts w:ascii="Arial" w:hAnsi="Arial" w:cs="Arial"/>
        </w:rPr>
      </w:pPr>
      <w:r w:rsidRPr="00D76123">
        <w:rPr>
          <w:rFonts w:ascii="Arial" w:hAnsi="Arial" w:cs="Arial"/>
        </w:rPr>
        <w:t>“</w:t>
      </w:r>
      <w:proofErr w:type="gramStart"/>
      <w:r w:rsidRPr="00D76123">
        <w:rPr>
          <w:rFonts w:ascii="Arial" w:hAnsi="Arial" w:cs="Arial"/>
        </w:rPr>
        <w:t>reported</w:t>
      </w:r>
      <w:proofErr w:type="gramEnd"/>
      <w:r w:rsidRPr="00D76123">
        <w:rPr>
          <w:rFonts w:ascii="Arial" w:hAnsi="Arial" w:cs="Arial"/>
        </w:rPr>
        <w:t xml:space="preserve"> event” would usually mean one where the authorised person informs SEPA that a technical or administrative condition of the authorisation may have been contravened or where the potential for environmental, economic, amenity impact did not occur (e.g., forewarning of possible failure).</w:t>
      </w:r>
    </w:p>
    <w:p w14:paraId="030B965F" w14:textId="5E9EFE92" w:rsidR="00963D2E" w:rsidRDefault="004A3A03" w:rsidP="00225A13">
      <w:pPr>
        <w:spacing w:before="120"/>
        <w:ind w:left="57"/>
        <w:rPr>
          <w:rFonts w:ascii="Arial" w:hAnsi="Arial" w:cs="Arial"/>
        </w:rPr>
      </w:pPr>
      <w:r w:rsidRPr="00D76123">
        <w:rPr>
          <w:rFonts w:ascii="Arial" w:hAnsi="Arial" w:cs="Arial"/>
        </w:rPr>
        <w:t>“unsubstantiated” would typically mean those events which were reported, usually by a member of the public, but were subsequently unable to be verified (e.g., fly tipping of radioactive waste)</w:t>
      </w:r>
      <w:r>
        <w:rPr>
          <w:rFonts w:ascii="Arial" w:hAnsi="Arial" w:cs="Arial"/>
        </w:rPr>
        <w:t>.</w:t>
      </w:r>
    </w:p>
    <w:p w14:paraId="3471B633" w14:textId="77777777" w:rsidR="00F53F36" w:rsidRPr="00BF6160" w:rsidRDefault="00F53F36" w:rsidP="00540169">
      <w:pPr>
        <w:contextualSpacing/>
        <w:rPr>
          <w:rFonts w:eastAsia="Aptos" w:cstheme="minorHAnsi"/>
        </w:rPr>
      </w:pPr>
    </w:p>
    <w:sectPr w:rsidR="00F53F36" w:rsidRPr="00BF6160" w:rsidSect="00917B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097B" w14:textId="77777777" w:rsidR="00034FCA" w:rsidRDefault="00034FCA" w:rsidP="00660C79">
      <w:pPr>
        <w:spacing w:line="240" w:lineRule="auto"/>
      </w:pPr>
      <w:r>
        <w:separator/>
      </w:r>
    </w:p>
  </w:endnote>
  <w:endnote w:type="continuationSeparator" w:id="0">
    <w:p w14:paraId="769FD3B6" w14:textId="77777777" w:rsidR="00034FCA" w:rsidRDefault="00034FCA" w:rsidP="00660C79">
      <w:pPr>
        <w:spacing w:line="240" w:lineRule="auto"/>
      </w:pPr>
      <w:r>
        <w:continuationSeparator/>
      </w:r>
    </w:p>
  </w:endnote>
  <w:endnote w:type="continuationNotice" w:id="1">
    <w:p w14:paraId="7E79E18A" w14:textId="77777777" w:rsidR="00034FCA" w:rsidRDefault="00034F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BABA" w14:textId="56B2F1BC" w:rsidR="00AC719D" w:rsidRDefault="00784830" w:rsidP="001138C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15" behindDoc="0" locked="0" layoutInCell="1" allowOverlap="1" wp14:anchorId="29F09CA7" wp14:editId="41BE65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1415038988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47279" w14:textId="27883D09" w:rsidR="00784830" w:rsidRPr="00784830" w:rsidRDefault="00784830" w:rsidP="0078483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8483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09CA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alt="OFFICIAL" style="position:absolute;margin-left:0;margin-top:0;width:40.85pt;height:33.3pt;z-index:2516695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B647279" w14:textId="27883D09" w:rsidR="00784830" w:rsidRPr="00784830" w:rsidRDefault="00784830" w:rsidP="0078483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78483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876D2F" w14:textId="15B094B4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71501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EC1089" w14:textId="77777777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74735A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79FDEB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5494" w14:textId="0FC76B7D" w:rsidR="00EC6A73" w:rsidRDefault="00784830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9" behindDoc="0" locked="0" layoutInCell="1" allowOverlap="1" wp14:anchorId="70734711" wp14:editId="54E26B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154234522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2A722" w14:textId="47427674" w:rsidR="00784830" w:rsidRPr="00784830" w:rsidRDefault="00784830" w:rsidP="0078483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8483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3471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alt="OFFICIAL" style="position:absolute;margin-left:0;margin-top:0;width:40.85pt;height:33.3pt;z-index:2516705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932A722" w14:textId="47427674" w:rsidR="00784830" w:rsidRPr="00784830" w:rsidRDefault="00784830" w:rsidP="0078483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78483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9F78508" wp14:editId="36709C8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B323B4" w14:textId="097F47C5" w:rsidR="00CE7AD0" w:rsidRPr="00CE7AD0" w:rsidRDefault="00CE7AD0" w:rsidP="00631F79">
                          <w:pP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78508" id="Text Box 8" o:spid="_x0000_s1032" type="#_x0000_t202" alt="&quot;&quot;" style="position:absolute;margin-left:0;margin-top:805.45pt;width:595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MDFwIAACsEAAAOAAAAZHJzL2Uyb0RvYy54bWysU99v2jAQfp+0/8Hy+0igQL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V/ks4Zpdblvnw1cBmkSjpA5pSWix&#10;48YH7IipQ0psZmDdKJWoUYa0JZ1fYcnfInhDGbx4mTVaodt1pKlKOh322EF1wvUc9Mx7y9cNzrBh&#10;Pjwxh1Tj2Cjf8IiHVIC94GxRUoP7+Td/zEcGMEpJi9Ipqf9xYE5Qor4Z5ObzeDqNWks/aLi33t3g&#10;NQd9B6jKMT4Qy5MZc4MaTOlAv6C6V7Ebhpjh2LOku8G8C72Q8XVwsVqlJFSVZWFjtpbH0hGziOxz&#10;98KcPcMfkLgHGMTFincs9Lk92qtDANkkiiK+PZpn2FGRibnz64mSf/ufsi5vfPkL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SmkDAx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56B323B4" w14:textId="097F47C5" w:rsidR="00CE7AD0" w:rsidRPr="00CE7AD0" w:rsidRDefault="00CE7AD0" w:rsidP="00631F79">
                    <w:pPr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C1A1C9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0D7727" wp14:editId="65A11970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C07677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864C6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EEE815" w14:textId="4DF59060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059CAB5" wp14:editId="3FC2669C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6B28" w14:textId="66AC2943" w:rsidR="00CE7AD0" w:rsidRDefault="007848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91" behindDoc="0" locked="0" layoutInCell="1" allowOverlap="1" wp14:anchorId="75B7EFD7" wp14:editId="6AF05F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78420070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7E7B9" w14:textId="56B181DE" w:rsidR="00784830" w:rsidRPr="00784830" w:rsidRDefault="00784830" w:rsidP="0078483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8483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7EFD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5" type="#_x0000_t202" alt="OFFICIAL" style="position:absolute;margin-left:0;margin-top:0;width:40.85pt;height:33.3pt;z-index:2516684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7E7E7B9" w14:textId="56B181DE" w:rsidR="00784830" w:rsidRPr="00784830" w:rsidRDefault="00784830" w:rsidP="0078483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78483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C2EA728" wp14:editId="34CF897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D36802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EA728" id="Text Box 9" o:spid="_x0000_s1036" type="#_x0000_t202" alt="&quot;&quot;" style="position:absolute;margin-left:0;margin-top:805.4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v7k9Wx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30D36802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6E69" w14:textId="77777777" w:rsidR="00034FCA" w:rsidRDefault="00034FCA" w:rsidP="00660C79">
      <w:pPr>
        <w:spacing w:line="240" w:lineRule="auto"/>
      </w:pPr>
      <w:r>
        <w:separator/>
      </w:r>
    </w:p>
  </w:footnote>
  <w:footnote w:type="continuationSeparator" w:id="0">
    <w:p w14:paraId="2815CEBB" w14:textId="77777777" w:rsidR="00034FCA" w:rsidRDefault="00034FCA" w:rsidP="00660C79">
      <w:pPr>
        <w:spacing w:line="240" w:lineRule="auto"/>
      </w:pPr>
      <w:r>
        <w:continuationSeparator/>
      </w:r>
    </w:p>
  </w:footnote>
  <w:footnote w:type="continuationNotice" w:id="1">
    <w:p w14:paraId="4E609DF4" w14:textId="77777777" w:rsidR="00034FCA" w:rsidRDefault="00034FCA">
      <w:pPr>
        <w:spacing w:line="240" w:lineRule="auto"/>
      </w:pPr>
    </w:p>
  </w:footnote>
  <w:footnote w:id="2">
    <w:p w14:paraId="09AF9EB7" w14:textId="77777777" w:rsidR="000032F7" w:rsidRDefault="000032F7" w:rsidP="000032F7">
      <w:pPr>
        <w:pStyle w:val="FootnoteText"/>
      </w:pPr>
      <w:r>
        <w:rPr>
          <w:rStyle w:val="FootnoteReference"/>
        </w:rPr>
        <w:footnoteRef/>
      </w:r>
      <w:r>
        <w:t xml:space="preserve"> The listed dose rates do not apply to workers, as this is the responsibility of the HSE or ONR. If workers are involved the HSE/ONR should be notified immediately.</w:t>
      </w:r>
    </w:p>
  </w:footnote>
  <w:footnote w:id="3">
    <w:p w14:paraId="316879E5" w14:textId="77777777" w:rsidR="000032F7" w:rsidRDefault="000032F7" w:rsidP="000032F7">
      <w:pPr>
        <w:pStyle w:val="FootnoteText"/>
      </w:pPr>
      <w:r>
        <w:rPr>
          <w:rStyle w:val="FootnoteReference"/>
        </w:rPr>
        <w:footnoteRef/>
      </w:r>
      <w:r>
        <w:t xml:space="preserve"> It is recognised that dose rates may not be able to be determined for all events. The values given are for guidance only. Furthermore, doses represent potential doses as reported/calculated in the early stages of an event, and these may change over the course of the event.</w:t>
      </w:r>
    </w:p>
  </w:footnote>
  <w:footnote w:id="4">
    <w:p w14:paraId="26E4159D" w14:textId="77777777" w:rsidR="008A6932" w:rsidRDefault="008A6932" w:rsidP="008A6932">
      <w:pPr>
        <w:pStyle w:val="FootnoteText"/>
      </w:pPr>
      <w:r>
        <w:rPr>
          <w:rStyle w:val="FootnoteReference"/>
        </w:rPr>
        <w:footnoteRef/>
      </w:r>
      <w:r>
        <w:t xml:space="preserve"> An orphan source </w:t>
      </w:r>
      <w:proofErr w:type="gramStart"/>
      <w:r>
        <w:t>is considered to be</w:t>
      </w:r>
      <w:proofErr w:type="gramEnd"/>
      <w:r>
        <w:t xml:space="preserve"> radioactive waste and is the responsibility of SEPA and not the HSE.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5E79" w14:textId="711C90BE" w:rsidR="00823D92" w:rsidRDefault="007848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43" behindDoc="0" locked="0" layoutInCell="1" allowOverlap="1" wp14:anchorId="6FE9C387" wp14:editId="56FEA4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108552130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4CDAB" w14:textId="3162F429" w:rsidR="00784830" w:rsidRPr="00784830" w:rsidRDefault="00784830" w:rsidP="0078483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8483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9C38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OFFICIAL" style="position:absolute;margin-left:0;margin-top:0;width:40.85pt;height:33.3pt;z-index:2516664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554CDAB" w14:textId="3162F429" w:rsidR="00784830" w:rsidRPr="00784830" w:rsidRDefault="00784830" w:rsidP="0078483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78483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D1E3" w14:textId="41997DE7" w:rsidR="008D113C" w:rsidRPr="00917BB1" w:rsidRDefault="00784830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7467" behindDoc="0" locked="0" layoutInCell="1" allowOverlap="1" wp14:anchorId="387FCE67" wp14:editId="03EAE6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2057841137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86048" w14:textId="46926A25" w:rsidR="00784830" w:rsidRPr="00784830" w:rsidRDefault="00784830" w:rsidP="0078483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8483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FCE6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left:0;text-align:left;margin-left:0;margin-top:0;width:40.85pt;height:33.3pt;z-index:25166746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FF86048" w14:textId="46926A25" w:rsidR="00784830" w:rsidRPr="00784830" w:rsidRDefault="00784830" w:rsidP="0078483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78483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  <w:color w:val="6E7571" w:themeColor="text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05908EE" wp14:editId="42B8445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6008A" w14:textId="3C55F3CD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908EE" id="Text Box 1" o:spid="_x0000_s1029" type="#_x0000_t202" alt="&quot;&quot;" style="position:absolute;left:0;text-align:left;margin-left:0;margin-top:15pt;width:59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1DD6008A" w14:textId="3C55F3CD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53DB5">
      <w:rPr>
        <w:color w:val="6E7571" w:themeColor="text2"/>
      </w:rPr>
      <w:t>Guidance: Environmental event categorisation for radioactive substances</w:t>
    </w:r>
  </w:p>
  <w:p w14:paraId="08CC95CF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237C94" wp14:editId="166EF69C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245EC4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BA69" w14:textId="1C7327D6" w:rsidR="00CE7AD0" w:rsidRDefault="007848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9" behindDoc="0" locked="0" layoutInCell="1" allowOverlap="1" wp14:anchorId="08CBFCCF" wp14:editId="0CFA0F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1660658534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AFE78" w14:textId="1E114EC3" w:rsidR="00784830" w:rsidRPr="00784830" w:rsidRDefault="00784830" w:rsidP="0078483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8483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BFCC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alt="OFFICIAL" style="position:absolute;margin-left:0;margin-top:0;width:40.85pt;height:33.3pt;z-index:25166541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E4AFE78" w14:textId="1E114EC3" w:rsidR="00784830" w:rsidRPr="00784830" w:rsidRDefault="00784830" w:rsidP="0078483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78483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FE73508" wp14:editId="03EA3C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3435E5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73508" id="Text Box 6" o:spid="_x0000_s1034" type="#_x0000_t202" alt="&quot;&quot;" style="position:absolute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Q4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g/UOB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543435E5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8ECC3"/>
    <w:multiLevelType w:val="hybridMultilevel"/>
    <w:tmpl w:val="AD0E5F26"/>
    <w:lvl w:ilvl="0" w:tplc="C06A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21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22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AC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ED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4B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49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07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A0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E415F"/>
    <w:multiLevelType w:val="multilevel"/>
    <w:tmpl w:val="4B3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C12149"/>
    <w:multiLevelType w:val="hybridMultilevel"/>
    <w:tmpl w:val="A32E8A22"/>
    <w:lvl w:ilvl="0" w:tplc="BF326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E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01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69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E7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C9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C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67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326F8"/>
    <w:multiLevelType w:val="hybridMultilevel"/>
    <w:tmpl w:val="FCAA87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A1778"/>
    <w:multiLevelType w:val="hybridMultilevel"/>
    <w:tmpl w:val="1D1C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54DB4"/>
    <w:multiLevelType w:val="hybridMultilevel"/>
    <w:tmpl w:val="529A3A12"/>
    <w:lvl w:ilvl="0" w:tplc="535680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E062C"/>
    <w:multiLevelType w:val="hybridMultilevel"/>
    <w:tmpl w:val="867A8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16"/>
  </w:num>
  <w:num w:numId="12" w16cid:durableId="60641277">
    <w:abstractNumId w:val="13"/>
  </w:num>
  <w:num w:numId="13" w16cid:durableId="2002156795">
    <w:abstractNumId w:val="11"/>
  </w:num>
  <w:num w:numId="14" w16cid:durableId="1130706009">
    <w:abstractNumId w:val="14"/>
  </w:num>
  <w:num w:numId="15" w16cid:durableId="1947275535">
    <w:abstractNumId w:val="17"/>
  </w:num>
  <w:num w:numId="16" w16cid:durableId="186063589">
    <w:abstractNumId w:val="18"/>
  </w:num>
  <w:num w:numId="17" w16cid:durableId="47926478">
    <w:abstractNumId w:val="12"/>
  </w:num>
  <w:num w:numId="18" w16cid:durableId="1948660665">
    <w:abstractNumId w:val="10"/>
  </w:num>
  <w:num w:numId="19" w16cid:durableId="251209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59"/>
    <w:rsid w:val="00000424"/>
    <w:rsid w:val="00001099"/>
    <w:rsid w:val="000032F7"/>
    <w:rsid w:val="000076EE"/>
    <w:rsid w:val="00007882"/>
    <w:rsid w:val="00014F7E"/>
    <w:rsid w:val="000171F9"/>
    <w:rsid w:val="000235DD"/>
    <w:rsid w:val="00023703"/>
    <w:rsid w:val="0002476C"/>
    <w:rsid w:val="00025793"/>
    <w:rsid w:val="00027A31"/>
    <w:rsid w:val="000304A6"/>
    <w:rsid w:val="00032829"/>
    <w:rsid w:val="0003313D"/>
    <w:rsid w:val="00033C6D"/>
    <w:rsid w:val="00034FCA"/>
    <w:rsid w:val="00036422"/>
    <w:rsid w:val="0003743C"/>
    <w:rsid w:val="00040561"/>
    <w:rsid w:val="000431B6"/>
    <w:rsid w:val="000453A4"/>
    <w:rsid w:val="00056D57"/>
    <w:rsid w:val="000642A9"/>
    <w:rsid w:val="00065703"/>
    <w:rsid w:val="00070450"/>
    <w:rsid w:val="00070937"/>
    <w:rsid w:val="00073224"/>
    <w:rsid w:val="000739EE"/>
    <w:rsid w:val="00083972"/>
    <w:rsid w:val="00084A15"/>
    <w:rsid w:val="0008765D"/>
    <w:rsid w:val="000929E3"/>
    <w:rsid w:val="00092BB8"/>
    <w:rsid w:val="000A0A7A"/>
    <w:rsid w:val="000A0F00"/>
    <w:rsid w:val="000A1CCA"/>
    <w:rsid w:val="000A3F40"/>
    <w:rsid w:val="000A6D86"/>
    <w:rsid w:val="000B0D8C"/>
    <w:rsid w:val="000B29BF"/>
    <w:rsid w:val="000B52B2"/>
    <w:rsid w:val="000B7559"/>
    <w:rsid w:val="000C05AE"/>
    <w:rsid w:val="000D3FCD"/>
    <w:rsid w:val="000E0C8F"/>
    <w:rsid w:val="000E0D15"/>
    <w:rsid w:val="000E429F"/>
    <w:rsid w:val="000E51A3"/>
    <w:rsid w:val="000F0188"/>
    <w:rsid w:val="000F1C50"/>
    <w:rsid w:val="001011D1"/>
    <w:rsid w:val="0010213C"/>
    <w:rsid w:val="00103BC3"/>
    <w:rsid w:val="001043F1"/>
    <w:rsid w:val="00105F31"/>
    <w:rsid w:val="00111E3B"/>
    <w:rsid w:val="0011227B"/>
    <w:rsid w:val="001138C7"/>
    <w:rsid w:val="00113E72"/>
    <w:rsid w:val="001142B0"/>
    <w:rsid w:val="001152A0"/>
    <w:rsid w:val="00116FE2"/>
    <w:rsid w:val="00117A75"/>
    <w:rsid w:val="0012698D"/>
    <w:rsid w:val="00130DE9"/>
    <w:rsid w:val="00132F19"/>
    <w:rsid w:val="00133C7B"/>
    <w:rsid w:val="001352AE"/>
    <w:rsid w:val="00140731"/>
    <w:rsid w:val="001408EF"/>
    <w:rsid w:val="00143707"/>
    <w:rsid w:val="00147648"/>
    <w:rsid w:val="0015029F"/>
    <w:rsid w:val="0015272F"/>
    <w:rsid w:val="00153688"/>
    <w:rsid w:val="00155F07"/>
    <w:rsid w:val="00166659"/>
    <w:rsid w:val="00171B93"/>
    <w:rsid w:val="00176242"/>
    <w:rsid w:val="00176741"/>
    <w:rsid w:val="0019392E"/>
    <w:rsid w:val="001A13EE"/>
    <w:rsid w:val="001A1AFE"/>
    <w:rsid w:val="001A493C"/>
    <w:rsid w:val="001A5A7D"/>
    <w:rsid w:val="001A7B62"/>
    <w:rsid w:val="001B2A89"/>
    <w:rsid w:val="001B7867"/>
    <w:rsid w:val="001C00A9"/>
    <w:rsid w:val="001C226D"/>
    <w:rsid w:val="001C36AD"/>
    <w:rsid w:val="001C6EDB"/>
    <w:rsid w:val="001C7DFD"/>
    <w:rsid w:val="001D15F7"/>
    <w:rsid w:val="001D1EA9"/>
    <w:rsid w:val="001D5251"/>
    <w:rsid w:val="001D6A49"/>
    <w:rsid w:val="001D6F3A"/>
    <w:rsid w:val="001D6FD8"/>
    <w:rsid w:val="001E5DAA"/>
    <w:rsid w:val="001E7043"/>
    <w:rsid w:val="001F09BD"/>
    <w:rsid w:val="001F1AE4"/>
    <w:rsid w:val="001F22E3"/>
    <w:rsid w:val="001F6826"/>
    <w:rsid w:val="002054ED"/>
    <w:rsid w:val="00205D4B"/>
    <w:rsid w:val="0021231B"/>
    <w:rsid w:val="00214432"/>
    <w:rsid w:val="002146B2"/>
    <w:rsid w:val="002167AF"/>
    <w:rsid w:val="002168FF"/>
    <w:rsid w:val="00220D77"/>
    <w:rsid w:val="00225A13"/>
    <w:rsid w:val="00226084"/>
    <w:rsid w:val="00231FBA"/>
    <w:rsid w:val="00235267"/>
    <w:rsid w:val="00236552"/>
    <w:rsid w:val="00236D48"/>
    <w:rsid w:val="002433CE"/>
    <w:rsid w:val="00244D9A"/>
    <w:rsid w:val="00245749"/>
    <w:rsid w:val="0024635F"/>
    <w:rsid w:val="00246F47"/>
    <w:rsid w:val="0024799D"/>
    <w:rsid w:val="0025052C"/>
    <w:rsid w:val="00260D0B"/>
    <w:rsid w:val="00260FD7"/>
    <w:rsid w:val="002611C9"/>
    <w:rsid w:val="00265DBD"/>
    <w:rsid w:val="00273082"/>
    <w:rsid w:val="00281BB1"/>
    <w:rsid w:val="00282BD9"/>
    <w:rsid w:val="00282E4F"/>
    <w:rsid w:val="002836A0"/>
    <w:rsid w:val="00287352"/>
    <w:rsid w:val="002879A3"/>
    <w:rsid w:val="00290883"/>
    <w:rsid w:val="00290B1F"/>
    <w:rsid w:val="002938EB"/>
    <w:rsid w:val="00296989"/>
    <w:rsid w:val="00297E2A"/>
    <w:rsid w:val="002A1B38"/>
    <w:rsid w:val="002A2EDF"/>
    <w:rsid w:val="002A35D4"/>
    <w:rsid w:val="002A35F2"/>
    <w:rsid w:val="002A7CF3"/>
    <w:rsid w:val="002B47B3"/>
    <w:rsid w:val="002B69B9"/>
    <w:rsid w:val="002B7382"/>
    <w:rsid w:val="002C1166"/>
    <w:rsid w:val="002C34C7"/>
    <w:rsid w:val="002D084C"/>
    <w:rsid w:val="002D2542"/>
    <w:rsid w:val="002D2CB7"/>
    <w:rsid w:val="002D3F23"/>
    <w:rsid w:val="002D3F45"/>
    <w:rsid w:val="002E01DE"/>
    <w:rsid w:val="002E2AA7"/>
    <w:rsid w:val="002E73CD"/>
    <w:rsid w:val="002E77A6"/>
    <w:rsid w:val="002E7CDD"/>
    <w:rsid w:val="002F69EA"/>
    <w:rsid w:val="00300446"/>
    <w:rsid w:val="0030096D"/>
    <w:rsid w:val="00300D7B"/>
    <w:rsid w:val="00301004"/>
    <w:rsid w:val="00311E45"/>
    <w:rsid w:val="00317618"/>
    <w:rsid w:val="00317C5A"/>
    <w:rsid w:val="003226B1"/>
    <w:rsid w:val="0032351B"/>
    <w:rsid w:val="003239E2"/>
    <w:rsid w:val="00324685"/>
    <w:rsid w:val="00326D1A"/>
    <w:rsid w:val="00331EB3"/>
    <w:rsid w:val="0033245F"/>
    <w:rsid w:val="00334BD5"/>
    <w:rsid w:val="0033746D"/>
    <w:rsid w:val="00340E2B"/>
    <w:rsid w:val="00340E3F"/>
    <w:rsid w:val="003427E1"/>
    <w:rsid w:val="00342C55"/>
    <w:rsid w:val="00344F54"/>
    <w:rsid w:val="00352178"/>
    <w:rsid w:val="003526E5"/>
    <w:rsid w:val="00356159"/>
    <w:rsid w:val="0036142C"/>
    <w:rsid w:val="003616EE"/>
    <w:rsid w:val="00362B9A"/>
    <w:rsid w:val="00375690"/>
    <w:rsid w:val="003761B6"/>
    <w:rsid w:val="00377612"/>
    <w:rsid w:val="00380391"/>
    <w:rsid w:val="0038161D"/>
    <w:rsid w:val="0038304E"/>
    <w:rsid w:val="00383A99"/>
    <w:rsid w:val="00383AB5"/>
    <w:rsid w:val="003851BD"/>
    <w:rsid w:val="00386EF9"/>
    <w:rsid w:val="00391816"/>
    <w:rsid w:val="00392A5B"/>
    <w:rsid w:val="00397990"/>
    <w:rsid w:val="003A43D9"/>
    <w:rsid w:val="003C0D29"/>
    <w:rsid w:val="003C57A5"/>
    <w:rsid w:val="003D0C49"/>
    <w:rsid w:val="003D4803"/>
    <w:rsid w:val="003D5FD2"/>
    <w:rsid w:val="003D7E01"/>
    <w:rsid w:val="003E1E9B"/>
    <w:rsid w:val="003E2EEA"/>
    <w:rsid w:val="003E3F46"/>
    <w:rsid w:val="003E46D4"/>
    <w:rsid w:val="003E5137"/>
    <w:rsid w:val="003E7992"/>
    <w:rsid w:val="003F06A2"/>
    <w:rsid w:val="003F147F"/>
    <w:rsid w:val="003F2380"/>
    <w:rsid w:val="003F4398"/>
    <w:rsid w:val="003F5384"/>
    <w:rsid w:val="003F77A7"/>
    <w:rsid w:val="004001C9"/>
    <w:rsid w:val="0040083A"/>
    <w:rsid w:val="00401199"/>
    <w:rsid w:val="004055D8"/>
    <w:rsid w:val="004064EE"/>
    <w:rsid w:val="004073BC"/>
    <w:rsid w:val="0041385C"/>
    <w:rsid w:val="00414E81"/>
    <w:rsid w:val="00417C64"/>
    <w:rsid w:val="00421258"/>
    <w:rsid w:val="004218B6"/>
    <w:rsid w:val="00423DD4"/>
    <w:rsid w:val="00424696"/>
    <w:rsid w:val="004250D7"/>
    <w:rsid w:val="004302CC"/>
    <w:rsid w:val="0043073A"/>
    <w:rsid w:val="00432362"/>
    <w:rsid w:val="00432D40"/>
    <w:rsid w:val="004403A1"/>
    <w:rsid w:val="00443749"/>
    <w:rsid w:val="00444AA1"/>
    <w:rsid w:val="0044626D"/>
    <w:rsid w:val="0045167D"/>
    <w:rsid w:val="00453897"/>
    <w:rsid w:val="00456D75"/>
    <w:rsid w:val="004576CC"/>
    <w:rsid w:val="00460934"/>
    <w:rsid w:val="00460BBB"/>
    <w:rsid w:val="00463959"/>
    <w:rsid w:val="00464E46"/>
    <w:rsid w:val="00471BBE"/>
    <w:rsid w:val="00476539"/>
    <w:rsid w:val="00480437"/>
    <w:rsid w:val="00480EF5"/>
    <w:rsid w:val="004829B4"/>
    <w:rsid w:val="00483651"/>
    <w:rsid w:val="00484090"/>
    <w:rsid w:val="0049093D"/>
    <w:rsid w:val="0049104C"/>
    <w:rsid w:val="0049300C"/>
    <w:rsid w:val="004A03D2"/>
    <w:rsid w:val="004A2543"/>
    <w:rsid w:val="004A32BF"/>
    <w:rsid w:val="004A3A03"/>
    <w:rsid w:val="004A3C70"/>
    <w:rsid w:val="004A3F32"/>
    <w:rsid w:val="004A6E46"/>
    <w:rsid w:val="004B4B6B"/>
    <w:rsid w:val="004B5B02"/>
    <w:rsid w:val="004B6286"/>
    <w:rsid w:val="004C2EEC"/>
    <w:rsid w:val="004D1DA4"/>
    <w:rsid w:val="004D6CBE"/>
    <w:rsid w:val="004E2936"/>
    <w:rsid w:val="004E60F5"/>
    <w:rsid w:val="004F3002"/>
    <w:rsid w:val="004F58DB"/>
    <w:rsid w:val="005037BA"/>
    <w:rsid w:val="00511309"/>
    <w:rsid w:val="00512737"/>
    <w:rsid w:val="00520F5C"/>
    <w:rsid w:val="00521296"/>
    <w:rsid w:val="00522089"/>
    <w:rsid w:val="00523930"/>
    <w:rsid w:val="0052425B"/>
    <w:rsid w:val="005245E3"/>
    <w:rsid w:val="005251CB"/>
    <w:rsid w:val="00533E6A"/>
    <w:rsid w:val="0053772A"/>
    <w:rsid w:val="00540169"/>
    <w:rsid w:val="005425B9"/>
    <w:rsid w:val="005431B4"/>
    <w:rsid w:val="00543689"/>
    <w:rsid w:val="00547A27"/>
    <w:rsid w:val="005517DC"/>
    <w:rsid w:val="00551989"/>
    <w:rsid w:val="00555DC6"/>
    <w:rsid w:val="00563594"/>
    <w:rsid w:val="00564B02"/>
    <w:rsid w:val="0057020A"/>
    <w:rsid w:val="005709AE"/>
    <w:rsid w:val="00571777"/>
    <w:rsid w:val="00576279"/>
    <w:rsid w:val="0058077D"/>
    <w:rsid w:val="00581FDD"/>
    <w:rsid w:val="005825CC"/>
    <w:rsid w:val="00582B41"/>
    <w:rsid w:val="00586EB3"/>
    <w:rsid w:val="00591859"/>
    <w:rsid w:val="005947A1"/>
    <w:rsid w:val="005A171B"/>
    <w:rsid w:val="005A355E"/>
    <w:rsid w:val="005A7085"/>
    <w:rsid w:val="005B07C7"/>
    <w:rsid w:val="005B34B7"/>
    <w:rsid w:val="005B7F7B"/>
    <w:rsid w:val="005C1936"/>
    <w:rsid w:val="005C2D88"/>
    <w:rsid w:val="005C50BA"/>
    <w:rsid w:val="005D1213"/>
    <w:rsid w:val="005D186D"/>
    <w:rsid w:val="005D24B1"/>
    <w:rsid w:val="005E1B1C"/>
    <w:rsid w:val="005E527E"/>
    <w:rsid w:val="005F2AD5"/>
    <w:rsid w:val="005F33A4"/>
    <w:rsid w:val="00603717"/>
    <w:rsid w:val="00606F99"/>
    <w:rsid w:val="00610201"/>
    <w:rsid w:val="00610464"/>
    <w:rsid w:val="00610814"/>
    <w:rsid w:val="00610981"/>
    <w:rsid w:val="00616076"/>
    <w:rsid w:val="00616784"/>
    <w:rsid w:val="00620CE3"/>
    <w:rsid w:val="0062156C"/>
    <w:rsid w:val="00622E0C"/>
    <w:rsid w:val="006243FF"/>
    <w:rsid w:val="00625B76"/>
    <w:rsid w:val="00631F79"/>
    <w:rsid w:val="0063427D"/>
    <w:rsid w:val="00644EB4"/>
    <w:rsid w:val="006452CB"/>
    <w:rsid w:val="00650B15"/>
    <w:rsid w:val="006518D9"/>
    <w:rsid w:val="00660C79"/>
    <w:rsid w:val="00666CEB"/>
    <w:rsid w:val="00671AC1"/>
    <w:rsid w:val="00673202"/>
    <w:rsid w:val="00673961"/>
    <w:rsid w:val="006757B7"/>
    <w:rsid w:val="00682758"/>
    <w:rsid w:val="00685049"/>
    <w:rsid w:val="00685CD6"/>
    <w:rsid w:val="00686008"/>
    <w:rsid w:val="00690C21"/>
    <w:rsid w:val="00691015"/>
    <w:rsid w:val="00692F05"/>
    <w:rsid w:val="0069482D"/>
    <w:rsid w:val="00694F37"/>
    <w:rsid w:val="00697D2C"/>
    <w:rsid w:val="006A409A"/>
    <w:rsid w:val="006A5F6B"/>
    <w:rsid w:val="006B6ED6"/>
    <w:rsid w:val="006C2724"/>
    <w:rsid w:val="006C55BF"/>
    <w:rsid w:val="006D16CE"/>
    <w:rsid w:val="006D222F"/>
    <w:rsid w:val="006D7D7E"/>
    <w:rsid w:val="006E0B46"/>
    <w:rsid w:val="006E15CB"/>
    <w:rsid w:val="006E5534"/>
    <w:rsid w:val="006F024D"/>
    <w:rsid w:val="006F38CC"/>
    <w:rsid w:val="006F3E0F"/>
    <w:rsid w:val="006F758B"/>
    <w:rsid w:val="00702AE1"/>
    <w:rsid w:val="00703D5A"/>
    <w:rsid w:val="00704A55"/>
    <w:rsid w:val="007058D2"/>
    <w:rsid w:val="00706850"/>
    <w:rsid w:val="00713EBD"/>
    <w:rsid w:val="007157CE"/>
    <w:rsid w:val="007377F3"/>
    <w:rsid w:val="00740441"/>
    <w:rsid w:val="00741ABD"/>
    <w:rsid w:val="007429E5"/>
    <w:rsid w:val="00744003"/>
    <w:rsid w:val="007502F3"/>
    <w:rsid w:val="00752C7C"/>
    <w:rsid w:val="0075301E"/>
    <w:rsid w:val="00754404"/>
    <w:rsid w:val="00754948"/>
    <w:rsid w:val="00755B2C"/>
    <w:rsid w:val="00764ABD"/>
    <w:rsid w:val="00764D48"/>
    <w:rsid w:val="00773039"/>
    <w:rsid w:val="00775576"/>
    <w:rsid w:val="00776A7B"/>
    <w:rsid w:val="00780EDA"/>
    <w:rsid w:val="0078463D"/>
    <w:rsid w:val="00784830"/>
    <w:rsid w:val="007901A5"/>
    <w:rsid w:val="007906CA"/>
    <w:rsid w:val="00794AEC"/>
    <w:rsid w:val="007961E7"/>
    <w:rsid w:val="00796A8F"/>
    <w:rsid w:val="007A01B9"/>
    <w:rsid w:val="007A0D10"/>
    <w:rsid w:val="007A398C"/>
    <w:rsid w:val="007A7C4A"/>
    <w:rsid w:val="007C1C17"/>
    <w:rsid w:val="007C345B"/>
    <w:rsid w:val="007C3F12"/>
    <w:rsid w:val="007C58F7"/>
    <w:rsid w:val="007C6CD6"/>
    <w:rsid w:val="007C7E25"/>
    <w:rsid w:val="007D00F3"/>
    <w:rsid w:val="007D174D"/>
    <w:rsid w:val="007D25E6"/>
    <w:rsid w:val="007D441B"/>
    <w:rsid w:val="007D4F73"/>
    <w:rsid w:val="007D58AC"/>
    <w:rsid w:val="007E1B44"/>
    <w:rsid w:val="007E1E8B"/>
    <w:rsid w:val="007E3ADC"/>
    <w:rsid w:val="007E49E9"/>
    <w:rsid w:val="007E4D1B"/>
    <w:rsid w:val="007F358F"/>
    <w:rsid w:val="007F483C"/>
    <w:rsid w:val="007F4B77"/>
    <w:rsid w:val="00801105"/>
    <w:rsid w:val="00801F70"/>
    <w:rsid w:val="00802D0F"/>
    <w:rsid w:val="00802F2E"/>
    <w:rsid w:val="008170A9"/>
    <w:rsid w:val="00822669"/>
    <w:rsid w:val="008234F1"/>
    <w:rsid w:val="00823894"/>
    <w:rsid w:val="00823D92"/>
    <w:rsid w:val="00823E1C"/>
    <w:rsid w:val="00827750"/>
    <w:rsid w:val="008317AF"/>
    <w:rsid w:val="00834C4D"/>
    <w:rsid w:val="00836BC4"/>
    <w:rsid w:val="008421B4"/>
    <w:rsid w:val="00842C58"/>
    <w:rsid w:val="00842E2B"/>
    <w:rsid w:val="008450DB"/>
    <w:rsid w:val="00845E99"/>
    <w:rsid w:val="00850348"/>
    <w:rsid w:val="00855D19"/>
    <w:rsid w:val="00861B46"/>
    <w:rsid w:val="0086477A"/>
    <w:rsid w:val="00872445"/>
    <w:rsid w:val="00883AB8"/>
    <w:rsid w:val="00885470"/>
    <w:rsid w:val="008867DE"/>
    <w:rsid w:val="00893A6F"/>
    <w:rsid w:val="00894FB6"/>
    <w:rsid w:val="0089565A"/>
    <w:rsid w:val="008971B9"/>
    <w:rsid w:val="008A6932"/>
    <w:rsid w:val="008B0E94"/>
    <w:rsid w:val="008B3E07"/>
    <w:rsid w:val="008B4356"/>
    <w:rsid w:val="008B5B1C"/>
    <w:rsid w:val="008B6CC6"/>
    <w:rsid w:val="008C0B10"/>
    <w:rsid w:val="008C1A73"/>
    <w:rsid w:val="008C25AF"/>
    <w:rsid w:val="008C3CD9"/>
    <w:rsid w:val="008C7086"/>
    <w:rsid w:val="008C77D1"/>
    <w:rsid w:val="008D113C"/>
    <w:rsid w:val="008D376F"/>
    <w:rsid w:val="008D4700"/>
    <w:rsid w:val="008E624A"/>
    <w:rsid w:val="008E7E3B"/>
    <w:rsid w:val="008F10BC"/>
    <w:rsid w:val="008F1745"/>
    <w:rsid w:val="009004F0"/>
    <w:rsid w:val="009036AC"/>
    <w:rsid w:val="00910FD7"/>
    <w:rsid w:val="00911382"/>
    <w:rsid w:val="00912843"/>
    <w:rsid w:val="00915493"/>
    <w:rsid w:val="00917BB1"/>
    <w:rsid w:val="009254BA"/>
    <w:rsid w:val="00927F82"/>
    <w:rsid w:val="00933BC0"/>
    <w:rsid w:val="009366B6"/>
    <w:rsid w:val="00940BB6"/>
    <w:rsid w:val="0094188B"/>
    <w:rsid w:val="009512C3"/>
    <w:rsid w:val="009523DC"/>
    <w:rsid w:val="00955893"/>
    <w:rsid w:val="009569B1"/>
    <w:rsid w:val="00956FCE"/>
    <w:rsid w:val="00960775"/>
    <w:rsid w:val="009613A2"/>
    <w:rsid w:val="00963D2E"/>
    <w:rsid w:val="0096562A"/>
    <w:rsid w:val="0096733A"/>
    <w:rsid w:val="009731D3"/>
    <w:rsid w:val="00973946"/>
    <w:rsid w:val="009740BD"/>
    <w:rsid w:val="00974B2E"/>
    <w:rsid w:val="00974F0B"/>
    <w:rsid w:val="00975A59"/>
    <w:rsid w:val="00975D21"/>
    <w:rsid w:val="00980531"/>
    <w:rsid w:val="00982008"/>
    <w:rsid w:val="00982C4D"/>
    <w:rsid w:val="00985B62"/>
    <w:rsid w:val="00987753"/>
    <w:rsid w:val="00995CEA"/>
    <w:rsid w:val="00996904"/>
    <w:rsid w:val="009975F1"/>
    <w:rsid w:val="009A240D"/>
    <w:rsid w:val="009A2E26"/>
    <w:rsid w:val="009B1744"/>
    <w:rsid w:val="009B4AAA"/>
    <w:rsid w:val="009B55B8"/>
    <w:rsid w:val="009C4FF3"/>
    <w:rsid w:val="009D06B5"/>
    <w:rsid w:val="009D0873"/>
    <w:rsid w:val="009D1152"/>
    <w:rsid w:val="009D2025"/>
    <w:rsid w:val="009E1ED1"/>
    <w:rsid w:val="009E26B0"/>
    <w:rsid w:val="009E3596"/>
    <w:rsid w:val="009E77C8"/>
    <w:rsid w:val="009F082F"/>
    <w:rsid w:val="009F69BB"/>
    <w:rsid w:val="00A01132"/>
    <w:rsid w:val="00A03141"/>
    <w:rsid w:val="00A055B8"/>
    <w:rsid w:val="00A071E2"/>
    <w:rsid w:val="00A121C5"/>
    <w:rsid w:val="00A12E96"/>
    <w:rsid w:val="00A13F6F"/>
    <w:rsid w:val="00A14720"/>
    <w:rsid w:val="00A14A17"/>
    <w:rsid w:val="00A15E9C"/>
    <w:rsid w:val="00A22087"/>
    <w:rsid w:val="00A248F9"/>
    <w:rsid w:val="00A24ECD"/>
    <w:rsid w:val="00A3303C"/>
    <w:rsid w:val="00A33BE8"/>
    <w:rsid w:val="00A3501E"/>
    <w:rsid w:val="00A37B1A"/>
    <w:rsid w:val="00A407B5"/>
    <w:rsid w:val="00A4197E"/>
    <w:rsid w:val="00A4200C"/>
    <w:rsid w:val="00A4725D"/>
    <w:rsid w:val="00A54C86"/>
    <w:rsid w:val="00A56714"/>
    <w:rsid w:val="00A604DD"/>
    <w:rsid w:val="00A73331"/>
    <w:rsid w:val="00A77AF2"/>
    <w:rsid w:val="00A77B41"/>
    <w:rsid w:val="00A80977"/>
    <w:rsid w:val="00A852A2"/>
    <w:rsid w:val="00A9349C"/>
    <w:rsid w:val="00A966CC"/>
    <w:rsid w:val="00A96A81"/>
    <w:rsid w:val="00A96F3D"/>
    <w:rsid w:val="00AA1CC6"/>
    <w:rsid w:val="00AA2D2B"/>
    <w:rsid w:val="00AA31A3"/>
    <w:rsid w:val="00AA6ADC"/>
    <w:rsid w:val="00AB6D76"/>
    <w:rsid w:val="00AB6EAE"/>
    <w:rsid w:val="00AB7B68"/>
    <w:rsid w:val="00AC1A7E"/>
    <w:rsid w:val="00AC2E5B"/>
    <w:rsid w:val="00AC30CC"/>
    <w:rsid w:val="00AC5E5C"/>
    <w:rsid w:val="00AC719D"/>
    <w:rsid w:val="00AD03CB"/>
    <w:rsid w:val="00AD0637"/>
    <w:rsid w:val="00AD321D"/>
    <w:rsid w:val="00AD40ED"/>
    <w:rsid w:val="00AE068C"/>
    <w:rsid w:val="00AE1DFE"/>
    <w:rsid w:val="00AE3207"/>
    <w:rsid w:val="00AE542B"/>
    <w:rsid w:val="00AE7271"/>
    <w:rsid w:val="00AF4A4C"/>
    <w:rsid w:val="00B127E0"/>
    <w:rsid w:val="00B13159"/>
    <w:rsid w:val="00B151D9"/>
    <w:rsid w:val="00B16A13"/>
    <w:rsid w:val="00B17F24"/>
    <w:rsid w:val="00B24F74"/>
    <w:rsid w:val="00B33A7E"/>
    <w:rsid w:val="00B34125"/>
    <w:rsid w:val="00B3503C"/>
    <w:rsid w:val="00B36438"/>
    <w:rsid w:val="00B43784"/>
    <w:rsid w:val="00B46B32"/>
    <w:rsid w:val="00B46CB7"/>
    <w:rsid w:val="00B46E48"/>
    <w:rsid w:val="00B50D9C"/>
    <w:rsid w:val="00B53ACC"/>
    <w:rsid w:val="00B53E90"/>
    <w:rsid w:val="00B54CF4"/>
    <w:rsid w:val="00B56C31"/>
    <w:rsid w:val="00B56D46"/>
    <w:rsid w:val="00B74AFB"/>
    <w:rsid w:val="00B7677C"/>
    <w:rsid w:val="00B77C78"/>
    <w:rsid w:val="00B80EDB"/>
    <w:rsid w:val="00B85E52"/>
    <w:rsid w:val="00B870C3"/>
    <w:rsid w:val="00B873B9"/>
    <w:rsid w:val="00B901F9"/>
    <w:rsid w:val="00B92E16"/>
    <w:rsid w:val="00B93899"/>
    <w:rsid w:val="00BA157A"/>
    <w:rsid w:val="00BA1D70"/>
    <w:rsid w:val="00BA7E76"/>
    <w:rsid w:val="00BC6498"/>
    <w:rsid w:val="00BC69AB"/>
    <w:rsid w:val="00BC6FBE"/>
    <w:rsid w:val="00BE142A"/>
    <w:rsid w:val="00BE775F"/>
    <w:rsid w:val="00BF25B7"/>
    <w:rsid w:val="00BF5464"/>
    <w:rsid w:val="00BF6160"/>
    <w:rsid w:val="00BF7480"/>
    <w:rsid w:val="00C15541"/>
    <w:rsid w:val="00C15A4D"/>
    <w:rsid w:val="00C1623D"/>
    <w:rsid w:val="00C21AE7"/>
    <w:rsid w:val="00C225B1"/>
    <w:rsid w:val="00C2702A"/>
    <w:rsid w:val="00C279A0"/>
    <w:rsid w:val="00C30C88"/>
    <w:rsid w:val="00C319D8"/>
    <w:rsid w:val="00C336B6"/>
    <w:rsid w:val="00C4570A"/>
    <w:rsid w:val="00C524B6"/>
    <w:rsid w:val="00C53DB5"/>
    <w:rsid w:val="00C55537"/>
    <w:rsid w:val="00C569B9"/>
    <w:rsid w:val="00C60BFA"/>
    <w:rsid w:val="00C61ED1"/>
    <w:rsid w:val="00C71A57"/>
    <w:rsid w:val="00C745FC"/>
    <w:rsid w:val="00C75F87"/>
    <w:rsid w:val="00C8005C"/>
    <w:rsid w:val="00C80A7F"/>
    <w:rsid w:val="00C83F1D"/>
    <w:rsid w:val="00C8680A"/>
    <w:rsid w:val="00C91B30"/>
    <w:rsid w:val="00C92484"/>
    <w:rsid w:val="00C9352C"/>
    <w:rsid w:val="00C94093"/>
    <w:rsid w:val="00C94627"/>
    <w:rsid w:val="00CA32D2"/>
    <w:rsid w:val="00CA3973"/>
    <w:rsid w:val="00CA5849"/>
    <w:rsid w:val="00CA6D5A"/>
    <w:rsid w:val="00CA74A6"/>
    <w:rsid w:val="00CA7AF9"/>
    <w:rsid w:val="00CB077F"/>
    <w:rsid w:val="00CB12F1"/>
    <w:rsid w:val="00CB345A"/>
    <w:rsid w:val="00CB613C"/>
    <w:rsid w:val="00CB6654"/>
    <w:rsid w:val="00CC25EE"/>
    <w:rsid w:val="00CC4D18"/>
    <w:rsid w:val="00CC52C4"/>
    <w:rsid w:val="00CD0362"/>
    <w:rsid w:val="00CD0F84"/>
    <w:rsid w:val="00CD3361"/>
    <w:rsid w:val="00CD61B5"/>
    <w:rsid w:val="00CD6AC0"/>
    <w:rsid w:val="00CD6F1F"/>
    <w:rsid w:val="00CD7B89"/>
    <w:rsid w:val="00CE2356"/>
    <w:rsid w:val="00CE7AD0"/>
    <w:rsid w:val="00CF67BF"/>
    <w:rsid w:val="00CF6A75"/>
    <w:rsid w:val="00CF75FC"/>
    <w:rsid w:val="00CF7EFB"/>
    <w:rsid w:val="00D027BF"/>
    <w:rsid w:val="00D0490E"/>
    <w:rsid w:val="00D06FF4"/>
    <w:rsid w:val="00D07791"/>
    <w:rsid w:val="00D10977"/>
    <w:rsid w:val="00D160E7"/>
    <w:rsid w:val="00D17321"/>
    <w:rsid w:val="00D208C8"/>
    <w:rsid w:val="00D22909"/>
    <w:rsid w:val="00D26BC0"/>
    <w:rsid w:val="00D34FB6"/>
    <w:rsid w:val="00D35448"/>
    <w:rsid w:val="00D35517"/>
    <w:rsid w:val="00D4147A"/>
    <w:rsid w:val="00D4322A"/>
    <w:rsid w:val="00D4474B"/>
    <w:rsid w:val="00D545BD"/>
    <w:rsid w:val="00D606EA"/>
    <w:rsid w:val="00D63520"/>
    <w:rsid w:val="00D64664"/>
    <w:rsid w:val="00D6691A"/>
    <w:rsid w:val="00D70610"/>
    <w:rsid w:val="00D75859"/>
    <w:rsid w:val="00D75B37"/>
    <w:rsid w:val="00D76123"/>
    <w:rsid w:val="00D7682F"/>
    <w:rsid w:val="00D76957"/>
    <w:rsid w:val="00D84665"/>
    <w:rsid w:val="00D85ABA"/>
    <w:rsid w:val="00D86D60"/>
    <w:rsid w:val="00D90FE1"/>
    <w:rsid w:val="00D97549"/>
    <w:rsid w:val="00D97FCB"/>
    <w:rsid w:val="00DA1033"/>
    <w:rsid w:val="00DA5725"/>
    <w:rsid w:val="00DA5F0B"/>
    <w:rsid w:val="00DA6716"/>
    <w:rsid w:val="00DA7363"/>
    <w:rsid w:val="00DB3CA7"/>
    <w:rsid w:val="00DB40A2"/>
    <w:rsid w:val="00DB78DE"/>
    <w:rsid w:val="00DC6FC6"/>
    <w:rsid w:val="00DC70DD"/>
    <w:rsid w:val="00DD3C90"/>
    <w:rsid w:val="00DD5EAC"/>
    <w:rsid w:val="00DE24B6"/>
    <w:rsid w:val="00DE3505"/>
    <w:rsid w:val="00DE5AAA"/>
    <w:rsid w:val="00DF1DC5"/>
    <w:rsid w:val="00DF60AA"/>
    <w:rsid w:val="00DF6AB5"/>
    <w:rsid w:val="00DF6C6D"/>
    <w:rsid w:val="00E07AF4"/>
    <w:rsid w:val="00E11A56"/>
    <w:rsid w:val="00E13611"/>
    <w:rsid w:val="00E1456C"/>
    <w:rsid w:val="00E1536B"/>
    <w:rsid w:val="00E15B0A"/>
    <w:rsid w:val="00E16926"/>
    <w:rsid w:val="00E17468"/>
    <w:rsid w:val="00E24FE2"/>
    <w:rsid w:val="00E274CB"/>
    <w:rsid w:val="00E31421"/>
    <w:rsid w:val="00E328E7"/>
    <w:rsid w:val="00E358B5"/>
    <w:rsid w:val="00E4242F"/>
    <w:rsid w:val="00E44468"/>
    <w:rsid w:val="00E454AB"/>
    <w:rsid w:val="00E466E3"/>
    <w:rsid w:val="00E54892"/>
    <w:rsid w:val="00E609DD"/>
    <w:rsid w:val="00E63A3B"/>
    <w:rsid w:val="00E67C75"/>
    <w:rsid w:val="00E71130"/>
    <w:rsid w:val="00E80557"/>
    <w:rsid w:val="00E81CF4"/>
    <w:rsid w:val="00E82661"/>
    <w:rsid w:val="00E85920"/>
    <w:rsid w:val="00E86C9C"/>
    <w:rsid w:val="00E87FE4"/>
    <w:rsid w:val="00E91AC7"/>
    <w:rsid w:val="00E92B81"/>
    <w:rsid w:val="00E92C4A"/>
    <w:rsid w:val="00E95D63"/>
    <w:rsid w:val="00EA0636"/>
    <w:rsid w:val="00EA1B19"/>
    <w:rsid w:val="00EA22BB"/>
    <w:rsid w:val="00EA49F7"/>
    <w:rsid w:val="00EA4F63"/>
    <w:rsid w:val="00EA55A1"/>
    <w:rsid w:val="00EA72BA"/>
    <w:rsid w:val="00EA7FFB"/>
    <w:rsid w:val="00EB0F15"/>
    <w:rsid w:val="00EB2FAD"/>
    <w:rsid w:val="00EB6B9E"/>
    <w:rsid w:val="00EC03A4"/>
    <w:rsid w:val="00EC1B13"/>
    <w:rsid w:val="00EC2C5D"/>
    <w:rsid w:val="00EC6077"/>
    <w:rsid w:val="00EC6A12"/>
    <w:rsid w:val="00EC6A73"/>
    <w:rsid w:val="00EC6DC4"/>
    <w:rsid w:val="00ED0D31"/>
    <w:rsid w:val="00ED14C2"/>
    <w:rsid w:val="00ED33E7"/>
    <w:rsid w:val="00ED4FBE"/>
    <w:rsid w:val="00EE0395"/>
    <w:rsid w:val="00EE54FD"/>
    <w:rsid w:val="00EE6944"/>
    <w:rsid w:val="00EE7606"/>
    <w:rsid w:val="00EF0976"/>
    <w:rsid w:val="00EF159E"/>
    <w:rsid w:val="00EF3F0B"/>
    <w:rsid w:val="00EF437B"/>
    <w:rsid w:val="00EF6DA2"/>
    <w:rsid w:val="00EF6F86"/>
    <w:rsid w:val="00EF7F00"/>
    <w:rsid w:val="00F01AC4"/>
    <w:rsid w:val="00F04463"/>
    <w:rsid w:val="00F0686D"/>
    <w:rsid w:val="00F07048"/>
    <w:rsid w:val="00F10977"/>
    <w:rsid w:val="00F12A77"/>
    <w:rsid w:val="00F1321C"/>
    <w:rsid w:val="00F1335A"/>
    <w:rsid w:val="00F15231"/>
    <w:rsid w:val="00F168A9"/>
    <w:rsid w:val="00F21E65"/>
    <w:rsid w:val="00F2342A"/>
    <w:rsid w:val="00F27730"/>
    <w:rsid w:val="00F30894"/>
    <w:rsid w:val="00F36941"/>
    <w:rsid w:val="00F50B10"/>
    <w:rsid w:val="00F53CE7"/>
    <w:rsid w:val="00F53F36"/>
    <w:rsid w:val="00F71D2B"/>
    <w:rsid w:val="00F72274"/>
    <w:rsid w:val="00F72EF0"/>
    <w:rsid w:val="00F731BB"/>
    <w:rsid w:val="00F77021"/>
    <w:rsid w:val="00F80051"/>
    <w:rsid w:val="00F8125C"/>
    <w:rsid w:val="00F828B8"/>
    <w:rsid w:val="00F84262"/>
    <w:rsid w:val="00F84294"/>
    <w:rsid w:val="00F911F9"/>
    <w:rsid w:val="00F94C25"/>
    <w:rsid w:val="00FA1B42"/>
    <w:rsid w:val="00FA21B8"/>
    <w:rsid w:val="00FA4FAE"/>
    <w:rsid w:val="00FA58D3"/>
    <w:rsid w:val="00FA6949"/>
    <w:rsid w:val="00FA72FF"/>
    <w:rsid w:val="00FC0F29"/>
    <w:rsid w:val="00FC75EF"/>
    <w:rsid w:val="00FD43F1"/>
    <w:rsid w:val="00FD6DD4"/>
    <w:rsid w:val="00FE2E18"/>
    <w:rsid w:val="00FF3552"/>
    <w:rsid w:val="00FF5D5A"/>
    <w:rsid w:val="00FF5ED8"/>
    <w:rsid w:val="0163A0E5"/>
    <w:rsid w:val="01D57ABE"/>
    <w:rsid w:val="01FF9AF6"/>
    <w:rsid w:val="02B79851"/>
    <w:rsid w:val="0392CEDD"/>
    <w:rsid w:val="0508BFB6"/>
    <w:rsid w:val="05D17469"/>
    <w:rsid w:val="06348786"/>
    <w:rsid w:val="06721B56"/>
    <w:rsid w:val="07A2558B"/>
    <w:rsid w:val="07F13C88"/>
    <w:rsid w:val="0817E1E8"/>
    <w:rsid w:val="0860214F"/>
    <w:rsid w:val="08FDB720"/>
    <w:rsid w:val="0904D164"/>
    <w:rsid w:val="096F269D"/>
    <w:rsid w:val="09D37E76"/>
    <w:rsid w:val="09E083AE"/>
    <w:rsid w:val="0B1C1C9A"/>
    <w:rsid w:val="0CE5627C"/>
    <w:rsid w:val="0CF315EC"/>
    <w:rsid w:val="0D5EA24C"/>
    <w:rsid w:val="0DEDF4DF"/>
    <w:rsid w:val="0E568067"/>
    <w:rsid w:val="0ED9DF4C"/>
    <w:rsid w:val="0FCB750F"/>
    <w:rsid w:val="104D49DE"/>
    <w:rsid w:val="126F8928"/>
    <w:rsid w:val="12917741"/>
    <w:rsid w:val="14CD8EC5"/>
    <w:rsid w:val="1528E800"/>
    <w:rsid w:val="17411622"/>
    <w:rsid w:val="189CB0AC"/>
    <w:rsid w:val="1949414C"/>
    <w:rsid w:val="1AC0DD4E"/>
    <w:rsid w:val="1B72A508"/>
    <w:rsid w:val="1BA4DF62"/>
    <w:rsid w:val="1BE86EDF"/>
    <w:rsid w:val="1DA28298"/>
    <w:rsid w:val="1DD01A04"/>
    <w:rsid w:val="1F32676C"/>
    <w:rsid w:val="205FA79A"/>
    <w:rsid w:val="20EFBA25"/>
    <w:rsid w:val="21B9239A"/>
    <w:rsid w:val="22C707EA"/>
    <w:rsid w:val="22D1C54B"/>
    <w:rsid w:val="25DDF2D2"/>
    <w:rsid w:val="26365E42"/>
    <w:rsid w:val="2656FE59"/>
    <w:rsid w:val="266D99EB"/>
    <w:rsid w:val="27F1F23B"/>
    <w:rsid w:val="28B2B593"/>
    <w:rsid w:val="29522ACC"/>
    <w:rsid w:val="29FDF400"/>
    <w:rsid w:val="2B42FC84"/>
    <w:rsid w:val="2C267AFF"/>
    <w:rsid w:val="2CDDF237"/>
    <w:rsid w:val="2DCA1759"/>
    <w:rsid w:val="2E671DD2"/>
    <w:rsid w:val="2E6C1AEC"/>
    <w:rsid w:val="2E8DAC1A"/>
    <w:rsid w:val="2EFF87E8"/>
    <w:rsid w:val="2F8FA763"/>
    <w:rsid w:val="2FC40BE5"/>
    <w:rsid w:val="311A86B4"/>
    <w:rsid w:val="3481416C"/>
    <w:rsid w:val="35100352"/>
    <w:rsid w:val="385B2524"/>
    <w:rsid w:val="39AD4948"/>
    <w:rsid w:val="39B36F06"/>
    <w:rsid w:val="3A80B7C6"/>
    <w:rsid w:val="3B2262E1"/>
    <w:rsid w:val="3CBBE8F3"/>
    <w:rsid w:val="3EC804B6"/>
    <w:rsid w:val="3EDAD8A7"/>
    <w:rsid w:val="3EDBD962"/>
    <w:rsid w:val="3F48B91A"/>
    <w:rsid w:val="408ECF00"/>
    <w:rsid w:val="4105D675"/>
    <w:rsid w:val="419BE7B1"/>
    <w:rsid w:val="42155BC5"/>
    <w:rsid w:val="42205EDE"/>
    <w:rsid w:val="438DEE5A"/>
    <w:rsid w:val="4434E6F8"/>
    <w:rsid w:val="4465B96B"/>
    <w:rsid w:val="454BF66C"/>
    <w:rsid w:val="45A848FD"/>
    <w:rsid w:val="45DD076D"/>
    <w:rsid w:val="469D67A7"/>
    <w:rsid w:val="476551D4"/>
    <w:rsid w:val="483C20A2"/>
    <w:rsid w:val="48555617"/>
    <w:rsid w:val="48853C94"/>
    <w:rsid w:val="4AA665FE"/>
    <w:rsid w:val="4B9ED081"/>
    <w:rsid w:val="4B9F5CDD"/>
    <w:rsid w:val="4D524D88"/>
    <w:rsid w:val="4F616E24"/>
    <w:rsid w:val="4F82607A"/>
    <w:rsid w:val="500A2BA2"/>
    <w:rsid w:val="512A7B19"/>
    <w:rsid w:val="51905196"/>
    <w:rsid w:val="526215FC"/>
    <w:rsid w:val="52B8BAB3"/>
    <w:rsid w:val="52D3CFC0"/>
    <w:rsid w:val="530713AC"/>
    <w:rsid w:val="547544BE"/>
    <w:rsid w:val="549B4FF7"/>
    <w:rsid w:val="557F291E"/>
    <w:rsid w:val="55A095E1"/>
    <w:rsid w:val="56B30267"/>
    <w:rsid w:val="571AEB28"/>
    <w:rsid w:val="57A4DAE6"/>
    <w:rsid w:val="585B60DD"/>
    <w:rsid w:val="5861320D"/>
    <w:rsid w:val="592F9502"/>
    <w:rsid w:val="5A5FFE46"/>
    <w:rsid w:val="5BC953C8"/>
    <w:rsid w:val="5D3E2EBF"/>
    <w:rsid w:val="5D8F029F"/>
    <w:rsid w:val="5F0DE569"/>
    <w:rsid w:val="6048326E"/>
    <w:rsid w:val="60591729"/>
    <w:rsid w:val="62036EB4"/>
    <w:rsid w:val="6311993C"/>
    <w:rsid w:val="6327051B"/>
    <w:rsid w:val="63DCA598"/>
    <w:rsid w:val="64D41DCF"/>
    <w:rsid w:val="65877E59"/>
    <w:rsid w:val="67838B00"/>
    <w:rsid w:val="67B59E6B"/>
    <w:rsid w:val="68F32F60"/>
    <w:rsid w:val="698D036C"/>
    <w:rsid w:val="69AF8731"/>
    <w:rsid w:val="69FA62F5"/>
    <w:rsid w:val="6C33D585"/>
    <w:rsid w:val="6C9CEF18"/>
    <w:rsid w:val="6CA3E524"/>
    <w:rsid w:val="6CA4648F"/>
    <w:rsid w:val="6D4B526B"/>
    <w:rsid w:val="7039BBFF"/>
    <w:rsid w:val="7416ECA2"/>
    <w:rsid w:val="7744D1B0"/>
    <w:rsid w:val="781D80CA"/>
    <w:rsid w:val="789A8BA2"/>
    <w:rsid w:val="78A5F375"/>
    <w:rsid w:val="79A30549"/>
    <w:rsid w:val="7BF7EA20"/>
    <w:rsid w:val="7DCD30F0"/>
    <w:rsid w:val="7DDB177B"/>
    <w:rsid w:val="7E151FDB"/>
    <w:rsid w:val="7EB1A509"/>
    <w:rsid w:val="7F668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F8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3D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D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AA1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CC6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1CC6"/>
    <w:rPr>
      <w:sz w:val="16"/>
      <w:szCs w:val="16"/>
    </w:rPr>
  </w:style>
  <w:style w:type="table" w:styleId="TableGrid">
    <w:name w:val="Table Grid"/>
    <w:basedOn w:val="TableNormal"/>
    <w:uiPriority w:val="39"/>
    <w:rsid w:val="00375690"/>
    <w:pPr>
      <w:spacing w:line="360" w:lineRule="auto"/>
    </w:pPr>
    <w:tblPr>
      <w:tblBorders>
        <w:top w:val="single" w:sz="4" w:space="0" w:color="3C4741" w:themeColor="text1"/>
        <w:left w:val="single" w:sz="4" w:space="0" w:color="3C4741" w:themeColor="text1"/>
        <w:bottom w:val="single" w:sz="4" w:space="0" w:color="3C4741" w:themeColor="text1"/>
        <w:right w:val="single" w:sz="4" w:space="0" w:color="3C4741" w:themeColor="text1"/>
        <w:insideH w:val="single" w:sz="4" w:space="0" w:color="3C4741" w:themeColor="text1"/>
        <w:insideV w:val="single" w:sz="4" w:space="0" w:color="3C4741" w:themeColor="text1"/>
      </w:tblBorders>
    </w:tblPr>
  </w:style>
  <w:style w:type="character" w:customStyle="1" w:styleId="normaltextrun">
    <w:name w:val="normaltextrun"/>
    <w:basedOn w:val="DefaultParagraphFont"/>
    <w:rsid w:val="00893A6F"/>
  </w:style>
  <w:style w:type="character" w:customStyle="1" w:styleId="eop">
    <w:name w:val="eop"/>
    <w:basedOn w:val="DefaultParagraphFont"/>
    <w:rsid w:val="00893A6F"/>
  </w:style>
  <w:style w:type="paragraph" w:styleId="ListParagraph">
    <w:name w:val="List Paragraph"/>
    <w:basedOn w:val="Normal"/>
    <w:uiPriority w:val="34"/>
    <w:qFormat/>
    <w:rsid w:val="008D470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8F7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612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12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6123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A54C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enquiries@sepa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qualities@sepa.org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Links>
    <vt:vector size="6" baseType="variant">
      <vt:variant>
        <vt:i4>7143436</vt:i4>
      </vt:variant>
      <vt:variant>
        <vt:i4>0</vt:i4>
      </vt:variant>
      <vt:variant>
        <vt:i4>0</vt:i4>
      </vt:variant>
      <vt:variant>
        <vt:i4>5</vt:i4>
      </vt:variant>
      <vt:variant>
        <vt:lpwstr>mailto:rsenquiries@sepa.org.uk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2025-12-03T11:38:00Z</dcterms:created>
  <dcterms:modified xsi:type="dcterms:W3CDTF">2025-12-03T11:38:00Z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62fba366,6785fc2,7aa829f1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2ebdf3ff,5457c80c,9316e9a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2025-12-03T11:36:28Z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d448b8ea-792c-4245-8c00-551b7180be53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MSIP_Label_ea4fd52f-9814-4cae-aa53-0ea7b16cd381_Tag">
    <vt:lpwstr>10, 0, 1, 1</vt:lpwstr>
  </property>
</Properties>
</file>