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eastAsiaTheme="majorEastAsia" w:hAnsiTheme="majorHAnsi" w:cstheme="majorBidi"/>
          <w:b/>
          <w:bCs/>
          <w:color w:val="016574" w:themeColor="accent2"/>
          <w:sz w:val="40"/>
          <w:szCs w:val="40"/>
        </w:rPr>
        <w:id w:val="-191923907"/>
        <w:docPartObj>
          <w:docPartGallery w:val="Cover Pages"/>
          <w:docPartUnique/>
        </w:docPartObj>
      </w:sdtPr>
      <w:sdtEndPr>
        <w:rPr>
          <w:rFonts w:asciiTheme="minorHAnsi" w:eastAsiaTheme="minorEastAsia" w:hAnsiTheme="minorHAnsi" w:cstheme="minorBidi"/>
          <w:b w:val="0"/>
          <w:bCs w:val="0"/>
          <w:color w:val="016574" w:themeColor="accent6"/>
          <w:sz w:val="24"/>
          <w:szCs w:val="24"/>
        </w:rPr>
      </w:sdtEndPr>
      <w:sdtContent>
        <w:p w14:paraId="36C4D771" w14:textId="69C68B83" w:rsidR="00ED3EE7" w:rsidRDefault="00CF7EFB" w:rsidP="00F60DFD">
          <w:r>
            <w:rPr>
              <w:noProof/>
            </w:rPr>
            <w:drawing>
              <wp:inline distT="0" distB="0" distL="0" distR="0" wp14:anchorId="720A0370" wp14:editId="0532CB5D">
                <wp:extent cx="3067200" cy="770400"/>
                <wp:effectExtent l="0" t="0" r="0" b="444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67200" cy="770400"/>
                        </a:xfrm>
                        <a:prstGeom prst="rect">
                          <a:avLst/>
                        </a:prstGeom>
                      </pic:spPr>
                    </pic:pic>
                  </a:graphicData>
                </a:graphic>
              </wp:inline>
            </w:drawing>
          </w:r>
        </w:p>
        <w:p w14:paraId="3889CA1E" w14:textId="105F7350" w:rsidR="00ED3EE7" w:rsidRPr="00C7689D" w:rsidRDefault="00A77B1A" w:rsidP="00C7689D">
          <w:pPr>
            <w:pStyle w:val="Heading1"/>
          </w:pPr>
          <w:r w:rsidRPr="00C7689D">
            <w:t xml:space="preserve">Agency </w:t>
          </w:r>
          <w:r w:rsidR="00EE3674" w:rsidRPr="00C7689D">
            <w:t>Board</w:t>
          </w:r>
          <w:r w:rsidRPr="00C7689D">
            <w:t xml:space="preserve"> meeting</w:t>
          </w:r>
        </w:p>
        <w:p w14:paraId="5AD2B5C1" w14:textId="40DAC3A1" w:rsidR="008B1BA8" w:rsidRPr="008B1BA8" w:rsidRDefault="008B1BA8" w:rsidP="00184302">
          <w:pPr>
            <w:pStyle w:val="Heading2"/>
          </w:pPr>
          <w:r>
            <w:t>30 September 2025</w:t>
          </w:r>
        </w:p>
        <w:p w14:paraId="53D58480" w14:textId="77777777" w:rsidR="00ED3EE7" w:rsidRDefault="00ED3EE7" w:rsidP="00ED3EE7">
          <w:pPr>
            <w:pStyle w:val="Footer"/>
            <w:ind w:right="360"/>
          </w:pPr>
          <w:r>
            <w:rPr>
              <w:noProof/>
            </w:rPr>
            <mc:AlternateContent>
              <mc:Choice Requires="wps">
                <w:drawing>
                  <wp:anchor distT="0" distB="0" distL="114300" distR="114300" simplePos="0" relativeHeight="251658241" behindDoc="0" locked="0" layoutInCell="1" allowOverlap="1" wp14:anchorId="08B06304" wp14:editId="71D334B7">
                    <wp:simplePos x="0" y="0"/>
                    <wp:positionH relativeFrom="column">
                      <wp:posOffset>23826</wp:posOffset>
                    </wp:positionH>
                    <wp:positionV relativeFrom="paragraph">
                      <wp:posOffset>74240</wp:posOffset>
                    </wp:positionV>
                    <wp:extent cx="6466840" cy="0"/>
                    <wp:effectExtent l="0" t="0" r="10160" b="12700"/>
                    <wp:wrapNone/>
                    <wp:docPr id="12" name="Straight Connector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dec="http://schemas.microsoft.com/office/drawing/2017/decorative" xmlns:a="http://schemas.openxmlformats.org/drawingml/2006/main">
                <w:pict w14:anchorId="30D23164">
                  <v:line id="Straight Connector 12" style="position:absolute;z-index:251658241;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5.85pt" to="511.1pt,5.85pt" w14:anchorId="1A78F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v:stroke joinstyle="miter"/>
                  </v:line>
                </w:pict>
              </mc:Fallback>
            </mc:AlternateContent>
          </w:r>
        </w:p>
        <w:p w14:paraId="4149094D" w14:textId="5C27E053" w:rsidR="00ED3EE7" w:rsidRPr="00236552" w:rsidRDefault="00490E02" w:rsidP="00CB36A1">
          <w:pPr>
            <w:pStyle w:val="Heading2"/>
          </w:pPr>
          <w:r>
            <w:t xml:space="preserve">Quarter </w:t>
          </w:r>
          <w:r w:rsidR="00C83169">
            <w:t>1</w:t>
          </w:r>
          <w:r>
            <w:t xml:space="preserve"> </w:t>
          </w:r>
          <w:r w:rsidR="009F01E2">
            <w:t>f</w:t>
          </w:r>
          <w:r>
            <w:t xml:space="preserve">inancial </w:t>
          </w:r>
          <w:r w:rsidR="00957E2A">
            <w:t xml:space="preserve">monitoring report for period ending </w:t>
          </w:r>
          <w:r w:rsidR="007A63F1">
            <w:t>3</w:t>
          </w:r>
          <w:r w:rsidR="00C83169">
            <w:t>0</w:t>
          </w:r>
          <w:r w:rsidR="00356FDA">
            <w:t xml:space="preserve"> </w:t>
          </w:r>
          <w:r w:rsidR="00C83169">
            <w:t xml:space="preserve">June </w:t>
          </w:r>
          <w:r w:rsidR="00957E2A">
            <w:t>202</w:t>
          </w:r>
          <w:r w:rsidR="00C83169">
            <w:t>5</w:t>
          </w:r>
        </w:p>
        <w:p w14:paraId="29F6B0E8" w14:textId="36BFE3F1" w:rsidR="00ED3EE7" w:rsidRDefault="00BD5B7E" w:rsidP="00BD5B7E">
          <w:pPr>
            <w:pStyle w:val="Heading3"/>
            <w:rPr>
              <w:color w:val="016574" w:themeColor="accent1"/>
            </w:rPr>
          </w:pPr>
          <w:r>
            <w:t>Purpose</w:t>
          </w:r>
          <w:r w:rsidR="000A4F02">
            <w:t>:</w:t>
          </w:r>
          <w:r w:rsidR="004D6DB1">
            <w:t xml:space="preserve"> </w:t>
          </w:r>
        </w:p>
        <w:p w14:paraId="5CDA7A88" w14:textId="1206BD51" w:rsidR="007E7F64" w:rsidRDefault="00001C38" w:rsidP="007E7F64">
          <w:pPr>
            <w:rPr>
              <w:rStyle w:val="normaltextrun"/>
            </w:rPr>
          </w:pPr>
          <w:r>
            <w:rPr>
              <w:rStyle w:val="normaltextrun"/>
            </w:rPr>
            <w:t xml:space="preserve">This report is to provide an update to the </w:t>
          </w:r>
          <w:r w:rsidR="002838FA">
            <w:rPr>
              <w:rStyle w:val="normaltextrun"/>
            </w:rPr>
            <w:t>Board</w:t>
          </w:r>
          <w:r>
            <w:rPr>
              <w:rStyle w:val="normaltextrun"/>
            </w:rPr>
            <w:t xml:space="preserve"> on the following areas:</w:t>
          </w:r>
        </w:p>
        <w:p w14:paraId="472249CB" w14:textId="74625614" w:rsidR="00B62000" w:rsidRDefault="002F3CAF" w:rsidP="59A7B0A0">
          <w:pPr>
            <w:pStyle w:val="ListParagraph"/>
            <w:numPr>
              <w:ilvl w:val="0"/>
              <w:numId w:val="2"/>
            </w:numPr>
            <w:ind w:left="714" w:hanging="357"/>
          </w:pPr>
          <w:r>
            <w:t>A</w:t>
          </w:r>
          <w:r w:rsidR="007740F4">
            <w:t xml:space="preserve">ctual results </w:t>
          </w:r>
          <w:r w:rsidR="00B62000">
            <w:t xml:space="preserve">for </w:t>
          </w:r>
          <w:r w:rsidR="00BA3B1B">
            <w:t>q</w:t>
          </w:r>
          <w:r w:rsidR="00175C35">
            <w:t xml:space="preserve">uarter </w:t>
          </w:r>
          <w:r w:rsidR="00C83169">
            <w:t>1</w:t>
          </w:r>
          <w:r w:rsidR="002B2AFF">
            <w:t xml:space="preserve"> </w:t>
          </w:r>
          <w:r w:rsidR="00586804">
            <w:t>(Q</w:t>
          </w:r>
          <w:r w:rsidR="00C83169">
            <w:t>1</w:t>
          </w:r>
          <w:r w:rsidR="00586804">
            <w:t xml:space="preserve">) </w:t>
          </w:r>
          <w:r w:rsidR="00B62000">
            <w:t>(1</w:t>
          </w:r>
          <w:r w:rsidR="00266CD2">
            <w:t xml:space="preserve"> </w:t>
          </w:r>
          <w:r w:rsidR="00B62000">
            <w:t>April 202</w:t>
          </w:r>
          <w:r w:rsidR="00132EE6">
            <w:t xml:space="preserve">5 </w:t>
          </w:r>
          <w:r w:rsidR="00B62000">
            <w:t>to 3</w:t>
          </w:r>
          <w:r w:rsidR="00132EE6">
            <w:t>0</w:t>
          </w:r>
          <w:r w:rsidR="00B62000">
            <w:t xml:space="preserve"> </w:t>
          </w:r>
          <w:r w:rsidR="00132EE6">
            <w:t xml:space="preserve">June </w:t>
          </w:r>
          <w:r w:rsidR="00776A7D">
            <w:t>202</w:t>
          </w:r>
          <w:r w:rsidR="00132EE6">
            <w:t>5</w:t>
          </w:r>
          <w:r w:rsidR="00B62000">
            <w:t xml:space="preserve">) show that </w:t>
          </w:r>
          <w:bookmarkStart w:id="0" w:name="_Int_JABeNUns"/>
          <w:r w:rsidR="00B62000">
            <w:t>SEPA</w:t>
          </w:r>
          <w:bookmarkEnd w:id="0"/>
          <w:r w:rsidR="007A63F1">
            <w:t xml:space="preserve"> is forecasting to deliver </w:t>
          </w:r>
          <w:r w:rsidR="008F30BD">
            <w:t>a balanced outturn and break-even position to the year end.</w:t>
          </w:r>
        </w:p>
        <w:p w14:paraId="72F002AC" w14:textId="43AA4EB9" w:rsidR="0039297A" w:rsidRDefault="00011125" w:rsidP="00595E65">
          <w:pPr>
            <w:pStyle w:val="ListParagraph"/>
            <w:numPr>
              <w:ilvl w:val="0"/>
              <w:numId w:val="2"/>
            </w:numPr>
            <w:ind w:left="714" w:hanging="357"/>
            <w:contextualSpacing w:val="0"/>
            <w:rPr>
              <w:rStyle w:val="normaltextrun"/>
            </w:rPr>
          </w:pPr>
          <w:r>
            <w:rPr>
              <w:rStyle w:val="normaltextrun"/>
            </w:rPr>
            <w:t xml:space="preserve">A capital summary showing forecast </w:t>
          </w:r>
          <w:r w:rsidR="00113311">
            <w:rPr>
              <w:rStyle w:val="normaltextrun"/>
            </w:rPr>
            <w:t xml:space="preserve">spend </w:t>
          </w:r>
          <w:r w:rsidR="00CD0A6D">
            <w:rPr>
              <w:rStyle w:val="normaltextrun"/>
            </w:rPr>
            <w:t xml:space="preserve">in line with a </w:t>
          </w:r>
          <w:r w:rsidR="00C77E2F">
            <w:rPr>
              <w:rStyle w:val="normaltextrun"/>
            </w:rPr>
            <w:t>budget of £</w:t>
          </w:r>
          <w:r w:rsidR="003C3E03">
            <w:rPr>
              <w:rStyle w:val="normaltextrun"/>
            </w:rPr>
            <w:t>6</w:t>
          </w:r>
          <w:r w:rsidR="00C77E2F">
            <w:rPr>
              <w:rStyle w:val="normaltextrun"/>
            </w:rPr>
            <w:t>.</w:t>
          </w:r>
          <w:r w:rsidR="003C3E03">
            <w:rPr>
              <w:rStyle w:val="normaltextrun"/>
            </w:rPr>
            <w:t>2</w:t>
          </w:r>
          <w:r w:rsidR="00C77E2F">
            <w:rPr>
              <w:rStyle w:val="normaltextrun"/>
            </w:rPr>
            <w:t>m</w:t>
          </w:r>
          <w:r w:rsidR="00F66A4E">
            <w:rPr>
              <w:rStyle w:val="normaltextrun"/>
            </w:rPr>
            <w:t>.</w:t>
          </w:r>
        </w:p>
        <w:p w14:paraId="5C43225A" w14:textId="45BE6B23" w:rsidR="00BD5B7E" w:rsidRPr="00CE0A75" w:rsidRDefault="00BD5B7E" w:rsidP="00CE0A75">
          <w:pPr>
            <w:pStyle w:val="Heading3"/>
          </w:pPr>
          <w:r w:rsidRPr="00CE0A75">
            <w:t>Recommendations</w:t>
          </w:r>
          <w:r w:rsidR="000A4F02" w:rsidRPr="00CE0A75">
            <w:t>:</w:t>
          </w:r>
          <w:r w:rsidR="00476F79" w:rsidRPr="00CE0A75">
            <w:t xml:space="preserve"> </w:t>
          </w:r>
        </w:p>
        <w:p w14:paraId="540182E1" w14:textId="27125FC3" w:rsidR="00D3372D" w:rsidRPr="004159A1" w:rsidRDefault="00B83071" w:rsidP="00CB2B55">
          <w:r>
            <w:rPr>
              <w:rStyle w:val="normaltextrun"/>
            </w:rPr>
            <w:t xml:space="preserve">The </w:t>
          </w:r>
          <w:r w:rsidR="00BC4F07">
            <w:rPr>
              <w:rStyle w:val="normaltextrun"/>
            </w:rPr>
            <w:t>Board</w:t>
          </w:r>
          <w:r w:rsidR="006B4414">
            <w:rPr>
              <w:rStyle w:val="normaltextrun"/>
            </w:rPr>
            <w:t xml:space="preserve"> </w:t>
          </w:r>
          <w:r w:rsidR="00066F23">
            <w:rPr>
              <w:rStyle w:val="normaltextrun"/>
            </w:rPr>
            <w:t>is</w:t>
          </w:r>
          <w:r>
            <w:rPr>
              <w:rStyle w:val="normaltextrun"/>
            </w:rPr>
            <w:t xml:space="preserve"> asked to</w:t>
          </w:r>
          <w:r w:rsidR="00CB2B55">
            <w:rPr>
              <w:rStyle w:val="normaltextrun"/>
            </w:rPr>
            <w:t xml:space="preserve"> </w:t>
          </w:r>
          <w:r w:rsidR="00CB2B55" w:rsidRPr="00066F23">
            <w:rPr>
              <w:rStyle w:val="normaltextrun"/>
              <w:b/>
              <w:bCs/>
            </w:rPr>
            <w:t>n</w:t>
          </w:r>
          <w:r w:rsidRPr="00066F23">
            <w:rPr>
              <w:b/>
              <w:bCs/>
            </w:rPr>
            <w:t>ote</w:t>
          </w:r>
          <w:r w:rsidRPr="004159A1">
            <w:t xml:space="preserve"> </w:t>
          </w:r>
          <w:r w:rsidR="00426AAC" w:rsidRPr="004159A1">
            <w:t xml:space="preserve">SEPA’s </w:t>
          </w:r>
          <w:r w:rsidRPr="004159A1">
            <w:t xml:space="preserve">financial performance for the period ending </w:t>
          </w:r>
          <w:r w:rsidR="002F4A43" w:rsidRPr="004159A1">
            <w:t>3</w:t>
          </w:r>
          <w:r w:rsidR="003C3E03">
            <w:t>0</w:t>
          </w:r>
          <w:r w:rsidR="002F4A43" w:rsidRPr="004159A1">
            <w:t xml:space="preserve"> </w:t>
          </w:r>
          <w:r w:rsidR="003C3E03">
            <w:t>June</w:t>
          </w:r>
          <w:r w:rsidR="002F4A43" w:rsidRPr="004159A1">
            <w:t xml:space="preserve"> 202</w:t>
          </w:r>
          <w:r w:rsidR="003C3E03">
            <w:t>5</w:t>
          </w:r>
          <w:r w:rsidR="00366E0B">
            <w:t>.</w:t>
          </w:r>
        </w:p>
        <w:p w14:paraId="053DC6D1" w14:textId="0F9342DC" w:rsidR="00C00721" w:rsidRDefault="002D2F6E" w:rsidP="00BD5B7E">
          <w:pPr>
            <w:pStyle w:val="BodyText1"/>
            <w:rPr>
              <w:rStyle w:val="Heading3Char"/>
            </w:rPr>
          </w:pPr>
          <w:r w:rsidRPr="00BB6C63">
            <w:rPr>
              <w:rStyle w:val="Heading3Char"/>
            </w:rPr>
            <w:t>Author</w:t>
          </w:r>
          <w:r w:rsidR="00A65780">
            <w:rPr>
              <w:rStyle w:val="Heading3Char"/>
            </w:rPr>
            <w:t>s</w:t>
          </w:r>
          <w:r w:rsidR="00C00721">
            <w:rPr>
              <w:rStyle w:val="Heading3Char"/>
            </w:rPr>
            <w:t>:</w:t>
          </w:r>
          <w:r w:rsidR="00C9085D">
            <w:rPr>
              <w:rStyle w:val="Heading3Char"/>
            </w:rPr>
            <w:t xml:space="preserve"> </w:t>
          </w:r>
          <w:r w:rsidR="00C9085D" w:rsidRPr="00C9085D">
            <w:t>Ian Bryce, Deputy Head of Finance</w:t>
          </w:r>
          <w:r w:rsidR="00066F23">
            <w:t>;</w:t>
          </w:r>
          <w:r w:rsidR="008D10D0">
            <w:t xml:space="preserve"> Rosaleen Burke</w:t>
          </w:r>
          <w:r w:rsidR="00240F31">
            <w:t>,</w:t>
          </w:r>
          <w:r w:rsidR="008D10D0">
            <w:t xml:space="preserve"> Head of Finance</w:t>
          </w:r>
          <w:r w:rsidR="002D7F0B">
            <w:t>.</w:t>
          </w:r>
        </w:p>
        <w:p w14:paraId="31664044" w14:textId="4BB11191" w:rsidR="009B4E90" w:rsidRDefault="00F60DFD" w:rsidP="0097313C">
          <w:pPr>
            <w:pStyle w:val="BodyText1"/>
          </w:pPr>
          <w:r w:rsidRPr="00BB6C63">
            <w:rPr>
              <w:rStyle w:val="Heading3Char"/>
            </w:rPr>
            <w:t>Corporate Leadership Team Sponsor</w:t>
          </w:r>
          <w:r w:rsidRPr="00BB6C63">
            <w:rPr>
              <w:rStyle w:val="normaltextrun"/>
              <w:rFonts w:cs="Arial"/>
              <w:b/>
              <w:bCs/>
              <w:color w:val="000000"/>
              <w:shd w:val="clear" w:color="auto" w:fill="FFFFFF"/>
            </w:rPr>
            <w:t xml:space="preserve">: </w:t>
          </w:r>
          <w:r w:rsidR="00C9085D">
            <w:t>Angela Milloy Chief Officer, Finance, Modernisation, and Digital.</w:t>
          </w:r>
        </w:p>
        <w:p w14:paraId="4A3EC272" w14:textId="59E10B4A" w:rsidR="000D2F7B" w:rsidRPr="00C15E41" w:rsidRDefault="00F60DFD" w:rsidP="0097313C">
          <w:pPr>
            <w:pStyle w:val="BodyText1"/>
            <w:rPr>
              <w:rStyle w:val="normaltextrun"/>
            </w:rPr>
            <w:sectPr w:rsidR="000D2F7B" w:rsidRPr="00C15E41" w:rsidSect="00433DE7">
              <w:headerReference w:type="even" r:id="rId9"/>
              <w:headerReference w:type="default" r:id="rId10"/>
              <w:footerReference w:type="even" r:id="rId11"/>
              <w:footerReference w:type="default" r:id="rId12"/>
              <w:headerReference w:type="first" r:id="rId13"/>
              <w:footerReference w:type="first" r:id="rId14"/>
              <w:type w:val="continuous"/>
              <w:pgSz w:w="11900" w:h="16840" w:code="9"/>
              <w:pgMar w:top="720" w:right="720" w:bottom="720" w:left="720" w:header="794" w:footer="567" w:gutter="0"/>
              <w:cols w:space="708"/>
              <w:docGrid w:linePitch="360"/>
            </w:sectPr>
          </w:pPr>
          <w:r w:rsidRPr="00BB6C63">
            <w:rPr>
              <w:rStyle w:val="Heading3Char"/>
            </w:rPr>
            <w:t>Date:</w:t>
          </w:r>
          <w:r w:rsidR="00366E0B">
            <w:rPr>
              <w:rStyle w:val="normaltextrun"/>
              <w:rFonts w:cs="Arial"/>
              <w:color w:val="000000"/>
              <w:shd w:val="clear" w:color="auto" w:fill="FFFFFF"/>
            </w:rPr>
            <w:t xml:space="preserve"> 17 September 2025</w:t>
          </w:r>
        </w:p>
        <w:p w14:paraId="2F6118DA" w14:textId="6AD66456" w:rsidR="00D1226C" w:rsidRPr="00236F65" w:rsidRDefault="00CD7997" w:rsidP="00236F65">
          <w:pPr>
            <w:pStyle w:val="Heading4"/>
            <w:rPr>
              <w:rStyle w:val="normaltextrun"/>
            </w:rPr>
          </w:pPr>
          <w:r w:rsidRPr="00236F65">
            <w:rPr>
              <w:rStyle w:val="normaltextrun"/>
            </w:rPr>
            <w:lastRenderedPageBreak/>
            <w:t>Table 1</w:t>
          </w:r>
          <w:r w:rsidR="00B05DD9" w:rsidRPr="00236F65">
            <w:rPr>
              <w:rStyle w:val="normaltextrun"/>
            </w:rPr>
            <w:t>:</w:t>
          </w:r>
          <w:r w:rsidRPr="00236F65">
            <w:rPr>
              <w:rStyle w:val="normaltextrun"/>
            </w:rPr>
            <w:t xml:space="preserve"> </w:t>
          </w:r>
          <w:r w:rsidR="00083E80" w:rsidRPr="00236F65">
            <w:rPr>
              <w:rStyle w:val="normaltextrun"/>
            </w:rPr>
            <w:t>Scottish Environment Protection Agency – income and expenditure account 202</w:t>
          </w:r>
          <w:r w:rsidR="003B29E2">
            <w:rPr>
              <w:rStyle w:val="normaltextrun"/>
            </w:rPr>
            <w:t>5</w:t>
          </w:r>
          <w:r w:rsidR="00FF1577" w:rsidRPr="00236F65">
            <w:rPr>
              <w:rStyle w:val="normaltextrun"/>
            </w:rPr>
            <w:t>/2</w:t>
          </w:r>
          <w:r w:rsidR="003B29E2">
            <w:rPr>
              <w:rStyle w:val="normaltextrun"/>
            </w:rPr>
            <w:t>6</w:t>
          </w:r>
        </w:p>
        <w:tbl>
          <w:tblPr>
            <w:tblStyle w:val="TableGrid"/>
            <w:tblW w:w="10337" w:type="dxa"/>
            <w:tblLook w:val="04A0" w:firstRow="1" w:lastRow="0" w:firstColumn="1" w:lastColumn="0" w:noHBand="0" w:noVBand="1"/>
            <w:tblCaption w:val="Table 1: SEPA income and expenditure account 2024/25"/>
          </w:tblPr>
          <w:tblGrid>
            <w:gridCol w:w="2950"/>
            <w:gridCol w:w="1388"/>
            <w:gridCol w:w="1235"/>
            <w:gridCol w:w="1191"/>
            <w:gridCol w:w="1217"/>
            <w:gridCol w:w="1191"/>
            <w:gridCol w:w="1217"/>
          </w:tblGrid>
          <w:tr w:rsidR="0045411A" w:rsidRPr="0045411A" w14:paraId="1D4B8E6D" w14:textId="77777777" w:rsidTr="55AE29C2">
            <w:trPr>
              <w:cantSplit/>
              <w:trHeight w:val="855"/>
              <w:tblHeader/>
            </w:trPr>
            <w:tc>
              <w:tcPr>
                <w:tcW w:w="2950" w:type="dxa"/>
                <w:shd w:val="clear" w:color="auto" w:fill="016574" w:themeFill="accent6"/>
                <w:hideMark/>
              </w:tcPr>
              <w:p w14:paraId="5B9DE100" w14:textId="11A15E8C" w:rsidR="0045411A" w:rsidRPr="0045411A" w:rsidRDefault="0045411A" w:rsidP="002E57FC">
                <w:pPr>
                  <w:spacing w:after="120"/>
                  <w:rPr>
                    <w:b/>
                    <w:bCs/>
                  </w:rPr>
                </w:pPr>
              </w:p>
            </w:tc>
            <w:tc>
              <w:tcPr>
                <w:tcW w:w="1388" w:type="dxa"/>
                <w:shd w:val="clear" w:color="auto" w:fill="016574" w:themeFill="accent6"/>
                <w:hideMark/>
              </w:tcPr>
              <w:p w14:paraId="4C8A9930" w14:textId="1AC37488" w:rsidR="00F16ECB" w:rsidRPr="009502DF" w:rsidRDefault="0045411A" w:rsidP="002E57FC">
                <w:pPr>
                  <w:spacing w:after="120"/>
                  <w:jc w:val="right"/>
                  <w:rPr>
                    <w:rFonts w:ascii="Arial" w:hAnsi="Arial" w:cs="Arial"/>
                    <w:b/>
                    <w:bCs/>
                    <w:color w:val="FFFFFF" w:themeColor="background1"/>
                  </w:rPr>
                </w:pPr>
                <w:r w:rsidRPr="009502DF">
                  <w:rPr>
                    <w:rFonts w:ascii="Arial" w:hAnsi="Arial" w:cs="Arial"/>
                    <w:b/>
                    <w:bCs/>
                    <w:color w:val="FFFFFF" w:themeColor="background1"/>
                  </w:rPr>
                  <w:t>Year to date actua</w:t>
                </w:r>
                <w:r w:rsidR="004C10C9" w:rsidRPr="009502DF">
                  <w:rPr>
                    <w:rFonts w:ascii="Arial" w:hAnsi="Arial" w:cs="Arial"/>
                    <w:b/>
                    <w:bCs/>
                    <w:color w:val="FFFFFF" w:themeColor="background1"/>
                  </w:rPr>
                  <w:t>l</w:t>
                </w:r>
              </w:p>
              <w:p w14:paraId="52CDB39C" w14:textId="4498FD52" w:rsidR="0045411A" w:rsidRPr="009502DF" w:rsidRDefault="0045411A" w:rsidP="002E57FC">
                <w:pPr>
                  <w:spacing w:after="120"/>
                  <w:jc w:val="right"/>
                  <w:rPr>
                    <w:rFonts w:ascii="Arial" w:hAnsi="Arial" w:cs="Arial"/>
                    <w:b/>
                    <w:bCs/>
                    <w:color w:val="FFFFFF" w:themeColor="background1"/>
                  </w:rPr>
                </w:pPr>
                <w:r w:rsidRPr="009502DF">
                  <w:rPr>
                    <w:rFonts w:ascii="Arial" w:hAnsi="Arial" w:cs="Arial"/>
                    <w:b/>
                    <w:bCs/>
                    <w:color w:val="FFFFFF" w:themeColor="background1"/>
                  </w:rPr>
                  <w:t>£'000</w:t>
                </w:r>
              </w:p>
            </w:tc>
            <w:tc>
              <w:tcPr>
                <w:tcW w:w="1235" w:type="dxa"/>
                <w:shd w:val="clear" w:color="auto" w:fill="016574" w:themeFill="accent6"/>
                <w:hideMark/>
              </w:tcPr>
              <w:p w14:paraId="6D1BE943" w14:textId="77777777" w:rsidR="00761D46" w:rsidRPr="009502DF" w:rsidRDefault="0045411A" w:rsidP="002E57FC">
                <w:pPr>
                  <w:spacing w:after="120"/>
                  <w:jc w:val="right"/>
                  <w:rPr>
                    <w:rFonts w:ascii="Arial" w:hAnsi="Arial" w:cs="Arial"/>
                    <w:b/>
                    <w:bCs/>
                    <w:color w:val="FFFFFF" w:themeColor="background1"/>
                  </w:rPr>
                </w:pPr>
                <w:r w:rsidRPr="009502DF">
                  <w:rPr>
                    <w:rFonts w:ascii="Arial" w:hAnsi="Arial" w:cs="Arial"/>
                    <w:b/>
                    <w:bCs/>
                    <w:color w:val="FFFFFF" w:themeColor="background1"/>
                  </w:rPr>
                  <w:t xml:space="preserve">Year to date budget     </w:t>
                </w:r>
              </w:p>
              <w:p w14:paraId="3870561E" w14:textId="0D721853" w:rsidR="0045411A" w:rsidRPr="009502DF" w:rsidRDefault="0045411A" w:rsidP="002E57FC">
                <w:pPr>
                  <w:spacing w:after="120"/>
                  <w:jc w:val="right"/>
                  <w:rPr>
                    <w:rFonts w:ascii="Arial" w:hAnsi="Arial" w:cs="Arial"/>
                    <w:b/>
                    <w:bCs/>
                    <w:color w:val="FFFFFF" w:themeColor="background1"/>
                  </w:rPr>
                </w:pPr>
                <w:r w:rsidRPr="009502DF">
                  <w:rPr>
                    <w:rFonts w:ascii="Arial" w:hAnsi="Arial" w:cs="Arial"/>
                    <w:b/>
                    <w:bCs/>
                    <w:color w:val="FFFFFF" w:themeColor="background1"/>
                  </w:rPr>
                  <w:t>£'000</w:t>
                </w:r>
              </w:p>
            </w:tc>
            <w:tc>
              <w:tcPr>
                <w:tcW w:w="1191" w:type="dxa"/>
                <w:shd w:val="clear" w:color="auto" w:fill="016574" w:themeFill="accent6"/>
                <w:hideMark/>
              </w:tcPr>
              <w:p w14:paraId="7A082362" w14:textId="77777777" w:rsidR="00761D46" w:rsidRPr="009502DF" w:rsidRDefault="0045411A" w:rsidP="002E57FC">
                <w:pPr>
                  <w:spacing w:after="120"/>
                  <w:jc w:val="right"/>
                  <w:rPr>
                    <w:rFonts w:ascii="Arial" w:hAnsi="Arial" w:cs="Arial"/>
                    <w:b/>
                    <w:bCs/>
                    <w:color w:val="FFFFFF" w:themeColor="background1"/>
                  </w:rPr>
                </w:pPr>
                <w:r w:rsidRPr="009502DF">
                  <w:rPr>
                    <w:rFonts w:ascii="Arial" w:hAnsi="Arial" w:cs="Arial"/>
                    <w:b/>
                    <w:bCs/>
                    <w:color w:val="FFFFFF" w:themeColor="background1"/>
                  </w:rPr>
                  <w:t xml:space="preserve">Year to date variance </w:t>
                </w:r>
              </w:p>
              <w:p w14:paraId="48A48CB2" w14:textId="62D0A99F" w:rsidR="0045411A" w:rsidRPr="009502DF" w:rsidRDefault="0045411A" w:rsidP="002E57FC">
                <w:pPr>
                  <w:spacing w:after="120"/>
                  <w:jc w:val="right"/>
                  <w:rPr>
                    <w:rFonts w:ascii="Arial" w:hAnsi="Arial" w:cs="Arial"/>
                    <w:b/>
                    <w:bCs/>
                    <w:color w:val="FFFFFF" w:themeColor="background1"/>
                  </w:rPr>
                </w:pPr>
                <w:r w:rsidRPr="009502DF">
                  <w:rPr>
                    <w:rFonts w:ascii="Arial" w:hAnsi="Arial" w:cs="Arial"/>
                    <w:b/>
                    <w:bCs/>
                    <w:color w:val="FFFFFF" w:themeColor="background1"/>
                  </w:rPr>
                  <w:t>£'000</w:t>
                </w:r>
              </w:p>
            </w:tc>
            <w:tc>
              <w:tcPr>
                <w:tcW w:w="1191" w:type="dxa"/>
                <w:shd w:val="clear" w:color="auto" w:fill="016574" w:themeFill="accent6"/>
                <w:hideMark/>
              </w:tcPr>
              <w:p w14:paraId="39B9F95E" w14:textId="09B5DFF4" w:rsidR="00F93202" w:rsidRPr="009502DF" w:rsidRDefault="0045411A" w:rsidP="002E57FC">
                <w:pPr>
                  <w:spacing w:after="120"/>
                  <w:jc w:val="right"/>
                  <w:rPr>
                    <w:rFonts w:ascii="Arial" w:hAnsi="Arial" w:cs="Arial"/>
                    <w:b/>
                    <w:bCs/>
                    <w:color w:val="FFFFFF" w:themeColor="background1"/>
                  </w:rPr>
                </w:pPr>
                <w:r w:rsidRPr="009502DF">
                  <w:rPr>
                    <w:rFonts w:ascii="Arial" w:hAnsi="Arial" w:cs="Arial"/>
                    <w:b/>
                    <w:bCs/>
                    <w:color w:val="FFFFFF" w:themeColor="background1"/>
                  </w:rPr>
                  <w:t xml:space="preserve">Forecast </w:t>
                </w:r>
                <w:r w:rsidR="008D0D5A" w:rsidRPr="009502DF">
                  <w:rPr>
                    <w:rFonts w:ascii="Arial" w:hAnsi="Arial" w:cs="Arial"/>
                    <w:b/>
                    <w:bCs/>
                    <w:color w:val="FFFFFF" w:themeColor="background1"/>
                  </w:rPr>
                  <w:t>o</w:t>
                </w:r>
                <w:r w:rsidRPr="009502DF">
                  <w:rPr>
                    <w:rFonts w:ascii="Arial" w:hAnsi="Arial" w:cs="Arial"/>
                    <w:b/>
                    <w:bCs/>
                    <w:color w:val="FFFFFF" w:themeColor="background1"/>
                  </w:rPr>
                  <w:t>utturn</w:t>
                </w:r>
              </w:p>
              <w:p w14:paraId="6BB673A9" w14:textId="06ED2935" w:rsidR="0045411A" w:rsidRPr="009502DF" w:rsidRDefault="00F16ECB" w:rsidP="002E57FC">
                <w:pPr>
                  <w:spacing w:after="120"/>
                  <w:jc w:val="right"/>
                  <w:rPr>
                    <w:rFonts w:ascii="Arial" w:hAnsi="Arial" w:cs="Arial"/>
                    <w:b/>
                    <w:bCs/>
                    <w:color w:val="FFFFFF" w:themeColor="background1"/>
                  </w:rPr>
                </w:pPr>
                <w:r w:rsidRPr="009502DF">
                  <w:rPr>
                    <w:rFonts w:ascii="Arial" w:hAnsi="Arial" w:cs="Arial"/>
                    <w:b/>
                    <w:bCs/>
                    <w:color w:val="FFFFFF" w:themeColor="background1"/>
                  </w:rPr>
                  <w:t xml:space="preserve">        </w:t>
                </w:r>
                <w:r w:rsidR="0045411A" w:rsidRPr="009502DF">
                  <w:rPr>
                    <w:rFonts w:ascii="Arial" w:hAnsi="Arial" w:cs="Arial"/>
                    <w:b/>
                    <w:bCs/>
                    <w:color w:val="FFFFFF" w:themeColor="background1"/>
                  </w:rPr>
                  <w:t>£'000</w:t>
                </w:r>
              </w:p>
            </w:tc>
            <w:tc>
              <w:tcPr>
                <w:tcW w:w="1191" w:type="dxa"/>
                <w:shd w:val="clear" w:color="auto" w:fill="016574" w:themeFill="accent6"/>
                <w:hideMark/>
              </w:tcPr>
              <w:p w14:paraId="29D4561F" w14:textId="2AFEA5CD" w:rsidR="00F16ECB" w:rsidRPr="009502DF" w:rsidRDefault="0045411A" w:rsidP="002E57FC">
                <w:pPr>
                  <w:spacing w:after="120"/>
                  <w:jc w:val="right"/>
                  <w:rPr>
                    <w:rFonts w:ascii="Arial" w:hAnsi="Arial" w:cs="Arial"/>
                    <w:b/>
                    <w:bCs/>
                    <w:color w:val="FFFFFF" w:themeColor="background1"/>
                  </w:rPr>
                </w:pPr>
                <w:r w:rsidRPr="009502DF">
                  <w:rPr>
                    <w:rFonts w:ascii="Arial" w:hAnsi="Arial" w:cs="Arial"/>
                    <w:b/>
                    <w:bCs/>
                    <w:color w:val="FFFFFF" w:themeColor="background1"/>
                  </w:rPr>
                  <w:t xml:space="preserve">Annual </w:t>
                </w:r>
                <w:r w:rsidR="006042A1">
                  <w:rPr>
                    <w:rFonts w:ascii="Arial" w:hAnsi="Arial" w:cs="Arial"/>
                    <w:b/>
                    <w:bCs/>
                    <w:color w:val="FFFFFF" w:themeColor="background1"/>
                  </w:rPr>
                  <w:t>b</w:t>
                </w:r>
                <w:r w:rsidRPr="009502DF">
                  <w:rPr>
                    <w:rFonts w:ascii="Arial" w:hAnsi="Arial" w:cs="Arial"/>
                    <w:b/>
                    <w:bCs/>
                    <w:color w:val="FFFFFF" w:themeColor="background1"/>
                  </w:rPr>
                  <w:t>udget</w:t>
                </w:r>
              </w:p>
              <w:p w14:paraId="518002EB" w14:textId="684A6BBD" w:rsidR="0045411A" w:rsidRPr="009502DF" w:rsidRDefault="00B37635" w:rsidP="002E57FC">
                <w:pPr>
                  <w:spacing w:after="120"/>
                  <w:jc w:val="right"/>
                  <w:rPr>
                    <w:rFonts w:ascii="Arial" w:hAnsi="Arial" w:cs="Arial"/>
                    <w:b/>
                    <w:bCs/>
                    <w:color w:val="FFFFFF" w:themeColor="background1"/>
                  </w:rPr>
                </w:pPr>
                <w:r w:rsidRPr="009502DF">
                  <w:rPr>
                    <w:rFonts w:ascii="Arial" w:hAnsi="Arial" w:cs="Arial"/>
                    <w:b/>
                    <w:bCs/>
                    <w:color w:val="FFFFFF" w:themeColor="background1"/>
                  </w:rPr>
                  <w:t xml:space="preserve">       </w:t>
                </w:r>
                <w:r w:rsidR="0045411A" w:rsidRPr="009502DF">
                  <w:rPr>
                    <w:rFonts w:ascii="Arial" w:hAnsi="Arial" w:cs="Arial"/>
                    <w:b/>
                    <w:bCs/>
                    <w:color w:val="FFFFFF" w:themeColor="background1"/>
                  </w:rPr>
                  <w:t>£'000</w:t>
                </w:r>
              </w:p>
            </w:tc>
            <w:tc>
              <w:tcPr>
                <w:tcW w:w="1191" w:type="dxa"/>
                <w:shd w:val="clear" w:color="auto" w:fill="016574" w:themeFill="accent6"/>
                <w:hideMark/>
              </w:tcPr>
              <w:p w14:paraId="7A2317B6" w14:textId="77777777" w:rsidR="00B37635" w:rsidRPr="009502DF" w:rsidRDefault="0045411A" w:rsidP="002E57FC">
                <w:pPr>
                  <w:spacing w:after="120"/>
                  <w:jc w:val="right"/>
                  <w:rPr>
                    <w:rFonts w:ascii="Arial" w:hAnsi="Arial" w:cs="Arial"/>
                    <w:b/>
                    <w:bCs/>
                    <w:color w:val="FFFFFF" w:themeColor="background1"/>
                  </w:rPr>
                </w:pPr>
                <w:r w:rsidRPr="009502DF">
                  <w:rPr>
                    <w:rFonts w:ascii="Arial" w:hAnsi="Arial" w:cs="Arial"/>
                    <w:b/>
                    <w:bCs/>
                    <w:color w:val="FFFFFF" w:themeColor="background1"/>
                  </w:rPr>
                  <w:t>Forecast variance</w:t>
                </w:r>
              </w:p>
              <w:p w14:paraId="36FCDA32" w14:textId="1A06AF29" w:rsidR="0045411A" w:rsidRPr="009502DF" w:rsidRDefault="00B37635" w:rsidP="002E57FC">
                <w:pPr>
                  <w:spacing w:after="120"/>
                  <w:jc w:val="right"/>
                  <w:rPr>
                    <w:rFonts w:ascii="Arial" w:hAnsi="Arial" w:cs="Arial"/>
                    <w:b/>
                    <w:bCs/>
                    <w:color w:val="FFFFFF" w:themeColor="background1"/>
                  </w:rPr>
                </w:pPr>
                <w:r w:rsidRPr="009502DF">
                  <w:rPr>
                    <w:rFonts w:ascii="Arial" w:hAnsi="Arial" w:cs="Arial"/>
                    <w:b/>
                    <w:bCs/>
                    <w:color w:val="FFFFFF" w:themeColor="background1"/>
                  </w:rPr>
                  <w:t xml:space="preserve">                     </w:t>
                </w:r>
                <w:r w:rsidR="0045411A" w:rsidRPr="009502DF">
                  <w:rPr>
                    <w:rFonts w:ascii="Arial" w:hAnsi="Arial" w:cs="Arial"/>
                    <w:b/>
                    <w:bCs/>
                    <w:color w:val="FFFFFF" w:themeColor="background1"/>
                  </w:rPr>
                  <w:t>£'000</w:t>
                </w:r>
              </w:p>
            </w:tc>
          </w:tr>
          <w:tr w:rsidR="0045411A" w:rsidRPr="0045411A" w14:paraId="49A79C5A" w14:textId="77777777" w:rsidTr="55AE29C2">
            <w:trPr>
              <w:trHeight w:val="312"/>
            </w:trPr>
            <w:tc>
              <w:tcPr>
                <w:tcW w:w="2950" w:type="dxa"/>
                <w:noWrap/>
                <w:hideMark/>
              </w:tcPr>
              <w:p w14:paraId="76A3B267" w14:textId="4BE6C1ED" w:rsidR="0045411A" w:rsidRPr="0045411A" w:rsidRDefault="0045411A" w:rsidP="002E57FC">
                <w:pPr>
                  <w:spacing w:after="120"/>
                </w:pPr>
                <w:r w:rsidRPr="0045411A">
                  <w:t xml:space="preserve">Grant in </w:t>
                </w:r>
                <w:r w:rsidR="006042A1">
                  <w:t>a</w:t>
                </w:r>
                <w:r w:rsidRPr="0045411A">
                  <w:t xml:space="preserve">id </w:t>
                </w:r>
              </w:p>
            </w:tc>
            <w:tc>
              <w:tcPr>
                <w:tcW w:w="1388" w:type="dxa"/>
                <w:noWrap/>
                <w:hideMark/>
              </w:tcPr>
              <w:p w14:paraId="01000C36" w14:textId="77777777" w:rsidR="0045411A" w:rsidRPr="0045411A" w:rsidRDefault="0045411A" w:rsidP="002E57FC">
                <w:pPr>
                  <w:spacing w:after="120"/>
                  <w:jc w:val="right"/>
                </w:pPr>
                <w:r w:rsidRPr="0045411A">
                  <w:t>13,000</w:t>
                </w:r>
              </w:p>
            </w:tc>
            <w:tc>
              <w:tcPr>
                <w:tcW w:w="1235" w:type="dxa"/>
                <w:noWrap/>
                <w:hideMark/>
              </w:tcPr>
              <w:p w14:paraId="79E13194" w14:textId="77777777" w:rsidR="0045411A" w:rsidRPr="0045411A" w:rsidRDefault="0045411A" w:rsidP="002E57FC">
                <w:pPr>
                  <w:spacing w:after="120"/>
                  <w:jc w:val="right"/>
                </w:pPr>
                <w:r w:rsidRPr="0045411A">
                  <w:t>13,000</w:t>
                </w:r>
              </w:p>
            </w:tc>
            <w:tc>
              <w:tcPr>
                <w:tcW w:w="1191" w:type="dxa"/>
                <w:noWrap/>
                <w:hideMark/>
              </w:tcPr>
              <w:p w14:paraId="4F380349" w14:textId="77777777" w:rsidR="0045411A" w:rsidRPr="0045411A" w:rsidRDefault="0045411A" w:rsidP="002E57FC">
                <w:pPr>
                  <w:spacing w:after="120"/>
                  <w:jc w:val="right"/>
                </w:pPr>
                <w:r w:rsidRPr="0045411A">
                  <w:t>0</w:t>
                </w:r>
              </w:p>
            </w:tc>
            <w:tc>
              <w:tcPr>
                <w:tcW w:w="1191" w:type="dxa"/>
                <w:noWrap/>
                <w:hideMark/>
              </w:tcPr>
              <w:p w14:paraId="32E2EAF3" w14:textId="77777777" w:rsidR="0045411A" w:rsidRPr="0045411A" w:rsidRDefault="0045411A" w:rsidP="002E57FC">
                <w:pPr>
                  <w:spacing w:after="120"/>
                  <w:jc w:val="right"/>
                </w:pPr>
                <w:r w:rsidRPr="0045411A">
                  <w:t>53,070</w:t>
                </w:r>
              </w:p>
            </w:tc>
            <w:tc>
              <w:tcPr>
                <w:tcW w:w="1191" w:type="dxa"/>
                <w:noWrap/>
                <w:hideMark/>
              </w:tcPr>
              <w:p w14:paraId="465C478A" w14:textId="77777777" w:rsidR="0045411A" w:rsidRPr="0045411A" w:rsidRDefault="0045411A" w:rsidP="002E57FC">
                <w:pPr>
                  <w:spacing w:after="120"/>
                  <w:jc w:val="right"/>
                </w:pPr>
                <w:r w:rsidRPr="0045411A">
                  <w:t>53,070</w:t>
                </w:r>
              </w:p>
            </w:tc>
            <w:tc>
              <w:tcPr>
                <w:tcW w:w="1191" w:type="dxa"/>
                <w:noWrap/>
                <w:hideMark/>
              </w:tcPr>
              <w:p w14:paraId="5D315C1D" w14:textId="77777777" w:rsidR="0045411A" w:rsidRPr="0045411A" w:rsidRDefault="0045411A" w:rsidP="002E57FC">
                <w:pPr>
                  <w:spacing w:after="120"/>
                  <w:jc w:val="right"/>
                </w:pPr>
                <w:r w:rsidRPr="0045411A">
                  <w:t>0</w:t>
                </w:r>
              </w:p>
            </w:tc>
          </w:tr>
          <w:tr w:rsidR="0045411A" w:rsidRPr="0045411A" w14:paraId="39F08C26" w14:textId="77777777" w:rsidTr="55AE29C2">
            <w:trPr>
              <w:trHeight w:val="312"/>
            </w:trPr>
            <w:tc>
              <w:tcPr>
                <w:tcW w:w="2950" w:type="dxa"/>
                <w:noWrap/>
                <w:hideMark/>
              </w:tcPr>
              <w:p w14:paraId="3E25FE0A" w14:textId="77777777" w:rsidR="0045411A" w:rsidRPr="0045411A" w:rsidRDefault="0045411A" w:rsidP="002E57FC">
                <w:pPr>
                  <w:spacing w:after="120"/>
                </w:pPr>
                <w:r w:rsidRPr="0045411A">
                  <w:t>Charging Schemes</w:t>
                </w:r>
              </w:p>
            </w:tc>
            <w:tc>
              <w:tcPr>
                <w:tcW w:w="1388" w:type="dxa"/>
                <w:noWrap/>
                <w:hideMark/>
              </w:tcPr>
              <w:p w14:paraId="528F9B33" w14:textId="77777777" w:rsidR="0045411A" w:rsidRPr="0045411A" w:rsidRDefault="0045411A" w:rsidP="002E57FC">
                <w:pPr>
                  <w:spacing w:after="120"/>
                  <w:jc w:val="right"/>
                </w:pPr>
                <w:r w:rsidRPr="0045411A">
                  <w:t>48,813</w:t>
                </w:r>
              </w:p>
            </w:tc>
            <w:tc>
              <w:tcPr>
                <w:tcW w:w="1235" w:type="dxa"/>
                <w:noWrap/>
                <w:hideMark/>
              </w:tcPr>
              <w:p w14:paraId="6A41DE00" w14:textId="77777777" w:rsidR="0045411A" w:rsidRPr="0045411A" w:rsidRDefault="0045411A" w:rsidP="002E57FC">
                <w:pPr>
                  <w:spacing w:after="120"/>
                  <w:jc w:val="right"/>
                </w:pPr>
                <w:r w:rsidRPr="0045411A">
                  <w:t>48,271</w:t>
                </w:r>
              </w:p>
            </w:tc>
            <w:tc>
              <w:tcPr>
                <w:tcW w:w="1191" w:type="dxa"/>
                <w:noWrap/>
                <w:hideMark/>
              </w:tcPr>
              <w:p w14:paraId="7BEE841B" w14:textId="77777777" w:rsidR="0045411A" w:rsidRPr="0045411A" w:rsidRDefault="0045411A" w:rsidP="002E57FC">
                <w:pPr>
                  <w:spacing w:after="120"/>
                  <w:jc w:val="right"/>
                </w:pPr>
                <w:r w:rsidRPr="0045411A">
                  <w:t>542</w:t>
                </w:r>
              </w:p>
            </w:tc>
            <w:tc>
              <w:tcPr>
                <w:tcW w:w="1191" w:type="dxa"/>
                <w:noWrap/>
                <w:hideMark/>
              </w:tcPr>
              <w:p w14:paraId="084F0569" w14:textId="77777777" w:rsidR="0045411A" w:rsidRPr="0045411A" w:rsidRDefault="0045411A" w:rsidP="002E57FC">
                <w:pPr>
                  <w:spacing w:after="120"/>
                  <w:jc w:val="right"/>
                </w:pPr>
                <w:r w:rsidRPr="0045411A">
                  <w:t>56,007</w:t>
                </w:r>
              </w:p>
            </w:tc>
            <w:tc>
              <w:tcPr>
                <w:tcW w:w="1191" w:type="dxa"/>
                <w:noWrap/>
                <w:hideMark/>
              </w:tcPr>
              <w:p w14:paraId="5A8F3B86" w14:textId="77777777" w:rsidR="0045411A" w:rsidRPr="0045411A" w:rsidRDefault="0045411A" w:rsidP="002E57FC">
                <w:pPr>
                  <w:spacing w:after="120"/>
                  <w:jc w:val="right"/>
                </w:pPr>
                <w:r w:rsidRPr="0045411A">
                  <w:t>55,879</w:t>
                </w:r>
              </w:p>
            </w:tc>
            <w:tc>
              <w:tcPr>
                <w:tcW w:w="1191" w:type="dxa"/>
                <w:noWrap/>
                <w:hideMark/>
              </w:tcPr>
              <w:p w14:paraId="43EB6E3A" w14:textId="77777777" w:rsidR="0045411A" w:rsidRPr="0045411A" w:rsidRDefault="0045411A" w:rsidP="002E57FC">
                <w:pPr>
                  <w:spacing w:after="120"/>
                  <w:jc w:val="right"/>
                </w:pPr>
                <w:r w:rsidRPr="0045411A">
                  <w:t>128</w:t>
                </w:r>
              </w:p>
            </w:tc>
          </w:tr>
          <w:tr w:rsidR="0045411A" w:rsidRPr="0045411A" w14:paraId="0B12CEBB" w14:textId="77777777" w:rsidTr="55AE29C2">
            <w:trPr>
              <w:trHeight w:val="324"/>
            </w:trPr>
            <w:tc>
              <w:tcPr>
                <w:tcW w:w="2950" w:type="dxa"/>
                <w:noWrap/>
                <w:hideMark/>
              </w:tcPr>
              <w:p w14:paraId="5C3D68EB" w14:textId="1F90FFF6" w:rsidR="0045411A" w:rsidRPr="0045411A" w:rsidRDefault="0045411A" w:rsidP="002E57FC">
                <w:pPr>
                  <w:spacing w:after="120"/>
                </w:pPr>
                <w:r w:rsidRPr="0045411A">
                  <w:t xml:space="preserve">Other </w:t>
                </w:r>
                <w:r w:rsidR="006042A1">
                  <w:t>i</w:t>
                </w:r>
                <w:r w:rsidRPr="0045411A">
                  <w:t>ncome</w:t>
                </w:r>
              </w:p>
            </w:tc>
            <w:tc>
              <w:tcPr>
                <w:tcW w:w="1388" w:type="dxa"/>
                <w:noWrap/>
                <w:hideMark/>
              </w:tcPr>
              <w:p w14:paraId="3AEED46A" w14:textId="77777777" w:rsidR="0045411A" w:rsidRPr="0045411A" w:rsidRDefault="0045411A" w:rsidP="002E57FC">
                <w:pPr>
                  <w:spacing w:after="120"/>
                  <w:jc w:val="right"/>
                </w:pPr>
                <w:r w:rsidRPr="0045411A">
                  <w:t>336</w:t>
                </w:r>
              </w:p>
            </w:tc>
            <w:tc>
              <w:tcPr>
                <w:tcW w:w="1235" w:type="dxa"/>
                <w:noWrap/>
                <w:hideMark/>
              </w:tcPr>
              <w:p w14:paraId="7757C690" w14:textId="77777777" w:rsidR="0045411A" w:rsidRPr="0045411A" w:rsidRDefault="0045411A" w:rsidP="002E57FC">
                <w:pPr>
                  <w:spacing w:after="120"/>
                  <w:jc w:val="right"/>
                </w:pPr>
                <w:r w:rsidRPr="0045411A">
                  <w:t>242</w:t>
                </w:r>
              </w:p>
            </w:tc>
            <w:tc>
              <w:tcPr>
                <w:tcW w:w="1191" w:type="dxa"/>
                <w:noWrap/>
                <w:hideMark/>
              </w:tcPr>
              <w:p w14:paraId="7D697D44" w14:textId="77777777" w:rsidR="0045411A" w:rsidRPr="0045411A" w:rsidRDefault="0045411A" w:rsidP="002E57FC">
                <w:pPr>
                  <w:spacing w:after="120"/>
                  <w:jc w:val="right"/>
                </w:pPr>
                <w:r w:rsidRPr="0045411A">
                  <w:t>94</w:t>
                </w:r>
              </w:p>
            </w:tc>
            <w:tc>
              <w:tcPr>
                <w:tcW w:w="1191" w:type="dxa"/>
                <w:noWrap/>
                <w:hideMark/>
              </w:tcPr>
              <w:p w14:paraId="52F79CC0" w14:textId="77777777" w:rsidR="0045411A" w:rsidRPr="0045411A" w:rsidRDefault="0045411A" w:rsidP="002E57FC">
                <w:pPr>
                  <w:spacing w:after="120"/>
                  <w:jc w:val="right"/>
                </w:pPr>
                <w:r w:rsidRPr="0045411A">
                  <w:t>1,594</w:t>
                </w:r>
              </w:p>
            </w:tc>
            <w:tc>
              <w:tcPr>
                <w:tcW w:w="1191" w:type="dxa"/>
                <w:noWrap/>
                <w:hideMark/>
              </w:tcPr>
              <w:p w14:paraId="0045661E" w14:textId="77777777" w:rsidR="0045411A" w:rsidRPr="0045411A" w:rsidRDefault="0045411A" w:rsidP="002E57FC">
                <w:pPr>
                  <w:spacing w:after="120"/>
                  <w:jc w:val="right"/>
                </w:pPr>
                <w:r w:rsidRPr="0045411A">
                  <w:t>1,501</w:t>
                </w:r>
              </w:p>
            </w:tc>
            <w:tc>
              <w:tcPr>
                <w:tcW w:w="1191" w:type="dxa"/>
                <w:noWrap/>
                <w:hideMark/>
              </w:tcPr>
              <w:p w14:paraId="016B43C0" w14:textId="77777777" w:rsidR="0045411A" w:rsidRPr="0045411A" w:rsidRDefault="0045411A" w:rsidP="002E57FC">
                <w:pPr>
                  <w:spacing w:after="120"/>
                  <w:jc w:val="right"/>
                </w:pPr>
                <w:r w:rsidRPr="0045411A">
                  <w:t>93</w:t>
                </w:r>
              </w:p>
            </w:tc>
          </w:tr>
          <w:tr w:rsidR="0045411A" w:rsidRPr="0045411A" w14:paraId="4ACDA470" w14:textId="77777777" w:rsidTr="55AE29C2">
            <w:trPr>
              <w:trHeight w:val="324"/>
            </w:trPr>
            <w:tc>
              <w:tcPr>
                <w:tcW w:w="2950" w:type="dxa"/>
                <w:noWrap/>
                <w:hideMark/>
              </w:tcPr>
              <w:p w14:paraId="6B91A3B3" w14:textId="7D012E64" w:rsidR="0045411A" w:rsidRPr="0045411A" w:rsidRDefault="0045411A" w:rsidP="002E57FC">
                <w:pPr>
                  <w:spacing w:after="120"/>
                  <w:rPr>
                    <w:b/>
                    <w:bCs/>
                  </w:rPr>
                </w:pPr>
                <w:r w:rsidRPr="0045411A">
                  <w:rPr>
                    <w:b/>
                    <w:bCs/>
                  </w:rPr>
                  <w:t xml:space="preserve">Total </w:t>
                </w:r>
                <w:r w:rsidR="00B3389C">
                  <w:rPr>
                    <w:b/>
                    <w:bCs/>
                  </w:rPr>
                  <w:t>i</w:t>
                </w:r>
                <w:r w:rsidRPr="0045411A">
                  <w:rPr>
                    <w:b/>
                    <w:bCs/>
                  </w:rPr>
                  <w:t>ncome</w:t>
                </w:r>
              </w:p>
            </w:tc>
            <w:tc>
              <w:tcPr>
                <w:tcW w:w="1388" w:type="dxa"/>
                <w:noWrap/>
                <w:hideMark/>
              </w:tcPr>
              <w:p w14:paraId="4D41FF4A" w14:textId="77777777" w:rsidR="0045411A" w:rsidRPr="0045411A" w:rsidRDefault="0045411A" w:rsidP="002E57FC">
                <w:pPr>
                  <w:spacing w:after="120"/>
                  <w:jc w:val="right"/>
                  <w:rPr>
                    <w:b/>
                    <w:bCs/>
                  </w:rPr>
                </w:pPr>
                <w:r w:rsidRPr="0045411A">
                  <w:rPr>
                    <w:b/>
                    <w:bCs/>
                  </w:rPr>
                  <w:t>62,149</w:t>
                </w:r>
              </w:p>
            </w:tc>
            <w:tc>
              <w:tcPr>
                <w:tcW w:w="1235" w:type="dxa"/>
                <w:noWrap/>
                <w:hideMark/>
              </w:tcPr>
              <w:p w14:paraId="77EB9E0F" w14:textId="77777777" w:rsidR="0045411A" w:rsidRPr="0045411A" w:rsidRDefault="0045411A" w:rsidP="002E57FC">
                <w:pPr>
                  <w:spacing w:after="120"/>
                  <w:jc w:val="right"/>
                  <w:rPr>
                    <w:b/>
                    <w:bCs/>
                  </w:rPr>
                </w:pPr>
                <w:r w:rsidRPr="0045411A">
                  <w:rPr>
                    <w:b/>
                    <w:bCs/>
                  </w:rPr>
                  <w:t>61,513</w:t>
                </w:r>
              </w:p>
            </w:tc>
            <w:tc>
              <w:tcPr>
                <w:tcW w:w="1191" w:type="dxa"/>
                <w:noWrap/>
                <w:hideMark/>
              </w:tcPr>
              <w:p w14:paraId="251BA009" w14:textId="77777777" w:rsidR="0045411A" w:rsidRPr="0045411A" w:rsidRDefault="0045411A" w:rsidP="002E57FC">
                <w:pPr>
                  <w:spacing w:after="120"/>
                  <w:jc w:val="right"/>
                  <w:rPr>
                    <w:b/>
                    <w:bCs/>
                  </w:rPr>
                </w:pPr>
                <w:r w:rsidRPr="0045411A">
                  <w:rPr>
                    <w:b/>
                    <w:bCs/>
                  </w:rPr>
                  <w:t>636</w:t>
                </w:r>
              </w:p>
            </w:tc>
            <w:tc>
              <w:tcPr>
                <w:tcW w:w="1191" w:type="dxa"/>
                <w:noWrap/>
                <w:hideMark/>
              </w:tcPr>
              <w:p w14:paraId="2FD7330A" w14:textId="77777777" w:rsidR="0045411A" w:rsidRPr="0045411A" w:rsidRDefault="0045411A" w:rsidP="002E57FC">
                <w:pPr>
                  <w:spacing w:after="120"/>
                  <w:jc w:val="right"/>
                  <w:rPr>
                    <w:b/>
                    <w:bCs/>
                  </w:rPr>
                </w:pPr>
                <w:r w:rsidRPr="0045411A">
                  <w:rPr>
                    <w:b/>
                    <w:bCs/>
                  </w:rPr>
                  <w:t>110,671</w:t>
                </w:r>
              </w:p>
            </w:tc>
            <w:tc>
              <w:tcPr>
                <w:tcW w:w="1191" w:type="dxa"/>
                <w:noWrap/>
                <w:hideMark/>
              </w:tcPr>
              <w:p w14:paraId="6DCDE231" w14:textId="77777777" w:rsidR="0045411A" w:rsidRPr="0045411A" w:rsidRDefault="0045411A" w:rsidP="002E57FC">
                <w:pPr>
                  <w:spacing w:after="120"/>
                  <w:jc w:val="right"/>
                  <w:rPr>
                    <w:b/>
                    <w:bCs/>
                  </w:rPr>
                </w:pPr>
                <w:r w:rsidRPr="0045411A">
                  <w:rPr>
                    <w:b/>
                    <w:bCs/>
                  </w:rPr>
                  <w:t>110,450</w:t>
                </w:r>
              </w:p>
            </w:tc>
            <w:tc>
              <w:tcPr>
                <w:tcW w:w="1191" w:type="dxa"/>
                <w:noWrap/>
                <w:hideMark/>
              </w:tcPr>
              <w:p w14:paraId="0E6B70A8" w14:textId="77777777" w:rsidR="0045411A" w:rsidRPr="0045411A" w:rsidRDefault="0045411A" w:rsidP="002E57FC">
                <w:pPr>
                  <w:spacing w:after="120"/>
                  <w:jc w:val="right"/>
                  <w:rPr>
                    <w:b/>
                    <w:bCs/>
                  </w:rPr>
                </w:pPr>
                <w:r w:rsidRPr="0045411A">
                  <w:rPr>
                    <w:b/>
                    <w:bCs/>
                  </w:rPr>
                  <w:t>221</w:t>
                </w:r>
              </w:p>
            </w:tc>
          </w:tr>
          <w:tr w:rsidR="0045411A" w:rsidRPr="0045411A" w14:paraId="36F91C68" w14:textId="77777777" w:rsidTr="55AE29C2">
            <w:trPr>
              <w:trHeight w:val="312"/>
            </w:trPr>
            <w:tc>
              <w:tcPr>
                <w:tcW w:w="2950" w:type="dxa"/>
                <w:noWrap/>
                <w:hideMark/>
              </w:tcPr>
              <w:p w14:paraId="4E2A3A7F" w14:textId="73C78F71" w:rsidR="0045411A" w:rsidRPr="0045411A" w:rsidRDefault="0045411A" w:rsidP="002E57FC">
                <w:pPr>
                  <w:spacing w:after="120"/>
                </w:pPr>
                <w:r w:rsidRPr="0045411A">
                  <w:t xml:space="preserve">Staff </w:t>
                </w:r>
                <w:r w:rsidR="00B3389C">
                  <w:t>c</w:t>
                </w:r>
                <w:r w:rsidRPr="0045411A">
                  <w:t>osts</w:t>
                </w:r>
              </w:p>
            </w:tc>
            <w:tc>
              <w:tcPr>
                <w:tcW w:w="1388" w:type="dxa"/>
                <w:noWrap/>
                <w:hideMark/>
              </w:tcPr>
              <w:p w14:paraId="451303DC" w14:textId="77777777" w:rsidR="0045411A" w:rsidRPr="0045411A" w:rsidRDefault="0045411A" w:rsidP="002E57FC">
                <w:pPr>
                  <w:spacing w:after="120"/>
                  <w:jc w:val="right"/>
                </w:pPr>
                <w:r w:rsidRPr="0045411A">
                  <w:t>17,897</w:t>
                </w:r>
              </w:p>
            </w:tc>
            <w:tc>
              <w:tcPr>
                <w:tcW w:w="1235" w:type="dxa"/>
                <w:noWrap/>
                <w:hideMark/>
              </w:tcPr>
              <w:p w14:paraId="0587F414" w14:textId="77777777" w:rsidR="0045411A" w:rsidRPr="0045411A" w:rsidRDefault="0045411A" w:rsidP="002E57FC">
                <w:pPr>
                  <w:spacing w:after="120"/>
                  <w:jc w:val="right"/>
                </w:pPr>
                <w:r w:rsidRPr="0045411A">
                  <w:t>17,636</w:t>
                </w:r>
              </w:p>
            </w:tc>
            <w:tc>
              <w:tcPr>
                <w:tcW w:w="1191" w:type="dxa"/>
                <w:noWrap/>
                <w:hideMark/>
              </w:tcPr>
              <w:p w14:paraId="4BAB5EFC" w14:textId="77777777" w:rsidR="0045411A" w:rsidRPr="0045411A" w:rsidRDefault="0045411A" w:rsidP="002E57FC">
                <w:pPr>
                  <w:spacing w:after="120"/>
                  <w:jc w:val="right"/>
                </w:pPr>
                <w:r w:rsidRPr="0045411A">
                  <w:t>(261)</w:t>
                </w:r>
              </w:p>
            </w:tc>
            <w:tc>
              <w:tcPr>
                <w:tcW w:w="1191" w:type="dxa"/>
                <w:noWrap/>
                <w:hideMark/>
              </w:tcPr>
              <w:p w14:paraId="0867BA79" w14:textId="77777777" w:rsidR="0045411A" w:rsidRPr="0045411A" w:rsidRDefault="0045411A" w:rsidP="002E57FC">
                <w:pPr>
                  <w:spacing w:after="120"/>
                  <w:jc w:val="right"/>
                </w:pPr>
                <w:r w:rsidRPr="0045411A">
                  <w:t>75,751</w:t>
                </w:r>
              </w:p>
            </w:tc>
            <w:tc>
              <w:tcPr>
                <w:tcW w:w="1191" w:type="dxa"/>
                <w:noWrap/>
                <w:hideMark/>
              </w:tcPr>
              <w:p w14:paraId="0E696E08" w14:textId="77777777" w:rsidR="0045411A" w:rsidRPr="0045411A" w:rsidRDefault="0045411A" w:rsidP="002E57FC">
                <w:pPr>
                  <w:spacing w:after="120"/>
                  <w:jc w:val="right"/>
                </w:pPr>
                <w:r w:rsidRPr="0045411A">
                  <w:t>75,307</w:t>
                </w:r>
              </w:p>
            </w:tc>
            <w:tc>
              <w:tcPr>
                <w:tcW w:w="1191" w:type="dxa"/>
                <w:noWrap/>
                <w:hideMark/>
              </w:tcPr>
              <w:p w14:paraId="7DAED39D" w14:textId="77777777" w:rsidR="0045411A" w:rsidRPr="0045411A" w:rsidRDefault="0045411A" w:rsidP="002E57FC">
                <w:pPr>
                  <w:spacing w:after="120"/>
                  <w:jc w:val="right"/>
                </w:pPr>
                <w:r w:rsidRPr="0045411A">
                  <w:t>(444)</w:t>
                </w:r>
              </w:p>
            </w:tc>
          </w:tr>
          <w:tr w:rsidR="0045411A" w:rsidRPr="0045411A" w14:paraId="6143FA4E" w14:textId="77777777" w:rsidTr="55AE29C2">
            <w:trPr>
              <w:trHeight w:val="312"/>
            </w:trPr>
            <w:tc>
              <w:tcPr>
                <w:tcW w:w="2950" w:type="dxa"/>
                <w:noWrap/>
                <w:hideMark/>
              </w:tcPr>
              <w:p w14:paraId="0DC38AB1" w14:textId="419EA85D" w:rsidR="0045411A" w:rsidRPr="0045411A" w:rsidRDefault="0045411A" w:rsidP="002E57FC">
                <w:pPr>
                  <w:spacing w:after="120"/>
                </w:pPr>
                <w:r w:rsidRPr="0045411A">
                  <w:t xml:space="preserve">Other </w:t>
                </w:r>
                <w:r w:rsidR="00B3389C">
                  <w:t>s</w:t>
                </w:r>
                <w:r w:rsidRPr="0045411A">
                  <w:t xml:space="preserve">taff </w:t>
                </w:r>
                <w:r w:rsidR="00B3389C">
                  <w:t>c</w:t>
                </w:r>
                <w:r w:rsidRPr="0045411A">
                  <w:t>osts</w:t>
                </w:r>
              </w:p>
            </w:tc>
            <w:tc>
              <w:tcPr>
                <w:tcW w:w="1388" w:type="dxa"/>
                <w:noWrap/>
                <w:hideMark/>
              </w:tcPr>
              <w:p w14:paraId="21AC51AA" w14:textId="77777777" w:rsidR="0045411A" w:rsidRPr="0045411A" w:rsidRDefault="0045411A" w:rsidP="002E57FC">
                <w:pPr>
                  <w:spacing w:after="120"/>
                  <w:jc w:val="right"/>
                </w:pPr>
                <w:r w:rsidRPr="0045411A">
                  <w:t>220</w:t>
                </w:r>
              </w:p>
            </w:tc>
            <w:tc>
              <w:tcPr>
                <w:tcW w:w="1235" w:type="dxa"/>
                <w:noWrap/>
                <w:hideMark/>
              </w:tcPr>
              <w:p w14:paraId="6AC5A46C" w14:textId="77777777" w:rsidR="0045411A" w:rsidRPr="0045411A" w:rsidRDefault="0045411A" w:rsidP="002E57FC">
                <w:pPr>
                  <w:spacing w:after="120"/>
                  <w:jc w:val="right"/>
                </w:pPr>
                <w:r w:rsidRPr="0045411A">
                  <w:t>169</w:t>
                </w:r>
              </w:p>
            </w:tc>
            <w:tc>
              <w:tcPr>
                <w:tcW w:w="1191" w:type="dxa"/>
                <w:noWrap/>
                <w:hideMark/>
              </w:tcPr>
              <w:p w14:paraId="3B41AFE2" w14:textId="77777777" w:rsidR="0045411A" w:rsidRPr="0045411A" w:rsidRDefault="0045411A" w:rsidP="002E57FC">
                <w:pPr>
                  <w:spacing w:after="120"/>
                  <w:jc w:val="right"/>
                </w:pPr>
                <w:r w:rsidRPr="0045411A">
                  <w:t>(51)</w:t>
                </w:r>
              </w:p>
            </w:tc>
            <w:tc>
              <w:tcPr>
                <w:tcW w:w="1191" w:type="dxa"/>
                <w:noWrap/>
                <w:hideMark/>
              </w:tcPr>
              <w:p w14:paraId="62053343" w14:textId="77777777" w:rsidR="0045411A" w:rsidRPr="0045411A" w:rsidRDefault="0045411A" w:rsidP="002E57FC">
                <w:pPr>
                  <w:spacing w:after="120"/>
                  <w:jc w:val="right"/>
                </w:pPr>
                <w:r w:rsidRPr="0045411A">
                  <w:t>1,067</w:t>
                </w:r>
              </w:p>
            </w:tc>
            <w:tc>
              <w:tcPr>
                <w:tcW w:w="1191" w:type="dxa"/>
                <w:noWrap/>
                <w:hideMark/>
              </w:tcPr>
              <w:p w14:paraId="7C8C7A16" w14:textId="77777777" w:rsidR="0045411A" w:rsidRPr="0045411A" w:rsidRDefault="0045411A" w:rsidP="002E57FC">
                <w:pPr>
                  <w:spacing w:after="120"/>
                  <w:jc w:val="right"/>
                </w:pPr>
                <w:r w:rsidRPr="0045411A">
                  <w:t>575</w:t>
                </w:r>
              </w:p>
            </w:tc>
            <w:tc>
              <w:tcPr>
                <w:tcW w:w="1191" w:type="dxa"/>
                <w:noWrap/>
                <w:hideMark/>
              </w:tcPr>
              <w:p w14:paraId="34349BA6" w14:textId="77777777" w:rsidR="0045411A" w:rsidRPr="0045411A" w:rsidRDefault="0045411A" w:rsidP="002E57FC">
                <w:pPr>
                  <w:spacing w:after="120"/>
                  <w:jc w:val="right"/>
                </w:pPr>
                <w:r w:rsidRPr="0045411A">
                  <w:t>(492)</w:t>
                </w:r>
              </w:p>
            </w:tc>
          </w:tr>
          <w:tr w:rsidR="0045411A" w:rsidRPr="0045411A" w14:paraId="5291E0AB" w14:textId="77777777" w:rsidTr="55AE29C2">
            <w:trPr>
              <w:trHeight w:val="312"/>
            </w:trPr>
            <w:tc>
              <w:tcPr>
                <w:tcW w:w="2950" w:type="dxa"/>
                <w:noWrap/>
                <w:hideMark/>
              </w:tcPr>
              <w:p w14:paraId="07E67BB9" w14:textId="6C4A2490" w:rsidR="0045411A" w:rsidRPr="0045411A" w:rsidRDefault="0045411A" w:rsidP="002E57FC">
                <w:pPr>
                  <w:spacing w:after="120"/>
                </w:pPr>
                <w:r w:rsidRPr="0045411A">
                  <w:t xml:space="preserve">Transport </w:t>
                </w:r>
                <w:r w:rsidR="00B3389C">
                  <w:t>c</w:t>
                </w:r>
                <w:r w:rsidRPr="0045411A">
                  <w:t>osts</w:t>
                </w:r>
              </w:p>
            </w:tc>
            <w:tc>
              <w:tcPr>
                <w:tcW w:w="1388" w:type="dxa"/>
                <w:noWrap/>
                <w:hideMark/>
              </w:tcPr>
              <w:p w14:paraId="30252593" w14:textId="77777777" w:rsidR="0045411A" w:rsidRPr="0045411A" w:rsidRDefault="0045411A" w:rsidP="002E57FC">
                <w:pPr>
                  <w:spacing w:after="120"/>
                  <w:jc w:val="right"/>
                </w:pPr>
                <w:r w:rsidRPr="0045411A">
                  <w:t>194</w:t>
                </w:r>
              </w:p>
            </w:tc>
            <w:tc>
              <w:tcPr>
                <w:tcW w:w="1235" w:type="dxa"/>
                <w:noWrap/>
                <w:hideMark/>
              </w:tcPr>
              <w:p w14:paraId="1C1F492D" w14:textId="77777777" w:rsidR="0045411A" w:rsidRPr="0045411A" w:rsidRDefault="0045411A" w:rsidP="002E57FC">
                <w:pPr>
                  <w:spacing w:after="120"/>
                  <w:jc w:val="right"/>
                </w:pPr>
                <w:r w:rsidRPr="0045411A">
                  <w:t>190</w:t>
                </w:r>
              </w:p>
            </w:tc>
            <w:tc>
              <w:tcPr>
                <w:tcW w:w="1191" w:type="dxa"/>
                <w:noWrap/>
                <w:hideMark/>
              </w:tcPr>
              <w:p w14:paraId="774715D7" w14:textId="77777777" w:rsidR="0045411A" w:rsidRPr="0045411A" w:rsidRDefault="0045411A" w:rsidP="002E57FC">
                <w:pPr>
                  <w:spacing w:after="120"/>
                  <w:jc w:val="right"/>
                </w:pPr>
                <w:r w:rsidRPr="0045411A">
                  <w:t>(4)</w:t>
                </w:r>
              </w:p>
            </w:tc>
            <w:tc>
              <w:tcPr>
                <w:tcW w:w="1191" w:type="dxa"/>
                <w:noWrap/>
                <w:hideMark/>
              </w:tcPr>
              <w:p w14:paraId="7D1DD8C8" w14:textId="77777777" w:rsidR="0045411A" w:rsidRPr="0045411A" w:rsidRDefault="0045411A" w:rsidP="002E57FC">
                <w:pPr>
                  <w:spacing w:after="120"/>
                  <w:jc w:val="right"/>
                </w:pPr>
                <w:r w:rsidRPr="0045411A">
                  <w:t>1,043</w:t>
                </w:r>
              </w:p>
            </w:tc>
            <w:tc>
              <w:tcPr>
                <w:tcW w:w="1191" w:type="dxa"/>
                <w:noWrap/>
                <w:hideMark/>
              </w:tcPr>
              <w:p w14:paraId="7D125E46" w14:textId="77777777" w:rsidR="0045411A" w:rsidRPr="0045411A" w:rsidRDefault="0045411A" w:rsidP="002E57FC">
                <w:pPr>
                  <w:spacing w:after="120"/>
                  <w:jc w:val="right"/>
                </w:pPr>
                <w:r w:rsidRPr="0045411A">
                  <w:t>1,063</w:t>
                </w:r>
              </w:p>
            </w:tc>
            <w:tc>
              <w:tcPr>
                <w:tcW w:w="1191" w:type="dxa"/>
                <w:noWrap/>
                <w:hideMark/>
              </w:tcPr>
              <w:p w14:paraId="44B799BE" w14:textId="77777777" w:rsidR="0045411A" w:rsidRPr="0045411A" w:rsidRDefault="0045411A" w:rsidP="002E57FC">
                <w:pPr>
                  <w:spacing w:after="120"/>
                  <w:jc w:val="right"/>
                </w:pPr>
                <w:r w:rsidRPr="0045411A">
                  <w:t>20</w:t>
                </w:r>
              </w:p>
            </w:tc>
          </w:tr>
          <w:tr w:rsidR="0045411A" w:rsidRPr="0045411A" w14:paraId="336EE1D2" w14:textId="77777777" w:rsidTr="55AE29C2">
            <w:trPr>
              <w:trHeight w:val="312"/>
            </w:trPr>
            <w:tc>
              <w:tcPr>
                <w:tcW w:w="2950" w:type="dxa"/>
                <w:noWrap/>
                <w:hideMark/>
              </w:tcPr>
              <w:p w14:paraId="4164E75F" w14:textId="3619B138" w:rsidR="0045411A" w:rsidRPr="0045411A" w:rsidRDefault="0045411A" w:rsidP="002E57FC">
                <w:pPr>
                  <w:spacing w:after="120"/>
                </w:pPr>
                <w:r w:rsidRPr="0045411A">
                  <w:t xml:space="preserve">Supplies &amp; </w:t>
                </w:r>
                <w:r w:rsidR="00B3389C">
                  <w:t>s</w:t>
                </w:r>
                <w:r w:rsidRPr="0045411A">
                  <w:t>ervices</w:t>
                </w:r>
              </w:p>
            </w:tc>
            <w:tc>
              <w:tcPr>
                <w:tcW w:w="1388" w:type="dxa"/>
                <w:noWrap/>
                <w:hideMark/>
              </w:tcPr>
              <w:p w14:paraId="570D0CE3" w14:textId="77777777" w:rsidR="0045411A" w:rsidRPr="0045411A" w:rsidRDefault="0045411A" w:rsidP="002E57FC">
                <w:pPr>
                  <w:spacing w:after="120"/>
                  <w:jc w:val="right"/>
                </w:pPr>
                <w:r w:rsidRPr="0045411A">
                  <w:t>5,223</w:t>
                </w:r>
              </w:p>
            </w:tc>
            <w:tc>
              <w:tcPr>
                <w:tcW w:w="1235" w:type="dxa"/>
                <w:noWrap/>
                <w:hideMark/>
              </w:tcPr>
              <w:p w14:paraId="2AB45774" w14:textId="77777777" w:rsidR="0045411A" w:rsidRPr="0045411A" w:rsidRDefault="0045411A" w:rsidP="002E57FC">
                <w:pPr>
                  <w:spacing w:after="120"/>
                  <w:jc w:val="right"/>
                </w:pPr>
                <w:r w:rsidRPr="0045411A">
                  <w:t>5,254</w:t>
                </w:r>
              </w:p>
            </w:tc>
            <w:tc>
              <w:tcPr>
                <w:tcW w:w="1191" w:type="dxa"/>
                <w:noWrap/>
                <w:hideMark/>
              </w:tcPr>
              <w:p w14:paraId="638BC1B3" w14:textId="77777777" w:rsidR="0045411A" w:rsidRPr="0045411A" w:rsidRDefault="0045411A" w:rsidP="002E57FC">
                <w:pPr>
                  <w:spacing w:after="120"/>
                  <w:jc w:val="right"/>
                </w:pPr>
                <w:r w:rsidRPr="0045411A">
                  <w:t>31</w:t>
                </w:r>
              </w:p>
            </w:tc>
            <w:tc>
              <w:tcPr>
                <w:tcW w:w="1191" w:type="dxa"/>
                <w:noWrap/>
                <w:hideMark/>
              </w:tcPr>
              <w:p w14:paraId="0392D197" w14:textId="77777777" w:rsidR="0045411A" w:rsidRPr="0045411A" w:rsidRDefault="0045411A" w:rsidP="002E57FC">
                <w:pPr>
                  <w:spacing w:after="120"/>
                  <w:jc w:val="right"/>
                </w:pPr>
                <w:r w:rsidRPr="0045411A">
                  <w:t>20,922</w:t>
                </w:r>
              </w:p>
            </w:tc>
            <w:tc>
              <w:tcPr>
                <w:tcW w:w="1191" w:type="dxa"/>
                <w:noWrap/>
                <w:hideMark/>
              </w:tcPr>
              <w:p w14:paraId="327F2E00" w14:textId="77777777" w:rsidR="0045411A" w:rsidRPr="0045411A" w:rsidRDefault="0045411A" w:rsidP="002E57FC">
                <w:pPr>
                  <w:spacing w:after="120"/>
                  <w:jc w:val="right"/>
                </w:pPr>
                <w:r w:rsidRPr="0045411A">
                  <w:t>21,542</w:t>
                </w:r>
              </w:p>
            </w:tc>
            <w:tc>
              <w:tcPr>
                <w:tcW w:w="1191" w:type="dxa"/>
                <w:noWrap/>
                <w:hideMark/>
              </w:tcPr>
              <w:p w14:paraId="54148CEA" w14:textId="77777777" w:rsidR="0045411A" w:rsidRPr="0045411A" w:rsidRDefault="0045411A" w:rsidP="002E57FC">
                <w:pPr>
                  <w:spacing w:after="120"/>
                  <w:jc w:val="right"/>
                </w:pPr>
                <w:r w:rsidRPr="0045411A">
                  <w:t>620</w:t>
                </w:r>
              </w:p>
            </w:tc>
          </w:tr>
          <w:tr w:rsidR="0045411A" w:rsidRPr="0045411A" w14:paraId="6991121E" w14:textId="77777777" w:rsidTr="55AE29C2">
            <w:trPr>
              <w:trHeight w:val="312"/>
            </w:trPr>
            <w:tc>
              <w:tcPr>
                <w:tcW w:w="2950" w:type="dxa"/>
                <w:noWrap/>
                <w:hideMark/>
              </w:tcPr>
              <w:p w14:paraId="3FDA15F2" w14:textId="1A34579C" w:rsidR="0045411A" w:rsidRPr="0045411A" w:rsidRDefault="0045411A" w:rsidP="002E57FC">
                <w:pPr>
                  <w:spacing w:after="120"/>
                </w:pPr>
                <w:r w:rsidRPr="0045411A">
                  <w:t xml:space="preserve">Property </w:t>
                </w:r>
                <w:r w:rsidR="00B3389C">
                  <w:t>c</w:t>
                </w:r>
                <w:r w:rsidRPr="0045411A">
                  <w:t>osts</w:t>
                </w:r>
              </w:p>
            </w:tc>
            <w:tc>
              <w:tcPr>
                <w:tcW w:w="1388" w:type="dxa"/>
                <w:noWrap/>
                <w:hideMark/>
              </w:tcPr>
              <w:p w14:paraId="2C88CAE5" w14:textId="77777777" w:rsidR="0045411A" w:rsidRPr="0045411A" w:rsidRDefault="0045411A" w:rsidP="002E57FC">
                <w:pPr>
                  <w:spacing w:after="120"/>
                  <w:jc w:val="right"/>
                </w:pPr>
                <w:r w:rsidRPr="0045411A">
                  <w:t>1,759</w:t>
                </w:r>
              </w:p>
            </w:tc>
            <w:tc>
              <w:tcPr>
                <w:tcW w:w="1235" w:type="dxa"/>
                <w:noWrap/>
                <w:hideMark/>
              </w:tcPr>
              <w:p w14:paraId="16DC6ED6" w14:textId="77777777" w:rsidR="0045411A" w:rsidRPr="0045411A" w:rsidRDefault="0045411A" w:rsidP="002E57FC">
                <w:pPr>
                  <w:spacing w:after="120"/>
                  <w:jc w:val="right"/>
                </w:pPr>
                <w:r w:rsidRPr="0045411A">
                  <w:t>1,807</w:t>
                </w:r>
              </w:p>
            </w:tc>
            <w:tc>
              <w:tcPr>
                <w:tcW w:w="1191" w:type="dxa"/>
                <w:noWrap/>
                <w:hideMark/>
              </w:tcPr>
              <w:p w14:paraId="2194D1B3" w14:textId="77777777" w:rsidR="0045411A" w:rsidRPr="0045411A" w:rsidRDefault="0045411A" w:rsidP="002E57FC">
                <w:pPr>
                  <w:spacing w:after="120"/>
                  <w:jc w:val="right"/>
                </w:pPr>
                <w:r w:rsidRPr="0045411A">
                  <w:t>48</w:t>
                </w:r>
              </w:p>
            </w:tc>
            <w:tc>
              <w:tcPr>
                <w:tcW w:w="1191" w:type="dxa"/>
                <w:noWrap/>
                <w:hideMark/>
              </w:tcPr>
              <w:p w14:paraId="653D7E37" w14:textId="77777777" w:rsidR="0045411A" w:rsidRPr="0045411A" w:rsidRDefault="0045411A" w:rsidP="002E57FC">
                <w:pPr>
                  <w:spacing w:after="120"/>
                  <w:jc w:val="right"/>
                </w:pPr>
                <w:r w:rsidRPr="0045411A">
                  <w:t>4,508</w:t>
                </w:r>
              </w:p>
            </w:tc>
            <w:tc>
              <w:tcPr>
                <w:tcW w:w="1191" w:type="dxa"/>
                <w:noWrap/>
                <w:hideMark/>
              </w:tcPr>
              <w:p w14:paraId="031FFB0C" w14:textId="77777777" w:rsidR="0045411A" w:rsidRPr="0045411A" w:rsidRDefault="0045411A" w:rsidP="002E57FC">
                <w:pPr>
                  <w:spacing w:after="120"/>
                  <w:jc w:val="right"/>
                </w:pPr>
                <w:r w:rsidRPr="0045411A">
                  <w:t>4,583</w:t>
                </w:r>
              </w:p>
            </w:tc>
            <w:tc>
              <w:tcPr>
                <w:tcW w:w="1191" w:type="dxa"/>
                <w:noWrap/>
                <w:hideMark/>
              </w:tcPr>
              <w:p w14:paraId="7CEEA085" w14:textId="77777777" w:rsidR="0045411A" w:rsidRPr="0045411A" w:rsidRDefault="0045411A" w:rsidP="002E57FC">
                <w:pPr>
                  <w:spacing w:after="120"/>
                  <w:jc w:val="right"/>
                </w:pPr>
                <w:r w:rsidRPr="0045411A">
                  <w:t>75</w:t>
                </w:r>
              </w:p>
            </w:tc>
          </w:tr>
          <w:tr w:rsidR="0045411A" w:rsidRPr="0045411A" w14:paraId="799A6B20" w14:textId="77777777" w:rsidTr="55AE29C2">
            <w:trPr>
              <w:trHeight w:val="324"/>
            </w:trPr>
            <w:tc>
              <w:tcPr>
                <w:tcW w:w="2950" w:type="dxa"/>
                <w:noWrap/>
                <w:hideMark/>
              </w:tcPr>
              <w:p w14:paraId="7D70E6C8" w14:textId="77777777" w:rsidR="0045411A" w:rsidRPr="0045411A" w:rsidRDefault="0045411A" w:rsidP="002E57FC">
                <w:pPr>
                  <w:spacing w:after="120"/>
                </w:pPr>
                <w:r w:rsidRPr="0045411A">
                  <w:t>Depreciation/impairment</w:t>
                </w:r>
              </w:p>
            </w:tc>
            <w:tc>
              <w:tcPr>
                <w:tcW w:w="1388" w:type="dxa"/>
                <w:noWrap/>
                <w:hideMark/>
              </w:tcPr>
              <w:p w14:paraId="6F527759" w14:textId="77777777" w:rsidR="0045411A" w:rsidRPr="0045411A" w:rsidRDefault="0045411A" w:rsidP="002E57FC">
                <w:pPr>
                  <w:spacing w:after="120"/>
                  <w:jc w:val="right"/>
                </w:pPr>
                <w:r w:rsidRPr="0045411A">
                  <w:t>1,845</w:t>
                </w:r>
              </w:p>
            </w:tc>
            <w:tc>
              <w:tcPr>
                <w:tcW w:w="1235" w:type="dxa"/>
                <w:noWrap/>
                <w:hideMark/>
              </w:tcPr>
              <w:p w14:paraId="49B9725D" w14:textId="77777777" w:rsidR="0045411A" w:rsidRPr="0045411A" w:rsidRDefault="0045411A" w:rsidP="002E57FC">
                <w:pPr>
                  <w:spacing w:after="120"/>
                  <w:jc w:val="right"/>
                </w:pPr>
                <w:r w:rsidRPr="0045411A">
                  <w:t>1,845</w:t>
                </w:r>
              </w:p>
            </w:tc>
            <w:tc>
              <w:tcPr>
                <w:tcW w:w="1191" w:type="dxa"/>
                <w:noWrap/>
                <w:hideMark/>
              </w:tcPr>
              <w:p w14:paraId="6A653C50" w14:textId="77777777" w:rsidR="0045411A" w:rsidRPr="0045411A" w:rsidRDefault="0045411A" w:rsidP="002E57FC">
                <w:pPr>
                  <w:spacing w:after="120"/>
                  <w:jc w:val="right"/>
                </w:pPr>
                <w:r w:rsidRPr="0045411A">
                  <w:t>0</w:t>
                </w:r>
              </w:p>
            </w:tc>
            <w:tc>
              <w:tcPr>
                <w:tcW w:w="1191" w:type="dxa"/>
                <w:noWrap/>
                <w:hideMark/>
              </w:tcPr>
              <w:p w14:paraId="48C7C3CB" w14:textId="77777777" w:rsidR="0045411A" w:rsidRPr="0045411A" w:rsidRDefault="0045411A" w:rsidP="002E57FC">
                <w:pPr>
                  <w:spacing w:after="120"/>
                  <w:jc w:val="right"/>
                </w:pPr>
                <w:r w:rsidRPr="0045411A">
                  <w:t>7,380</w:t>
                </w:r>
              </w:p>
            </w:tc>
            <w:tc>
              <w:tcPr>
                <w:tcW w:w="1191" w:type="dxa"/>
                <w:noWrap/>
                <w:hideMark/>
              </w:tcPr>
              <w:p w14:paraId="32AF30D1" w14:textId="77777777" w:rsidR="0045411A" w:rsidRPr="0045411A" w:rsidRDefault="0045411A" w:rsidP="002E57FC">
                <w:pPr>
                  <w:spacing w:after="120"/>
                  <w:jc w:val="right"/>
                </w:pPr>
                <w:r w:rsidRPr="0045411A">
                  <w:t>7,380</w:t>
                </w:r>
              </w:p>
            </w:tc>
            <w:tc>
              <w:tcPr>
                <w:tcW w:w="1191" w:type="dxa"/>
                <w:noWrap/>
                <w:hideMark/>
              </w:tcPr>
              <w:p w14:paraId="05F09540" w14:textId="77777777" w:rsidR="0045411A" w:rsidRPr="0045411A" w:rsidRDefault="0045411A" w:rsidP="002E57FC">
                <w:pPr>
                  <w:spacing w:after="120"/>
                  <w:jc w:val="right"/>
                </w:pPr>
                <w:r w:rsidRPr="0045411A">
                  <w:t>0</w:t>
                </w:r>
              </w:p>
            </w:tc>
          </w:tr>
          <w:tr w:rsidR="0045411A" w:rsidRPr="0045411A" w14:paraId="5FF9C653" w14:textId="77777777" w:rsidTr="55AE29C2">
            <w:trPr>
              <w:trHeight w:val="324"/>
            </w:trPr>
            <w:tc>
              <w:tcPr>
                <w:tcW w:w="2950" w:type="dxa"/>
                <w:noWrap/>
                <w:hideMark/>
              </w:tcPr>
              <w:p w14:paraId="340C9147" w14:textId="6CEFAFC2" w:rsidR="0045411A" w:rsidRPr="0045411A" w:rsidRDefault="0045411A" w:rsidP="002E57FC">
                <w:pPr>
                  <w:spacing w:after="120"/>
                  <w:rPr>
                    <w:b/>
                    <w:bCs/>
                  </w:rPr>
                </w:pPr>
                <w:r w:rsidRPr="55AE29C2">
                  <w:rPr>
                    <w:b/>
                    <w:bCs/>
                  </w:rPr>
                  <w:t xml:space="preserve">Total </w:t>
                </w:r>
                <w:r w:rsidR="00B3389C" w:rsidRPr="55AE29C2">
                  <w:rPr>
                    <w:b/>
                    <w:bCs/>
                  </w:rPr>
                  <w:t>o</w:t>
                </w:r>
                <w:r w:rsidRPr="55AE29C2">
                  <w:rPr>
                    <w:b/>
                    <w:bCs/>
                  </w:rPr>
                  <w:t xml:space="preserve">perating </w:t>
                </w:r>
                <w:r w:rsidR="54A42C30" w:rsidRPr="55AE29C2">
                  <w:rPr>
                    <w:b/>
                    <w:bCs/>
                  </w:rPr>
                  <w:t>c</w:t>
                </w:r>
                <w:r w:rsidRPr="55AE29C2">
                  <w:rPr>
                    <w:b/>
                    <w:bCs/>
                  </w:rPr>
                  <w:t>osts</w:t>
                </w:r>
              </w:p>
            </w:tc>
            <w:tc>
              <w:tcPr>
                <w:tcW w:w="1388" w:type="dxa"/>
                <w:noWrap/>
                <w:hideMark/>
              </w:tcPr>
              <w:p w14:paraId="612E24F0" w14:textId="77777777" w:rsidR="0045411A" w:rsidRPr="0045411A" w:rsidRDefault="0045411A" w:rsidP="002E57FC">
                <w:pPr>
                  <w:spacing w:after="120"/>
                  <w:jc w:val="right"/>
                  <w:rPr>
                    <w:b/>
                    <w:bCs/>
                  </w:rPr>
                </w:pPr>
                <w:r w:rsidRPr="0045411A">
                  <w:rPr>
                    <w:b/>
                    <w:bCs/>
                  </w:rPr>
                  <w:t>27,138</w:t>
                </w:r>
              </w:p>
            </w:tc>
            <w:tc>
              <w:tcPr>
                <w:tcW w:w="1235" w:type="dxa"/>
                <w:noWrap/>
                <w:hideMark/>
              </w:tcPr>
              <w:p w14:paraId="424BE45A" w14:textId="77777777" w:rsidR="0045411A" w:rsidRPr="0045411A" w:rsidRDefault="0045411A" w:rsidP="002E57FC">
                <w:pPr>
                  <w:spacing w:after="120"/>
                  <w:jc w:val="right"/>
                  <w:rPr>
                    <w:b/>
                    <w:bCs/>
                  </w:rPr>
                </w:pPr>
                <w:r w:rsidRPr="0045411A">
                  <w:rPr>
                    <w:b/>
                    <w:bCs/>
                  </w:rPr>
                  <w:t>26,901</w:t>
                </w:r>
              </w:p>
            </w:tc>
            <w:tc>
              <w:tcPr>
                <w:tcW w:w="1191" w:type="dxa"/>
                <w:noWrap/>
                <w:hideMark/>
              </w:tcPr>
              <w:p w14:paraId="74843060" w14:textId="77777777" w:rsidR="0045411A" w:rsidRPr="0045411A" w:rsidRDefault="0045411A" w:rsidP="002E57FC">
                <w:pPr>
                  <w:spacing w:after="120"/>
                  <w:jc w:val="right"/>
                  <w:rPr>
                    <w:b/>
                    <w:bCs/>
                  </w:rPr>
                </w:pPr>
                <w:r w:rsidRPr="0045411A">
                  <w:rPr>
                    <w:b/>
                    <w:bCs/>
                  </w:rPr>
                  <w:t>(237)</w:t>
                </w:r>
              </w:p>
            </w:tc>
            <w:tc>
              <w:tcPr>
                <w:tcW w:w="1191" w:type="dxa"/>
                <w:noWrap/>
                <w:hideMark/>
              </w:tcPr>
              <w:p w14:paraId="0E40D15B" w14:textId="77777777" w:rsidR="0045411A" w:rsidRPr="0045411A" w:rsidRDefault="0045411A" w:rsidP="002E57FC">
                <w:pPr>
                  <w:spacing w:after="120"/>
                  <w:jc w:val="right"/>
                  <w:rPr>
                    <w:b/>
                    <w:bCs/>
                  </w:rPr>
                </w:pPr>
                <w:r w:rsidRPr="0045411A">
                  <w:rPr>
                    <w:b/>
                    <w:bCs/>
                  </w:rPr>
                  <w:t>110,671</w:t>
                </w:r>
              </w:p>
            </w:tc>
            <w:tc>
              <w:tcPr>
                <w:tcW w:w="1191" w:type="dxa"/>
                <w:noWrap/>
                <w:hideMark/>
              </w:tcPr>
              <w:p w14:paraId="67AC5AE9" w14:textId="77777777" w:rsidR="0045411A" w:rsidRPr="0045411A" w:rsidRDefault="0045411A" w:rsidP="002E57FC">
                <w:pPr>
                  <w:spacing w:after="120"/>
                  <w:jc w:val="right"/>
                  <w:rPr>
                    <w:b/>
                    <w:bCs/>
                  </w:rPr>
                </w:pPr>
                <w:r w:rsidRPr="0045411A">
                  <w:rPr>
                    <w:b/>
                    <w:bCs/>
                  </w:rPr>
                  <w:t>110,450</w:t>
                </w:r>
              </w:p>
            </w:tc>
            <w:tc>
              <w:tcPr>
                <w:tcW w:w="1191" w:type="dxa"/>
                <w:noWrap/>
                <w:hideMark/>
              </w:tcPr>
              <w:p w14:paraId="5A288817" w14:textId="77777777" w:rsidR="0045411A" w:rsidRPr="0045411A" w:rsidRDefault="0045411A" w:rsidP="002E57FC">
                <w:pPr>
                  <w:spacing w:after="120"/>
                  <w:jc w:val="right"/>
                  <w:rPr>
                    <w:b/>
                    <w:bCs/>
                  </w:rPr>
                </w:pPr>
                <w:r w:rsidRPr="0045411A">
                  <w:rPr>
                    <w:b/>
                    <w:bCs/>
                  </w:rPr>
                  <w:t>(221)</w:t>
                </w:r>
              </w:p>
            </w:tc>
          </w:tr>
          <w:tr w:rsidR="0045411A" w:rsidRPr="0045411A" w14:paraId="355282F2" w14:textId="77777777" w:rsidTr="55AE29C2">
            <w:trPr>
              <w:trHeight w:val="324"/>
            </w:trPr>
            <w:tc>
              <w:tcPr>
                <w:tcW w:w="2950" w:type="dxa"/>
                <w:noWrap/>
                <w:hideMark/>
              </w:tcPr>
              <w:p w14:paraId="0C3A548B" w14:textId="5C156899" w:rsidR="0045411A" w:rsidRPr="0045411A" w:rsidRDefault="0045411A" w:rsidP="002E57FC">
                <w:pPr>
                  <w:spacing w:after="120"/>
                  <w:rPr>
                    <w:b/>
                    <w:bCs/>
                  </w:rPr>
                </w:pPr>
                <w:r w:rsidRPr="0045411A">
                  <w:rPr>
                    <w:b/>
                    <w:bCs/>
                  </w:rPr>
                  <w:t xml:space="preserve">Operating </w:t>
                </w:r>
                <w:r w:rsidR="00B3389C">
                  <w:rPr>
                    <w:b/>
                    <w:bCs/>
                  </w:rPr>
                  <w:t>s</w:t>
                </w:r>
                <w:r w:rsidRPr="0045411A">
                  <w:rPr>
                    <w:b/>
                    <w:bCs/>
                  </w:rPr>
                  <w:t>urplus/ (</w:t>
                </w:r>
                <w:r w:rsidR="00B3389C">
                  <w:rPr>
                    <w:b/>
                    <w:bCs/>
                  </w:rPr>
                  <w:t>d</w:t>
                </w:r>
                <w:r w:rsidRPr="0045411A">
                  <w:rPr>
                    <w:b/>
                    <w:bCs/>
                  </w:rPr>
                  <w:t>eficit)</w:t>
                </w:r>
              </w:p>
            </w:tc>
            <w:tc>
              <w:tcPr>
                <w:tcW w:w="1388" w:type="dxa"/>
                <w:noWrap/>
                <w:hideMark/>
              </w:tcPr>
              <w:p w14:paraId="34CA0BAC" w14:textId="77777777" w:rsidR="0045411A" w:rsidRPr="0045411A" w:rsidRDefault="0045411A" w:rsidP="002E57FC">
                <w:pPr>
                  <w:spacing w:after="120"/>
                  <w:jc w:val="right"/>
                  <w:rPr>
                    <w:b/>
                    <w:bCs/>
                  </w:rPr>
                </w:pPr>
                <w:r w:rsidRPr="0045411A">
                  <w:rPr>
                    <w:b/>
                    <w:bCs/>
                  </w:rPr>
                  <w:t>35,011</w:t>
                </w:r>
              </w:p>
            </w:tc>
            <w:tc>
              <w:tcPr>
                <w:tcW w:w="1235" w:type="dxa"/>
                <w:noWrap/>
                <w:hideMark/>
              </w:tcPr>
              <w:p w14:paraId="462EA1A5" w14:textId="77777777" w:rsidR="0045411A" w:rsidRPr="0045411A" w:rsidRDefault="0045411A" w:rsidP="002E57FC">
                <w:pPr>
                  <w:spacing w:after="120"/>
                  <w:jc w:val="right"/>
                  <w:rPr>
                    <w:b/>
                    <w:bCs/>
                  </w:rPr>
                </w:pPr>
                <w:r w:rsidRPr="0045411A">
                  <w:rPr>
                    <w:b/>
                    <w:bCs/>
                  </w:rPr>
                  <w:t>34,612</w:t>
                </w:r>
              </w:p>
            </w:tc>
            <w:tc>
              <w:tcPr>
                <w:tcW w:w="1191" w:type="dxa"/>
                <w:noWrap/>
                <w:hideMark/>
              </w:tcPr>
              <w:p w14:paraId="05FC20D2" w14:textId="77777777" w:rsidR="0045411A" w:rsidRPr="0045411A" w:rsidRDefault="0045411A" w:rsidP="002E57FC">
                <w:pPr>
                  <w:spacing w:after="120"/>
                  <w:jc w:val="right"/>
                  <w:rPr>
                    <w:b/>
                    <w:bCs/>
                  </w:rPr>
                </w:pPr>
                <w:r w:rsidRPr="0045411A">
                  <w:rPr>
                    <w:b/>
                    <w:bCs/>
                  </w:rPr>
                  <w:t>399</w:t>
                </w:r>
              </w:p>
            </w:tc>
            <w:tc>
              <w:tcPr>
                <w:tcW w:w="1191" w:type="dxa"/>
                <w:noWrap/>
                <w:hideMark/>
              </w:tcPr>
              <w:p w14:paraId="3483BEA7" w14:textId="77777777" w:rsidR="0045411A" w:rsidRPr="0045411A" w:rsidRDefault="0045411A" w:rsidP="002E57FC">
                <w:pPr>
                  <w:spacing w:after="120"/>
                  <w:jc w:val="right"/>
                  <w:rPr>
                    <w:b/>
                    <w:bCs/>
                  </w:rPr>
                </w:pPr>
                <w:r w:rsidRPr="0045411A">
                  <w:rPr>
                    <w:b/>
                    <w:bCs/>
                  </w:rPr>
                  <w:t>0</w:t>
                </w:r>
              </w:p>
            </w:tc>
            <w:tc>
              <w:tcPr>
                <w:tcW w:w="1191" w:type="dxa"/>
                <w:noWrap/>
                <w:hideMark/>
              </w:tcPr>
              <w:p w14:paraId="3D35E682" w14:textId="77777777" w:rsidR="0045411A" w:rsidRPr="0045411A" w:rsidRDefault="0045411A" w:rsidP="002E57FC">
                <w:pPr>
                  <w:spacing w:after="120"/>
                  <w:jc w:val="right"/>
                  <w:rPr>
                    <w:b/>
                    <w:bCs/>
                  </w:rPr>
                </w:pPr>
                <w:r w:rsidRPr="0045411A">
                  <w:rPr>
                    <w:b/>
                    <w:bCs/>
                  </w:rPr>
                  <w:t>0</w:t>
                </w:r>
              </w:p>
            </w:tc>
            <w:tc>
              <w:tcPr>
                <w:tcW w:w="1191" w:type="dxa"/>
                <w:noWrap/>
                <w:hideMark/>
              </w:tcPr>
              <w:p w14:paraId="57D8DAE6" w14:textId="77777777" w:rsidR="0045411A" w:rsidRPr="0045411A" w:rsidRDefault="0045411A" w:rsidP="002E57FC">
                <w:pPr>
                  <w:spacing w:after="120"/>
                  <w:jc w:val="right"/>
                  <w:rPr>
                    <w:b/>
                    <w:bCs/>
                  </w:rPr>
                </w:pPr>
                <w:r w:rsidRPr="0045411A">
                  <w:rPr>
                    <w:b/>
                    <w:bCs/>
                  </w:rPr>
                  <w:t>0</w:t>
                </w:r>
              </w:p>
            </w:tc>
          </w:tr>
        </w:tbl>
        <w:p w14:paraId="0E1C15A8" w14:textId="6B80065D" w:rsidR="00BD7F80" w:rsidRPr="00CD7997" w:rsidRDefault="00BD7F80" w:rsidP="00CD7997"/>
        <w:p w14:paraId="50E17BF4" w14:textId="53330A4A" w:rsidR="00114EA4" w:rsidRPr="007C3145" w:rsidRDefault="004564D4" w:rsidP="002D7F0B">
          <w:pPr>
            <w:pStyle w:val="Heading2"/>
            <w:numPr>
              <w:ilvl w:val="0"/>
              <w:numId w:val="20"/>
            </w:numPr>
            <w:ind w:left="426" w:hanging="426"/>
            <w:rPr>
              <w:rStyle w:val="eop"/>
              <w:color w:val="auto"/>
              <w:sz w:val="28"/>
              <w:szCs w:val="28"/>
            </w:rPr>
          </w:pPr>
          <w:r w:rsidRPr="007C3145">
            <w:rPr>
              <w:rStyle w:val="normaltextrun"/>
              <w:color w:val="auto"/>
              <w:sz w:val="28"/>
              <w:szCs w:val="28"/>
            </w:rPr>
            <w:t>Net results</w:t>
          </w:r>
          <w:r w:rsidR="003A1121" w:rsidRPr="007C3145">
            <w:rPr>
              <w:rStyle w:val="normaltextrun"/>
              <w:color w:val="auto"/>
              <w:sz w:val="28"/>
              <w:szCs w:val="28"/>
            </w:rPr>
            <w:t xml:space="preserve"> </w:t>
          </w:r>
          <w:r w:rsidR="00AA48C9" w:rsidRPr="007C3145">
            <w:rPr>
              <w:rStyle w:val="normaltextrun"/>
              <w:color w:val="auto"/>
              <w:sz w:val="28"/>
              <w:szCs w:val="28"/>
            </w:rPr>
            <w:t>–</w:t>
          </w:r>
          <w:r w:rsidR="003A1121" w:rsidRPr="007C3145">
            <w:rPr>
              <w:rStyle w:val="normaltextrun"/>
              <w:color w:val="auto"/>
              <w:sz w:val="28"/>
              <w:szCs w:val="28"/>
            </w:rPr>
            <w:t xml:space="preserve"> </w:t>
          </w:r>
          <w:r w:rsidR="001E4173" w:rsidRPr="007C3145">
            <w:rPr>
              <w:rStyle w:val="normaltextrun"/>
              <w:color w:val="auto"/>
              <w:sz w:val="28"/>
              <w:szCs w:val="28"/>
            </w:rPr>
            <w:t>b</w:t>
          </w:r>
          <w:r w:rsidR="00813FCC" w:rsidRPr="007C3145">
            <w:rPr>
              <w:rStyle w:val="normaltextrun"/>
              <w:color w:val="auto"/>
              <w:sz w:val="28"/>
              <w:szCs w:val="28"/>
            </w:rPr>
            <w:t xml:space="preserve">alanced </w:t>
          </w:r>
          <w:r w:rsidR="00A1025B" w:rsidRPr="007C3145">
            <w:rPr>
              <w:rStyle w:val="normaltextrun"/>
              <w:color w:val="auto"/>
              <w:sz w:val="28"/>
              <w:szCs w:val="28"/>
            </w:rPr>
            <w:t>b</w:t>
          </w:r>
          <w:r w:rsidR="00813FCC" w:rsidRPr="007C3145">
            <w:rPr>
              <w:rStyle w:val="normaltextrun"/>
              <w:color w:val="auto"/>
              <w:sz w:val="28"/>
              <w:szCs w:val="28"/>
            </w:rPr>
            <w:t>udget</w:t>
          </w:r>
        </w:p>
        <w:p w14:paraId="650D7E23" w14:textId="29C34F90" w:rsidR="001F164A" w:rsidRPr="001F164A" w:rsidRDefault="00F07F3D" w:rsidP="002D7F0B">
          <w:pPr>
            <w:pStyle w:val="ListParagraph"/>
            <w:numPr>
              <w:ilvl w:val="0"/>
              <w:numId w:val="6"/>
            </w:numPr>
            <w:ind w:left="993" w:hanging="567"/>
            <w:contextualSpacing w:val="0"/>
          </w:pPr>
          <w:bookmarkStart w:id="1" w:name="_Hlk121845523"/>
          <w:r w:rsidRPr="00F07F3D">
            <w:t>At</w:t>
          </w:r>
          <w:r w:rsidR="00356FDA">
            <w:t xml:space="preserve"> </w:t>
          </w:r>
          <w:r w:rsidR="00356FDA" w:rsidRPr="00356FDA">
            <w:t>Q</w:t>
          </w:r>
          <w:r w:rsidR="00ED5A75">
            <w:t>1</w:t>
          </w:r>
          <w:r w:rsidR="00356FDA" w:rsidRPr="00356FDA">
            <w:t xml:space="preserve"> (period 1 April 202</w:t>
          </w:r>
          <w:r w:rsidR="00ED5A75">
            <w:t>5</w:t>
          </w:r>
          <w:r w:rsidR="00356FDA" w:rsidRPr="00356FDA">
            <w:t xml:space="preserve"> to 3</w:t>
          </w:r>
          <w:r w:rsidR="00ED5A75">
            <w:t>0</w:t>
          </w:r>
          <w:r w:rsidR="00356FDA" w:rsidRPr="00356FDA">
            <w:t xml:space="preserve"> </w:t>
          </w:r>
          <w:r w:rsidR="00ED5A75">
            <w:t xml:space="preserve">June </w:t>
          </w:r>
          <w:r w:rsidR="00356FDA" w:rsidRPr="00356FDA">
            <w:t>202</w:t>
          </w:r>
          <w:r w:rsidR="00ED5A75">
            <w:t>5</w:t>
          </w:r>
          <w:r w:rsidR="00356FDA" w:rsidRPr="00356FDA">
            <w:t>), the year-to-date variance of £0.</w:t>
          </w:r>
          <w:r w:rsidR="00C55BBA">
            <w:t>4</w:t>
          </w:r>
          <w:r w:rsidR="00356FDA" w:rsidRPr="00356FDA">
            <w:t>m is due to £</w:t>
          </w:r>
          <w:r w:rsidR="00842DAD">
            <w:t>0.6m</w:t>
          </w:r>
          <w:r w:rsidR="00356FDA" w:rsidRPr="00356FDA">
            <w:t xml:space="preserve"> </w:t>
          </w:r>
          <w:r w:rsidR="00842DAD">
            <w:t xml:space="preserve">higher than </w:t>
          </w:r>
          <w:r w:rsidR="00356FDA" w:rsidRPr="00356FDA">
            <w:t xml:space="preserve">budgeted </w:t>
          </w:r>
          <w:r w:rsidR="00842DAD">
            <w:t xml:space="preserve">income </w:t>
          </w:r>
          <w:r w:rsidR="00356FDA" w:rsidRPr="00356FDA">
            <w:t>offset by £0.</w:t>
          </w:r>
          <w:r w:rsidR="00842DAD">
            <w:t>2</w:t>
          </w:r>
          <w:r w:rsidR="00356FDA" w:rsidRPr="00356FDA">
            <w:t xml:space="preserve">m </w:t>
          </w:r>
          <w:r w:rsidR="00842DAD">
            <w:t>higher than b</w:t>
          </w:r>
          <w:r w:rsidR="00356FDA" w:rsidRPr="00356FDA">
            <w:t xml:space="preserve">udgeted </w:t>
          </w:r>
          <w:r w:rsidR="00842DAD">
            <w:t>expend</w:t>
          </w:r>
          <w:r w:rsidR="00903410">
            <w:t>i</w:t>
          </w:r>
          <w:r w:rsidR="00842DAD">
            <w:t>ture</w:t>
          </w:r>
          <w:r w:rsidR="00356FDA" w:rsidRPr="00356FDA">
            <w:t xml:space="preserve">. </w:t>
          </w:r>
        </w:p>
        <w:bookmarkEnd w:id="1"/>
        <w:p w14:paraId="6AC365E2" w14:textId="54EF0270" w:rsidR="00BF63D5" w:rsidRPr="001F164A" w:rsidRDefault="00ED5A75" w:rsidP="002D7F0B">
          <w:pPr>
            <w:pStyle w:val="ListParagraph"/>
            <w:numPr>
              <w:ilvl w:val="0"/>
              <w:numId w:val="6"/>
            </w:numPr>
            <w:ind w:left="993" w:hanging="567"/>
            <w:contextualSpacing w:val="0"/>
          </w:pPr>
          <w:r w:rsidRPr="0080188B">
            <w:t>Net results for the full year forecast a balanced budget, it should be noted that the 202</w:t>
          </w:r>
          <w:r>
            <w:t>5</w:t>
          </w:r>
          <w:r w:rsidR="0047031C">
            <w:t>/26</w:t>
          </w:r>
          <w:r w:rsidRPr="0080188B">
            <w:t xml:space="preserve"> budget was set net of £</w:t>
          </w:r>
          <w:r>
            <w:t>4.7</w:t>
          </w:r>
          <w:r w:rsidRPr="0080188B">
            <w:t>m savings in staff costs. These savings are forecast to be met in full</w:t>
          </w:r>
          <w:r w:rsidR="00F05E45">
            <w:t>.</w:t>
          </w:r>
          <w:r>
            <w:t xml:space="preserve"> </w:t>
          </w:r>
        </w:p>
        <w:p w14:paraId="288DE17B" w14:textId="33671417" w:rsidR="00AE1B91" w:rsidRPr="000D6B11" w:rsidRDefault="004564D4" w:rsidP="00EF1D83">
          <w:pPr>
            <w:pStyle w:val="Heading2"/>
            <w:numPr>
              <w:ilvl w:val="0"/>
              <w:numId w:val="20"/>
            </w:numPr>
            <w:ind w:left="426" w:hanging="426"/>
            <w:rPr>
              <w:rStyle w:val="normaltextrun"/>
              <w:color w:val="auto"/>
              <w:sz w:val="28"/>
              <w:szCs w:val="28"/>
            </w:rPr>
          </w:pPr>
          <w:r w:rsidRPr="000D6B11">
            <w:rPr>
              <w:rStyle w:val="normaltextrun"/>
              <w:color w:val="auto"/>
              <w:sz w:val="28"/>
              <w:szCs w:val="28"/>
            </w:rPr>
            <w:lastRenderedPageBreak/>
            <w:t>Total income</w:t>
          </w:r>
          <w:r w:rsidR="1829289E" w:rsidRPr="000D6B11">
            <w:rPr>
              <w:rStyle w:val="normaltextrun"/>
              <w:color w:val="auto"/>
              <w:sz w:val="28"/>
              <w:szCs w:val="28"/>
            </w:rPr>
            <w:t xml:space="preserve"> </w:t>
          </w:r>
          <w:r w:rsidR="003A1121" w:rsidRPr="000D6B11">
            <w:rPr>
              <w:rStyle w:val="normaltextrun"/>
              <w:color w:val="auto"/>
              <w:sz w:val="28"/>
              <w:szCs w:val="28"/>
            </w:rPr>
            <w:t xml:space="preserve">- </w:t>
          </w:r>
          <w:r w:rsidR="00C33DCE" w:rsidRPr="000D6B11">
            <w:rPr>
              <w:rStyle w:val="normaltextrun"/>
              <w:color w:val="auto"/>
              <w:sz w:val="28"/>
              <w:szCs w:val="28"/>
            </w:rPr>
            <w:t>£</w:t>
          </w:r>
          <w:r w:rsidR="009F42DB" w:rsidRPr="000D6B11">
            <w:rPr>
              <w:rStyle w:val="normaltextrun"/>
              <w:color w:val="auto"/>
              <w:sz w:val="28"/>
              <w:szCs w:val="28"/>
            </w:rPr>
            <w:t>1</w:t>
          </w:r>
          <w:r w:rsidR="006C4B3D">
            <w:rPr>
              <w:rStyle w:val="normaltextrun"/>
              <w:color w:val="auto"/>
              <w:sz w:val="28"/>
              <w:szCs w:val="28"/>
            </w:rPr>
            <w:t>10</w:t>
          </w:r>
          <w:r w:rsidR="009F42DB" w:rsidRPr="000D6B11">
            <w:rPr>
              <w:rStyle w:val="normaltextrun"/>
              <w:color w:val="auto"/>
              <w:sz w:val="28"/>
              <w:szCs w:val="28"/>
            </w:rPr>
            <w:t>.</w:t>
          </w:r>
          <w:r w:rsidR="006C4B3D">
            <w:rPr>
              <w:rStyle w:val="normaltextrun"/>
              <w:color w:val="auto"/>
              <w:sz w:val="28"/>
              <w:szCs w:val="28"/>
            </w:rPr>
            <w:t>7</w:t>
          </w:r>
          <w:r w:rsidR="009F42DB" w:rsidRPr="000D6B11">
            <w:rPr>
              <w:rStyle w:val="normaltextrun"/>
              <w:color w:val="auto"/>
              <w:sz w:val="28"/>
              <w:szCs w:val="28"/>
            </w:rPr>
            <w:t>m</w:t>
          </w:r>
          <w:r w:rsidR="0093578D" w:rsidRPr="000D6B11">
            <w:rPr>
              <w:rStyle w:val="normaltextrun"/>
              <w:color w:val="auto"/>
              <w:sz w:val="28"/>
              <w:szCs w:val="28"/>
            </w:rPr>
            <w:t xml:space="preserve"> </w:t>
          </w:r>
        </w:p>
        <w:p w14:paraId="08D4CA4F" w14:textId="3F0365F0" w:rsidR="00356FDA" w:rsidRPr="00356FDA" w:rsidRDefault="00D41FD5" w:rsidP="00EF1D83">
          <w:pPr>
            <w:pStyle w:val="ListParagraph"/>
            <w:numPr>
              <w:ilvl w:val="0"/>
              <w:numId w:val="11"/>
            </w:numPr>
            <w:spacing w:after="120"/>
            <w:ind w:left="993" w:hanging="567"/>
          </w:pPr>
          <w:r>
            <w:t>The total income for the full year is projected to be £110.7m, which is £0.2m higher than the full year budget. This is attributed to increased charging scheme income from a greater number of applications in waste, partially offset by a forecast reduction in annual charges for water. Additionally, bank interest is expected to exceed the budgeted amount.</w:t>
          </w:r>
        </w:p>
        <w:p w14:paraId="409FB346" w14:textId="797CF2AB" w:rsidR="00A1039C" w:rsidRPr="00DA21E9" w:rsidRDefault="00A1039C" w:rsidP="00EF0BAC">
          <w:pPr>
            <w:pStyle w:val="Heading4"/>
          </w:pPr>
          <w:r w:rsidRPr="00DA21E9">
            <w:t>Grant in Aid (GiA)</w:t>
          </w:r>
        </w:p>
        <w:p w14:paraId="7F16A205" w14:textId="13521ADA" w:rsidR="002757D7" w:rsidRDefault="00103B18" w:rsidP="00EF0BAC">
          <w:pPr>
            <w:pStyle w:val="Heading4"/>
          </w:pPr>
          <w:r>
            <w:t xml:space="preserve">Table </w:t>
          </w:r>
          <w:r w:rsidR="00FB0970">
            <w:t>2</w:t>
          </w:r>
          <w:r w:rsidR="00B05DD9">
            <w:t>:</w:t>
          </w:r>
          <w:r w:rsidR="00FB0970">
            <w:t xml:space="preserve"> </w:t>
          </w:r>
          <w:r w:rsidR="00FF4DE4">
            <w:t>G</w:t>
          </w:r>
          <w:r w:rsidR="0041478E">
            <w:t>i</w:t>
          </w:r>
          <w:r w:rsidR="00FF4DE4">
            <w:t>A</w:t>
          </w:r>
          <w:r>
            <w:t xml:space="preserve"> b</w:t>
          </w:r>
          <w:r w:rsidR="002757D7">
            <w:t xml:space="preserve">udget allocation </w:t>
          </w:r>
        </w:p>
        <w:tbl>
          <w:tblPr>
            <w:tblStyle w:val="TableGrid"/>
            <w:tblW w:w="0" w:type="auto"/>
            <w:tblLook w:val="04A0" w:firstRow="1" w:lastRow="0" w:firstColumn="1" w:lastColumn="0" w:noHBand="0" w:noVBand="1"/>
            <w:tblCaption w:val="Table 2: GiA budget allocation"/>
          </w:tblPr>
          <w:tblGrid>
            <w:gridCol w:w="4020"/>
            <w:gridCol w:w="1929"/>
            <w:gridCol w:w="2268"/>
            <w:gridCol w:w="1843"/>
          </w:tblGrid>
          <w:tr w:rsidR="002757D7" w:rsidRPr="002757D7" w14:paraId="3958E865" w14:textId="77777777" w:rsidTr="00B3389C">
            <w:trPr>
              <w:cantSplit/>
              <w:trHeight w:val="1212"/>
            </w:trPr>
            <w:tc>
              <w:tcPr>
                <w:tcW w:w="4020" w:type="dxa"/>
                <w:shd w:val="clear" w:color="auto" w:fill="016574" w:themeFill="accent1"/>
                <w:noWrap/>
                <w:hideMark/>
              </w:tcPr>
              <w:p w14:paraId="58DF81A6" w14:textId="77777777" w:rsidR="002757D7" w:rsidRPr="002757D7" w:rsidRDefault="002757D7" w:rsidP="002E57FC">
                <w:pPr>
                  <w:pStyle w:val="Heading4"/>
                  <w:spacing w:after="120" w:line="360" w:lineRule="auto"/>
                  <w:rPr>
                    <w:bCs/>
                  </w:rPr>
                </w:pPr>
                <w:r w:rsidRPr="002757D7">
                  <w:rPr>
                    <w:bCs/>
                  </w:rPr>
                  <w:t> </w:t>
                </w:r>
              </w:p>
            </w:tc>
            <w:tc>
              <w:tcPr>
                <w:tcW w:w="1929" w:type="dxa"/>
                <w:shd w:val="clear" w:color="auto" w:fill="016574" w:themeFill="accent1"/>
                <w:hideMark/>
              </w:tcPr>
              <w:p w14:paraId="6CF8B9A6" w14:textId="60EC8C24" w:rsidR="00C8766B" w:rsidRPr="00802FC0" w:rsidRDefault="002757D7" w:rsidP="002E57FC">
                <w:pPr>
                  <w:pStyle w:val="Heading4"/>
                  <w:spacing w:after="120" w:line="360" w:lineRule="auto"/>
                  <w:jc w:val="right"/>
                  <w:rPr>
                    <w:bCs/>
                    <w:color w:val="FFFFFF" w:themeColor="background1"/>
                  </w:rPr>
                </w:pPr>
                <w:r w:rsidRPr="00802FC0">
                  <w:rPr>
                    <w:bCs/>
                    <w:color w:val="FFFFFF" w:themeColor="background1"/>
                  </w:rPr>
                  <w:t xml:space="preserve">Resource </w:t>
                </w:r>
                <w:r w:rsidR="006042A1">
                  <w:rPr>
                    <w:bCs/>
                    <w:color w:val="FFFFFF" w:themeColor="background1"/>
                  </w:rPr>
                  <w:t>b</w:t>
                </w:r>
                <w:r w:rsidRPr="00802FC0">
                  <w:rPr>
                    <w:bCs/>
                    <w:color w:val="FFFFFF" w:themeColor="background1"/>
                  </w:rPr>
                  <w:t xml:space="preserve">udget </w:t>
                </w:r>
                <w:r w:rsidR="006042A1">
                  <w:rPr>
                    <w:bCs/>
                    <w:color w:val="FFFFFF" w:themeColor="background1"/>
                  </w:rPr>
                  <w:t>c</w:t>
                </w:r>
                <w:r w:rsidRPr="00802FC0">
                  <w:rPr>
                    <w:bCs/>
                    <w:color w:val="FFFFFF" w:themeColor="background1"/>
                  </w:rPr>
                  <w:t xml:space="preserve">ash  </w:t>
                </w:r>
              </w:p>
              <w:p w14:paraId="117DA948" w14:textId="37F92B23" w:rsidR="002757D7" w:rsidRPr="00802FC0" w:rsidRDefault="002757D7" w:rsidP="002E57FC">
                <w:pPr>
                  <w:pStyle w:val="Heading4"/>
                  <w:spacing w:after="120" w:line="360" w:lineRule="auto"/>
                  <w:jc w:val="right"/>
                  <w:rPr>
                    <w:bCs/>
                    <w:color w:val="FFFFFF" w:themeColor="background1"/>
                  </w:rPr>
                </w:pPr>
                <w:r w:rsidRPr="00802FC0">
                  <w:rPr>
                    <w:bCs/>
                    <w:color w:val="FFFFFF" w:themeColor="background1"/>
                  </w:rPr>
                  <w:t>£</w:t>
                </w:r>
                <w:r w:rsidR="00A90E84" w:rsidRPr="00802FC0">
                  <w:rPr>
                    <w:bCs/>
                    <w:color w:val="FFFFFF" w:themeColor="background1"/>
                  </w:rPr>
                  <w:t>’</w:t>
                </w:r>
                <w:r w:rsidRPr="00802FC0">
                  <w:rPr>
                    <w:bCs/>
                    <w:color w:val="FFFFFF" w:themeColor="background1"/>
                  </w:rPr>
                  <w:t>000</w:t>
                </w:r>
              </w:p>
            </w:tc>
            <w:tc>
              <w:tcPr>
                <w:tcW w:w="2268" w:type="dxa"/>
                <w:shd w:val="clear" w:color="auto" w:fill="016574" w:themeFill="accent1"/>
                <w:hideMark/>
              </w:tcPr>
              <w:p w14:paraId="4D461674" w14:textId="60C28911" w:rsidR="00C8766B" w:rsidRPr="00802FC0" w:rsidRDefault="002757D7" w:rsidP="002E57FC">
                <w:pPr>
                  <w:pStyle w:val="Heading4"/>
                  <w:spacing w:after="120" w:line="360" w:lineRule="auto"/>
                  <w:jc w:val="right"/>
                  <w:rPr>
                    <w:bCs/>
                    <w:color w:val="FFFFFF" w:themeColor="background1"/>
                  </w:rPr>
                </w:pPr>
                <w:r w:rsidRPr="00802FC0">
                  <w:rPr>
                    <w:bCs/>
                    <w:color w:val="FFFFFF" w:themeColor="background1"/>
                  </w:rPr>
                  <w:t xml:space="preserve">Resource </w:t>
                </w:r>
                <w:r w:rsidR="006042A1">
                  <w:rPr>
                    <w:bCs/>
                    <w:color w:val="FFFFFF" w:themeColor="background1"/>
                  </w:rPr>
                  <w:t>b</w:t>
                </w:r>
                <w:r w:rsidRPr="00802FC0">
                  <w:rPr>
                    <w:bCs/>
                    <w:color w:val="FFFFFF" w:themeColor="background1"/>
                  </w:rPr>
                  <w:t xml:space="preserve">udget </w:t>
                </w:r>
                <w:r w:rsidR="006042A1">
                  <w:rPr>
                    <w:bCs/>
                    <w:color w:val="FFFFFF" w:themeColor="background1"/>
                  </w:rPr>
                  <w:t>n</w:t>
                </w:r>
                <w:r w:rsidR="00A90E84" w:rsidRPr="00802FC0">
                  <w:rPr>
                    <w:bCs/>
                    <w:color w:val="FFFFFF" w:themeColor="background1"/>
                  </w:rPr>
                  <w:t>on-</w:t>
                </w:r>
                <w:r w:rsidR="006042A1">
                  <w:rPr>
                    <w:bCs/>
                    <w:color w:val="FFFFFF" w:themeColor="background1"/>
                  </w:rPr>
                  <w:t>c</w:t>
                </w:r>
                <w:r w:rsidR="00A90E84" w:rsidRPr="00802FC0">
                  <w:rPr>
                    <w:bCs/>
                    <w:color w:val="FFFFFF" w:themeColor="background1"/>
                  </w:rPr>
                  <w:t>ash</w:t>
                </w:r>
                <w:r w:rsidRPr="00802FC0">
                  <w:rPr>
                    <w:bCs/>
                    <w:color w:val="FFFFFF" w:themeColor="background1"/>
                  </w:rPr>
                  <w:t xml:space="preserve"> </w:t>
                </w:r>
              </w:p>
              <w:p w14:paraId="1CD3D8D2" w14:textId="1CF710A4" w:rsidR="002757D7" w:rsidRPr="00802FC0" w:rsidRDefault="002757D7" w:rsidP="002E57FC">
                <w:pPr>
                  <w:pStyle w:val="Heading4"/>
                  <w:spacing w:after="120" w:line="360" w:lineRule="auto"/>
                  <w:jc w:val="right"/>
                  <w:rPr>
                    <w:bCs/>
                    <w:color w:val="FFFFFF" w:themeColor="background1"/>
                  </w:rPr>
                </w:pPr>
                <w:r w:rsidRPr="00802FC0">
                  <w:rPr>
                    <w:bCs/>
                    <w:color w:val="FFFFFF" w:themeColor="background1"/>
                  </w:rPr>
                  <w:t>£</w:t>
                </w:r>
                <w:r w:rsidR="00A90E84" w:rsidRPr="00802FC0">
                  <w:rPr>
                    <w:bCs/>
                    <w:color w:val="FFFFFF" w:themeColor="background1"/>
                  </w:rPr>
                  <w:t>’</w:t>
                </w:r>
                <w:r w:rsidRPr="00802FC0">
                  <w:rPr>
                    <w:bCs/>
                    <w:color w:val="FFFFFF" w:themeColor="background1"/>
                  </w:rPr>
                  <w:t>000</w:t>
                </w:r>
              </w:p>
            </w:tc>
            <w:tc>
              <w:tcPr>
                <w:tcW w:w="1843" w:type="dxa"/>
                <w:shd w:val="clear" w:color="auto" w:fill="016574" w:themeFill="accent1"/>
                <w:hideMark/>
              </w:tcPr>
              <w:p w14:paraId="7CA5E8F3" w14:textId="77777777" w:rsidR="00C8766B" w:rsidRPr="00802FC0" w:rsidRDefault="002757D7" w:rsidP="002E57FC">
                <w:pPr>
                  <w:pStyle w:val="Heading4"/>
                  <w:spacing w:after="120" w:line="360" w:lineRule="auto"/>
                  <w:jc w:val="right"/>
                  <w:rPr>
                    <w:bCs/>
                    <w:color w:val="FFFFFF" w:themeColor="background1"/>
                  </w:rPr>
                </w:pPr>
                <w:r w:rsidRPr="00802FC0">
                  <w:rPr>
                    <w:bCs/>
                    <w:color w:val="FFFFFF" w:themeColor="background1"/>
                  </w:rPr>
                  <w:t xml:space="preserve">Total </w:t>
                </w:r>
                <w:r w:rsidR="00C8766B" w:rsidRPr="00802FC0">
                  <w:rPr>
                    <w:bCs/>
                    <w:color w:val="FFFFFF" w:themeColor="background1"/>
                  </w:rPr>
                  <w:t xml:space="preserve">              </w:t>
                </w:r>
              </w:p>
              <w:p w14:paraId="0631A378" w14:textId="448E6ED5" w:rsidR="002757D7" w:rsidRPr="00802FC0" w:rsidRDefault="00C8766B" w:rsidP="00250106">
                <w:pPr>
                  <w:pStyle w:val="Heading4"/>
                  <w:spacing w:after="120" w:line="360" w:lineRule="auto"/>
                  <w:jc w:val="right"/>
                  <w:rPr>
                    <w:bCs/>
                    <w:color w:val="FFFFFF" w:themeColor="background1"/>
                  </w:rPr>
                </w:pPr>
                <w:r w:rsidRPr="00802FC0">
                  <w:rPr>
                    <w:bCs/>
                    <w:color w:val="FFFFFF" w:themeColor="background1"/>
                  </w:rPr>
                  <w:t xml:space="preserve">           </w:t>
                </w:r>
                <w:r w:rsidR="00250106">
                  <w:rPr>
                    <w:bCs/>
                    <w:color w:val="FFFFFF" w:themeColor="background1"/>
                  </w:rPr>
                  <w:t xml:space="preserve">     </w:t>
                </w:r>
                <w:r w:rsidR="002757D7" w:rsidRPr="00802FC0">
                  <w:rPr>
                    <w:bCs/>
                    <w:color w:val="FFFFFF" w:themeColor="background1"/>
                  </w:rPr>
                  <w:t>£000s</w:t>
                </w:r>
              </w:p>
            </w:tc>
          </w:tr>
          <w:tr w:rsidR="002757D7" w:rsidRPr="002757D7" w14:paraId="743C45C4" w14:textId="77777777" w:rsidTr="006042A1">
            <w:trPr>
              <w:cantSplit/>
              <w:trHeight w:val="312"/>
            </w:trPr>
            <w:tc>
              <w:tcPr>
                <w:tcW w:w="4020" w:type="dxa"/>
                <w:noWrap/>
                <w:hideMark/>
              </w:tcPr>
              <w:p w14:paraId="22D82E34" w14:textId="246F1707" w:rsidR="002757D7" w:rsidRPr="00802FC0" w:rsidRDefault="002757D7" w:rsidP="002E57FC">
                <w:pPr>
                  <w:pStyle w:val="Heading4"/>
                  <w:spacing w:after="120" w:line="360" w:lineRule="auto"/>
                  <w:rPr>
                    <w:b w:val="0"/>
                    <w:bCs/>
                  </w:rPr>
                </w:pPr>
                <w:r w:rsidRPr="00802FC0">
                  <w:rPr>
                    <w:b w:val="0"/>
                    <w:bCs/>
                  </w:rPr>
                  <w:t xml:space="preserve">Base </w:t>
                </w:r>
                <w:r w:rsidR="006042A1">
                  <w:rPr>
                    <w:b w:val="0"/>
                    <w:bCs/>
                  </w:rPr>
                  <w:t>b</w:t>
                </w:r>
                <w:r w:rsidRPr="00802FC0">
                  <w:rPr>
                    <w:b w:val="0"/>
                    <w:bCs/>
                  </w:rPr>
                  <w:t xml:space="preserve">udget </w:t>
                </w:r>
                <w:r w:rsidR="006042A1">
                  <w:rPr>
                    <w:b w:val="0"/>
                    <w:bCs/>
                  </w:rPr>
                  <w:t>a</w:t>
                </w:r>
                <w:r w:rsidRPr="00802FC0">
                  <w:rPr>
                    <w:b w:val="0"/>
                    <w:bCs/>
                  </w:rPr>
                  <w:t>llocation 2025-26</w:t>
                </w:r>
              </w:p>
            </w:tc>
            <w:tc>
              <w:tcPr>
                <w:tcW w:w="1929" w:type="dxa"/>
                <w:noWrap/>
                <w:hideMark/>
              </w:tcPr>
              <w:p w14:paraId="5A714D9E" w14:textId="77777777" w:rsidR="002757D7" w:rsidRPr="00802FC0" w:rsidRDefault="002757D7" w:rsidP="002E57FC">
                <w:pPr>
                  <w:pStyle w:val="Heading4"/>
                  <w:spacing w:after="120" w:line="360" w:lineRule="auto"/>
                  <w:jc w:val="right"/>
                  <w:rPr>
                    <w:b w:val="0"/>
                    <w:bCs/>
                  </w:rPr>
                </w:pPr>
                <w:r w:rsidRPr="00802FC0">
                  <w:rPr>
                    <w:b w:val="0"/>
                    <w:bCs/>
                  </w:rPr>
                  <w:t>42,400</w:t>
                </w:r>
              </w:p>
            </w:tc>
            <w:tc>
              <w:tcPr>
                <w:tcW w:w="2268" w:type="dxa"/>
                <w:noWrap/>
                <w:hideMark/>
              </w:tcPr>
              <w:p w14:paraId="47BB803D" w14:textId="77777777" w:rsidR="002757D7" w:rsidRPr="00802FC0" w:rsidRDefault="002757D7" w:rsidP="002E57FC">
                <w:pPr>
                  <w:pStyle w:val="Heading4"/>
                  <w:spacing w:after="120" w:line="360" w:lineRule="auto"/>
                  <w:jc w:val="right"/>
                  <w:rPr>
                    <w:b w:val="0"/>
                    <w:bCs/>
                  </w:rPr>
                </w:pPr>
                <w:r w:rsidRPr="00802FC0">
                  <w:rPr>
                    <w:b w:val="0"/>
                    <w:bCs/>
                  </w:rPr>
                  <w:t>7,377</w:t>
                </w:r>
              </w:p>
            </w:tc>
            <w:tc>
              <w:tcPr>
                <w:tcW w:w="1843" w:type="dxa"/>
                <w:noWrap/>
                <w:hideMark/>
              </w:tcPr>
              <w:p w14:paraId="7F3375D4" w14:textId="77777777" w:rsidR="002757D7" w:rsidRPr="00802FC0" w:rsidRDefault="002757D7" w:rsidP="002E57FC">
                <w:pPr>
                  <w:pStyle w:val="Heading4"/>
                  <w:spacing w:after="120" w:line="360" w:lineRule="auto"/>
                  <w:jc w:val="right"/>
                  <w:rPr>
                    <w:b w:val="0"/>
                    <w:bCs/>
                  </w:rPr>
                </w:pPr>
                <w:r w:rsidRPr="00802FC0">
                  <w:rPr>
                    <w:b w:val="0"/>
                    <w:bCs/>
                  </w:rPr>
                  <w:t>49,777</w:t>
                </w:r>
              </w:p>
            </w:tc>
          </w:tr>
          <w:tr w:rsidR="002757D7" w:rsidRPr="002757D7" w14:paraId="0651ACFC" w14:textId="77777777" w:rsidTr="006042A1">
            <w:trPr>
              <w:cantSplit/>
              <w:trHeight w:val="312"/>
            </w:trPr>
            <w:tc>
              <w:tcPr>
                <w:tcW w:w="4020" w:type="dxa"/>
                <w:noWrap/>
                <w:hideMark/>
              </w:tcPr>
              <w:p w14:paraId="474D64DE" w14:textId="77777777" w:rsidR="002757D7" w:rsidRPr="00802FC0" w:rsidRDefault="002757D7" w:rsidP="002E57FC">
                <w:pPr>
                  <w:pStyle w:val="Heading4"/>
                  <w:spacing w:after="120" w:line="360" w:lineRule="auto"/>
                  <w:rPr>
                    <w:b w:val="0"/>
                    <w:bCs/>
                  </w:rPr>
                </w:pPr>
                <w:r w:rsidRPr="00802FC0">
                  <w:rPr>
                    <w:b w:val="0"/>
                    <w:bCs/>
                  </w:rPr>
                  <w:t> </w:t>
                </w:r>
              </w:p>
            </w:tc>
            <w:tc>
              <w:tcPr>
                <w:tcW w:w="1929" w:type="dxa"/>
                <w:noWrap/>
                <w:hideMark/>
              </w:tcPr>
              <w:p w14:paraId="7F236B71" w14:textId="77777777" w:rsidR="002757D7" w:rsidRPr="00802FC0" w:rsidRDefault="002757D7" w:rsidP="002E57FC">
                <w:pPr>
                  <w:pStyle w:val="Heading4"/>
                  <w:spacing w:after="120" w:line="360" w:lineRule="auto"/>
                  <w:jc w:val="right"/>
                  <w:rPr>
                    <w:b w:val="0"/>
                    <w:bCs/>
                  </w:rPr>
                </w:pPr>
                <w:r w:rsidRPr="00802FC0">
                  <w:rPr>
                    <w:b w:val="0"/>
                    <w:bCs/>
                  </w:rPr>
                  <w:t> </w:t>
                </w:r>
              </w:p>
            </w:tc>
            <w:tc>
              <w:tcPr>
                <w:tcW w:w="2268" w:type="dxa"/>
                <w:noWrap/>
                <w:hideMark/>
              </w:tcPr>
              <w:p w14:paraId="0CDDC33E" w14:textId="77777777" w:rsidR="002757D7" w:rsidRPr="00802FC0" w:rsidRDefault="002757D7" w:rsidP="002E57FC">
                <w:pPr>
                  <w:pStyle w:val="Heading4"/>
                  <w:spacing w:after="120" w:line="360" w:lineRule="auto"/>
                  <w:jc w:val="right"/>
                  <w:rPr>
                    <w:b w:val="0"/>
                    <w:bCs/>
                  </w:rPr>
                </w:pPr>
                <w:r w:rsidRPr="00802FC0">
                  <w:rPr>
                    <w:b w:val="0"/>
                    <w:bCs/>
                  </w:rPr>
                  <w:t> </w:t>
                </w:r>
              </w:p>
            </w:tc>
            <w:tc>
              <w:tcPr>
                <w:tcW w:w="1843" w:type="dxa"/>
                <w:noWrap/>
                <w:hideMark/>
              </w:tcPr>
              <w:p w14:paraId="3297D84C" w14:textId="77777777" w:rsidR="002757D7" w:rsidRPr="00802FC0" w:rsidRDefault="002757D7" w:rsidP="002E57FC">
                <w:pPr>
                  <w:pStyle w:val="Heading4"/>
                  <w:spacing w:after="120" w:line="360" w:lineRule="auto"/>
                  <w:jc w:val="right"/>
                  <w:rPr>
                    <w:b w:val="0"/>
                    <w:bCs/>
                  </w:rPr>
                </w:pPr>
                <w:r w:rsidRPr="00802FC0">
                  <w:rPr>
                    <w:b w:val="0"/>
                    <w:bCs/>
                  </w:rPr>
                  <w:t> </w:t>
                </w:r>
              </w:p>
            </w:tc>
          </w:tr>
          <w:tr w:rsidR="002757D7" w:rsidRPr="002757D7" w14:paraId="4A47DC0B" w14:textId="77777777" w:rsidTr="006042A1">
            <w:trPr>
              <w:cantSplit/>
              <w:trHeight w:val="324"/>
            </w:trPr>
            <w:tc>
              <w:tcPr>
                <w:tcW w:w="4020" w:type="dxa"/>
                <w:noWrap/>
                <w:hideMark/>
              </w:tcPr>
              <w:p w14:paraId="0665FD11" w14:textId="4501FAFC" w:rsidR="002757D7" w:rsidRPr="00802FC0" w:rsidRDefault="002757D7" w:rsidP="002E57FC">
                <w:pPr>
                  <w:pStyle w:val="Heading4"/>
                  <w:spacing w:after="120" w:line="360" w:lineRule="auto"/>
                  <w:rPr>
                    <w:b w:val="0"/>
                    <w:bCs/>
                  </w:rPr>
                </w:pPr>
                <w:r w:rsidRPr="00802FC0">
                  <w:rPr>
                    <w:b w:val="0"/>
                    <w:bCs/>
                  </w:rPr>
                  <w:t xml:space="preserve">Budget </w:t>
                </w:r>
                <w:r w:rsidR="006042A1">
                  <w:rPr>
                    <w:b w:val="0"/>
                    <w:bCs/>
                  </w:rPr>
                  <w:t>a</w:t>
                </w:r>
                <w:r w:rsidRPr="00802FC0">
                  <w:rPr>
                    <w:b w:val="0"/>
                    <w:bCs/>
                  </w:rPr>
                  <w:t>djustments</w:t>
                </w:r>
              </w:p>
            </w:tc>
            <w:tc>
              <w:tcPr>
                <w:tcW w:w="1929" w:type="dxa"/>
                <w:noWrap/>
                <w:hideMark/>
              </w:tcPr>
              <w:p w14:paraId="11AA2D86" w14:textId="77777777" w:rsidR="002757D7" w:rsidRPr="00802FC0" w:rsidRDefault="002757D7" w:rsidP="002E57FC">
                <w:pPr>
                  <w:pStyle w:val="Heading4"/>
                  <w:spacing w:after="120" w:line="360" w:lineRule="auto"/>
                  <w:jc w:val="right"/>
                  <w:rPr>
                    <w:b w:val="0"/>
                    <w:bCs/>
                  </w:rPr>
                </w:pPr>
                <w:r w:rsidRPr="00802FC0">
                  <w:rPr>
                    <w:b w:val="0"/>
                    <w:bCs/>
                  </w:rPr>
                  <w:t> </w:t>
                </w:r>
              </w:p>
            </w:tc>
            <w:tc>
              <w:tcPr>
                <w:tcW w:w="2268" w:type="dxa"/>
                <w:noWrap/>
                <w:hideMark/>
              </w:tcPr>
              <w:p w14:paraId="48A137EF" w14:textId="77777777" w:rsidR="002757D7" w:rsidRPr="00802FC0" w:rsidRDefault="002757D7" w:rsidP="002E57FC">
                <w:pPr>
                  <w:pStyle w:val="Heading4"/>
                  <w:spacing w:after="120" w:line="360" w:lineRule="auto"/>
                  <w:jc w:val="right"/>
                  <w:rPr>
                    <w:b w:val="0"/>
                    <w:bCs/>
                  </w:rPr>
                </w:pPr>
                <w:r w:rsidRPr="00802FC0">
                  <w:rPr>
                    <w:b w:val="0"/>
                    <w:bCs/>
                  </w:rPr>
                  <w:t> </w:t>
                </w:r>
              </w:p>
            </w:tc>
            <w:tc>
              <w:tcPr>
                <w:tcW w:w="1843" w:type="dxa"/>
                <w:noWrap/>
                <w:hideMark/>
              </w:tcPr>
              <w:p w14:paraId="6BEBA5E3" w14:textId="77777777" w:rsidR="002757D7" w:rsidRPr="00802FC0" w:rsidRDefault="002757D7" w:rsidP="002E57FC">
                <w:pPr>
                  <w:pStyle w:val="Heading4"/>
                  <w:spacing w:after="120" w:line="360" w:lineRule="auto"/>
                  <w:jc w:val="right"/>
                  <w:rPr>
                    <w:b w:val="0"/>
                    <w:bCs/>
                  </w:rPr>
                </w:pPr>
                <w:r w:rsidRPr="00802FC0">
                  <w:rPr>
                    <w:b w:val="0"/>
                    <w:bCs/>
                  </w:rPr>
                  <w:t> </w:t>
                </w:r>
              </w:p>
            </w:tc>
          </w:tr>
          <w:tr w:rsidR="002757D7" w:rsidRPr="002757D7" w14:paraId="2DA16DAE" w14:textId="77777777" w:rsidTr="006042A1">
            <w:trPr>
              <w:cantSplit/>
              <w:trHeight w:val="312"/>
            </w:trPr>
            <w:tc>
              <w:tcPr>
                <w:tcW w:w="4020" w:type="dxa"/>
                <w:noWrap/>
                <w:hideMark/>
              </w:tcPr>
              <w:p w14:paraId="41D15F19" w14:textId="09FE92F9" w:rsidR="002757D7" w:rsidRPr="00802FC0" w:rsidRDefault="002757D7" w:rsidP="002E57FC">
                <w:pPr>
                  <w:pStyle w:val="Heading4"/>
                  <w:spacing w:after="120" w:line="360" w:lineRule="auto"/>
                  <w:rPr>
                    <w:b w:val="0"/>
                    <w:bCs/>
                  </w:rPr>
                </w:pPr>
                <w:r w:rsidRPr="00802FC0">
                  <w:rPr>
                    <w:b w:val="0"/>
                    <w:bCs/>
                  </w:rPr>
                  <w:t>Regulation systems</w:t>
                </w:r>
              </w:p>
            </w:tc>
            <w:tc>
              <w:tcPr>
                <w:tcW w:w="1929" w:type="dxa"/>
                <w:noWrap/>
                <w:hideMark/>
              </w:tcPr>
              <w:p w14:paraId="183A1867" w14:textId="77777777" w:rsidR="002757D7" w:rsidRPr="00802FC0" w:rsidRDefault="002757D7" w:rsidP="002E57FC">
                <w:pPr>
                  <w:pStyle w:val="Heading4"/>
                  <w:spacing w:after="120" w:line="360" w:lineRule="auto"/>
                  <w:jc w:val="right"/>
                  <w:rPr>
                    <w:b w:val="0"/>
                    <w:bCs/>
                  </w:rPr>
                </w:pPr>
                <w:r w:rsidRPr="00802FC0">
                  <w:rPr>
                    <w:b w:val="0"/>
                    <w:bCs/>
                  </w:rPr>
                  <w:t>995</w:t>
                </w:r>
              </w:p>
            </w:tc>
            <w:tc>
              <w:tcPr>
                <w:tcW w:w="2268" w:type="dxa"/>
                <w:noWrap/>
                <w:hideMark/>
              </w:tcPr>
              <w:p w14:paraId="07C6E47D" w14:textId="77777777" w:rsidR="002757D7" w:rsidRPr="00802FC0" w:rsidRDefault="002757D7" w:rsidP="002E57FC">
                <w:pPr>
                  <w:pStyle w:val="Heading4"/>
                  <w:spacing w:after="120" w:line="360" w:lineRule="auto"/>
                  <w:jc w:val="right"/>
                  <w:rPr>
                    <w:b w:val="0"/>
                    <w:bCs/>
                  </w:rPr>
                </w:pPr>
                <w:r w:rsidRPr="00802FC0">
                  <w:rPr>
                    <w:b w:val="0"/>
                    <w:bCs/>
                  </w:rPr>
                  <w:t> </w:t>
                </w:r>
              </w:p>
            </w:tc>
            <w:tc>
              <w:tcPr>
                <w:tcW w:w="1843" w:type="dxa"/>
                <w:noWrap/>
                <w:hideMark/>
              </w:tcPr>
              <w:p w14:paraId="7438444F" w14:textId="77777777" w:rsidR="002757D7" w:rsidRPr="00802FC0" w:rsidRDefault="002757D7" w:rsidP="002E57FC">
                <w:pPr>
                  <w:pStyle w:val="Heading4"/>
                  <w:spacing w:after="120" w:line="360" w:lineRule="auto"/>
                  <w:jc w:val="right"/>
                  <w:rPr>
                    <w:b w:val="0"/>
                    <w:bCs/>
                  </w:rPr>
                </w:pPr>
                <w:r w:rsidRPr="00802FC0">
                  <w:rPr>
                    <w:b w:val="0"/>
                    <w:bCs/>
                  </w:rPr>
                  <w:t>995</w:t>
                </w:r>
              </w:p>
            </w:tc>
          </w:tr>
          <w:tr w:rsidR="002757D7" w:rsidRPr="002757D7" w14:paraId="08C41AB9" w14:textId="77777777" w:rsidTr="006042A1">
            <w:trPr>
              <w:cantSplit/>
              <w:trHeight w:val="312"/>
            </w:trPr>
            <w:tc>
              <w:tcPr>
                <w:tcW w:w="4020" w:type="dxa"/>
                <w:noWrap/>
                <w:hideMark/>
              </w:tcPr>
              <w:p w14:paraId="24F9841B" w14:textId="77777777" w:rsidR="002757D7" w:rsidRPr="00802FC0" w:rsidRDefault="002757D7" w:rsidP="002E57FC">
                <w:pPr>
                  <w:pStyle w:val="Heading4"/>
                  <w:spacing w:after="120" w:line="360" w:lineRule="auto"/>
                  <w:rPr>
                    <w:b w:val="0"/>
                    <w:bCs/>
                  </w:rPr>
                </w:pPr>
                <w:r w:rsidRPr="00802FC0">
                  <w:rPr>
                    <w:b w:val="0"/>
                    <w:bCs/>
                  </w:rPr>
                  <w:t xml:space="preserve">Multi agency fish farm consenting </w:t>
                </w:r>
              </w:p>
            </w:tc>
            <w:tc>
              <w:tcPr>
                <w:tcW w:w="1929" w:type="dxa"/>
                <w:noWrap/>
                <w:hideMark/>
              </w:tcPr>
              <w:p w14:paraId="134DB5C3" w14:textId="77777777" w:rsidR="002757D7" w:rsidRPr="00802FC0" w:rsidRDefault="002757D7" w:rsidP="002E57FC">
                <w:pPr>
                  <w:pStyle w:val="Heading4"/>
                  <w:spacing w:after="120" w:line="360" w:lineRule="auto"/>
                  <w:jc w:val="right"/>
                  <w:rPr>
                    <w:b w:val="0"/>
                    <w:bCs/>
                  </w:rPr>
                </w:pPr>
                <w:r w:rsidRPr="00802FC0">
                  <w:rPr>
                    <w:b w:val="0"/>
                    <w:bCs/>
                  </w:rPr>
                  <w:t>261</w:t>
                </w:r>
              </w:p>
            </w:tc>
            <w:tc>
              <w:tcPr>
                <w:tcW w:w="2268" w:type="dxa"/>
                <w:noWrap/>
                <w:hideMark/>
              </w:tcPr>
              <w:p w14:paraId="2742A4ED" w14:textId="77777777" w:rsidR="002757D7" w:rsidRPr="00802FC0" w:rsidRDefault="002757D7" w:rsidP="002E57FC">
                <w:pPr>
                  <w:pStyle w:val="Heading4"/>
                  <w:spacing w:after="120" w:line="360" w:lineRule="auto"/>
                  <w:jc w:val="right"/>
                  <w:rPr>
                    <w:b w:val="0"/>
                    <w:bCs/>
                  </w:rPr>
                </w:pPr>
                <w:r w:rsidRPr="00802FC0">
                  <w:rPr>
                    <w:b w:val="0"/>
                    <w:bCs/>
                  </w:rPr>
                  <w:t> </w:t>
                </w:r>
              </w:p>
            </w:tc>
            <w:tc>
              <w:tcPr>
                <w:tcW w:w="1843" w:type="dxa"/>
                <w:noWrap/>
                <w:hideMark/>
              </w:tcPr>
              <w:p w14:paraId="42BDDC95" w14:textId="77777777" w:rsidR="002757D7" w:rsidRPr="00802FC0" w:rsidRDefault="002757D7" w:rsidP="002E57FC">
                <w:pPr>
                  <w:pStyle w:val="Heading4"/>
                  <w:spacing w:after="120" w:line="360" w:lineRule="auto"/>
                  <w:jc w:val="right"/>
                  <w:rPr>
                    <w:b w:val="0"/>
                    <w:bCs/>
                  </w:rPr>
                </w:pPr>
                <w:r w:rsidRPr="00802FC0">
                  <w:rPr>
                    <w:b w:val="0"/>
                    <w:bCs/>
                  </w:rPr>
                  <w:t>261</w:t>
                </w:r>
              </w:p>
            </w:tc>
          </w:tr>
          <w:tr w:rsidR="002757D7" w:rsidRPr="002757D7" w14:paraId="7088BCA9" w14:textId="77777777" w:rsidTr="006042A1">
            <w:trPr>
              <w:cantSplit/>
              <w:trHeight w:val="312"/>
            </w:trPr>
            <w:tc>
              <w:tcPr>
                <w:tcW w:w="4020" w:type="dxa"/>
                <w:noWrap/>
                <w:hideMark/>
              </w:tcPr>
              <w:p w14:paraId="6641CF78" w14:textId="77777777" w:rsidR="002757D7" w:rsidRPr="00802FC0" w:rsidRDefault="002757D7" w:rsidP="002E57FC">
                <w:pPr>
                  <w:pStyle w:val="Heading4"/>
                  <w:spacing w:after="120" w:line="360" w:lineRule="auto"/>
                  <w:rPr>
                    <w:b w:val="0"/>
                    <w:bCs/>
                  </w:rPr>
                </w:pPr>
                <w:r w:rsidRPr="00802FC0">
                  <w:rPr>
                    <w:b w:val="0"/>
                    <w:bCs/>
                  </w:rPr>
                  <w:t>Water Environment Fund</w:t>
                </w:r>
              </w:p>
            </w:tc>
            <w:tc>
              <w:tcPr>
                <w:tcW w:w="1929" w:type="dxa"/>
                <w:noWrap/>
                <w:hideMark/>
              </w:tcPr>
              <w:p w14:paraId="05C12B81" w14:textId="77777777" w:rsidR="002757D7" w:rsidRPr="00802FC0" w:rsidRDefault="002757D7" w:rsidP="002E57FC">
                <w:pPr>
                  <w:pStyle w:val="Heading4"/>
                  <w:spacing w:after="120" w:line="360" w:lineRule="auto"/>
                  <w:jc w:val="right"/>
                  <w:rPr>
                    <w:b w:val="0"/>
                    <w:bCs/>
                  </w:rPr>
                </w:pPr>
                <w:r w:rsidRPr="00802FC0">
                  <w:rPr>
                    <w:b w:val="0"/>
                    <w:bCs/>
                  </w:rPr>
                  <w:t>1,887</w:t>
                </w:r>
              </w:p>
            </w:tc>
            <w:tc>
              <w:tcPr>
                <w:tcW w:w="2268" w:type="dxa"/>
                <w:noWrap/>
                <w:hideMark/>
              </w:tcPr>
              <w:p w14:paraId="5EAE9F78" w14:textId="77777777" w:rsidR="002757D7" w:rsidRPr="00802FC0" w:rsidRDefault="002757D7" w:rsidP="002E57FC">
                <w:pPr>
                  <w:pStyle w:val="Heading4"/>
                  <w:spacing w:after="120" w:line="360" w:lineRule="auto"/>
                  <w:jc w:val="right"/>
                  <w:rPr>
                    <w:b w:val="0"/>
                    <w:bCs/>
                  </w:rPr>
                </w:pPr>
                <w:r w:rsidRPr="00802FC0">
                  <w:rPr>
                    <w:b w:val="0"/>
                    <w:bCs/>
                  </w:rPr>
                  <w:t> </w:t>
                </w:r>
              </w:p>
            </w:tc>
            <w:tc>
              <w:tcPr>
                <w:tcW w:w="1843" w:type="dxa"/>
                <w:noWrap/>
                <w:hideMark/>
              </w:tcPr>
              <w:p w14:paraId="6C28B3DB" w14:textId="77777777" w:rsidR="002757D7" w:rsidRPr="00802FC0" w:rsidRDefault="002757D7" w:rsidP="002E57FC">
                <w:pPr>
                  <w:pStyle w:val="Heading4"/>
                  <w:spacing w:after="120" w:line="360" w:lineRule="auto"/>
                  <w:jc w:val="right"/>
                  <w:rPr>
                    <w:b w:val="0"/>
                    <w:bCs/>
                  </w:rPr>
                </w:pPr>
                <w:r w:rsidRPr="00802FC0">
                  <w:rPr>
                    <w:b w:val="0"/>
                    <w:bCs/>
                  </w:rPr>
                  <w:t>1,887</w:t>
                </w:r>
              </w:p>
            </w:tc>
          </w:tr>
          <w:tr w:rsidR="002757D7" w:rsidRPr="002757D7" w14:paraId="584623D1" w14:textId="77777777" w:rsidTr="006042A1">
            <w:trPr>
              <w:cantSplit/>
              <w:trHeight w:val="312"/>
            </w:trPr>
            <w:tc>
              <w:tcPr>
                <w:tcW w:w="4020" w:type="dxa"/>
                <w:noWrap/>
                <w:hideMark/>
              </w:tcPr>
              <w:p w14:paraId="48BA9302" w14:textId="77777777" w:rsidR="002757D7" w:rsidRPr="00802FC0" w:rsidRDefault="002757D7" w:rsidP="002E57FC">
                <w:pPr>
                  <w:pStyle w:val="Heading4"/>
                  <w:spacing w:after="120" w:line="360" w:lineRule="auto"/>
                  <w:rPr>
                    <w:b w:val="0"/>
                    <w:bCs/>
                  </w:rPr>
                </w:pPr>
                <w:r w:rsidRPr="00802FC0">
                  <w:rPr>
                    <w:b w:val="0"/>
                    <w:bCs/>
                  </w:rPr>
                  <w:t>Flood Advisory Service</w:t>
                </w:r>
              </w:p>
            </w:tc>
            <w:tc>
              <w:tcPr>
                <w:tcW w:w="1929" w:type="dxa"/>
                <w:noWrap/>
                <w:hideMark/>
              </w:tcPr>
              <w:p w14:paraId="38A6980E" w14:textId="77777777" w:rsidR="002757D7" w:rsidRPr="00802FC0" w:rsidRDefault="002757D7" w:rsidP="002E57FC">
                <w:pPr>
                  <w:pStyle w:val="Heading4"/>
                  <w:spacing w:after="120" w:line="360" w:lineRule="auto"/>
                  <w:jc w:val="right"/>
                  <w:rPr>
                    <w:b w:val="0"/>
                    <w:bCs/>
                  </w:rPr>
                </w:pPr>
                <w:r w:rsidRPr="00802FC0">
                  <w:rPr>
                    <w:b w:val="0"/>
                    <w:bCs/>
                  </w:rPr>
                  <w:t>150</w:t>
                </w:r>
              </w:p>
            </w:tc>
            <w:tc>
              <w:tcPr>
                <w:tcW w:w="2268" w:type="dxa"/>
                <w:noWrap/>
                <w:hideMark/>
              </w:tcPr>
              <w:p w14:paraId="6A24333D" w14:textId="77777777" w:rsidR="002757D7" w:rsidRPr="00802FC0" w:rsidRDefault="002757D7" w:rsidP="002E57FC">
                <w:pPr>
                  <w:pStyle w:val="Heading4"/>
                  <w:spacing w:after="120" w:line="360" w:lineRule="auto"/>
                  <w:jc w:val="right"/>
                  <w:rPr>
                    <w:b w:val="0"/>
                    <w:bCs/>
                  </w:rPr>
                </w:pPr>
                <w:r w:rsidRPr="00802FC0">
                  <w:rPr>
                    <w:b w:val="0"/>
                    <w:bCs/>
                  </w:rPr>
                  <w:t> </w:t>
                </w:r>
              </w:p>
            </w:tc>
            <w:tc>
              <w:tcPr>
                <w:tcW w:w="1843" w:type="dxa"/>
                <w:noWrap/>
                <w:hideMark/>
              </w:tcPr>
              <w:p w14:paraId="09CEA96B" w14:textId="77777777" w:rsidR="002757D7" w:rsidRPr="00802FC0" w:rsidRDefault="002757D7" w:rsidP="002E57FC">
                <w:pPr>
                  <w:pStyle w:val="Heading4"/>
                  <w:spacing w:after="120" w:line="360" w:lineRule="auto"/>
                  <w:jc w:val="right"/>
                  <w:rPr>
                    <w:b w:val="0"/>
                    <w:bCs/>
                  </w:rPr>
                </w:pPr>
                <w:r w:rsidRPr="00802FC0">
                  <w:rPr>
                    <w:b w:val="0"/>
                    <w:bCs/>
                  </w:rPr>
                  <w:t>150</w:t>
                </w:r>
              </w:p>
            </w:tc>
          </w:tr>
          <w:tr w:rsidR="002757D7" w:rsidRPr="002757D7" w14:paraId="2F72D050" w14:textId="77777777" w:rsidTr="006042A1">
            <w:trPr>
              <w:cantSplit/>
              <w:trHeight w:val="324"/>
            </w:trPr>
            <w:tc>
              <w:tcPr>
                <w:tcW w:w="4020" w:type="dxa"/>
                <w:noWrap/>
                <w:hideMark/>
              </w:tcPr>
              <w:p w14:paraId="15D900BD" w14:textId="28FA8580" w:rsidR="002757D7" w:rsidRPr="002757D7" w:rsidRDefault="002757D7" w:rsidP="002E57FC">
                <w:pPr>
                  <w:pStyle w:val="Heading4"/>
                  <w:spacing w:after="120" w:line="360" w:lineRule="auto"/>
                  <w:rPr>
                    <w:bCs/>
                  </w:rPr>
                </w:pPr>
                <w:r w:rsidRPr="002757D7">
                  <w:rPr>
                    <w:bCs/>
                  </w:rPr>
                  <w:t xml:space="preserve">Total </w:t>
                </w:r>
                <w:r w:rsidR="006042A1">
                  <w:rPr>
                    <w:bCs/>
                  </w:rPr>
                  <w:t>a</w:t>
                </w:r>
                <w:r w:rsidRPr="002757D7">
                  <w:rPr>
                    <w:bCs/>
                  </w:rPr>
                  <w:t>djustments</w:t>
                </w:r>
              </w:p>
            </w:tc>
            <w:tc>
              <w:tcPr>
                <w:tcW w:w="1929" w:type="dxa"/>
                <w:noWrap/>
                <w:hideMark/>
              </w:tcPr>
              <w:p w14:paraId="40FE1725" w14:textId="77777777" w:rsidR="002757D7" w:rsidRPr="002757D7" w:rsidRDefault="002757D7" w:rsidP="002E57FC">
                <w:pPr>
                  <w:pStyle w:val="Heading4"/>
                  <w:spacing w:after="120" w:line="360" w:lineRule="auto"/>
                  <w:jc w:val="right"/>
                  <w:rPr>
                    <w:bCs/>
                  </w:rPr>
                </w:pPr>
                <w:r w:rsidRPr="002757D7">
                  <w:rPr>
                    <w:bCs/>
                  </w:rPr>
                  <w:t>3,293</w:t>
                </w:r>
              </w:p>
            </w:tc>
            <w:tc>
              <w:tcPr>
                <w:tcW w:w="2268" w:type="dxa"/>
                <w:noWrap/>
                <w:hideMark/>
              </w:tcPr>
              <w:p w14:paraId="6ECAC107" w14:textId="77777777" w:rsidR="002757D7" w:rsidRPr="002757D7" w:rsidRDefault="002757D7" w:rsidP="002E57FC">
                <w:pPr>
                  <w:pStyle w:val="Heading4"/>
                  <w:spacing w:after="120" w:line="360" w:lineRule="auto"/>
                  <w:jc w:val="right"/>
                  <w:rPr>
                    <w:bCs/>
                  </w:rPr>
                </w:pPr>
                <w:r w:rsidRPr="002757D7">
                  <w:rPr>
                    <w:bCs/>
                  </w:rPr>
                  <w:t>0</w:t>
                </w:r>
              </w:p>
            </w:tc>
            <w:tc>
              <w:tcPr>
                <w:tcW w:w="1843" w:type="dxa"/>
                <w:noWrap/>
                <w:hideMark/>
              </w:tcPr>
              <w:p w14:paraId="735C1A88" w14:textId="77777777" w:rsidR="002757D7" w:rsidRPr="002757D7" w:rsidRDefault="002757D7" w:rsidP="002E57FC">
                <w:pPr>
                  <w:pStyle w:val="Heading4"/>
                  <w:spacing w:after="120" w:line="360" w:lineRule="auto"/>
                  <w:jc w:val="right"/>
                  <w:rPr>
                    <w:bCs/>
                  </w:rPr>
                </w:pPr>
                <w:r w:rsidRPr="002757D7">
                  <w:rPr>
                    <w:bCs/>
                  </w:rPr>
                  <w:t>3,293</w:t>
                </w:r>
              </w:p>
            </w:tc>
          </w:tr>
          <w:tr w:rsidR="002757D7" w:rsidRPr="002757D7" w14:paraId="2325C3EA" w14:textId="77777777" w:rsidTr="006042A1">
            <w:trPr>
              <w:cantSplit/>
              <w:trHeight w:val="324"/>
            </w:trPr>
            <w:tc>
              <w:tcPr>
                <w:tcW w:w="4020" w:type="dxa"/>
                <w:noWrap/>
                <w:hideMark/>
              </w:tcPr>
              <w:p w14:paraId="62AE5F1B" w14:textId="77777777" w:rsidR="002757D7" w:rsidRPr="002757D7" w:rsidRDefault="002757D7" w:rsidP="002E57FC">
                <w:pPr>
                  <w:pStyle w:val="Heading4"/>
                  <w:spacing w:after="120" w:line="360" w:lineRule="auto"/>
                  <w:rPr>
                    <w:bCs/>
                  </w:rPr>
                </w:pPr>
              </w:p>
            </w:tc>
            <w:tc>
              <w:tcPr>
                <w:tcW w:w="1929" w:type="dxa"/>
                <w:noWrap/>
                <w:hideMark/>
              </w:tcPr>
              <w:p w14:paraId="56838B0A" w14:textId="77777777" w:rsidR="002757D7" w:rsidRPr="002757D7" w:rsidRDefault="002757D7" w:rsidP="002E57FC">
                <w:pPr>
                  <w:pStyle w:val="Heading4"/>
                  <w:spacing w:after="120" w:line="360" w:lineRule="auto"/>
                  <w:jc w:val="right"/>
                </w:pPr>
              </w:p>
            </w:tc>
            <w:tc>
              <w:tcPr>
                <w:tcW w:w="2268" w:type="dxa"/>
                <w:noWrap/>
                <w:hideMark/>
              </w:tcPr>
              <w:p w14:paraId="0F79DE9F" w14:textId="77777777" w:rsidR="002757D7" w:rsidRPr="002757D7" w:rsidRDefault="002757D7" w:rsidP="002E57FC">
                <w:pPr>
                  <w:pStyle w:val="Heading4"/>
                  <w:spacing w:after="120" w:line="360" w:lineRule="auto"/>
                  <w:jc w:val="right"/>
                </w:pPr>
              </w:p>
            </w:tc>
            <w:tc>
              <w:tcPr>
                <w:tcW w:w="1843" w:type="dxa"/>
                <w:noWrap/>
                <w:hideMark/>
              </w:tcPr>
              <w:p w14:paraId="515E2106" w14:textId="77777777" w:rsidR="002757D7" w:rsidRPr="002757D7" w:rsidRDefault="002757D7" w:rsidP="002E57FC">
                <w:pPr>
                  <w:pStyle w:val="Heading4"/>
                  <w:spacing w:after="120" w:line="360" w:lineRule="auto"/>
                  <w:jc w:val="right"/>
                </w:pPr>
              </w:p>
            </w:tc>
          </w:tr>
          <w:tr w:rsidR="002757D7" w:rsidRPr="002757D7" w14:paraId="4F8813EB" w14:textId="77777777" w:rsidTr="006042A1">
            <w:trPr>
              <w:cantSplit/>
              <w:trHeight w:val="324"/>
            </w:trPr>
            <w:tc>
              <w:tcPr>
                <w:tcW w:w="4020" w:type="dxa"/>
                <w:noWrap/>
                <w:hideMark/>
              </w:tcPr>
              <w:p w14:paraId="7AD9AE96" w14:textId="527273EC" w:rsidR="002757D7" w:rsidRPr="002757D7" w:rsidRDefault="002757D7" w:rsidP="002E57FC">
                <w:pPr>
                  <w:pStyle w:val="Heading4"/>
                  <w:spacing w:after="120" w:line="360" w:lineRule="auto"/>
                  <w:rPr>
                    <w:bCs/>
                  </w:rPr>
                </w:pPr>
                <w:r w:rsidRPr="002757D7">
                  <w:rPr>
                    <w:bCs/>
                  </w:rPr>
                  <w:t xml:space="preserve">Total </w:t>
                </w:r>
                <w:r w:rsidR="006042A1">
                  <w:rPr>
                    <w:bCs/>
                  </w:rPr>
                  <w:t>r</w:t>
                </w:r>
                <w:r w:rsidRPr="002757D7">
                  <w:rPr>
                    <w:bCs/>
                  </w:rPr>
                  <w:t xml:space="preserve">evenue </w:t>
                </w:r>
                <w:r w:rsidR="006042A1">
                  <w:rPr>
                    <w:bCs/>
                  </w:rPr>
                  <w:t>b</w:t>
                </w:r>
                <w:r w:rsidRPr="002757D7">
                  <w:rPr>
                    <w:bCs/>
                  </w:rPr>
                  <w:t>udget</w:t>
                </w:r>
              </w:p>
            </w:tc>
            <w:tc>
              <w:tcPr>
                <w:tcW w:w="1929" w:type="dxa"/>
                <w:noWrap/>
                <w:hideMark/>
              </w:tcPr>
              <w:p w14:paraId="0C0BB4BE" w14:textId="77777777" w:rsidR="002757D7" w:rsidRPr="002757D7" w:rsidRDefault="002757D7" w:rsidP="002E57FC">
                <w:pPr>
                  <w:pStyle w:val="Heading4"/>
                  <w:spacing w:after="120" w:line="360" w:lineRule="auto"/>
                  <w:jc w:val="right"/>
                  <w:rPr>
                    <w:bCs/>
                  </w:rPr>
                </w:pPr>
                <w:r w:rsidRPr="002757D7">
                  <w:rPr>
                    <w:bCs/>
                  </w:rPr>
                  <w:t>45,693</w:t>
                </w:r>
              </w:p>
            </w:tc>
            <w:tc>
              <w:tcPr>
                <w:tcW w:w="2268" w:type="dxa"/>
                <w:noWrap/>
                <w:hideMark/>
              </w:tcPr>
              <w:p w14:paraId="3821A76E" w14:textId="77777777" w:rsidR="002757D7" w:rsidRPr="002757D7" w:rsidRDefault="002757D7" w:rsidP="002E57FC">
                <w:pPr>
                  <w:pStyle w:val="Heading4"/>
                  <w:spacing w:after="120" w:line="360" w:lineRule="auto"/>
                  <w:jc w:val="right"/>
                  <w:rPr>
                    <w:bCs/>
                  </w:rPr>
                </w:pPr>
                <w:r w:rsidRPr="002757D7">
                  <w:rPr>
                    <w:bCs/>
                  </w:rPr>
                  <w:t>7,377</w:t>
                </w:r>
              </w:p>
            </w:tc>
            <w:tc>
              <w:tcPr>
                <w:tcW w:w="1843" w:type="dxa"/>
                <w:noWrap/>
                <w:hideMark/>
              </w:tcPr>
              <w:p w14:paraId="7E20E898" w14:textId="77777777" w:rsidR="002757D7" w:rsidRPr="002757D7" w:rsidRDefault="002757D7" w:rsidP="002E57FC">
                <w:pPr>
                  <w:pStyle w:val="Heading4"/>
                  <w:spacing w:after="120" w:line="360" w:lineRule="auto"/>
                  <w:jc w:val="right"/>
                  <w:rPr>
                    <w:bCs/>
                  </w:rPr>
                </w:pPr>
                <w:r w:rsidRPr="002757D7">
                  <w:rPr>
                    <w:bCs/>
                  </w:rPr>
                  <w:t>53,070</w:t>
                </w:r>
              </w:p>
            </w:tc>
          </w:tr>
        </w:tbl>
        <w:p w14:paraId="1E224B74" w14:textId="7D0F8641" w:rsidR="00ED0D56" w:rsidRDefault="00ED0D56" w:rsidP="00880730">
          <w:pPr>
            <w:pStyle w:val="ListParagraph"/>
            <w:ind w:left="1077"/>
            <w:contextualSpacing w:val="0"/>
          </w:pPr>
        </w:p>
        <w:p w14:paraId="4682A846" w14:textId="68333BEA" w:rsidR="007A5E9A" w:rsidRDefault="002E2B17" w:rsidP="00EF1D83">
          <w:pPr>
            <w:pStyle w:val="ListParagraph"/>
            <w:numPr>
              <w:ilvl w:val="0"/>
              <w:numId w:val="11"/>
            </w:numPr>
            <w:spacing w:after="120"/>
            <w:ind w:left="1077" w:hanging="651"/>
          </w:pPr>
          <w:r>
            <w:t xml:space="preserve">SEPA’s revenue GiA </w:t>
          </w:r>
          <w:r w:rsidR="008D5351">
            <w:t xml:space="preserve">is presented in Table 2 above </w:t>
          </w:r>
          <w:r>
            <w:t>at £</w:t>
          </w:r>
          <w:r w:rsidR="00CA3468">
            <w:t>53</w:t>
          </w:r>
          <w:r>
            <w:t>.</w:t>
          </w:r>
          <w:r w:rsidR="00CA3468">
            <w:t>1</w:t>
          </w:r>
          <w:r>
            <w:t>m. This is an increase of £</w:t>
          </w:r>
          <w:r w:rsidR="00CA3468">
            <w:t>3</w:t>
          </w:r>
          <w:r w:rsidR="00EB4009">
            <w:t>.</w:t>
          </w:r>
          <w:r w:rsidR="00CA3468">
            <w:t>3</w:t>
          </w:r>
          <w:r>
            <w:t>m since the budget was set</w:t>
          </w:r>
          <w:r w:rsidR="00060A61">
            <w:t>. T</w:t>
          </w:r>
          <w:r>
            <w:t xml:space="preserve">he table </w:t>
          </w:r>
          <w:r w:rsidR="00AF4A9A">
            <w:t>above</w:t>
          </w:r>
          <w:r>
            <w:t xml:space="preserve"> provides</w:t>
          </w:r>
          <w:r w:rsidR="00FF4DE4">
            <w:t xml:space="preserve"> a</w:t>
          </w:r>
          <w:r>
            <w:t xml:space="preserve"> breakdown of confirmed in year budget </w:t>
          </w:r>
          <w:r w:rsidR="445CBF73">
            <w:t>adjustments;</w:t>
          </w:r>
          <w:r w:rsidR="000D2490">
            <w:t xml:space="preserve"> these will be fully offset by increased expenditure.</w:t>
          </w:r>
        </w:p>
        <w:p w14:paraId="7BF3B42F" w14:textId="39C7BDAA" w:rsidR="00D5176F" w:rsidRDefault="00D5176F" w:rsidP="00D5176F">
          <w:pPr>
            <w:pStyle w:val="ListParagraph"/>
            <w:spacing w:after="120"/>
            <w:ind w:left="1077"/>
            <w:contextualSpacing w:val="0"/>
          </w:pPr>
        </w:p>
        <w:p w14:paraId="306EB224" w14:textId="512C82AD" w:rsidR="00F455B9" w:rsidRDefault="00F455B9" w:rsidP="00F455B9">
          <w:pPr>
            <w:pStyle w:val="Heading4"/>
          </w:pPr>
          <w:r>
            <w:lastRenderedPageBreak/>
            <w:t>Charging Scheme income</w:t>
          </w:r>
          <w:r w:rsidR="0093578D">
            <w:t xml:space="preserve"> - £</w:t>
          </w:r>
          <w:r w:rsidR="00AD6AA9">
            <w:t>5</w:t>
          </w:r>
          <w:r w:rsidR="00097003">
            <w:t>6</w:t>
          </w:r>
          <w:r w:rsidR="00821186">
            <w:t>.</w:t>
          </w:r>
          <w:r w:rsidR="00097003">
            <w:t>0</w:t>
          </w:r>
          <w:r w:rsidR="0093578D">
            <w:t xml:space="preserve">m </w:t>
          </w:r>
        </w:p>
        <w:p w14:paraId="24293A40" w14:textId="777E78C4" w:rsidR="00884BF2" w:rsidRPr="00884BF2" w:rsidRDefault="00867A16" w:rsidP="00B6043B">
          <w:pPr>
            <w:pStyle w:val="ListParagraph"/>
            <w:numPr>
              <w:ilvl w:val="0"/>
              <w:numId w:val="11"/>
            </w:numPr>
            <w:spacing w:after="120"/>
            <w:ind w:left="1077" w:hanging="652"/>
            <w:contextualSpacing w:val="0"/>
          </w:pPr>
          <w:bookmarkStart w:id="2" w:name="_Hlk172105149"/>
          <w:r>
            <w:t xml:space="preserve">Graph </w:t>
          </w:r>
          <w:r w:rsidR="007A613C">
            <w:t>1</w:t>
          </w:r>
          <w:r w:rsidR="00884BF2" w:rsidRPr="00884BF2">
            <w:t xml:space="preserve"> shows </w:t>
          </w:r>
          <w:r w:rsidR="00873C1C">
            <w:t>C</w:t>
          </w:r>
          <w:r w:rsidR="00884BF2" w:rsidRPr="00884BF2">
            <w:t xml:space="preserve">harging </w:t>
          </w:r>
          <w:r w:rsidR="00873C1C">
            <w:t>S</w:t>
          </w:r>
          <w:r w:rsidR="00884BF2" w:rsidRPr="00884BF2">
            <w:t xml:space="preserve">cheme income by media. The full year </w:t>
          </w:r>
          <w:r w:rsidR="00DB3249" w:rsidRPr="00884BF2">
            <w:t xml:space="preserve">income </w:t>
          </w:r>
          <w:r w:rsidR="00BF4D7E" w:rsidRPr="00884BF2">
            <w:t xml:space="preserve">outturn </w:t>
          </w:r>
          <w:r w:rsidR="008D7613">
            <w:t xml:space="preserve">is </w:t>
          </w:r>
          <w:r w:rsidR="00BF4D7E" w:rsidRPr="00884BF2">
            <w:t>£</w:t>
          </w:r>
          <w:r w:rsidR="00AD6AA9">
            <w:t>5</w:t>
          </w:r>
          <w:r w:rsidR="00097003">
            <w:t>6</w:t>
          </w:r>
          <w:r w:rsidR="00884BF2" w:rsidRPr="00884BF2">
            <w:t>m</w:t>
          </w:r>
          <w:r w:rsidR="008A1B80">
            <w:t>, which is</w:t>
          </w:r>
          <w:r w:rsidR="00884BF2" w:rsidRPr="00884BF2">
            <w:t xml:space="preserve"> </w:t>
          </w:r>
          <w:bookmarkEnd w:id="2"/>
          <w:r w:rsidR="00F821FE">
            <w:t xml:space="preserve">128k </w:t>
          </w:r>
          <w:r w:rsidR="00AD6AA9">
            <w:t>more</w:t>
          </w:r>
          <w:r w:rsidR="00884BF2" w:rsidRPr="00884BF2">
            <w:t xml:space="preserve"> than budget. This </w:t>
          </w:r>
          <w:r w:rsidR="000B2E42">
            <w:t xml:space="preserve">results in </w:t>
          </w:r>
          <w:r w:rsidR="00884BF2" w:rsidRPr="00884BF2">
            <w:t xml:space="preserve">a net </w:t>
          </w:r>
          <w:r w:rsidR="000B2E42">
            <w:t xml:space="preserve">positive </w:t>
          </w:r>
          <w:r w:rsidR="00884BF2" w:rsidRPr="00884BF2">
            <w:t xml:space="preserve">variance </w:t>
          </w:r>
          <w:r w:rsidR="0043658F">
            <w:t>which include</w:t>
          </w:r>
          <w:r w:rsidR="00660A3C">
            <w:t>s:</w:t>
          </w:r>
        </w:p>
        <w:p w14:paraId="077D3052" w14:textId="2E3ED2F0" w:rsidR="00192E84" w:rsidRPr="00192E84" w:rsidRDefault="003B43A4" w:rsidP="00192E84">
          <w:pPr>
            <w:pStyle w:val="ListParagraph"/>
            <w:numPr>
              <w:ilvl w:val="0"/>
              <w:numId w:val="2"/>
            </w:numPr>
            <w:ind w:left="1418" w:hanging="357"/>
            <w:contextualSpacing w:val="0"/>
          </w:pPr>
          <w:r w:rsidRPr="009A1621">
            <w:rPr>
              <w:b/>
              <w:bCs/>
            </w:rPr>
            <w:t>Applications</w:t>
          </w:r>
          <w:r>
            <w:t xml:space="preserve"> - </w:t>
          </w:r>
          <w:r w:rsidR="00884BF2" w:rsidRPr="00884BF2">
            <w:t>£0.</w:t>
          </w:r>
          <w:r w:rsidR="0009484A">
            <w:t>9</w:t>
          </w:r>
          <w:r w:rsidR="00884BF2" w:rsidRPr="00884BF2">
            <w:t xml:space="preserve">m </w:t>
          </w:r>
          <w:r w:rsidR="0035392A">
            <w:t>positive</w:t>
          </w:r>
          <w:r w:rsidR="00884BF2" w:rsidRPr="00884BF2">
            <w:t xml:space="preserve"> variance in </w:t>
          </w:r>
          <w:r w:rsidR="00CE2E70">
            <w:t xml:space="preserve">the </w:t>
          </w:r>
          <w:r w:rsidR="00BF4D7E">
            <w:t>a</w:t>
          </w:r>
          <w:r w:rsidR="00884BF2" w:rsidRPr="00884BF2">
            <w:t xml:space="preserve">pplications forecast. </w:t>
          </w:r>
          <w:r w:rsidR="00192E84" w:rsidRPr="00192E84">
            <w:t>The increase in applications income is mainly due to higher than budgeted applications from waste.</w:t>
          </w:r>
        </w:p>
        <w:p w14:paraId="4A3ACE7F" w14:textId="37624E2C" w:rsidR="00CE2E70" w:rsidRPr="00A43CAD" w:rsidRDefault="008D5022" w:rsidP="00A43CAD">
          <w:pPr>
            <w:pStyle w:val="ListParagraph"/>
            <w:numPr>
              <w:ilvl w:val="0"/>
              <w:numId w:val="2"/>
            </w:numPr>
            <w:ind w:left="1418" w:hanging="357"/>
            <w:contextualSpacing w:val="0"/>
            <w:rPr>
              <w:b/>
              <w:bCs/>
              <w:u w:val="single"/>
            </w:rPr>
          </w:pPr>
          <w:r w:rsidRPr="009A1621">
            <w:rPr>
              <w:b/>
              <w:bCs/>
            </w:rPr>
            <w:t xml:space="preserve">Subsistence </w:t>
          </w:r>
          <w:r w:rsidRPr="009A1621">
            <w:t xml:space="preserve">- </w:t>
          </w:r>
          <w:r w:rsidR="00884BF2" w:rsidRPr="00E75FFF">
            <w:t>£0.</w:t>
          </w:r>
          <w:r w:rsidR="00195BA9">
            <w:t>77</w:t>
          </w:r>
          <w:r w:rsidR="00884BF2" w:rsidRPr="00E75FFF">
            <w:t xml:space="preserve">m </w:t>
          </w:r>
          <w:r w:rsidR="00D65CEC" w:rsidRPr="00E75FFF">
            <w:t>negative</w:t>
          </w:r>
          <w:r w:rsidR="00884BF2" w:rsidRPr="00E75FFF">
            <w:t xml:space="preserve"> variance in </w:t>
          </w:r>
          <w:r w:rsidR="00162A77" w:rsidRPr="00E75FFF">
            <w:t xml:space="preserve">the </w:t>
          </w:r>
          <w:r w:rsidR="00BF4D7E" w:rsidRPr="00E75FFF">
            <w:t>s</w:t>
          </w:r>
          <w:r w:rsidR="00884BF2" w:rsidRPr="00E75FFF">
            <w:t>ubsistence forecast</w:t>
          </w:r>
          <w:r w:rsidR="005B4A41" w:rsidRPr="00E75FFF">
            <w:t xml:space="preserve"> </w:t>
          </w:r>
          <w:r w:rsidR="00C210BB" w:rsidRPr="00E75FFF">
            <w:t xml:space="preserve">in relation to reduced income from </w:t>
          </w:r>
          <w:r w:rsidR="00195BA9">
            <w:t>water and waste income</w:t>
          </w:r>
          <w:r w:rsidR="00C210BB" w:rsidRPr="00E75FFF">
            <w:t>.</w:t>
          </w:r>
        </w:p>
        <w:p w14:paraId="004EE266" w14:textId="3B2F1B1A" w:rsidR="00CE2E70" w:rsidRPr="00FB0970" w:rsidRDefault="00BE234B" w:rsidP="00CE2E70">
          <w:pPr>
            <w:pStyle w:val="Heading4"/>
          </w:pPr>
          <w:r>
            <w:rPr>
              <w:noProof/>
            </w:rPr>
            <w:drawing>
              <wp:anchor distT="0" distB="0" distL="114300" distR="114300" simplePos="0" relativeHeight="251659265" behindDoc="0" locked="0" layoutInCell="1" allowOverlap="1" wp14:anchorId="6B2B1F83" wp14:editId="19401473">
                <wp:simplePos x="0" y="0"/>
                <wp:positionH relativeFrom="margin">
                  <wp:align>left</wp:align>
                </wp:positionH>
                <wp:positionV relativeFrom="paragraph">
                  <wp:posOffset>303161</wp:posOffset>
                </wp:positionV>
                <wp:extent cx="5355092" cy="3987210"/>
                <wp:effectExtent l="0" t="0" r="0" b="0"/>
                <wp:wrapNone/>
                <wp:docPr id="123524004" name="Picture 10" descr="Graph 1: Charging Schemes by media. &#10;This table displays the charging income forecast per media as follows:&#10;Water is expected to outturn at £30,112,000&#10;Waste is expected to outturn at £16,546,000&#10;Radioactive substances activity is expected to outturn at £3,744,000&#10;Land is expected to outturn at £143,000&#10;Air is expected to outturn at £5,462,0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24004" name="Picture 10" descr="Graph 1: Charging Schemes by media. &#10;This table displays the charging income forecast per media as follows:&#10;Water is expected to outturn at £30,112,000&#10;Waste is expected to outturn at £16,546,000&#10;Radioactive substances activity is expected to outturn at £3,744,000&#10;Land is expected to outturn at £143,000&#10;Air is expected to outturn at £5,462,000&#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87130" cy="4011064"/>
                        </a:xfrm>
                        <a:prstGeom prst="rect">
                          <a:avLst/>
                        </a:prstGeom>
                        <a:noFill/>
                      </pic:spPr>
                    </pic:pic>
                  </a:graphicData>
                </a:graphic>
                <wp14:sizeRelH relativeFrom="margin">
                  <wp14:pctWidth>0</wp14:pctWidth>
                </wp14:sizeRelH>
                <wp14:sizeRelV relativeFrom="margin">
                  <wp14:pctHeight>0</wp14:pctHeight>
                </wp14:sizeRelV>
              </wp:anchor>
            </w:drawing>
          </w:r>
          <w:r w:rsidR="0079724A">
            <w:t xml:space="preserve">Graph </w:t>
          </w:r>
          <w:r w:rsidR="007A613C">
            <w:t>1</w:t>
          </w:r>
          <w:r w:rsidR="006D71A0">
            <w:t>:</w:t>
          </w:r>
          <w:r w:rsidR="00CE2E70" w:rsidRPr="00FB0970">
            <w:t xml:space="preserve"> Charging Schemes by media</w:t>
          </w:r>
        </w:p>
        <w:p w14:paraId="46985F3A" w14:textId="77777777" w:rsidR="00BE234B" w:rsidRDefault="00047DD3" w:rsidP="002A2649">
          <w:r>
            <w:rPr>
              <w:rFonts w:ascii="Arial" w:hAnsi="Arial" w:cs="Arial"/>
              <w:color w:val="000000"/>
              <w:shd w:val="clear" w:color="auto" w:fill="FFFFFF"/>
            </w:rPr>
            <w:br/>
          </w:r>
        </w:p>
        <w:p w14:paraId="726C87FE" w14:textId="77777777" w:rsidR="00BE234B" w:rsidRDefault="00BE234B" w:rsidP="002A2649"/>
        <w:p w14:paraId="407CCE09" w14:textId="77777777" w:rsidR="00BE234B" w:rsidRDefault="00BE234B" w:rsidP="002A2649"/>
        <w:p w14:paraId="03E4DD14" w14:textId="77777777" w:rsidR="00BE234B" w:rsidRDefault="00BE234B" w:rsidP="002A2649"/>
        <w:p w14:paraId="2E5CCB9A" w14:textId="77777777" w:rsidR="00BE234B" w:rsidRDefault="00BE234B" w:rsidP="002A2649"/>
        <w:p w14:paraId="25FE9C49" w14:textId="77777777" w:rsidR="00BE234B" w:rsidRDefault="00BE234B" w:rsidP="002A2649"/>
        <w:p w14:paraId="2A0C58E9" w14:textId="77777777" w:rsidR="00BE234B" w:rsidRDefault="00BE234B" w:rsidP="002A2649"/>
        <w:p w14:paraId="57DC5984" w14:textId="77777777" w:rsidR="00BE234B" w:rsidRDefault="00BE234B" w:rsidP="002A2649"/>
        <w:p w14:paraId="5FDECD31" w14:textId="77777777" w:rsidR="00BE234B" w:rsidRDefault="00BE234B" w:rsidP="002A2649"/>
        <w:p w14:paraId="6A1BFD10" w14:textId="6426EDE1" w:rsidR="00BE234B" w:rsidRDefault="00B63BF8" w:rsidP="002A2649">
          <w:r w:rsidRPr="00B63BF8">
            <w:t xml:space="preserve">Note: </w:t>
          </w:r>
          <w:r w:rsidR="002A2649" w:rsidRPr="00B63BF8">
            <w:t xml:space="preserve">Graph </w:t>
          </w:r>
          <w:r w:rsidR="00467079" w:rsidRPr="00B63BF8">
            <w:t>1</w:t>
          </w:r>
          <w:r w:rsidR="002A2649" w:rsidRPr="00B63BF8">
            <w:t xml:space="preserve"> acronym: RSA – Radioactive Substances Activity</w:t>
          </w:r>
          <w:r w:rsidR="00BE234B">
            <w:br w:type="page"/>
          </w:r>
        </w:p>
        <w:p w14:paraId="0EE8EA92" w14:textId="3631DC07" w:rsidR="005C32A9" w:rsidRDefault="00884BF2" w:rsidP="005C32A9">
          <w:pPr>
            <w:pStyle w:val="Heading4"/>
          </w:pPr>
          <w:r w:rsidRPr="00884BF2">
            <w:lastRenderedPageBreak/>
            <w:t xml:space="preserve">Other income </w:t>
          </w:r>
          <w:r w:rsidR="007A33CE">
            <w:t>-</w:t>
          </w:r>
          <w:r w:rsidR="002573C3">
            <w:t xml:space="preserve"> </w:t>
          </w:r>
          <w:r w:rsidR="007A33CE">
            <w:t>£</w:t>
          </w:r>
          <w:r w:rsidR="00522C5D">
            <w:t>1</w:t>
          </w:r>
          <w:r w:rsidR="007A33CE">
            <w:t>.</w:t>
          </w:r>
          <w:r w:rsidR="00522C5D">
            <w:t>6</w:t>
          </w:r>
          <w:r w:rsidR="007A33CE">
            <w:t>m</w:t>
          </w:r>
          <w:r w:rsidR="00FB1221">
            <w:t xml:space="preserve"> </w:t>
          </w:r>
        </w:p>
        <w:p w14:paraId="772AE689" w14:textId="0D489326" w:rsidR="00EE5BCA" w:rsidRDefault="006E3ED0" w:rsidP="006E3ED0">
          <w:pPr>
            <w:spacing w:after="120"/>
            <w:ind w:left="993" w:hanging="568"/>
          </w:pPr>
          <w:r>
            <w:t>2.4</w:t>
          </w:r>
          <w:r>
            <w:tab/>
          </w:r>
          <w:r w:rsidR="00457732">
            <w:t>The full year income outturn is £</w:t>
          </w:r>
          <w:r w:rsidR="00522C5D">
            <w:t>1</w:t>
          </w:r>
          <w:r w:rsidR="00457732">
            <w:t>.</w:t>
          </w:r>
          <w:r w:rsidR="00522C5D">
            <w:t>6</w:t>
          </w:r>
          <w:r w:rsidR="00457732">
            <w:t>m</w:t>
          </w:r>
          <w:r w:rsidR="00EE5BCA">
            <w:t xml:space="preserve"> </w:t>
          </w:r>
          <w:r w:rsidR="5E84BA64">
            <w:t xml:space="preserve">which is </w:t>
          </w:r>
          <w:r w:rsidR="00EE5BCA">
            <w:t xml:space="preserve">£93k higher than the budget. This overall movement is mainly represented by increases against bank interest (£75k). </w:t>
          </w:r>
        </w:p>
        <w:p w14:paraId="57D4593B" w14:textId="6EA071E1" w:rsidR="00EE5BCA" w:rsidRDefault="00EE5BCA" w:rsidP="00EE5BCA">
          <w:pPr>
            <w:pStyle w:val="ListParagraph"/>
            <w:spacing w:after="120"/>
            <w:ind w:left="1077"/>
            <w:contextualSpacing w:val="0"/>
          </w:pPr>
        </w:p>
        <w:p w14:paraId="0EC0FEDB" w14:textId="6ACA4144" w:rsidR="00A12E34" w:rsidRPr="000D6B11" w:rsidRDefault="00A12E34" w:rsidP="006E3ED0">
          <w:pPr>
            <w:pStyle w:val="Heading2"/>
            <w:numPr>
              <w:ilvl w:val="0"/>
              <w:numId w:val="20"/>
            </w:numPr>
            <w:ind w:left="426" w:hanging="426"/>
            <w:rPr>
              <w:rStyle w:val="normaltextrun"/>
              <w:color w:val="auto"/>
              <w:sz w:val="28"/>
              <w:szCs w:val="28"/>
            </w:rPr>
          </w:pPr>
          <w:r w:rsidRPr="000D6B11">
            <w:rPr>
              <w:rStyle w:val="normaltextrun"/>
              <w:color w:val="auto"/>
              <w:sz w:val="28"/>
              <w:szCs w:val="28"/>
            </w:rPr>
            <w:t>Total expenditure - £</w:t>
          </w:r>
          <w:r w:rsidR="001D7121" w:rsidRPr="000D6B11">
            <w:rPr>
              <w:rStyle w:val="normaltextrun"/>
              <w:color w:val="auto"/>
              <w:sz w:val="28"/>
              <w:szCs w:val="28"/>
            </w:rPr>
            <w:t>1</w:t>
          </w:r>
          <w:r w:rsidR="000E012D">
            <w:rPr>
              <w:rStyle w:val="normaltextrun"/>
              <w:color w:val="auto"/>
              <w:sz w:val="28"/>
              <w:szCs w:val="28"/>
            </w:rPr>
            <w:t>10</w:t>
          </w:r>
          <w:r w:rsidR="001D7121" w:rsidRPr="000D6B11">
            <w:rPr>
              <w:rStyle w:val="normaltextrun"/>
              <w:color w:val="auto"/>
              <w:sz w:val="28"/>
              <w:szCs w:val="28"/>
            </w:rPr>
            <w:t>.</w:t>
          </w:r>
          <w:r w:rsidR="000E012D">
            <w:rPr>
              <w:rStyle w:val="normaltextrun"/>
              <w:color w:val="auto"/>
              <w:sz w:val="28"/>
              <w:szCs w:val="28"/>
            </w:rPr>
            <w:t>7</w:t>
          </w:r>
          <w:r w:rsidR="001D7121" w:rsidRPr="000D6B11">
            <w:rPr>
              <w:rStyle w:val="normaltextrun"/>
              <w:color w:val="auto"/>
              <w:sz w:val="28"/>
              <w:szCs w:val="28"/>
            </w:rPr>
            <w:t>m</w:t>
          </w:r>
        </w:p>
        <w:p w14:paraId="1CFDC857" w14:textId="1ADB1C72" w:rsidR="00A12E34" w:rsidRDefault="00A12E34" w:rsidP="006E3ED0">
          <w:pPr>
            <w:pStyle w:val="ListParagraph"/>
            <w:numPr>
              <w:ilvl w:val="0"/>
              <w:numId w:val="12"/>
            </w:numPr>
            <w:spacing w:after="120"/>
            <w:ind w:left="993" w:hanging="568"/>
            <w:contextualSpacing w:val="0"/>
          </w:pPr>
          <w:r w:rsidRPr="00281612">
            <w:t>Full year operating costs are £</w:t>
          </w:r>
          <w:r w:rsidR="001D7121">
            <w:t>1</w:t>
          </w:r>
          <w:r w:rsidR="000E012D">
            <w:t>10</w:t>
          </w:r>
          <w:r w:rsidR="001D7121">
            <w:t>.</w:t>
          </w:r>
          <w:r w:rsidR="000E012D">
            <w:t>7</w:t>
          </w:r>
          <w:r w:rsidR="006B4423">
            <w:t>m</w:t>
          </w:r>
          <w:r w:rsidRPr="00281612">
            <w:t xml:space="preserve">, </w:t>
          </w:r>
          <w:r>
            <w:t>£</w:t>
          </w:r>
          <w:r w:rsidR="006B4423">
            <w:t>0.</w:t>
          </w:r>
          <w:r w:rsidR="000E012D">
            <w:t>2</w:t>
          </w:r>
          <w:r w:rsidR="006B4423">
            <w:t>m</w:t>
          </w:r>
          <w:r>
            <w:t xml:space="preserve"> </w:t>
          </w:r>
          <w:r w:rsidR="000E012D">
            <w:t>higher</w:t>
          </w:r>
          <w:r w:rsidRPr="00281612">
            <w:t xml:space="preserve"> than budget. </w:t>
          </w:r>
          <w:r w:rsidR="00875FEB">
            <w:t>Graph 2</w:t>
          </w:r>
          <w:r w:rsidRPr="00281612">
            <w:t xml:space="preserve"> </w:t>
          </w:r>
          <w:r w:rsidR="00083802">
            <w:t>below</w:t>
          </w:r>
          <w:r w:rsidRPr="00281612">
            <w:t xml:space="preserve"> shows actuals against budget for the year by expenditure typ</w:t>
          </w:r>
          <w:r>
            <w:t>e.</w:t>
          </w:r>
        </w:p>
        <w:p w14:paraId="2BCF4142" w14:textId="31D2BD7A" w:rsidR="00BA7C05" w:rsidRDefault="00724917" w:rsidP="00565AE1">
          <w:pPr>
            <w:pStyle w:val="Heading4"/>
          </w:pPr>
          <w:r>
            <w:rPr>
              <w:rStyle w:val="Heading4Char"/>
              <w:noProof/>
            </w:rPr>
            <w:drawing>
              <wp:anchor distT="0" distB="0" distL="114300" distR="114300" simplePos="0" relativeHeight="251660289" behindDoc="0" locked="0" layoutInCell="1" allowOverlap="1" wp14:anchorId="2A3AC796" wp14:editId="1609FAE4">
                <wp:simplePos x="0" y="0"/>
                <wp:positionH relativeFrom="margin">
                  <wp:posOffset>-1181</wp:posOffset>
                </wp:positionH>
                <wp:positionV relativeFrom="paragraph">
                  <wp:posOffset>275738</wp:posOffset>
                </wp:positionV>
                <wp:extent cx="6798310" cy="3118485"/>
                <wp:effectExtent l="0" t="0" r="2540" b="5715"/>
                <wp:wrapNone/>
                <wp:docPr id="801585450" name="Picture 11" descr="Staff costs outturn is £75,751,000 against a budget of £75,307,000.&#10;Other staff costs outturn is £1,067,000 against a budget of £575,000.&#10;Transport costs outturn is £1,043,000 against a budget of £1,063,000.&#10;Supplies and services costs outturn is £20,922,000 against a budget of £21,542,000.&#10;Property costs outturn is £4,508,000 against a budget of £4,583,000.&#10;Depreciation costs outturn is £7,380,000 against a budget of £7,380,0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585450" name="Picture 11" descr="Staff costs outturn is £75,751,000 against a budget of £75,307,000.&#10;Other staff costs outturn is £1,067,000 against a budget of £575,000.&#10;Transport costs outturn is £1,043,000 against a budget of £1,063,000.&#10;Supplies and services costs outturn is £20,922,000 against a budget of £21,542,000.&#10;Property costs outturn is £4,508,000 against a budget of £4,583,000.&#10;Depreciation costs outturn is £7,380,000 against a budget of £7,380,000.&#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798310" cy="3118485"/>
                        </a:xfrm>
                        <a:prstGeom prst="rect">
                          <a:avLst/>
                        </a:prstGeom>
                        <a:noFill/>
                      </pic:spPr>
                    </pic:pic>
                  </a:graphicData>
                </a:graphic>
              </wp:anchor>
            </w:drawing>
          </w:r>
          <w:r w:rsidR="00BA7C05">
            <w:t xml:space="preserve">Graph </w:t>
          </w:r>
          <w:r w:rsidR="007A613C">
            <w:t>2</w:t>
          </w:r>
          <w:r w:rsidR="00CD1225">
            <w:t>:</w:t>
          </w:r>
          <w:r w:rsidR="00BA7C05">
            <w:t xml:space="preserve"> Expenditure by type </w:t>
          </w:r>
        </w:p>
        <w:p w14:paraId="5894C924" w14:textId="26A38CCC" w:rsidR="00724917" w:rsidRDefault="00724917" w:rsidP="005F7803">
          <w:pPr>
            <w:rPr>
              <w:rFonts w:ascii="Arial" w:hAnsi="Arial" w:cs="Arial"/>
              <w:color w:val="000000"/>
              <w:shd w:val="clear" w:color="auto" w:fill="FFFFFF"/>
            </w:rPr>
          </w:pPr>
        </w:p>
        <w:p w14:paraId="0329F550" w14:textId="77777777" w:rsidR="00724917" w:rsidRDefault="00724917" w:rsidP="005F7803">
          <w:pPr>
            <w:rPr>
              <w:rFonts w:ascii="Arial" w:hAnsi="Arial" w:cs="Arial"/>
              <w:color w:val="000000"/>
              <w:shd w:val="clear" w:color="auto" w:fill="FFFFFF"/>
            </w:rPr>
          </w:pPr>
        </w:p>
        <w:p w14:paraId="5E762805" w14:textId="77777777" w:rsidR="00724917" w:rsidRDefault="00724917" w:rsidP="005F7803">
          <w:pPr>
            <w:rPr>
              <w:rFonts w:ascii="Arial" w:hAnsi="Arial" w:cs="Arial"/>
              <w:color w:val="000000"/>
              <w:shd w:val="clear" w:color="auto" w:fill="FFFFFF"/>
            </w:rPr>
          </w:pPr>
        </w:p>
        <w:p w14:paraId="35A09319" w14:textId="77777777" w:rsidR="00724917" w:rsidRDefault="00724917" w:rsidP="005F7803">
          <w:pPr>
            <w:rPr>
              <w:rFonts w:ascii="Arial" w:hAnsi="Arial" w:cs="Arial"/>
              <w:color w:val="000000"/>
              <w:shd w:val="clear" w:color="auto" w:fill="FFFFFF"/>
            </w:rPr>
          </w:pPr>
        </w:p>
        <w:p w14:paraId="371D838D" w14:textId="77777777" w:rsidR="00724917" w:rsidRDefault="00724917" w:rsidP="005F7803">
          <w:pPr>
            <w:rPr>
              <w:rFonts w:ascii="Arial" w:hAnsi="Arial" w:cs="Arial"/>
              <w:color w:val="000000"/>
              <w:shd w:val="clear" w:color="auto" w:fill="FFFFFF"/>
            </w:rPr>
          </w:pPr>
        </w:p>
        <w:p w14:paraId="4D784DE6" w14:textId="77777777" w:rsidR="00724917" w:rsidRDefault="00724917" w:rsidP="005F7803">
          <w:pPr>
            <w:rPr>
              <w:rFonts w:ascii="Arial" w:hAnsi="Arial" w:cs="Arial"/>
              <w:color w:val="000000"/>
              <w:shd w:val="clear" w:color="auto" w:fill="FFFFFF"/>
            </w:rPr>
          </w:pPr>
        </w:p>
        <w:p w14:paraId="1A5A9974" w14:textId="77777777" w:rsidR="00724917" w:rsidRDefault="00724917" w:rsidP="005F7803">
          <w:pPr>
            <w:rPr>
              <w:rFonts w:ascii="Arial" w:hAnsi="Arial" w:cs="Arial"/>
              <w:color w:val="000000"/>
              <w:shd w:val="clear" w:color="auto" w:fill="FFFFFF"/>
            </w:rPr>
          </w:pPr>
        </w:p>
        <w:p w14:paraId="3EA42475" w14:textId="406BC03B" w:rsidR="00F646A8" w:rsidRPr="00057A2F" w:rsidRDefault="00A262E4" w:rsidP="005F7803">
          <w:pPr>
            <w:rPr>
              <w:rStyle w:val="Heading4Char"/>
              <w:b w:val="0"/>
              <w:bCs/>
            </w:rPr>
          </w:pPr>
          <w:r>
            <w:rPr>
              <w:rFonts w:ascii="Arial" w:hAnsi="Arial" w:cs="Arial"/>
              <w:color w:val="000000"/>
              <w:shd w:val="clear" w:color="auto" w:fill="FFFFFF"/>
            </w:rPr>
            <w:br/>
          </w:r>
          <w:r w:rsidR="00B44F35" w:rsidRPr="00057A2F">
            <w:rPr>
              <w:rStyle w:val="Heading4Char"/>
              <w:b w:val="0"/>
              <w:bCs/>
            </w:rPr>
            <w:t>Note: Graph</w:t>
          </w:r>
          <w:r w:rsidR="0007000D">
            <w:rPr>
              <w:rStyle w:val="Heading4Char"/>
              <w:b w:val="0"/>
              <w:bCs/>
            </w:rPr>
            <w:t xml:space="preserve"> 2</w:t>
          </w:r>
          <w:r w:rsidR="00B44F35" w:rsidRPr="00057A2F">
            <w:rPr>
              <w:rStyle w:val="Heading4Char"/>
              <w:b w:val="0"/>
              <w:bCs/>
            </w:rPr>
            <w:t xml:space="preserve"> acronym:</w:t>
          </w:r>
          <w:r w:rsidR="00057A2F" w:rsidRPr="00057A2F">
            <w:rPr>
              <w:rStyle w:val="Heading4Char"/>
              <w:b w:val="0"/>
              <w:bCs/>
            </w:rPr>
            <w:t xml:space="preserve"> YTD – year to date</w:t>
          </w:r>
          <w:r w:rsidR="00B44F35" w:rsidRPr="00057A2F">
            <w:rPr>
              <w:rStyle w:val="Heading4Char"/>
              <w:b w:val="0"/>
              <w:bCs/>
            </w:rPr>
            <w:t xml:space="preserve"> </w:t>
          </w:r>
        </w:p>
        <w:p w14:paraId="38036033" w14:textId="4E80CF79" w:rsidR="0097313C" w:rsidRPr="00E23C51" w:rsidRDefault="00E23C51" w:rsidP="005F7803">
          <w:r w:rsidRPr="005F7803">
            <w:rPr>
              <w:rStyle w:val="Heading4Char"/>
            </w:rPr>
            <w:t>Staff costs and other staff costs</w:t>
          </w:r>
        </w:p>
        <w:p w14:paraId="2256099F" w14:textId="4E820973" w:rsidR="002E57FC" w:rsidRPr="003D4EF9" w:rsidRDefault="00EC716E" w:rsidP="006E3ED0">
          <w:pPr>
            <w:pStyle w:val="ListParagraph"/>
            <w:numPr>
              <w:ilvl w:val="0"/>
              <w:numId w:val="12"/>
            </w:numPr>
            <w:spacing w:after="120"/>
            <w:ind w:left="993" w:hanging="568"/>
            <w:contextualSpacing w:val="0"/>
          </w:pPr>
          <w:r w:rsidRPr="00EC716E">
            <w:t xml:space="preserve">Budgeted staff costs represent </w:t>
          </w:r>
          <w:r w:rsidR="00B72FCC">
            <w:t>6</w:t>
          </w:r>
          <w:r w:rsidR="00527904">
            <w:t>8</w:t>
          </w:r>
          <w:r w:rsidRPr="00EC716E">
            <w:t xml:space="preserve">% of total expenditure. </w:t>
          </w:r>
          <w:r w:rsidR="00434DFF">
            <w:t xml:space="preserve">The forecast overspend of </w:t>
          </w:r>
          <w:r w:rsidR="000C54F0">
            <w:t>£</w:t>
          </w:r>
          <w:r w:rsidR="00434DFF">
            <w:t xml:space="preserve">444k is primarily due to forecast pay pressures.  </w:t>
          </w:r>
          <w:r w:rsidRPr="00EC716E">
            <w:t xml:space="preserve">The vacancy management level (which represents savings due to vacant posts) was set at </w:t>
          </w:r>
          <w:r w:rsidR="00527904">
            <w:t>6</w:t>
          </w:r>
          <w:r w:rsidRPr="00EC716E">
            <w:t>% or £</w:t>
          </w:r>
          <w:r w:rsidR="00527904">
            <w:t>4.7</w:t>
          </w:r>
          <w:r w:rsidRPr="00EC716E">
            <w:t>m</w:t>
          </w:r>
          <w:r w:rsidR="00240128" w:rsidRPr="003D4EF9">
            <w:t xml:space="preserve">. </w:t>
          </w:r>
          <w:r w:rsidR="008D0622">
            <w:t>Thes</w:t>
          </w:r>
          <w:r w:rsidR="00E73C1A">
            <w:t>e savings have been accounted for in the forecast outturn.</w:t>
          </w:r>
          <w:r w:rsidR="0072751B">
            <w:t xml:space="preserve">   </w:t>
          </w:r>
        </w:p>
        <w:p w14:paraId="669BF954" w14:textId="6098CF26" w:rsidR="0097362C" w:rsidRPr="00E96AF2" w:rsidRDefault="0097362C" w:rsidP="006E3ED0">
          <w:pPr>
            <w:pStyle w:val="ListParagraph"/>
            <w:numPr>
              <w:ilvl w:val="0"/>
              <w:numId w:val="12"/>
            </w:numPr>
            <w:spacing w:after="120"/>
            <w:ind w:left="993" w:hanging="568"/>
            <w:contextualSpacing w:val="0"/>
          </w:pPr>
          <w:r>
            <w:t xml:space="preserve">Other staff costs </w:t>
          </w:r>
          <w:r w:rsidR="00E39EE8">
            <w:t>need to be considered with staff costs. The</w:t>
          </w:r>
          <w:r>
            <w:t xml:space="preserve"> forecast</w:t>
          </w:r>
          <w:r w:rsidR="23302FFB">
            <w:t xml:space="preserve"> is</w:t>
          </w:r>
          <w:r>
            <w:t xml:space="preserve"> an overspend of £492k mainly due to higher than budget forecast expenditure for temporary workers. These costs will require to be funded from vacancy savings.</w:t>
          </w:r>
        </w:p>
        <w:p w14:paraId="69A13E5F" w14:textId="70BDB845" w:rsidR="00240128" w:rsidRPr="003D4EF9" w:rsidRDefault="00240128" w:rsidP="003D4EF9">
          <w:pPr>
            <w:pStyle w:val="Heading4"/>
          </w:pPr>
          <w:r w:rsidRPr="003D4EF9">
            <w:lastRenderedPageBreak/>
            <w:t xml:space="preserve">Transport </w:t>
          </w:r>
          <w:r w:rsidR="008C2233" w:rsidRPr="003D4EF9">
            <w:t>costs</w:t>
          </w:r>
        </w:p>
        <w:p w14:paraId="49DD2CD4" w14:textId="658DA9A5" w:rsidR="00CE68AB" w:rsidRPr="003D4EF9" w:rsidRDefault="00240128" w:rsidP="006E3ED0">
          <w:pPr>
            <w:pStyle w:val="ListParagraph"/>
            <w:numPr>
              <w:ilvl w:val="0"/>
              <w:numId w:val="12"/>
            </w:numPr>
            <w:spacing w:after="120"/>
            <w:ind w:left="993" w:hanging="568"/>
            <w:contextualSpacing w:val="0"/>
          </w:pPr>
          <w:r w:rsidRPr="003D4EF9">
            <w:t>Transport costs are reporting a</w:t>
          </w:r>
          <w:r w:rsidR="00DA05CD">
            <w:t xml:space="preserve"> </w:t>
          </w:r>
          <w:r w:rsidR="00BB7F8A">
            <w:t xml:space="preserve">full year underspend of </w:t>
          </w:r>
          <w:r w:rsidR="00DA05CD">
            <w:t>£</w:t>
          </w:r>
          <w:r w:rsidR="00BB7F8A">
            <w:t>20</w:t>
          </w:r>
          <w:r w:rsidR="00DA05CD">
            <w:t>k</w:t>
          </w:r>
          <w:r w:rsidR="00CE68AB" w:rsidRPr="00CE68AB">
            <w:t xml:space="preserve"> </w:t>
          </w:r>
          <w:r w:rsidR="00CE68AB">
            <w:t>which mainly relates to reduced mileage claims offset by a forecast overspend against vehicle hires.</w:t>
          </w:r>
        </w:p>
        <w:p w14:paraId="1DFB3C5B" w14:textId="460D0090" w:rsidR="00240128" w:rsidRPr="003D4EF9" w:rsidRDefault="00240128" w:rsidP="003D4EF9">
          <w:pPr>
            <w:pStyle w:val="Heading4"/>
          </w:pPr>
          <w:r w:rsidRPr="003D4EF9">
            <w:t xml:space="preserve">Supplies and </w:t>
          </w:r>
          <w:r w:rsidR="003E64C1">
            <w:t>s</w:t>
          </w:r>
          <w:r w:rsidRPr="003D4EF9">
            <w:t xml:space="preserve">ervices </w:t>
          </w:r>
        </w:p>
        <w:p w14:paraId="37BAF864" w14:textId="5EDE8F4B" w:rsidR="003B3596" w:rsidRPr="00D560F7" w:rsidRDefault="00257125" w:rsidP="006E3ED0">
          <w:pPr>
            <w:pStyle w:val="ListParagraph"/>
            <w:numPr>
              <w:ilvl w:val="0"/>
              <w:numId w:val="12"/>
            </w:numPr>
            <w:spacing w:after="120"/>
            <w:ind w:left="993" w:hanging="568"/>
            <w:rPr>
              <w:rFonts w:ascii="Arial" w:hAnsi="Arial" w:cs="Arial"/>
            </w:rPr>
          </w:pPr>
          <w:r>
            <w:t xml:space="preserve">The current full year forecast indicates an underspend of £620k. </w:t>
          </w:r>
          <w:r w:rsidR="00842E17">
            <w:t>The underspend relate</w:t>
          </w:r>
          <w:r w:rsidR="6C3B5874">
            <w:t xml:space="preserve">s </w:t>
          </w:r>
          <w:r w:rsidR="00842E17">
            <w:t xml:space="preserve">to provisions and contingencies being utilised to fund the pay award and potential in year budget pressures within some portfolios. This forecast will continue to change as we progress in the financial year with actions being taken to </w:t>
          </w:r>
          <w:r w:rsidR="5F0E9F6F">
            <w:t xml:space="preserve">further </w:t>
          </w:r>
          <w:r w:rsidR="00842E17">
            <w:t xml:space="preserve">manage vacancies and </w:t>
          </w:r>
          <w:r w:rsidR="00D31B65">
            <w:t>non-staff</w:t>
          </w:r>
          <w:r w:rsidR="00842E17">
            <w:t xml:space="preserve"> savings a</w:t>
          </w:r>
          <w:r w:rsidR="00D560F7">
            <w:t>s</w:t>
          </w:r>
          <w:r w:rsidR="00842E17">
            <w:t xml:space="preserve"> </w:t>
          </w:r>
          <w:bookmarkStart w:id="3" w:name="_Hlk204336440"/>
          <w:r w:rsidR="00690754">
            <w:t>identified.</w:t>
          </w:r>
        </w:p>
        <w:p w14:paraId="43E67DA1" w14:textId="77777777" w:rsidR="00D560F7" w:rsidRPr="00690754" w:rsidRDefault="00D560F7" w:rsidP="006E3ED0">
          <w:pPr>
            <w:pStyle w:val="ListParagraph"/>
            <w:spacing w:after="120"/>
            <w:ind w:left="993" w:hanging="568"/>
            <w:rPr>
              <w:rFonts w:ascii="Arial" w:hAnsi="Arial" w:cs="Arial"/>
            </w:rPr>
          </w:pPr>
        </w:p>
        <w:bookmarkEnd w:id="3"/>
        <w:p w14:paraId="7A34EBFA" w14:textId="177A5D1B" w:rsidR="00505F63" w:rsidRPr="00737496" w:rsidRDefault="00505F63" w:rsidP="006E3ED0">
          <w:pPr>
            <w:pStyle w:val="ListParagraph"/>
            <w:numPr>
              <w:ilvl w:val="0"/>
              <w:numId w:val="12"/>
            </w:numPr>
            <w:spacing w:after="120"/>
            <w:ind w:left="993" w:hanging="568"/>
            <w:contextualSpacing w:val="0"/>
          </w:pPr>
          <w:r w:rsidRPr="00737496">
            <w:t>The supplies and services forecast currently includes £</w:t>
          </w:r>
          <w:r w:rsidR="00515968">
            <w:t>0.</w:t>
          </w:r>
          <w:r w:rsidR="00131062">
            <w:t>2</w:t>
          </w:r>
          <w:r w:rsidR="00515968">
            <w:t>m</w:t>
          </w:r>
          <w:r w:rsidRPr="00737496">
            <w:t xml:space="preserve"> general contingency, these</w:t>
          </w:r>
          <w:r w:rsidR="00CE2A4F">
            <w:t xml:space="preserve"> </w:t>
          </w:r>
          <w:r w:rsidRPr="00737496">
            <w:t>funds are available to help manage risks in relation to unplanned expenditure</w:t>
          </w:r>
          <w:r w:rsidR="007814EC">
            <w:t>.</w:t>
          </w:r>
          <w:r w:rsidRPr="00737496">
            <w:t xml:space="preserve"> </w:t>
          </w:r>
        </w:p>
        <w:p w14:paraId="57788FF5" w14:textId="6345AF10" w:rsidR="00E755DA" w:rsidRPr="00E755DA" w:rsidRDefault="00E755DA" w:rsidP="00333800">
          <w:pPr>
            <w:pStyle w:val="Heading4"/>
          </w:pPr>
          <w:r w:rsidRPr="00E755DA">
            <w:t xml:space="preserve">Property costs </w:t>
          </w:r>
        </w:p>
        <w:p w14:paraId="73BA4DC8" w14:textId="512CA2D2" w:rsidR="00274F39" w:rsidRDefault="00E74E08" w:rsidP="006E3ED0">
          <w:pPr>
            <w:pStyle w:val="ListParagraph"/>
            <w:numPr>
              <w:ilvl w:val="0"/>
              <w:numId w:val="12"/>
            </w:numPr>
            <w:spacing w:after="120"/>
            <w:ind w:left="993" w:hanging="568"/>
            <w:contextualSpacing w:val="0"/>
          </w:pPr>
          <w:r w:rsidRPr="00E74E08">
            <w:t xml:space="preserve">The full year forecast is currently reporting an </w:t>
          </w:r>
          <w:r w:rsidR="00322CEE">
            <w:t xml:space="preserve">underspend </w:t>
          </w:r>
          <w:r w:rsidRPr="00E74E08">
            <w:t xml:space="preserve">of </w:t>
          </w:r>
          <w:r w:rsidR="00322CEE">
            <w:t>£75k</w:t>
          </w:r>
          <w:r w:rsidRPr="00E74E08">
            <w:t xml:space="preserve"> </w:t>
          </w:r>
          <w:r w:rsidR="00621330">
            <w:t>which mostly relates to electricity savings offset by overspends against maintenance</w:t>
          </w:r>
          <w:r w:rsidR="0001601E">
            <w:t xml:space="preserve">. </w:t>
          </w:r>
          <w:r w:rsidR="00274F39">
            <w:br w:type="page"/>
          </w:r>
        </w:p>
        <w:p w14:paraId="046B36B4" w14:textId="038A6000" w:rsidR="00687957" w:rsidRPr="000D6B11" w:rsidRDefault="00687957" w:rsidP="006E3ED0">
          <w:pPr>
            <w:pStyle w:val="Heading2"/>
            <w:numPr>
              <w:ilvl w:val="0"/>
              <w:numId w:val="20"/>
            </w:numPr>
            <w:ind w:left="426" w:hanging="426"/>
            <w:rPr>
              <w:rStyle w:val="normaltextrun"/>
              <w:color w:val="auto"/>
              <w:sz w:val="28"/>
              <w:szCs w:val="28"/>
            </w:rPr>
          </w:pPr>
          <w:r w:rsidRPr="000D6B11">
            <w:rPr>
              <w:rStyle w:val="normaltextrun"/>
              <w:color w:val="auto"/>
              <w:sz w:val="28"/>
              <w:szCs w:val="28"/>
            </w:rPr>
            <w:lastRenderedPageBreak/>
            <w:t>Capital</w:t>
          </w:r>
        </w:p>
        <w:p w14:paraId="201E44CD" w14:textId="05A2679D" w:rsidR="00687957" w:rsidRDefault="00687957" w:rsidP="0052464C">
          <w:pPr>
            <w:pStyle w:val="Heading4"/>
            <w:spacing w:after="0" w:line="360" w:lineRule="auto"/>
          </w:pPr>
          <w:r>
            <w:t xml:space="preserve">Table </w:t>
          </w:r>
          <w:r w:rsidR="00E32B12">
            <w:t>3</w:t>
          </w:r>
          <w:r w:rsidR="006D71A0">
            <w:t xml:space="preserve">: </w:t>
          </w:r>
          <w:r>
            <w:t>Capital expenditure</w:t>
          </w:r>
          <w:r w:rsidR="00947925">
            <w:t xml:space="preserve"> 2025</w:t>
          </w:r>
          <w:r w:rsidR="00D560F7">
            <w:t>/</w:t>
          </w:r>
          <w:r w:rsidR="00947925">
            <w:t>26</w:t>
          </w:r>
        </w:p>
        <w:tbl>
          <w:tblPr>
            <w:tblStyle w:val="TableGrid"/>
            <w:tblW w:w="10486" w:type="dxa"/>
            <w:tblLook w:val="04A0" w:firstRow="1" w:lastRow="0" w:firstColumn="1" w:lastColumn="0" w:noHBand="0" w:noVBand="1"/>
            <w:tblCaption w:val="Table 3: Capital expenditure 2025/26"/>
          </w:tblPr>
          <w:tblGrid>
            <w:gridCol w:w="2686"/>
            <w:gridCol w:w="1278"/>
            <w:gridCol w:w="1283"/>
            <w:gridCol w:w="5239"/>
          </w:tblGrid>
          <w:tr w:rsidR="009D4A2C" w:rsidRPr="00884847" w14:paraId="3F9C9947" w14:textId="77777777" w:rsidTr="0068692C">
            <w:trPr>
              <w:cantSplit/>
              <w:trHeight w:val="300"/>
              <w:tblHeader/>
            </w:trPr>
            <w:tc>
              <w:tcPr>
                <w:tcW w:w="2686" w:type="dxa"/>
                <w:shd w:val="clear" w:color="auto" w:fill="016574" w:themeFill="accent1"/>
                <w:hideMark/>
              </w:tcPr>
              <w:p w14:paraId="2EEE76EB" w14:textId="77777777" w:rsidR="00884847" w:rsidRPr="0068692C" w:rsidRDefault="00884847" w:rsidP="002E57FC">
                <w:pPr>
                  <w:spacing w:after="0"/>
                  <w:rPr>
                    <w:rFonts w:asciiTheme="majorHAnsi" w:hAnsiTheme="majorHAnsi" w:cstheme="majorHAnsi"/>
                    <w:b/>
                    <w:bCs/>
                    <w:color w:val="FFFFFF" w:themeColor="background1"/>
                  </w:rPr>
                </w:pPr>
                <w:r w:rsidRPr="0068692C">
                  <w:rPr>
                    <w:rFonts w:asciiTheme="majorHAnsi" w:hAnsiTheme="majorHAnsi" w:cstheme="majorHAnsi"/>
                    <w:b/>
                    <w:bCs/>
                    <w:color w:val="FFFFFF" w:themeColor="background1"/>
                  </w:rPr>
                  <w:t>Function</w:t>
                </w:r>
              </w:p>
            </w:tc>
            <w:tc>
              <w:tcPr>
                <w:tcW w:w="1278" w:type="dxa"/>
                <w:shd w:val="clear" w:color="auto" w:fill="016574" w:themeFill="accent1"/>
                <w:hideMark/>
              </w:tcPr>
              <w:p w14:paraId="0D54EFD0" w14:textId="77777777" w:rsidR="00884847" w:rsidRPr="0068692C" w:rsidRDefault="00884847" w:rsidP="002E57FC">
                <w:pPr>
                  <w:spacing w:after="0"/>
                  <w:jc w:val="right"/>
                  <w:rPr>
                    <w:rFonts w:asciiTheme="majorHAnsi" w:hAnsiTheme="majorHAnsi" w:cstheme="majorHAnsi"/>
                    <w:b/>
                    <w:bCs/>
                    <w:color w:val="FFFFFF" w:themeColor="background1"/>
                  </w:rPr>
                </w:pPr>
                <w:r w:rsidRPr="0068692C">
                  <w:rPr>
                    <w:rFonts w:asciiTheme="majorHAnsi" w:hAnsiTheme="majorHAnsi" w:cstheme="majorHAnsi"/>
                    <w:b/>
                    <w:bCs/>
                    <w:color w:val="FFFFFF" w:themeColor="background1"/>
                  </w:rPr>
                  <w:t>Budget £'000</w:t>
                </w:r>
              </w:p>
            </w:tc>
            <w:tc>
              <w:tcPr>
                <w:tcW w:w="1283" w:type="dxa"/>
                <w:shd w:val="clear" w:color="auto" w:fill="016574" w:themeFill="accent1"/>
                <w:hideMark/>
              </w:tcPr>
              <w:p w14:paraId="0E80BB42" w14:textId="77777777" w:rsidR="00884847" w:rsidRPr="0068692C" w:rsidRDefault="00884847" w:rsidP="002E57FC">
                <w:pPr>
                  <w:spacing w:after="0"/>
                  <w:jc w:val="right"/>
                  <w:rPr>
                    <w:rFonts w:asciiTheme="majorHAnsi" w:hAnsiTheme="majorHAnsi" w:cstheme="majorHAnsi"/>
                    <w:b/>
                    <w:bCs/>
                    <w:color w:val="FFFFFF" w:themeColor="background1"/>
                  </w:rPr>
                </w:pPr>
                <w:r w:rsidRPr="0068692C">
                  <w:rPr>
                    <w:rFonts w:asciiTheme="majorHAnsi" w:hAnsiTheme="majorHAnsi" w:cstheme="majorHAnsi"/>
                    <w:b/>
                    <w:bCs/>
                    <w:color w:val="FFFFFF" w:themeColor="background1"/>
                  </w:rPr>
                  <w:t>Forecast £'000</w:t>
                </w:r>
              </w:p>
            </w:tc>
            <w:tc>
              <w:tcPr>
                <w:tcW w:w="5239" w:type="dxa"/>
                <w:shd w:val="clear" w:color="auto" w:fill="016574" w:themeFill="accent1"/>
                <w:hideMark/>
              </w:tcPr>
              <w:p w14:paraId="7B9C8B65" w14:textId="77777777" w:rsidR="00884847" w:rsidRPr="0068692C" w:rsidRDefault="00884847" w:rsidP="002E57FC">
                <w:pPr>
                  <w:spacing w:after="0"/>
                  <w:rPr>
                    <w:rFonts w:asciiTheme="majorHAnsi" w:hAnsiTheme="majorHAnsi" w:cstheme="majorHAnsi"/>
                    <w:b/>
                    <w:bCs/>
                    <w:color w:val="FFFFFF" w:themeColor="background1"/>
                  </w:rPr>
                </w:pPr>
                <w:r w:rsidRPr="0068692C">
                  <w:rPr>
                    <w:rFonts w:asciiTheme="majorHAnsi" w:hAnsiTheme="majorHAnsi" w:cstheme="majorHAnsi"/>
                    <w:b/>
                    <w:bCs/>
                    <w:color w:val="FFFFFF" w:themeColor="background1"/>
                  </w:rPr>
                  <w:t>Main projects within function budgets</w:t>
                </w:r>
              </w:p>
            </w:tc>
          </w:tr>
          <w:tr w:rsidR="009D4A2C" w:rsidRPr="00884847" w14:paraId="4D84C78C" w14:textId="77777777" w:rsidTr="002A4E2E">
            <w:trPr>
              <w:trHeight w:val="300"/>
            </w:trPr>
            <w:tc>
              <w:tcPr>
                <w:tcW w:w="2686" w:type="dxa"/>
                <w:noWrap/>
                <w:hideMark/>
              </w:tcPr>
              <w:p w14:paraId="75B10EBC" w14:textId="6986FE32" w:rsidR="00884847" w:rsidRPr="00947925" w:rsidRDefault="00884847" w:rsidP="00A66306">
                <w:pPr>
                  <w:spacing w:after="120"/>
                  <w:rPr>
                    <w:rFonts w:asciiTheme="majorHAnsi" w:hAnsiTheme="majorHAnsi" w:cstheme="majorHAnsi"/>
                  </w:rPr>
                </w:pPr>
                <w:r w:rsidRPr="00947925">
                  <w:rPr>
                    <w:rFonts w:asciiTheme="majorHAnsi" w:hAnsiTheme="majorHAnsi" w:cstheme="majorHAnsi"/>
                  </w:rPr>
                  <w:t xml:space="preserve">Digital </w:t>
                </w:r>
                <w:r w:rsidR="002E57FC">
                  <w:rPr>
                    <w:rFonts w:asciiTheme="majorHAnsi" w:hAnsiTheme="majorHAnsi" w:cstheme="majorHAnsi"/>
                  </w:rPr>
                  <w:t>t</w:t>
                </w:r>
                <w:r w:rsidRPr="00947925">
                  <w:rPr>
                    <w:rFonts w:asciiTheme="majorHAnsi" w:hAnsiTheme="majorHAnsi" w:cstheme="majorHAnsi"/>
                  </w:rPr>
                  <w:t>ransformation</w:t>
                </w:r>
              </w:p>
            </w:tc>
            <w:tc>
              <w:tcPr>
                <w:tcW w:w="1278" w:type="dxa"/>
                <w:noWrap/>
                <w:hideMark/>
              </w:tcPr>
              <w:p w14:paraId="248F2940" w14:textId="77777777" w:rsidR="00884847" w:rsidRPr="00947925" w:rsidRDefault="00884847" w:rsidP="00A66306">
                <w:pPr>
                  <w:spacing w:after="120"/>
                  <w:jc w:val="right"/>
                  <w:rPr>
                    <w:rFonts w:asciiTheme="majorHAnsi" w:hAnsiTheme="majorHAnsi" w:cstheme="majorHAnsi"/>
                  </w:rPr>
                </w:pPr>
                <w:r w:rsidRPr="00947925">
                  <w:rPr>
                    <w:rFonts w:asciiTheme="majorHAnsi" w:hAnsiTheme="majorHAnsi" w:cstheme="majorHAnsi"/>
                  </w:rPr>
                  <w:t>1,495</w:t>
                </w:r>
              </w:p>
            </w:tc>
            <w:tc>
              <w:tcPr>
                <w:tcW w:w="1283" w:type="dxa"/>
                <w:noWrap/>
                <w:hideMark/>
              </w:tcPr>
              <w:p w14:paraId="232E45E8" w14:textId="77777777" w:rsidR="00884847" w:rsidRPr="00947925" w:rsidRDefault="00884847" w:rsidP="00A66306">
                <w:pPr>
                  <w:spacing w:after="120"/>
                  <w:jc w:val="right"/>
                  <w:rPr>
                    <w:rFonts w:asciiTheme="majorHAnsi" w:hAnsiTheme="majorHAnsi" w:cstheme="majorHAnsi"/>
                  </w:rPr>
                </w:pPr>
                <w:r w:rsidRPr="00947925">
                  <w:rPr>
                    <w:rFonts w:asciiTheme="majorHAnsi" w:hAnsiTheme="majorHAnsi" w:cstheme="majorHAnsi"/>
                  </w:rPr>
                  <w:t>1,495</w:t>
                </w:r>
              </w:p>
            </w:tc>
            <w:tc>
              <w:tcPr>
                <w:tcW w:w="5239" w:type="dxa"/>
                <w:noWrap/>
                <w:hideMark/>
              </w:tcPr>
              <w:p w14:paraId="413C9DF6" w14:textId="77777777" w:rsidR="00884847" w:rsidRPr="00947925" w:rsidRDefault="00884847" w:rsidP="00A66306">
                <w:pPr>
                  <w:spacing w:after="120"/>
                  <w:rPr>
                    <w:rFonts w:asciiTheme="majorHAnsi" w:hAnsiTheme="majorHAnsi" w:cstheme="majorHAnsi"/>
                  </w:rPr>
                </w:pPr>
                <w:r w:rsidRPr="00947925">
                  <w:rPr>
                    <w:rFonts w:asciiTheme="majorHAnsi" w:hAnsiTheme="majorHAnsi" w:cstheme="majorHAnsi"/>
                  </w:rPr>
                  <w:t>Compliance, Data Architecture, Customer Portal &amp; CRM</w:t>
                </w:r>
              </w:p>
            </w:tc>
          </w:tr>
          <w:tr w:rsidR="009D4A2C" w:rsidRPr="00884847" w14:paraId="5CDAD8CB" w14:textId="77777777" w:rsidTr="002A4E2E">
            <w:trPr>
              <w:trHeight w:val="300"/>
            </w:trPr>
            <w:tc>
              <w:tcPr>
                <w:tcW w:w="2686" w:type="dxa"/>
                <w:noWrap/>
                <w:hideMark/>
              </w:tcPr>
              <w:p w14:paraId="79E83640" w14:textId="77777777" w:rsidR="00884847" w:rsidRPr="00947925" w:rsidRDefault="00884847" w:rsidP="00A66306">
                <w:pPr>
                  <w:spacing w:after="120"/>
                  <w:rPr>
                    <w:rFonts w:asciiTheme="majorHAnsi" w:hAnsiTheme="majorHAnsi" w:cstheme="majorHAnsi"/>
                  </w:rPr>
                </w:pPr>
                <w:r w:rsidRPr="00947925">
                  <w:rPr>
                    <w:rFonts w:asciiTheme="majorHAnsi" w:hAnsiTheme="majorHAnsi" w:cstheme="majorHAnsi"/>
                  </w:rPr>
                  <w:t>Governance</w:t>
                </w:r>
              </w:p>
            </w:tc>
            <w:tc>
              <w:tcPr>
                <w:tcW w:w="1278" w:type="dxa"/>
                <w:noWrap/>
                <w:hideMark/>
              </w:tcPr>
              <w:p w14:paraId="5C7620C5" w14:textId="77777777" w:rsidR="00884847" w:rsidRPr="00947925" w:rsidRDefault="00884847" w:rsidP="00A66306">
                <w:pPr>
                  <w:spacing w:after="120"/>
                  <w:jc w:val="right"/>
                  <w:rPr>
                    <w:rFonts w:asciiTheme="majorHAnsi" w:hAnsiTheme="majorHAnsi" w:cstheme="majorHAnsi"/>
                  </w:rPr>
                </w:pPr>
                <w:r w:rsidRPr="00947925">
                  <w:rPr>
                    <w:rFonts w:asciiTheme="majorHAnsi" w:hAnsiTheme="majorHAnsi" w:cstheme="majorHAnsi"/>
                  </w:rPr>
                  <w:t>450</w:t>
                </w:r>
              </w:p>
            </w:tc>
            <w:tc>
              <w:tcPr>
                <w:tcW w:w="1283" w:type="dxa"/>
                <w:noWrap/>
                <w:hideMark/>
              </w:tcPr>
              <w:p w14:paraId="3AD41895" w14:textId="77777777" w:rsidR="00884847" w:rsidRPr="00947925" w:rsidRDefault="00884847" w:rsidP="00A66306">
                <w:pPr>
                  <w:spacing w:after="120"/>
                  <w:jc w:val="right"/>
                  <w:rPr>
                    <w:rFonts w:asciiTheme="majorHAnsi" w:hAnsiTheme="majorHAnsi" w:cstheme="majorHAnsi"/>
                  </w:rPr>
                </w:pPr>
                <w:r w:rsidRPr="00947925">
                  <w:rPr>
                    <w:rFonts w:asciiTheme="majorHAnsi" w:hAnsiTheme="majorHAnsi" w:cstheme="majorHAnsi"/>
                  </w:rPr>
                  <w:t>455</w:t>
                </w:r>
              </w:p>
            </w:tc>
            <w:tc>
              <w:tcPr>
                <w:tcW w:w="5239" w:type="dxa"/>
                <w:noWrap/>
                <w:hideMark/>
              </w:tcPr>
              <w:p w14:paraId="75BFDEFF" w14:textId="7AA42EFA" w:rsidR="00884847" w:rsidRPr="00947925" w:rsidRDefault="00884847" w:rsidP="00A66306">
                <w:pPr>
                  <w:spacing w:after="120"/>
                  <w:rPr>
                    <w:rFonts w:asciiTheme="majorHAnsi" w:hAnsiTheme="majorHAnsi" w:cstheme="majorHAnsi"/>
                  </w:rPr>
                </w:pPr>
                <w:r w:rsidRPr="00947925">
                  <w:rPr>
                    <w:rFonts w:asciiTheme="majorHAnsi" w:hAnsiTheme="majorHAnsi" w:cstheme="majorHAnsi"/>
                  </w:rPr>
                  <w:t xml:space="preserve">Web </w:t>
                </w:r>
                <w:r w:rsidR="00057A2F">
                  <w:rPr>
                    <w:rFonts w:asciiTheme="majorHAnsi" w:hAnsiTheme="majorHAnsi" w:cstheme="majorHAnsi"/>
                  </w:rPr>
                  <w:t>p</w:t>
                </w:r>
                <w:r w:rsidRPr="00947925">
                  <w:rPr>
                    <w:rFonts w:asciiTheme="majorHAnsi" w:hAnsiTheme="majorHAnsi" w:cstheme="majorHAnsi"/>
                  </w:rPr>
                  <w:t>roject</w:t>
                </w:r>
              </w:p>
            </w:tc>
          </w:tr>
          <w:tr w:rsidR="009D4A2C" w:rsidRPr="00884847" w14:paraId="0059069F" w14:textId="77777777" w:rsidTr="002A4E2E">
            <w:trPr>
              <w:trHeight w:val="300"/>
            </w:trPr>
            <w:tc>
              <w:tcPr>
                <w:tcW w:w="2686" w:type="dxa"/>
                <w:noWrap/>
                <w:hideMark/>
              </w:tcPr>
              <w:p w14:paraId="52BBBCD6" w14:textId="77777777" w:rsidR="00884847" w:rsidRPr="00947925" w:rsidRDefault="00884847" w:rsidP="00A66306">
                <w:pPr>
                  <w:spacing w:after="120"/>
                  <w:rPr>
                    <w:rFonts w:asciiTheme="majorHAnsi" w:hAnsiTheme="majorHAnsi" w:cstheme="majorHAnsi"/>
                  </w:rPr>
                </w:pPr>
                <w:r w:rsidRPr="00947925">
                  <w:rPr>
                    <w:rFonts w:asciiTheme="majorHAnsi" w:hAnsiTheme="majorHAnsi" w:cstheme="majorHAnsi"/>
                  </w:rPr>
                  <w:t>Chemistry</w:t>
                </w:r>
              </w:p>
            </w:tc>
            <w:tc>
              <w:tcPr>
                <w:tcW w:w="1278" w:type="dxa"/>
                <w:noWrap/>
                <w:hideMark/>
              </w:tcPr>
              <w:p w14:paraId="07483676" w14:textId="77777777" w:rsidR="00884847" w:rsidRPr="00947925" w:rsidRDefault="00884847" w:rsidP="00A66306">
                <w:pPr>
                  <w:spacing w:after="120"/>
                  <w:jc w:val="right"/>
                  <w:rPr>
                    <w:rFonts w:asciiTheme="majorHAnsi" w:hAnsiTheme="majorHAnsi" w:cstheme="majorHAnsi"/>
                  </w:rPr>
                </w:pPr>
                <w:r w:rsidRPr="00947925">
                  <w:rPr>
                    <w:rFonts w:asciiTheme="majorHAnsi" w:hAnsiTheme="majorHAnsi" w:cstheme="majorHAnsi"/>
                  </w:rPr>
                  <w:t>126</w:t>
                </w:r>
              </w:p>
            </w:tc>
            <w:tc>
              <w:tcPr>
                <w:tcW w:w="1283" w:type="dxa"/>
                <w:noWrap/>
                <w:hideMark/>
              </w:tcPr>
              <w:p w14:paraId="785E02BD" w14:textId="77777777" w:rsidR="00884847" w:rsidRPr="00947925" w:rsidRDefault="00884847" w:rsidP="00A66306">
                <w:pPr>
                  <w:spacing w:after="120"/>
                  <w:jc w:val="right"/>
                  <w:rPr>
                    <w:rFonts w:asciiTheme="majorHAnsi" w:hAnsiTheme="majorHAnsi" w:cstheme="majorHAnsi"/>
                  </w:rPr>
                </w:pPr>
                <w:r w:rsidRPr="00947925">
                  <w:rPr>
                    <w:rFonts w:asciiTheme="majorHAnsi" w:hAnsiTheme="majorHAnsi" w:cstheme="majorHAnsi"/>
                  </w:rPr>
                  <w:t>126</w:t>
                </w:r>
              </w:p>
            </w:tc>
            <w:tc>
              <w:tcPr>
                <w:tcW w:w="5239" w:type="dxa"/>
                <w:noWrap/>
                <w:hideMark/>
              </w:tcPr>
              <w:p w14:paraId="499BFD80" w14:textId="4A58CE9E" w:rsidR="00884847" w:rsidRPr="00947925" w:rsidRDefault="00884847" w:rsidP="00A66306">
                <w:pPr>
                  <w:spacing w:after="120"/>
                  <w:rPr>
                    <w:rFonts w:asciiTheme="majorHAnsi" w:hAnsiTheme="majorHAnsi" w:cstheme="majorHAnsi"/>
                  </w:rPr>
                </w:pPr>
                <w:r w:rsidRPr="00947925">
                  <w:rPr>
                    <w:rFonts w:asciiTheme="majorHAnsi" w:hAnsiTheme="majorHAnsi" w:cstheme="majorHAnsi"/>
                  </w:rPr>
                  <w:t xml:space="preserve">Nutrients </w:t>
                </w:r>
                <w:r w:rsidR="00057A2F">
                  <w:rPr>
                    <w:rFonts w:asciiTheme="majorHAnsi" w:hAnsiTheme="majorHAnsi" w:cstheme="majorHAnsi"/>
                  </w:rPr>
                  <w:t>a</w:t>
                </w:r>
                <w:r w:rsidRPr="00947925">
                  <w:rPr>
                    <w:rFonts w:asciiTheme="majorHAnsi" w:hAnsiTheme="majorHAnsi" w:cstheme="majorHAnsi"/>
                  </w:rPr>
                  <w:t>nalyser</w:t>
                </w:r>
              </w:p>
            </w:tc>
          </w:tr>
          <w:tr w:rsidR="009D4A2C" w:rsidRPr="00884847" w14:paraId="159954E1" w14:textId="77777777" w:rsidTr="002A4E2E">
            <w:trPr>
              <w:trHeight w:val="300"/>
            </w:trPr>
            <w:tc>
              <w:tcPr>
                <w:tcW w:w="2686" w:type="dxa"/>
                <w:noWrap/>
                <w:hideMark/>
              </w:tcPr>
              <w:p w14:paraId="725FC38C" w14:textId="77777777" w:rsidR="00884847" w:rsidRPr="00947925" w:rsidRDefault="00884847" w:rsidP="00A66306">
                <w:pPr>
                  <w:spacing w:after="120"/>
                  <w:rPr>
                    <w:rFonts w:asciiTheme="majorHAnsi" w:hAnsiTheme="majorHAnsi" w:cstheme="majorHAnsi"/>
                  </w:rPr>
                </w:pPr>
                <w:r w:rsidRPr="00947925">
                  <w:rPr>
                    <w:rFonts w:asciiTheme="majorHAnsi" w:hAnsiTheme="majorHAnsi" w:cstheme="majorHAnsi"/>
                  </w:rPr>
                  <w:t>Ecology</w:t>
                </w:r>
              </w:p>
            </w:tc>
            <w:tc>
              <w:tcPr>
                <w:tcW w:w="1278" w:type="dxa"/>
                <w:noWrap/>
                <w:hideMark/>
              </w:tcPr>
              <w:p w14:paraId="5EDDBE21" w14:textId="77777777" w:rsidR="00884847" w:rsidRPr="00947925" w:rsidRDefault="00884847" w:rsidP="00A66306">
                <w:pPr>
                  <w:spacing w:after="120"/>
                  <w:jc w:val="right"/>
                  <w:rPr>
                    <w:rFonts w:asciiTheme="majorHAnsi" w:hAnsiTheme="majorHAnsi" w:cstheme="majorHAnsi"/>
                  </w:rPr>
                </w:pPr>
                <w:r w:rsidRPr="00947925">
                  <w:rPr>
                    <w:rFonts w:asciiTheme="majorHAnsi" w:hAnsiTheme="majorHAnsi" w:cstheme="majorHAnsi"/>
                  </w:rPr>
                  <w:t>66</w:t>
                </w:r>
              </w:p>
            </w:tc>
            <w:tc>
              <w:tcPr>
                <w:tcW w:w="1283" w:type="dxa"/>
                <w:noWrap/>
                <w:hideMark/>
              </w:tcPr>
              <w:p w14:paraId="7BD3F258" w14:textId="77777777" w:rsidR="00884847" w:rsidRPr="00947925" w:rsidRDefault="00884847" w:rsidP="00A66306">
                <w:pPr>
                  <w:spacing w:after="120"/>
                  <w:jc w:val="right"/>
                  <w:rPr>
                    <w:rFonts w:asciiTheme="majorHAnsi" w:hAnsiTheme="majorHAnsi" w:cstheme="majorHAnsi"/>
                  </w:rPr>
                </w:pPr>
                <w:r w:rsidRPr="00947925">
                  <w:rPr>
                    <w:rFonts w:asciiTheme="majorHAnsi" w:hAnsiTheme="majorHAnsi" w:cstheme="majorHAnsi"/>
                  </w:rPr>
                  <w:t>66</w:t>
                </w:r>
              </w:p>
            </w:tc>
            <w:tc>
              <w:tcPr>
                <w:tcW w:w="5239" w:type="dxa"/>
                <w:noWrap/>
                <w:hideMark/>
              </w:tcPr>
              <w:p w14:paraId="0D050B90" w14:textId="77777777" w:rsidR="00884847" w:rsidRPr="00947925" w:rsidRDefault="00884847" w:rsidP="00A66306">
                <w:pPr>
                  <w:spacing w:after="120"/>
                  <w:rPr>
                    <w:rFonts w:asciiTheme="majorHAnsi" w:hAnsiTheme="majorHAnsi" w:cstheme="majorHAnsi"/>
                  </w:rPr>
                </w:pPr>
                <w:r w:rsidRPr="00947925">
                  <w:rPr>
                    <w:rFonts w:asciiTheme="majorHAnsi" w:hAnsiTheme="majorHAnsi" w:cstheme="majorHAnsi"/>
                  </w:rPr>
                  <w:t>Microscopes</w:t>
                </w:r>
              </w:p>
            </w:tc>
          </w:tr>
          <w:tr w:rsidR="009D4A2C" w:rsidRPr="00884847" w14:paraId="7EA3F86B" w14:textId="77777777" w:rsidTr="002A4E2E">
            <w:trPr>
              <w:trHeight w:val="300"/>
            </w:trPr>
            <w:tc>
              <w:tcPr>
                <w:tcW w:w="2686" w:type="dxa"/>
                <w:noWrap/>
                <w:hideMark/>
              </w:tcPr>
              <w:p w14:paraId="3659ECBE" w14:textId="03149834" w:rsidR="00884847" w:rsidRPr="00947925" w:rsidRDefault="00884847" w:rsidP="00A66306">
                <w:pPr>
                  <w:spacing w:after="120"/>
                  <w:rPr>
                    <w:rFonts w:asciiTheme="majorHAnsi" w:hAnsiTheme="majorHAnsi" w:cstheme="majorHAnsi"/>
                  </w:rPr>
                </w:pPr>
                <w:r w:rsidRPr="00947925">
                  <w:rPr>
                    <w:rFonts w:asciiTheme="majorHAnsi" w:hAnsiTheme="majorHAnsi" w:cstheme="majorHAnsi"/>
                  </w:rPr>
                  <w:t>E</w:t>
                </w:r>
                <w:r w:rsidR="00947925">
                  <w:rPr>
                    <w:rFonts w:asciiTheme="majorHAnsi" w:hAnsiTheme="majorHAnsi" w:cstheme="majorHAnsi"/>
                  </w:rPr>
                  <w:t xml:space="preserve">nvironmental </w:t>
                </w:r>
                <w:r w:rsidR="002E57FC">
                  <w:rPr>
                    <w:rFonts w:asciiTheme="majorHAnsi" w:hAnsiTheme="majorHAnsi" w:cstheme="majorHAnsi"/>
                  </w:rPr>
                  <w:t>q</w:t>
                </w:r>
                <w:r w:rsidRPr="00947925">
                  <w:rPr>
                    <w:rFonts w:asciiTheme="majorHAnsi" w:hAnsiTheme="majorHAnsi" w:cstheme="majorHAnsi"/>
                  </w:rPr>
                  <w:t>uality</w:t>
                </w:r>
              </w:p>
            </w:tc>
            <w:tc>
              <w:tcPr>
                <w:tcW w:w="1278" w:type="dxa"/>
                <w:noWrap/>
                <w:hideMark/>
              </w:tcPr>
              <w:p w14:paraId="32DC06EC" w14:textId="77777777" w:rsidR="00884847" w:rsidRPr="00947925" w:rsidRDefault="00884847" w:rsidP="00A66306">
                <w:pPr>
                  <w:spacing w:after="120"/>
                  <w:jc w:val="right"/>
                  <w:rPr>
                    <w:rFonts w:asciiTheme="majorHAnsi" w:hAnsiTheme="majorHAnsi" w:cstheme="majorHAnsi"/>
                  </w:rPr>
                </w:pPr>
                <w:r w:rsidRPr="00947925">
                  <w:rPr>
                    <w:rFonts w:asciiTheme="majorHAnsi" w:hAnsiTheme="majorHAnsi" w:cstheme="majorHAnsi"/>
                  </w:rPr>
                  <w:t>93</w:t>
                </w:r>
              </w:p>
            </w:tc>
            <w:tc>
              <w:tcPr>
                <w:tcW w:w="1283" w:type="dxa"/>
                <w:noWrap/>
                <w:hideMark/>
              </w:tcPr>
              <w:p w14:paraId="3E0253AA" w14:textId="77777777" w:rsidR="00884847" w:rsidRPr="00947925" w:rsidRDefault="00884847" w:rsidP="00A66306">
                <w:pPr>
                  <w:spacing w:after="120"/>
                  <w:jc w:val="right"/>
                  <w:rPr>
                    <w:rFonts w:asciiTheme="majorHAnsi" w:hAnsiTheme="majorHAnsi" w:cstheme="majorHAnsi"/>
                  </w:rPr>
                </w:pPr>
                <w:r w:rsidRPr="00947925">
                  <w:rPr>
                    <w:rFonts w:asciiTheme="majorHAnsi" w:hAnsiTheme="majorHAnsi" w:cstheme="majorHAnsi"/>
                  </w:rPr>
                  <w:t>93</w:t>
                </w:r>
              </w:p>
            </w:tc>
            <w:tc>
              <w:tcPr>
                <w:tcW w:w="5239" w:type="dxa"/>
                <w:noWrap/>
                <w:hideMark/>
              </w:tcPr>
              <w:p w14:paraId="7A5088FB" w14:textId="1BA80861" w:rsidR="00884847" w:rsidRPr="00947925" w:rsidRDefault="00884847" w:rsidP="00A66306">
                <w:pPr>
                  <w:spacing w:after="120"/>
                  <w:rPr>
                    <w:rFonts w:asciiTheme="majorHAnsi" w:hAnsiTheme="majorHAnsi" w:cstheme="majorHAnsi"/>
                  </w:rPr>
                </w:pPr>
                <w:r w:rsidRPr="00947925">
                  <w:rPr>
                    <w:rFonts w:asciiTheme="majorHAnsi" w:hAnsiTheme="majorHAnsi" w:cstheme="majorHAnsi"/>
                  </w:rPr>
                  <w:t xml:space="preserve">Bathing </w:t>
                </w:r>
                <w:r w:rsidR="00057A2F">
                  <w:rPr>
                    <w:rFonts w:asciiTheme="majorHAnsi" w:hAnsiTheme="majorHAnsi" w:cstheme="majorHAnsi"/>
                  </w:rPr>
                  <w:t>w</w:t>
                </w:r>
                <w:r w:rsidRPr="00947925">
                  <w:rPr>
                    <w:rFonts w:asciiTheme="majorHAnsi" w:hAnsiTheme="majorHAnsi" w:cstheme="majorHAnsi"/>
                  </w:rPr>
                  <w:t xml:space="preserve">aters </w:t>
                </w:r>
                <w:r w:rsidR="00057A2F">
                  <w:rPr>
                    <w:rFonts w:asciiTheme="majorHAnsi" w:hAnsiTheme="majorHAnsi" w:cstheme="majorHAnsi"/>
                  </w:rPr>
                  <w:t>s</w:t>
                </w:r>
                <w:r w:rsidRPr="00947925">
                  <w:rPr>
                    <w:rFonts w:asciiTheme="majorHAnsi" w:hAnsiTheme="majorHAnsi" w:cstheme="majorHAnsi"/>
                  </w:rPr>
                  <w:t>ignage</w:t>
                </w:r>
              </w:p>
            </w:tc>
          </w:tr>
          <w:tr w:rsidR="009D4A2C" w:rsidRPr="00884847" w14:paraId="6D2CD7AC" w14:textId="77777777" w:rsidTr="002A4E2E">
            <w:trPr>
              <w:trHeight w:val="300"/>
            </w:trPr>
            <w:tc>
              <w:tcPr>
                <w:tcW w:w="2686" w:type="dxa"/>
                <w:noWrap/>
                <w:hideMark/>
              </w:tcPr>
              <w:p w14:paraId="737E2F28" w14:textId="25CF321D" w:rsidR="00884847" w:rsidRPr="00947925" w:rsidRDefault="00884847" w:rsidP="00A66306">
                <w:pPr>
                  <w:spacing w:after="120"/>
                  <w:rPr>
                    <w:rFonts w:asciiTheme="majorHAnsi" w:hAnsiTheme="majorHAnsi" w:cstheme="majorHAnsi"/>
                  </w:rPr>
                </w:pPr>
                <w:r w:rsidRPr="00947925">
                  <w:rPr>
                    <w:rFonts w:asciiTheme="majorHAnsi" w:hAnsiTheme="majorHAnsi" w:cstheme="majorHAnsi"/>
                  </w:rPr>
                  <w:t xml:space="preserve">Info </w:t>
                </w:r>
                <w:r w:rsidR="002E57FC">
                  <w:rPr>
                    <w:rFonts w:asciiTheme="majorHAnsi" w:hAnsiTheme="majorHAnsi" w:cstheme="majorHAnsi"/>
                  </w:rPr>
                  <w:t>s</w:t>
                </w:r>
                <w:r w:rsidRPr="00947925">
                  <w:rPr>
                    <w:rFonts w:asciiTheme="majorHAnsi" w:hAnsiTheme="majorHAnsi" w:cstheme="majorHAnsi"/>
                  </w:rPr>
                  <w:t>ystems</w:t>
                </w:r>
              </w:p>
            </w:tc>
            <w:tc>
              <w:tcPr>
                <w:tcW w:w="1278" w:type="dxa"/>
                <w:noWrap/>
                <w:hideMark/>
              </w:tcPr>
              <w:p w14:paraId="4AE40F56" w14:textId="77777777" w:rsidR="00884847" w:rsidRPr="00947925" w:rsidRDefault="00884847" w:rsidP="00A66306">
                <w:pPr>
                  <w:spacing w:after="120"/>
                  <w:jc w:val="right"/>
                  <w:rPr>
                    <w:rFonts w:asciiTheme="majorHAnsi" w:hAnsiTheme="majorHAnsi" w:cstheme="majorHAnsi"/>
                  </w:rPr>
                </w:pPr>
                <w:r w:rsidRPr="00947925">
                  <w:rPr>
                    <w:rFonts w:asciiTheme="majorHAnsi" w:hAnsiTheme="majorHAnsi" w:cstheme="majorHAnsi"/>
                  </w:rPr>
                  <w:t>250</w:t>
                </w:r>
              </w:p>
            </w:tc>
            <w:tc>
              <w:tcPr>
                <w:tcW w:w="1283" w:type="dxa"/>
                <w:noWrap/>
                <w:hideMark/>
              </w:tcPr>
              <w:p w14:paraId="2A2D2F2F" w14:textId="77777777" w:rsidR="00884847" w:rsidRPr="00947925" w:rsidRDefault="00884847" w:rsidP="00A66306">
                <w:pPr>
                  <w:spacing w:after="120"/>
                  <w:jc w:val="right"/>
                  <w:rPr>
                    <w:rFonts w:asciiTheme="majorHAnsi" w:hAnsiTheme="majorHAnsi" w:cstheme="majorHAnsi"/>
                  </w:rPr>
                </w:pPr>
                <w:r w:rsidRPr="00947925">
                  <w:rPr>
                    <w:rFonts w:asciiTheme="majorHAnsi" w:hAnsiTheme="majorHAnsi" w:cstheme="majorHAnsi"/>
                  </w:rPr>
                  <w:t>250</w:t>
                </w:r>
              </w:p>
            </w:tc>
            <w:tc>
              <w:tcPr>
                <w:tcW w:w="5239" w:type="dxa"/>
                <w:noWrap/>
                <w:hideMark/>
              </w:tcPr>
              <w:p w14:paraId="2277E8DB" w14:textId="28D489B1" w:rsidR="00884847" w:rsidRPr="00947925" w:rsidRDefault="00884847" w:rsidP="00A66306">
                <w:pPr>
                  <w:spacing w:after="120"/>
                  <w:rPr>
                    <w:rFonts w:asciiTheme="majorHAnsi" w:hAnsiTheme="majorHAnsi" w:cstheme="majorHAnsi"/>
                  </w:rPr>
                </w:pPr>
                <w:r w:rsidRPr="00947925">
                  <w:rPr>
                    <w:rFonts w:asciiTheme="majorHAnsi" w:hAnsiTheme="majorHAnsi" w:cstheme="majorHAnsi"/>
                  </w:rPr>
                  <w:t xml:space="preserve">High </w:t>
                </w:r>
                <w:r w:rsidR="00057A2F">
                  <w:rPr>
                    <w:rFonts w:asciiTheme="majorHAnsi" w:hAnsiTheme="majorHAnsi" w:cstheme="majorHAnsi"/>
                  </w:rPr>
                  <w:t>p</w:t>
                </w:r>
                <w:r w:rsidRPr="00947925">
                  <w:rPr>
                    <w:rFonts w:asciiTheme="majorHAnsi" w:hAnsiTheme="majorHAnsi" w:cstheme="majorHAnsi"/>
                  </w:rPr>
                  <w:t xml:space="preserve">erformance </w:t>
                </w:r>
                <w:r w:rsidR="00057A2F">
                  <w:rPr>
                    <w:rFonts w:asciiTheme="majorHAnsi" w:hAnsiTheme="majorHAnsi" w:cstheme="majorHAnsi"/>
                  </w:rPr>
                  <w:t>c</w:t>
                </w:r>
                <w:r w:rsidRPr="00947925">
                  <w:rPr>
                    <w:rFonts w:asciiTheme="majorHAnsi" w:hAnsiTheme="majorHAnsi" w:cstheme="majorHAnsi"/>
                  </w:rPr>
                  <w:t>omputing</w:t>
                </w:r>
              </w:p>
            </w:tc>
          </w:tr>
          <w:tr w:rsidR="009D4A2C" w:rsidRPr="00884847" w14:paraId="1288C8D1" w14:textId="77777777" w:rsidTr="002A4E2E">
            <w:trPr>
              <w:trHeight w:val="300"/>
            </w:trPr>
            <w:tc>
              <w:tcPr>
                <w:tcW w:w="2686" w:type="dxa"/>
                <w:noWrap/>
                <w:hideMark/>
              </w:tcPr>
              <w:p w14:paraId="6C5AD193" w14:textId="6FDAE906" w:rsidR="00884847" w:rsidRPr="00947925" w:rsidRDefault="00884847" w:rsidP="00A66306">
                <w:pPr>
                  <w:spacing w:after="120"/>
                  <w:rPr>
                    <w:rFonts w:asciiTheme="majorHAnsi" w:hAnsiTheme="majorHAnsi" w:cstheme="majorHAnsi"/>
                  </w:rPr>
                </w:pPr>
                <w:r w:rsidRPr="00947925">
                  <w:rPr>
                    <w:rFonts w:asciiTheme="majorHAnsi" w:hAnsiTheme="majorHAnsi" w:cstheme="majorHAnsi"/>
                  </w:rPr>
                  <w:t xml:space="preserve">Info </w:t>
                </w:r>
                <w:r w:rsidR="002E57FC">
                  <w:rPr>
                    <w:rFonts w:asciiTheme="majorHAnsi" w:hAnsiTheme="majorHAnsi" w:cstheme="majorHAnsi"/>
                  </w:rPr>
                  <w:t>s</w:t>
                </w:r>
                <w:r w:rsidRPr="00947925">
                  <w:rPr>
                    <w:rFonts w:asciiTheme="majorHAnsi" w:hAnsiTheme="majorHAnsi" w:cstheme="majorHAnsi"/>
                  </w:rPr>
                  <w:t>ystems (Digital)</w:t>
                </w:r>
              </w:p>
            </w:tc>
            <w:tc>
              <w:tcPr>
                <w:tcW w:w="1278" w:type="dxa"/>
                <w:noWrap/>
                <w:hideMark/>
              </w:tcPr>
              <w:p w14:paraId="7326EA69" w14:textId="77777777" w:rsidR="00884847" w:rsidRPr="00947925" w:rsidRDefault="00884847" w:rsidP="00A66306">
                <w:pPr>
                  <w:spacing w:after="120"/>
                  <w:jc w:val="right"/>
                  <w:rPr>
                    <w:rFonts w:asciiTheme="majorHAnsi" w:hAnsiTheme="majorHAnsi" w:cstheme="majorHAnsi"/>
                  </w:rPr>
                </w:pPr>
                <w:r w:rsidRPr="00947925">
                  <w:rPr>
                    <w:rFonts w:asciiTheme="majorHAnsi" w:hAnsiTheme="majorHAnsi" w:cstheme="majorHAnsi"/>
                  </w:rPr>
                  <w:t>1,150</w:t>
                </w:r>
              </w:p>
            </w:tc>
            <w:tc>
              <w:tcPr>
                <w:tcW w:w="1283" w:type="dxa"/>
                <w:noWrap/>
                <w:hideMark/>
              </w:tcPr>
              <w:p w14:paraId="36FBC1A5" w14:textId="77777777" w:rsidR="00884847" w:rsidRPr="00947925" w:rsidRDefault="00884847" w:rsidP="00A66306">
                <w:pPr>
                  <w:spacing w:after="120"/>
                  <w:jc w:val="right"/>
                  <w:rPr>
                    <w:rFonts w:asciiTheme="majorHAnsi" w:hAnsiTheme="majorHAnsi" w:cstheme="majorHAnsi"/>
                  </w:rPr>
                </w:pPr>
                <w:r w:rsidRPr="00947925">
                  <w:rPr>
                    <w:rFonts w:asciiTheme="majorHAnsi" w:hAnsiTheme="majorHAnsi" w:cstheme="majorHAnsi"/>
                  </w:rPr>
                  <w:t>1,065</w:t>
                </w:r>
              </w:p>
            </w:tc>
            <w:tc>
              <w:tcPr>
                <w:tcW w:w="5239" w:type="dxa"/>
                <w:noWrap/>
                <w:hideMark/>
              </w:tcPr>
              <w:p w14:paraId="7340A863" w14:textId="77777777" w:rsidR="00884847" w:rsidRPr="00947925" w:rsidRDefault="00884847" w:rsidP="00A66306">
                <w:pPr>
                  <w:spacing w:after="120"/>
                  <w:rPr>
                    <w:rFonts w:asciiTheme="majorHAnsi" w:hAnsiTheme="majorHAnsi" w:cstheme="majorHAnsi"/>
                  </w:rPr>
                </w:pPr>
                <w:r w:rsidRPr="00947925">
                  <w:rPr>
                    <w:rFonts w:asciiTheme="majorHAnsi" w:hAnsiTheme="majorHAnsi" w:cstheme="majorHAnsi"/>
                  </w:rPr>
                  <w:t>IAF Implementation</w:t>
                </w:r>
              </w:p>
            </w:tc>
          </w:tr>
          <w:tr w:rsidR="009D4A2C" w:rsidRPr="00884847" w14:paraId="68DC6937" w14:textId="77777777" w:rsidTr="002A4E2E">
            <w:trPr>
              <w:trHeight w:val="300"/>
            </w:trPr>
            <w:tc>
              <w:tcPr>
                <w:tcW w:w="2686" w:type="dxa"/>
                <w:noWrap/>
                <w:hideMark/>
              </w:tcPr>
              <w:p w14:paraId="248CAE4D" w14:textId="44F5FA02" w:rsidR="00884847" w:rsidRPr="00947925" w:rsidRDefault="00884847" w:rsidP="00A66306">
                <w:pPr>
                  <w:spacing w:after="120"/>
                  <w:rPr>
                    <w:rFonts w:asciiTheme="majorHAnsi" w:hAnsiTheme="majorHAnsi" w:cstheme="majorHAnsi"/>
                  </w:rPr>
                </w:pPr>
                <w:r w:rsidRPr="00947925">
                  <w:rPr>
                    <w:rFonts w:asciiTheme="majorHAnsi" w:hAnsiTheme="majorHAnsi" w:cstheme="majorHAnsi"/>
                  </w:rPr>
                  <w:t xml:space="preserve">People </w:t>
                </w:r>
                <w:r w:rsidR="002E57FC">
                  <w:rPr>
                    <w:rFonts w:asciiTheme="majorHAnsi" w:hAnsiTheme="majorHAnsi" w:cstheme="majorHAnsi"/>
                  </w:rPr>
                  <w:t>s</w:t>
                </w:r>
                <w:r w:rsidRPr="00947925">
                  <w:rPr>
                    <w:rFonts w:asciiTheme="majorHAnsi" w:hAnsiTheme="majorHAnsi" w:cstheme="majorHAnsi"/>
                  </w:rPr>
                  <w:t>ystems</w:t>
                </w:r>
              </w:p>
            </w:tc>
            <w:tc>
              <w:tcPr>
                <w:tcW w:w="1278" w:type="dxa"/>
                <w:noWrap/>
                <w:hideMark/>
              </w:tcPr>
              <w:p w14:paraId="4407988A" w14:textId="77777777" w:rsidR="00884847" w:rsidRPr="00947925" w:rsidRDefault="00884847" w:rsidP="00A66306">
                <w:pPr>
                  <w:spacing w:after="120"/>
                  <w:jc w:val="right"/>
                  <w:rPr>
                    <w:rFonts w:asciiTheme="majorHAnsi" w:hAnsiTheme="majorHAnsi" w:cstheme="majorHAnsi"/>
                  </w:rPr>
                </w:pPr>
                <w:r w:rsidRPr="00947925">
                  <w:rPr>
                    <w:rFonts w:asciiTheme="majorHAnsi" w:hAnsiTheme="majorHAnsi" w:cstheme="majorHAnsi"/>
                  </w:rPr>
                  <w:t>70</w:t>
                </w:r>
              </w:p>
            </w:tc>
            <w:tc>
              <w:tcPr>
                <w:tcW w:w="1283" w:type="dxa"/>
                <w:noWrap/>
                <w:hideMark/>
              </w:tcPr>
              <w:p w14:paraId="7273B46E" w14:textId="77777777" w:rsidR="00884847" w:rsidRPr="00947925" w:rsidRDefault="00884847" w:rsidP="00A66306">
                <w:pPr>
                  <w:spacing w:after="120"/>
                  <w:jc w:val="right"/>
                  <w:rPr>
                    <w:rFonts w:asciiTheme="majorHAnsi" w:hAnsiTheme="majorHAnsi" w:cstheme="majorHAnsi"/>
                  </w:rPr>
                </w:pPr>
                <w:r w:rsidRPr="00947925">
                  <w:rPr>
                    <w:rFonts w:asciiTheme="majorHAnsi" w:hAnsiTheme="majorHAnsi" w:cstheme="majorHAnsi"/>
                  </w:rPr>
                  <w:t>70</w:t>
                </w:r>
              </w:p>
            </w:tc>
            <w:tc>
              <w:tcPr>
                <w:tcW w:w="5239" w:type="dxa"/>
                <w:noWrap/>
                <w:hideMark/>
              </w:tcPr>
              <w:p w14:paraId="5BDDD90B" w14:textId="1A77AB09" w:rsidR="00884847" w:rsidRPr="00947925" w:rsidRDefault="00884847" w:rsidP="00A66306">
                <w:pPr>
                  <w:spacing w:after="120"/>
                  <w:rPr>
                    <w:rFonts w:asciiTheme="majorHAnsi" w:hAnsiTheme="majorHAnsi" w:cstheme="majorHAnsi"/>
                  </w:rPr>
                </w:pPr>
                <w:r w:rsidRPr="00947925">
                  <w:rPr>
                    <w:rFonts w:asciiTheme="majorHAnsi" w:hAnsiTheme="majorHAnsi" w:cstheme="majorHAnsi"/>
                  </w:rPr>
                  <w:t xml:space="preserve">Applicant </w:t>
                </w:r>
                <w:r w:rsidR="001E3D26">
                  <w:rPr>
                    <w:rFonts w:asciiTheme="majorHAnsi" w:hAnsiTheme="majorHAnsi" w:cstheme="majorHAnsi"/>
                  </w:rPr>
                  <w:t>t</w:t>
                </w:r>
                <w:r w:rsidRPr="00947925">
                  <w:rPr>
                    <w:rFonts w:asciiTheme="majorHAnsi" w:hAnsiTheme="majorHAnsi" w:cstheme="majorHAnsi"/>
                  </w:rPr>
                  <w:t xml:space="preserve">racking </w:t>
                </w:r>
                <w:r w:rsidR="001E3D26">
                  <w:rPr>
                    <w:rFonts w:asciiTheme="majorHAnsi" w:hAnsiTheme="majorHAnsi" w:cstheme="majorHAnsi"/>
                  </w:rPr>
                  <w:t>s</w:t>
                </w:r>
                <w:r w:rsidRPr="00947925">
                  <w:rPr>
                    <w:rFonts w:asciiTheme="majorHAnsi" w:hAnsiTheme="majorHAnsi" w:cstheme="majorHAnsi"/>
                  </w:rPr>
                  <w:t>ystem</w:t>
                </w:r>
              </w:p>
            </w:tc>
          </w:tr>
          <w:tr w:rsidR="009D4A2C" w:rsidRPr="00884847" w14:paraId="2BBEBDC0" w14:textId="77777777" w:rsidTr="002A4E2E">
            <w:trPr>
              <w:trHeight w:val="300"/>
            </w:trPr>
            <w:tc>
              <w:tcPr>
                <w:tcW w:w="2686" w:type="dxa"/>
                <w:noWrap/>
                <w:hideMark/>
              </w:tcPr>
              <w:p w14:paraId="6ABD443C" w14:textId="295A2C2A" w:rsidR="00884847" w:rsidRPr="00947925" w:rsidRDefault="00884847" w:rsidP="00A66306">
                <w:pPr>
                  <w:spacing w:after="120"/>
                  <w:rPr>
                    <w:rFonts w:asciiTheme="majorHAnsi" w:hAnsiTheme="majorHAnsi" w:cstheme="majorHAnsi"/>
                  </w:rPr>
                </w:pPr>
                <w:r w:rsidRPr="00947925">
                  <w:rPr>
                    <w:rFonts w:asciiTheme="majorHAnsi" w:hAnsiTheme="majorHAnsi" w:cstheme="majorHAnsi"/>
                  </w:rPr>
                  <w:t xml:space="preserve">Finance </w:t>
                </w:r>
                <w:r w:rsidR="002E57FC">
                  <w:rPr>
                    <w:rFonts w:asciiTheme="majorHAnsi" w:hAnsiTheme="majorHAnsi" w:cstheme="majorHAnsi"/>
                  </w:rPr>
                  <w:t>s</w:t>
                </w:r>
                <w:r w:rsidRPr="00947925">
                  <w:rPr>
                    <w:rFonts w:asciiTheme="majorHAnsi" w:hAnsiTheme="majorHAnsi" w:cstheme="majorHAnsi"/>
                  </w:rPr>
                  <w:t>ystems</w:t>
                </w:r>
              </w:p>
            </w:tc>
            <w:tc>
              <w:tcPr>
                <w:tcW w:w="1278" w:type="dxa"/>
                <w:noWrap/>
                <w:hideMark/>
              </w:tcPr>
              <w:p w14:paraId="79EFA928" w14:textId="77777777" w:rsidR="00884847" w:rsidRPr="00947925" w:rsidRDefault="00884847" w:rsidP="00A66306">
                <w:pPr>
                  <w:spacing w:after="120"/>
                  <w:jc w:val="right"/>
                  <w:rPr>
                    <w:rFonts w:asciiTheme="majorHAnsi" w:hAnsiTheme="majorHAnsi" w:cstheme="majorHAnsi"/>
                  </w:rPr>
                </w:pPr>
                <w:r w:rsidRPr="00947925">
                  <w:rPr>
                    <w:rFonts w:asciiTheme="majorHAnsi" w:hAnsiTheme="majorHAnsi" w:cstheme="majorHAnsi"/>
                  </w:rPr>
                  <w:t>50</w:t>
                </w:r>
              </w:p>
            </w:tc>
            <w:tc>
              <w:tcPr>
                <w:tcW w:w="1283" w:type="dxa"/>
                <w:noWrap/>
                <w:hideMark/>
              </w:tcPr>
              <w:p w14:paraId="7A394AEE" w14:textId="77777777" w:rsidR="00884847" w:rsidRPr="00947925" w:rsidRDefault="00884847" w:rsidP="00A66306">
                <w:pPr>
                  <w:spacing w:after="120"/>
                  <w:jc w:val="right"/>
                  <w:rPr>
                    <w:rFonts w:asciiTheme="majorHAnsi" w:hAnsiTheme="majorHAnsi" w:cstheme="majorHAnsi"/>
                  </w:rPr>
                </w:pPr>
                <w:r w:rsidRPr="00947925">
                  <w:rPr>
                    <w:rFonts w:asciiTheme="majorHAnsi" w:hAnsiTheme="majorHAnsi" w:cstheme="majorHAnsi"/>
                  </w:rPr>
                  <w:t>50</w:t>
                </w:r>
              </w:p>
            </w:tc>
            <w:tc>
              <w:tcPr>
                <w:tcW w:w="5239" w:type="dxa"/>
                <w:noWrap/>
                <w:hideMark/>
              </w:tcPr>
              <w:p w14:paraId="02FC7FC8" w14:textId="33445122" w:rsidR="00884847" w:rsidRPr="00947925" w:rsidRDefault="00884847" w:rsidP="00A66306">
                <w:pPr>
                  <w:spacing w:after="120"/>
                  <w:rPr>
                    <w:rFonts w:asciiTheme="majorHAnsi" w:hAnsiTheme="majorHAnsi" w:cstheme="majorHAnsi"/>
                  </w:rPr>
                </w:pPr>
                <w:r w:rsidRPr="00947925">
                  <w:rPr>
                    <w:rFonts w:asciiTheme="majorHAnsi" w:hAnsiTheme="majorHAnsi" w:cstheme="majorHAnsi"/>
                  </w:rPr>
                  <w:t xml:space="preserve">Charging </w:t>
                </w:r>
                <w:r w:rsidR="001E3D26">
                  <w:rPr>
                    <w:rFonts w:asciiTheme="majorHAnsi" w:hAnsiTheme="majorHAnsi" w:cstheme="majorHAnsi"/>
                  </w:rPr>
                  <w:t>c</w:t>
                </w:r>
                <w:r w:rsidRPr="00947925">
                  <w:rPr>
                    <w:rFonts w:asciiTheme="majorHAnsi" w:hAnsiTheme="majorHAnsi" w:cstheme="majorHAnsi"/>
                  </w:rPr>
                  <w:t xml:space="preserve">ost </w:t>
                </w:r>
                <w:r w:rsidR="001E3D26">
                  <w:rPr>
                    <w:rFonts w:asciiTheme="majorHAnsi" w:hAnsiTheme="majorHAnsi" w:cstheme="majorHAnsi"/>
                  </w:rPr>
                  <w:t>r</w:t>
                </w:r>
                <w:r w:rsidRPr="00947925">
                  <w:rPr>
                    <w:rFonts w:asciiTheme="majorHAnsi" w:hAnsiTheme="majorHAnsi" w:cstheme="majorHAnsi"/>
                  </w:rPr>
                  <w:t>eview</w:t>
                </w:r>
              </w:p>
            </w:tc>
          </w:tr>
          <w:tr w:rsidR="009D4A2C" w:rsidRPr="00884847" w14:paraId="40123B70" w14:textId="77777777" w:rsidTr="002A4E2E">
            <w:trPr>
              <w:trHeight w:val="300"/>
            </w:trPr>
            <w:tc>
              <w:tcPr>
                <w:tcW w:w="2686" w:type="dxa"/>
                <w:noWrap/>
                <w:hideMark/>
              </w:tcPr>
              <w:p w14:paraId="4F823B07" w14:textId="77777777" w:rsidR="00884847" w:rsidRPr="00947925" w:rsidRDefault="00884847" w:rsidP="00A66306">
                <w:pPr>
                  <w:spacing w:after="120"/>
                  <w:rPr>
                    <w:rFonts w:asciiTheme="majorHAnsi" w:hAnsiTheme="majorHAnsi" w:cstheme="majorHAnsi"/>
                  </w:rPr>
                </w:pPr>
                <w:r w:rsidRPr="00947925">
                  <w:rPr>
                    <w:rFonts w:asciiTheme="majorHAnsi" w:hAnsiTheme="majorHAnsi" w:cstheme="majorHAnsi"/>
                  </w:rPr>
                  <w:t>Workspaces</w:t>
                </w:r>
              </w:p>
            </w:tc>
            <w:tc>
              <w:tcPr>
                <w:tcW w:w="1278" w:type="dxa"/>
                <w:noWrap/>
                <w:hideMark/>
              </w:tcPr>
              <w:p w14:paraId="521F68F0" w14:textId="77777777" w:rsidR="00884847" w:rsidRPr="00947925" w:rsidRDefault="00884847" w:rsidP="00A66306">
                <w:pPr>
                  <w:spacing w:after="120"/>
                  <w:jc w:val="right"/>
                  <w:rPr>
                    <w:rFonts w:asciiTheme="majorHAnsi" w:hAnsiTheme="majorHAnsi" w:cstheme="majorHAnsi"/>
                  </w:rPr>
                </w:pPr>
                <w:r w:rsidRPr="00947925">
                  <w:rPr>
                    <w:rFonts w:asciiTheme="majorHAnsi" w:hAnsiTheme="majorHAnsi" w:cstheme="majorHAnsi"/>
                  </w:rPr>
                  <w:t>1,045</w:t>
                </w:r>
              </w:p>
            </w:tc>
            <w:tc>
              <w:tcPr>
                <w:tcW w:w="1283" w:type="dxa"/>
                <w:noWrap/>
                <w:hideMark/>
              </w:tcPr>
              <w:p w14:paraId="1A09A086" w14:textId="77777777" w:rsidR="00884847" w:rsidRPr="00947925" w:rsidRDefault="00884847" w:rsidP="00A66306">
                <w:pPr>
                  <w:spacing w:after="120"/>
                  <w:jc w:val="right"/>
                  <w:rPr>
                    <w:rFonts w:asciiTheme="majorHAnsi" w:hAnsiTheme="majorHAnsi" w:cstheme="majorHAnsi"/>
                  </w:rPr>
                </w:pPr>
                <w:r w:rsidRPr="00947925">
                  <w:rPr>
                    <w:rFonts w:asciiTheme="majorHAnsi" w:hAnsiTheme="majorHAnsi" w:cstheme="majorHAnsi"/>
                  </w:rPr>
                  <w:t>925</w:t>
                </w:r>
              </w:p>
            </w:tc>
            <w:tc>
              <w:tcPr>
                <w:tcW w:w="5239" w:type="dxa"/>
                <w:noWrap/>
                <w:hideMark/>
              </w:tcPr>
              <w:p w14:paraId="7E5FE647" w14:textId="23823D88" w:rsidR="00884847" w:rsidRPr="00947925" w:rsidRDefault="00884847" w:rsidP="00A66306">
                <w:pPr>
                  <w:spacing w:after="120"/>
                  <w:rPr>
                    <w:rFonts w:asciiTheme="majorHAnsi" w:hAnsiTheme="majorHAnsi" w:cstheme="majorHAnsi"/>
                  </w:rPr>
                </w:pPr>
                <w:r w:rsidRPr="00947925">
                  <w:rPr>
                    <w:rFonts w:asciiTheme="majorHAnsi" w:hAnsiTheme="majorHAnsi" w:cstheme="majorHAnsi"/>
                  </w:rPr>
                  <w:t xml:space="preserve">Stirling </w:t>
                </w:r>
                <w:r w:rsidR="001E3D26">
                  <w:rPr>
                    <w:rFonts w:asciiTheme="majorHAnsi" w:hAnsiTheme="majorHAnsi" w:cstheme="majorHAnsi"/>
                  </w:rPr>
                  <w:t>o</w:t>
                </w:r>
                <w:r w:rsidRPr="00947925">
                  <w:rPr>
                    <w:rFonts w:asciiTheme="majorHAnsi" w:hAnsiTheme="majorHAnsi" w:cstheme="majorHAnsi"/>
                  </w:rPr>
                  <w:t xml:space="preserve">ffice </w:t>
                </w:r>
                <w:r w:rsidR="001E3D26">
                  <w:rPr>
                    <w:rFonts w:asciiTheme="majorHAnsi" w:hAnsiTheme="majorHAnsi" w:cstheme="majorHAnsi"/>
                  </w:rPr>
                  <w:t>d</w:t>
                </w:r>
                <w:r w:rsidRPr="00947925">
                  <w:rPr>
                    <w:rFonts w:asciiTheme="majorHAnsi" w:hAnsiTheme="majorHAnsi" w:cstheme="majorHAnsi"/>
                  </w:rPr>
                  <w:t>ilapidations</w:t>
                </w:r>
              </w:p>
            </w:tc>
          </w:tr>
          <w:tr w:rsidR="009D4A2C" w:rsidRPr="00884847" w14:paraId="6E3347A8" w14:textId="77777777" w:rsidTr="002A4E2E">
            <w:trPr>
              <w:trHeight w:val="300"/>
            </w:trPr>
            <w:tc>
              <w:tcPr>
                <w:tcW w:w="2686" w:type="dxa"/>
                <w:noWrap/>
                <w:hideMark/>
              </w:tcPr>
              <w:p w14:paraId="167F0517" w14:textId="77777777" w:rsidR="00884847" w:rsidRPr="00947925" w:rsidRDefault="00884847" w:rsidP="00A66306">
                <w:pPr>
                  <w:spacing w:after="120"/>
                  <w:rPr>
                    <w:rFonts w:asciiTheme="majorHAnsi" w:hAnsiTheme="majorHAnsi" w:cstheme="majorHAnsi"/>
                  </w:rPr>
                </w:pPr>
                <w:r w:rsidRPr="00947925">
                  <w:rPr>
                    <w:rFonts w:asciiTheme="majorHAnsi" w:hAnsiTheme="majorHAnsi" w:cstheme="majorHAnsi"/>
                  </w:rPr>
                  <w:t>Hydrology</w:t>
                </w:r>
              </w:p>
            </w:tc>
            <w:tc>
              <w:tcPr>
                <w:tcW w:w="1278" w:type="dxa"/>
                <w:noWrap/>
                <w:hideMark/>
              </w:tcPr>
              <w:p w14:paraId="21F30F2F" w14:textId="77777777" w:rsidR="00884847" w:rsidRPr="00947925" w:rsidRDefault="00884847" w:rsidP="00A66306">
                <w:pPr>
                  <w:spacing w:after="120"/>
                  <w:jc w:val="right"/>
                  <w:rPr>
                    <w:rFonts w:asciiTheme="majorHAnsi" w:hAnsiTheme="majorHAnsi" w:cstheme="majorHAnsi"/>
                  </w:rPr>
                </w:pPr>
                <w:r w:rsidRPr="00947925">
                  <w:rPr>
                    <w:rFonts w:asciiTheme="majorHAnsi" w:hAnsiTheme="majorHAnsi" w:cstheme="majorHAnsi"/>
                  </w:rPr>
                  <w:t>2,428</w:t>
                </w:r>
              </w:p>
            </w:tc>
            <w:tc>
              <w:tcPr>
                <w:tcW w:w="1283" w:type="dxa"/>
                <w:noWrap/>
                <w:hideMark/>
              </w:tcPr>
              <w:p w14:paraId="049A5106" w14:textId="77777777" w:rsidR="00884847" w:rsidRPr="00947925" w:rsidRDefault="00884847" w:rsidP="00A66306">
                <w:pPr>
                  <w:spacing w:after="120"/>
                  <w:jc w:val="right"/>
                  <w:rPr>
                    <w:rFonts w:asciiTheme="majorHAnsi" w:hAnsiTheme="majorHAnsi" w:cstheme="majorHAnsi"/>
                  </w:rPr>
                </w:pPr>
                <w:r w:rsidRPr="00947925">
                  <w:rPr>
                    <w:rFonts w:asciiTheme="majorHAnsi" w:hAnsiTheme="majorHAnsi" w:cstheme="majorHAnsi"/>
                  </w:rPr>
                  <w:t>2,223</w:t>
                </w:r>
              </w:p>
            </w:tc>
            <w:tc>
              <w:tcPr>
                <w:tcW w:w="5239" w:type="dxa"/>
                <w:noWrap/>
                <w:hideMark/>
              </w:tcPr>
              <w:p w14:paraId="2F230994" w14:textId="2A585A45" w:rsidR="00884847" w:rsidRPr="00947925" w:rsidRDefault="00884847" w:rsidP="00A66306">
                <w:pPr>
                  <w:spacing w:after="120"/>
                  <w:rPr>
                    <w:rFonts w:asciiTheme="majorHAnsi" w:hAnsiTheme="majorHAnsi" w:cstheme="majorHAnsi"/>
                  </w:rPr>
                </w:pPr>
                <w:r w:rsidRPr="00947925">
                  <w:rPr>
                    <w:rFonts w:asciiTheme="majorHAnsi" w:hAnsiTheme="majorHAnsi" w:cstheme="majorHAnsi"/>
                  </w:rPr>
                  <w:t xml:space="preserve">Gauging </w:t>
                </w:r>
                <w:r w:rsidR="001E3D26">
                  <w:rPr>
                    <w:rFonts w:asciiTheme="majorHAnsi" w:hAnsiTheme="majorHAnsi" w:cstheme="majorHAnsi"/>
                  </w:rPr>
                  <w:t>s</w:t>
                </w:r>
                <w:r w:rsidRPr="00947925">
                  <w:rPr>
                    <w:rFonts w:asciiTheme="majorHAnsi" w:hAnsiTheme="majorHAnsi" w:cstheme="majorHAnsi"/>
                  </w:rPr>
                  <w:t xml:space="preserve">tations &amp; </w:t>
                </w:r>
                <w:r w:rsidR="001E3D26">
                  <w:rPr>
                    <w:rFonts w:asciiTheme="majorHAnsi" w:hAnsiTheme="majorHAnsi" w:cstheme="majorHAnsi"/>
                  </w:rPr>
                  <w:t>f</w:t>
                </w:r>
                <w:r w:rsidRPr="00947925">
                  <w:rPr>
                    <w:rFonts w:asciiTheme="majorHAnsi" w:hAnsiTheme="majorHAnsi" w:cstheme="majorHAnsi"/>
                  </w:rPr>
                  <w:t>looding projects, flood &amp; coastal asset database.</w:t>
                </w:r>
              </w:p>
            </w:tc>
          </w:tr>
          <w:tr w:rsidR="009D4A2C" w:rsidRPr="00884847" w14:paraId="511E346B" w14:textId="77777777" w:rsidTr="002A4E2E">
            <w:trPr>
              <w:trHeight w:val="300"/>
            </w:trPr>
            <w:tc>
              <w:tcPr>
                <w:tcW w:w="2686" w:type="dxa"/>
                <w:noWrap/>
                <w:hideMark/>
              </w:tcPr>
              <w:p w14:paraId="4050F084" w14:textId="77777777" w:rsidR="00884847" w:rsidRPr="00947925" w:rsidRDefault="00884847" w:rsidP="00A66306">
                <w:pPr>
                  <w:spacing w:after="120"/>
                  <w:rPr>
                    <w:rFonts w:asciiTheme="majorHAnsi" w:hAnsiTheme="majorHAnsi" w:cstheme="majorHAnsi"/>
                  </w:rPr>
                </w:pPr>
                <w:r w:rsidRPr="00947925">
                  <w:rPr>
                    <w:rFonts w:asciiTheme="majorHAnsi" w:hAnsiTheme="majorHAnsi" w:cstheme="majorHAnsi"/>
                  </w:rPr>
                  <w:t>Savings to be identified</w:t>
                </w:r>
              </w:p>
            </w:tc>
            <w:tc>
              <w:tcPr>
                <w:tcW w:w="1278" w:type="dxa"/>
                <w:noWrap/>
                <w:hideMark/>
              </w:tcPr>
              <w:p w14:paraId="7C27D4C9" w14:textId="77777777" w:rsidR="00884847" w:rsidRPr="00947925" w:rsidRDefault="00884847" w:rsidP="00A66306">
                <w:pPr>
                  <w:spacing w:after="120"/>
                  <w:jc w:val="right"/>
                  <w:rPr>
                    <w:rFonts w:asciiTheme="majorHAnsi" w:hAnsiTheme="majorHAnsi" w:cstheme="majorHAnsi"/>
                  </w:rPr>
                </w:pPr>
                <w:r w:rsidRPr="00947925">
                  <w:rPr>
                    <w:rFonts w:asciiTheme="majorHAnsi" w:hAnsiTheme="majorHAnsi" w:cstheme="majorHAnsi"/>
                  </w:rPr>
                  <w:t>(983)</w:t>
                </w:r>
              </w:p>
            </w:tc>
            <w:tc>
              <w:tcPr>
                <w:tcW w:w="1283" w:type="dxa"/>
                <w:noWrap/>
                <w:hideMark/>
              </w:tcPr>
              <w:p w14:paraId="1F1B253F" w14:textId="77777777" w:rsidR="00884847" w:rsidRPr="00947925" w:rsidRDefault="00884847" w:rsidP="00A66306">
                <w:pPr>
                  <w:spacing w:after="120"/>
                  <w:jc w:val="right"/>
                  <w:rPr>
                    <w:rFonts w:asciiTheme="majorHAnsi" w:hAnsiTheme="majorHAnsi" w:cstheme="majorHAnsi"/>
                  </w:rPr>
                </w:pPr>
                <w:r w:rsidRPr="00947925">
                  <w:rPr>
                    <w:rFonts w:asciiTheme="majorHAnsi" w:hAnsiTheme="majorHAnsi" w:cstheme="majorHAnsi"/>
                  </w:rPr>
                  <w:t>(578)</w:t>
                </w:r>
              </w:p>
            </w:tc>
            <w:tc>
              <w:tcPr>
                <w:tcW w:w="5239" w:type="dxa"/>
                <w:noWrap/>
                <w:hideMark/>
              </w:tcPr>
              <w:p w14:paraId="6F70B009" w14:textId="77777777" w:rsidR="00884847" w:rsidRPr="00947925" w:rsidRDefault="00884847" w:rsidP="00A66306">
                <w:pPr>
                  <w:spacing w:after="120"/>
                  <w:rPr>
                    <w:rFonts w:asciiTheme="majorHAnsi" w:hAnsiTheme="majorHAnsi" w:cstheme="majorHAnsi"/>
                  </w:rPr>
                </w:pPr>
                <w:r w:rsidRPr="00947925">
                  <w:rPr>
                    <w:rFonts w:asciiTheme="majorHAnsi" w:hAnsiTheme="majorHAnsi" w:cstheme="majorHAnsi"/>
                  </w:rPr>
                  <w:t> </w:t>
                </w:r>
              </w:p>
            </w:tc>
          </w:tr>
          <w:tr w:rsidR="009D4A2C" w:rsidRPr="00884847" w14:paraId="729B140D" w14:textId="77777777" w:rsidTr="002A4E2E">
            <w:trPr>
              <w:trHeight w:val="300"/>
            </w:trPr>
            <w:tc>
              <w:tcPr>
                <w:tcW w:w="2686" w:type="dxa"/>
                <w:noWrap/>
                <w:hideMark/>
              </w:tcPr>
              <w:p w14:paraId="0ECDBD1F" w14:textId="035D1D48" w:rsidR="00884847" w:rsidRPr="00947925" w:rsidRDefault="00884847" w:rsidP="00A66306">
                <w:pPr>
                  <w:spacing w:after="120"/>
                  <w:rPr>
                    <w:rFonts w:asciiTheme="majorHAnsi" w:hAnsiTheme="majorHAnsi" w:cstheme="majorHAnsi"/>
                    <w:b/>
                    <w:bCs/>
                  </w:rPr>
                </w:pPr>
                <w:r w:rsidRPr="00947925">
                  <w:rPr>
                    <w:rFonts w:asciiTheme="majorHAnsi" w:hAnsiTheme="majorHAnsi" w:cstheme="majorHAnsi"/>
                    <w:b/>
                    <w:bCs/>
                  </w:rPr>
                  <w:t>Total</w:t>
                </w:r>
              </w:p>
            </w:tc>
            <w:tc>
              <w:tcPr>
                <w:tcW w:w="1278" w:type="dxa"/>
                <w:noWrap/>
                <w:hideMark/>
              </w:tcPr>
              <w:p w14:paraId="05DD1659" w14:textId="77777777" w:rsidR="00884847" w:rsidRPr="00947925" w:rsidRDefault="00884847" w:rsidP="00A66306">
                <w:pPr>
                  <w:spacing w:after="120"/>
                  <w:jc w:val="right"/>
                  <w:rPr>
                    <w:rFonts w:asciiTheme="majorHAnsi" w:hAnsiTheme="majorHAnsi" w:cstheme="majorHAnsi"/>
                    <w:b/>
                    <w:bCs/>
                  </w:rPr>
                </w:pPr>
                <w:r w:rsidRPr="00947925">
                  <w:rPr>
                    <w:rFonts w:asciiTheme="majorHAnsi" w:hAnsiTheme="majorHAnsi" w:cstheme="majorHAnsi"/>
                    <w:b/>
                    <w:bCs/>
                  </w:rPr>
                  <w:t>6,240</w:t>
                </w:r>
              </w:p>
            </w:tc>
            <w:tc>
              <w:tcPr>
                <w:tcW w:w="1283" w:type="dxa"/>
                <w:noWrap/>
                <w:hideMark/>
              </w:tcPr>
              <w:p w14:paraId="0DAEFDC5" w14:textId="77777777" w:rsidR="00884847" w:rsidRPr="00947925" w:rsidRDefault="00884847" w:rsidP="00A66306">
                <w:pPr>
                  <w:spacing w:after="120"/>
                  <w:jc w:val="right"/>
                  <w:rPr>
                    <w:rFonts w:asciiTheme="majorHAnsi" w:hAnsiTheme="majorHAnsi" w:cstheme="majorHAnsi"/>
                    <w:b/>
                    <w:bCs/>
                  </w:rPr>
                </w:pPr>
                <w:r w:rsidRPr="00947925">
                  <w:rPr>
                    <w:rFonts w:asciiTheme="majorHAnsi" w:hAnsiTheme="majorHAnsi" w:cstheme="majorHAnsi"/>
                    <w:b/>
                    <w:bCs/>
                  </w:rPr>
                  <w:t>6,240</w:t>
                </w:r>
              </w:p>
            </w:tc>
            <w:tc>
              <w:tcPr>
                <w:tcW w:w="5239" w:type="dxa"/>
                <w:noWrap/>
                <w:hideMark/>
              </w:tcPr>
              <w:p w14:paraId="0D4A3334" w14:textId="77777777" w:rsidR="00884847" w:rsidRPr="00947925" w:rsidRDefault="00884847" w:rsidP="00A66306">
                <w:pPr>
                  <w:spacing w:after="120"/>
                  <w:rPr>
                    <w:rFonts w:asciiTheme="majorHAnsi" w:hAnsiTheme="majorHAnsi" w:cstheme="majorHAnsi"/>
                    <w:b/>
                    <w:bCs/>
                  </w:rPr>
                </w:pPr>
                <w:r w:rsidRPr="00947925">
                  <w:rPr>
                    <w:rFonts w:asciiTheme="majorHAnsi" w:hAnsiTheme="majorHAnsi" w:cstheme="majorHAnsi"/>
                    <w:b/>
                    <w:bCs/>
                  </w:rPr>
                  <w:t> </w:t>
                </w:r>
              </w:p>
            </w:tc>
          </w:tr>
        </w:tbl>
        <w:p w14:paraId="569A2A83" w14:textId="76821BB1" w:rsidR="00D276C7" w:rsidRPr="00274F39" w:rsidRDefault="00D276C7" w:rsidP="00274F39">
          <w:pPr>
            <w:spacing w:after="0" w:line="240" w:lineRule="auto"/>
            <w:rPr>
              <w:rStyle w:val="normaltextrun"/>
              <w:sz w:val="20"/>
              <w:szCs w:val="20"/>
            </w:rPr>
          </w:pPr>
        </w:p>
        <w:p w14:paraId="2D869AF5" w14:textId="33FD4CBC" w:rsidR="004969A9" w:rsidRDefault="00B84122" w:rsidP="006E3ED0">
          <w:pPr>
            <w:pStyle w:val="ListParagraph"/>
            <w:numPr>
              <w:ilvl w:val="0"/>
              <w:numId w:val="13"/>
            </w:numPr>
            <w:ind w:left="993" w:hanging="567"/>
            <w:rPr>
              <w:rStyle w:val="normaltextrun"/>
            </w:rPr>
          </w:pPr>
          <w:r>
            <w:t xml:space="preserve">SEPA’s capital budget provided by Scottish Government for the year is £5.64m. The budget was approved with an over commitment based on the historical knowledge that capital projects are liable to </w:t>
          </w:r>
          <w:r w:rsidR="1EE2E004">
            <w:t>pricing and lead time changes and re</w:t>
          </w:r>
          <w:r>
            <w:t>vision of original budget estimates during the procurement journey. The current over commitment is 10% over budget</w:t>
          </w:r>
          <w:r w:rsidR="00F16FF5">
            <w:t xml:space="preserve">, however, spend will be delivered within budget. </w:t>
          </w:r>
          <w:r w:rsidR="00E253BE">
            <w:t xml:space="preserve"> </w:t>
          </w:r>
        </w:p>
        <w:p w14:paraId="5A9F1945" w14:textId="77777777" w:rsidR="004969A9" w:rsidRDefault="004969A9" w:rsidP="001F20D8">
          <w:pPr>
            <w:pStyle w:val="ListParagraph"/>
            <w:ind w:left="1077"/>
            <w:rPr>
              <w:rStyle w:val="normaltextrun"/>
            </w:rPr>
          </w:pPr>
        </w:p>
        <w:p w14:paraId="4A6429A0" w14:textId="16B8D8AE" w:rsidR="00277F38" w:rsidRDefault="00E253BE" w:rsidP="006E3ED0">
          <w:pPr>
            <w:pStyle w:val="ListParagraph"/>
            <w:numPr>
              <w:ilvl w:val="0"/>
              <w:numId w:val="13"/>
            </w:numPr>
            <w:ind w:left="993" w:hanging="567"/>
            <w:rPr>
              <w:rStyle w:val="normaltextrun"/>
            </w:rPr>
          </w:pPr>
          <w:r>
            <w:lastRenderedPageBreak/>
            <w:t xml:space="preserve">In </w:t>
          </w:r>
          <w:r w:rsidR="008A6183">
            <w:t>July</w:t>
          </w:r>
          <w:r>
            <w:t>, SG confirmed that they will transfer an additional £0.6m for supporting the creation of a foundational flood and coastal asset database for Scotland, increasing the total capital budget to £6.24m</w:t>
          </w:r>
          <w:r w:rsidR="008A6183">
            <w:t xml:space="preserve">. </w:t>
          </w:r>
        </w:p>
        <w:p w14:paraId="1E62837B" w14:textId="0F7791C1" w:rsidR="00F07596" w:rsidRPr="005F4DEC" w:rsidRDefault="00F07596" w:rsidP="00EF1D83">
          <w:pPr>
            <w:pStyle w:val="Heading2"/>
            <w:numPr>
              <w:ilvl w:val="0"/>
              <w:numId w:val="20"/>
            </w:numPr>
            <w:ind w:left="426" w:hanging="426"/>
            <w:rPr>
              <w:rStyle w:val="normaltextrun"/>
              <w:color w:val="auto"/>
              <w:sz w:val="28"/>
              <w:szCs w:val="28"/>
            </w:rPr>
          </w:pPr>
          <w:r w:rsidRPr="005F4DEC">
            <w:rPr>
              <w:rStyle w:val="normaltextrun"/>
              <w:color w:val="auto"/>
              <w:sz w:val="28"/>
              <w:szCs w:val="28"/>
            </w:rPr>
            <w:t>Statement of Financial Position</w:t>
          </w:r>
        </w:p>
        <w:p w14:paraId="0ADFC6D8" w14:textId="385DD8E9" w:rsidR="00644788" w:rsidRPr="00644788" w:rsidRDefault="00F07596" w:rsidP="006E3ED0">
          <w:pPr>
            <w:pStyle w:val="ListParagraph"/>
            <w:numPr>
              <w:ilvl w:val="1"/>
              <w:numId w:val="18"/>
            </w:numPr>
            <w:ind w:left="993" w:hanging="568"/>
          </w:pPr>
          <w:r w:rsidRPr="00F07596">
            <w:t xml:space="preserve">The Statement of Financial Position is tabled </w:t>
          </w:r>
          <w:r w:rsidR="00F904E1" w:rsidRPr="00F07596">
            <w:t>below</w:t>
          </w:r>
          <w:r w:rsidR="00644788">
            <w:t>.</w:t>
          </w:r>
          <w:r w:rsidR="00F904E1">
            <w:t xml:space="preserve"> </w:t>
          </w:r>
          <w:r w:rsidR="00644788" w:rsidRPr="00644788">
            <w:t>The 2024</w:t>
          </w:r>
          <w:r w:rsidR="009D4F4A">
            <w:t>/</w:t>
          </w:r>
          <w:r w:rsidR="00644788" w:rsidRPr="00644788">
            <w:t>25 figures are drafts pending external audit, which begins in September.</w:t>
          </w:r>
        </w:p>
        <w:p w14:paraId="0A8DF529" w14:textId="31337CE6" w:rsidR="00644788" w:rsidRPr="00644788" w:rsidRDefault="00644788" w:rsidP="00644788">
          <w:pPr>
            <w:ind w:left="425"/>
            <w:rPr>
              <w:rFonts w:ascii="Arial" w:hAnsi="Arial" w:cs="Arial"/>
            </w:rPr>
          </w:pPr>
          <w:bookmarkStart w:id="4" w:name="_Hlk204344410"/>
        </w:p>
        <w:bookmarkEnd w:id="4"/>
        <w:p w14:paraId="67DDB1EB" w14:textId="45020BF9" w:rsidR="00CE2E1F" w:rsidRPr="00AD3A45" w:rsidRDefault="00644788" w:rsidP="00AD3A45">
          <w:pPr>
            <w:pStyle w:val="Heading4"/>
            <w:rPr>
              <w:szCs w:val="28"/>
            </w:rPr>
          </w:pPr>
          <w:r>
            <w:lastRenderedPageBreak/>
            <w:t>T</w:t>
          </w:r>
          <w:r w:rsidR="00CE2E1F" w:rsidRPr="00AD3A45">
            <w:t xml:space="preserve">able </w:t>
          </w:r>
          <w:r w:rsidR="00E32B12" w:rsidRPr="00AD3A45">
            <w:t>4</w:t>
          </w:r>
          <w:r w:rsidR="009A6E23" w:rsidRPr="00AD3A45">
            <w:t>:</w:t>
          </w:r>
          <w:r w:rsidR="00CE2E1F" w:rsidRPr="00AD3A45">
            <w:t xml:space="preserve"> </w:t>
          </w:r>
          <w:r w:rsidR="00F904E1">
            <w:t xml:space="preserve">Draft </w:t>
          </w:r>
          <w:r w:rsidR="00CE2E1F" w:rsidRPr="00AD3A45">
            <w:t>Statement of Financial Position</w:t>
          </w:r>
          <w:r w:rsidR="00676624" w:rsidRPr="00AD3A45">
            <w:t xml:space="preserve"> period to 3</w:t>
          </w:r>
          <w:r w:rsidR="00F904E1">
            <w:t>0</w:t>
          </w:r>
          <w:r w:rsidR="00676624" w:rsidRPr="00AD3A45">
            <w:t xml:space="preserve"> </w:t>
          </w:r>
          <w:r w:rsidR="00F904E1">
            <w:t xml:space="preserve">June </w:t>
          </w:r>
          <w:r w:rsidR="00676624" w:rsidRPr="00AD3A45">
            <w:t>202</w:t>
          </w:r>
          <w:r w:rsidR="00F904E1">
            <w:t>5</w:t>
          </w:r>
        </w:p>
        <w:tbl>
          <w:tblPr>
            <w:tblStyle w:val="TableGrid"/>
            <w:tblW w:w="9520" w:type="dxa"/>
            <w:tblLook w:val="04A0" w:firstRow="1" w:lastRow="0" w:firstColumn="1" w:lastColumn="0" w:noHBand="0" w:noVBand="1"/>
            <w:tblCaption w:val="Table 4: Draft Statement of Financial Position period to 30 June 2025"/>
          </w:tblPr>
          <w:tblGrid>
            <w:gridCol w:w="5098"/>
            <w:gridCol w:w="2211"/>
            <w:gridCol w:w="2211"/>
          </w:tblGrid>
          <w:tr w:rsidR="006D17C2" w:rsidRPr="008463BD" w14:paraId="43E2E955" w14:textId="4AE0AEB0" w:rsidTr="00D744DB">
            <w:trPr>
              <w:trHeight w:val="1125"/>
            </w:trPr>
            <w:tc>
              <w:tcPr>
                <w:tcW w:w="5098" w:type="dxa"/>
                <w:shd w:val="clear" w:color="auto" w:fill="016574" w:themeFill="accent1"/>
                <w:hideMark/>
              </w:tcPr>
              <w:p w14:paraId="6A51BE6F" w14:textId="36BF0182" w:rsidR="006D17C2" w:rsidRPr="00B32305" w:rsidRDefault="006D17C2" w:rsidP="00DB4E85">
                <w:pPr>
                  <w:pStyle w:val="Heading2"/>
                  <w:spacing w:after="0" w:line="360" w:lineRule="auto"/>
                  <w:ind w:left="426"/>
                  <w:rPr>
                    <w:b w:val="0"/>
                    <w:color w:val="FFFFFF" w:themeColor="background1"/>
                    <w:sz w:val="24"/>
                    <w:szCs w:val="24"/>
                  </w:rPr>
                </w:pPr>
                <w:bookmarkStart w:id="5" w:name="_Hlk206578504"/>
              </w:p>
            </w:tc>
            <w:tc>
              <w:tcPr>
                <w:tcW w:w="2211" w:type="dxa"/>
                <w:shd w:val="clear" w:color="auto" w:fill="016574" w:themeFill="accent1"/>
                <w:hideMark/>
              </w:tcPr>
              <w:p w14:paraId="6E656BBB" w14:textId="15ABB0C2" w:rsidR="006D17C2" w:rsidRPr="00B32305" w:rsidRDefault="006D17C2" w:rsidP="00DB4E85">
                <w:pPr>
                  <w:pStyle w:val="Heading2"/>
                  <w:spacing w:after="0" w:line="360" w:lineRule="auto"/>
                  <w:ind w:left="426"/>
                  <w:jc w:val="right"/>
                  <w:rPr>
                    <w:bCs/>
                    <w:color w:val="FFFFFF" w:themeColor="background1"/>
                    <w:sz w:val="24"/>
                    <w:szCs w:val="24"/>
                  </w:rPr>
                </w:pPr>
                <w:r w:rsidRPr="00B32305">
                  <w:rPr>
                    <w:bCs/>
                    <w:color w:val="FFFFFF" w:themeColor="background1"/>
                    <w:sz w:val="24"/>
                    <w:szCs w:val="24"/>
                  </w:rPr>
                  <w:t>Period to June 2025 £'000</w:t>
                </w:r>
              </w:p>
            </w:tc>
            <w:tc>
              <w:tcPr>
                <w:tcW w:w="2211" w:type="dxa"/>
                <w:shd w:val="clear" w:color="auto" w:fill="016574" w:themeFill="accent1"/>
              </w:tcPr>
              <w:p w14:paraId="3CA1561B" w14:textId="3FEFE8BB" w:rsidR="006D17C2" w:rsidRPr="00B32305" w:rsidRDefault="006D17C2" w:rsidP="00DB4E85">
                <w:pPr>
                  <w:pStyle w:val="Heading2"/>
                  <w:spacing w:after="0" w:line="360" w:lineRule="auto"/>
                  <w:ind w:left="426"/>
                  <w:jc w:val="right"/>
                  <w:rPr>
                    <w:bCs/>
                    <w:color w:val="FFFFFF" w:themeColor="background1"/>
                    <w:sz w:val="24"/>
                    <w:szCs w:val="24"/>
                  </w:rPr>
                </w:pPr>
                <w:r>
                  <w:rPr>
                    <w:bCs/>
                    <w:color w:val="FFFFFF" w:themeColor="background1"/>
                    <w:sz w:val="24"/>
                    <w:szCs w:val="24"/>
                  </w:rPr>
                  <w:t>Year to March 2025 £’000</w:t>
                </w:r>
              </w:p>
            </w:tc>
          </w:tr>
          <w:tr w:rsidR="006D17C2" w:rsidRPr="008463BD" w14:paraId="4B23A1E1" w14:textId="1A662CCC" w:rsidTr="00D744DB">
            <w:trPr>
              <w:cantSplit/>
              <w:trHeight w:val="312"/>
            </w:trPr>
            <w:tc>
              <w:tcPr>
                <w:tcW w:w="5098" w:type="dxa"/>
                <w:hideMark/>
              </w:tcPr>
              <w:p w14:paraId="731E3A37" w14:textId="0C2A8089" w:rsidR="006D17C2" w:rsidRPr="007E3E7F" w:rsidRDefault="006D17C2" w:rsidP="00DB4E85">
                <w:pPr>
                  <w:pStyle w:val="Heading2"/>
                  <w:spacing w:after="0" w:line="360" w:lineRule="auto"/>
                  <w:jc w:val="both"/>
                  <w:rPr>
                    <w:bCs/>
                    <w:color w:val="auto"/>
                    <w:sz w:val="24"/>
                    <w:szCs w:val="24"/>
                  </w:rPr>
                </w:pPr>
                <w:r w:rsidRPr="007E3E7F">
                  <w:rPr>
                    <w:bCs/>
                    <w:color w:val="auto"/>
                    <w:sz w:val="24"/>
                    <w:szCs w:val="24"/>
                  </w:rPr>
                  <w:t>Non-current assets</w:t>
                </w:r>
              </w:p>
            </w:tc>
            <w:tc>
              <w:tcPr>
                <w:tcW w:w="2211" w:type="dxa"/>
                <w:noWrap/>
                <w:hideMark/>
              </w:tcPr>
              <w:p w14:paraId="137002AF" w14:textId="0B4A742C" w:rsidR="006D17C2" w:rsidRPr="00C37C32" w:rsidRDefault="006D17C2" w:rsidP="00DB4E85">
                <w:pPr>
                  <w:pStyle w:val="Heading2"/>
                  <w:spacing w:after="0" w:line="360" w:lineRule="auto"/>
                  <w:ind w:left="426"/>
                  <w:jc w:val="right"/>
                  <w:rPr>
                    <w:b w:val="0"/>
                    <w:color w:val="auto"/>
                    <w:sz w:val="24"/>
                    <w:szCs w:val="24"/>
                  </w:rPr>
                </w:pPr>
                <w:r w:rsidRPr="00C37C32">
                  <w:rPr>
                    <w:b w:val="0"/>
                    <w:color w:val="auto"/>
                    <w:sz w:val="24"/>
                    <w:szCs w:val="24"/>
                  </w:rPr>
                  <w:t> </w:t>
                </w:r>
              </w:p>
            </w:tc>
            <w:tc>
              <w:tcPr>
                <w:tcW w:w="2211" w:type="dxa"/>
              </w:tcPr>
              <w:p w14:paraId="1BE23B02" w14:textId="77777777" w:rsidR="006D17C2" w:rsidRPr="00C37C32" w:rsidRDefault="006D17C2" w:rsidP="00DB4E85">
                <w:pPr>
                  <w:pStyle w:val="Heading2"/>
                  <w:spacing w:after="0" w:line="360" w:lineRule="auto"/>
                  <w:ind w:left="426"/>
                  <w:jc w:val="right"/>
                  <w:rPr>
                    <w:b w:val="0"/>
                    <w:color w:val="auto"/>
                    <w:sz w:val="24"/>
                    <w:szCs w:val="24"/>
                  </w:rPr>
                </w:pPr>
              </w:p>
            </w:tc>
          </w:tr>
          <w:tr w:rsidR="006D17C2" w:rsidRPr="008463BD" w14:paraId="276BDEDA" w14:textId="151BB11E" w:rsidTr="00D744DB">
            <w:trPr>
              <w:cantSplit/>
              <w:trHeight w:val="312"/>
            </w:trPr>
            <w:tc>
              <w:tcPr>
                <w:tcW w:w="5098" w:type="dxa"/>
                <w:hideMark/>
              </w:tcPr>
              <w:p w14:paraId="31061852" w14:textId="77777777" w:rsidR="006D17C2" w:rsidRPr="00C37C32" w:rsidRDefault="006D17C2" w:rsidP="00DB4E85">
                <w:pPr>
                  <w:pStyle w:val="Heading2"/>
                  <w:spacing w:after="0" w:line="360" w:lineRule="auto"/>
                  <w:jc w:val="both"/>
                  <w:rPr>
                    <w:b w:val="0"/>
                    <w:color w:val="auto"/>
                    <w:sz w:val="24"/>
                    <w:szCs w:val="24"/>
                  </w:rPr>
                </w:pPr>
                <w:r w:rsidRPr="00C37C32">
                  <w:rPr>
                    <w:b w:val="0"/>
                    <w:color w:val="auto"/>
                    <w:sz w:val="24"/>
                    <w:szCs w:val="24"/>
                  </w:rPr>
                  <w:t>Property, plant and equipment</w:t>
                </w:r>
              </w:p>
            </w:tc>
            <w:tc>
              <w:tcPr>
                <w:tcW w:w="2211" w:type="dxa"/>
                <w:noWrap/>
                <w:hideMark/>
              </w:tcPr>
              <w:p w14:paraId="108708DE" w14:textId="27CBC641" w:rsidR="006D17C2" w:rsidRPr="00C37C32" w:rsidRDefault="006D17C2" w:rsidP="00DB4E85">
                <w:pPr>
                  <w:pStyle w:val="Heading2"/>
                  <w:spacing w:after="0" w:line="360" w:lineRule="auto"/>
                  <w:ind w:left="426"/>
                  <w:jc w:val="right"/>
                  <w:rPr>
                    <w:b w:val="0"/>
                    <w:color w:val="auto"/>
                    <w:sz w:val="24"/>
                    <w:szCs w:val="24"/>
                  </w:rPr>
                </w:pPr>
                <w:r w:rsidRPr="00C37C32">
                  <w:rPr>
                    <w:b w:val="0"/>
                    <w:color w:val="auto"/>
                    <w:sz w:val="24"/>
                    <w:szCs w:val="24"/>
                  </w:rPr>
                  <w:t>40,322</w:t>
                </w:r>
              </w:p>
            </w:tc>
            <w:tc>
              <w:tcPr>
                <w:tcW w:w="2211" w:type="dxa"/>
              </w:tcPr>
              <w:p w14:paraId="3F5CDF1A" w14:textId="71C0358F" w:rsidR="006D17C2" w:rsidRPr="00C37C32" w:rsidRDefault="006D17C2" w:rsidP="00DB4E85">
                <w:pPr>
                  <w:pStyle w:val="Heading2"/>
                  <w:spacing w:after="0" w:line="360" w:lineRule="auto"/>
                  <w:ind w:left="426"/>
                  <w:jc w:val="right"/>
                  <w:rPr>
                    <w:b w:val="0"/>
                    <w:color w:val="auto"/>
                    <w:sz w:val="24"/>
                    <w:szCs w:val="24"/>
                  </w:rPr>
                </w:pPr>
                <w:r w:rsidRPr="00C37C32">
                  <w:rPr>
                    <w:b w:val="0"/>
                    <w:color w:val="auto"/>
                    <w:sz w:val="24"/>
                    <w:szCs w:val="24"/>
                  </w:rPr>
                  <w:t>42,075</w:t>
                </w:r>
              </w:p>
            </w:tc>
          </w:tr>
          <w:tr w:rsidR="006D17C2" w:rsidRPr="008463BD" w14:paraId="59E4DBA0" w14:textId="03BE6AC4" w:rsidTr="00D744DB">
            <w:trPr>
              <w:cantSplit/>
              <w:trHeight w:val="312"/>
            </w:trPr>
            <w:tc>
              <w:tcPr>
                <w:tcW w:w="5098" w:type="dxa"/>
                <w:hideMark/>
              </w:tcPr>
              <w:p w14:paraId="70511F7E" w14:textId="77777777" w:rsidR="006D17C2" w:rsidRPr="00C37C32" w:rsidRDefault="006D17C2" w:rsidP="00DB4E85">
                <w:pPr>
                  <w:pStyle w:val="Heading2"/>
                  <w:spacing w:after="0" w:line="360" w:lineRule="auto"/>
                  <w:jc w:val="both"/>
                  <w:rPr>
                    <w:b w:val="0"/>
                    <w:color w:val="auto"/>
                    <w:sz w:val="24"/>
                    <w:szCs w:val="24"/>
                  </w:rPr>
                </w:pPr>
                <w:r w:rsidRPr="00C37C32">
                  <w:rPr>
                    <w:b w:val="0"/>
                    <w:color w:val="auto"/>
                    <w:sz w:val="24"/>
                    <w:szCs w:val="24"/>
                  </w:rPr>
                  <w:t>Intangible assets</w:t>
                </w:r>
              </w:p>
            </w:tc>
            <w:tc>
              <w:tcPr>
                <w:tcW w:w="2211" w:type="dxa"/>
                <w:noWrap/>
                <w:hideMark/>
              </w:tcPr>
              <w:p w14:paraId="64B048C7" w14:textId="6DDF9728" w:rsidR="006D17C2" w:rsidRPr="00C37C32" w:rsidRDefault="006D17C2" w:rsidP="00DB4E85">
                <w:pPr>
                  <w:pStyle w:val="Heading2"/>
                  <w:spacing w:after="0" w:line="360" w:lineRule="auto"/>
                  <w:ind w:left="426"/>
                  <w:jc w:val="right"/>
                  <w:rPr>
                    <w:b w:val="0"/>
                    <w:color w:val="auto"/>
                    <w:sz w:val="24"/>
                    <w:szCs w:val="24"/>
                  </w:rPr>
                </w:pPr>
                <w:r w:rsidRPr="00C37C32">
                  <w:rPr>
                    <w:b w:val="0"/>
                    <w:color w:val="auto"/>
                    <w:sz w:val="24"/>
                    <w:szCs w:val="24"/>
                  </w:rPr>
                  <w:t>3,935</w:t>
                </w:r>
              </w:p>
            </w:tc>
            <w:tc>
              <w:tcPr>
                <w:tcW w:w="2211" w:type="dxa"/>
              </w:tcPr>
              <w:p w14:paraId="208DF9E7" w14:textId="75D390CD" w:rsidR="006D17C2" w:rsidRPr="00C37C32" w:rsidRDefault="006D17C2" w:rsidP="00DB4E85">
                <w:pPr>
                  <w:pStyle w:val="Heading2"/>
                  <w:spacing w:after="0" w:line="360" w:lineRule="auto"/>
                  <w:ind w:left="426"/>
                  <w:jc w:val="right"/>
                  <w:rPr>
                    <w:b w:val="0"/>
                    <w:color w:val="auto"/>
                    <w:sz w:val="24"/>
                    <w:szCs w:val="24"/>
                  </w:rPr>
                </w:pPr>
                <w:r w:rsidRPr="00C37C32">
                  <w:rPr>
                    <w:b w:val="0"/>
                    <w:color w:val="auto"/>
                    <w:sz w:val="24"/>
                    <w:szCs w:val="24"/>
                  </w:rPr>
                  <w:t>4,027</w:t>
                </w:r>
              </w:p>
            </w:tc>
          </w:tr>
          <w:tr w:rsidR="006D17C2" w:rsidRPr="008463BD" w14:paraId="71934D5A" w14:textId="6D2BC2C4" w:rsidTr="00D744DB">
            <w:trPr>
              <w:cantSplit/>
              <w:trHeight w:val="312"/>
            </w:trPr>
            <w:tc>
              <w:tcPr>
                <w:tcW w:w="5098" w:type="dxa"/>
                <w:hideMark/>
              </w:tcPr>
              <w:p w14:paraId="3BCA6117" w14:textId="77777777" w:rsidR="006D17C2" w:rsidRPr="00C37C32" w:rsidRDefault="006D17C2" w:rsidP="00DB4E85">
                <w:pPr>
                  <w:pStyle w:val="Heading2"/>
                  <w:spacing w:after="0" w:line="360" w:lineRule="auto"/>
                  <w:jc w:val="both"/>
                  <w:rPr>
                    <w:b w:val="0"/>
                    <w:color w:val="auto"/>
                    <w:sz w:val="24"/>
                    <w:szCs w:val="24"/>
                  </w:rPr>
                </w:pPr>
                <w:r w:rsidRPr="00C37C32">
                  <w:rPr>
                    <w:b w:val="0"/>
                    <w:color w:val="auto"/>
                    <w:sz w:val="24"/>
                    <w:szCs w:val="24"/>
                  </w:rPr>
                  <w:t>Assets under construction</w:t>
                </w:r>
              </w:p>
            </w:tc>
            <w:tc>
              <w:tcPr>
                <w:tcW w:w="2211" w:type="dxa"/>
                <w:noWrap/>
                <w:hideMark/>
              </w:tcPr>
              <w:p w14:paraId="1735448B" w14:textId="2F1E821C" w:rsidR="006D17C2" w:rsidRPr="00C37C32" w:rsidRDefault="006D17C2" w:rsidP="00DB4E85">
                <w:pPr>
                  <w:pStyle w:val="Heading2"/>
                  <w:spacing w:after="0" w:line="360" w:lineRule="auto"/>
                  <w:ind w:left="426"/>
                  <w:jc w:val="right"/>
                  <w:rPr>
                    <w:b w:val="0"/>
                    <w:color w:val="auto"/>
                    <w:sz w:val="24"/>
                    <w:szCs w:val="24"/>
                  </w:rPr>
                </w:pPr>
                <w:r w:rsidRPr="00C37C32">
                  <w:rPr>
                    <w:b w:val="0"/>
                    <w:color w:val="auto"/>
                    <w:sz w:val="24"/>
                    <w:szCs w:val="24"/>
                  </w:rPr>
                  <w:t>2,380</w:t>
                </w:r>
              </w:p>
            </w:tc>
            <w:tc>
              <w:tcPr>
                <w:tcW w:w="2211" w:type="dxa"/>
              </w:tcPr>
              <w:p w14:paraId="7D5CC18A" w14:textId="5067115E" w:rsidR="006D17C2" w:rsidRPr="00C37C32" w:rsidRDefault="006D17C2" w:rsidP="00DB4E85">
                <w:pPr>
                  <w:pStyle w:val="Heading2"/>
                  <w:spacing w:after="0" w:line="360" w:lineRule="auto"/>
                  <w:ind w:left="426"/>
                  <w:jc w:val="right"/>
                  <w:rPr>
                    <w:b w:val="0"/>
                    <w:color w:val="auto"/>
                    <w:sz w:val="24"/>
                    <w:szCs w:val="24"/>
                  </w:rPr>
                </w:pPr>
                <w:r w:rsidRPr="00C37C32">
                  <w:rPr>
                    <w:b w:val="0"/>
                    <w:color w:val="auto"/>
                    <w:sz w:val="24"/>
                    <w:szCs w:val="24"/>
                  </w:rPr>
                  <w:t>2,380</w:t>
                </w:r>
              </w:p>
            </w:tc>
          </w:tr>
          <w:tr w:rsidR="006D17C2" w:rsidRPr="008463BD" w14:paraId="4899755F" w14:textId="73ED0DCF" w:rsidTr="00D744DB">
            <w:trPr>
              <w:cantSplit/>
              <w:trHeight w:val="312"/>
            </w:trPr>
            <w:tc>
              <w:tcPr>
                <w:tcW w:w="5098" w:type="dxa"/>
                <w:hideMark/>
              </w:tcPr>
              <w:p w14:paraId="3B0B7320" w14:textId="77777777" w:rsidR="006D17C2" w:rsidRPr="00C37C32" w:rsidRDefault="006D17C2" w:rsidP="00DB4E85">
                <w:pPr>
                  <w:pStyle w:val="Heading2"/>
                  <w:spacing w:after="0" w:line="360" w:lineRule="auto"/>
                  <w:jc w:val="both"/>
                  <w:rPr>
                    <w:b w:val="0"/>
                    <w:color w:val="auto"/>
                    <w:sz w:val="24"/>
                    <w:szCs w:val="24"/>
                  </w:rPr>
                </w:pPr>
                <w:r w:rsidRPr="00C37C32">
                  <w:rPr>
                    <w:b w:val="0"/>
                    <w:color w:val="auto"/>
                    <w:sz w:val="24"/>
                    <w:szCs w:val="24"/>
                  </w:rPr>
                  <w:t>Employee retirement benefits</w:t>
                </w:r>
              </w:p>
            </w:tc>
            <w:tc>
              <w:tcPr>
                <w:tcW w:w="2211" w:type="dxa"/>
                <w:noWrap/>
                <w:hideMark/>
              </w:tcPr>
              <w:p w14:paraId="2C515E40" w14:textId="056D4808" w:rsidR="006D17C2" w:rsidRPr="00C37C32" w:rsidRDefault="006D17C2" w:rsidP="00DB4E85">
                <w:pPr>
                  <w:pStyle w:val="Heading2"/>
                  <w:spacing w:after="0" w:line="360" w:lineRule="auto"/>
                  <w:ind w:left="426"/>
                  <w:jc w:val="right"/>
                  <w:rPr>
                    <w:b w:val="0"/>
                    <w:color w:val="auto"/>
                    <w:sz w:val="24"/>
                    <w:szCs w:val="24"/>
                  </w:rPr>
                </w:pPr>
                <w:r w:rsidRPr="00C37C32">
                  <w:rPr>
                    <w:b w:val="0"/>
                    <w:color w:val="auto"/>
                    <w:sz w:val="24"/>
                    <w:szCs w:val="24"/>
                  </w:rPr>
                  <w:t>0</w:t>
                </w:r>
              </w:p>
            </w:tc>
            <w:tc>
              <w:tcPr>
                <w:tcW w:w="2211" w:type="dxa"/>
              </w:tcPr>
              <w:p w14:paraId="7522500E" w14:textId="1D121798" w:rsidR="006D17C2" w:rsidRPr="00C37C32" w:rsidRDefault="006D17C2" w:rsidP="00DB4E85">
                <w:pPr>
                  <w:pStyle w:val="Heading2"/>
                  <w:spacing w:after="0" w:line="360" w:lineRule="auto"/>
                  <w:ind w:left="426"/>
                  <w:jc w:val="right"/>
                  <w:rPr>
                    <w:b w:val="0"/>
                    <w:color w:val="auto"/>
                    <w:sz w:val="24"/>
                    <w:szCs w:val="24"/>
                  </w:rPr>
                </w:pPr>
                <w:r w:rsidRPr="00C37C32">
                  <w:rPr>
                    <w:b w:val="0"/>
                    <w:color w:val="auto"/>
                    <w:sz w:val="24"/>
                    <w:szCs w:val="24"/>
                  </w:rPr>
                  <w:t>0</w:t>
                </w:r>
              </w:p>
            </w:tc>
          </w:tr>
          <w:tr w:rsidR="006D17C2" w:rsidRPr="008463BD" w14:paraId="2128556E" w14:textId="2E4933B5" w:rsidTr="00D744DB">
            <w:trPr>
              <w:cantSplit/>
              <w:trHeight w:val="312"/>
            </w:trPr>
            <w:tc>
              <w:tcPr>
                <w:tcW w:w="5098" w:type="dxa"/>
                <w:hideMark/>
              </w:tcPr>
              <w:p w14:paraId="42389939" w14:textId="77777777" w:rsidR="006D17C2" w:rsidRPr="00C37C32" w:rsidRDefault="006D17C2" w:rsidP="00DB4E85">
                <w:pPr>
                  <w:pStyle w:val="Heading2"/>
                  <w:spacing w:after="0" w:line="360" w:lineRule="auto"/>
                  <w:jc w:val="both"/>
                  <w:rPr>
                    <w:b w:val="0"/>
                    <w:color w:val="auto"/>
                    <w:sz w:val="24"/>
                    <w:szCs w:val="24"/>
                  </w:rPr>
                </w:pPr>
                <w:r w:rsidRPr="00C37C32">
                  <w:rPr>
                    <w:b w:val="0"/>
                    <w:color w:val="auto"/>
                    <w:sz w:val="24"/>
                    <w:szCs w:val="24"/>
                  </w:rPr>
                  <w:t>Trade and other receivables</w:t>
                </w:r>
              </w:p>
            </w:tc>
            <w:tc>
              <w:tcPr>
                <w:tcW w:w="2211" w:type="dxa"/>
                <w:noWrap/>
                <w:hideMark/>
              </w:tcPr>
              <w:p w14:paraId="0F072BCF" w14:textId="3A94C4F9" w:rsidR="006D17C2" w:rsidRPr="00C37C32" w:rsidRDefault="006D17C2" w:rsidP="00DB4E85">
                <w:pPr>
                  <w:pStyle w:val="Heading2"/>
                  <w:spacing w:after="0" w:line="360" w:lineRule="auto"/>
                  <w:ind w:left="426"/>
                  <w:jc w:val="right"/>
                  <w:rPr>
                    <w:b w:val="0"/>
                    <w:color w:val="auto"/>
                    <w:sz w:val="24"/>
                    <w:szCs w:val="24"/>
                  </w:rPr>
                </w:pPr>
                <w:r w:rsidRPr="00C37C32">
                  <w:rPr>
                    <w:b w:val="0"/>
                    <w:color w:val="auto"/>
                    <w:sz w:val="24"/>
                    <w:szCs w:val="24"/>
                  </w:rPr>
                  <w:t>232</w:t>
                </w:r>
              </w:p>
            </w:tc>
            <w:tc>
              <w:tcPr>
                <w:tcW w:w="2211" w:type="dxa"/>
              </w:tcPr>
              <w:p w14:paraId="4810EFED" w14:textId="5A1FF0E4" w:rsidR="006D17C2" w:rsidRPr="00C37C32" w:rsidRDefault="006D17C2" w:rsidP="00DB4E85">
                <w:pPr>
                  <w:pStyle w:val="Heading2"/>
                  <w:spacing w:after="0" w:line="360" w:lineRule="auto"/>
                  <w:ind w:left="426"/>
                  <w:jc w:val="right"/>
                  <w:rPr>
                    <w:b w:val="0"/>
                    <w:color w:val="auto"/>
                    <w:sz w:val="24"/>
                    <w:szCs w:val="24"/>
                  </w:rPr>
                </w:pPr>
                <w:r w:rsidRPr="00C37C32">
                  <w:rPr>
                    <w:b w:val="0"/>
                    <w:color w:val="auto"/>
                    <w:sz w:val="24"/>
                    <w:szCs w:val="24"/>
                  </w:rPr>
                  <w:t>232</w:t>
                </w:r>
              </w:p>
            </w:tc>
          </w:tr>
          <w:tr w:rsidR="006D17C2" w:rsidRPr="008463BD" w14:paraId="2AD140DE" w14:textId="5D613CDA" w:rsidTr="00D744DB">
            <w:trPr>
              <w:cantSplit/>
              <w:trHeight w:val="312"/>
            </w:trPr>
            <w:tc>
              <w:tcPr>
                <w:tcW w:w="5098" w:type="dxa"/>
                <w:shd w:val="clear" w:color="auto" w:fill="016574" w:themeFill="accent1"/>
                <w:hideMark/>
              </w:tcPr>
              <w:p w14:paraId="23621D67" w14:textId="4D01D90F" w:rsidR="006D17C2" w:rsidRPr="00B32305" w:rsidRDefault="006D17C2" w:rsidP="00DB4E85">
                <w:pPr>
                  <w:pStyle w:val="Heading2"/>
                  <w:spacing w:after="0" w:line="360" w:lineRule="auto"/>
                  <w:jc w:val="both"/>
                  <w:rPr>
                    <w:bCs/>
                    <w:color w:val="FFFFFF" w:themeColor="background1"/>
                    <w:sz w:val="24"/>
                    <w:szCs w:val="24"/>
                  </w:rPr>
                </w:pPr>
                <w:r w:rsidRPr="00B32305">
                  <w:rPr>
                    <w:bCs/>
                    <w:color w:val="FFFFFF" w:themeColor="background1"/>
                    <w:sz w:val="24"/>
                    <w:szCs w:val="24"/>
                  </w:rPr>
                  <w:t xml:space="preserve">Total non-current assets </w:t>
                </w:r>
              </w:p>
            </w:tc>
            <w:tc>
              <w:tcPr>
                <w:tcW w:w="2211" w:type="dxa"/>
                <w:shd w:val="clear" w:color="auto" w:fill="016574" w:themeFill="accent1"/>
                <w:hideMark/>
              </w:tcPr>
              <w:p w14:paraId="7D1BB3E5" w14:textId="46C3EDB4" w:rsidR="006D17C2" w:rsidRPr="00B32305" w:rsidRDefault="006D17C2" w:rsidP="00DB4E85">
                <w:pPr>
                  <w:pStyle w:val="Heading2"/>
                  <w:spacing w:after="0" w:line="360" w:lineRule="auto"/>
                  <w:ind w:left="426"/>
                  <w:jc w:val="right"/>
                  <w:rPr>
                    <w:bCs/>
                    <w:color w:val="FFFFFF" w:themeColor="background1"/>
                    <w:sz w:val="24"/>
                    <w:szCs w:val="24"/>
                  </w:rPr>
                </w:pPr>
                <w:r w:rsidRPr="00B32305">
                  <w:rPr>
                    <w:bCs/>
                    <w:color w:val="FFFFFF" w:themeColor="background1"/>
                    <w:sz w:val="24"/>
                    <w:szCs w:val="24"/>
                  </w:rPr>
                  <w:t>46,869</w:t>
                </w:r>
              </w:p>
            </w:tc>
            <w:tc>
              <w:tcPr>
                <w:tcW w:w="2211" w:type="dxa"/>
                <w:shd w:val="clear" w:color="auto" w:fill="016574" w:themeFill="accent1"/>
              </w:tcPr>
              <w:p w14:paraId="28D5FD3F" w14:textId="16695065" w:rsidR="006D17C2" w:rsidRPr="00B32305" w:rsidRDefault="006D17C2" w:rsidP="00DB4E85">
                <w:pPr>
                  <w:pStyle w:val="Heading2"/>
                  <w:spacing w:after="0" w:line="360" w:lineRule="auto"/>
                  <w:ind w:left="426"/>
                  <w:jc w:val="right"/>
                  <w:rPr>
                    <w:bCs/>
                    <w:color w:val="FFFFFF" w:themeColor="background1"/>
                    <w:sz w:val="24"/>
                    <w:szCs w:val="24"/>
                  </w:rPr>
                </w:pPr>
                <w:r w:rsidRPr="00B32305">
                  <w:rPr>
                    <w:bCs/>
                    <w:color w:val="FFFFFF" w:themeColor="background1"/>
                    <w:sz w:val="24"/>
                    <w:szCs w:val="24"/>
                  </w:rPr>
                  <w:t>48,714</w:t>
                </w:r>
              </w:p>
            </w:tc>
          </w:tr>
          <w:tr w:rsidR="006D17C2" w:rsidRPr="008463BD" w14:paraId="68F2427E" w14:textId="7EA449BB" w:rsidTr="00D744DB">
            <w:trPr>
              <w:cantSplit/>
              <w:trHeight w:val="312"/>
            </w:trPr>
            <w:tc>
              <w:tcPr>
                <w:tcW w:w="5098" w:type="dxa"/>
                <w:hideMark/>
              </w:tcPr>
              <w:p w14:paraId="38B2550C" w14:textId="77777777" w:rsidR="006D17C2" w:rsidRPr="007E3E7F" w:rsidRDefault="006D17C2" w:rsidP="00DB4E85">
                <w:pPr>
                  <w:pStyle w:val="Heading2"/>
                  <w:spacing w:after="0" w:line="360" w:lineRule="auto"/>
                  <w:jc w:val="both"/>
                  <w:rPr>
                    <w:bCs/>
                    <w:color w:val="auto"/>
                    <w:sz w:val="24"/>
                    <w:szCs w:val="24"/>
                  </w:rPr>
                </w:pPr>
                <w:r w:rsidRPr="007E3E7F">
                  <w:rPr>
                    <w:bCs/>
                    <w:color w:val="auto"/>
                    <w:sz w:val="24"/>
                    <w:szCs w:val="24"/>
                  </w:rPr>
                  <w:t>Current assets</w:t>
                </w:r>
              </w:p>
            </w:tc>
            <w:tc>
              <w:tcPr>
                <w:tcW w:w="2211" w:type="dxa"/>
                <w:noWrap/>
                <w:hideMark/>
              </w:tcPr>
              <w:p w14:paraId="333DE7CC" w14:textId="14F6D124" w:rsidR="006D17C2" w:rsidRPr="00C37C32" w:rsidRDefault="006D17C2" w:rsidP="00DB4E85">
                <w:pPr>
                  <w:pStyle w:val="Heading2"/>
                  <w:spacing w:after="0" w:line="360" w:lineRule="auto"/>
                  <w:ind w:left="426"/>
                  <w:jc w:val="right"/>
                  <w:rPr>
                    <w:b w:val="0"/>
                    <w:color w:val="auto"/>
                    <w:sz w:val="24"/>
                    <w:szCs w:val="24"/>
                  </w:rPr>
                </w:pPr>
                <w:r w:rsidRPr="00C37C32">
                  <w:rPr>
                    <w:b w:val="0"/>
                    <w:color w:val="auto"/>
                    <w:sz w:val="24"/>
                    <w:szCs w:val="24"/>
                  </w:rPr>
                  <w:t> </w:t>
                </w:r>
              </w:p>
            </w:tc>
            <w:tc>
              <w:tcPr>
                <w:tcW w:w="2211" w:type="dxa"/>
              </w:tcPr>
              <w:p w14:paraId="37481F3F" w14:textId="613DE5F1" w:rsidR="006D17C2" w:rsidRPr="00C37C32" w:rsidRDefault="006D17C2" w:rsidP="00DB4E85">
                <w:pPr>
                  <w:pStyle w:val="Heading2"/>
                  <w:spacing w:after="0" w:line="360" w:lineRule="auto"/>
                  <w:ind w:left="426"/>
                  <w:jc w:val="right"/>
                  <w:rPr>
                    <w:b w:val="0"/>
                    <w:color w:val="auto"/>
                    <w:sz w:val="24"/>
                    <w:szCs w:val="24"/>
                  </w:rPr>
                </w:pPr>
                <w:r w:rsidRPr="00C37C32">
                  <w:rPr>
                    <w:b w:val="0"/>
                    <w:color w:val="auto"/>
                    <w:sz w:val="24"/>
                    <w:szCs w:val="24"/>
                  </w:rPr>
                  <w:t> </w:t>
                </w:r>
              </w:p>
            </w:tc>
          </w:tr>
          <w:tr w:rsidR="006D17C2" w:rsidRPr="008463BD" w14:paraId="5D836459" w14:textId="0C57FB22" w:rsidTr="00D744DB">
            <w:trPr>
              <w:cantSplit/>
              <w:trHeight w:val="312"/>
            </w:trPr>
            <w:tc>
              <w:tcPr>
                <w:tcW w:w="5098" w:type="dxa"/>
                <w:hideMark/>
              </w:tcPr>
              <w:p w14:paraId="30EDBD42" w14:textId="77777777" w:rsidR="006D17C2" w:rsidRPr="00C37C32" w:rsidRDefault="006D17C2" w:rsidP="00DB4E85">
                <w:pPr>
                  <w:pStyle w:val="Heading2"/>
                  <w:spacing w:after="0" w:line="360" w:lineRule="auto"/>
                  <w:jc w:val="both"/>
                  <w:rPr>
                    <w:b w:val="0"/>
                    <w:color w:val="auto"/>
                    <w:sz w:val="24"/>
                    <w:szCs w:val="24"/>
                  </w:rPr>
                </w:pPr>
                <w:r w:rsidRPr="00C37C32">
                  <w:rPr>
                    <w:b w:val="0"/>
                    <w:color w:val="auto"/>
                    <w:sz w:val="24"/>
                    <w:szCs w:val="24"/>
                  </w:rPr>
                  <w:t>Trade and other receivables</w:t>
                </w:r>
              </w:p>
            </w:tc>
            <w:tc>
              <w:tcPr>
                <w:tcW w:w="2211" w:type="dxa"/>
                <w:noWrap/>
                <w:hideMark/>
              </w:tcPr>
              <w:p w14:paraId="40BE3EFE" w14:textId="14A9105F" w:rsidR="006D17C2" w:rsidRPr="00C37C32" w:rsidRDefault="006D17C2" w:rsidP="00DB4E85">
                <w:pPr>
                  <w:pStyle w:val="Heading2"/>
                  <w:spacing w:after="0" w:line="360" w:lineRule="auto"/>
                  <w:ind w:left="426"/>
                  <w:jc w:val="right"/>
                  <w:rPr>
                    <w:b w:val="0"/>
                    <w:color w:val="auto"/>
                    <w:sz w:val="24"/>
                    <w:szCs w:val="24"/>
                  </w:rPr>
                </w:pPr>
                <w:r w:rsidRPr="00C37C32">
                  <w:rPr>
                    <w:b w:val="0"/>
                    <w:color w:val="auto"/>
                    <w:sz w:val="24"/>
                    <w:szCs w:val="24"/>
                  </w:rPr>
                  <w:t>18,282</w:t>
                </w:r>
              </w:p>
            </w:tc>
            <w:tc>
              <w:tcPr>
                <w:tcW w:w="2211" w:type="dxa"/>
              </w:tcPr>
              <w:p w14:paraId="432E3247" w14:textId="1EAB31AF" w:rsidR="006D17C2" w:rsidRPr="00C37C32" w:rsidRDefault="006D17C2" w:rsidP="00DB4E85">
                <w:pPr>
                  <w:pStyle w:val="Heading2"/>
                  <w:spacing w:after="0" w:line="360" w:lineRule="auto"/>
                  <w:ind w:left="426"/>
                  <w:jc w:val="right"/>
                  <w:rPr>
                    <w:b w:val="0"/>
                    <w:color w:val="auto"/>
                    <w:sz w:val="24"/>
                    <w:szCs w:val="24"/>
                  </w:rPr>
                </w:pPr>
                <w:r w:rsidRPr="00C37C32">
                  <w:rPr>
                    <w:b w:val="0"/>
                    <w:color w:val="auto"/>
                    <w:sz w:val="24"/>
                    <w:szCs w:val="24"/>
                  </w:rPr>
                  <w:t>5,029</w:t>
                </w:r>
              </w:p>
            </w:tc>
          </w:tr>
          <w:tr w:rsidR="006D17C2" w:rsidRPr="008463BD" w14:paraId="143A6C72" w14:textId="1CEDAB1C" w:rsidTr="00D744DB">
            <w:trPr>
              <w:cantSplit/>
              <w:trHeight w:val="312"/>
            </w:trPr>
            <w:tc>
              <w:tcPr>
                <w:tcW w:w="5098" w:type="dxa"/>
                <w:hideMark/>
              </w:tcPr>
              <w:p w14:paraId="14AD8E84" w14:textId="77777777" w:rsidR="006D17C2" w:rsidRPr="00C37C32" w:rsidRDefault="006D17C2" w:rsidP="00DB4E85">
                <w:pPr>
                  <w:pStyle w:val="Heading2"/>
                  <w:spacing w:after="0" w:line="360" w:lineRule="auto"/>
                  <w:jc w:val="both"/>
                  <w:rPr>
                    <w:b w:val="0"/>
                    <w:color w:val="auto"/>
                    <w:sz w:val="24"/>
                    <w:szCs w:val="24"/>
                  </w:rPr>
                </w:pPr>
                <w:r w:rsidRPr="00C37C32">
                  <w:rPr>
                    <w:b w:val="0"/>
                    <w:color w:val="auto"/>
                    <w:sz w:val="24"/>
                    <w:szCs w:val="24"/>
                  </w:rPr>
                  <w:t>Cash and cash equivalents</w:t>
                </w:r>
              </w:p>
            </w:tc>
            <w:tc>
              <w:tcPr>
                <w:tcW w:w="2211" w:type="dxa"/>
                <w:noWrap/>
                <w:hideMark/>
              </w:tcPr>
              <w:p w14:paraId="176EE456" w14:textId="539CA072" w:rsidR="006D17C2" w:rsidRPr="00C37C32" w:rsidRDefault="006D17C2" w:rsidP="00DB4E85">
                <w:pPr>
                  <w:pStyle w:val="Heading2"/>
                  <w:spacing w:after="0" w:line="360" w:lineRule="auto"/>
                  <w:ind w:left="426"/>
                  <w:jc w:val="right"/>
                  <w:rPr>
                    <w:b w:val="0"/>
                    <w:color w:val="auto"/>
                    <w:sz w:val="24"/>
                    <w:szCs w:val="24"/>
                  </w:rPr>
                </w:pPr>
                <w:r w:rsidRPr="00C37C32">
                  <w:rPr>
                    <w:b w:val="0"/>
                    <w:color w:val="auto"/>
                    <w:sz w:val="24"/>
                    <w:szCs w:val="24"/>
                  </w:rPr>
                  <w:t>18,632</w:t>
                </w:r>
              </w:p>
            </w:tc>
            <w:tc>
              <w:tcPr>
                <w:tcW w:w="2211" w:type="dxa"/>
              </w:tcPr>
              <w:p w14:paraId="18CA51D3" w14:textId="289DC5F7" w:rsidR="006D17C2" w:rsidRPr="00C37C32" w:rsidRDefault="006D17C2" w:rsidP="00DB4E85">
                <w:pPr>
                  <w:pStyle w:val="Heading2"/>
                  <w:spacing w:after="0" w:line="360" w:lineRule="auto"/>
                  <w:ind w:left="426"/>
                  <w:jc w:val="right"/>
                  <w:rPr>
                    <w:b w:val="0"/>
                    <w:color w:val="auto"/>
                    <w:sz w:val="24"/>
                    <w:szCs w:val="24"/>
                  </w:rPr>
                </w:pPr>
                <w:r w:rsidRPr="00C37C32">
                  <w:rPr>
                    <w:b w:val="0"/>
                    <w:color w:val="auto"/>
                    <w:sz w:val="24"/>
                    <w:szCs w:val="24"/>
                  </w:rPr>
                  <w:t>2,346</w:t>
                </w:r>
              </w:p>
            </w:tc>
          </w:tr>
          <w:tr w:rsidR="006D17C2" w:rsidRPr="008463BD" w14:paraId="3068D07B" w14:textId="602E5CC7" w:rsidTr="00D744DB">
            <w:trPr>
              <w:cantSplit/>
              <w:trHeight w:val="312"/>
            </w:trPr>
            <w:tc>
              <w:tcPr>
                <w:tcW w:w="5098" w:type="dxa"/>
                <w:shd w:val="clear" w:color="auto" w:fill="016574" w:themeFill="accent1"/>
                <w:hideMark/>
              </w:tcPr>
              <w:p w14:paraId="205F038B" w14:textId="77777777" w:rsidR="006D17C2" w:rsidRPr="00B75010" w:rsidRDefault="006D17C2" w:rsidP="00DB4E85">
                <w:pPr>
                  <w:pStyle w:val="Heading2"/>
                  <w:spacing w:after="0" w:line="360" w:lineRule="auto"/>
                  <w:jc w:val="both"/>
                  <w:rPr>
                    <w:bCs/>
                    <w:color w:val="FFFFFF" w:themeColor="background1"/>
                    <w:sz w:val="24"/>
                    <w:szCs w:val="24"/>
                  </w:rPr>
                </w:pPr>
                <w:r w:rsidRPr="00B75010">
                  <w:rPr>
                    <w:bCs/>
                    <w:color w:val="FFFFFF" w:themeColor="background1"/>
                    <w:sz w:val="24"/>
                    <w:szCs w:val="24"/>
                  </w:rPr>
                  <w:t>Total current assets</w:t>
                </w:r>
              </w:p>
            </w:tc>
            <w:tc>
              <w:tcPr>
                <w:tcW w:w="2211" w:type="dxa"/>
                <w:shd w:val="clear" w:color="auto" w:fill="016574" w:themeFill="accent1"/>
                <w:hideMark/>
              </w:tcPr>
              <w:p w14:paraId="403445DC" w14:textId="17877C76" w:rsidR="006D17C2" w:rsidRPr="00B75010" w:rsidRDefault="006D17C2" w:rsidP="00DB4E85">
                <w:pPr>
                  <w:pStyle w:val="Heading2"/>
                  <w:spacing w:after="0" w:line="360" w:lineRule="auto"/>
                  <w:ind w:left="426"/>
                  <w:jc w:val="right"/>
                  <w:rPr>
                    <w:bCs/>
                    <w:color w:val="FFFFFF" w:themeColor="background1"/>
                    <w:sz w:val="24"/>
                    <w:szCs w:val="24"/>
                  </w:rPr>
                </w:pPr>
                <w:r w:rsidRPr="00B75010">
                  <w:rPr>
                    <w:bCs/>
                    <w:color w:val="FFFFFF" w:themeColor="background1"/>
                    <w:sz w:val="24"/>
                    <w:szCs w:val="24"/>
                  </w:rPr>
                  <w:t>36,914</w:t>
                </w:r>
              </w:p>
            </w:tc>
            <w:tc>
              <w:tcPr>
                <w:tcW w:w="2211" w:type="dxa"/>
                <w:shd w:val="clear" w:color="auto" w:fill="016574" w:themeFill="accent1"/>
              </w:tcPr>
              <w:p w14:paraId="2F630279" w14:textId="47C061D5" w:rsidR="006D17C2" w:rsidRPr="00B75010" w:rsidRDefault="006D17C2" w:rsidP="00DB4E85">
                <w:pPr>
                  <w:pStyle w:val="Heading2"/>
                  <w:spacing w:after="0" w:line="360" w:lineRule="auto"/>
                  <w:ind w:left="426"/>
                  <w:jc w:val="right"/>
                  <w:rPr>
                    <w:bCs/>
                    <w:color w:val="FFFFFF" w:themeColor="background1"/>
                    <w:sz w:val="24"/>
                    <w:szCs w:val="24"/>
                  </w:rPr>
                </w:pPr>
                <w:r w:rsidRPr="00B75010">
                  <w:rPr>
                    <w:bCs/>
                    <w:color w:val="FFFFFF" w:themeColor="background1"/>
                    <w:sz w:val="24"/>
                    <w:szCs w:val="24"/>
                  </w:rPr>
                  <w:t>7,375</w:t>
                </w:r>
              </w:p>
            </w:tc>
          </w:tr>
          <w:tr w:rsidR="006D17C2" w:rsidRPr="008463BD" w14:paraId="09C49EDE" w14:textId="403E3275" w:rsidTr="00D744DB">
            <w:trPr>
              <w:cantSplit/>
              <w:trHeight w:val="312"/>
            </w:trPr>
            <w:tc>
              <w:tcPr>
                <w:tcW w:w="5098" w:type="dxa"/>
                <w:shd w:val="clear" w:color="auto" w:fill="016574" w:themeFill="accent1"/>
                <w:hideMark/>
              </w:tcPr>
              <w:p w14:paraId="4012C411" w14:textId="77777777" w:rsidR="006D17C2" w:rsidRPr="00B75010" w:rsidRDefault="006D17C2" w:rsidP="00DB4E85">
                <w:pPr>
                  <w:pStyle w:val="Heading2"/>
                  <w:spacing w:after="0" w:line="360" w:lineRule="auto"/>
                  <w:jc w:val="both"/>
                  <w:rPr>
                    <w:bCs/>
                    <w:color w:val="FFFFFF" w:themeColor="background1"/>
                    <w:sz w:val="24"/>
                    <w:szCs w:val="24"/>
                  </w:rPr>
                </w:pPr>
                <w:r w:rsidRPr="00B75010">
                  <w:rPr>
                    <w:bCs/>
                    <w:color w:val="FFFFFF" w:themeColor="background1"/>
                    <w:sz w:val="24"/>
                    <w:szCs w:val="24"/>
                  </w:rPr>
                  <w:t>Total assets</w:t>
                </w:r>
              </w:p>
            </w:tc>
            <w:tc>
              <w:tcPr>
                <w:tcW w:w="2211" w:type="dxa"/>
                <w:shd w:val="clear" w:color="auto" w:fill="016574" w:themeFill="accent1"/>
                <w:hideMark/>
              </w:tcPr>
              <w:p w14:paraId="1F5E8FF0" w14:textId="0DDCBB0C" w:rsidR="006D17C2" w:rsidRPr="00B75010" w:rsidRDefault="006D17C2" w:rsidP="00DB4E85">
                <w:pPr>
                  <w:pStyle w:val="Heading2"/>
                  <w:spacing w:after="0" w:line="360" w:lineRule="auto"/>
                  <w:ind w:left="426"/>
                  <w:jc w:val="right"/>
                  <w:rPr>
                    <w:bCs/>
                    <w:color w:val="FFFFFF" w:themeColor="background1"/>
                    <w:sz w:val="24"/>
                    <w:szCs w:val="24"/>
                  </w:rPr>
                </w:pPr>
                <w:r w:rsidRPr="00B75010">
                  <w:rPr>
                    <w:bCs/>
                    <w:color w:val="FFFFFF" w:themeColor="background1"/>
                    <w:sz w:val="24"/>
                    <w:szCs w:val="24"/>
                  </w:rPr>
                  <w:t>83,783</w:t>
                </w:r>
              </w:p>
            </w:tc>
            <w:tc>
              <w:tcPr>
                <w:tcW w:w="2211" w:type="dxa"/>
                <w:shd w:val="clear" w:color="auto" w:fill="016574" w:themeFill="accent1"/>
              </w:tcPr>
              <w:p w14:paraId="1A70CC2A" w14:textId="3A75FEB2" w:rsidR="006D17C2" w:rsidRPr="00B75010" w:rsidRDefault="006D17C2" w:rsidP="00DB4E85">
                <w:pPr>
                  <w:pStyle w:val="Heading2"/>
                  <w:spacing w:after="0" w:line="360" w:lineRule="auto"/>
                  <w:ind w:left="426"/>
                  <w:jc w:val="right"/>
                  <w:rPr>
                    <w:bCs/>
                    <w:color w:val="FFFFFF" w:themeColor="background1"/>
                    <w:sz w:val="24"/>
                    <w:szCs w:val="24"/>
                  </w:rPr>
                </w:pPr>
                <w:r w:rsidRPr="00B75010">
                  <w:rPr>
                    <w:bCs/>
                    <w:color w:val="FFFFFF" w:themeColor="background1"/>
                    <w:sz w:val="24"/>
                    <w:szCs w:val="24"/>
                  </w:rPr>
                  <w:t>56,089</w:t>
                </w:r>
              </w:p>
            </w:tc>
          </w:tr>
          <w:tr w:rsidR="006D17C2" w:rsidRPr="008463BD" w14:paraId="1995E265" w14:textId="5F9FEECF" w:rsidTr="00D744DB">
            <w:trPr>
              <w:cantSplit/>
              <w:trHeight w:val="312"/>
            </w:trPr>
            <w:tc>
              <w:tcPr>
                <w:tcW w:w="5098" w:type="dxa"/>
                <w:hideMark/>
              </w:tcPr>
              <w:p w14:paraId="570F525C" w14:textId="6D39C6D2" w:rsidR="006D17C2" w:rsidRPr="007E3E7F" w:rsidRDefault="006D17C2" w:rsidP="00DB4E85">
                <w:pPr>
                  <w:pStyle w:val="Heading2"/>
                  <w:spacing w:after="0" w:line="360" w:lineRule="auto"/>
                  <w:jc w:val="both"/>
                  <w:rPr>
                    <w:bCs/>
                    <w:color w:val="auto"/>
                    <w:sz w:val="24"/>
                    <w:szCs w:val="24"/>
                  </w:rPr>
                </w:pPr>
                <w:r w:rsidRPr="007E3E7F">
                  <w:rPr>
                    <w:bCs/>
                    <w:color w:val="auto"/>
                    <w:sz w:val="24"/>
                    <w:szCs w:val="24"/>
                  </w:rPr>
                  <w:t xml:space="preserve">Current </w:t>
                </w:r>
                <w:r>
                  <w:rPr>
                    <w:bCs/>
                    <w:color w:val="auto"/>
                    <w:sz w:val="24"/>
                    <w:szCs w:val="24"/>
                  </w:rPr>
                  <w:t>l</w:t>
                </w:r>
                <w:r w:rsidRPr="007E3E7F">
                  <w:rPr>
                    <w:bCs/>
                    <w:color w:val="auto"/>
                    <w:sz w:val="24"/>
                    <w:szCs w:val="24"/>
                  </w:rPr>
                  <w:t>iabilities</w:t>
                </w:r>
              </w:p>
            </w:tc>
            <w:tc>
              <w:tcPr>
                <w:tcW w:w="2211" w:type="dxa"/>
                <w:noWrap/>
                <w:hideMark/>
              </w:tcPr>
              <w:p w14:paraId="4214232A" w14:textId="7E7B8337" w:rsidR="006D17C2" w:rsidRPr="00C37C32" w:rsidRDefault="006D17C2" w:rsidP="00DB4E85">
                <w:pPr>
                  <w:pStyle w:val="Heading2"/>
                  <w:spacing w:after="0" w:line="360" w:lineRule="auto"/>
                  <w:ind w:left="426"/>
                  <w:jc w:val="right"/>
                  <w:rPr>
                    <w:b w:val="0"/>
                    <w:color w:val="auto"/>
                    <w:sz w:val="24"/>
                    <w:szCs w:val="24"/>
                  </w:rPr>
                </w:pPr>
                <w:r w:rsidRPr="00C37C32">
                  <w:rPr>
                    <w:b w:val="0"/>
                    <w:color w:val="auto"/>
                    <w:sz w:val="24"/>
                    <w:szCs w:val="24"/>
                  </w:rPr>
                  <w:t> </w:t>
                </w:r>
              </w:p>
            </w:tc>
            <w:tc>
              <w:tcPr>
                <w:tcW w:w="2211" w:type="dxa"/>
              </w:tcPr>
              <w:p w14:paraId="5DE3C021" w14:textId="5BB8D618" w:rsidR="006D17C2" w:rsidRPr="00C37C32" w:rsidRDefault="006D17C2" w:rsidP="00DB4E85">
                <w:pPr>
                  <w:pStyle w:val="Heading2"/>
                  <w:spacing w:after="0" w:line="360" w:lineRule="auto"/>
                  <w:ind w:left="426"/>
                  <w:jc w:val="right"/>
                  <w:rPr>
                    <w:b w:val="0"/>
                    <w:color w:val="auto"/>
                    <w:sz w:val="24"/>
                    <w:szCs w:val="24"/>
                  </w:rPr>
                </w:pPr>
                <w:r w:rsidRPr="00C37C32">
                  <w:rPr>
                    <w:b w:val="0"/>
                    <w:color w:val="auto"/>
                    <w:sz w:val="24"/>
                    <w:szCs w:val="24"/>
                  </w:rPr>
                  <w:t> </w:t>
                </w:r>
              </w:p>
            </w:tc>
          </w:tr>
          <w:tr w:rsidR="006D17C2" w:rsidRPr="008463BD" w14:paraId="5825E76D" w14:textId="0F92727A" w:rsidTr="00D744DB">
            <w:trPr>
              <w:cantSplit/>
              <w:trHeight w:val="312"/>
            </w:trPr>
            <w:tc>
              <w:tcPr>
                <w:tcW w:w="5098" w:type="dxa"/>
                <w:hideMark/>
              </w:tcPr>
              <w:p w14:paraId="261B08E5" w14:textId="77777777" w:rsidR="006D17C2" w:rsidRPr="00C37C32" w:rsidRDefault="006D17C2" w:rsidP="00DB4E85">
                <w:pPr>
                  <w:pStyle w:val="Heading2"/>
                  <w:spacing w:after="0" w:line="360" w:lineRule="auto"/>
                  <w:jc w:val="both"/>
                  <w:rPr>
                    <w:b w:val="0"/>
                    <w:color w:val="auto"/>
                    <w:sz w:val="24"/>
                    <w:szCs w:val="24"/>
                  </w:rPr>
                </w:pPr>
                <w:r w:rsidRPr="00C37C32">
                  <w:rPr>
                    <w:b w:val="0"/>
                    <w:color w:val="auto"/>
                    <w:sz w:val="24"/>
                    <w:szCs w:val="24"/>
                  </w:rPr>
                  <w:t>Trade and other payables</w:t>
                </w:r>
              </w:p>
            </w:tc>
            <w:tc>
              <w:tcPr>
                <w:tcW w:w="2211" w:type="dxa"/>
                <w:noWrap/>
                <w:hideMark/>
              </w:tcPr>
              <w:p w14:paraId="52245D8E" w14:textId="6947CE71" w:rsidR="006D17C2" w:rsidRPr="00C37C32" w:rsidRDefault="006D17C2" w:rsidP="00DB4E85">
                <w:pPr>
                  <w:pStyle w:val="Heading2"/>
                  <w:spacing w:after="0" w:line="360" w:lineRule="auto"/>
                  <w:ind w:left="426"/>
                  <w:jc w:val="right"/>
                  <w:rPr>
                    <w:b w:val="0"/>
                    <w:color w:val="auto"/>
                    <w:sz w:val="24"/>
                    <w:szCs w:val="24"/>
                  </w:rPr>
                </w:pPr>
                <w:r w:rsidRPr="00C37C32">
                  <w:rPr>
                    <w:b w:val="0"/>
                    <w:color w:val="auto"/>
                    <w:sz w:val="24"/>
                    <w:szCs w:val="24"/>
                  </w:rPr>
                  <w:t>(6,709)</w:t>
                </w:r>
              </w:p>
            </w:tc>
            <w:tc>
              <w:tcPr>
                <w:tcW w:w="2211" w:type="dxa"/>
              </w:tcPr>
              <w:p w14:paraId="666E2CA8" w14:textId="5CFA31FB" w:rsidR="006D17C2" w:rsidRPr="00C37C32" w:rsidRDefault="006D17C2" w:rsidP="00DB4E85">
                <w:pPr>
                  <w:pStyle w:val="Heading2"/>
                  <w:spacing w:after="0" w:line="360" w:lineRule="auto"/>
                  <w:ind w:left="426"/>
                  <w:jc w:val="right"/>
                  <w:rPr>
                    <w:b w:val="0"/>
                    <w:color w:val="auto"/>
                    <w:sz w:val="24"/>
                    <w:szCs w:val="24"/>
                  </w:rPr>
                </w:pPr>
                <w:r w:rsidRPr="00C37C32">
                  <w:rPr>
                    <w:b w:val="0"/>
                    <w:color w:val="auto"/>
                    <w:sz w:val="24"/>
                    <w:szCs w:val="24"/>
                  </w:rPr>
                  <w:t>(13,683)</w:t>
                </w:r>
              </w:p>
            </w:tc>
          </w:tr>
          <w:tr w:rsidR="006D17C2" w:rsidRPr="008463BD" w14:paraId="0B98E5EE" w14:textId="060C5E2A" w:rsidTr="00D744DB">
            <w:trPr>
              <w:cantSplit/>
              <w:trHeight w:val="312"/>
            </w:trPr>
            <w:tc>
              <w:tcPr>
                <w:tcW w:w="5098" w:type="dxa"/>
                <w:hideMark/>
              </w:tcPr>
              <w:p w14:paraId="412C2E71" w14:textId="77777777" w:rsidR="006D17C2" w:rsidRPr="00C37C32" w:rsidRDefault="006D17C2" w:rsidP="00DB4E85">
                <w:pPr>
                  <w:pStyle w:val="Heading2"/>
                  <w:spacing w:after="0" w:line="360" w:lineRule="auto"/>
                  <w:jc w:val="both"/>
                  <w:rPr>
                    <w:b w:val="0"/>
                    <w:color w:val="auto"/>
                    <w:sz w:val="24"/>
                    <w:szCs w:val="24"/>
                  </w:rPr>
                </w:pPr>
                <w:r w:rsidRPr="00C37C32">
                  <w:rPr>
                    <w:b w:val="0"/>
                    <w:color w:val="auto"/>
                    <w:sz w:val="24"/>
                    <w:szCs w:val="24"/>
                  </w:rPr>
                  <w:t>Provisions</w:t>
                </w:r>
              </w:p>
            </w:tc>
            <w:tc>
              <w:tcPr>
                <w:tcW w:w="2211" w:type="dxa"/>
                <w:noWrap/>
                <w:hideMark/>
              </w:tcPr>
              <w:p w14:paraId="7DFA6F9D" w14:textId="415840ED" w:rsidR="006D17C2" w:rsidRPr="00C37C32" w:rsidRDefault="006D17C2" w:rsidP="00DB4E85">
                <w:pPr>
                  <w:pStyle w:val="Heading2"/>
                  <w:spacing w:after="0" w:line="360" w:lineRule="auto"/>
                  <w:ind w:left="426"/>
                  <w:jc w:val="right"/>
                  <w:rPr>
                    <w:b w:val="0"/>
                    <w:color w:val="auto"/>
                    <w:sz w:val="24"/>
                    <w:szCs w:val="24"/>
                  </w:rPr>
                </w:pPr>
                <w:r w:rsidRPr="00C37C32">
                  <w:rPr>
                    <w:b w:val="0"/>
                    <w:color w:val="auto"/>
                    <w:sz w:val="24"/>
                    <w:szCs w:val="24"/>
                  </w:rPr>
                  <w:t>(157)</w:t>
                </w:r>
              </w:p>
            </w:tc>
            <w:tc>
              <w:tcPr>
                <w:tcW w:w="2211" w:type="dxa"/>
              </w:tcPr>
              <w:p w14:paraId="776C5ED9" w14:textId="055C4D2B" w:rsidR="006D17C2" w:rsidRPr="00C37C32" w:rsidRDefault="006D17C2" w:rsidP="00DB4E85">
                <w:pPr>
                  <w:pStyle w:val="Heading2"/>
                  <w:spacing w:after="0" w:line="360" w:lineRule="auto"/>
                  <w:ind w:left="426"/>
                  <w:jc w:val="right"/>
                  <w:rPr>
                    <w:b w:val="0"/>
                    <w:color w:val="auto"/>
                    <w:sz w:val="24"/>
                    <w:szCs w:val="24"/>
                  </w:rPr>
                </w:pPr>
                <w:r w:rsidRPr="00C37C32">
                  <w:rPr>
                    <w:b w:val="0"/>
                    <w:color w:val="auto"/>
                    <w:sz w:val="24"/>
                    <w:szCs w:val="24"/>
                  </w:rPr>
                  <w:t>(231)</w:t>
                </w:r>
              </w:p>
            </w:tc>
          </w:tr>
          <w:tr w:rsidR="006D17C2" w:rsidRPr="008463BD" w14:paraId="435C9344" w14:textId="1EB5DA98" w:rsidTr="00D744DB">
            <w:trPr>
              <w:cantSplit/>
              <w:trHeight w:val="312"/>
            </w:trPr>
            <w:tc>
              <w:tcPr>
                <w:tcW w:w="5098" w:type="dxa"/>
                <w:shd w:val="clear" w:color="auto" w:fill="016574" w:themeFill="accent1"/>
                <w:hideMark/>
              </w:tcPr>
              <w:p w14:paraId="03B993BC" w14:textId="77777777" w:rsidR="006D17C2" w:rsidRPr="00B75010" w:rsidRDefault="006D17C2" w:rsidP="00DB4E85">
                <w:pPr>
                  <w:pStyle w:val="Heading2"/>
                  <w:spacing w:after="0" w:line="360" w:lineRule="auto"/>
                  <w:jc w:val="both"/>
                  <w:rPr>
                    <w:bCs/>
                    <w:color w:val="FFFFFF" w:themeColor="background1"/>
                    <w:sz w:val="24"/>
                    <w:szCs w:val="24"/>
                  </w:rPr>
                </w:pPr>
                <w:r w:rsidRPr="00B75010">
                  <w:rPr>
                    <w:bCs/>
                    <w:color w:val="FFFFFF" w:themeColor="background1"/>
                    <w:sz w:val="24"/>
                    <w:szCs w:val="24"/>
                  </w:rPr>
                  <w:t>Total current liabilities</w:t>
                </w:r>
              </w:p>
            </w:tc>
            <w:tc>
              <w:tcPr>
                <w:tcW w:w="2211" w:type="dxa"/>
                <w:shd w:val="clear" w:color="auto" w:fill="016574" w:themeFill="accent1"/>
                <w:noWrap/>
                <w:hideMark/>
              </w:tcPr>
              <w:p w14:paraId="27B77051" w14:textId="533DEAB9" w:rsidR="006D17C2" w:rsidRPr="00B75010" w:rsidRDefault="006D17C2" w:rsidP="00DB4E85">
                <w:pPr>
                  <w:pStyle w:val="Heading2"/>
                  <w:spacing w:after="0" w:line="360" w:lineRule="auto"/>
                  <w:ind w:left="426"/>
                  <w:jc w:val="right"/>
                  <w:rPr>
                    <w:bCs/>
                    <w:color w:val="FFFFFF" w:themeColor="background1"/>
                    <w:sz w:val="24"/>
                    <w:szCs w:val="24"/>
                  </w:rPr>
                </w:pPr>
                <w:r w:rsidRPr="00B75010">
                  <w:rPr>
                    <w:bCs/>
                    <w:color w:val="FFFFFF" w:themeColor="background1"/>
                    <w:sz w:val="24"/>
                    <w:szCs w:val="24"/>
                  </w:rPr>
                  <w:t>(6,866)</w:t>
                </w:r>
              </w:p>
            </w:tc>
            <w:tc>
              <w:tcPr>
                <w:tcW w:w="2211" w:type="dxa"/>
                <w:shd w:val="clear" w:color="auto" w:fill="016574" w:themeFill="accent1"/>
              </w:tcPr>
              <w:p w14:paraId="0F0D172D" w14:textId="41091C13" w:rsidR="006D17C2" w:rsidRPr="00B75010" w:rsidRDefault="006D17C2" w:rsidP="00DB4E85">
                <w:pPr>
                  <w:pStyle w:val="Heading2"/>
                  <w:spacing w:after="0" w:line="360" w:lineRule="auto"/>
                  <w:ind w:left="426"/>
                  <w:jc w:val="right"/>
                  <w:rPr>
                    <w:bCs/>
                    <w:color w:val="FFFFFF" w:themeColor="background1"/>
                    <w:sz w:val="24"/>
                    <w:szCs w:val="24"/>
                  </w:rPr>
                </w:pPr>
                <w:r w:rsidRPr="00B75010">
                  <w:rPr>
                    <w:bCs/>
                    <w:color w:val="FFFFFF" w:themeColor="background1"/>
                    <w:sz w:val="24"/>
                    <w:szCs w:val="24"/>
                  </w:rPr>
                  <w:t>(13,914)</w:t>
                </w:r>
              </w:p>
            </w:tc>
          </w:tr>
          <w:tr w:rsidR="006D17C2" w:rsidRPr="008463BD" w14:paraId="08957E3F" w14:textId="0C3CE2FD" w:rsidTr="00D744DB">
            <w:trPr>
              <w:cantSplit/>
              <w:trHeight w:val="312"/>
            </w:trPr>
            <w:tc>
              <w:tcPr>
                <w:tcW w:w="5098" w:type="dxa"/>
                <w:shd w:val="clear" w:color="auto" w:fill="016574" w:themeFill="accent1"/>
                <w:hideMark/>
              </w:tcPr>
              <w:p w14:paraId="518A73C0" w14:textId="77777777" w:rsidR="006D17C2" w:rsidRPr="00B75010" w:rsidRDefault="006D17C2" w:rsidP="00DB4E85">
                <w:pPr>
                  <w:pStyle w:val="Heading2"/>
                  <w:spacing w:after="0" w:line="360" w:lineRule="auto"/>
                  <w:jc w:val="both"/>
                  <w:rPr>
                    <w:bCs/>
                    <w:color w:val="FFFFFF" w:themeColor="background1"/>
                    <w:sz w:val="24"/>
                    <w:szCs w:val="24"/>
                  </w:rPr>
                </w:pPr>
                <w:r w:rsidRPr="00B75010">
                  <w:rPr>
                    <w:bCs/>
                    <w:color w:val="FFFFFF" w:themeColor="background1"/>
                    <w:sz w:val="24"/>
                    <w:szCs w:val="24"/>
                  </w:rPr>
                  <w:t>Total assets less current liabilities</w:t>
                </w:r>
              </w:p>
            </w:tc>
            <w:tc>
              <w:tcPr>
                <w:tcW w:w="2211" w:type="dxa"/>
                <w:shd w:val="clear" w:color="auto" w:fill="016574" w:themeFill="accent1"/>
                <w:hideMark/>
              </w:tcPr>
              <w:p w14:paraId="342EF5B9" w14:textId="22F18EA5" w:rsidR="006D17C2" w:rsidRPr="00B75010" w:rsidRDefault="006D17C2" w:rsidP="00DB4E85">
                <w:pPr>
                  <w:pStyle w:val="Heading2"/>
                  <w:spacing w:after="0" w:line="360" w:lineRule="auto"/>
                  <w:ind w:left="426"/>
                  <w:jc w:val="right"/>
                  <w:rPr>
                    <w:bCs/>
                    <w:color w:val="FFFFFF" w:themeColor="background1"/>
                    <w:sz w:val="24"/>
                    <w:szCs w:val="24"/>
                  </w:rPr>
                </w:pPr>
                <w:r w:rsidRPr="00B75010">
                  <w:rPr>
                    <w:bCs/>
                    <w:color w:val="FFFFFF" w:themeColor="background1"/>
                    <w:sz w:val="24"/>
                    <w:szCs w:val="24"/>
                  </w:rPr>
                  <w:t>76,917</w:t>
                </w:r>
              </w:p>
            </w:tc>
            <w:tc>
              <w:tcPr>
                <w:tcW w:w="2211" w:type="dxa"/>
                <w:shd w:val="clear" w:color="auto" w:fill="016574" w:themeFill="accent1"/>
              </w:tcPr>
              <w:p w14:paraId="14E6B1DD" w14:textId="1586DA40" w:rsidR="006D17C2" w:rsidRPr="00B75010" w:rsidRDefault="006D17C2" w:rsidP="00DB4E85">
                <w:pPr>
                  <w:pStyle w:val="Heading2"/>
                  <w:spacing w:after="0" w:line="360" w:lineRule="auto"/>
                  <w:ind w:left="426"/>
                  <w:jc w:val="right"/>
                  <w:rPr>
                    <w:bCs/>
                    <w:color w:val="FFFFFF" w:themeColor="background1"/>
                    <w:sz w:val="24"/>
                    <w:szCs w:val="24"/>
                  </w:rPr>
                </w:pPr>
                <w:r w:rsidRPr="00B75010">
                  <w:rPr>
                    <w:bCs/>
                    <w:color w:val="FFFFFF" w:themeColor="background1"/>
                    <w:sz w:val="24"/>
                    <w:szCs w:val="24"/>
                  </w:rPr>
                  <w:t>42,175</w:t>
                </w:r>
              </w:p>
            </w:tc>
          </w:tr>
          <w:tr w:rsidR="006D17C2" w:rsidRPr="008463BD" w14:paraId="6FAE301D" w14:textId="0C102931" w:rsidTr="00D744DB">
            <w:trPr>
              <w:cantSplit/>
              <w:trHeight w:val="312"/>
            </w:trPr>
            <w:tc>
              <w:tcPr>
                <w:tcW w:w="5098" w:type="dxa"/>
                <w:hideMark/>
              </w:tcPr>
              <w:p w14:paraId="6A18E7AA" w14:textId="34FE3FD6" w:rsidR="006D17C2" w:rsidRPr="007E3E7F" w:rsidRDefault="006D17C2" w:rsidP="00DB4E85">
                <w:pPr>
                  <w:pStyle w:val="Heading2"/>
                  <w:spacing w:after="0" w:line="360" w:lineRule="auto"/>
                  <w:jc w:val="both"/>
                  <w:rPr>
                    <w:bCs/>
                    <w:color w:val="auto"/>
                    <w:sz w:val="24"/>
                    <w:szCs w:val="24"/>
                  </w:rPr>
                </w:pPr>
                <w:r w:rsidRPr="007E3E7F">
                  <w:rPr>
                    <w:bCs/>
                    <w:color w:val="auto"/>
                    <w:sz w:val="24"/>
                    <w:szCs w:val="24"/>
                  </w:rPr>
                  <w:t>Non</w:t>
                </w:r>
                <w:r>
                  <w:rPr>
                    <w:bCs/>
                    <w:color w:val="auto"/>
                    <w:sz w:val="24"/>
                    <w:szCs w:val="24"/>
                  </w:rPr>
                  <w:t>-</w:t>
                </w:r>
                <w:r w:rsidRPr="007E3E7F">
                  <w:rPr>
                    <w:bCs/>
                    <w:color w:val="auto"/>
                    <w:sz w:val="24"/>
                    <w:szCs w:val="24"/>
                  </w:rPr>
                  <w:t>current liabilities</w:t>
                </w:r>
              </w:p>
            </w:tc>
            <w:tc>
              <w:tcPr>
                <w:tcW w:w="2211" w:type="dxa"/>
                <w:noWrap/>
                <w:hideMark/>
              </w:tcPr>
              <w:p w14:paraId="32E754D5" w14:textId="374EFB67" w:rsidR="006D17C2" w:rsidRPr="00C37C32" w:rsidRDefault="006D17C2" w:rsidP="00DB4E85">
                <w:pPr>
                  <w:pStyle w:val="Heading2"/>
                  <w:spacing w:after="0" w:line="360" w:lineRule="auto"/>
                  <w:ind w:left="426"/>
                  <w:jc w:val="right"/>
                  <w:rPr>
                    <w:b w:val="0"/>
                    <w:color w:val="auto"/>
                    <w:sz w:val="24"/>
                    <w:szCs w:val="24"/>
                  </w:rPr>
                </w:pPr>
                <w:r w:rsidRPr="00C37C32">
                  <w:rPr>
                    <w:b w:val="0"/>
                    <w:color w:val="auto"/>
                    <w:sz w:val="24"/>
                    <w:szCs w:val="24"/>
                  </w:rPr>
                  <w:t> </w:t>
                </w:r>
              </w:p>
            </w:tc>
            <w:tc>
              <w:tcPr>
                <w:tcW w:w="2211" w:type="dxa"/>
              </w:tcPr>
              <w:p w14:paraId="114A4205" w14:textId="716F7874" w:rsidR="006D17C2" w:rsidRPr="00C37C32" w:rsidRDefault="006D17C2" w:rsidP="00DB4E85">
                <w:pPr>
                  <w:pStyle w:val="Heading2"/>
                  <w:spacing w:after="0" w:line="360" w:lineRule="auto"/>
                  <w:ind w:left="426"/>
                  <w:jc w:val="right"/>
                  <w:rPr>
                    <w:b w:val="0"/>
                    <w:color w:val="auto"/>
                    <w:sz w:val="24"/>
                    <w:szCs w:val="24"/>
                  </w:rPr>
                </w:pPr>
                <w:r w:rsidRPr="00C37C32">
                  <w:rPr>
                    <w:b w:val="0"/>
                    <w:color w:val="auto"/>
                    <w:sz w:val="24"/>
                    <w:szCs w:val="24"/>
                  </w:rPr>
                  <w:t> </w:t>
                </w:r>
              </w:p>
            </w:tc>
          </w:tr>
          <w:tr w:rsidR="006D17C2" w:rsidRPr="008463BD" w14:paraId="31E032B2" w14:textId="41581226" w:rsidTr="00D744DB">
            <w:trPr>
              <w:cantSplit/>
              <w:trHeight w:val="375"/>
            </w:trPr>
            <w:tc>
              <w:tcPr>
                <w:tcW w:w="5098" w:type="dxa"/>
                <w:hideMark/>
              </w:tcPr>
              <w:p w14:paraId="0878C658" w14:textId="40FAAFF3" w:rsidR="006D17C2" w:rsidRPr="00C37C32" w:rsidRDefault="006D17C2" w:rsidP="00DB4E85">
                <w:pPr>
                  <w:pStyle w:val="Heading2"/>
                  <w:spacing w:after="0" w:line="360" w:lineRule="auto"/>
                  <w:jc w:val="both"/>
                  <w:rPr>
                    <w:b w:val="0"/>
                    <w:color w:val="auto"/>
                    <w:sz w:val="24"/>
                    <w:szCs w:val="24"/>
                  </w:rPr>
                </w:pPr>
                <w:r w:rsidRPr="00C37C32">
                  <w:rPr>
                    <w:b w:val="0"/>
                    <w:color w:val="auto"/>
                    <w:sz w:val="24"/>
                    <w:szCs w:val="24"/>
                  </w:rPr>
                  <w:t xml:space="preserve">Provisions for </w:t>
                </w:r>
                <w:r>
                  <w:rPr>
                    <w:b w:val="0"/>
                    <w:color w:val="auto"/>
                    <w:sz w:val="24"/>
                    <w:szCs w:val="24"/>
                  </w:rPr>
                  <w:t>l</w:t>
                </w:r>
                <w:r w:rsidRPr="00C37C32">
                  <w:rPr>
                    <w:b w:val="0"/>
                    <w:color w:val="auto"/>
                    <w:sz w:val="24"/>
                    <w:szCs w:val="24"/>
                  </w:rPr>
                  <w:t xml:space="preserve">iabilities and </w:t>
                </w:r>
                <w:r>
                  <w:rPr>
                    <w:b w:val="0"/>
                    <w:color w:val="auto"/>
                    <w:sz w:val="24"/>
                    <w:szCs w:val="24"/>
                  </w:rPr>
                  <w:t>c</w:t>
                </w:r>
                <w:r w:rsidRPr="00C37C32">
                  <w:rPr>
                    <w:b w:val="0"/>
                    <w:color w:val="auto"/>
                    <w:sz w:val="24"/>
                    <w:szCs w:val="24"/>
                  </w:rPr>
                  <w:t>harges &gt;1 year</w:t>
                </w:r>
              </w:p>
            </w:tc>
            <w:tc>
              <w:tcPr>
                <w:tcW w:w="2211" w:type="dxa"/>
                <w:noWrap/>
                <w:hideMark/>
              </w:tcPr>
              <w:p w14:paraId="561655A3" w14:textId="77E1E14F" w:rsidR="006D17C2" w:rsidRPr="00C37C32" w:rsidRDefault="006D17C2" w:rsidP="00DB4E85">
                <w:pPr>
                  <w:pStyle w:val="Heading2"/>
                  <w:spacing w:after="0" w:line="360" w:lineRule="auto"/>
                  <w:ind w:left="426"/>
                  <w:jc w:val="right"/>
                  <w:rPr>
                    <w:b w:val="0"/>
                    <w:color w:val="auto"/>
                    <w:sz w:val="24"/>
                    <w:szCs w:val="24"/>
                  </w:rPr>
                </w:pPr>
                <w:r w:rsidRPr="00C37C32">
                  <w:rPr>
                    <w:b w:val="0"/>
                    <w:color w:val="auto"/>
                    <w:sz w:val="24"/>
                    <w:szCs w:val="24"/>
                  </w:rPr>
                  <w:t>(6,059)</w:t>
                </w:r>
              </w:p>
            </w:tc>
            <w:tc>
              <w:tcPr>
                <w:tcW w:w="2211" w:type="dxa"/>
              </w:tcPr>
              <w:p w14:paraId="5683203D" w14:textId="5C6CE49D" w:rsidR="006D17C2" w:rsidRPr="00C37C32" w:rsidRDefault="006D17C2" w:rsidP="00DB4E85">
                <w:pPr>
                  <w:pStyle w:val="Heading2"/>
                  <w:spacing w:after="0" w:line="360" w:lineRule="auto"/>
                  <w:ind w:left="426"/>
                  <w:jc w:val="right"/>
                  <w:rPr>
                    <w:b w:val="0"/>
                    <w:color w:val="auto"/>
                    <w:sz w:val="24"/>
                    <w:szCs w:val="24"/>
                  </w:rPr>
                </w:pPr>
                <w:r w:rsidRPr="00C37C32">
                  <w:rPr>
                    <w:b w:val="0"/>
                    <w:color w:val="auto"/>
                    <w:sz w:val="24"/>
                    <w:szCs w:val="24"/>
                  </w:rPr>
                  <w:t>(6,059)</w:t>
                </w:r>
              </w:p>
            </w:tc>
          </w:tr>
          <w:tr w:rsidR="006D17C2" w:rsidRPr="008463BD" w14:paraId="0E6A25FE" w14:textId="1D640E47" w:rsidTr="00D744DB">
            <w:trPr>
              <w:cantSplit/>
              <w:trHeight w:val="312"/>
            </w:trPr>
            <w:tc>
              <w:tcPr>
                <w:tcW w:w="5098" w:type="dxa"/>
                <w:hideMark/>
              </w:tcPr>
              <w:p w14:paraId="0105A066" w14:textId="2BFADF69" w:rsidR="006D17C2" w:rsidRPr="00C37C32" w:rsidRDefault="006D17C2" w:rsidP="00DB4E85">
                <w:pPr>
                  <w:pStyle w:val="Heading2"/>
                  <w:spacing w:after="0" w:line="360" w:lineRule="auto"/>
                  <w:jc w:val="both"/>
                  <w:rPr>
                    <w:b w:val="0"/>
                    <w:color w:val="auto"/>
                    <w:sz w:val="24"/>
                    <w:szCs w:val="24"/>
                  </w:rPr>
                </w:pPr>
                <w:r w:rsidRPr="00C37C32">
                  <w:rPr>
                    <w:b w:val="0"/>
                    <w:color w:val="auto"/>
                    <w:sz w:val="24"/>
                    <w:szCs w:val="24"/>
                  </w:rPr>
                  <w:t xml:space="preserve">Future </w:t>
                </w:r>
                <w:r>
                  <w:rPr>
                    <w:b w:val="0"/>
                    <w:color w:val="auto"/>
                    <w:sz w:val="24"/>
                    <w:szCs w:val="24"/>
                  </w:rPr>
                  <w:t>l</w:t>
                </w:r>
                <w:r w:rsidRPr="00C37C32">
                  <w:rPr>
                    <w:b w:val="0"/>
                    <w:color w:val="auto"/>
                    <w:sz w:val="24"/>
                    <w:szCs w:val="24"/>
                  </w:rPr>
                  <w:t xml:space="preserve">ease </w:t>
                </w:r>
                <w:r>
                  <w:rPr>
                    <w:b w:val="0"/>
                    <w:color w:val="auto"/>
                    <w:sz w:val="24"/>
                    <w:szCs w:val="24"/>
                  </w:rPr>
                  <w:t>p</w:t>
                </w:r>
                <w:r w:rsidRPr="00C37C32">
                  <w:rPr>
                    <w:b w:val="0"/>
                    <w:color w:val="auto"/>
                    <w:sz w:val="24"/>
                    <w:szCs w:val="24"/>
                  </w:rPr>
                  <w:t xml:space="preserve">ayments </w:t>
                </w:r>
              </w:p>
            </w:tc>
            <w:tc>
              <w:tcPr>
                <w:tcW w:w="2211" w:type="dxa"/>
                <w:noWrap/>
                <w:hideMark/>
              </w:tcPr>
              <w:p w14:paraId="6EB770AA" w14:textId="5710160D" w:rsidR="006D17C2" w:rsidRPr="00C37C32" w:rsidRDefault="006D17C2" w:rsidP="00DB4E85">
                <w:pPr>
                  <w:pStyle w:val="Heading2"/>
                  <w:spacing w:after="0" w:line="360" w:lineRule="auto"/>
                  <w:ind w:left="426"/>
                  <w:jc w:val="right"/>
                  <w:rPr>
                    <w:b w:val="0"/>
                    <w:color w:val="auto"/>
                    <w:sz w:val="24"/>
                    <w:szCs w:val="24"/>
                  </w:rPr>
                </w:pPr>
                <w:r w:rsidRPr="00C37C32">
                  <w:rPr>
                    <w:b w:val="0"/>
                    <w:color w:val="auto"/>
                    <w:sz w:val="24"/>
                    <w:szCs w:val="24"/>
                  </w:rPr>
                  <w:t>(6,781)</w:t>
                </w:r>
              </w:p>
            </w:tc>
            <w:tc>
              <w:tcPr>
                <w:tcW w:w="2211" w:type="dxa"/>
              </w:tcPr>
              <w:p w14:paraId="5744894E" w14:textId="588B3938" w:rsidR="006D17C2" w:rsidRPr="00C37C32" w:rsidRDefault="006D17C2" w:rsidP="00DB4E85">
                <w:pPr>
                  <w:pStyle w:val="Heading2"/>
                  <w:spacing w:after="0" w:line="360" w:lineRule="auto"/>
                  <w:ind w:left="426"/>
                  <w:jc w:val="right"/>
                  <w:rPr>
                    <w:b w:val="0"/>
                    <w:color w:val="auto"/>
                    <w:sz w:val="24"/>
                    <w:szCs w:val="24"/>
                  </w:rPr>
                </w:pPr>
                <w:r w:rsidRPr="00C37C32">
                  <w:rPr>
                    <w:b w:val="0"/>
                    <w:color w:val="auto"/>
                    <w:sz w:val="24"/>
                    <w:szCs w:val="24"/>
                  </w:rPr>
                  <w:t>(6,781)</w:t>
                </w:r>
              </w:p>
            </w:tc>
          </w:tr>
          <w:tr w:rsidR="006D17C2" w:rsidRPr="008463BD" w14:paraId="0CEE9463" w14:textId="62C44EEC" w:rsidTr="00D744DB">
            <w:trPr>
              <w:cantSplit/>
              <w:trHeight w:val="312"/>
            </w:trPr>
            <w:tc>
              <w:tcPr>
                <w:tcW w:w="5098" w:type="dxa"/>
                <w:shd w:val="clear" w:color="auto" w:fill="016574" w:themeFill="accent1"/>
                <w:hideMark/>
              </w:tcPr>
              <w:p w14:paraId="19403B0C" w14:textId="77777777" w:rsidR="006D17C2" w:rsidRPr="00B75010" w:rsidRDefault="006D17C2" w:rsidP="00DB4E85">
                <w:pPr>
                  <w:pStyle w:val="Heading2"/>
                  <w:spacing w:after="0" w:line="360" w:lineRule="auto"/>
                  <w:jc w:val="both"/>
                  <w:rPr>
                    <w:bCs/>
                    <w:color w:val="FFFFFF" w:themeColor="background1"/>
                    <w:sz w:val="24"/>
                    <w:szCs w:val="24"/>
                  </w:rPr>
                </w:pPr>
                <w:r w:rsidRPr="00B75010">
                  <w:rPr>
                    <w:bCs/>
                    <w:color w:val="FFFFFF" w:themeColor="background1"/>
                    <w:sz w:val="24"/>
                    <w:szCs w:val="24"/>
                  </w:rPr>
                  <w:t>Total non-current liabilities</w:t>
                </w:r>
              </w:p>
            </w:tc>
            <w:tc>
              <w:tcPr>
                <w:tcW w:w="2211" w:type="dxa"/>
                <w:shd w:val="clear" w:color="auto" w:fill="016574" w:themeFill="accent1"/>
                <w:noWrap/>
                <w:hideMark/>
              </w:tcPr>
              <w:p w14:paraId="5A8A7670" w14:textId="0977DEAA" w:rsidR="006D17C2" w:rsidRPr="00B75010" w:rsidRDefault="006D17C2" w:rsidP="00DB4E85">
                <w:pPr>
                  <w:pStyle w:val="Heading2"/>
                  <w:spacing w:after="0" w:line="360" w:lineRule="auto"/>
                  <w:ind w:left="426"/>
                  <w:jc w:val="right"/>
                  <w:rPr>
                    <w:bCs/>
                    <w:color w:val="FFFFFF" w:themeColor="background1"/>
                    <w:sz w:val="24"/>
                    <w:szCs w:val="24"/>
                  </w:rPr>
                </w:pPr>
                <w:r w:rsidRPr="00B75010">
                  <w:rPr>
                    <w:bCs/>
                    <w:color w:val="FFFFFF" w:themeColor="background1"/>
                    <w:sz w:val="24"/>
                    <w:szCs w:val="24"/>
                  </w:rPr>
                  <w:t>(12,840)</w:t>
                </w:r>
              </w:p>
            </w:tc>
            <w:tc>
              <w:tcPr>
                <w:tcW w:w="2211" w:type="dxa"/>
                <w:shd w:val="clear" w:color="auto" w:fill="016574" w:themeFill="accent1"/>
              </w:tcPr>
              <w:p w14:paraId="054A1813" w14:textId="701EFF8B" w:rsidR="006D17C2" w:rsidRPr="00B75010" w:rsidRDefault="006D17C2" w:rsidP="00DB4E85">
                <w:pPr>
                  <w:pStyle w:val="Heading2"/>
                  <w:spacing w:after="0" w:line="360" w:lineRule="auto"/>
                  <w:ind w:left="426"/>
                  <w:jc w:val="right"/>
                  <w:rPr>
                    <w:bCs/>
                    <w:color w:val="FFFFFF" w:themeColor="background1"/>
                    <w:sz w:val="24"/>
                    <w:szCs w:val="24"/>
                  </w:rPr>
                </w:pPr>
                <w:r w:rsidRPr="00B75010">
                  <w:rPr>
                    <w:bCs/>
                    <w:color w:val="FFFFFF" w:themeColor="background1"/>
                    <w:sz w:val="24"/>
                    <w:szCs w:val="24"/>
                  </w:rPr>
                  <w:t>(12,840)</w:t>
                </w:r>
              </w:p>
            </w:tc>
          </w:tr>
          <w:tr w:rsidR="006D17C2" w:rsidRPr="008463BD" w14:paraId="7DA07EB1" w14:textId="203A3E76" w:rsidTr="00D744DB">
            <w:trPr>
              <w:cantSplit/>
              <w:trHeight w:val="312"/>
            </w:trPr>
            <w:tc>
              <w:tcPr>
                <w:tcW w:w="5098" w:type="dxa"/>
                <w:shd w:val="clear" w:color="auto" w:fill="016574" w:themeFill="accent1"/>
                <w:hideMark/>
              </w:tcPr>
              <w:p w14:paraId="37BF4A72" w14:textId="7D89C739" w:rsidR="006D17C2" w:rsidRPr="00B75010" w:rsidRDefault="006D17C2" w:rsidP="00DB4E85">
                <w:pPr>
                  <w:pStyle w:val="Heading2"/>
                  <w:spacing w:after="0" w:line="360" w:lineRule="auto"/>
                  <w:jc w:val="both"/>
                  <w:rPr>
                    <w:bCs/>
                    <w:color w:val="FFFFFF" w:themeColor="background1"/>
                    <w:sz w:val="24"/>
                    <w:szCs w:val="24"/>
                  </w:rPr>
                </w:pPr>
                <w:r w:rsidRPr="00B75010">
                  <w:rPr>
                    <w:bCs/>
                    <w:color w:val="FFFFFF" w:themeColor="background1"/>
                    <w:sz w:val="24"/>
                    <w:szCs w:val="24"/>
                  </w:rPr>
                  <w:t>Total assets less total liabilities</w:t>
                </w:r>
              </w:p>
            </w:tc>
            <w:tc>
              <w:tcPr>
                <w:tcW w:w="2211" w:type="dxa"/>
                <w:shd w:val="clear" w:color="auto" w:fill="016574" w:themeFill="accent1"/>
                <w:hideMark/>
              </w:tcPr>
              <w:p w14:paraId="18833BF9" w14:textId="78C19A9C" w:rsidR="006D17C2" w:rsidRPr="00B75010" w:rsidRDefault="006D17C2" w:rsidP="00DB4E85">
                <w:pPr>
                  <w:pStyle w:val="Heading2"/>
                  <w:spacing w:after="0" w:line="360" w:lineRule="auto"/>
                  <w:ind w:left="426"/>
                  <w:jc w:val="right"/>
                  <w:rPr>
                    <w:bCs/>
                    <w:color w:val="FFFFFF" w:themeColor="background1"/>
                    <w:sz w:val="24"/>
                    <w:szCs w:val="24"/>
                  </w:rPr>
                </w:pPr>
                <w:r w:rsidRPr="00B75010">
                  <w:rPr>
                    <w:bCs/>
                    <w:color w:val="FFFFFF" w:themeColor="background1"/>
                    <w:sz w:val="24"/>
                    <w:szCs w:val="24"/>
                  </w:rPr>
                  <w:t>64,077</w:t>
                </w:r>
              </w:p>
            </w:tc>
            <w:tc>
              <w:tcPr>
                <w:tcW w:w="2211" w:type="dxa"/>
                <w:shd w:val="clear" w:color="auto" w:fill="016574" w:themeFill="accent1"/>
              </w:tcPr>
              <w:p w14:paraId="22491571" w14:textId="703E6E68" w:rsidR="006D17C2" w:rsidRPr="00B75010" w:rsidRDefault="006D17C2" w:rsidP="00DB4E85">
                <w:pPr>
                  <w:pStyle w:val="Heading2"/>
                  <w:spacing w:after="0" w:line="360" w:lineRule="auto"/>
                  <w:ind w:left="426"/>
                  <w:jc w:val="right"/>
                  <w:rPr>
                    <w:bCs/>
                    <w:color w:val="FFFFFF" w:themeColor="background1"/>
                    <w:sz w:val="24"/>
                    <w:szCs w:val="24"/>
                  </w:rPr>
                </w:pPr>
                <w:r w:rsidRPr="00B75010">
                  <w:rPr>
                    <w:bCs/>
                    <w:color w:val="FFFFFF" w:themeColor="background1"/>
                    <w:sz w:val="24"/>
                    <w:szCs w:val="24"/>
                  </w:rPr>
                  <w:t>29,335</w:t>
                </w:r>
              </w:p>
            </w:tc>
          </w:tr>
          <w:tr w:rsidR="006D17C2" w:rsidRPr="008463BD" w14:paraId="7ADACBCA" w14:textId="74613FAD" w:rsidTr="00D744DB">
            <w:trPr>
              <w:cantSplit/>
              <w:trHeight w:val="330"/>
            </w:trPr>
            <w:tc>
              <w:tcPr>
                <w:tcW w:w="5098" w:type="dxa"/>
                <w:hideMark/>
              </w:tcPr>
              <w:p w14:paraId="11295832" w14:textId="77777777" w:rsidR="006D17C2" w:rsidRPr="001D7EB4" w:rsidRDefault="006D17C2" w:rsidP="00DB4E85">
                <w:pPr>
                  <w:pStyle w:val="Heading2"/>
                  <w:spacing w:after="0" w:line="360" w:lineRule="auto"/>
                  <w:jc w:val="both"/>
                  <w:rPr>
                    <w:bCs/>
                    <w:color w:val="auto"/>
                    <w:sz w:val="24"/>
                    <w:szCs w:val="24"/>
                  </w:rPr>
                </w:pPr>
                <w:r w:rsidRPr="001D7EB4">
                  <w:rPr>
                    <w:bCs/>
                    <w:color w:val="auto"/>
                    <w:sz w:val="24"/>
                    <w:szCs w:val="24"/>
                  </w:rPr>
                  <w:t>Taxpayers' equity and other reserves</w:t>
                </w:r>
              </w:p>
            </w:tc>
            <w:tc>
              <w:tcPr>
                <w:tcW w:w="2211" w:type="dxa"/>
                <w:noWrap/>
                <w:hideMark/>
              </w:tcPr>
              <w:p w14:paraId="18E741FA" w14:textId="736BE27E" w:rsidR="006D17C2" w:rsidRPr="00C37C32" w:rsidRDefault="006D17C2" w:rsidP="00DB4E85">
                <w:pPr>
                  <w:pStyle w:val="Heading2"/>
                  <w:spacing w:after="0" w:line="360" w:lineRule="auto"/>
                  <w:ind w:left="426"/>
                  <w:jc w:val="right"/>
                  <w:rPr>
                    <w:b w:val="0"/>
                    <w:color w:val="auto"/>
                    <w:sz w:val="24"/>
                    <w:szCs w:val="24"/>
                  </w:rPr>
                </w:pPr>
                <w:r w:rsidRPr="00C37C32">
                  <w:rPr>
                    <w:b w:val="0"/>
                    <w:color w:val="auto"/>
                    <w:sz w:val="24"/>
                    <w:szCs w:val="24"/>
                  </w:rPr>
                  <w:t> </w:t>
                </w:r>
              </w:p>
            </w:tc>
            <w:tc>
              <w:tcPr>
                <w:tcW w:w="2211" w:type="dxa"/>
              </w:tcPr>
              <w:p w14:paraId="634424EC" w14:textId="261E6FD0" w:rsidR="006D17C2" w:rsidRPr="00C37C32" w:rsidRDefault="006D17C2" w:rsidP="00DB4E85">
                <w:pPr>
                  <w:pStyle w:val="Heading2"/>
                  <w:spacing w:after="0" w:line="360" w:lineRule="auto"/>
                  <w:ind w:left="426"/>
                  <w:jc w:val="right"/>
                  <w:rPr>
                    <w:b w:val="0"/>
                    <w:color w:val="auto"/>
                    <w:sz w:val="24"/>
                    <w:szCs w:val="24"/>
                  </w:rPr>
                </w:pPr>
                <w:r w:rsidRPr="00C37C32">
                  <w:rPr>
                    <w:b w:val="0"/>
                    <w:color w:val="auto"/>
                    <w:sz w:val="24"/>
                    <w:szCs w:val="24"/>
                  </w:rPr>
                  <w:t> </w:t>
                </w:r>
              </w:p>
            </w:tc>
          </w:tr>
          <w:tr w:rsidR="006D17C2" w:rsidRPr="008463BD" w14:paraId="0CDFE5AB" w14:textId="3AF49E85" w:rsidTr="00D744DB">
            <w:trPr>
              <w:cantSplit/>
              <w:trHeight w:val="312"/>
            </w:trPr>
            <w:tc>
              <w:tcPr>
                <w:tcW w:w="5098" w:type="dxa"/>
                <w:hideMark/>
              </w:tcPr>
              <w:p w14:paraId="36C8F886" w14:textId="7F9DACED" w:rsidR="006D17C2" w:rsidRPr="00C37C32" w:rsidRDefault="006D17C2" w:rsidP="00DB4E85">
                <w:pPr>
                  <w:pStyle w:val="Heading2"/>
                  <w:spacing w:after="0" w:line="360" w:lineRule="auto"/>
                  <w:jc w:val="both"/>
                  <w:rPr>
                    <w:b w:val="0"/>
                    <w:color w:val="auto"/>
                    <w:sz w:val="24"/>
                    <w:szCs w:val="24"/>
                  </w:rPr>
                </w:pPr>
                <w:r w:rsidRPr="00C37C32">
                  <w:rPr>
                    <w:b w:val="0"/>
                    <w:color w:val="auto"/>
                    <w:sz w:val="24"/>
                    <w:szCs w:val="24"/>
                  </w:rPr>
                  <w:t>General</w:t>
                </w:r>
                <w:r>
                  <w:rPr>
                    <w:b w:val="0"/>
                    <w:color w:val="auto"/>
                    <w:sz w:val="24"/>
                    <w:szCs w:val="24"/>
                  </w:rPr>
                  <w:t xml:space="preserve"> fund</w:t>
                </w:r>
              </w:p>
            </w:tc>
            <w:tc>
              <w:tcPr>
                <w:tcW w:w="2211" w:type="dxa"/>
                <w:noWrap/>
                <w:hideMark/>
              </w:tcPr>
              <w:p w14:paraId="41B30BFE" w14:textId="7F901873" w:rsidR="006D17C2" w:rsidRPr="00C37C32" w:rsidRDefault="006D17C2" w:rsidP="00DB4E85">
                <w:pPr>
                  <w:pStyle w:val="Heading2"/>
                  <w:spacing w:after="0" w:line="360" w:lineRule="auto"/>
                  <w:ind w:left="426"/>
                  <w:jc w:val="right"/>
                  <w:rPr>
                    <w:b w:val="0"/>
                    <w:color w:val="auto"/>
                    <w:sz w:val="24"/>
                    <w:szCs w:val="24"/>
                  </w:rPr>
                </w:pPr>
                <w:r w:rsidRPr="00C37C32">
                  <w:rPr>
                    <w:b w:val="0"/>
                    <w:color w:val="auto"/>
                    <w:sz w:val="24"/>
                    <w:szCs w:val="24"/>
                  </w:rPr>
                  <w:t>45,037</w:t>
                </w:r>
              </w:p>
            </w:tc>
            <w:tc>
              <w:tcPr>
                <w:tcW w:w="2211" w:type="dxa"/>
              </w:tcPr>
              <w:p w14:paraId="5CC4D742" w14:textId="78B444EB" w:rsidR="006D17C2" w:rsidRPr="00C37C32" w:rsidRDefault="006D17C2" w:rsidP="00DB4E85">
                <w:pPr>
                  <w:pStyle w:val="Heading2"/>
                  <w:spacing w:after="0" w:line="360" w:lineRule="auto"/>
                  <w:ind w:left="426"/>
                  <w:jc w:val="right"/>
                  <w:rPr>
                    <w:b w:val="0"/>
                    <w:color w:val="auto"/>
                    <w:sz w:val="24"/>
                    <w:szCs w:val="24"/>
                  </w:rPr>
                </w:pPr>
                <w:r w:rsidRPr="00C37C32">
                  <w:rPr>
                    <w:b w:val="0"/>
                    <w:color w:val="auto"/>
                    <w:sz w:val="24"/>
                    <w:szCs w:val="24"/>
                  </w:rPr>
                  <w:t>10,295</w:t>
                </w:r>
              </w:p>
            </w:tc>
          </w:tr>
          <w:tr w:rsidR="006D17C2" w:rsidRPr="008463BD" w14:paraId="7325978C" w14:textId="2BBFFB78" w:rsidTr="00D744DB">
            <w:trPr>
              <w:cantSplit/>
              <w:trHeight w:val="312"/>
            </w:trPr>
            <w:tc>
              <w:tcPr>
                <w:tcW w:w="5098" w:type="dxa"/>
                <w:hideMark/>
              </w:tcPr>
              <w:p w14:paraId="047A9529" w14:textId="578D83A4" w:rsidR="006D17C2" w:rsidRPr="00C37C32" w:rsidRDefault="006D17C2" w:rsidP="00DB4E85">
                <w:pPr>
                  <w:pStyle w:val="Heading2"/>
                  <w:spacing w:after="0" w:line="360" w:lineRule="auto"/>
                  <w:jc w:val="both"/>
                  <w:rPr>
                    <w:b w:val="0"/>
                    <w:color w:val="auto"/>
                    <w:sz w:val="24"/>
                    <w:szCs w:val="24"/>
                  </w:rPr>
                </w:pPr>
                <w:r w:rsidRPr="00C37C32">
                  <w:rPr>
                    <w:b w:val="0"/>
                    <w:color w:val="auto"/>
                    <w:sz w:val="24"/>
                    <w:szCs w:val="24"/>
                  </w:rPr>
                  <w:t xml:space="preserve">Revaluation </w:t>
                </w:r>
                <w:r>
                  <w:rPr>
                    <w:b w:val="0"/>
                    <w:color w:val="auto"/>
                    <w:sz w:val="24"/>
                    <w:szCs w:val="24"/>
                  </w:rPr>
                  <w:t>r</w:t>
                </w:r>
                <w:r w:rsidRPr="00C37C32">
                  <w:rPr>
                    <w:b w:val="0"/>
                    <w:color w:val="auto"/>
                    <w:sz w:val="24"/>
                    <w:szCs w:val="24"/>
                  </w:rPr>
                  <w:t>eserve</w:t>
                </w:r>
              </w:p>
            </w:tc>
            <w:tc>
              <w:tcPr>
                <w:tcW w:w="2211" w:type="dxa"/>
                <w:noWrap/>
                <w:hideMark/>
              </w:tcPr>
              <w:p w14:paraId="6BDC07D6" w14:textId="61ED6CC6" w:rsidR="006D17C2" w:rsidRPr="00C37C32" w:rsidRDefault="006D17C2" w:rsidP="00DB4E85">
                <w:pPr>
                  <w:pStyle w:val="Heading2"/>
                  <w:spacing w:after="0" w:line="360" w:lineRule="auto"/>
                  <w:ind w:left="426"/>
                  <w:jc w:val="right"/>
                  <w:rPr>
                    <w:b w:val="0"/>
                    <w:color w:val="auto"/>
                    <w:sz w:val="24"/>
                    <w:szCs w:val="24"/>
                  </w:rPr>
                </w:pPr>
                <w:r w:rsidRPr="00C37C32">
                  <w:rPr>
                    <w:b w:val="0"/>
                    <w:color w:val="auto"/>
                    <w:sz w:val="24"/>
                    <w:szCs w:val="24"/>
                  </w:rPr>
                  <w:t>19,040</w:t>
                </w:r>
              </w:p>
            </w:tc>
            <w:tc>
              <w:tcPr>
                <w:tcW w:w="2211" w:type="dxa"/>
              </w:tcPr>
              <w:p w14:paraId="4B39408C" w14:textId="36C4DAB7" w:rsidR="006D17C2" w:rsidRPr="00C37C32" w:rsidRDefault="006D17C2" w:rsidP="00DB4E85">
                <w:pPr>
                  <w:pStyle w:val="Heading2"/>
                  <w:spacing w:after="0" w:line="360" w:lineRule="auto"/>
                  <w:ind w:left="426"/>
                  <w:jc w:val="right"/>
                  <w:rPr>
                    <w:b w:val="0"/>
                    <w:color w:val="auto"/>
                    <w:sz w:val="24"/>
                    <w:szCs w:val="24"/>
                  </w:rPr>
                </w:pPr>
                <w:r w:rsidRPr="00C37C32">
                  <w:rPr>
                    <w:b w:val="0"/>
                    <w:color w:val="auto"/>
                    <w:sz w:val="24"/>
                    <w:szCs w:val="24"/>
                  </w:rPr>
                  <w:t>19,040</w:t>
                </w:r>
              </w:p>
            </w:tc>
          </w:tr>
          <w:tr w:rsidR="006D17C2" w:rsidRPr="008463BD" w14:paraId="1FC4F5CC" w14:textId="72A3DA3F" w:rsidTr="00D744DB">
            <w:trPr>
              <w:cantSplit/>
              <w:trHeight w:val="312"/>
            </w:trPr>
            <w:tc>
              <w:tcPr>
                <w:tcW w:w="5098" w:type="dxa"/>
                <w:shd w:val="clear" w:color="auto" w:fill="016574" w:themeFill="accent1"/>
                <w:hideMark/>
              </w:tcPr>
              <w:p w14:paraId="0433CAFA" w14:textId="747DF4A7" w:rsidR="006D17C2" w:rsidRPr="00B75010" w:rsidRDefault="006D17C2" w:rsidP="00DB4E85">
                <w:pPr>
                  <w:pStyle w:val="Heading2"/>
                  <w:spacing w:after="0" w:line="360" w:lineRule="auto"/>
                  <w:jc w:val="both"/>
                  <w:rPr>
                    <w:bCs/>
                    <w:color w:val="FFFFFF" w:themeColor="background1"/>
                    <w:sz w:val="24"/>
                    <w:szCs w:val="24"/>
                  </w:rPr>
                </w:pPr>
                <w:r w:rsidRPr="00B75010">
                  <w:rPr>
                    <w:bCs/>
                    <w:color w:val="FFFFFF" w:themeColor="background1"/>
                    <w:sz w:val="24"/>
                    <w:szCs w:val="24"/>
                  </w:rPr>
                  <w:t>Total tax payers</w:t>
                </w:r>
                <w:r>
                  <w:rPr>
                    <w:bCs/>
                    <w:color w:val="FFFFFF" w:themeColor="background1"/>
                    <w:sz w:val="24"/>
                    <w:szCs w:val="24"/>
                  </w:rPr>
                  <w:t>’</w:t>
                </w:r>
                <w:r w:rsidRPr="00B75010">
                  <w:rPr>
                    <w:bCs/>
                    <w:color w:val="FFFFFF" w:themeColor="background1"/>
                    <w:sz w:val="24"/>
                    <w:szCs w:val="24"/>
                  </w:rPr>
                  <w:t xml:space="preserve"> equity</w:t>
                </w:r>
              </w:p>
            </w:tc>
            <w:tc>
              <w:tcPr>
                <w:tcW w:w="2211" w:type="dxa"/>
                <w:shd w:val="clear" w:color="auto" w:fill="016574" w:themeFill="accent1"/>
                <w:hideMark/>
              </w:tcPr>
              <w:p w14:paraId="2CCF177E" w14:textId="084B9AFA" w:rsidR="006D17C2" w:rsidRPr="00B75010" w:rsidRDefault="006D17C2" w:rsidP="00DB4E85">
                <w:pPr>
                  <w:pStyle w:val="Heading2"/>
                  <w:spacing w:after="0" w:line="360" w:lineRule="auto"/>
                  <w:ind w:left="426"/>
                  <w:jc w:val="right"/>
                  <w:rPr>
                    <w:bCs/>
                    <w:color w:val="FFFFFF" w:themeColor="background1"/>
                    <w:sz w:val="24"/>
                    <w:szCs w:val="24"/>
                  </w:rPr>
                </w:pPr>
                <w:r w:rsidRPr="00B75010">
                  <w:rPr>
                    <w:bCs/>
                    <w:color w:val="FFFFFF" w:themeColor="background1"/>
                    <w:sz w:val="24"/>
                    <w:szCs w:val="24"/>
                  </w:rPr>
                  <w:t>64,077</w:t>
                </w:r>
              </w:p>
            </w:tc>
            <w:tc>
              <w:tcPr>
                <w:tcW w:w="2211" w:type="dxa"/>
                <w:shd w:val="clear" w:color="auto" w:fill="016574" w:themeFill="accent1"/>
              </w:tcPr>
              <w:p w14:paraId="4ED91FE3" w14:textId="39077553" w:rsidR="006D17C2" w:rsidRPr="00B75010" w:rsidRDefault="006D17C2" w:rsidP="00DB4E85">
                <w:pPr>
                  <w:pStyle w:val="Heading2"/>
                  <w:spacing w:after="0" w:line="360" w:lineRule="auto"/>
                  <w:ind w:left="426"/>
                  <w:jc w:val="right"/>
                  <w:rPr>
                    <w:bCs/>
                    <w:color w:val="FFFFFF" w:themeColor="background1"/>
                    <w:sz w:val="24"/>
                    <w:szCs w:val="24"/>
                  </w:rPr>
                </w:pPr>
                <w:r w:rsidRPr="00B75010">
                  <w:rPr>
                    <w:bCs/>
                    <w:color w:val="FFFFFF" w:themeColor="background1"/>
                    <w:sz w:val="24"/>
                    <w:szCs w:val="24"/>
                  </w:rPr>
                  <w:t>29,335</w:t>
                </w:r>
              </w:p>
            </w:tc>
          </w:tr>
          <w:bookmarkEnd w:id="5"/>
        </w:tbl>
        <w:p w14:paraId="60FAE5B7" w14:textId="77777777" w:rsidR="00EB2DAE" w:rsidRDefault="00EB2DAE" w:rsidP="00EB2DAE">
          <w:pPr>
            <w:pStyle w:val="Heading2"/>
            <w:ind w:left="426"/>
            <w:rPr>
              <w:rStyle w:val="normaltextrun"/>
              <w:color w:val="auto"/>
              <w:sz w:val="28"/>
              <w:szCs w:val="28"/>
            </w:rPr>
          </w:pPr>
        </w:p>
        <w:p w14:paraId="3D37E36A" w14:textId="03A16060" w:rsidR="007D55F8" w:rsidRPr="005F4DEC" w:rsidRDefault="007D55F8" w:rsidP="00EF1D83">
          <w:pPr>
            <w:pStyle w:val="Heading2"/>
            <w:numPr>
              <w:ilvl w:val="0"/>
              <w:numId w:val="20"/>
            </w:numPr>
            <w:ind w:left="426" w:hanging="426"/>
            <w:rPr>
              <w:rStyle w:val="normaltextrun"/>
              <w:color w:val="auto"/>
              <w:sz w:val="28"/>
              <w:szCs w:val="28"/>
            </w:rPr>
          </w:pPr>
          <w:r w:rsidRPr="005F4DEC">
            <w:rPr>
              <w:rStyle w:val="normaltextrun"/>
              <w:color w:val="auto"/>
              <w:sz w:val="28"/>
              <w:szCs w:val="28"/>
            </w:rPr>
            <w:lastRenderedPageBreak/>
            <w:t>Recommendation</w:t>
          </w:r>
        </w:p>
        <w:p w14:paraId="4B1A37C2" w14:textId="10246583" w:rsidR="007331AA" w:rsidRDefault="005077F1" w:rsidP="006E3ED0">
          <w:pPr>
            <w:pStyle w:val="ListParagraph"/>
            <w:numPr>
              <w:ilvl w:val="0"/>
              <w:numId w:val="17"/>
            </w:numPr>
            <w:ind w:left="993" w:hanging="568"/>
            <w:contextualSpacing w:val="0"/>
          </w:pPr>
          <w:r>
            <w:t xml:space="preserve">The </w:t>
          </w:r>
          <w:r w:rsidR="00A37265">
            <w:t>Board</w:t>
          </w:r>
          <w:r w:rsidR="00BB4B4B">
            <w:t xml:space="preserve"> </w:t>
          </w:r>
          <w:r w:rsidR="00E0293F">
            <w:t>is</w:t>
          </w:r>
          <w:r>
            <w:t xml:space="preserve"> asked to</w:t>
          </w:r>
          <w:r w:rsidR="007331AA">
            <w:t xml:space="preserve"> n</w:t>
          </w:r>
          <w:r w:rsidRPr="004B68DB">
            <w:t>ote SEPA’s financial performance for the period ending 3</w:t>
          </w:r>
          <w:r w:rsidR="008463BD">
            <w:t>0</w:t>
          </w:r>
          <w:r w:rsidRPr="004B68DB">
            <w:t xml:space="preserve"> </w:t>
          </w:r>
          <w:r w:rsidR="008463BD">
            <w:t>June 2025</w:t>
          </w:r>
          <w:r w:rsidR="007331AA">
            <w:t>.</w:t>
          </w:r>
        </w:p>
        <w:p w14:paraId="55281D91" w14:textId="68AE5EED" w:rsidR="009215DE" w:rsidRDefault="003D4485" w:rsidP="0052464C">
          <w:pPr>
            <w:ind w:left="425"/>
            <w:rPr>
              <w:color w:val="016574" w:themeColor="accent6"/>
            </w:rPr>
          </w:pPr>
          <w:r w:rsidRPr="00FA460F">
            <w:rPr>
              <w:rStyle w:val="normaltextrun"/>
            </w:rPr>
            <w:t>END</w:t>
          </w:r>
          <w:r w:rsidR="00281BB1" w:rsidRPr="00EA297B">
            <w:rPr>
              <w:noProof/>
            </w:rPr>
            <mc:AlternateContent>
              <mc:Choice Requires="wps">
                <w:drawing>
                  <wp:anchor distT="0" distB="0" distL="114300" distR="114300" simplePos="0" relativeHeight="251658240" behindDoc="0" locked="1" layoutInCell="1" allowOverlap="1" wp14:anchorId="17CDE28A" wp14:editId="3C59B6B1">
                    <wp:simplePos x="0" y="0"/>
                    <wp:positionH relativeFrom="column">
                      <wp:posOffset>124460</wp:posOffset>
                    </wp:positionH>
                    <wp:positionV relativeFrom="paragraph">
                      <wp:posOffset>6338570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46F352FE" w14:textId="77777777" w:rsidR="00281BB1" w:rsidRPr="009A240D" w:rsidRDefault="00281BB1" w:rsidP="00281BB1">
                                <w:pPr>
                                  <w:pStyle w:val="BodyText1"/>
                                  <w:rPr>
                                    <w:color w:val="FFFFFF" w:themeColor="background1"/>
                                  </w:rPr>
                                </w:pPr>
                                <w:r w:rsidRPr="009A240D">
                                  <w:rPr>
                                    <w:color w:val="FFFFFF" w:themeColor="background1"/>
                                  </w:rPr>
                                  <w:t>&lt;Report date here (month, year)&gt;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CDE28A" id="_x0000_t202" coordsize="21600,21600" o:spt="202" path="m,l,21600r21600,l21600,xe">
                    <v:stroke joinstyle="miter"/>
                    <v:path gradientshapeok="t" o:connecttype="rect"/>
                  </v:shapetype>
                  <v:shape id="Text Box 3" o:spid="_x0000_s1026" type="#_x0000_t202" alt="&quot;&quot;" style="position:absolute;left:0;text-align:left;margin-left:9.8pt;margin-top:499.1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" filled="f" stroked="f" strokeweight=".5pt">
                    <v:textbox inset="0,0,0,0">
                      <w:txbxContent>
                        <w:p w14:paraId="46F352FE" w14:textId="77777777" w:rsidR="00281BB1" w:rsidRPr="009A240D" w:rsidRDefault="00281BB1" w:rsidP="00281BB1">
                          <w:pPr>
                            <w:pStyle w:val="BodyText1"/>
                            <w:rPr>
                              <w:color w:val="FFFFFF" w:themeColor="background1"/>
                            </w:rPr>
                          </w:pPr>
                          <w:r w:rsidRPr="009A240D">
                            <w:rPr>
                              <w:color w:val="FFFFFF" w:themeColor="background1"/>
                            </w:rPr>
                            <w:t>&lt;Report date here (month, year)&gt;</w:t>
                          </w:r>
                        </w:p>
                      </w:txbxContent>
                    </v:textbox>
                    <w10:anchorlock/>
                  </v:shape>
                </w:pict>
              </mc:Fallback>
            </mc:AlternateContent>
          </w:r>
        </w:p>
      </w:sdtContent>
    </w:sdt>
    <w:p w14:paraId="5A4205E5" w14:textId="1C9584D4" w:rsidR="00CE556B" w:rsidRDefault="00CE556B" w:rsidP="0052464C">
      <w:pPr>
        <w:ind w:left="425"/>
        <w:rPr>
          <w:color w:val="016574" w:themeColor="accent6"/>
          <w:szCs w:val="40"/>
        </w:rPr>
      </w:pPr>
    </w:p>
    <w:sectPr w:rsidR="00CE556B" w:rsidSect="00433DE7">
      <w:pgSz w:w="11900" w:h="16840" w:code="9"/>
      <w:pgMar w:top="839" w:right="839" w:bottom="839" w:left="839" w:header="79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8B1F7" w14:textId="77777777" w:rsidR="008B27D8" w:rsidRDefault="008B27D8" w:rsidP="00660C79">
      <w:pPr>
        <w:spacing w:line="240" w:lineRule="auto"/>
      </w:pPr>
      <w:r>
        <w:separator/>
      </w:r>
    </w:p>
  </w:endnote>
  <w:endnote w:type="continuationSeparator" w:id="0">
    <w:p w14:paraId="1A287730" w14:textId="77777777" w:rsidR="008B27D8" w:rsidRDefault="008B27D8" w:rsidP="00660C79">
      <w:pPr>
        <w:spacing w:line="240" w:lineRule="auto"/>
      </w:pPr>
      <w:r>
        <w:continuationSeparator/>
      </w:r>
    </w:p>
  </w:endnote>
  <w:endnote w:type="continuationNotice" w:id="1">
    <w:p w14:paraId="190D183C" w14:textId="77777777" w:rsidR="008B27D8" w:rsidRDefault="008B27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0ECAC" w14:textId="1CF7B3EB" w:rsidR="00EC6A73" w:rsidRDefault="00FA5A85">
    <w:pPr>
      <w:pStyle w:val="Footer"/>
      <w:framePr w:wrap="none" w:vAnchor="text" w:hAnchor="margin" w:xAlign="right" w:y="1"/>
      <w:rPr>
        <w:rStyle w:val="PageNumber"/>
      </w:rPr>
    </w:pPr>
    <w:r>
      <w:rPr>
        <w:noProof/>
      </w:rPr>
      <mc:AlternateContent>
        <mc:Choice Requires="wps">
          <w:drawing>
            <wp:anchor distT="0" distB="0" distL="0" distR="0" simplePos="0" relativeHeight="251663365" behindDoc="0" locked="0" layoutInCell="1" allowOverlap="1" wp14:anchorId="65BE06D3" wp14:editId="73F0E8BF">
              <wp:simplePos x="635" y="635"/>
              <wp:positionH relativeFrom="page">
                <wp:align>center</wp:align>
              </wp:positionH>
              <wp:positionV relativeFrom="page">
                <wp:align>bottom</wp:align>
              </wp:positionV>
              <wp:extent cx="459740" cy="422910"/>
              <wp:effectExtent l="0" t="0" r="16510" b="0"/>
              <wp:wrapNone/>
              <wp:docPr id="240344988"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3E6F76A4" w14:textId="5527359D" w:rsidR="00FA5A85" w:rsidRPr="00FA5A85" w:rsidRDefault="00FA5A85" w:rsidP="00FA5A85">
                          <w:pPr>
                            <w:spacing w:after="0"/>
                            <w:rPr>
                              <w:rFonts w:ascii="Calibri" w:eastAsia="Calibri" w:hAnsi="Calibri" w:cs="Calibri"/>
                              <w:noProof/>
                              <w:color w:val="0000FF"/>
                              <w:sz w:val="20"/>
                              <w:szCs w:val="20"/>
                            </w:rPr>
                          </w:pPr>
                          <w:r w:rsidRPr="00FA5A85">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BE06D3" id="_x0000_t202" coordsize="21600,21600" o:spt="202" path="m,l,21600r21600,l21600,xe">
              <v:stroke joinstyle="miter"/>
              <v:path gradientshapeok="t" o:connecttype="rect"/>
            </v:shapetype>
            <v:shape id="Text Box 13" o:spid="_x0000_s1029" type="#_x0000_t202" alt="OFFICIAL" style="position:absolute;margin-left:0;margin-top:0;width:36.2pt;height:33.3pt;z-index:2516633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" filled="f" stroked="f">
              <v:fill o:detectmouseclick="t"/>
              <v:textbox style="mso-fit-shape-to-text:t" inset="0,0,0,15pt">
                <w:txbxContent>
                  <w:p w14:paraId="3E6F76A4" w14:textId="5527359D" w:rsidR="00FA5A85" w:rsidRPr="00FA5A85" w:rsidRDefault="00FA5A85" w:rsidP="00FA5A85">
                    <w:pPr>
                      <w:spacing w:after="0"/>
                      <w:rPr>
                        <w:rFonts w:ascii="Calibri" w:eastAsia="Calibri" w:hAnsi="Calibri" w:cs="Calibri"/>
                        <w:noProof/>
                        <w:color w:val="0000FF"/>
                        <w:sz w:val="20"/>
                        <w:szCs w:val="20"/>
                      </w:rPr>
                    </w:pPr>
                    <w:r w:rsidRPr="00FA5A85">
                      <w:rPr>
                        <w:rFonts w:ascii="Calibri" w:eastAsia="Calibri" w:hAnsi="Calibri" w:cs="Calibri"/>
                        <w:noProof/>
                        <w:color w:val="0000FF"/>
                        <w:sz w:val="20"/>
                        <w:szCs w:val="20"/>
                      </w:rPr>
                      <w:t>OFFICIAL</w:t>
                    </w:r>
                  </w:p>
                </w:txbxContent>
              </v:textbox>
              <w10:wrap anchorx="page" anchory="page"/>
            </v:shape>
          </w:pict>
        </mc:Fallback>
      </mc:AlternateContent>
    </w:r>
    <w:sdt>
      <w:sdtPr>
        <w:rPr>
          <w:rStyle w:val="PageNumber"/>
        </w:rPr>
        <w:id w:val="378977036"/>
        <w:docPartObj>
          <w:docPartGallery w:val="Page Numbers (Bottom of Page)"/>
          <w:docPartUnique/>
        </w:docPartObj>
      </w:sdtPr>
      <w:sdtContent>
        <w:r w:rsidR="00EC6A73">
          <w:rPr>
            <w:rStyle w:val="PageNumber"/>
          </w:rPr>
          <w:fldChar w:fldCharType="begin"/>
        </w:r>
        <w:r w:rsidR="00EC6A73">
          <w:rPr>
            <w:rStyle w:val="PageNumber"/>
          </w:rPr>
          <w:instrText xml:space="preserve"> PAGE </w:instrText>
        </w:r>
        <w:r w:rsidR="00EC6A73">
          <w:rPr>
            <w:rStyle w:val="PageNumber"/>
          </w:rPr>
          <w:fldChar w:fldCharType="separate"/>
        </w:r>
        <w:r w:rsidR="00394103">
          <w:rPr>
            <w:rStyle w:val="PageNumber"/>
            <w:noProof/>
          </w:rPr>
          <w:t>2</w:t>
        </w:r>
        <w:r w:rsidR="00EC6A73">
          <w:rPr>
            <w:rStyle w:val="PageNumber"/>
          </w:rPr>
          <w:fldChar w:fldCharType="end"/>
        </w:r>
      </w:sdtContent>
    </w:sdt>
  </w:p>
  <w:sdt>
    <w:sdtPr>
      <w:rPr>
        <w:rStyle w:val="PageNumber"/>
      </w:rPr>
      <w:id w:val="581102509"/>
      <w:docPartObj>
        <w:docPartGallery w:val="Page Numbers (Bottom of Page)"/>
        <w:docPartUnique/>
      </w:docPartObj>
    </w:sdtPr>
    <w:sdtContent>
      <w:p w14:paraId="50D43DD4" w14:textId="770235F4"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sidR="00394103">
          <w:rPr>
            <w:rStyle w:val="PageNumber"/>
            <w:noProof/>
          </w:rPr>
          <w:t>2</w:t>
        </w:r>
        <w:r>
          <w:rPr>
            <w:rStyle w:val="PageNumber"/>
          </w:rPr>
          <w:fldChar w:fldCharType="end"/>
        </w:r>
      </w:p>
    </w:sdtContent>
  </w:sdt>
  <w:p w14:paraId="7954C275"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86C06" w14:textId="1EFD43A0" w:rsidR="00917BB1" w:rsidRDefault="00FA5A85" w:rsidP="00917BB1">
    <w:pPr>
      <w:pStyle w:val="Footer"/>
      <w:ind w:right="360"/>
    </w:pPr>
    <w:r>
      <w:rPr>
        <w:noProof/>
      </w:rPr>
      <mc:AlternateContent>
        <mc:Choice Requires="wps">
          <w:drawing>
            <wp:anchor distT="0" distB="0" distL="0" distR="0" simplePos="0" relativeHeight="251664389" behindDoc="0" locked="0" layoutInCell="1" allowOverlap="1" wp14:anchorId="75182185" wp14:editId="1F1C5362">
              <wp:simplePos x="457200" y="9588500"/>
              <wp:positionH relativeFrom="page">
                <wp:align>center</wp:align>
              </wp:positionH>
              <wp:positionV relativeFrom="page">
                <wp:align>bottom</wp:align>
              </wp:positionV>
              <wp:extent cx="459740" cy="422910"/>
              <wp:effectExtent l="0" t="0" r="16510" b="0"/>
              <wp:wrapNone/>
              <wp:docPr id="1800497073"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38278596" w14:textId="5F3C90E0" w:rsidR="00FA5A85" w:rsidRPr="00FA5A85" w:rsidRDefault="00FA5A85" w:rsidP="00FA5A85">
                          <w:pPr>
                            <w:spacing w:after="0"/>
                            <w:rPr>
                              <w:rFonts w:ascii="Calibri" w:eastAsia="Calibri" w:hAnsi="Calibri" w:cs="Calibri"/>
                              <w:noProof/>
                              <w:color w:val="0000FF"/>
                              <w:sz w:val="20"/>
                              <w:szCs w:val="20"/>
                            </w:rPr>
                          </w:pPr>
                          <w:r w:rsidRPr="00FA5A85">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182185" id="_x0000_t202" coordsize="21600,21600" o:spt="202" path="m,l,21600r21600,l21600,xe">
              <v:stroke joinstyle="miter"/>
              <v:path gradientshapeok="t" o:connecttype="rect"/>
            </v:shapetype>
            <v:shape id="Text Box 14" o:spid="_x0000_s1030" type="#_x0000_t202" alt="OFFICIAL" style="position:absolute;margin-left:0;margin-top:0;width:36.2pt;height:33.3pt;z-index:2516643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" filled="f" stroked="f">
              <v:fill o:detectmouseclick="t"/>
              <v:textbox style="mso-fit-shape-to-text:t" inset="0,0,0,15pt">
                <w:txbxContent>
                  <w:p w14:paraId="38278596" w14:textId="5F3C90E0" w:rsidR="00FA5A85" w:rsidRPr="00FA5A85" w:rsidRDefault="00FA5A85" w:rsidP="00FA5A85">
                    <w:pPr>
                      <w:spacing w:after="0"/>
                      <w:rPr>
                        <w:rFonts w:ascii="Calibri" w:eastAsia="Calibri" w:hAnsi="Calibri" w:cs="Calibri"/>
                        <w:noProof/>
                        <w:color w:val="0000FF"/>
                        <w:sz w:val="20"/>
                        <w:szCs w:val="20"/>
                      </w:rPr>
                    </w:pPr>
                    <w:r w:rsidRPr="00FA5A85">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1011598658"/>
      <w:docPartObj>
        <w:docPartGallery w:val="Page Numbers (Bottom of Page)"/>
        <w:docPartUnique/>
      </w:docPartObj>
    </w:sdtPr>
    <w:sdtContent>
      <w:p w14:paraId="3B24D6B4" w14:textId="77777777" w:rsidR="00EC6A73" w:rsidRDefault="00EC6A73" w:rsidP="00D048D7">
        <w:pPr>
          <w:pStyle w:val="Footer"/>
          <w:framePr w:wrap="none" w:vAnchor="text" w:hAnchor="page" w:x="10955" w:y="7"/>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F4D9DE6" w14:textId="77777777" w:rsidR="00917BB1" w:rsidRDefault="00917BB1" w:rsidP="00917BB1">
    <w:pPr>
      <w:pStyle w:val="Footer"/>
      <w:ind w:right="360"/>
    </w:pPr>
    <w:r>
      <w:rPr>
        <w:noProof/>
      </w:rPr>
      <w:drawing>
        <wp:inline distT="0" distB="0" distL="0" distR="0" wp14:anchorId="7D7A9B3E" wp14:editId="63A29EBE">
          <wp:extent cx="1007167" cy="265044"/>
          <wp:effectExtent l="0" t="0" r="0" b="1905"/>
          <wp:docPr id="1272594166" name="Picture 12725941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0B965" w14:textId="13EA8DAC" w:rsidR="002369CA" w:rsidRDefault="00FA5A85">
    <w:pPr>
      <w:pStyle w:val="Footer"/>
    </w:pPr>
    <w:r>
      <w:rPr>
        <w:noProof/>
      </w:rPr>
      <mc:AlternateContent>
        <mc:Choice Requires="wps">
          <w:drawing>
            <wp:anchor distT="0" distB="0" distL="0" distR="0" simplePos="0" relativeHeight="251662341" behindDoc="0" locked="0" layoutInCell="1" allowOverlap="1" wp14:anchorId="2849B596" wp14:editId="35C80BA3">
              <wp:simplePos x="635" y="635"/>
              <wp:positionH relativeFrom="page">
                <wp:align>center</wp:align>
              </wp:positionH>
              <wp:positionV relativeFrom="page">
                <wp:align>bottom</wp:align>
              </wp:positionV>
              <wp:extent cx="459740" cy="422910"/>
              <wp:effectExtent l="0" t="0" r="16510" b="0"/>
              <wp:wrapNone/>
              <wp:docPr id="1091798590"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47FC2832" w14:textId="2F9EE181" w:rsidR="00FA5A85" w:rsidRPr="00FA5A85" w:rsidRDefault="00FA5A85" w:rsidP="00FA5A85">
                          <w:pPr>
                            <w:spacing w:after="0"/>
                            <w:rPr>
                              <w:rFonts w:ascii="Calibri" w:eastAsia="Calibri" w:hAnsi="Calibri" w:cs="Calibri"/>
                              <w:noProof/>
                              <w:color w:val="0000FF"/>
                              <w:sz w:val="20"/>
                              <w:szCs w:val="20"/>
                            </w:rPr>
                          </w:pPr>
                          <w:r w:rsidRPr="00FA5A85">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49B596" id="_x0000_t202" coordsize="21600,21600" o:spt="202" path="m,l,21600r21600,l21600,xe">
              <v:stroke joinstyle="miter"/>
              <v:path gradientshapeok="t" o:connecttype="rect"/>
            </v:shapetype>
            <v:shape id="Text Box 12" o:spid="_x0000_s1032" type="#_x0000_t202" alt="OFFICIAL" style="position:absolute;margin-left:0;margin-top:0;width:36.2pt;height:33.3pt;z-index:2516623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" filled="f" stroked="f">
              <v:fill o:detectmouseclick="t"/>
              <v:textbox style="mso-fit-shape-to-text:t" inset="0,0,0,15pt">
                <w:txbxContent>
                  <w:p w14:paraId="47FC2832" w14:textId="2F9EE181" w:rsidR="00FA5A85" w:rsidRPr="00FA5A85" w:rsidRDefault="00FA5A85" w:rsidP="00FA5A85">
                    <w:pPr>
                      <w:spacing w:after="0"/>
                      <w:rPr>
                        <w:rFonts w:ascii="Calibri" w:eastAsia="Calibri" w:hAnsi="Calibri" w:cs="Calibri"/>
                        <w:noProof/>
                        <w:color w:val="0000FF"/>
                        <w:sz w:val="20"/>
                        <w:szCs w:val="20"/>
                      </w:rPr>
                    </w:pPr>
                    <w:r w:rsidRPr="00FA5A85">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BC1BC" w14:textId="77777777" w:rsidR="008B27D8" w:rsidRDefault="008B27D8" w:rsidP="00660C79">
      <w:pPr>
        <w:spacing w:line="240" w:lineRule="auto"/>
      </w:pPr>
      <w:r>
        <w:separator/>
      </w:r>
    </w:p>
  </w:footnote>
  <w:footnote w:type="continuationSeparator" w:id="0">
    <w:p w14:paraId="0CF4E259" w14:textId="77777777" w:rsidR="008B27D8" w:rsidRDefault="008B27D8" w:rsidP="00660C79">
      <w:pPr>
        <w:spacing w:line="240" w:lineRule="auto"/>
      </w:pPr>
      <w:r>
        <w:continuationSeparator/>
      </w:r>
    </w:p>
  </w:footnote>
  <w:footnote w:type="continuationNotice" w:id="1">
    <w:p w14:paraId="64F15B0F" w14:textId="77777777" w:rsidR="008B27D8" w:rsidRDefault="008B27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90F41" w14:textId="328C9C88" w:rsidR="00D804A9" w:rsidRDefault="00FA5A85">
    <w:pPr>
      <w:pStyle w:val="Header"/>
    </w:pPr>
    <w:r>
      <w:rPr>
        <w:noProof/>
      </w:rPr>
      <mc:AlternateContent>
        <mc:Choice Requires="wps">
          <w:drawing>
            <wp:anchor distT="0" distB="0" distL="0" distR="0" simplePos="0" relativeHeight="251660293" behindDoc="0" locked="0" layoutInCell="1" allowOverlap="1" wp14:anchorId="575DD470" wp14:editId="55B92B1C">
              <wp:simplePos x="635" y="635"/>
              <wp:positionH relativeFrom="page">
                <wp:align>center</wp:align>
              </wp:positionH>
              <wp:positionV relativeFrom="page">
                <wp:align>top</wp:align>
              </wp:positionV>
              <wp:extent cx="459740" cy="422910"/>
              <wp:effectExtent l="0" t="0" r="16510" b="15240"/>
              <wp:wrapNone/>
              <wp:docPr id="827276019"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663FCDC8" w14:textId="38C654F0" w:rsidR="00FA5A85" w:rsidRPr="00FA5A85" w:rsidRDefault="00FA5A85" w:rsidP="00FA5A85">
                          <w:pPr>
                            <w:spacing w:after="0"/>
                            <w:rPr>
                              <w:rFonts w:ascii="Calibri" w:eastAsia="Calibri" w:hAnsi="Calibri" w:cs="Calibri"/>
                              <w:noProof/>
                              <w:color w:val="0000FF"/>
                              <w:sz w:val="20"/>
                              <w:szCs w:val="20"/>
                            </w:rPr>
                          </w:pPr>
                          <w:r w:rsidRPr="00FA5A85">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5DD470" id="_x0000_t202" coordsize="21600,21600" o:spt="202" path="m,l,21600r21600,l21600,xe">
              <v:stroke joinstyle="miter"/>
              <v:path gradientshapeok="t" o:connecttype="rect"/>
            </v:shapetype>
            <v:shape id="Text Box 10" o:spid="_x0000_s1027" type="#_x0000_t202" alt="OFFICIAL" style="position:absolute;margin-left:0;margin-top:0;width:36.2pt;height:33.3pt;z-index:25166029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" filled="f" stroked="f">
              <v:fill o:detectmouseclick="t"/>
              <v:textbox style="mso-fit-shape-to-text:t" inset="0,15pt,0,0">
                <w:txbxContent>
                  <w:p w14:paraId="663FCDC8" w14:textId="38C654F0" w:rsidR="00FA5A85" w:rsidRPr="00FA5A85" w:rsidRDefault="00FA5A85" w:rsidP="00FA5A85">
                    <w:pPr>
                      <w:spacing w:after="0"/>
                      <w:rPr>
                        <w:rFonts w:ascii="Calibri" w:eastAsia="Calibri" w:hAnsi="Calibri" w:cs="Calibri"/>
                        <w:noProof/>
                        <w:color w:val="0000FF"/>
                        <w:sz w:val="20"/>
                        <w:szCs w:val="20"/>
                      </w:rPr>
                    </w:pPr>
                    <w:r w:rsidRPr="00FA5A85">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9EE3C" w14:textId="105381D3" w:rsidR="00114EA4" w:rsidRDefault="00FA5A85" w:rsidP="00114EA4">
    <w:pPr>
      <w:pStyle w:val="BodyText1"/>
      <w:jc w:val="right"/>
    </w:pPr>
    <w:r>
      <w:rPr>
        <w:noProof/>
      </w:rPr>
      <mc:AlternateContent>
        <mc:Choice Requires="wps">
          <w:drawing>
            <wp:anchor distT="0" distB="0" distL="0" distR="0" simplePos="0" relativeHeight="251661317" behindDoc="0" locked="0" layoutInCell="1" allowOverlap="1" wp14:anchorId="6EA83D96" wp14:editId="1E28C478">
              <wp:simplePos x="457200" y="508000"/>
              <wp:positionH relativeFrom="page">
                <wp:align>center</wp:align>
              </wp:positionH>
              <wp:positionV relativeFrom="page">
                <wp:align>top</wp:align>
              </wp:positionV>
              <wp:extent cx="459740" cy="422910"/>
              <wp:effectExtent l="0" t="0" r="16510" b="15240"/>
              <wp:wrapNone/>
              <wp:docPr id="1867943678"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5461BFC2" w14:textId="45064640" w:rsidR="00FA5A85" w:rsidRPr="00FA5A85" w:rsidRDefault="00FA5A85" w:rsidP="00FA5A85">
                          <w:pPr>
                            <w:spacing w:after="0"/>
                            <w:rPr>
                              <w:rFonts w:ascii="Calibri" w:eastAsia="Calibri" w:hAnsi="Calibri" w:cs="Calibri"/>
                              <w:noProof/>
                              <w:color w:val="0000FF"/>
                              <w:sz w:val="20"/>
                              <w:szCs w:val="20"/>
                            </w:rPr>
                          </w:pPr>
                          <w:r w:rsidRPr="00FA5A85">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A83D96" id="_x0000_t202" coordsize="21600,21600" o:spt="202" path="m,l,21600r21600,l21600,xe">
              <v:stroke joinstyle="miter"/>
              <v:path gradientshapeok="t" o:connecttype="rect"/>
            </v:shapetype>
            <v:shape id="Text Box 11" o:spid="_x0000_s1028" type="#_x0000_t202" alt="OFFICIAL" style="position:absolute;left:0;text-align:left;margin-left:0;margin-top:0;width:36.2pt;height:33.3pt;z-index:25166131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" filled="f" stroked="f">
              <v:fill o:detectmouseclick="t"/>
              <v:textbox style="mso-fit-shape-to-text:t" inset="0,15pt,0,0">
                <w:txbxContent>
                  <w:p w14:paraId="5461BFC2" w14:textId="45064640" w:rsidR="00FA5A85" w:rsidRPr="00FA5A85" w:rsidRDefault="00FA5A85" w:rsidP="00FA5A85">
                    <w:pPr>
                      <w:spacing w:after="0"/>
                      <w:rPr>
                        <w:rFonts w:ascii="Calibri" w:eastAsia="Calibri" w:hAnsi="Calibri" w:cs="Calibri"/>
                        <w:noProof/>
                        <w:color w:val="0000FF"/>
                        <w:sz w:val="20"/>
                        <w:szCs w:val="20"/>
                      </w:rPr>
                    </w:pPr>
                    <w:r w:rsidRPr="00FA5A85">
                      <w:rPr>
                        <w:rFonts w:ascii="Calibri" w:eastAsia="Calibri" w:hAnsi="Calibri" w:cs="Calibri"/>
                        <w:noProof/>
                        <w:color w:val="0000FF"/>
                        <w:sz w:val="20"/>
                        <w:szCs w:val="20"/>
                      </w:rPr>
                      <w:t>OFFICIAL</w:t>
                    </w:r>
                  </w:p>
                </w:txbxContent>
              </v:textbox>
              <w10:wrap anchorx="page" anchory="page"/>
            </v:shape>
          </w:pict>
        </mc:Fallback>
      </mc:AlternateContent>
    </w:r>
    <w:r w:rsidR="00114EA4">
      <w:tab/>
    </w:r>
    <w:r w:rsidR="00114EA4">
      <w:tab/>
    </w:r>
    <w:r w:rsidR="00114EA4">
      <w:tab/>
    </w:r>
    <w:r w:rsidR="00114EA4">
      <w:tab/>
    </w:r>
    <w:r w:rsidR="003C48BC">
      <w:t>SEPA</w:t>
    </w:r>
    <w:r w:rsidR="00114EA4" w:rsidRPr="007906F3">
      <w:t xml:space="preserve"> </w:t>
    </w:r>
    <w:r w:rsidR="00AB3736" w:rsidRPr="000C736E">
      <w:t>2</w:t>
    </w:r>
    <w:r w:rsidR="003C48BC">
      <w:t>5</w:t>
    </w:r>
    <w:r w:rsidR="00AB3736" w:rsidRPr="000C736E">
      <w:t>-2</w:t>
    </w:r>
    <w:r w:rsidR="003C48BC">
      <w:t>6</w:t>
    </w:r>
    <w:r w:rsidR="00851BC2">
      <w:t>/</w:t>
    </w:r>
    <w:r w:rsidR="003C48BC">
      <w:t>02</w:t>
    </w:r>
    <w:r w:rsidR="008D154A">
      <w:t>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CD6EE" w14:textId="7B0ECB12" w:rsidR="002369CA" w:rsidRDefault="00FA5A85" w:rsidP="00D61975">
    <w:pPr>
      <w:pStyle w:val="BodyText1"/>
      <w:jc w:val="right"/>
    </w:pPr>
    <w:r>
      <w:rPr>
        <w:noProof/>
      </w:rPr>
      <mc:AlternateContent>
        <mc:Choice Requires="wps">
          <w:drawing>
            <wp:anchor distT="0" distB="0" distL="0" distR="0" simplePos="0" relativeHeight="251659269" behindDoc="0" locked="0" layoutInCell="1" allowOverlap="1" wp14:anchorId="01916861" wp14:editId="0B293A12">
              <wp:simplePos x="635" y="635"/>
              <wp:positionH relativeFrom="page">
                <wp:align>center</wp:align>
              </wp:positionH>
              <wp:positionV relativeFrom="page">
                <wp:align>top</wp:align>
              </wp:positionV>
              <wp:extent cx="459740" cy="422910"/>
              <wp:effectExtent l="0" t="0" r="16510" b="15240"/>
              <wp:wrapNone/>
              <wp:docPr id="216747702"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2C662C77" w14:textId="66C49A35" w:rsidR="00FA5A85" w:rsidRPr="00FA5A85" w:rsidRDefault="00FA5A85" w:rsidP="00FA5A85">
                          <w:pPr>
                            <w:spacing w:after="0"/>
                            <w:rPr>
                              <w:rFonts w:ascii="Calibri" w:eastAsia="Calibri" w:hAnsi="Calibri" w:cs="Calibri"/>
                              <w:noProof/>
                              <w:color w:val="0000FF"/>
                              <w:sz w:val="20"/>
                              <w:szCs w:val="20"/>
                            </w:rPr>
                          </w:pPr>
                          <w:r w:rsidRPr="00FA5A85">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916861" id="_x0000_t202" coordsize="21600,21600" o:spt="202" path="m,l,21600r21600,l21600,xe">
              <v:stroke joinstyle="miter"/>
              <v:path gradientshapeok="t" o:connecttype="rect"/>
            </v:shapetype>
            <v:shape id="Text Box 9" o:spid="_x0000_s1031" type="#_x0000_t202" alt="OFFICIAL" style="position:absolute;left:0;text-align:left;margin-left:0;margin-top:0;width:36.2pt;height:33.3pt;z-index:25165926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" filled="f" stroked="f">
              <v:fill o:detectmouseclick="t"/>
              <v:textbox style="mso-fit-shape-to-text:t" inset="0,15pt,0,0">
                <w:txbxContent>
                  <w:p w14:paraId="2C662C77" w14:textId="66C49A35" w:rsidR="00FA5A85" w:rsidRPr="00FA5A85" w:rsidRDefault="00FA5A85" w:rsidP="00FA5A85">
                    <w:pPr>
                      <w:spacing w:after="0"/>
                      <w:rPr>
                        <w:rFonts w:ascii="Calibri" w:eastAsia="Calibri" w:hAnsi="Calibri" w:cs="Calibri"/>
                        <w:noProof/>
                        <w:color w:val="0000FF"/>
                        <w:sz w:val="20"/>
                        <w:szCs w:val="20"/>
                      </w:rPr>
                    </w:pPr>
                    <w:r w:rsidRPr="00FA5A85">
                      <w:rPr>
                        <w:rFonts w:ascii="Calibri" w:eastAsia="Calibri" w:hAnsi="Calibri" w:cs="Calibri"/>
                        <w:noProof/>
                        <w:color w:val="0000FF"/>
                        <w:sz w:val="20"/>
                        <w:szCs w:val="20"/>
                      </w:rPr>
                      <w:t>OFFICIAL</w:t>
                    </w:r>
                  </w:p>
                </w:txbxContent>
              </v:textbox>
              <w10:wrap anchorx="page" anchory="page"/>
            </v:shape>
          </w:pict>
        </mc:Fallback>
      </mc:AlternateContent>
    </w:r>
    <w:r w:rsidR="00D61975">
      <w:tab/>
    </w:r>
    <w:r w:rsidR="00D61975">
      <w:tab/>
    </w:r>
    <w:r w:rsidR="00D61975">
      <w:tab/>
    </w:r>
    <w:r w:rsidR="00D61975">
      <w:tab/>
    </w:r>
    <w:r w:rsidR="00D61975" w:rsidRPr="007906F3">
      <w:t>SEPA/ARC/PRC/CLT  XX/24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12ACF"/>
    <w:multiLevelType w:val="multilevel"/>
    <w:tmpl w:val="8F60E4A6"/>
    <w:lvl w:ilvl="0">
      <w:start w:val="1"/>
      <w:numFmt w:val="decimal"/>
      <w:lvlText w:val="%1."/>
      <w:lvlJc w:val="left"/>
      <w:pPr>
        <w:ind w:left="360" w:hanging="360"/>
      </w:pPr>
    </w:lvl>
    <w:lvl w:ilvl="1">
      <w:start w:val="1"/>
      <w:numFmt w:val="decimal"/>
      <w:lvlText w:val="3.%2 "/>
      <w:lvlJc w:val="left"/>
      <w:pPr>
        <w:ind w:left="720" w:hanging="360"/>
      </w:pPr>
      <w:rPr>
        <w:rFonts w:ascii="Arial" w:hAnsi="Arial" w:hint="default"/>
        <w:b w:val="0"/>
        <w:i w:val="0"/>
        <w:sz w:val="24"/>
        <w:szCs w:val="24"/>
        <w:u w:val="none"/>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BB1D98"/>
    <w:multiLevelType w:val="multilevel"/>
    <w:tmpl w:val="372A8D18"/>
    <w:lvl w:ilvl="0">
      <w:start w:val="1"/>
      <w:numFmt w:val="decimal"/>
      <w:lvlText w:val="%1."/>
      <w:lvlJc w:val="left"/>
      <w:pPr>
        <w:ind w:left="360" w:hanging="360"/>
      </w:pPr>
    </w:lvl>
    <w:lvl w:ilvl="1">
      <w:start w:val="1"/>
      <w:numFmt w:val="decimal"/>
      <w:lvlText w:val="2.%2 "/>
      <w:lvlJc w:val="left"/>
      <w:pPr>
        <w:ind w:left="785" w:hanging="360"/>
      </w:pPr>
      <w:rPr>
        <w:rFonts w:ascii="Arial" w:hAnsi="Arial" w:hint="default"/>
        <w:b w:val="0"/>
        <w:i w:val="0"/>
        <w:color w:val="3C4741" w:themeColor="text1"/>
        <w:sz w:val="24"/>
        <w:szCs w:val="24"/>
        <w:u w:val="none"/>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05A1212"/>
    <w:multiLevelType w:val="multilevel"/>
    <w:tmpl w:val="F7F2C9F6"/>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15:restartNumberingAfterBreak="0">
    <w:nsid w:val="10CE5B39"/>
    <w:multiLevelType w:val="multilevel"/>
    <w:tmpl w:val="A30458D4"/>
    <w:lvl w:ilvl="0">
      <w:start w:val="1"/>
      <w:numFmt w:val="bullet"/>
      <w:lvlText w:val=""/>
      <w:lvlJc w:val="left"/>
      <w:pPr>
        <w:ind w:left="1437" w:hanging="360"/>
      </w:pPr>
      <w:rPr>
        <w:rFonts w:ascii="Symbol" w:hAnsi="Symbol" w:hint="default"/>
      </w:rPr>
    </w:lvl>
    <w:lvl w:ilvl="1">
      <w:start w:val="1"/>
      <w:numFmt w:val="decimal"/>
      <w:lvlText w:val="%1.%2."/>
      <w:lvlJc w:val="left"/>
      <w:pPr>
        <w:ind w:left="1869" w:hanging="432"/>
      </w:pPr>
      <w:rPr>
        <w:b w:val="0"/>
        <w:bCs w:val="0"/>
        <w:color w:val="auto"/>
        <w:sz w:val="24"/>
        <w:szCs w:val="24"/>
      </w:rPr>
    </w:lvl>
    <w:lvl w:ilvl="2">
      <w:start w:val="1"/>
      <w:numFmt w:val="decimal"/>
      <w:lvlText w:val="%1.%2.%3."/>
      <w:lvlJc w:val="left"/>
      <w:pPr>
        <w:ind w:left="2301" w:hanging="504"/>
      </w:pPr>
    </w:lvl>
    <w:lvl w:ilvl="3">
      <w:start w:val="1"/>
      <w:numFmt w:val="decimal"/>
      <w:lvlText w:val="%1.%2.%3.%4."/>
      <w:lvlJc w:val="left"/>
      <w:pPr>
        <w:ind w:left="2805" w:hanging="648"/>
      </w:pPr>
    </w:lvl>
    <w:lvl w:ilvl="4">
      <w:start w:val="1"/>
      <w:numFmt w:val="decimal"/>
      <w:lvlText w:val="%1.%2.%3.%4.%5."/>
      <w:lvlJc w:val="left"/>
      <w:pPr>
        <w:ind w:left="3309" w:hanging="792"/>
      </w:pPr>
    </w:lvl>
    <w:lvl w:ilvl="5">
      <w:start w:val="1"/>
      <w:numFmt w:val="decimal"/>
      <w:lvlText w:val="%1.%2.%3.%4.%5.%6."/>
      <w:lvlJc w:val="left"/>
      <w:pPr>
        <w:ind w:left="3813" w:hanging="936"/>
      </w:pPr>
    </w:lvl>
    <w:lvl w:ilvl="6">
      <w:start w:val="1"/>
      <w:numFmt w:val="decimal"/>
      <w:lvlText w:val="%1.%2.%3.%4.%5.%6.%7."/>
      <w:lvlJc w:val="left"/>
      <w:pPr>
        <w:ind w:left="4317" w:hanging="1080"/>
      </w:pPr>
    </w:lvl>
    <w:lvl w:ilvl="7">
      <w:start w:val="1"/>
      <w:numFmt w:val="decimal"/>
      <w:lvlText w:val="%1.%2.%3.%4.%5.%6.%7.%8."/>
      <w:lvlJc w:val="left"/>
      <w:pPr>
        <w:ind w:left="4821" w:hanging="1224"/>
      </w:pPr>
    </w:lvl>
    <w:lvl w:ilvl="8">
      <w:start w:val="1"/>
      <w:numFmt w:val="decimal"/>
      <w:lvlText w:val="%1.%2.%3.%4.%5.%6.%7.%8.%9."/>
      <w:lvlJc w:val="left"/>
      <w:pPr>
        <w:ind w:left="5397" w:hanging="1440"/>
      </w:pPr>
    </w:lvl>
  </w:abstractNum>
  <w:abstractNum w:abstractNumId="4" w15:restartNumberingAfterBreak="0">
    <w:nsid w:val="12237FC6"/>
    <w:multiLevelType w:val="multilevel"/>
    <w:tmpl w:val="B83C5C24"/>
    <w:lvl w:ilvl="0">
      <w:start w:val="1"/>
      <w:numFmt w:val="decimal"/>
      <w:lvlText w:val="%1."/>
      <w:lvlJc w:val="left"/>
      <w:pPr>
        <w:ind w:left="360" w:hanging="360"/>
      </w:pPr>
    </w:lvl>
    <w:lvl w:ilvl="1">
      <w:start w:val="1"/>
      <w:numFmt w:val="decimal"/>
      <w:lvlText w:val="6.%2 "/>
      <w:lvlJc w:val="left"/>
      <w:pPr>
        <w:ind w:left="720" w:hanging="360"/>
      </w:pPr>
      <w:rPr>
        <w:rFonts w:ascii="Arial" w:hAnsi="Arial" w:hint="default"/>
        <w:b w:val="0"/>
        <w:i w:val="0"/>
        <w:sz w:val="24"/>
        <w:szCs w:val="24"/>
        <w:u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D74A88"/>
    <w:multiLevelType w:val="hybridMultilevel"/>
    <w:tmpl w:val="1B8AC7A0"/>
    <w:lvl w:ilvl="0" w:tplc="00E47E32">
      <w:start w:val="1"/>
      <w:numFmt w:val="decimal"/>
      <w:lvlText w:val="3.%1 "/>
      <w:lvlJc w:val="left"/>
      <w:pPr>
        <w:ind w:left="2280" w:hanging="360"/>
      </w:pPr>
      <w:rPr>
        <w:rFonts w:ascii="Arial" w:hAnsi="Arial" w:hint="default"/>
        <w:b w:val="0"/>
        <w:i w:val="0"/>
        <w:color w:val="3C4741" w:themeColor="text1"/>
        <w:sz w:val="24"/>
        <w:szCs w:val="24"/>
        <w:u w:val="none"/>
      </w:rPr>
    </w:lvl>
    <w:lvl w:ilvl="1" w:tplc="FFFFFFFF" w:tentative="1">
      <w:start w:val="1"/>
      <w:numFmt w:val="lowerLetter"/>
      <w:lvlText w:val="%2."/>
      <w:lvlJc w:val="left"/>
      <w:pPr>
        <w:ind w:left="3000" w:hanging="360"/>
      </w:pPr>
    </w:lvl>
    <w:lvl w:ilvl="2" w:tplc="FFFFFFFF" w:tentative="1">
      <w:start w:val="1"/>
      <w:numFmt w:val="lowerRoman"/>
      <w:lvlText w:val="%3."/>
      <w:lvlJc w:val="right"/>
      <w:pPr>
        <w:ind w:left="3720" w:hanging="180"/>
      </w:pPr>
    </w:lvl>
    <w:lvl w:ilvl="3" w:tplc="FFFFFFFF" w:tentative="1">
      <w:start w:val="1"/>
      <w:numFmt w:val="decimal"/>
      <w:lvlText w:val="%4."/>
      <w:lvlJc w:val="left"/>
      <w:pPr>
        <w:ind w:left="4440" w:hanging="360"/>
      </w:pPr>
    </w:lvl>
    <w:lvl w:ilvl="4" w:tplc="FFFFFFFF" w:tentative="1">
      <w:start w:val="1"/>
      <w:numFmt w:val="lowerLetter"/>
      <w:lvlText w:val="%5."/>
      <w:lvlJc w:val="left"/>
      <w:pPr>
        <w:ind w:left="5160" w:hanging="360"/>
      </w:pPr>
    </w:lvl>
    <w:lvl w:ilvl="5" w:tplc="FFFFFFFF" w:tentative="1">
      <w:start w:val="1"/>
      <w:numFmt w:val="lowerRoman"/>
      <w:lvlText w:val="%6."/>
      <w:lvlJc w:val="right"/>
      <w:pPr>
        <w:ind w:left="5880" w:hanging="180"/>
      </w:pPr>
    </w:lvl>
    <w:lvl w:ilvl="6" w:tplc="FFFFFFFF" w:tentative="1">
      <w:start w:val="1"/>
      <w:numFmt w:val="decimal"/>
      <w:lvlText w:val="%7."/>
      <w:lvlJc w:val="left"/>
      <w:pPr>
        <w:ind w:left="6600" w:hanging="360"/>
      </w:pPr>
    </w:lvl>
    <w:lvl w:ilvl="7" w:tplc="FFFFFFFF" w:tentative="1">
      <w:start w:val="1"/>
      <w:numFmt w:val="lowerLetter"/>
      <w:lvlText w:val="%8."/>
      <w:lvlJc w:val="left"/>
      <w:pPr>
        <w:ind w:left="7320" w:hanging="360"/>
      </w:pPr>
    </w:lvl>
    <w:lvl w:ilvl="8" w:tplc="FFFFFFFF" w:tentative="1">
      <w:start w:val="1"/>
      <w:numFmt w:val="lowerRoman"/>
      <w:lvlText w:val="%9."/>
      <w:lvlJc w:val="right"/>
      <w:pPr>
        <w:ind w:left="8040" w:hanging="180"/>
      </w:pPr>
    </w:lvl>
  </w:abstractNum>
  <w:abstractNum w:abstractNumId="6" w15:restartNumberingAfterBreak="0">
    <w:nsid w:val="1A25468C"/>
    <w:multiLevelType w:val="hybridMultilevel"/>
    <w:tmpl w:val="3B92B0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7D546B"/>
    <w:multiLevelType w:val="multilevel"/>
    <w:tmpl w:val="4B881A14"/>
    <w:lvl w:ilvl="0">
      <w:start w:val="1"/>
      <w:numFmt w:val="decimal"/>
      <w:lvlText w:val="%1."/>
      <w:lvlJc w:val="left"/>
      <w:pPr>
        <w:ind w:left="360" w:hanging="360"/>
      </w:pPr>
    </w:lvl>
    <w:lvl w:ilvl="1">
      <w:start w:val="1"/>
      <w:numFmt w:val="decimal"/>
      <w:lvlText w:val="7.%2 "/>
      <w:lvlJc w:val="left"/>
      <w:pPr>
        <w:ind w:left="720" w:hanging="360"/>
      </w:pPr>
      <w:rPr>
        <w:rFonts w:ascii="Arial" w:hAnsi="Arial" w:hint="default"/>
        <w:b w:val="0"/>
        <w:i w:val="0"/>
        <w:color w:val="auto"/>
        <w:sz w:val="24"/>
        <w:szCs w:val="20"/>
        <w:u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FE4844"/>
    <w:multiLevelType w:val="hybridMultilevel"/>
    <w:tmpl w:val="243A1C0A"/>
    <w:lvl w:ilvl="0" w:tplc="1A629A90">
      <w:start w:val="1"/>
      <w:numFmt w:val="decimal"/>
      <w:lvlText w:val="4.%1 "/>
      <w:lvlJc w:val="left"/>
      <w:pPr>
        <w:ind w:left="720" w:hanging="360"/>
      </w:pPr>
      <w:rPr>
        <w:rFonts w:ascii="Arial" w:hAnsi="Arial" w:hint="default"/>
        <w:b w:val="0"/>
        <w:i w:val="0"/>
        <w:sz w:val="24"/>
        <w:szCs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F41B8E"/>
    <w:multiLevelType w:val="hybridMultilevel"/>
    <w:tmpl w:val="2E44542E"/>
    <w:lvl w:ilvl="0" w:tplc="08090001">
      <w:start w:val="1"/>
      <w:numFmt w:val="bullet"/>
      <w:lvlText w:val=""/>
      <w:lvlJc w:val="left"/>
      <w:pPr>
        <w:ind w:left="1778"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DB0DFC"/>
    <w:multiLevelType w:val="hybridMultilevel"/>
    <w:tmpl w:val="3C34EC3E"/>
    <w:lvl w:ilvl="0" w:tplc="66182356">
      <w:start w:val="1"/>
      <w:numFmt w:val="decimal"/>
      <w:lvlText w:val="2.%1 "/>
      <w:lvlJc w:val="left"/>
      <w:pPr>
        <w:ind w:left="360" w:hanging="360"/>
      </w:pPr>
      <w:rPr>
        <w:rFonts w:ascii="Arial" w:hAnsi="Arial" w:hint="default"/>
        <w:b w:val="0"/>
        <w:i w:val="0"/>
        <w:color w:val="3C4741" w:themeColor="text1"/>
        <w:sz w:val="24"/>
        <w:szCs w:val="24"/>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FE777FA"/>
    <w:multiLevelType w:val="hybridMultilevel"/>
    <w:tmpl w:val="00DAF190"/>
    <w:lvl w:ilvl="0" w:tplc="AB4C1EA2">
      <w:start w:val="1"/>
      <w:numFmt w:val="decimal"/>
      <w:lvlText w:val="%1. "/>
      <w:lvlJc w:val="left"/>
      <w:pPr>
        <w:ind w:left="720" w:hanging="360"/>
      </w:pPr>
      <w:rPr>
        <w:rFonts w:ascii="Arial Bold" w:hAnsi="Arial Bold" w:hint="default"/>
        <w:b/>
        <w:i w:val="0"/>
        <w:color w:val="auto"/>
        <w:sz w:val="28"/>
        <w:szCs w:val="28"/>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513DF2"/>
    <w:multiLevelType w:val="multilevel"/>
    <w:tmpl w:val="D3CCF418"/>
    <w:lvl w:ilvl="0">
      <w:start w:val="1"/>
      <w:numFmt w:val="bullet"/>
      <w:lvlText w:val=""/>
      <w:lvlJc w:val="left"/>
      <w:pPr>
        <w:ind w:left="360" w:hanging="360"/>
      </w:pPr>
      <w:rPr>
        <w:rFonts w:ascii="Symbol" w:hAnsi="Symbol" w:hint="default"/>
        <w:b w:val="0"/>
        <w:i w:val="0"/>
        <w:color w:val="auto"/>
        <w:sz w:val="24"/>
        <w:szCs w:val="20"/>
        <w:u w:val="none"/>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53439A6"/>
    <w:multiLevelType w:val="multilevel"/>
    <w:tmpl w:val="CDAE404A"/>
    <w:lvl w:ilvl="0">
      <w:start w:val="1"/>
      <w:numFmt w:val="decimal"/>
      <w:lvlText w:val="7.%1 "/>
      <w:lvlJc w:val="left"/>
      <w:pPr>
        <w:ind w:left="360" w:hanging="360"/>
      </w:pPr>
      <w:rPr>
        <w:rFonts w:ascii="Arial" w:hAnsi="Arial" w:hint="default"/>
        <w:b w:val="0"/>
        <w:i w:val="0"/>
        <w:color w:val="auto"/>
        <w:sz w:val="24"/>
        <w:szCs w:val="20"/>
        <w:u w:val="none"/>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75A4530"/>
    <w:multiLevelType w:val="multilevel"/>
    <w:tmpl w:val="AC0E382C"/>
    <w:lvl w:ilvl="0">
      <w:start w:val="1"/>
      <w:numFmt w:val="decimal"/>
      <w:lvlText w:val="%1."/>
      <w:lvlJc w:val="left"/>
      <w:pPr>
        <w:ind w:left="360" w:hanging="360"/>
      </w:pPr>
    </w:lvl>
    <w:lvl w:ilvl="1">
      <w:start w:val="1"/>
      <w:numFmt w:val="decimal"/>
      <w:lvlText w:val="%1.%2."/>
      <w:lvlJc w:val="left"/>
      <w:pPr>
        <w:ind w:left="792" w:hanging="432"/>
      </w:pPr>
      <w:rPr>
        <w:b w:val="0"/>
        <w:bCs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AD07690"/>
    <w:multiLevelType w:val="multilevel"/>
    <w:tmpl w:val="E1425838"/>
    <w:lvl w:ilvl="0">
      <w:start w:val="1"/>
      <w:numFmt w:val="decimal"/>
      <w:lvlText w:val="%1."/>
      <w:lvlJc w:val="left"/>
      <w:pPr>
        <w:ind w:left="360" w:hanging="360"/>
      </w:pPr>
    </w:lvl>
    <w:lvl w:ilvl="1">
      <w:start w:val="1"/>
      <w:numFmt w:val="decimal"/>
      <w:lvlText w:val="5.%2 "/>
      <w:lvlJc w:val="left"/>
      <w:pPr>
        <w:ind w:left="720" w:hanging="360"/>
      </w:pPr>
      <w:rPr>
        <w:rFonts w:ascii="Arial" w:hAnsi="Arial" w:hint="default"/>
        <w:b w:val="0"/>
        <w:i w:val="0"/>
        <w:sz w:val="24"/>
        <w:szCs w:val="24"/>
        <w:u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F5B3D8C"/>
    <w:multiLevelType w:val="multilevel"/>
    <w:tmpl w:val="DE7E473E"/>
    <w:lvl w:ilvl="0">
      <w:start w:val="1"/>
      <w:numFmt w:val="decimal"/>
      <w:lvlText w:val="%1."/>
      <w:lvlJc w:val="left"/>
      <w:pPr>
        <w:ind w:left="360" w:hanging="360"/>
      </w:pPr>
    </w:lvl>
    <w:lvl w:ilvl="1">
      <w:start w:val="1"/>
      <w:numFmt w:val="decimal"/>
      <w:lvlText w:val="5.%2 "/>
      <w:lvlJc w:val="left"/>
      <w:pPr>
        <w:ind w:left="720" w:hanging="360"/>
      </w:pPr>
      <w:rPr>
        <w:rFonts w:ascii="Arial" w:hAnsi="Arial" w:hint="default"/>
        <w:b w:val="0"/>
        <w:i w:val="0"/>
        <w:sz w:val="24"/>
        <w:szCs w:val="24"/>
        <w:u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607A1E"/>
    <w:multiLevelType w:val="hybridMultilevel"/>
    <w:tmpl w:val="BF48B588"/>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18" w15:restartNumberingAfterBreak="0">
    <w:nsid w:val="5E86073B"/>
    <w:multiLevelType w:val="hybridMultilevel"/>
    <w:tmpl w:val="754092B2"/>
    <w:lvl w:ilvl="0" w:tplc="41385A6C">
      <w:start w:val="1"/>
      <w:numFmt w:val="decimal"/>
      <w:lvlText w:val="1.%1 "/>
      <w:lvlJc w:val="left"/>
      <w:pPr>
        <w:ind w:left="1077" w:hanging="360"/>
      </w:pPr>
      <w:rPr>
        <w:rFonts w:ascii="Arial" w:hAnsi="Arial" w:hint="default"/>
        <w:b w:val="0"/>
        <w:i w:val="0"/>
        <w:sz w:val="24"/>
        <w:szCs w:val="24"/>
        <w:u w:val="none"/>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9" w15:restartNumberingAfterBreak="0">
    <w:nsid w:val="6F4A2EB0"/>
    <w:multiLevelType w:val="multilevel"/>
    <w:tmpl w:val="C6FEB612"/>
    <w:lvl w:ilvl="0">
      <w:start w:val="1"/>
      <w:numFmt w:val="decimal"/>
      <w:lvlText w:val="6.%1 "/>
      <w:lvlJc w:val="left"/>
      <w:pPr>
        <w:ind w:left="360" w:hanging="360"/>
      </w:pPr>
      <w:rPr>
        <w:rFonts w:ascii="Arial" w:hAnsi="Arial" w:hint="default"/>
        <w:b w:val="0"/>
        <w:i w:val="0"/>
        <w:color w:val="auto"/>
        <w:sz w:val="24"/>
        <w:szCs w:val="24"/>
        <w:u w:val="none"/>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77915854">
    <w:abstractNumId w:val="14"/>
  </w:num>
  <w:num w:numId="2" w16cid:durableId="190805060">
    <w:abstractNumId w:val="9"/>
  </w:num>
  <w:num w:numId="3" w16cid:durableId="1518278002">
    <w:abstractNumId w:val="13"/>
  </w:num>
  <w:num w:numId="4" w16cid:durableId="1081173705">
    <w:abstractNumId w:val="12"/>
  </w:num>
  <w:num w:numId="5" w16cid:durableId="1174034072">
    <w:abstractNumId w:val="17"/>
  </w:num>
  <w:num w:numId="6" w16cid:durableId="945426324">
    <w:abstractNumId w:val="18"/>
  </w:num>
  <w:num w:numId="7" w16cid:durableId="282660628">
    <w:abstractNumId w:val="1"/>
  </w:num>
  <w:num w:numId="8" w16cid:durableId="2053458780">
    <w:abstractNumId w:val="0"/>
  </w:num>
  <w:num w:numId="9" w16cid:durableId="1789160924">
    <w:abstractNumId w:val="3"/>
  </w:num>
  <w:num w:numId="10" w16cid:durableId="1920869419">
    <w:abstractNumId w:val="11"/>
  </w:num>
  <w:num w:numId="11" w16cid:durableId="1491873906">
    <w:abstractNumId w:val="10"/>
  </w:num>
  <w:num w:numId="12" w16cid:durableId="154959139">
    <w:abstractNumId w:val="5"/>
  </w:num>
  <w:num w:numId="13" w16cid:durableId="1167551476">
    <w:abstractNumId w:val="8"/>
  </w:num>
  <w:num w:numId="14" w16cid:durableId="1883519719">
    <w:abstractNumId w:val="16"/>
  </w:num>
  <w:num w:numId="15" w16cid:durableId="293681074">
    <w:abstractNumId w:val="4"/>
  </w:num>
  <w:num w:numId="16" w16cid:durableId="1161432759">
    <w:abstractNumId w:val="7"/>
  </w:num>
  <w:num w:numId="17" w16cid:durableId="1103380546">
    <w:abstractNumId w:val="19"/>
  </w:num>
  <w:num w:numId="18" w16cid:durableId="857307016">
    <w:abstractNumId w:val="15"/>
  </w:num>
  <w:num w:numId="19" w16cid:durableId="1925920531">
    <w:abstractNumId w:val="2"/>
  </w:num>
  <w:num w:numId="20" w16cid:durableId="6645858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1FA"/>
    <w:rsid w:val="000000C2"/>
    <w:rsid w:val="00001C38"/>
    <w:rsid w:val="00001C68"/>
    <w:rsid w:val="00001EBE"/>
    <w:rsid w:val="0000202F"/>
    <w:rsid w:val="0000234C"/>
    <w:rsid w:val="00005518"/>
    <w:rsid w:val="00006C94"/>
    <w:rsid w:val="00010187"/>
    <w:rsid w:val="00011125"/>
    <w:rsid w:val="00012804"/>
    <w:rsid w:val="000146EF"/>
    <w:rsid w:val="00014AAC"/>
    <w:rsid w:val="0001601E"/>
    <w:rsid w:val="00017179"/>
    <w:rsid w:val="000211FA"/>
    <w:rsid w:val="0002328D"/>
    <w:rsid w:val="0002524E"/>
    <w:rsid w:val="00025E37"/>
    <w:rsid w:val="000271F6"/>
    <w:rsid w:val="00031B40"/>
    <w:rsid w:val="00031D91"/>
    <w:rsid w:val="00032294"/>
    <w:rsid w:val="00032829"/>
    <w:rsid w:val="0003379B"/>
    <w:rsid w:val="00035CF1"/>
    <w:rsid w:val="00036D24"/>
    <w:rsid w:val="00040561"/>
    <w:rsid w:val="000409DC"/>
    <w:rsid w:val="0004319A"/>
    <w:rsid w:val="000449BF"/>
    <w:rsid w:val="00045861"/>
    <w:rsid w:val="000478AA"/>
    <w:rsid w:val="00047DD3"/>
    <w:rsid w:val="00050388"/>
    <w:rsid w:val="00050631"/>
    <w:rsid w:val="000510F7"/>
    <w:rsid w:val="000518F0"/>
    <w:rsid w:val="000541A2"/>
    <w:rsid w:val="00054C36"/>
    <w:rsid w:val="000550DD"/>
    <w:rsid w:val="00056DCE"/>
    <w:rsid w:val="000571A4"/>
    <w:rsid w:val="000576FF"/>
    <w:rsid w:val="00057A2F"/>
    <w:rsid w:val="00060A61"/>
    <w:rsid w:val="00060D7A"/>
    <w:rsid w:val="00060F87"/>
    <w:rsid w:val="000617B9"/>
    <w:rsid w:val="000621F5"/>
    <w:rsid w:val="00063E13"/>
    <w:rsid w:val="00064888"/>
    <w:rsid w:val="00066826"/>
    <w:rsid w:val="00066F23"/>
    <w:rsid w:val="00067FD0"/>
    <w:rsid w:val="0007000D"/>
    <w:rsid w:val="0007068C"/>
    <w:rsid w:val="00070937"/>
    <w:rsid w:val="00073E06"/>
    <w:rsid w:val="00074D5E"/>
    <w:rsid w:val="00076CB4"/>
    <w:rsid w:val="00080965"/>
    <w:rsid w:val="00081AA6"/>
    <w:rsid w:val="000837F6"/>
    <w:rsid w:val="00083802"/>
    <w:rsid w:val="00083E80"/>
    <w:rsid w:val="00084787"/>
    <w:rsid w:val="00087C79"/>
    <w:rsid w:val="00091F73"/>
    <w:rsid w:val="000928F2"/>
    <w:rsid w:val="0009421D"/>
    <w:rsid w:val="0009484A"/>
    <w:rsid w:val="00097003"/>
    <w:rsid w:val="000A1645"/>
    <w:rsid w:val="000A19A7"/>
    <w:rsid w:val="000A2A45"/>
    <w:rsid w:val="000A2D17"/>
    <w:rsid w:val="000A422E"/>
    <w:rsid w:val="000A4F02"/>
    <w:rsid w:val="000B1D30"/>
    <w:rsid w:val="000B2E42"/>
    <w:rsid w:val="000B33A5"/>
    <w:rsid w:val="000B363A"/>
    <w:rsid w:val="000B36BD"/>
    <w:rsid w:val="000B4D5C"/>
    <w:rsid w:val="000B7559"/>
    <w:rsid w:val="000B7C9B"/>
    <w:rsid w:val="000C2690"/>
    <w:rsid w:val="000C27CC"/>
    <w:rsid w:val="000C40DE"/>
    <w:rsid w:val="000C54F0"/>
    <w:rsid w:val="000C736E"/>
    <w:rsid w:val="000D0A86"/>
    <w:rsid w:val="000D2490"/>
    <w:rsid w:val="000D2F7B"/>
    <w:rsid w:val="000D3901"/>
    <w:rsid w:val="000D477C"/>
    <w:rsid w:val="000D6B11"/>
    <w:rsid w:val="000E012D"/>
    <w:rsid w:val="000E0D15"/>
    <w:rsid w:val="000E2E35"/>
    <w:rsid w:val="000E3B54"/>
    <w:rsid w:val="000E43D8"/>
    <w:rsid w:val="000E6CE8"/>
    <w:rsid w:val="000F09CE"/>
    <w:rsid w:val="000F38A7"/>
    <w:rsid w:val="000F47DB"/>
    <w:rsid w:val="000F4E1A"/>
    <w:rsid w:val="000F609C"/>
    <w:rsid w:val="00102348"/>
    <w:rsid w:val="00102B9E"/>
    <w:rsid w:val="00103B18"/>
    <w:rsid w:val="00104CBC"/>
    <w:rsid w:val="00105F31"/>
    <w:rsid w:val="00110772"/>
    <w:rsid w:val="00111C2A"/>
    <w:rsid w:val="001130AC"/>
    <w:rsid w:val="00113311"/>
    <w:rsid w:val="00114405"/>
    <w:rsid w:val="00114EA4"/>
    <w:rsid w:val="0011522E"/>
    <w:rsid w:val="00115F4A"/>
    <w:rsid w:val="00117D26"/>
    <w:rsid w:val="00117FBF"/>
    <w:rsid w:val="0012243D"/>
    <w:rsid w:val="00123C67"/>
    <w:rsid w:val="00126384"/>
    <w:rsid w:val="00126493"/>
    <w:rsid w:val="001268D2"/>
    <w:rsid w:val="00126E64"/>
    <w:rsid w:val="00131062"/>
    <w:rsid w:val="00132EE6"/>
    <w:rsid w:val="00132FED"/>
    <w:rsid w:val="001355B3"/>
    <w:rsid w:val="00136FD6"/>
    <w:rsid w:val="00140CF7"/>
    <w:rsid w:val="00141856"/>
    <w:rsid w:val="001428B3"/>
    <w:rsid w:val="001428BD"/>
    <w:rsid w:val="001430E9"/>
    <w:rsid w:val="00143C8C"/>
    <w:rsid w:val="00143DC2"/>
    <w:rsid w:val="00145980"/>
    <w:rsid w:val="00146A34"/>
    <w:rsid w:val="00146E97"/>
    <w:rsid w:val="001560B4"/>
    <w:rsid w:val="001561B7"/>
    <w:rsid w:val="00156645"/>
    <w:rsid w:val="00156FCD"/>
    <w:rsid w:val="001610BE"/>
    <w:rsid w:val="00162A77"/>
    <w:rsid w:val="0016495D"/>
    <w:rsid w:val="00164D17"/>
    <w:rsid w:val="00166DE5"/>
    <w:rsid w:val="001674F9"/>
    <w:rsid w:val="00170572"/>
    <w:rsid w:val="00172AE4"/>
    <w:rsid w:val="00173C40"/>
    <w:rsid w:val="00173DF7"/>
    <w:rsid w:val="001748A6"/>
    <w:rsid w:val="0017563E"/>
    <w:rsid w:val="00175C35"/>
    <w:rsid w:val="001774FA"/>
    <w:rsid w:val="001818BA"/>
    <w:rsid w:val="0018225B"/>
    <w:rsid w:val="00183BEC"/>
    <w:rsid w:val="00184302"/>
    <w:rsid w:val="001861B8"/>
    <w:rsid w:val="00186FB4"/>
    <w:rsid w:val="00191B9C"/>
    <w:rsid w:val="00192E84"/>
    <w:rsid w:val="001945CB"/>
    <w:rsid w:val="00195BA9"/>
    <w:rsid w:val="00196A57"/>
    <w:rsid w:val="001A1592"/>
    <w:rsid w:val="001A4710"/>
    <w:rsid w:val="001A6498"/>
    <w:rsid w:val="001A68A5"/>
    <w:rsid w:val="001A7ED9"/>
    <w:rsid w:val="001B13AD"/>
    <w:rsid w:val="001B151D"/>
    <w:rsid w:val="001B29FB"/>
    <w:rsid w:val="001B507E"/>
    <w:rsid w:val="001B6955"/>
    <w:rsid w:val="001B7818"/>
    <w:rsid w:val="001C055C"/>
    <w:rsid w:val="001C0A8B"/>
    <w:rsid w:val="001C0DE9"/>
    <w:rsid w:val="001C473F"/>
    <w:rsid w:val="001C4755"/>
    <w:rsid w:val="001C4AE0"/>
    <w:rsid w:val="001C4E04"/>
    <w:rsid w:val="001C5F7F"/>
    <w:rsid w:val="001C6502"/>
    <w:rsid w:val="001C6C85"/>
    <w:rsid w:val="001D0BE1"/>
    <w:rsid w:val="001D24C0"/>
    <w:rsid w:val="001D58A8"/>
    <w:rsid w:val="001D6E2A"/>
    <w:rsid w:val="001D7121"/>
    <w:rsid w:val="001D7EB4"/>
    <w:rsid w:val="001E0110"/>
    <w:rsid w:val="001E1F47"/>
    <w:rsid w:val="001E2C80"/>
    <w:rsid w:val="001E2D44"/>
    <w:rsid w:val="001E30F5"/>
    <w:rsid w:val="001E3D26"/>
    <w:rsid w:val="001E4173"/>
    <w:rsid w:val="001E5A1C"/>
    <w:rsid w:val="001E755D"/>
    <w:rsid w:val="001F0F80"/>
    <w:rsid w:val="001F1233"/>
    <w:rsid w:val="001F15DF"/>
    <w:rsid w:val="001F164A"/>
    <w:rsid w:val="001F1E32"/>
    <w:rsid w:val="001F20D8"/>
    <w:rsid w:val="001F5346"/>
    <w:rsid w:val="001F5EC0"/>
    <w:rsid w:val="001F6445"/>
    <w:rsid w:val="00210F45"/>
    <w:rsid w:val="00215245"/>
    <w:rsid w:val="00215F32"/>
    <w:rsid w:val="00216206"/>
    <w:rsid w:val="0021634A"/>
    <w:rsid w:val="00216B45"/>
    <w:rsid w:val="00217023"/>
    <w:rsid w:val="00217CA0"/>
    <w:rsid w:val="00220D2B"/>
    <w:rsid w:val="00220D94"/>
    <w:rsid w:val="0022653B"/>
    <w:rsid w:val="00226E93"/>
    <w:rsid w:val="00227B9E"/>
    <w:rsid w:val="00227C94"/>
    <w:rsid w:val="0023301C"/>
    <w:rsid w:val="002357D0"/>
    <w:rsid w:val="00236552"/>
    <w:rsid w:val="002369CA"/>
    <w:rsid w:val="00236F65"/>
    <w:rsid w:val="00240128"/>
    <w:rsid w:val="002405EB"/>
    <w:rsid w:val="00240F31"/>
    <w:rsid w:val="00242C67"/>
    <w:rsid w:val="00244AA5"/>
    <w:rsid w:val="002463CD"/>
    <w:rsid w:val="00250106"/>
    <w:rsid w:val="00257125"/>
    <w:rsid w:val="002573C3"/>
    <w:rsid w:val="0026025F"/>
    <w:rsid w:val="002624AE"/>
    <w:rsid w:val="00266303"/>
    <w:rsid w:val="00266A9D"/>
    <w:rsid w:val="00266CD2"/>
    <w:rsid w:val="00267E73"/>
    <w:rsid w:val="0027212B"/>
    <w:rsid w:val="00274F39"/>
    <w:rsid w:val="002757D7"/>
    <w:rsid w:val="00275BD8"/>
    <w:rsid w:val="00277F38"/>
    <w:rsid w:val="00280DD3"/>
    <w:rsid w:val="00281612"/>
    <w:rsid w:val="00281BB1"/>
    <w:rsid w:val="00282BC2"/>
    <w:rsid w:val="002830DD"/>
    <w:rsid w:val="00283469"/>
    <w:rsid w:val="002838FA"/>
    <w:rsid w:val="002846ED"/>
    <w:rsid w:val="00291622"/>
    <w:rsid w:val="00295B24"/>
    <w:rsid w:val="002977F7"/>
    <w:rsid w:val="002A089D"/>
    <w:rsid w:val="002A13FA"/>
    <w:rsid w:val="002A1971"/>
    <w:rsid w:val="002A2620"/>
    <w:rsid w:val="002A2649"/>
    <w:rsid w:val="002A2AF9"/>
    <w:rsid w:val="002A3853"/>
    <w:rsid w:val="002A3B21"/>
    <w:rsid w:val="002A4E2E"/>
    <w:rsid w:val="002A4F2D"/>
    <w:rsid w:val="002B00D8"/>
    <w:rsid w:val="002B0F70"/>
    <w:rsid w:val="002B147A"/>
    <w:rsid w:val="002B27F3"/>
    <w:rsid w:val="002B2AFF"/>
    <w:rsid w:val="002B2DA8"/>
    <w:rsid w:val="002B6EAA"/>
    <w:rsid w:val="002B7CBC"/>
    <w:rsid w:val="002C0E44"/>
    <w:rsid w:val="002C37BB"/>
    <w:rsid w:val="002C59C1"/>
    <w:rsid w:val="002C7710"/>
    <w:rsid w:val="002C791B"/>
    <w:rsid w:val="002C7A28"/>
    <w:rsid w:val="002D0702"/>
    <w:rsid w:val="002D1EB3"/>
    <w:rsid w:val="002D21A9"/>
    <w:rsid w:val="002D2A6A"/>
    <w:rsid w:val="002D2D1B"/>
    <w:rsid w:val="002D2F6E"/>
    <w:rsid w:val="002D4664"/>
    <w:rsid w:val="002D5503"/>
    <w:rsid w:val="002D5A78"/>
    <w:rsid w:val="002D5BC3"/>
    <w:rsid w:val="002D5F06"/>
    <w:rsid w:val="002D7B91"/>
    <w:rsid w:val="002D7D07"/>
    <w:rsid w:val="002D7F0B"/>
    <w:rsid w:val="002E136C"/>
    <w:rsid w:val="002E24A5"/>
    <w:rsid w:val="002E2B17"/>
    <w:rsid w:val="002E4C06"/>
    <w:rsid w:val="002E5221"/>
    <w:rsid w:val="002E57FC"/>
    <w:rsid w:val="002E711B"/>
    <w:rsid w:val="002E785F"/>
    <w:rsid w:val="002F0119"/>
    <w:rsid w:val="002F09A9"/>
    <w:rsid w:val="002F3CAF"/>
    <w:rsid w:val="002F4A43"/>
    <w:rsid w:val="00300318"/>
    <w:rsid w:val="00300739"/>
    <w:rsid w:val="0030096D"/>
    <w:rsid w:val="00301F3D"/>
    <w:rsid w:val="00302825"/>
    <w:rsid w:val="00303485"/>
    <w:rsid w:val="00303530"/>
    <w:rsid w:val="00303F43"/>
    <w:rsid w:val="0030479F"/>
    <w:rsid w:val="00304DFC"/>
    <w:rsid w:val="00305E90"/>
    <w:rsid w:val="003060C6"/>
    <w:rsid w:val="0031420B"/>
    <w:rsid w:val="003143E6"/>
    <w:rsid w:val="00314BED"/>
    <w:rsid w:val="00315599"/>
    <w:rsid w:val="00317618"/>
    <w:rsid w:val="00317CA2"/>
    <w:rsid w:val="00320BAC"/>
    <w:rsid w:val="00322218"/>
    <w:rsid w:val="00322BE5"/>
    <w:rsid w:val="00322CEE"/>
    <w:rsid w:val="003231A1"/>
    <w:rsid w:val="0032537D"/>
    <w:rsid w:val="00326085"/>
    <w:rsid w:val="003304C3"/>
    <w:rsid w:val="00330C6C"/>
    <w:rsid w:val="00331196"/>
    <w:rsid w:val="00331DD1"/>
    <w:rsid w:val="0033354C"/>
    <w:rsid w:val="00333800"/>
    <w:rsid w:val="003339A3"/>
    <w:rsid w:val="00335C1B"/>
    <w:rsid w:val="00336FCE"/>
    <w:rsid w:val="00336FE2"/>
    <w:rsid w:val="00340BCB"/>
    <w:rsid w:val="00341E41"/>
    <w:rsid w:val="003420DC"/>
    <w:rsid w:val="003436D2"/>
    <w:rsid w:val="003446E6"/>
    <w:rsid w:val="003456F4"/>
    <w:rsid w:val="00346555"/>
    <w:rsid w:val="00347A8E"/>
    <w:rsid w:val="0035219F"/>
    <w:rsid w:val="003522DB"/>
    <w:rsid w:val="003529CF"/>
    <w:rsid w:val="00352EFC"/>
    <w:rsid w:val="0035392A"/>
    <w:rsid w:val="00353CB8"/>
    <w:rsid w:val="00355F15"/>
    <w:rsid w:val="00356F80"/>
    <w:rsid w:val="00356FDA"/>
    <w:rsid w:val="003606E0"/>
    <w:rsid w:val="0036280E"/>
    <w:rsid w:val="00363F05"/>
    <w:rsid w:val="003661A7"/>
    <w:rsid w:val="00366275"/>
    <w:rsid w:val="003667D7"/>
    <w:rsid w:val="00366E0B"/>
    <w:rsid w:val="00366FC4"/>
    <w:rsid w:val="003674F0"/>
    <w:rsid w:val="00370041"/>
    <w:rsid w:val="00370EA1"/>
    <w:rsid w:val="00371370"/>
    <w:rsid w:val="003729F1"/>
    <w:rsid w:val="00372D50"/>
    <w:rsid w:val="0037374C"/>
    <w:rsid w:val="00376C0C"/>
    <w:rsid w:val="003811F6"/>
    <w:rsid w:val="00381444"/>
    <w:rsid w:val="00381630"/>
    <w:rsid w:val="00385817"/>
    <w:rsid w:val="00385D88"/>
    <w:rsid w:val="003868A0"/>
    <w:rsid w:val="00392329"/>
    <w:rsid w:val="003923E9"/>
    <w:rsid w:val="0039297A"/>
    <w:rsid w:val="00393D56"/>
    <w:rsid w:val="00394103"/>
    <w:rsid w:val="003943BC"/>
    <w:rsid w:val="00394FFA"/>
    <w:rsid w:val="00395770"/>
    <w:rsid w:val="00397338"/>
    <w:rsid w:val="003A0E34"/>
    <w:rsid w:val="003A1121"/>
    <w:rsid w:val="003A2A27"/>
    <w:rsid w:val="003A3411"/>
    <w:rsid w:val="003A45BF"/>
    <w:rsid w:val="003A48D3"/>
    <w:rsid w:val="003A4EBD"/>
    <w:rsid w:val="003A6CB5"/>
    <w:rsid w:val="003A6EBB"/>
    <w:rsid w:val="003A788D"/>
    <w:rsid w:val="003B1951"/>
    <w:rsid w:val="003B2722"/>
    <w:rsid w:val="003B29E2"/>
    <w:rsid w:val="003B3596"/>
    <w:rsid w:val="003B3DD2"/>
    <w:rsid w:val="003B3DE5"/>
    <w:rsid w:val="003B43A4"/>
    <w:rsid w:val="003B48FB"/>
    <w:rsid w:val="003B52C2"/>
    <w:rsid w:val="003B5BC9"/>
    <w:rsid w:val="003B7F14"/>
    <w:rsid w:val="003C0CBE"/>
    <w:rsid w:val="003C190D"/>
    <w:rsid w:val="003C1BBD"/>
    <w:rsid w:val="003C328B"/>
    <w:rsid w:val="003C3E03"/>
    <w:rsid w:val="003C48BC"/>
    <w:rsid w:val="003C6FD4"/>
    <w:rsid w:val="003D11D8"/>
    <w:rsid w:val="003D2DFF"/>
    <w:rsid w:val="003D4042"/>
    <w:rsid w:val="003D4485"/>
    <w:rsid w:val="003D4EF9"/>
    <w:rsid w:val="003D5982"/>
    <w:rsid w:val="003D6CFD"/>
    <w:rsid w:val="003D78E1"/>
    <w:rsid w:val="003E109A"/>
    <w:rsid w:val="003E2251"/>
    <w:rsid w:val="003E518D"/>
    <w:rsid w:val="003E64C1"/>
    <w:rsid w:val="003E64E3"/>
    <w:rsid w:val="003E77C7"/>
    <w:rsid w:val="003F14F4"/>
    <w:rsid w:val="003F1ACE"/>
    <w:rsid w:val="003F309D"/>
    <w:rsid w:val="003F361C"/>
    <w:rsid w:val="003F4DBF"/>
    <w:rsid w:val="003F4FA7"/>
    <w:rsid w:val="003F5384"/>
    <w:rsid w:val="003F5AAA"/>
    <w:rsid w:val="003F5D9C"/>
    <w:rsid w:val="003F7AC9"/>
    <w:rsid w:val="003F7F20"/>
    <w:rsid w:val="00401ED9"/>
    <w:rsid w:val="0040278B"/>
    <w:rsid w:val="004057BA"/>
    <w:rsid w:val="004073BC"/>
    <w:rsid w:val="00410D5F"/>
    <w:rsid w:val="00411B57"/>
    <w:rsid w:val="00412609"/>
    <w:rsid w:val="00414481"/>
    <w:rsid w:val="0041478E"/>
    <w:rsid w:val="00415351"/>
    <w:rsid w:val="004159A1"/>
    <w:rsid w:val="00415D11"/>
    <w:rsid w:val="00417165"/>
    <w:rsid w:val="00421664"/>
    <w:rsid w:val="004228B0"/>
    <w:rsid w:val="004230FE"/>
    <w:rsid w:val="00423645"/>
    <w:rsid w:val="00425A01"/>
    <w:rsid w:val="00425E5D"/>
    <w:rsid w:val="00426AAC"/>
    <w:rsid w:val="00431CBB"/>
    <w:rsid w:val="00433B4A"/>
    <w:rsid w:val="00433DE7"/>
    <w:rsid w:val="00434D74"/>
    <w:rsid w:val="00434DFF"/>
    <w:rsid w:val="00434EED"/>
    <w:rsid w:val="0043658F"/>
    <w:rsid w:val="00437C2A"/>
    <w:rsid w:val="00440EE6"/>
    <w:rsid w:val="00443917"/>
    <w:rsid w:val="00444202"/>
    <w:rsid w:val="00444AA1"/>
    <w:rsid w:val="00445BD6"/>
    <w:rsid w:val="00447DA9"/>
    <w:rsid w:val="00447ECC"/>
    <w:rsid w:val="00447FC7"/>
    <w:rsid w:val="00450B36"/>
    <w:rsid w:val="00450EF6"/>
    <w:rsid w:val="00452605"/>
    <w:rsid w:val="0045411A"/>
    <w:rsid w:val="00454685"/>
    <w:rsid w:val="004547E7"/>
    <w:rsid w:val="00455050"/>
    <w:rsid w:val="004564D4"/>
    <w:rsid w:val="0045663E"/>
    <w:rsid w:val="00457732"/>
    <w:rsid w:val="00457A57"/>
    <w:rsid w:val="00465271"/>
    <w:rsid w:val="00465FA6"/>
    <w:rsid w:val="00466323"/>
    <w:rsid w:val="00466921"/>
    <w:rsid w:val="00466D27"/>
    <w:rsid w:val="00466D9A"/>
    <w:rsid w:val="00467079"/>
    <w:rsid w:val="0046716C"/>
    <w:rsid w:val="0047031C"/>
    <w:rsid w:val="00470982"/>
    <w:rsid w:val="00476F79"/>
    <w:rsid w:val="00477459"/>
    <w:rsid w:val="004810A8"/>
    <w:rsid w:val="00481F92"/>
    <w:rsid w:val="00482171"/>
    <w:rsid w:val="004822EE"/>
    <w:rsid w:val="00486654"/>
    <w:rsid w:val="00486D4B"/>
    <w:rsid w:val="00486DEA"/>
    <w:rsid w:val="00490633"/>
    <w:rsid w:val="0049099B"/>
    <w:rsid w:val="00490E02"/>
    <w:rsid w:val="00493368"/>
    <w:rsid w:val="00493444"/>
    <w:rsid w:val="0049527B"/>
    <w:rsid w:val="0049543E"/>
    <w:rsid w:val="004969A9"/>
    <w:rsid w:val="004A28A2"/>
    <w:rsid w:val="004A2DED"/>
    <w:rsid w:val="004A31D0"/>
    <w:rsid w:val="004A33E3"/>
    <w:rsid w:val="004A4E88"/>
    <w:rsid w:val="004A5813"/>
    <w:rsid w:val="004B0628"/>
    <w:rsid w:val="004B1656"/>
    <w:rsid w:val="004B37BD"/>
    <w:rsid w:val="004B6785"/>
    <w:rsid w:val="004B68DB"/>
    <w:rsid w:val="004C10C9"/>
    <w:rsid w:val="004C1117"/>
    <w:rsid w:val="004C1AD5"/>
    <w:rsid w:val="004C4F97"/>
    <w:rsid w:val="004C541F"/>
    <w:rsid w:val="004C67D2"/>
    <w:rsid w:val="004C73AD"/>
    <w:rsid w:val="004D01BE"/>
    <w:rsid w:val="004D105E"/>
    <w:rsid w:val="004D2D80"/>
    <w:rsid w:val="004D30C5"/>
    <w:rsid w:val="004D46DA"/>
    <w:rsid w:val="004D524C"/>
    <w:rsid w:val="004D65CA"/>
    <w:rsid w:val="004D6DB1"/>
    <w:rsid w:val="004D7BC3"/>
    <w:rsid w:val="004E0229"/>
    <w:rsid w:val="004E0FF9"/>
    <w:rsid w:val="004E21FC"/>
    <w:rsid w:val="004E3881"/>
    <w:rsid w:val="004E3D85"/>
    <w:rsid w:val="004E4AB5"/>
    <w:rsid w:val="004E503D"/>
    <w:rsid w:val="004E51B4"/>
    <w:rsid w:val="004E57AE"/>
    <w:rsid w:val="004E5D5A"/>
    <w:rsid w:val="004F02FF"/>
    <w:rsid w:val="004F042E"/>
    <w:rsid w:val="004F0FDE"/>
    <w:rsid w:val="004F6CA0"/>
    <w:rsid w:val="004F7139"/>
    <w:rsid w:val="004F727A"/>
    <w:rsid w:val="00500D92"/>
    <w:rsid w:val="00502DFA"/>
    <w:rsid w:val="00503104"/>
    <w:rsid w:val="00505DCB"/>
    <w:rsid w:val="00505F63"/>
    <w:rsid w:val="005062BA"/>
    <w:rsid w:val="005077F1"/>
    <w:rsid w:val="00507FAE"/>
    <w:rsid w:val="00515444"/>
    <w:rsid w:val="00515968"/>
    <w:rsid w:val="00515DD5"/>
    <w:rsid w:val="00517BC9"/>
    <w:rsid w:val="00520E41"/>
    <w:rsid w:val="00522C5D"/>
    <w:rsid w:val="00523C54"/>
    <w:rsid w:val="0052464C"/>
    <w:rsid w:val="00524D0C"/>
    <w:rsid w:val="00524DEF"/>
    <w:rsid w:val="005269F4"/>
    <w:rsid w:val="00527652"/>
    <w:rsid w:val="005278CD"/>
    <w:rsid w:val="00527904"/>
    <w:rsid w:val="00530D30"/>
    <w:rsid w:val="00532664"/>
    <w:rsid w:val="00533FA7"/>
    <w:rsid w:val="005350F7"/>
    <w:rsid w:val="00535131"/>
    <w:rsid w:val="00535334"/>
    <w:rsid w:val="0053561A"/>
    <w:rsid w:val="00535A1E"/>
    <w:rsid w:val="005446FE"/>
    <w:rsid w:val="005447C3"/>
    <w:rsid w:val="00546352"/>
    <w:rsid w:val="00546937"/>
    <w:rsid w:val="00556BFE"/>
    <w:rsid w:val="00561100"/>
    <w:rsid w:val="005640BE"/>
    <w:rsid w:val="00565AE1"/>
    <w:rsid w:val="00565E92"/>
    <w:rsid w:val="00567475"/>
    <w:rsid w:val="005759EF"/>
    <w:rsid w:val="0057622B"/>
    <w:rsid w:val="00581D77"/>
    <w:rsid w:val="00583247"/>
    <w:rsid w:val="00583306"/>
    <w:rsid w:val="00585128"/>
    <w:rsid w:val="00585E31"/>
    <w:rsid w:val="00586804"/>
    <w:rsid w:val="005871FD"/>
    <w:rsid w:val="005900AA"/>
    <w:rsid w:val="0059120A"/>
    <w:rsid w:val="00593ED0"/>
    <w:rsid w:val="005943BC"/>
    <w:rsid w:val="00595E65"/>
    <w:rsid w:val="00596806"/>
    <w:rsid w:val="005A0CE5"/>
    <w:rsid w:val="005A1710"/>
    <w:rsid w:val="005A355E"/>
    <w:rsid w:val="005A5F04"/>
    <w:rsid w:val="005A6885"/>
    <w:rsid w:val="005A7736"/>
    <w:rsid w:val="005B1870"/>
    <w:rsid w:val="005B2F46"/>
    <w:rsid w:val="005B4A41"/>
    <w:rsid w:val="005B52BB"/>
    <w:rsid w:val="005B67F7"/>
    <w:rsid w:val="005B6D94"/>
    <w:rsid w:val="005B781E"/>
    <w:rsid w:val="005C10EE"/>
    <w:rsid w:val="005C32A9"/>
    <w:rsid w:val="005C3595"/>
    <w:rsid w:val="005C5A91"/>
    <w:rsid w:val="005C63A6"/>
    <w:rsid w:val="005C6CD2"/>
    <w:rsid w:val="005D0463"/>
    <w:rsid w:val="005D1213"/>
    <w:rsid w:val="005D3ABD"/>
    <w:rsid w:val="005D6257"/>
    <w:rsid w:val="005D66B8"/>
    <w:rsid w:val="005D7437"/>
    <w:rsid w:val="005E131A"/>
    <w:rsid w:val="005E358F"/>
    <w:rsid w:val="005F0657"/>
    <w:rsid w:val="005F0F7F"/>
    <w:rsid w:val="005F1C12"/>
    <w:rsid w:val="005F354C"/>
    <w:rsid w:val="005F4AB2"/>
    <w:rsid w:val="005F4CB9"/>
    <w:rsid w:val="005F4DEC"/>
    <w:rsid w:val="005F507B"/>
    <w:rsid w:val="005F5BC3"/>
    <w:rsid w:val="005F60C6"/>
    <w:rsid w:val="005F7803"/>
    <w:rsid w:val="005F7BE4"/>
    <w:rsid w:val="0060151D"/>
    <w:rsid w:val="00601ADE"/>
    <w:rsid w:val="006033C2"/>
    <w:rsid w:val="006033E7"/>
    <w:rsid w:val="00603CDD"/>
    <w:rsid w:val="006042A1"/>
    <w:rsid w:val="0060487E"/>
    <w:rsid w:val="006072B7"/>
    <w:rsid w:val="00607B68"/>
    <w:rsid w:val="00610A58"/>
    <w:rsid w:val="00611667"/>
    <w:rsid w:val="006123BE"/>
    <w:rsid w:val="006137A8"/>
    <w:rsid w:val="00614621"/>
    <w:rsid w:val="00615A93"/>
    <w:rsid w:val="00615FCA"/>
    <w:rsid w:val="00620FCB"/>
    <w:rsid w:val="00621330"/>
    <w:rsid w:val="00622135"/>
    <w:rsid w:val="0062283E"/>
    <w:rsid w:val="00623DDE"/>
    <w:rsid w:val="006243FF"/>
    <w:rsid w:val="00625640"/>
    <w:rsid w:val="006256AB"/>
    <w:rsid w:val="00625798"/>
    <w:rsid w:val="006270A8"/>
    <w:rsid w:val="00631B3F"/>
    <w:rsid w:val="00631C72"/>
    <w:rsid w:val="006334AA"/>
    <w:rsid w:val="00634B20"/>
    <w:rsid w:val="0063599E"/>
    <w:rsid w:val="00637A83"/>
    <w:rsid w:val="00641028"/>
    <w:rsid w:val="00642A86"/>
    <w:rsid w:val="00644788"/>
    <w:rsid w:val="006458F3"/>
    <w:rsid w:val="00646086"/>
    <w:rsid w:val="00650880"/>
    <w:rsid w:val="006511BB"/>
    <w:rsid w:val="00652AAF"/>
    <w:rsid w:val="00653457"/>
    <w:rsid w:val="00654130"/>
    <w:rsid w:val="00654AB8"/>
    <w:rsid w:val="00660A3C"/>
    <w:rsid w:val="00660C79"/>
    <w:rsid w:val="006640A3"/>
    <w:rsid w:val="0066488F"/>
    <w:rsid w:val="00665BCF"/>
    <w:rsid w:val="00674469"/>
    <w:rsid w:val="00674BA2"/>
    <w:rsid w:val="00676624"/>
    <w:rsid w:val="0067697A"/>
    <w:rsid w:val="0067771D"/>
    <w:rsid w:val="006811C5"/>
    <w:rsid w:val="00682425"/>
    <w:rsid w:val="0068279D"/>
    <w:rsid w:val="0068692C"/>
    <w:rsid w:val="00687957"/>
    <w:rsid w:val="00690754"/>
    <w:rsid w:val="006919B2"/>
    <w:rsid w:val="00692743"/>
    <w:rsid w:val="00694A22"/>
    <w:rsid w:val="0069561A"/>
    <w:rsid w:val="00696572"/>
    <w:rsid w:val="00696921"/>
    <w:rsid w:val="00696C96"/>
    <w:rsid w:val="00696E39"/>
    <w:rsid w:val="006A124D"/>
    <w:rsid w:val="006A143F"/>
    <w:rsid w:val="006A524D"/>
    <w:rsid w:val="006A57D6"/>
    <w:rsid w:val="006A71B4"/>
    <w:rsid w:val="006A7854"/>
    <w:rsid w:val="006A7935"/>
    <w:rsid w:val="006B0E94"/>
    <w:rsid w:val="006B29E3"/>
    <w:rsid w:val="006B36FD"/>
    <w:rsid w:val="006B4414"/>
    <w:rsid w:val="006B4423"/>
    <w:rsid w:val="006B4657"/>
    <w:rsid w:val="006B4AE1"/>
    <w:rsid w:val="006B5152"/>
    <w:rsid w:val="006B5890"/>
    <w:rsid w:val="006B5892"/>
    <w:rsid w:val="006B7592"/>
    <w:rsid w:val="006B771F"/>
    <w:rsid w:val="006C1DDF"/>
    <w:rsid w:val="006C200D"/>
    <w:rsid w:val="006C2596"/>
    <w:rsid w:val="006C2CD9"/>
    <w:rsid w:val="006C2D18"/>
    <w:rsid w:val="006C340A"/>
    <w:rsid w:val="006C4B3D"/>
    <w:rsid w:val="006C5765"/>
    <w:rsid w:val="006C591E"/>
    <w:rsid w:val="006C5981"/>
    <w:rsid w:val="006C6ACB"/>
    <w:rsid w:val="006C6F7A"/>
    <w:rsid w:val="006C7F1F"/>
    <w:rsid w:val="006D077D"/>
    <w:rsid w:val="006D0F97"/>
    <w:rsid w:val="006D16CE"/>
    <w:rsid w:val="006D17C2"/>
    <w:rsid w:val="006D33C4"/>
    <w:rsid w:val="006D6BFF"/>
    <w:rsid w:val="006D71A0"/>
    <w:rsid w:val="006E133B"/>
    <w:rsid w:val="006E1A15"/>
    <w:rsid w:val="006E24D6"/>
    <w:rsid w:val="006E3ED0"/>
    <w:rsid w:val="006E6475"/>
    <w:rsid w:val="006E6DFA"/>
    <w:rsid w:val="006E7286"/>
    <w:rsid w:val="006E7470"/>
    <w:rsid w:val="006E7CF2"/>
    <w:rsid w:val="006F041A"/>
    <w:rsid w:val="006F2438"/>
    <w:rsid w:val="006F4C72"/>
    <w:rsid w:val="006F6369"/>
    <w:rsid w:val="006F72E4"/>
    <w:rsid w:val="007008E8"/>
    <w:rsid w:val="00703B2E"/>
    <w:rsid w:val="00707004"/>
    <w:rsid w:val="0070729A"/>
    <w:rsid w:val="0070789C"/>
    <w:rsid w:val="00707C31"/>
    <w:rsid w:val="0071021B"/>
    <w:rsid w:val="0071039D"/>
    <w:rsid w:val="007115AE"/>
    <w:rsid w:val="007142B5"/>
    <w:rsid w:val="00714AB8"/>
    <w:rsid w:val="00714CF2"/>
    <w:rsid w:val="00714D14"/>
    <w:rsid w:val="00714F3B"/>
    <w:rsid w:val="007161A2"/>
    <w:rsid w:val="00717E44"/>
    <w:rsid w:val="00722297"/>
    <w:rsid w:val="00724844"/>
    <w:rsid w:val="00724917"/>
    <w:rsid w:val="00725FD3"/>
    <w:rsid w:val="00726768"/>
    <w:rsid w:val="00727342"/>
    <w:rsid w:val="0072751B"/>
    <w:rsid w:val="00727DB3"/>
    <w:rsid w:val="007322E8"/>
    <w:rsid w:val="007326A1"/>
    <w:rsid w:val="007331AA"/>
    <w:rsid w:val="00734518"/>
    <w:rsid w:val="00736CCA"/>
    <w:rsid w:val="00736DD8"/>
    <w:rsid w:val="00737496"/>
    <w:rsid w:val="00740625"/>
    <w:rsid w:val="00744996"/>
    <w:rsid w:val="00750438"/>
    <w:rsid w:val="007522FE"/>
    <w:rsid w:val="0075234E"/>
    <w:rsid w:val="00752B88"/>
    <w:rsid w:val="00752EDF"/>
    <w:rsid w:val="007533F4"/>
    <w:rsid w:val="00755565"/>
    <w:rsid w:val="00755868"/>
    <w:rsid w:val="00756918"/>
    <w:rsid w:val="00756A8F"/>
    <w:rsid w:val="007570C0"/>
    <w:rsid w:val="00760F9A"/>
    <w:rsid w:val="00761D46"/>
    <w:rsid w:val="007623F9"/>
    <w:rsid w:val="00766162"/>
    <w:rsid w:val="00767E7D"/>
    <w:rsid w:val="00771A5C"/>
    <w:rsid w:val="007721C4"/>
    <w:rsid w:val="007740F4"/>
    <w:rsid w:val="00774B43"/>
    <w:rsid w:val="00775299"/>
    <w:rsid w:val="00775766"/>
    <w:rsid w:val="00776148"/>
    <w:rsid w:val="00776A7D"/>
    <w:rsid w:val="0078096C"/>
    <w:rsid w:val="00780F0E"/>
    <w:rsid w:val="007814CA"/>
    <w:rsid w:val="007814EC"/>
    <w:rsid w:val="007816B5"/>
    <w:rsid w:val="00782E30"/>
    <w:rsid w:val="00785385"/>
    <w:rsid w:val="00786EE8"/>
    <w:rsid w:val="00787405"/>
    <w:rsid w:val="00791183"/>
    <w:rsid w:val="007944A3"/>
    <w:rsid w:val="0079556B"/>
    <w:rsid w:val="007966F4"/>
    <w:rsid w:val="0079678F"/>
    <w:rsid w:val="0079710B"/>
    <w:rsid w:val="0079724A"/>
    <w:rsid w:val="007A0F34"/>
    <w:rsid w:val="007A17B4"/>
    <w:rsid w:val="007A19DC"/>
    <w:rsid w:val="007A2D14"/>
    <w:rsid w:val="007A2F1A"/>
    <w:rsid w:val="007A33CE"/>
    <w:rsid w:val="007A5A9D"/>
    <w:rsid w:val="007A5E9A"/>
    <w:rsid w:val="007A613C"/>
    <w:rsid w:val="007A61A4"/>
    <w:rsid w:val="007A63F1"/>
    <w:rsid w:val="007B0211"/>
    <w:rsid w:val="007B0F5D"/>
    <w:rsid w:val="007B14B2"/>
    <w:rsid w:val="007B779C"/>
    <w:rsid w:val="007B7A99"/>
    <w:rsid w:val="007C0BB5"/>
    <w:rsid w:val="007C2D66"/>
    <w:rsid w:val="007C3145"/>
    <w:rsid w:val="007C3F12"/>
    <w:rsid w:val="007C3F40"/>
    <w:rsid w:val="007C45D5"/>
    <w:rsid w:val="007C5434"/>
    <w:rsid w:val="007C73DB"/>
    <w:rsid w:val="007D3126"/>
    <w:rsid w:val="007D441B"/>
    <w:rsid w:val="007D4AD2"/>
    <w:rsid w:val="007D4D17"/>
    <w:rsid w:val="007D55F8"/>
    <w:rsid w:val="007E3012"/>
    <w:rsid w:val="007E3E7F"/>
    <w:rsid w:val="007E6750"/>
    <w:rsid w:val="007E7F64"/>
    <w:rsid w:val="007F2C92"/>
    <w:rsid w:val="007F2C93"/>
    <w:rsid w:val="007F2D5C"/>
    <w:rsid w:val="007F347B"/>
    <w:rsid w:val="007F3C3F"/>
    <w:rsid w:val="007F3FD1"/>
    <w:rsid w:val="007F4C8C"/>
    <w:rsid w:val="00801105"/>
    <w:rsid w:val="0080188B"/>
    <w:rsid w:val="00802FC0"/>
    <w:rsid w:val="00805EB2"/>
    <w:rsid w:val="00806045"/>
    <w:rsid w:val="00806D54"/>
    <w:rsid w:val="00807CC9"/>
    <w:rsid w:val="00810B13"/>
    <w:rsid w:val="00811E4F"/>
    <w:rsid w:val="00812557"/>
    <w:rsid w:val="00813FCC"/>
    <w:rsid w:val="00814525"/>
    <w:rsid w:val="0081566E"/>
    <w:rsid w:val="00816907"/>
    <w:rsid w:val="008202EB"/>
    <w:rsid w:val="00820899"/>
    <w:rsid w:val="00820C4A"/>
    <w:rsid w:val="00821186"/>
    <w:rsid w:val="008215AD"/>
    <w:rsid w:val="00822722"/>
    <w:rsid w:val="008229AD"/>
    <w:rsid w:val="00823FCF"/>
    <w:rsid w:val="00825DAE"/>
    <w:rsid w:val="00827F88"/>
    <w:rsid w:val="00834621"/>
    <w:rsid w:val="00834E8C"/>
    <w:rsid w:val="00835E60"/>
    <w:rsid w:val="00837BDF"/>
    <w:rsid w:val="008418B0"/>
    <w:rsid w:val="00841CF1"/>
    <w:rsid w:val="00842DAD"/>
    <w:rsid w:val="00842E17"/>
    <w:rsid w:val="00842FE6"/>
    <w:rsid w:val="00843452"/>
    <w:rsid w:val="008440BB"/>
    <w:rsid w:val="0084413A"/>
    <w:rsid w:val="00845A85"/>
    <w:rsid w:val="008463BD"/>
    <w:rsid w:val="0084662E"/>
    <w:rsid w:val="008477FE"/>
    <w:rsid w:val="00851B87"/>
    <w:rsid w:val="00851BC2"/>
    <w:rsid w:val="00855206"/>
    <w:rsid w:val="00861B46"/>
    <w:rsid w:val="00863BC7"/>
    <w:rsid w:val="00864109"/>
    <w:rsid w:val="008644E0"/>
    <w:rsid w:val="00865BC0"/>
    <w:rsid w:val="0086749A"/>
    <w:rsid w:val="00867A16"/>
    <w:rsid w:val="0087031D"/>
    <w:rsid w:val="00872792"/>
    <w:rsid w:val="00873501"/>
    <w:rsid w:val="00873C1C"/>
    <w:rsid w:val="00873F87"/>
    <w:rsid w:val="00874140"/>
    <w:rsid w:val="00874C36"/>
    <w:rsid w:val="00875FEB"/>
    <w:rsid w:val="00876EC0"/>
    <w:rsid w:val="00880730"/>
    <w:rsid w:val="008819CE"/>
    <w:rsid w:val="008828D0"/>
    <w:rsid w:val="00884637"/>
    <w:rsid w:val="00884847"/>
    <w:rsid w:val="00884BF2"/>
    <w:rsid w:val="00887710"/>
    <w:rsid w:val="008923F3"/>
    <w:rsid w:val="008940F1"/>
    <w:rsid w:val="00895CF7"/>
    <w:rsid w:val="008A1B80"/>
    <w:rsid w:val="008A3E79"/>
    <w:rsid w:val="008A48D7"/>
    <w:rsid w:val="008A5264"/>
    <w:rsid w:val="008A53DF"/>
    <w:rsid w:val="008A5426"/>
    <w:rsid w:val="008A6183"/>
    <w:rsid w:val="008A6391"/>
    <w:rsid w:val="008A7005"/>
    <w:rsid w:val="008B02A3"/>
    <w:rsid w:val="008B0AD6"/>
    <w:rsid w:val="008B1BA8"/>
    <w:rsid w:val="008B1F16"/>
    <w:rsid w:val="008B27D8"/>
    <w:rsid w:val="008B2FC2"/>
    <w:rsid w:val="008B44A1"/>
    <w:rsid w:val="008B6729"/>
    <w:rsid w:val="008C0B93"/>
    <w:rsid w:val="008C1A73"/>
    <w:rsid w:val="008C2233"/>
    <w:rsid w:val="008C23C7"/>
    <w:rsid w:val="008C4AEF"/>
    <w:rsid w:val="008C5544"/>
    <w:rsid w:val="008C5FC1"/>
    <w:rsid w:val="008C6666"/>
    <w:rsid w:val="008D0622"/>
    <w:rsid w:val="008D0775"/>
    <w:rsid w:val="008D0D5A"/>
    <w:rsid w:val="008D10D0"/>
    <w:rsid w:val="008D113C"/>
    <w:rsid w:val="008D132E"/>
    <w:rsid w:val="008D154A"/>
    <w:rsid w:val="008D1A8F"/>
    <w:rsid w:val="008D376F"/>
    <w:rsid w:val="008D38F5"/>
    <w:rsid w:val="008D5022"/>
    <w:rsid w:val="008D5351"/>
    <w:rsid w:val="008D5426"/>
    <w:rsid w:val="008D69AA"/>
    <w:rsid w:val="008D7613"/>
    <w:rsid w:val="008E03D3"/>
    <w:rsid w:val="008E04EB"/>
    <w:rsid w:val="008E0810"/>
    <w:rsid w:val="008E2322"/>
    <w:rsid w:val="008E2A19"/>
    <w:rsid w:val="008E2B3D"/>
    <w:rsid w:val="008E38DB"/>
    <w:rsid w:val="008E461D"/>
    <w:rsid w:val="008E7D0E"/>
    <w:rsid w:val="008F1790"/>
    <w:rsid w:val="008F2D92"/>
    <w:rsid w:val="008F30BD"/>
    <w:rsid w:val="008F44F1"/>
    <w:rsid w:val="008F4894"/>
    <w:rsid w:val="008F5034"/>
    <w:rsid w:val="008F7666"/>
    <w:rsid w:val="0090169E"/>
    <w:rsid w:val="009031B6"/>
    <w:rsid w:val="00903410"/>
    <w:rsid w:val="009038A7"/>
    <w:rsid w:val="009045D3"/>
    <w:rsid w:val="00904A04"/>
    <w:rsid w:val="009055F3"/>
    <w:rsid w:val="00905CAB"/>
    <w:rsid w:val="00906C35"/>
    <w:rsid w:val="00910BB7"/>
    <w:rsid w:val="00912C7C"/>
    <w:rsid w:val="0091478F"/>
    <w:rsid w:val="00914955"/>
    <w:rsid w:val="00915801"/>
    <w:rsid w:val="009175A8"/>
    <w:rsid w:val="009179BE"/>
    <w:rsid w:val="00917BB1"/>
    <w:rsid w:val="00917DCE"/>
    <w:rsid w:val="00920AFA"/>
    <w:rsid w:val="009215DE"/>
    <w:rsid w:val="00922D0C"/>
    <w:rsid w:val="00925596"/>
    <w:rsid w:val="009274A1"/>
    <w:rsid w:val="0093456D"/>
    <w:rsid w:val="0093462B"/>
    <w:rsid w:val="00934AD5"/>
    <w:rsid w:val="00934B59"/>
    <w:rsid w:val="0093578D"/>
    <w:rsid w:val="00936057"/>
    <w:rsid w:val="00936258"/>
    <w:rsid w:val="00937F58"/>
    <w:rsid w:val="00940C3A"/>
    <w:rsid w:val="00940DA4"/>
    <w:rsid w:val="00945F39"/>
    <w:rsid w:val="00946A43"/>
    <w:rsid w:val="00947516"/>
    <w:rsid w:val="00947925"/>
    <w:rsid w:val="00947C54"/>
    <w:rsid w:val="009501E5"/>
    <w:rsid w:val="009502DF"/>
    <w:rsid w:val="00954194"/>
    <w:rsid w:val="00957E2A"/>
    <w:rsid w:val="00957F08"/>
    <w:rsid w:val="0096038B"/>
    <w:rsid w:val="00960994"/>
    <w:rsid w:val="009620B9"/>
    <w:rsid w:val="00962394"/>
    <w:rsid w:val="00962943"/>
    <w:rsid w:val="00962E9F"/>
    <w:rsid w:val="00964CE3"/>
    <w:rsid w:val="00966104"/>
    <w:rsid w:val="0096745E"/>
    <w:rsid w:val="009704DC"/>
    <w:rsid w:val="009723BF"/>
    <w:rsid w:val="0097313C"/>
    <w:rsid w:val="009735BA"/>
    <w:rsid w:val="0097362C"/>
    <w:rsid w:val="00973746"/>
    <w:rsid w:val="00973772"/>
    <w:rsid w:val="00974B8F"/>
    <w:rsid w:val="00974EDD"/>
    <w:rsid w:val="00975D21"/>
    <w:rsid w:val="00976374"/>
    <w:rsid w:val="009766D4"/>
    <w:rsid w:val="00977697"/>
    <w:rsid w:val="00980531"/>
    <w:rsid w:val="0098067D"/>
    <w:rsid w:val="009841F6"/>
    <w:rsid w:val="00987E2E"/>
    <w:rsid w:val="009902DA"/>
    <w:rsid w:val="009964FC"/>
    <w:rsid w:val="00996AE7"/>
    <w:rsid w:val="009A0846"/>
    <w:rsid w:val="009A1621"/>
    <w:rsid w:val="009A240D"/>
    <w:rsid w:val="009A2B3D"/>
    <w:rsid w:val="009A3E90"/>
    <w:rsid w:val="009A6E23"/>
    <w:rsid w:val="009B21C4"/>
    <w:rsid w:val="009B4025"/>
    <w:rsid w:val="009B4069"/>
    <w:rsid w:val="009B43EE"/>
    <w:rsid w:val="009B4E90"/>
    <w:rsid w:val="009B5AD7"/>
    <w:rsid w:val="009C0504"/>
    <w:rsid w:val="009C53BC"/>
    <w:rsid w:val="009C57A3"/>
    <w:rsid w:val="009C5CA1"/>
    <w:rsid w:val="009D4A2C"/>
    <w:rsid w:val="009D4F4A"/>
    <w:rsid w:val="009E32E4"/>
    <w:rsid w:val="009E4E82"/>
    <w:rsid w:val="009E56A7"/>
    <w:rsid w:val="009E5AAF"/>
    <w:rsid w:val="009E6A7A"/>
    <w:rsid w:val="009E7257"/>
    <w:rsid w:val="009E773B"/>
    <w:rsid w:val="009F01E2"/>
    <w:rsid w:val="009F0D83"/>
    <w:rsid w:val="009F1898"/>
    <w:rsid w:val="009F1E17"/>
    <w:rsid w:val="009F2831"/>
    <w:rsid w:val="009F3E12"/>
    <w:rsid w:val="009F42DB"/>
    <w:rsid w:val="009F6EA2"/>
    <w:rsid w:val="00A0168C"/>
    <w:rsid w:val="00A03977"/>
    <w:rsid w:val="00A04D9B"/>
    <w:rsid w:val="00A0757A"/>
    <w:rsid w:val="00A1025B"/>
    <w:rsid w:val="00A1039C"/>
    <w:rsid w:val="00A10775"/>
    <w:rsid w:val="00A120DC"/>
    <w:rsid w:val="00A12E34"/>
    <w:rsid w:val="00A13B5E"/>
    <w:rsid w:val="00A13D31"/>
    <w:rsid w:val="00A14897"/>
    <w:rsid w:val="00A156C4"/>
    <w:rsid w:val="00A17486"/>
    <w:rsid w:val="00A17B5A"/>
    <w:rsid w:val="00A207F3"/>
    <w:rsid w:val="00A20EAD"/>
    <w:rsid w:val="00A2498B"/>
    <w:rsid w:val="00A256A0"/>
    <w:rsid w:val="00A262E4"/>
    <w:rsid w:val="00A2778B"/>
    <w:rsid w:val="00A27FC2"/>
    <w:rsid w:val="00A34586"/>
    <w:rsid w:val="00A35D74"/>
    <w:rsid w:val="00A36A7C"/>
    <w:rsid w:val="00A37265"/>
    <w:rsid w:val="00A37547"/>
    <w:rsid w:val="00A40461"/>
    <w:rsid w:val="00A40898"/>
    <w:rsid w:val="00A408D3"/>
    <w:rsid w:val="00A41106"/>
    <w:rsid w:val="00A426E7"/>
    <w:rsid w:val="00A4285B"/>
    <w:rsid w:val="00A42A4F"/>
    <w:rsid w:val="00A43CAD"/>
    <w:rsid w:val="00A4691F"/>
    <w:rsid w:val="00A4781F"/>
    <w:rsid w:val="00A5022F"/>
    <w:rsid w:val="00A50636"/>
    <w:rsid w:val="00A52A9F"/>
    <w:rsid w:val="00A56023"/>
    <w:rsid w:val="00A57050"/>
    <w:rsid w:val="00A57736"/>
    <w:rsid w:val="00A62C29"/>
    <w:rsid w:val="00A63675"/>
    <w:rsid w:val="00A63730"/>
    <w:rsid w:val="00A6443A"/>
    <w:rsid w:val="00A6455D"/>
    <w:rsid w:val="00A64E29"/>
    <w:rsid w:val="00A65780"/>
    <w:rsid w:val="00A66306"/>
    <w:rsid w:val="00A67954"/>
    <w:rsid w:val="00A67F2B"/>
    <w:rsid w:val="00A708A9"/>
    <w:rsid w:val="00A72CBA"/>
    <w:rsid w:val="00A75AC1"/>
    <w:rsid w:val="00A77B1A"/>
    <w:rsid w:val="00A77B50"/>
    <w:rsid w:val="00A806D3"/>
    <w:rsid w:val="00A855D5"/>
    <w:rsid w:val="00A869B4"/>
    <w:rsid w:val="00A90079"/>
    <w:rsid w:val="00A90E84"/>
    <w:rsid w:val="00A9123B"/>
    <w:rsid w:val="00A924BB"/>
    <w:rsid w:val="00A9349C"/>
    <w:rsid w:val="00A93916"/>
    <w:rsid w:val="00A94740"/>
    <w:rsid w:val="00A9511E"/>
    <w:rsid w:val="00A95C29"/>
    <w:rsid w:val="00A96311"/>
    <w:rsid w:val="00AA2E1B"/>
    <w:rsid w:val="00AA4564"/>
    <w:rsid w:val="00AA48C9"/>
    <w:rsid w:val="00AA53AB"/>
    <w:rsid w:val="00AB0CF3"/>
    <w:rsid w:val="00AB0EE9"/>
    <w:rsid w:val="00AB17CA"/>
    <w:rsid w:val="00AB247D"/>
    <w:rsid w:val="00AB2CFE"/>
    <w:rsid w:val="00AB31EB"/>
    <w:rsid w:val="00AB3736"/>
    <w:rsid w:val="00AB5AEE"/>
    <w:rsid w:val="00AB7043"/>
    <w:rsid w:val="00AB7ADA"/>
    <w:rsid w:val="00AC28A8"/>
    <w:rsid w:val="00AC4798"/>
    <w:rsid w:val="00AC651D"/>
    <w:rsid w:val="00AD2991"/>
    <w:rsid w:val="00AD3381"/>
    <w:rsid w:val="00AD3A45"/>
    <w:rsid w:val="00AD426C"/>
    <w:rsid w:val="00AD6AA9"/>
    <w:rsid w:val="00AD7858"/>
    <w:rsid w:val="00AE068C"/>
    <w:rsid w:val="00AE1248"/>
    <w:rsid w:val="00AE1B91"/>
    <w:rsid w:val="00AE43DF"/>
    <w:rsid w:val="00AE4C85"/>
    <w:rsid w:val="00AE6621"/>
    <w:rsid w:val="00AE7523"/>
    <w:rsid w:val="00AF158A"/>
    <w:rsid w:val="00AF1FA0"/>
    <w:rsid w:val="00AF321B"/>
    <w:rsid w:val="00AF4A9A"/>
    <w:rsid w:val="00AF4FA8"/>
    <w:rsid w:val="00AF772E"/>
    <w:rsid w:val="00AF7AFE"/>
    <w:rsid w:val="00B00F53"/>
    <w:rsid w:val="00B01331"/>
    <w:rsid w:val="00B018D1"/>
    <w:rsid w:val="00B03BF0"/>
    <w:rsid w:val="00B03C5D"/>
    <w:rsid w:val="00B046FC"/>
    <w:rsid w:val="00B05DD9"/>
    <w:rsid w:val="00B07411"/>
    <w:rsid w:val="00B07730"/>
    <w:rsid w:val="00B106FA"/>
    <w:rsid w:val="00B11991"/>
    <w:rsid w:val="00B1300B"/>
    <w:rsid w:val="00B14623"/>
    <w:rsid w:val="00B14A1D"/>
    <w:rsid w:val="00B1560D"/>
    <w:rsid w:val="00B16D73"/>
    <w:rsid w:val="00B17D08"/>
    <w:rsid w:val="00B20273"/>
    <w:rsid w:val="00B21A9C"/>
    <w:rsid w:val="00B236D1"/>
    <w:rsid w:val="00B24540"/>
    <w:rsid w:val="00B25707"/>
    <w:rsid w:val="00B25E7C"/>
    <w:rsid w:val="00B26B28"/>
    <w:rsid w:val="00B26D1F"/>
    <w:rsid w:val="00B30B81"/>
    <w:rsid w:val="00B30FEB"/>
    <w:rsid w:val="00B312E0"/>
    <w:rsid w:val="00B32305"/>
    <w:rsid w:val="00B3389C"/>
    <w:rsid w:val="00B33AA1"/>
    <w:rsid w:val="00B352D2"/>
    <w:rsid w:val="00B368BE"/>
    <w:rsid w:val="00B371C6"/>
    <w:rsid w:val="00B37635"/>
    <w:rsid w:val="00B376E9"/>
    <w:rsid w:val="00B401EA"/>
    <w:rsid w:val="00B40AF7"/>
    <w:rsid w:val="00B41264"/>
    <w:rsid w:val="00B41DFB"/>
    <w:rsid w:val="00B42DD9"/>
    <w:rsid w:val="00B44AE6"/>
    <w:rsid w:val="00B44ED8"/>
    <w:rsid w:val="00B44F35"/>
    <w:rsid w:val="00B457B0"/>
    <w:rsid w:val="00B45A84"/>
    <w:rsid w:val="00B45F9A"/>
    <w:rsid w:val="00B46D7D"/>
    <w:rsid w:val="00B46E48"/>
    <w:rsid w:val="00B5345D"/>
    <w:rsid w:val="00B53E54"/>
    <w:rsid w:val="00B54CF4"/>
    <w:rsid w:val="00B55039"/>
    <w:rsid w:val="00B56030"/>
    <w:rsid w:val="00B5652D"/>
    <w:rsid w:val="00B57139"/>
    <w:rsid w:val="00B6043B"/>
    <w:rsid w:val="00B61E79"/>
    <w:rsid w:val="00B62000"/>
    <w:rsid w:val="00B62427"/>
    <w:rsid w:val="00B62CE7"/>
    <w:rsid w:val="00B6314D"/>
    <w:rsid w:val="00B633D2"/>
    <w:rsid w:val="00B63BF8"/>
    <w:rsid w:val="00B645B6"/>
    <w:rsid w:val="00B652BD"/>
    <w:rsid w:val="00B659B1"/>
    <w:rsid w:val="00B70A3C"/>
    <w:rsid w:val="00B70B2A"/>
    <w:rsid w:val="00B72D9D"/>
    <w:rsid w:val="00B72FCC"/>
    <w:rsid w:val="00B74465"/>
    <w:rsid w:val="00B75010"/>
    <w:rsid w:val="00B758D5"/>
    <w:rsid w:val="00B83071"/>
    <w:rsid w:val="00B84122"/>
    <w:rsid w:val="00B85639"/>
    <w:rsid w:val="00B86F42"/>
    <w:rsid w:val="00B92CE6"/>
    <w:rsid w:val="00B931CB"/>
    <w:rsid w:val="00B944EA"/>
    <w:rsid w:val="00B95637"/>
    <w:rsid w:val="00BA134C"/>
    <w:rsid w:val="00BA2749"/>
    <w:rsid w:val="00BA3B1B"/>
    <w:rsid w:val="00BA40E7"/>
    <w:rsid w:val="00BA61FA"/>
    <w:rsid w:val="00BA7C05"/>
    <w:rsid w:val="00BB0D6D"/>
    <w:rsid w:val="00BB1739"/>
    <w:rsid w:val="00BB2E28"/>
    <w:rsid w:val="00BB4B4B"/>
    <w:rsid w:val="00BB6C63"/>
    <w:rsid w:val="00BB7CA0"/>
    <w:rsid w:val="00BB7F8A"/>
    <w:rsid w:val="00BC0ECE"/>
    <w:rsid w:val="00BC2F9A"/>
    <w:rsid w:val="00BC4F07"/>
    <w:rsid w:val="00BD0CE2"/>
    <w:rsid w:val="00BD2150"/>
    <w:rsid w:val="00BD21B6"/>
    <w:rsid w:val="00BD2707"/>
    <w:rsid w:val="00BD479D"/>
    <w:rsid w:val="00BD500E"/>
    <w:rsid w:val="00BD5525"/>
    <w:rsid w:val="00BD56D4"/>
    <w:rsid w:val="00BD5B7E"/>
    <w:rsid w:val="00BD5DD3"/>
    <w:rsid w:val="00BD6C47"/>
    <w:rsid w:val="00BD7F80"/>
    <w:rsid w:val="00BE0899"/>
    <w:rsid w:val="00BE17E6"/>
    <w:rsid w:val="00BE234B"/>
    <w:rsid w:val="00BE2CD1"/>
    <w:rsid w:val="00BE60E1"/>
    <w:rsid w:val="00BE76A7"/>
    <w:rsid w:val="00BF1F26"/>
    <w:rsid w:val="00BF24B4"/>
    <w:rsid w:val="00BF2B3A"/>
    <w:rsid w:val="00BF4D7E"/>
    <w:rsid w:val="00BF63D5"/>
    <w:rsid w:val="00C00283"/>
    <w:rsid w:val="00C00721"/>
    <w:rsid w:val="00C0166E"/>
    <w:rsid w:val="00C05DB1"/>
    <w:rsid w:val="00C070C2"/>
    <w:rsid w:val="00C12A64"/>
    <w:rsid w:val="00C12BAF"/>
    <w:rsid w:val="00C144F0"/>
    <w:rsid w:val="00C14979"/>
    <w:rsid w:val="00C1563F"/>
    <w:rsid w:val="00C15E41"/>
    <w:rsid w:val="00C203FC"/>
    <w:rsid w:val="00C210BB"/>
    <w:rsid w:val="00C2202F"/>
    <w:rsid w:val="00C2250F"/>
    <w:rsid w:val="00C24CCF"/>
    <w:rsid w:val="00C24D58"/>
    <w:rsid w:val="00C252F0"/>
    <w:rsid w:val="00C26556"/>
    <w:rsid w:val="00C2732A"/>
    <w:rsid w:val="00C27F5A"/>
    <w:rsid w:val="00C302D3"/>
    <w:rsid w:val="00C30F9D"/>
    <w:rsid w:val="00C320CA"/>
    <w:rsid w:val="00C32B3D"/>
    <w:rsid w:val="00C32F5D"/>
    <w:rsid w:val="00C33DCE"/>
    <w:rsid w:val="00C35CF8"/>
    <w:rsid w:val="00C37404"/>
    <w:rsid w:val="00C3799A"/>
    <w:rsid w:val="00C37C32"/>
    <w:rsid w:val="00C41362"/>
    <w:rsid w:val="00C414CA"/>
    <w:rsid w:val="00C438FE"/>
    <w:rsid w:val="00C45369"/>
    <w:rsid w:val="00C46436"/>
    <w:rsid w:val="00C47ABD"/>
    <w:rsid w:val="00C503F7"/>
    <w:rsid w:val="00C5056A"/>
    <w:rsid w:val="00C50C18"/>
    <w:rsid w:val="00C52DAD"/>
    <w:rsid w:val="00C54713"/>
    <w:rsid w:val="00C55BBA"/>
    <w:rsid w:val="00C569B9"/>
    <w:rsid w:val="00C62E1A"/>
    <w:rsid w:val="00C63A3B"/>
    <w:rsid w:val="00C63AF5"/>
    <w:rsid w:val="00C64E7D"/>
    <w:rsid w:val="00C66349"/>
    <w:rsid w:val="00C66E8C"/>
    <w:rsid w:val="00C679B3"/>
    <w:rsid w:val="00C70F23"/>
    <w:rsid w:val="00C71168"/>
    <w:rsid w:val="00C75C75"/>
    <w:rsid w:val="00C76576"/>
    <w:rsid w:val="00C7689D"/>
    <w:rsid w:val="00C77E2F"/>
    <w:rsid w:val="00C77FC3"/>
    <w:rsid w:val="00C82ABC"/>
    <w:rsid w:val="00C83169"/>
    <w:rsid w:val="00C83EAF"/>
    <w:rsid w:val="00C843D1"/>
    <w:rsid w:val="00C844C4"/>
    <w:rsid w:val="00C84BFB"/>
    <w:rsid w:val="00C8766B"/>
    <w:rsid w:val="00C87CAF"/>
    <w:rsid w:val="00C9085D"/>
    <w:rsid w:val="00C91257"/>
    <w:rsid w:val="00C91A34"/>
    <w:rsid w:val="00C91B7C"/>
    <w:rsid w:val="00C91F4A"/>
    <w:rsid w:val="00C9627D"/>
    <w:rsid w:val="00C96930"/>
    <w:rsid w:val="00C972C1"/>
    <w:rsid w:val="00C97F6E"/>
    <w:rsid w:val="00CA29C2"/>
    <w:rsid w:val="00CA2F81"/>
    <w:rsid w:val="00CA3468"/>
    <w:rsid w:val="00CA3EA8"/>
    <w:rsid w:val="00CA40FD"/>
    <w:rsid w:val="00CA6236"/>
    <w:rsid w:val="00CB12A3"/>
    <w:rsid w:val="00CB1DD8"/>
    <w:rsid w:val="00CB2B55"/>
    <w:rsid w:val="00CB3659"/>
    <w:rsid w:val="00CB36A1"/>
    <w:rsid w:val="00CB6C8F"/>
    <w:rsid w:val="00CB7713"/>
    <w:rsid w:val="00CB7DE2"/>
    <w:rsid w:val="00CC0575"/>
    <w:rsid w:val="00CC218E"/>
    <w:rsid w:val="00CC2271"/>
    <w:rsid w:val="00CC430C"/>
    <w:rsid w:val="00CC5F3C"/>
    <w:rsid w:val="00CC747F"/>
    <w:rsid w:val="00CD0012"/>
    <w:rsid w:val="00CD0A6D"/>
    <w:rsid w:val="00CD1225"/>
    <w:rsid w:val="00CD1E9F"/>
    <w:rsid w:val="00CD3604"/>
    <w:rsid w:val="00CD3FDB"/>
    <w:rsid w:val="00CD44E2"/>
    <w:rsid w:val="00CD6473"/>
    <w:rsid w:val="00CD64BF"/>
    <w:rsid w:val="00CD6BA1"/>
    <w:rsid w:val="00CD6DE7"/>
    <w:rsid w:val="00CD7802"/>
    <w:rsid w:val="00CD7997"/>
    <w:rsid w:val="00CE04CD"/>
    <w:rsid w:val="00CE0A75"/>
    <w:rsid w:val="00CE2A4F"/>
    <w:rsid w:val="00CE2C2C"/>
    <w:rsid w:val="00CE2E1F"/>
    <w:rsid w:val="00CE2E70"/>
    <w:rsid w:val="00CE556B"/>
    <w:rsid w:val="00CE654E"/>
    <w:rsid w:val="00CE68AB"/>
    <w:rsid w:val="00CE78CD"/>
    <w:rsid w:val="00CF1FA6"/>
    <w:rsid w:val="00CF59DF"/>
    <w:rsid w:val="00CF5AE7"/>
    <w:rsid w:val="00CF5F1C"/>
    <w:rsid w:val="00CF6069"/>
    <w:rsid w:val="00CF7EFB"/>
    <w:rsid w:val="00CF7F3B"/>
    <w:rsid w:val="00D037D0"/>
    <w:rsid w:val="00D048D7"/>
    <w:rsid w:val="00D105C4"/>
    <w:rsid w:val="00D1143A"/>
    <w:rsid w:val="00D11DE8"/>
    <w:rsid w:val="00D1226C"/>
    <w:rsid w:val="00D13F02"/>
    <w:rsid w:val="00D15EFE"/>
    <w:rsid w:val="00D1603F"/>
    <w:rsid w:val="00D22D91"/>
    <w:rsid w:val="00D25E51"/>
    <w:rsid w:val="00D276C7"/>
    <w:rsid w:val="00D31990"/>
    <w:rsid w:val="00D31B65"/>
    <w:rsid w:val="00D33359"/>
    <w:rsid w:val="00D3372D"/>
    <w:rsid w:val="00D35448"/>
    <w:rsid w:val="00D36BD1"/>
    <w:rsid w:val="00D41FD5"/>
    <w:rsid w:val="00D424EA"/>
    <w:rsid w:val="00D42775"/>
    <w:rsid w:val="00D45910"/>
    <w:rsid w:val="00D4778E"/>
    <w:rsid w:val="00D4796C"/>
    <w:rsid w:val="00D47F07"/>
    <w:rsid w:val="00D5176F"/>
    <w:rsid w:val="00D54BAF"/>
    <w:rsid w:val="00D55CCE"/>
    <w:rsid w:val="00D560F7"/>
    <w:rsid w:val="00D57827"/>
    <w:rsid w:val="00D6036D"/>
    <w:rsid w:val="00D608EC"/>
    <w:rsid w:val="00D60C41"/>
    <w:rsid w:val="00D61975"/>
    <w:rsid w:val="00D62D15"/>
    <w:rsid w:val="00D62D16"/>
    <w:rsid w:val="00D64004"/>
    <w:rsid w:val="00D647E5"/>
    <w:rsid w:val="00D64AA9"/>
    <w:rsid w:val="00D65CEC"/>
    <w:rsid w:val="00D6603E"/>
    <w:rsid w:val="00D661AD"/>
    <w:rsid w:val="00D668EE"/>
    <w:rsid w:val="00D6699D"/>
    <w:rsid w:val="00D67624"/>
    <w:rsid w:val="00D71424"/>
    <w:rsid w:val="00D71B34"/>
    <w:rsid w:val="00D724E3"/>
    <w:rsid w:val="00D72EFF"/>
    <w:rsid w:val="00D73CE7"/>
    <w:rsid w:val="00D744DB"/>
    <w:rsid w:val="00D74C0D"/>
    <w:rsid w:val="00D75B9A"/>
    <w:rsid w:val="00D804A9"/>
    <w:rsid w:val="00D81E24"/>
    <w:rsid w:val="00D828F8"/>
    <w:rsid w:val="00D82E8D"/>
    <w:rsid w:val="00D82E97"/>
    <w:rsid w:val="00D82F41"/>
    <w:rsid w:val="00D837E0"/>
    <w:rsid w:val="00D838EE"/>
    <w:rsid w:val="00D84388"/>
    <w:rsid w:val="00D84A59"/>
    <w:rsid w:val="00D85A64"/>
    <w:rsid w:val="00D87A78"/>
    <w:rsid w:val="00D87CFB"/>
    <w:rsid w:val="00D914FB"/>
    <w:rsid w:val="00D91BC1"/>
    <w:rsid w:val="00D91EA9"/>
    <w:rsid w:val="00D93E5F"/>
    <w:rsid w:val="00D9419D"/>
    <w:rsid w:val="00D9495C"/>
    <w:rsid w:val="00D949F8"/>
    <w:rsid w:val="00D975ED"/>
    <w:rsid w:val="00DA05CD"/>
    <w:rsid w:val="00DA21E9"/>
    <w:rsid w:val="00DA3306"/>
    <w:rsid w:val="00DA79C5"/>
    <w:rsid w:val="00DA7C33"/>
    <w:rsid w:val="00DB161C"/>
    <w:rsid w:val="00DB27F2"/>
    <w:rsid w:val="00DB3249"/>
    <w:rsid w:val="00DB3955"/>
    <w:rsid w:val="00DB4E85"/>
    <w:rsid w:val="00DB568F"/>
    <w:rsid w:val="00DB58A8"/>
    <w:rsid w:val="00DB614A"/>
    <w:rsid w:val="00DB763B"/>
    <w:rsid w:val="00DC1FC5"/>
    <w:rsid w:val="00DC2715"/>
    <w:rsid w:val="00DC4F95"/>
    <w:rsid w:val="00DC5501"/>
    <w:rsid w:val="00DC68E9"/>
    <w:rsid w:val="00DC6D32"/>
    <w:rsid w:val="00DC7601"/>
    <w:rsid w:val="00DC7715"/>
    <w:rsid w:val="00DD044C"/>
    <w:rsid w:val="00DD16BD"/>
    <w:rsid w:val="00DD1AD9"/>
    <w:rsid w:val="00DD2026"/>
    <w:rsid w:val="00DD2C91"/>
    <w:rsid w:val="00DD31FE"/>
    <w:rsid w:val="00DD50B5"/>
    <w:rsid w:val="00DD58B4"/>
    <w:rsid w:val="00DD6245"/>
    <w:rsid w:val="00DE0A9D"/>
    <w:rsid w:val="00DE2692"/>
    <w:rsid w:val="00DE49E0"/>
    <w:rsid w:val="00DE5018"/>
    <w:rsid w:val="00DE5817"/>
    <w:rsid w:val="00DE58C2"/>
    <w:rsid w:val="00DE7175"/>
    <w:rsid w:val="00DF5953"/>
    <w:rsid w:val="00E0293F"/>
    <w:rsid w:val="00E0462B"/>
    <w:rsid w:val="00E07824"/>
    <w:rsid w:val="00E1296C"/>
    <w:rsid w:val="00E13378"/>
    <w:rsid w:val="00E14365"/>
    <w:rsid w:val="00E143DE"/>
    <w:rsid w:val="00E14479"/>
    <w:rsid w:val="00E14D63"/>
    <w:rsid w:val="00E21C8E"/>
    <w:rsid w:val="00E22C24"/>
    <w:rsid w:val="00E22F34"/>
    <w:rsid w:val="00E23C51"/>
    <w:rsid w:val="00E245AC"/>
    <w:rsid w:val="00E253BE"/>
    <w:rsid w:val="00E26132"/>
    <w:rsid w:val="00E26A33"/>
    <w:rsid w:val="00E300F2"/>
    <w:rsid w:val="00E30745"/>
    <w:rsid w:val="00E32B12"/>
    <w:rsid w:val="00E34F49"/>
    <w:rsid w:val="00E35913"/>
    <w:rsid w:val="00E35D7B"/>
    <w:rsid w:val="00E39EE8"/>
    <w:rsid w:val="00E40C49"/>
    <w:rsid w:val="00E427C5"/>
    <w:rsid w:val="00E52E03"/>
    <w:rsid w:val="00E533DC"/>
    <w:rsid w:val="00E549CB"/>
    <w:rsid w:val="00E55D62"/>
    <w:rsid w:val="00E62357"/>
    <w:rsid w:val="00E62524"/>
    <w:rsid w:val="00E64420"/>
    <w:rsid w:val="00E64E52"/>
    <w:rsid w:val="00E65BEC"/>
    <w:rsid w:val="00E65D4F"/>
    <w:rsid w:val="00E65F89"/>
    <w:rsid w:val="00E67C75"/>
    <w:rsid w:val="00E7066A"/>
    <w:rsid w:val="00E7137D"/>
    <w:rsid w:val="00E71B50"/>
    <w:rsid w:val="00E73C1A"/>
    <w:rsid w:val="00E74E08"/>
    <w:rsid w:val="00E7559A"/>
    <w:rsid w:val="00E755DA"/>
    <w:rsid w:val="00E75FFF"/>
    <w:rsid w:val="00E7799A"/>
    <w:rsid w:val="00E8094F"/>
    <w:rsid w:val="00E8154C"/>
    <w:rsid w:val="00E81D97"/>
    <w:rsid w:val="00E81E0C"/>
    <w:rsid w:val="00E84968"/>
    <w:rsid w:val="00E868DA"/>
    <w:rsid w:val="00E87A40"/>
    <w:rsid w:val="00E943FF"/>
    <w:rsid w:val="00E973BC"/>
    <w:rsid w:val="00EA297B"/>
    <w:rsid w:val="00EA2C2F"/>
    <w:rsid w:val="00EA667D"/>
    <w:rsid w:val="00EB00B3"/>
    <w:rsid w:val="00EB1F29"/>
    <w:rsid w:val="00EB29C3"/>
    <w:rsid w:val="00EB2DAE"/>
    <w:rsid w:val="00EB4009"/>
    <w:rsid w:val="00EB4ECA"/>
    <w:rsid w:val="00EB5692"/>
    <w:rsid w:val="00EB6292"/>
    <w:rsid w:val="00EC1ED2"/>
    <w:rsid w:val="00EC34AC"/>
    <w:rsid w:val="00EC399D"/>
    <w:rsid w:val="00EC43F4"/>
    <w:rsid w:val="00EC4447"/>
    <w:rsid w:val="00EC6A73"/>
    <w:rsid w:val="00EC716E"/>
    <w:rsid w:val="00ED07ED"/>
    <w:rsid w:val="00ED0D56"/>
    <w:rsid w:val="00ED0DCF"/>
    <w:rsid w:val="00ED2E54"/>
    <w:rsid w:val="00ED3EE7"/>
    <w:rsid w:val="00ED4ED5"/>
    <w:rsid w:val="00ED58D9"/>
    <w:rsid w:val="00ED5A75"/>
    <w:rsid w:val="00ED6971"/>
    <w:rsid w:val="00ED6ACC"/>
    <w:rsid w:val="00ED728D"/>
    <w:rsid w:val="00EE1C58"/>
    <w:rsid w:val="00EE318D"/>
    <w:rsid w:val="00EE3674"/>
    <w:rsid w:val="00EE48D5"/>
    <w:rsid w:val="00EE4BCD"/>
    <w:rsid w:val="00EE559A"/>
    <w:rsid w:val="00EE5BCA"/>
    <w:rsid w:val="00EE6EDB"/>
    <w:rsid w:val="00EE713E"/>
    <w:rsid w:val="00EF0BAC"/>
    <w:rsid w:val="00EF1654"/>
    <w:rsid w:val="00EF1D83"/>
    <w:rsid w:val="00EF3EB9"/>
    <w:rsid w:val="00EF4926"/>
    <w:rsid w:val="00F00FFD"/>
    <w:rsid w:val="00F010CC"/>
    <w:rsid w:val="00F037D6"/>
    <w:rsid w:val="00F039C7"/>
    <w:rsid w:val="00F05B55"/>
    <w:rsid w:val="00F05E45"/>
    <w:rsid w:val="00F07048"/>
    <w:rsid w:val="00F07596"/>
    <w:rsid w:val="00F07F3D"/>
    <w:rsid w:val="00F10C50"/>
    <w:rsid w:val="00F12E15"/>
    <w:rsid w:val="00F13E4E"/>
    <w:rsid w:val="00F155FA"/>
    <w:rsid w:val="00F15A66"/>
    <w:rsid w:val="00F15A74"/>
    <w:rsid w:val="00F16B7C"/>
    <w:rsid w:val="00F16ECB"/>
    <w:rsid w:val="00F16FF5"/>
    <w:rsid w:val="00F20653"/>
    <w:rsid w:val="00F22033"/>
    <w:rsid w:val="00F22F53"/>
    <w:rsid w:val="00F303AF"/>
    <w:rsid w:val="00F30491"/>
    <w:rsid w:val="00F30BAF"/>
    <w:rsid w:val="00F32130"/>
    <w:rsid w:val="00F326DA"/>
    <w:rsid w:val="00F32C71"/>
    <w:rsid w:val="00F35495"/>
    <w:rsid w:val="00F35C73"/>
    <w:rsid w:val="00F36C22"/>
    <w:rsid w:val="00F37741"/>
    <w:rsid w:val="00F40E24"/>
    <w:rsid w:val="00F417D5"/>
    <w:rsid w:val="00F41A0D"/>
    <w:rsid w:val="00F41D1E"/>
    <w:rsid w:val="00F421DD"/>
    <w:rsid w:val="00F455B9"/>
    <w:rsid w:val="00F46858"/>
    <w:rsid w:val="00F47537"/>
    <w:rsid w:val="00F5013E"/>
    <w:rsid w:val="00F51971"/>
    <w:rsid w:val="00F53E7A"/>
    <w:rsid w:val="00F57917"/>
    <w:rsid w:val="00F60DD8"/>
    <w:rsid w:val="00F60DFD"/>
    <w:rsid w:val="00F61D9E"/>
    <w:rsid w:val="00F62A2D"/>
    <w:rsid w:val="00F64386"/>
    <w:rsid w:val="00F646A8"/>
    <w:rsid w:val="00F66A4E"/>
    <w:rsid w:val="00F66A8D"/>
    <w:rsid w:val="00F718E5"/>
    <w:rsid w:val="00F72274"/>
    <w:rsid w:val="00F72336"/>
    <w:rsid w:val="00F73156"/>
    <w:rsid w:val="00F811C6"/>
    <w:rsid w:val="00F821FE"/>
    <w:rsid w:val="00F830DD"/>
    <w:rsid w:val="00F83330"/>
    <w:rsid w:val="00F86E09"/>
    <w:rsid w:val="00F872AB"/>
    <w:rsid w:val="00F8761F"/>
    <w:rsid w:val="00F904E1"/>
    <w:rsid w:val="00F9091B"/>
    <w:rsid w:val="00F93202"/>
    <w:rsid w:val="00F946E9"/>
    <w:rsid w:val="00F94722"/>
    <w:rsid w:val="00F9705B"/>
    <w:rsid w:val="00FA0C54"/>
    <w:rsid w:val="00FA1339"/>
    <w:rsid w:val="00FA1F68"/>
    <w:rsid w:val="00FA2C1E"/>
    <w:rsid w:val="00FA2C4F"/>
    <w:rsid w:val="00FA460F"/>
    <w:rsid w:val="00FA47D2"/>
    <w:rsid w:val="00FA4B71"/>
    <w:rsid w:val="00FA4C8A"/>
    <w:rsid w:val="00FA4FEE"/>
    <w:rsid w:val="00FA5A85"/>
    <w:rsid w:val="00FA6ACE"/>
    <w:rsid w:val="00FB092A"/>
    <w:rsid w:val="00FB0970"/>
    <w:rsid w:val="00FB1221"/>
    <w:rsid w:val="00FB6E64"/>
    <w:rsid w:val="00FC14B6"/>
    <w:rsid w:val="00FC3499"/>
    <w:rsid w:val="00FC43E0"/>
    <w:rsid w:val="00FC50CF"/>
    <w:rsid w:val="00FC6812"/>
    <w:rsid w:val="00FC6F4D"/>
    <w:rsid w:val="00FD00B8"/>
    <w:rsid w:val="00FD13E8"/>
    <w:rsid w:val="00FD2516"/>
    <w:rsid w:val="00FD447E"/>
    <w:rsid w:val="00FD502B"/>
    <w:rsid w:val="00FD5088"/>
    <w:rsid w:val="00FD5BCC"/>
    <w:rsid w:val="00FD6D46"/>
    <w:rsid w:val="00FE0DF5"/>
    <w:rsid w:val="00FE27B6"/>
    <w:rsid w:val="00FE44E5"/>
    <w:rsid w:val="00FE5112"/>
    <w:rsid w:val="00FE64AE"/>
    <w:rsid w:val="00FE71BA"/>
    <w:rsid w:val="00FE7515"/>
    <w:rsid w:val="00FF14D5"/>
    <w:rsid w:val="00FF1577"/>
    <w:rsid w:val="00FF1AEB"/>
    <w:rsid w:val="00FF2EBD"/>
    <w:rsid w:val="00FF3136"/>
    <w:rsid w:val="00FF4346"/>
    <w:rsid w:val="00FF4DE4"/>
    <w:rsid w:val="00FF5D5A"/>
    <w:rsid w:val="00FF669F"/>
    <w:rsid w:val="056C699D"/>
    <w:rsid w:val="0C102115"/>
    <w:rsid w:val="0E5FE64A"/>
    <w:rsid w:val="12549B89"/>
    <w:rsid w:val="1829289E"/>
    <w:rsid w:val="19A404F4"/>
    <w:rsid w:val="1B2E7685"/>
    <w:rsid w:val="1BD4FC1D"/>
    <w:rsid w:val="1C9498A5"/>
    <w:rsid w:val="1DDC25F5"/>
    <w:rsid w:val="1EE2E004"/>
    <w:rsid w:val="21B036EC"/>
    <w:rsid w:val="2241698D"/>
    <w:rsid w:val="23302FFB"/>
    <w:rsid w:val="23873E2F"/>
    <w:rsid w:val="2B2531E7"/>
    <w:rsid w:val="2C4A32D2"/>
    <w:rsid w:val="2E075897"/>
    <w:rsid w:val="2E5D4855"/>
    <w:rsid w:val="31F53045"/>
    <w:rsid w:val="348C673F"/>
    <w:rsid w:val="376FDEB7"/>
    <w:rsid w:val="39C4F06B"/>
    <w:rsid w:val="3DEE822C"/>
    <w:rsid w:val="404B139F"/>
    <w:rsid w:val="428FA079"/>
    <w:rsid w:val="434F051C"/>
    <w:rsid w:val="445CBF73"/>
    <w:rsid w:val="46AF1DC5"/>
    <w:rsid w:val="4A7558B7"/>
    <w:rsid w:val="501CD4E3"/>
    <w:rsid w:val="54A42C30"/>
    <w:rsid w:val="559421B1"/>
    <w:rsid w:val="55AE29C2"/>
    <w:rsid w:val="59A7B0A0"/>
    <w:rsid w:val="5C482899"/>
    <w:rsid w:val="5E18DF04"/>
    <w:rsid w:val="5E84BA64"/>
    <w:rsid w:val="5F0E9F6F"/>
    <w:rsid w:val="64AFC735"/>
    <w:rsid w:val="65F27E38"/>
    <w:rsid w:val="6B301121"/>
    <w:rsid w:val="6C3B5874"/>
    <w:rsid w:val="6DB151FE"/>
    <w:rsid w:val="7336685A"/>
    <w:rsid w:val="7A844617"/>
    <w:rsid w:val="7B00B566"/>
    <w:rsid w:val="7B64CFD1"/>
    <w:rsid w:val="7CC8DFA4"/>
    <w:rsid w:val="7F8D96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4A8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5AC"/>
    <w:pPr>
      <w:spacing w:after="240" w:line="360" w:lineRule="auto"/>
    </w:pPr>
    <w:rPr>
      <w:rFonts w:eastAsiaTheme="minorEastAsia"/>
    </w:rPr>
  </w:style>
  <w:style w:type="paragraph" w:styleId="Heading1">
    <w:name w:val="heading 1"/>
    <w:basedOn w:val="Normal"/>
    <w:next w:val="Normal"/>
    <w:link w:val="Heading1Char"/>
    <w:uiPriority w:val="9"/>
    <w:qFormat/>
    <w:rsid w:val="00E245AC"/>
    <w:pPr>
      <w:keepNext/>
      <w:keepLines/>
      <w:spacing w:line="276"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E245AC"/>
    <w:pPr>
      <w:keepNext/>
      <w:keepLines/>
      <w:spacing w:line="276" w:lineRule="auto"/>
      <w:outlineLvl w:val="1"/>
    </w:pPr>
    <w:rPr>
      <w:rFonts w:ascii="Arial" w:eastAsiaTheme="majorEastAsia" w:hAnsi="Arial" w:cstheme="majorBidi"/>
      <w:b/>
      <w:color w:val="016574" w:themeColor="accent2"/>
      <w:sz w:val="32"/>
      <w:szCs w:val="26"/>
    </w:rPr>
  </w:style>
  <w:style w:type="paragraph" w:styleId="Heading3">
    <w:name w:val="heading 3"/>
    <w:basedOn w:val="Normal"/>
    <w:next w:val="Normal"/>
    <w:link w:val="Heading3Char"/>
    <w:uiPriority w:val="9"/>
    <w:unhideWhenUsed/>
    <w:qFormat/>
    <w:rsid w:val="00F417D5"/>
    <w:pPr>
      <w:keepNext/>
      <w:keepLines/>
      <w:spacing w:line="276" w:lineRule="auto"/>
      <w:outlineLvl w:val="2"/>
    </w:pPr>
    <w:rPr>
      <w:rFonts w:ascii="Arial" w:eastAsiaTheme="majorEastAsia" w:hAnsi="Arial" w:cstheme="majorBidi"/>
      <w:b/>
      <w:sz w:val="28"/>
    </w:rPr>
  </w:style>
  <w:style w:type="paragraph" w:styleId="Heading4">
    <w:name w:val="heading 4"/>
    <w:basedOn w:val="Normal"/>
    <w:next w:val="Normal"/>
    <w:link w:val="Heading4Char"/>
    <w:uiPriority w:val="9"/>
    <w:unhideWhenUsed/>
    <w:qFormat/>
    <w:rsid w:val="00F417D5"/>
    <w:pPr>
      <w:keepNext/>
      <w:keepLines/>
      <w:spacing w:line="276" w:lineRule="auto"/>
      <w:outlineLvl w:val="3"/>
    </w:pPr>
    <w:rPr>
      <w:rFonts w:ascii="Arial" w:eastAsiaTheme="majorEastAsia" w:hAnsi="Arial"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E245AC"/>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E245AC"/>
    <w:rPr>
      <w:rFonts w:ascii="Arial" w:eastAsiaTheme="majorEastAsia" w:hAnsi="Arial" w:cstheme="majorBidi"/>
      <w:b/>
      <w:color w:val="016574" w:themeColor="accent2"/>
      <w:sz w:val="32"/>
      <w:szCs w:val="26"/>
    </w:rPr>
  </w:style>
  <w:style w:type="character" w:customStyle="1" w:styleId="Heading3Char">
    <w:name w:val="Heading 3 Char"/>
    <w:basedOn w:val="DefaultParagraphFont"/>
    <w:link w:val="Heading3"/>
    <w:uiPriority w:val="9"/>
    <w:rsid w:val="00F417D5"/>
    <w:rPr>
      <w:rFonts w:ascii="Arial" w:eastAsiaTheme="majorEastAsia" w:hAnsi="Arial" w:cstheme="majorBidi"/>
      <w:b/>
      <w:sz w:val="28"/>
    </w:rPr>
  </w:style>
  <w:style w:type="character" w:customStyle="1" w:styleId="Heading4Char">
    <w:name w:val="Heading 4 Char"/>
    <w:basedOn w:val="DefaultParagraphFont"/>
    <w:link w:val="Heading4"/>
    <w:uiPriority w:val="9"/>
    <w:rsid w:val="00F417D5"/>
    <w:rPr>
      <w:rFonts w:ascii="Arial" w:eastAsiaTheme="majorEastAsia" w:hAnsi="Arial" w:cstheme="majorBidi"/>
      <w:b/>
      <w:iCs/>
    </w:rPr>
  </w:style>
  <w:style w:type="paragraph" w:customStyle="1" w:styleId="BodyText1">
    <w:name w:val="Body Text1"/>
    <w:basedOn w:val="Normal"/>
    <w:qFormat/>
    <w:rsid w:val="00E245AC"/>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customStyle="1" w:styleId="Reportheader">
    <w:name w:val="Report header"/>
    <w:basedOn w:val="Heading1"/>
    <w:qFormat/>
    <w:rsid w:val="00E245AC"/>
    <w:rPr>
      <w:sz w:val="48"/>
      <w:szCs w:val="48"/>
    </w:rPr>
  </w:style>
  <w:style w:type="character" w:customStyle="1" w:styleId="normaltextrun">
    <w:name w:val="normaltextrun"/>
    <w:basedOn w:val="DefaultParagraphFont"/>
    <w:rsid w:val="00BD5B7E"/>
  </w:style>
  <w:style w:type="character" w:customStyle="1" w:styleId="eop">
    <w:name w:val="eop"/>
    <w:basedOn w:val="DefaultParagraphFont"/>
    <w:rsid w:val="00BD5B7E"/>
  </w:style>
  <w:style w:type="paragraph" w:styleId="TOCHeading">
    <w:name w:val="TOC Heading"/>
    <w:basedOn w:val="Heading1"/>
    <w:next w:val="Normal"/>
    <w:uiPriority w:val="39"/>
    <w:unhideWhenUsed/>
    <w:qFormat/>
    <w:rsid w:val="00BD5B7E"/>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BD5B7E"/>
    <w:pPr>
      <w:spacing w:after="100"/>
    </w:pPr>
  </w:style>
  <w:style w:type="paragraph" w:styleId="TOC2">
    <w:name w:val="toc 2"/>
    <w:basedOn w:val="Normal"/>
    <w:next w:val="Normal"/>
    <w:autoRedefine/>
    <w:uiPriority w:val="39"/>
    <w:unhideWhenUsed/>
    <w:rsid w:val="00BD5B7E"/>
    <w:pPr>
      <w:spacing w:after="100"/>
      <w:ind w:left="240"/>
    </w:pPr>
  </w:style>
  <w:style w:type="paragraph" w:styleId="TOC3">
    <w:name w:val="toc 3"/>
    <w:basedOn w:val="Normal"/>
    <w:next w:val="Normal"/>
    <w:autoRedefine/>
    <w:uiPriority w:val="39"/>
    <w:unhideWhenUsed/>
    <w:rsid w:val="00BD5B7E"/>
    <w:pPr>
      <w:spacing w:after="100"/>
      <w:ind w:left="480"/>
    </w:pPr>
  </w:style>
  <w:style w:type="paragraph" w:customStyle="1" w:styleId="paragraph">
    <w:name w:val="paragraph"/>
    <w:basedOn w:val="Normal"/>
    <w:rsid w:val="0097313C"/>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tabchar">
    <w:name w:val="tabchar"/>
    <w:basedOn w:val="DefaultParagraphFont"/>
    <w:rsid w:val="0097313C"/>
  </w:style>
  <w:style w:type="character" w:styleId="CommentReference">
    <w:name w:val="annotation reference"/>
    <w:basedOn w:val="DefaultParagraphFont"/>
    <w:uiPriority w:val="99"/>
    <w:semiHidden/>
    <w:unhideWhenUsed/>
    <w:rsid w:val="00ED07ED"/>
    <w:rPr>
      <w:sz w:val="16"/>
      <w:szCs w:val="16"/>
    </w:rPr>
  </w:style>
  <w:style w:type="paragraph" w:styleId="CommentText">
    <w:name w:val="annotation text"/>
    <w:basedOn w:val="Normal"/>
    <w:link w:val="CommentTextChar"/>
    <w:uiPriority w:val="99"/>
    <w:unhideWhenUsed/>
    <w:rsid w:val="00ED07ED"/>
    <w:pPr>
      <w:spacing w:line="240" w:lineRule="auto"/>
    </w:pPr>
    <w:rPr>
      <w:sz w:val="20"/>
      <w:szCs w:val="20"/>
    </w:rPr>
  </w:style>
  <w:style w:type="character" w:customStyle="1" w:styleId="CommentTextChar">
    <w:name w:val="Comment Text Char"/>
    <w:basedOn w:val="DefaultParagraphFont"/>
    <w:link w:val="CommentText"/>
    <w:uiPriority w:val="99"/>
    <w:rsid w:val="00ED07E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D07ED"/>
    <w:rPr>
      <w:b/>
      <w:bCs/>
    </w:rPr>
  </w:style>
  <w:style w:type="character" w:customStyle="1" w:styleId="CommentSubjectChar">
    <w:name w:val="Comment Subject Char"/>
    <w:basedOn w:val="CommentTextChar"/>
    <w:link w:val="CommentSubject"/>
    <w:uiPriority w:val="99"/>
    <w:semiHidden/>
    <w:rsid w:val="00ED07ED"/>
    <w:rPr>
      <w:rFonts w:eastAsiaTheme="minorEastAsia"/>
      <w:b/>
      <w:bCs/>
      <w:sz w:val="20"/>
      <w:szCs w:val="20"/>
    </w:rPr>
  </w:style>
  <w:style w:type="paragraph" w:styleId="ListParagraph">
    <w:name w:val="List Paragraph"/>
    <w:aliases w:val="Dot pt,No Spacing1,List Paragraph Char Char Char,Indicator Text,Numbered Para 1,List Paragraph1,Bullet 1,Bullet Points,MAIN CONTENT,List Paragraph12,F5 List Paragraph,List Paragraph11,OBC Bullet,Colorful List - Accent 11,Normal numbered"/>
    <w:basedOn w:val="Normal"/>
    <w:link w:val="ListParagraphChar"/>
    <w:uiPriority w:val="34"/>
    <w:qFormat/>
    <w:rsid w:val="00AE1B91"/>
    <w:pPr>
      <w:ind w:left="720"/>
      <w:contextualSpacing/>
    </w:pPr>
  </w:style>
  <w:style w:type="character" w:styleId="FollowedHyperlink">
    <w:name w:val="FollowedHyperlink"/>
    <w:basedOn w:val="DefaultParagraphFont"/>
    <w:uiPriority w:val="99"/>
    <w:semiHidden/>
    <w:unhideWhenUsed/>
    <w:rsid w:val="00D837E0"/>
    <w:rPr>
      <w:color w:val="016574" w:themeColor="followedHyperlink"/>
      <w:u w:val="single"/>
    </w:rPr>
  </w:style>
  <w:style w:type="paragraph" w:styleId="FootnoteText">
    <w:name w:val="footnote text"/>
    <w:basedOn w:val="Normal"/>
    <w:link w:val="FootnoteTextChar"/>
    <w:uiPriority w:val="99"/>
    <w:semiHidden/>
    <w:unhideWhenUsed/>
    <w:rsid w:val="005B67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67F7"/>
    <w:rPr>
      <w:rFonts w:eastAsiaTheme="minorEastAsia"/>
      <w:sz w:val="20"/>
      <w:szCs w:val="20"/>
    </w:rPr>
  </w:style>
  <w:style w:type="character" w:styleId="FootnoteReference">
    <w:name w:val="footnote reference"/>
    <w:basedOn w:val="DefaultParagraphFont"/>
    <w:uiPriority w:val="99"/>
    <w:semiHidden/>
    <w:unhideWhenUsed/>
    <w:rsid w:val="005B67F7"/>
    <w:rPr>
      <w:vertAlign w:val="superscript"/>
    </w:rPr>
  </w:style>
  <w:style w:type="character" w:customStyle="1" w:styleId="contentcontrolboundarysink">
    <w:name w:val="contentcontrolboundarysink"/>
    <w:basedOn w:val="DefaultParagraphFont"/>
    <w:rsid w:val="00B20273"/>
  </w:style>
  <w:style w:type="character" w:customStyle="1" w:styleId="wacimagecontainer">
    <w:name w:val="wacimagecontainer"/>
    <w:basedOn w:val="DefaultParagraphFont"/>
    <w:rsid w:val="003F309D"/>
  </w:style>
  <w:style w:type="character" w:styleId="Mention">
    <w:name w:val="Mention"/>
    <w:basedOn w:val="DefaultParagraphFont"/>
    <w:uiPriority w:val="99"/>
    <w:unhideWhenUsed/>
    <w:rsid w:val="008D0775"/>
    <w:rPr>
      <w:color w:val="2B579A"/>
      <w:shd w:val="clear" w:color="auto" w:fill="E1DFDD"/>
    </w:rPr>
  </w:style>
  <w:style w:type="table" w:styleId="TableGrid">
    <w:name w:val="Table Grid"/>
    <w:basedOn w:val="TableNormal"/>
    <w:uiPriority w:val="39"/>
    <w:rsid w:val="008E4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12 Char,F5 List Paragraph Char"/>
    <w:basedOn w:val="DefaultParagraphFont"/>
    <w:link w:val="ListParagraph"/>
    <w:uiPriority w:val="34"/>
    <w:locked/>
    <w:rsid w:val="00EE5BCA"/>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60292">
      <w:bodyDiv w:val="1"/>
      <w:marLeft w:val="0"/>
      <w:marRight w:val="0"/>
      <w:marTop w:val="0"/>
      <w:marBottom w:val="0"/>
      <w:divBdr>
        <w:top w:val="none" w:sz="0" w:space="0" w:color="auto"/>
        <w:left w:val="none" w:sz="0" w:space="0" w:color="auto"/>
        <w:bottom w:val="none" w:sz="0" w:space="0" w:color="auto"/>
        <w:right w:val="none" w:sz="0" w:space="0" w:color="auto"/>
      </w:divBdr>
    </w:div>
    <w:div w:id="100221738">
      <w:bodyDiv w:val="1"/>
      <w:marLeft w:val="0"/>
      <w:marRight w:val="0"/>
      <w:marTop w:val="0"/>
      <w:marBottom w:val="0"/>
      <w:divBdr>
        <w:top w:val="none" w:sz="0" w:space="0" w:color="auto"/>
        <w:left w:val="none" w:sz="0" w:space="0" w:color="auto"/>
        <w:bottom w:val="none" w:sz="0" w:space="0" w:color="auto"/>
        <w:right w:val="none" w:sz="0" w:space="0" w:color="auto"/>
      </w:divBdr>
    </w:div>
    <w:div w:id="123425002">
      <w:bodyDiv w:val="1"/>
      <w:marLeft w:val="0"/>
      <w:marRight w:val="0"/>
      <w:marTop w:val="0"/>
      <w:marBottom w:val="0"/>
      <w:divBdr>
        <w:top w:val="none" w:sz="0" w:space="0" w:color="auto"/>
        <w:left w:val="none" w:sz="0" w:space="0" w:color="auto"/>
        <w:bottom w:val="none" w:sz="0" w:space="0" w:color="auto"/>
        <w:right w:val="none" w:sz="0" w:space="0" w:color="auto"/>
      </w:divBdr>
    </w:div>
    <w:div w:id="123501378">
      <w:bodyDiv w:val="1"/>
      <w:marLeft w:val="0"/>
      <w:marRight w:val="0"/>
      <w:marTop w:val="0"/>
      <w:marBottom w:val="0"/>
      <w:divBdr>
        <w:top w:val="none" w:sz="0" w:space="0" w:color="auto"/>
        <w:left w:val="none" w:sz="0" w:space="0" w:color="auto"/>
        <w:bottom w:val="none" w:sz="0" w:space="0" w:color="auto"/>
        <w:right w:val="none" w:sz="0" w:space="0" w:color="auto"/>
      </w:divBdr>
    </w:div>
    <w:div w:id="172691586">
      <w:bodyDiv w:val="1"/>
      <w:marLeft w:val="0"/>
      <w:marRight w:val="0"/>
      <w:marTop w:val="0"/>
      <w:marBottom w:val="0"/>
      <w:divBdr>
        <w:top w:val="none" w:sz="0" w:space="0" w:color="auto"/>
        <w:left w:val="none" w:sz="0" w:space="0" w:color="auto"/>
        <w:bottom w:val="none" w:sz="0" w:space="0" w:color="auto"/>
        <w:right w:val="none" w:sz="0" w:space="0" w:color="auto"/>
      </w:divBdr>
    </w:div>
    <w:div w:id="325404001">
      <w:bodyDiv w:val="1"/>
      <w:marLeft w:val="0"/>
      <w:marRight w:val="0"/>
      <w:marTop w:val="0"/>
      <w:marBottom w:val="0"/>
      <w:divBdr>
        <w:top w:val="none" w:sz="0" w:space="0" w:color="auto"/>
        <w:left w:val="none" w:sz="0" w:space="0" w:color="auto"/>
        <w:bottom w:val="none" w:sz="0" w:space="0" w:color="auto"/>
        <w:right w:val="none" w:sz="0" w:space="0" w:color="auto"/>
      </w:divBdr>
    </w:div>
    <w:div w:id="408894616">
      <w:bodyDiv w:val="1"/>
      <w:marLeft w:val="0"/>
      <w:marRight w:val="0"/>
      <w:marTop w:val="0"/>
      <w:marBottom w:val="0"/>
      <w:divBdr>
        <w:top w:val="none" w:sz="0" w:space="0" w:color="auto"/>
        <w:left w:val="none" w:sz="0" w:space="0" w:color="auto"/>
        <w:bottom w:val="none" w:sz="0" w:space="0" w:color="auto"/>
        <w:right w:val="none" w:sz="0" w:space="0" w:color="auto"/>
      </w:divBdr>
    </w:div>
    <w:div w:id="568000716">
      <w:bodyDiv w:val="1"/>
      <w:marLeft w:val="0"/>
      <w:marRight w:val="0"/>
      <w:marTop w:val="0"/>
      <w:marBottom w:val="0"/>
      <w:divBdr>
        <w:top w:val="none" w:sz="0" w:space="0" w:color="auto"/>
        <w:left w:val="none" w:sz="0" w:space="0" w:color="auto"/>
        <w:bottom w:val="none" w:sz="0" w:space="0" w:color="auto"/>
        <w:right w:val="none" w:sz="0" w:space="0" w:color="auto"/>
      </w:divBdr>
    </w:div>
    <w:div w:id="676422088">
      <w:bodyDiv w:val="1"/>
      <w:marLeft w:val="0"/>
      <w:marRight w:val="0"/>
      <w:marTop w:val="0"/>
      <w:marBottom w:val="0"/>
      <w:divBdr>
        <w:top w:val="none" w:sz="0" w:space="0" w:color="auto"/>
        <w:left w:val="none" w:sz="0" w:space="0" w:color="auto"/>
        <w:bottom w:val="none" w:sz="0" w:space="0" w:color="auto"/>
        <w:right w:val="none" w:sz="0" w:space="0" w:color="auto"/>
      </w:divBdr>
    </w:div>
    <w:div w:id="802620905">
      <w:bodyDiv w:val="1"/>
      <w:marLeft w:val="0"/>
      <w:marRight w:val="0"/>
      <w:marTop w:val="0"/>
      <w:marBottom w:val="0"/>
      <w:divBdr>
        <w:top w:val="none" w:sz="0" w:space="0" w:color="auto"/>
        <w:left w:val="none" w:sz="0" w:space="0" w:color="auto"/>
        <w:bottom w:val="none" w:sz="0" w:space="0" w:color="auto"/>
        <w:right w:val="none" w:sz="0" w:space="0" w:color="auto"/>
      </w:divBdr>
    </w:div>
    <w:div w:id="822162993">
      <w:bodyDiv w:val="1"/>
      <w:marLeft w:val="0"/>
      <w:marRight w:val="0"/>
      <w:marTop w:val="0"/>
      <w:marBottom w:val="0"/>
      <w:divBdr>
        <w:top w:val="none" w:sz="0" w:space="0" w:color="auto"/>
        <w:left w:val="none" w:sz="0" w:space="0" w:color="auto"/>
        <w:bottom w:val="none" w:sz="0" w:space="0" w:color="auto"/>
        <w:right w:val="none" w:sz="0" w:space="0" w:color="auto"/>
      </w:divBdr>
    </w:div>
    <w:div w:id="822619322">
      <w:bodyDiv w:val="1"/>
      <w:marLeft w:val="0"/>
      <w:marRight w:val="0"/>
      <w:marTop w:val="0"/>
      <w:marBottom w:val="0"/>
      <w:divBdr>
        <w:top w:val="none" w:sz="0" w:space="0" w:color="auto"/>
        <w:left w:val="none" w:sz="0" w:space="0" w:color="auto"/>
        <w:bottom w:val="none" w:sz="0" w:space="0" w:color="auto"/>
        <w:right w:val="none" w:sz="0" w:space="0" w:color="auto"/>
      </w:divBdr>
      <w:divsChild>
        <w:div w:id="3169517">
          <w:marLeft w:val="0"/>
          <w:marRight w:val="0"/>
          <w:marTop w:val="0"/>
          <w:marBottom w:val="0"/>
          <w:divBdr>
            <w:top w:val="none" w:sz="0" w:space="0" w:color="auto"/>
            <w:left w:val="none" w:sz="0" w:space="0" w:color="auto"/>
            <w:bottom w:val="none" w:sz="0" w:space="0" w:color="auto"/>
            <w:right w:val="none" w:sz="0" w:space="0" w:color="auto"/>
          </w:divBdr>
        </w:div>
        <w:div w:id="175659363">
          <w:marLeft w:val="0"/>
          <w:marRight w:val="0"/>
          <w:marTop w:val="0"/>
          <w:marBottom w:val="0"/>
          <w:divBdr>
            <w:top w:val="none" w:sz="0" w:space="0" w:color="auto"/>
            <w:left w:val="none" w:sz="0" w:space="0" w:color="auto"/>
            <w:bottom w:val="none" w:sz="0" w:space="0" w:color="auto"/>
            <w:right w:val="none" w:sz="0" w:space="0" w:color="auto"/>
          </w:divBdr>
        </w:div>
        <w:div w:id="185872256">
          <w:marLeft w:val="0"/>
          <w:marRight w:val="0"/>
          <w:marTop w:val="0"/>
          <w:marBottom w:val="0"/>
          <w:divBdr>
            <w:top w:val="none" w:sz="0" w:space="0" w:color="auto"/>
            <w:left w:val="none" w:sz="0" w:space="0" w:color="auto"/>
            <w:bottom w:val="none" w:sz="0" w:space="0" w:color="auto"/>
            <w:right w:val="none" w:sz="0" w:space="0" w:color="auto"/>
          </w:divBdr>
        </w:div>
        <w:div w:id="230892914">
          <w:marLeft w:val="0"/>
          <w:marRight w:val="0"/>
          <w:marTop w:val="0"/>
          <w:marBottom w:val="0"/>
          <w:divBdr>
            <w:top w:val="none" w:sz="0" w:space="0" w:color="auto"/>
            <w:left w:val="none" w:sz="0" w:space="0" w:color="auto"/>
            <w:bottom w:val="none" w:sz="0" w:space="0" w:color="auto"/>
            <w:right w:val="none" w:sz="0" w:space="0" w:color="auto"/>
          </w:divBdr>
        </w:div>
        <w:div w:id="235209750">
          <w:marLeft w:val="0"/>
          <w:marRight w:val="0"/>
          <w:marTop w:val="0"/>
          <w:marBottom w:val="0"/>
          <w:divBdr>
            <w:top w:val="none" w:sz="0" w:space="0" w:color="auto"/>
            <w:left w:val="none" w:sz="0" w:space="0" w:color="auto"/>
            <w:bottom w:val="none" w:sz="0" w:space="0" w:color="auto"/>
            <w:right w:val="none" w:sz="0" w:space="0" w:color="auto"/>
          </w:divBdr>
        </w:div>
        <w:div w:id="295988631">
          <w:marLeft w:val="0"/>
          <w:marRight w:val="0"/>
          <w:marTop w:val="0"/>
          <w:marBottom w:val="0"/>
          <w:divBdr>
            <w:top w:val="none" w:sz="0" w:space="0" w:color="auto"/>
            <w:left w:val="none" w:sz="0" w:space="0" w:color="auto"/>
            <w:bottom w:val="none" w:sz="0" w:space="0" w:color="auto"/>
            <w:right w:val="none" w:sz="0" w:space="0" w:color="auto"/>
          </w:divBdr>
        </w:div>
        <w:div w:id="301497382">
          <w:marLeft w:val="0"/>
          <w:marRight w:val="0"/>
          <w:marTop w:val="0"/>
          <w:marBottom w:val="0"/>
          <w:divBdr>
            <w:top w:val="none" w:sz="0" w:space="0" w:color="auto"/>
            <w:left w:val="none" w:sz="0" w:space="0" w:color="auto"/>
            <w:bottom w:val="none" w:sz="0" w:space="0" w:color="auto"/>
            <w:right w:val="none" w:sz="0" w:space="0" w:color="auto"/>
          </w:divBdr>
        </w:div>
        <w:div w:id="330257647">
          <w:marLeft w:val="0"/>
          <w:marRight w:val="0"/>
          <w:marTop w:val="0"/>
          <w:marBottom w:val="0"/>
          <w:divBdr>
            <w:top w:val="none" w:sz="0" w:space="0" w:color="auto"/>
            <w:left w:val="none" w:sz="0" w:space="0" w:color="auto"/>
            <w:bottom w:val="none" w:sz="0" w:space="0" w:color="auto"/>
            <w:right w:val="none" w:sz="0" w:space="0" w:color="auto"/>
          </w:divBdr>
          <w:divsChild>
            <w:div w:id="352344996">
              <w:marLeft w:val="0"/>
              <w:marRight w:val="0"/>
              <w:marTop w:val="0"/>
              <w:marBottom w:val="0"/>
              <w:divBdr>
                <w:top w:val="none" w:sz="0" w:space="0" w:color="auto"/>
                <w:left w:val="none" w:sz="0" w:space="0" w:color="auto"/>
                <w:bottom w:val="none" w:sz="0" w:space="0" w:color="auto"/>
                <w:right w:val="none" w:sz="0" w:space="0" w:color="auto"/>
              </w:divBdr>
            </w:div>
            <w:div w:id="418217115">
              <w:marLeft w:val="0"/>
              <w:marRight w:val="0"/>
              <w:marTop w:val="0"/>
              <w:marBottom w:val="0"/>
              <w:divBdr>
                <w:top w:val="none" w:sz="0" w:space="0" w:color="auto"/>
                <w:left w:val="none" w:sz="0" w:space="0" w:color="auto"/>
                <w:bottom w:val="none" w:sz="0" w:space="0" w:color="auto"/>
                <w:right w:val="none" w:sz="0" w:space="0" w:color="auto"/>
              </w:divBdr>
            </w:div>
            <w:div w:id="429618482">
              <w:marLeft w:val="0"/>
              <w:marRight w:val="0"/>
              <w:marTop w:val="0"/>
              <w:marBottom w:val="0"/>
              <w:divBdr>
                <w:top w:val="none" w:sz="0" w:space="0" w:color="auto"/>
                <w:left w:val="none" w:sz="0" w:space="0" w:color="auto"/>
                <w:bottom w:val="none" w:sz="0" w:space="0" w:color="auto"/>
                <w:right w:val="none" w:sz="0" w:space="0" w:color="auto"/>
              </w:divBdr>
            </w:div>
            <w:div w:id="680746122">
              <w:marLeft w:val="0"/>
              <w:marRight w:val="0"/>
              <w:marTop w:val="0"/>
              <w:marBottom w:val="0"/>
              <w:divBdr>
                <w:top w:val="none" w:sz="0" w:space="0" w:color="auto"/>
                <w:left w:val="none" w:sz="0" w:space="0" w:color="auto"/>
                <w:bottom w:val="none" w:sz="0" w:space="0" w:color="auto"/>
                <w:right w:val="none" w:sz="0" w:space="0" w:color="auto"/>
              </w:divBdr>
            </w:div>
            <w:div w:id="901716613">
              <w:marLeft w:val="0"/>
              <w:marRight w:val="0"/>
              <w:marTop w:val="0"/>
              <w:marBottom w:val="0"/>
              <w:divBdr>
                <w:top w:val="none" w:sz="0" w:space="0" w:color="auto"/>
                <w:left w:val="none" w:sz="0" w:space="0" w:color="auto"/>
                <w:bottom w:val="none" w:sz="0" w:space="0" w:color="auto"/>
                <w:right w:val="none" w:sz="0" w:space="0" w:color="auto"/>
              </w:divBdr>
            </w:div>
            <w:div w:id="988050585">
              <w:marLeft w:val="0"/>
              <w:marRight w:val="0"/>
              <w:marTop w:val="0"/>
              <w:marBottom w:val="0"/>
              <w:divBdr>
                <w:top w:val="none" w:sz="0" w:space="0" w:color="auto"/>
                <w:left w:val="none" w:sz="0" w:space="0" w:color="auto"/>
                <w:bottom w:val="none" w:sz="0" w:space="0" w:color="auto"/>
                <w:right w:val="none" w:sz="0" w:space="0" w:color="auto"/>
              </w:divBdr>
            </w:div>
            <w:div w:id="1047989346">
              <w:marLeft w:val="0"/>
              <w:marRight w:val="0"/>
              <w:marTop w:val="0"/>
              <w:marBottom w:val="0"/>
              <w:divBdr>
                <w:top w:val="none" w:sz="0" w:space="0" w:color="auto"/>
                <w:left w:val="none" w:sz="0" w:space="0" w:color="auto"/>
                <w:bottom w:val="none" w:sz="0" w:space="0" w:color="auto"/>
                <w:right w:val="none" w:sz="0" w:space="0" w:color="auto"/>
              </w:divBdr>
            </w:div>
            <w:div w:id="1080954483">
              <w:marLeft w:val="0"/>
              <w:marRight w:val="0"/>
              <w:marTop w:val="0"/>
              <w:marBottom w:val="0"/>
              <w:divBdr>
                <w:top w:val="none" w:sz="0" w:space="0" w:color="auto"/>
                <w:left w:val="none" w:sz="0" w:space="0" w:color="auto"/>
                <w:bottom w:val="none" w:sz="0" w:space="0" w:color="auto"/>
                <w:right w:val="none" w:sz="0" w:space="0" w:color="auto"/>
              </w:divBdr>
            </w:div>
            <w:div w:id="1198351637">
              <w:marLeft w:val="0"/>
              <w:marRight w:val="0"/>
              <w:marTop w:val="0"/>
              <w:marBottom w:val="0"/>
              <w:divBdr>
                <w:top w:val="none" w:sz="0" w:space="0" w:color="auto"/>
                <w:left w:val="none" w:sz="0" w:space="0" w:color="auto"/>
                <w:bottom w:val="none" w:sz="0" w:space="0" w:color="auto"/>
                <w:right w:val="none" w:sz="0" w:space="0" w:color="auto"/>
              </w:divBdr>
            </w:div>
            <w:div w:id="1448543771">
              <w:marLeft w:val="0"/>
              <w:marRight w:val="0"/>
              <w:marTop w:val="0"/>
              <w:marBottom w:val="0"/>
              <w:divBdr>
                <w:top w:val="none" w:sz="0" w:space="0" w:color="auto"/>
                <w:left w:val="none" w:sz="0" w:space="0" w:color="auto"/>
                <w:bottom w:val="none" w:sz="0" w:space="0" w:color="auto"/>
                <w:right w:val="none" w:sz="0" w:space="0" w:color="auto"/>
              </w:divBdr>
            </w:div>
            <w:div w:id="1653874147">
              <w:marLeft w:val="0"/>
              <w:marRight w:val="0"/>
              <w:marTop w:val="0"/>
              <w:marBottom w:val="0"/>
              <w:divBdr>
                <w:top w:val="none" w:sz="0" w:space="0" w:color="auto"/>
                <w:left w:val="none" w:sz="0" w:space="0" w:color="auto"/>
                <w:bottom w:val="none" w:sz="0" w:space="0" w:color="auto"/>
                <w:right w:val="none" w:sz="0" w:space="0" w:color="auto"/>
              </w:divBdr>
            </w:div>
            <w:div w:id="1686595484">
              <w:marLeft w:val="0"/>
              <w:marRight w:val="0"/>
              <w:marTop w:val="0"/>
              <w:marBottom w:val="0"/>
              <w:divBdr>
                <w:top w:val="none" w:sz="0" w:space="0" w:color="auto"/>
                <w:left w:val="none" w:sz="0" w:space="0" w:color="auto"/>
                <w:bottom w:val="none" w:sz="0" w:space="0" w:color="auto"/>
                <w:right w:val="none" w:sz="0" w:space="0" w:color="auto"/>
              </w:divBdr>
            </w:div>
            <w:div w:id="1737702898">
              <w:marLeft w:val="0"/>
              <w:marRight w:val="0"/>
              <w:marTop w:val="0"/>
              <w:marBottom w:val="0"/>
              <w:divBdr>
                <w:top w:val="none" w:sz="0" w:space="0" w:color="auto"/>
                <w:left w:val="none" w:sz="0" w:space="0" w:color="auto"/>
                <w:bottom w:val="none" w:sz="0" w:space="0" w:color="auto"/>
                <w:right w:val="none" w:sz="0" w:space="0" w:color="auto"/>
              </w:divBdr>
            </w:div>
            <w:div w:id="1888058681">
              <w:marLeft w:val="0"/>
              <w:marRight w:val="0"/>
              <w:marTop w:val="0"/>
              <w:marBottom w:val="0"/>
              <w:divBdr>
                <w:top w:val="none" w:sz="0" w:space="0" w:color="auto"/>
                <w:left w:val="none" w:sz="0" w:space="0" w:color="auto"/>
                <w:bottom w:val="none" w:sz="0" w:space="0" w:color="auto"/>
                <w:right w:val="none" w:sz="0" w:space="0" w:color="auto"/>
              </w:divBdr>
            </w:div>
            <w:div w:id="1891459511">
              <w:marLeft w:val="0"/>
              <w:marRight w:val="0"/>
              <w:marTop w:val="0"/>
              <w:marBottom w:val="0"/>
              <w:divBdr>
                <w:top w:val="none" w:sz="0" w:space="0" w:color="auto"/>
                <w:left w:val="none" w:sz="0" w:space="0" w:color="auto"/>
                <w:bottom w:val="none" w:sz="0" w:space="0" w:color="auto"/>
                <w:right w:val="none" w:sz="0" w:space="0" w:color="auto"/>
              </w:divBdr>
            </w:div>
          </w:divsChild>
        </w:div>
        <w:div w:id="509881517">
          <w:marLeft w:val="0"/>
          <w:marRight w:val="0"/>
          <w:marTop w:val="0"/>
          <w:marBottom w:val="0"/>
          <w:divBdr>
            <w:top w:val="none" w:sz="0" w:space="0" w:color="auto"/>
            <w:left w:val="none" w:sz="0" w:space="0" w:color="auto"/>
            <w:bottom w:val="none" w:sz="0" w:space="0" w:color="auto"/>
            <w:right w:val="none" w:sz="0" w:space="0" w:color="auto"/>
          </w:divBdr>
        </w:div>
        <w:div w:id="744037183">
          <w:marLeft w:val="0"/>
          <w:marRight w:val="0"/>
          <w:marTop w:val="0"/>
          <w:marBottom w:val="0"/>
          <w:divBdr>
            <w:top w:val="none" w:sz="0" w:space="0" w:color="auto"/>
            <w:left w:val="none" w:sz="0" w:space="0" w:color="auto"/>
            <w:bottom w:val="none" w:sz="0" w:space="0" w:color="auto"/>
            <w:right w:val="none" w:sz="0" w:space="0" w:color="auto"/>
          </w:divBdr>
        </w:div>
        <w:div w:id="774135881">
          <w:marLeft w:val="0"/>
          <w:marRight w:val="0"/>
          <w:marTop w:val="0"/>
          <w:marBottom w:val="0"/>
          <w:divBdr>
            <w:top w:val="none" w:sz="0" w:space="0" w:color="auto"/>
            <w:left w:val="none" w:sz="0" w:space="0" w:color="auto"/>
            <w:bottom w:val="none" w:sz="0" w:space="0" w:color="auto"/>
            <w:right w:val="none" w:sz="0" w:space="0" w:color="auto"/>
          </w:divBdr>
        </w:div>
        <w:div w:id="968978028">
          <w:marLeft w:val="0"/>
          <w:marRight w:val="0"/>
          <w:marTop w:val="0"/>
          <w:marBottom w:val="0"/>
          <w:divBdr>
            <w:top w:val="none" w:sz="0" w:space="0" w:color="auto"/>
            <w:left w:val="none" w:sz="0" w:space="0" w:color="auto"/>
            <w:bottom w:val="none" w:sz="0" w:space="0" w:color="auto"/>
            <w:right w:val="none" w:sz="0" w:space="0" w:color="auto"/>
          </w:divBdr>
        </w:div>
        <w:div w:id="969943568">
          <w:marLeft w:val="0"/>
          <w:marRight w:val="0"/>
          <w:marTop w:val="0"/>
          <w:marBottom w:val="0"/>
          <w:divBdr>
            <w:top w:val="none" w:sz="0" w:space="0" w:color="auto"/>
            <w:left w:val="none" w:sz="0" w:space="0" w:color="auto"/>
            <w:bottom w:val="none" w:sz="0" w:space="0" w:color="auto"/>
            <w:right w:val="none" w:sz="0" w:space="0" w:color="auto"/>
          </w:divBdr>
        </w:div>
        <w:div w:id="1244146317">
          <w:marLeft w:val="0"/>
          <w:marRight w:val="0"/>
          <w:marTop w:val="0"/>
          <w:marBottom w:val="0"/>
          <w:divBdr>
            <w:top w:val="none" w:sz="0" w:space="0" w:color="auto"/>
            <w:left w:val="none" w:sz="0" w:space="0" w:color="auto"/>
            <w:bottom w:val="none" w:sz="0" w:space="0" w:color="auto"/>
            <w:right w:val="none" w:sz="0" w:space="0" w:color="auto"/>
          </w:divBdr>
        </w:div>
        <w:div w:id="1246769847">
          <w:marLeft w:val="0"/>
          <w:marRight w:val="0"/>
          <w:marTop w:val="0"/>
          <w:marBottom w:val="0"/>
          <w:divBdr>
            <w:top w:val="none" w:sz="0" w:space="0" w:color="auto"/>
            <w:left w:val="none" w:sz="0" w:space="0" w:color="auto"/>
            <w:bottom w:val="none" w:sz="0" w:space="0" w:color="auto"/>
            <w:right w:val="none" w:sz="0" w:space="0" w:color="auto"/>
          </w:divBdr>
          <w:divsChild>
            <w:div w:id="5715073">
              <w:marLeft w:val="0"/>
              <w:marRight w:val="0"/>
              <w:marTop w:val="0"/>
              <w:marBottom w:val="0"/>
              <w:divBdr>
                <w:top w:val="none" w:sz="0" w:space="0" w:color="auto"/>
                <w:left w:val="none" w:sz="0" w:space="0" w:color="auto"/>
                <w:bottom w:val="none" w:sz="0" w:space="0" w:color="auto"/>
                <w:right w:val="none" w:sz="0" w:space="0" w:color="auto"/>
              </w:divBdr>
            </w:div>
            <w:div w:id="8138992">
              <w:marLeft w:val="0"/>
              <w:marRight w:val="0"/>
              <w:marTop w:val="0"/>
              <w:marBottom w:val="0"/>
              <w:divBdr>
                <w:top w:val="none" w:sz="0" w:space="0" w:color="auto"/>
                <w:left w:val="none" w:sz="0" w:space="0" w:color="auto"/>
                <w:bottom w:val="none" w:sz="0" w:space="0" w:color="auto"/>
                <w:right w:val="none" w:sz="0" w:space="0" w:color="auto"/>
              </w:divBdr>
            </w:div>
            <w:div w:id="62996532">
              <w:marLeft w:val="0"/>
              <w:marRight w:val="0"/>
              <w:marTop w:val="0"/>
              <w:marBottom w:val="0"/>
              <w:divBdr>
                <w:top w:val="none" w:sz="0" w:space="0" w:color="auto"/>
                <w:left w:val="none" w:sz="0" w:space="0" w:color="auto"/>
                <w:bottom w:val="none" w:sz="0" w:space="0" w:color="auto"/>
                <w:right w:val="none" w:sz="0" w:space="0" w:color="auto"/>
              </w:divBdr>
            </w:div>
            <w:div w:id="124011126">
              <w:marLeft w:val="0"/>
              <w:marRight w:val="0"/>
              <w:marTop w:val="0"/>
              <w:marBottom w:val="0"/>
              <w:divBdr>
                <w:top w:val="none" w:sz="0" w:space="0" w:color="auto"/>
                <w:left w:val="none" w:sz="0" w:space="0" w:color="auto"/>
                <w:bottom w:val="none" w:sz="0" w:space="0" w:color="auto"/>
                <w:right w:val="none" w:sz="0" w:space="0" w:color="auto"/>
              </w:divBdr>
            </w:div>
            <w:div w:id="169300664">
              <w:marLeft w:val="0"/>
              <w:marRight w:val="0"/>
              <w:marTop w:val="0"/>
              <w:marBottom w:val="0"/>
              <w:divBdr>
                <w:top w:val="none" w:sz="0" w:space="0" w:color="auto"/>
                <w:left w:val="none" w:sz="0" w:space="0" w:color="auto"/>
                <w:bottom w:val="none" w:sz="0" w:space="0" w:color="auto"/>
                <w:right w:val="none" w:sz="0" w:space="0" w:color="auto"/>
              </w:divBdr>
            </w:div>
            <w:div w:id="185214739">
              <w:marLeft w:val="0"/>
              <w:marRight w:val="0"/>
              <w:marTop w:val="0"/>
              <w:marBottom w:val="0"/>
              <w:divBdr>
                <w:top w:val="none" w:sz="0" w:space="0" w:color="auto"/>
                <w:left w:val="none" w:sz="0" w:space="0" w:color="auto"/>
                <w:bottom w:val="none" w:sz="0" w:space="0" w:color="auto"/>
                <w:right w:val="none" w:sz="0" w:space="0" w:color="auto"/>
              </w:divBdr>
            </w:div>
            <w:div w:id="197742407">
              <w:marLeft w:val="0"/>
              <w:marRight w:val="0"/>
              <w:marTop w:val="0"/>
              <w:marBottom w:val="0"/>
              <w:divBdr>
                <w:top w:val="none" w:sz="0" w:space="0" w:color="auto"/>
                <w:left w:val="none" w:sz="0" w:space="0" w:color="auto"/>
                <w:bottom w:val="none" w:sz="0" w:space="0" w:color="auto"/>
                <w:right w:val="none" w:sz="0" w:space="0" w:color="auto"/>
              </w:divBdr>
            </w:div>
            <w:div w:id="268200421">
              <w:marLeft w:val="0"/>
              <w:marRight w:val="0"/>
              <w:marTop w:val="0"/>
              <w:marBottom w:val="0"/>
              <w:divBdr>
                <w:top w:val="none" w:sz="0" w:space="0" w:color="auto"/>
                <w:left w:val="none" w:sz="0" w:space="0" w:color="auto"/>
                <w:bottom w:val="none" w:sz="0" w:space="0" w:color="auto"/>
                <w:right w:val="none" w:sz="0" w:space="0" w:color="auto"/>
              </w:divBdr>
            </w:div>
            <w:div w:id="311763220">
              <w:marLeft w:val="0"/>
              <w:marRight w:val="0"/>
              <w:marTop w:val="0"/>
              <w:marBottom w:val="0"/>
              <w:divBdr>
                <w:top w:val="none" w:sz="0" w:space="0" w:color="auto"/>
                <w:left w:val="none" w:sz="0" w:space="0" w:color="auto"/>
                <w:bottom w:val="none" w:sz="0" w:space="0" w:color="auto"/>
                <w:right w:val="none" w:sz="0" w:space="0" w:color="auto"/>
              </w:divBdr>
            </w:div>
            <w:div w:id="442921047">
              <w:marLeft w:val="0"/>
              <w:marRight w:val="0"/>
              <w:marTop w:val="0"/>
              <w:marBottom w:val="0"/>
              <w:divBdr>
                <w:top w:val="none" w:sz="0" w:space="0" w:color="auto"/>
                <w:left w:val="none" w:sz="0" w:space="0" w:color="auto"/>
                <w:bottom w:val="none" w:sz="0" w:space="0" w:color="auto"/>
                <w:right w:val="none" w:sz="0" w:space="0" w:color="auto"/>
              </w:divBdr>
            </w:div>
            <w:div w:id="479880408">
              <w:marLeft w:val="0"/>
              <w:marRight w:val="0"/>
              <w:marTop w:val="0"/>
              <w:marBottom w:val="0"/>
              <w:divBdr>
                <w:top w:val="none" w:sz="0" w:space="0" w:color="auto"/>
                <w:left w:val="none" w:sz="0" w:space="0" w:color="auto"/>
                <w:bottom w:val="none" w:sz="0" w:space="0" w:color="auto"/>
                <w:right w:val="none" w:sz="0" w:space="0" w:color="auto"/>
              </w:divBdr>
            </w:div>
            <w:div w:id="568424315">
              <w:marLeft w:val="0"/>
              <w:marRight w:val="0"/>
              <w:marTop w:val="0"/>
              <w:marBottom w:val="0"/>
              <w:divBdr>
                <w:top w:val="none" w:sz="0" w:space="0" w:color="auto"/>
                <w:left w:val="none" w:sz="0" w:space="0" w:color="auto"/>
                <w:bottom w:val="none" w:sz="0" w:space="0" w:color="auto"/>
                <w:right w:val="none" w:sz="0" w:space="0" w:color="auto"/>
              </w:divBdr>
            </w:div>
            <w:div w:id="620067643">
              <w:marLeft w:val="0"/>
              <w:marRight w:val="0"/>
              <w:marTop w:val="0"/>
              <w:marBottom w:val="0"/>
              <w:divBdr>
                <w:top w:val="none" w:sz="0" w:space="0" w:color="auto"/>
                <w:left w:val="none" w:sz="0" w:space="0" w:color="auto"/>
                <w:bottom w:val="none" w:sz="0" w:space="0" w:color="auto"/>
                <w:right w:val="none" w:sz="0" w:space="0" w:color="auto"/>
              </w:divBdr>
            </w:div>
            <w:div w:id="675615416">
              <w:marLeft w:val="0"/>
              <w:marRight w:val="0"/>
              <w:marTop w:val="0"/>
              <w:marBottom w:val="0"/>
              <w:divBdr>
                <w:top w:val="none" w:sz="0" w:space="0" w:color="auto"/>
                <w:left w:val="none" w:sz="0" w:space="0" w:color="auto"/>
                <w:bottom w:val="none" w:sz="0" w:space="0" w:color="auto"/>
                <w:right w:val="none" w:sz="0" w:space="0" w:color="auto"/>
              </w:divBdr>
            </w:div>
            <w:div w:id="750272366">
              <w:marLeft w:val="0"/>
              <w:marRight w:val="0"/>
              <w:marTop w:val="0"/>
              <w:marBottom w:val="0"/>
              <w:divBdr>
                <w:top w:val="none" w:sz="0" w:space="0" w:color="auto"/>
                <w:left w:val="none" w:sz="0" w:space="0" w:color="auto"/>
                <w:bottom w:val="none" w:sz="0" w:space="0" w:color="auto"/>
                <w:right w:val="none" w:sz="0" w:space="0" w:color="auto"/>
              </w:divBdr>
            </w:div>
            <w:div w:id="771782535">
              <w:marLeft w:val="0"/>
              <w:marRight w:val="0"/>
              <w:marTop w:val="0"/>
              <w:marBottom w:val="0"/>
              <w:divBdr>
                <w:top w:val="none" w:sz="0" w:space="0" w:color="auto"/>
                <w:left w:val="none" w:sz="0" w:space="0" w:color="auto"/>
                <w:bottom w:val="none" w:sz="0" w:space="0" w:color="auto"/>
                <w:right w:val="none" w:sz="0" w:space="0" w:color="auto"/>
              </w:divBdr>
            </w:div>
            <w:div w:id="779034691">
              <w:marLeft w:val="0"/>
              <w:marRight w:val="0"/>
              <w:marTop w:val="0"/>
              <w:marBottom w:val="0"/>
              <w:divBdr>
                <w:top w:val="none" w:sz="0" w:space="0" w:color="auto"/>
                <w:left w:val="none" w:sz="0" w:space="0" w:color="auto"/>
                <w:bottom w:val="none" w:sz="0" w:space="0" w:color="auto"/>
                <w:right w:val="none" w:sz="0" w:space="0" w:color="auto"/>
              </w:divBdr>
            </w:div>
            <w:div w:id="799498009">
              <w:marLeft w:val="0"/>
              <w:marRight w:val="0"/>
              <w:marTop w:val="0"/>
              <w:marBottom w:val="0"/>
              <w:divBdr>
                <w:top w:val="none" w:sz="0" w:space="0" w:color="auto"/>
                <w:left w:val="none" w:sz="0" w:space="0" w:color="auto"/>
                <w:bottom w:val="none" w:sz="0" w:space="0" w:color="auto"/>
                <w:right w:val="none" w:sz="0" w:space="0" w:color="auto"/>
              </w:divBdr>
            </w:div>
            <w:div w:id="824006725">
              <w:marLeft w:val="0"/>
              <w:marRight w:val="0"/>
              <w:marTop w:val="0"/>
              <w:marBottom w:val="0"/>
              <w:divBdr>
                <w:top w:val="none" w:sz="0" w:space="0" w:color="auto"/>
                <w:left w:val="none" w:sz="0" w:space="0" w:color="auto"/>
                <w:bottom w:val="none" w:sz="0" w:space="0" w:color="auto"/>
                <w:right w:val="none" w:sz="0" w:space="0" w:color="auto"/>
              </w:divBdr>
            </w:div>
            <w:div w:id="989333982">
              <w:marLeft w:val="0"/>
              <w:marRight w:val="0"/>
              <w:marTop w:val="0"/>
              <w:marBottom w:val="0"/>
              <w:divBdr>
                <w:top w:val="none" w:sz="0" w:space="0" w:color="auto"/>
                <w:left w:val="none" w:sz="0" w:space="0" w:color="auto"/>
                <w:bottom w:val="none" w:sz="0" w:space="0" w:color="auto"/>
                <w:right w:val="none" w:sz="0" w:space="0" w:color="auto"/>
              </w:divBdr>
            </w:div>
            <w:div w:id="1009212322">
              <w:marLeft w:val="0"/>
              <w:marRight w:val="0"/>
              <w:marTop w:val="0"/>
              <w:marBottom w:val="0"/>
              <w:divBdr>
                <w:top w:val="none" w:sz="0" w:space="0" w:color="auto"/>
                <w:left w:val="none" w:sz="0" w:space="0" w:color="auto"/>
                <w:bottom w:val="none" w:sz="0" w:space="0" w:color="auto"/>
                <w:right w:val="none" w:sz="0" w:space="0" w:color="auto"/>
              </w:divBdr>
            </w:div>
            <w:div w:id="1045638958">
              <w:marLeft w:val="0"/>
              <w:marRight w:val="0"/>
              <w:marTop w:val="0"/>
              <w:marBottom w:val="0"/>
              <w:divBdr>
                <w:top w:val="none" w:sz="0" w:space="0" w:color="auto"/>
                <w:left w:val="none" w:sz="0" w:space="0" w:color="auto"/>
                <w:bottom w:val="none" w:sz="0" w:space="0" w:color="auto"/>
                <w:right w:val="none" w:sz="0" w:space="0" w:color="auto"/>
              </w:divBdr>
            </w:div>
            <w:div w:id="1047416475">
              <w:marLeft w:val="0"/>
              <w:marRight w:val="0"/>
              <w:marTop w:val="0"/>
              <w:marBottom w:val="0"/>
              <w:divBdr>
                <w:top w:val="none" w:sz="0" w:space="0" w:color="auto"/>
                <w:left w:val="none" w:sz="0" w:space="0" w:color="auto"/>
                <w:bottom w:val="none" w:sz="0" w:space="0" w:color="auto"/>
                <w:right w:val="none" w:sz="0" w:space="0" w:color="auto"/>
              </w:divBdr>
            </w:div>
            <w:div w:id="1230267039">
              <w:marLeft w:val="0"/>
              <w:marRight w:val="0"/>
              <w:marTop w:val="0"/>
              <w:marBottom w:val="0"/>
              <w:divBdr>
                <w:top w:val="none" w:sz="0" w:space="0" w:color="auto"/>
                <w:left w:val="none" w:sz="0" w:space="0" w:color="auto"/>
                <w:bottom w:val="none" w:sz="0" w:space="0" w:color="auto"/>
                <w:right w:val="none" w:sz="0" w:space="0" w:color="auto"/>
              </w:divBdr>
            </w:div>
            <w:div w:id="1239751200">
              <w:marLeft w:val="0"/>
              <w:marRight w:val="0"/>
              <w:marTop w:val="0"/>
              <w:marBottom w:val="0"/>
              <w:divBdr>
                <w:top w:val="none" w:sz="0" w:space="0" w:color="auto"/>
                <w:left w:val="none" w:sz="0" w:space="0" w:color="auto"/>
                <w:bottom w:val="none" w:sz="0" w:space="0" w:color="auto"/>
                <w:right w:val="none" w:sz="0" w:space="0" w:color="auto"/>
              </w:divBdr>
            </w:div>
            <w:div w:id="1361009659">
              <w:marLeft w:val="0"/>
              <w:marRight w:val="0"/>
              <w:marTop w:val="0"/>
              <w:marBottom w:val="0"/>
              <w:divBdr>
                <w:top w:val="none" w:sz="0" w:space="0" w:color="auto"/>
                <w:left w:val="none" w:sz="0" w:space="0" w:color="auto"/>
                <w:bottom w:val="none" w:sz="0" w:space="0" w:color="auto"/>
                <w:right w:val="none" w:sz="0" w:space="0" w:color="auto"/>
              </w:divBdr>
            </w:div>
            <w:div w:id="1495410112">
              <w:marLeft w:val="0"/>
              <w:marRight w:val="0"/>
              <w:marTop w:val="0"/>
              <w:marBottom w:val="0"/>
              <w:divBdr>
                <w:top w:val="none" w:sz="0" w:space="0" w:color="auto"/>
                <w:left w:val="none" w:sz="0" w:space="0" w:color="auto"/>
                <w:bottom w:val="none" w:sz="0" w:space="0" w:color="auto"/>
                <w:right w:val="none" w:sz="0" w:space="0" w:color="auto"/>
              </w:divBdr>
            </w:div>
            <w:div w:id="1495680774">
              <w:marLeft w:val="0"/>
              <w:marRight w:val="0"/>
              <w:marTop w:val="0"/>
              <w:marBottom w:val="0"/>
              <w:divBdr>
                <w:top w:val="none" w:sz="0" w:space="0" w:color="auto"/>
                <w:left w:val="none" w:sz="0" w:space="0" w:color="auto"/>
                <w:bottom w:val="none" w:sz="0" w:space="0" w:color="auto"/>
                <w:right w:val="none" w:sz="0" w:space="0" w:color="auto"/>
              </w:divBdr>
            </w:div>
            <w:div w:id="1739790935">
              <w:marLeft w:val="0"/>
              <w:marRight w:val="0"/>
              <w:marTop w:val="0"/>
              <w:marBottom w:val="0"/>
              <w:divBdr>
                <w:top w:val="none" w:sz="0" w:space="0" w:color="auto"/>
                <w:left w:val="none" w:sz="0" w:space="0" w:color="auto"/>
                <w:bottom w:val="none" w:sz="0" w:space="0" w:color="auto"/>
                <w:right w:val="none" w:sz="0" w:space="0" w:color="auto"/>
              </w:divBdr>
            </w:div>
            <w:div w:id="1902055709">
              <w:marLeft w:val="0"/>
              <w:marRight w:val="0"/>
              <w:marTop w:val="0"/>
              <w:marBottom w:val="0"/>
              <w:divBdr>
                <w:top w:val="none" w:sz="0" w:space="0" w:color="auto"/>
                <w:left w:val="none" w:sz="0" w:space="0" w:color="auto"/>
                <w:bottom w:val="none" w:sz="0" w:space="0" w:color="auto"/>
                <w:right w:val="none" w:sz="0" w:space="0" w:color="auto"/>
              </w:divBdr>
            </w:div>
            <w:div w:id="1961260695">
              <w:marLeft w:val="0"/>
              <w:marRight w:val="0"/>
              <w:marTop w:val="0"/>
              <w:marBottom w:val="0"/>
              <w:divBdr>
                <w:top w:val="none" w:sz="0" w:space="0" w:color="auto"/>
                <w:left w:val="none" w:sz="0" w:space="0" w:color="auto"/>
                <w:bottom w:val="none" w:sz="0" w:space="0" w:color="auto"/>
                <w:right w:val="none" w:sz="0" w:space="0" w:color="auto"/>
              </w:divBdr>
            </w:div>
            <w:div w:id="1994411190">
              <w:marLeft w:val="0"/>
              <w:marRight w:val="0"/>
              <w:marTop w:val="0"/>
              <w:marBottom w:val="0"/>
              <w:divBdr>
                <w:top w:val="none" w:sz="0" w:space="0" w:color="auto"/>
                <w:left w:val="none" w:sz="0" w:space="0" w:color="auto"/>
                <w:bottom w:val="none" w:sz="0" w:space="0" w:color="auto"/>
                <w:right w:val="none" w:sz="0" w:space="0" w:color="auto"/>
              </w:divBdr>
            </w:div>
            <w:div w:id="2100903411">
              <w:marLeft w:val="0"/>
              <w:marRight w:val="0"/>
              <w:marTop w:val="0"/>
              <w:marBottom w:val="0"/>
              <w:divBdr>
                <w:top w:val="none" w:sz="0" w:space="0" w:color="auto"/>
                <w:left w:val="none" w:sz="0" w:space="0" w:color="auto"/>
                <w:bottom w:val="none" w:sz="0" w:space="0" w:color="auto"/>
                <w:right w:val="none" w:sz="0" w:space="0" w:color="auto"/>
              </w:divBdr>
            </w:div>
            <w:div w:id="2135975187">
              <w:marLeft w:val="0"/>
              <w:marRight w:val="0"/>
              <w:marTop w:val="0"/>
              <w:marBottom w:val="0"/>
              <w:divBdr>
                <w:top w:val="none" w:sz="0" w:space="0" w:color="auto"/>
                <w:left w:val="none" w:sz="0" w:space="0" w:color="auto"/>
                <w:bottom w:val="none" w:sz="0" w:space="0" w:color="auto"/>
                <w:right w:val="none" w:sz="0" w:space="0" w:color="auto"/>
              </w:divBdr>
            </w:div>
          </w:divsChild>
        </w:div>
        <w:div w:id="1303385240">
          <w:marLeft w:val="0"/>
          <w:marRight w:val="0"/>
          <w:marTop w:val="0"/>
          <w:marBottom w:val="0"/>
          <w:divBdr>
            <w:top w:val="none" w:sz="0" w:space="0" w:color="auto"/>
            <w:left w:val="none" w:sz="0" w:space="0" w:color="auto"/>
            <w:bottom w:val="none" w:sz="0" w:space="0" w:color="auto"/>
            <w:right w:val="none" w:sz="0" w:space="0" w:color="auto"/>
          </w:divBdr>
        </w:div>
        <w:div w:id="1353068146">
          <w:marLeft w:val="0"/>
          <w:marRight w:val="0"/>
          <w:marTop w:val="0"/>
          <w:marBottom w:val="0"/>
          <w:divBdr>
            <w:top w:val="none" w:sz="0" w:space="0" w:color="auto"/>
            <w:left w:val="none" w:sz="0" w:space="0" w:color="auto"/>
            <w:bottom w:val="none" w:sz="0" w:space="0" w:color="auto"/>
            <w:right w:val="none" w:sz="0" w:space="0" w:color="auto"/>
          </w:divBdr>
        </w:div>
        <w:div w:id="1382825654">
          <w:marLeft w:val="0"/>
          <w:marRight w:val="0"/>
          <w:marTop w:val="0"/>
          <w:marBottom w:val="0"/>
          <w:divBdr>
            <w:top w:val="none" w:sz="0" w:space="0" w:color="auto"/>
            <w:left w:val="none" w:sz="0" w:space="0" w:color="auto"/>
            <w:bottom w:val="none" w:sz="0" w:space="0" w:color="auto"/>
            <w:right w:val="none" w:sz="0" w:space="0" w:color="auto"/>
          </w:divBdr>
        </w:div>
        <w:div w:id="1389112003">
          <w:marLeft w:val="0"/>
          <w:marRight w:val="0"/>
          <w:marTop w:val="0"/>
          <w:marBottom w:val="0"/>
          <w:divBdr>
            <w:top w:val="none" w:sz="0" w:space="0" w:color="auto"/>
            <w:left w:val="none" w:sz="0" w:space="0" w:color="auto"/>
            <w:bottom w:val="none" w:sz="0" w:space="0" w:color="auto"/>
            <w:right w:val="none" w:sz="0" w:space="0" w:color="auto"/>
          </w:divBdr>
        </w:div>
        <w:div w:id="1430615292">
          <w:marLeft w:val="0"/>
          <w:marRight w:val="0"/>
          <w:marTop w:val="0"/>
          <w:marBottom w:val="0"/>
          <w:divBdr>
            <w:top w:val="none" w:sz="0" w:space="0" w:color="auto"/>
            <w:left w:val="none" w:sz="0" w:space="0" w:color="auto"/>
            <w:bottom w:val="none" w:sz="0" w:space="0" w:color="auto"/>
            <w:right w:val="none" w:sz="0" w:space="0" w:color="auto"/>
          </w:divBdr>
        </w:div>
        <w:div w:id="1513642391">
          <w:marLeft w:val="0"/>
          <w:marRight w:val="0"/>
          <w:marTop w:val="0"/>
          <w:marBottom w:val="0"/>
          <w:divBdr>
            <w:top w:val="none" w:sz="0" w:space="0" w:color="auto"/>
            <w:left w:val="none" w:sz="0" w:space="0" w:color="auto"/>
            <w:bottom w:val="none" w:sz="0" w:space="0" w:color="auto"/>
            <w:right w:val="none" w:sz="0" w:space="0" w:color="auto"/>
          </w:divBdr>
        </w:div>
        <w:div w:id="1544639248">
          <w:marLeft w:val="0"/>
          <w:marRight w:val="0"/>
          <w:marTop w:val="0"/>
          <w:marBottom w:val="0"/>
          <w:divBdr>
            <w:top w:val="none" w:sz="0" w:space="0" w:color="auto"/>
            <w:left w:val="none" w:sz="0" w:space="0" w:color="auto"/>
            <w:bottom w:val="none" w:sz="0" w:space="0" w:color="auto"/>
            <w:right w:val="none" w:sz="0" w:space="0" w:color="auto"/>
          </w:divBdr>
        </w:div>
        <w:div w:id="1564441706">
          <w:marLeft w:val="0"/>
          <w:marRight w:val="0"/>
          <w:marTop w:val="0"/>
          <w:marBottom w:val="0"/>
          <w:divBdr>
            <w:top w:val="none" w:sz="0" w:space="0" w:color="auto"/>
            <w:left w:val="none" w:sz="0" w:space="0" w:color="auto"/>
            <w:bottom w:val="none" w:sz="0" w:space="0" w:color="auto"/>
            <w:right w:val="none" w:sz="0" w:space="0" w:color="auto"/>
          </w:divBdr>
        </w:div>
        <w:div w:id="1719817727">
          <w:marLeft w:val="0"/>
          <w:marRight w:val="0"/>
          <w:marTop w:val="0"/>
          <w:marBottom w:val="0"/>
          <w:divBdr>
            <w:top w:val="none" w:sz="0" w:space="0" w:color="auto"/>
            <w:left w:val="none" w:sz="0" w:space="0" w:color="auto"/>
            <w:bottom w:val="none" w:sz="0" w:space="0" w:color="auto"/>
            <w:right w:val="none" w:sz="0" w:space="0" w:color="auto"/>
          </w:divBdr>
        </w:div>
        <w:div w:id="1758987030">
          <w:marLeft w:val="0"/>
          <w:marRight w:val="0"/>
          <w:marTop w:val="0"/>
          <w:marBottom w:val="0"/>
          <w:divBdr>
            <w:top w:val="none" w:sz="0" w:space="0" w:color="auto"/>
            <w:left w:val="none" w:sz="0" w:space="0" w:color="auto"/>
            <w:bottom w:val="none" w:sz="0" w:space="0" w:color="auto"/>
            <w:right w:val="none" w:sz="0" w:space="0" w:color="auto"/>
          </w:divBdr>
        </w:div>
        <w:div w:id="1769233411">
          <w:marLeft w:val="0"/>
          <w:marRight w:val="0"/>
          <w:marTop w:val="0"/>
          <w:marBottom w:val="0"/>
          <w:divBdr>
            <w:top w:val="none" w:sz="0" w:space="0" w:color="auto"/>
            <w:left w:val="none" w:sz="0" w:space="0" w:color="auto"/>
            <w:bottom w:val="none" w:sz="0" w:space="0" w:color="auto"/>
            <w:right w:val="none" w:sz="0" w:space="0" w:color="auto"/>
          </w:divBdr>
        </w:div>
        <w:div w:id="1817338126">
          <w:marLeft w:val="0"/>
          <w:marRight w:val="0"/>
          <w:marTop w:val="0"/>
          <w:marBottom w:val="0"/>
          <w:divBdr>
            <w:top w:val="none" w:sz="0" w:space="0" w:color="auto"/>
            <w:left w:val="none" w:sz="0" w:space="0" w:color="auto"/>
            <w:bottom w:val="none" w:sz="0" w:space="0" w:color="auto"/>
            <w:right w:val="none" w:sz="0" w:space="0" w:color="auto"/>
          </w:divBdr>
        </w:div>
        <w:div w:id="1838809780">
          <w:marLeft w:val="0"/>
          <w:marRight w:val="0"/>
          <w:marTop w:val="0"/>
          <w:marBottom w:val="0"/>
          <w:divBdr>
            <w:top w:val="none" w:sz="0" w:space="0" w:color="auto"/>
            <w:left w:val="none" w:sz="0" w:space="0" w:color="auto"/>
            <w:bottom w:val="none" w:sz="0" w:space="0" w:color="auto"/>
            <w:right w:val="none" w:sz="0" w:space="0" w:color="auto"/>
          </w:divBdr>
        </w:div>
        <w:div w:id="1856074676">
          <w:marLeft w:val="0"/>
          <w:marRight w:val="0"/>
          <w:marTop w:val="0"/>
          <w:marBottom w:val="0"/>
          <w:divBdr>
            <w:top w:val="none" w:sz="0" w:space="0" w:color="auto"/>
            <w:left w:val="none" w:sz="0" w:space="0" w:color="auto"/>
            <w:bottom w:val="none" w:sz="0" w:space="0" w:color="auto"/>
            <w:right w:val="none" w:sz="0" w:space="0" w:color="auto"/>
          </w:divBdr>
        </w:div>
        <w:div w:id="1901086755">
          <w:marLeft w:val="0"/>
          <w:marRight w:val="0"/>
          <w:marTop w:val="0"/>
          <w:marBottom w:val="0"/>
          <w:divBdr>
            <w:top w:val="none" w:sz="0" w:space="0" w:color="auto"/>
            <w:left w:val="none" w:sz="0" w:space="0" w:color="auto"/>
            <w:bottom w:val="none" w:sz="0" w:space="0" w:color="auto"/>
            <w:right w:val="none" w:sz="0" w:space="0" w:color="auto"/>
          </w:divBdr>
        </w:div>
        <w:div w:id="1981417919">
          <w:marLeft w:val="0"/>
          <w:marRight w:val="0"/>
          <w:marTop w:val="0"/>
          <w:marBottom w:val="0"/>
          <w:divBdr>
            <w:top w:val="none" w:sz="0" w:space="0" w:color="auto"/>
            <w:left w:val="none" w:sz="0" w:space="0" w:color="auto"/>
            <w:bottom w:val="none" w:sz="0" w:space="0" w:color="auto"/>
            <w:right w:val="none" w:sz="0" w:space="0" w:color="auto"/>
          </w:divBdr>
        </w:div>
        <w:div w:id="1993213471">
          <w:marLeft w:val="0"/>
          <w:marRight w:val="0"/>
          <w:marTop w:val="0"/>
          <w:marBottom w:val="0"/>
          <w:divBdr>
            <w:top w:val="none" w:sz="0" w:space="0" w:color="auto"/>
            <w:left w:val="none" w:sz="0" w:space="0" w:color="auto"/>
            <w:bottom w:val="none" w:sz="0" w:space="0" w:color="auto"/>
            <w:right w:val="none" w:sz="0" w:space="0" w:color="auto"/>
          </w:divBdr>
        </w:div>
        <w:div w:id="2144230714">
          <w:marLeft w:val="0"/>
          <w:marRight w:val="0"/>
          <w:marTop w:val="0"/>
          <w:marBottom w:val="0"/>
          <w:divBdr>
            <w:top w:val="none" w:sz="0" w:space="0" w:color="auto"/>
            <w:left w:val="none" w:sz="0" w:space="0" w:color="auto"/>
            <w:bottom w:val="none" w:sz="0" w:space="0" w:color="auto"/>
            <w:right w:val="none" w:sz="0" w:space="0" w:color="auto"/>
          </w:divBdr>
        </w:div>
      </w:divsChild>
    </w:div>
    <w:div w:id="1065184984">
      <w:bodyDiv w:val="1"/>
      <w:marLeft w:val="0"/>
      <w:marRight w:val="0"/>
      <w:marTop w:val="0"/>
      <w:marBottom w:val="0"/>
      <w:divBdr>
        <w:top w:val="none" w:sz="0" w:space="0" w:color="auto"/>
        <w:left w:val="none" w:sz="0" w:space="0" w:color="auto"/>
        <w:bottom w:val="none" w:sz="0" w:space="0" w:color="auto"/>
        <w:right w:val="none" w:sz="0" w:space="0" w:color="auto"/>
      </w:divBdr>
    </w:div>
    <w:div w:id="1142771244">
      <w:bodyDiv w:val="1"/>
      <w:marLeft w:val="0"/>
      <w:marRight w:val="0"/>
      <w:marTop w:val="0"/>
      <w:marBottom w:val="0"/>
      <w:divBdr>
        <w:top w:val="none" w:sz="0" w:space="0" w:color="auto"/>
        <w:left w:val="none" w:sz="0" w:space="0" w:color="auto"/>
        <w:bottom w:val="none" w:sz="0" w:space="0" w:color="auto"/>
        <w:right w:val="none" w:sz="0" w:space="0" w:color="auto"/>
      </w:divBdr>
    </w:div>
    <w:div w:id="1196580162">
      <w:bodyDiv w:val="1"/>
      <w:marLeft w:val="0"/>
      <w:marRight w:val="0"/>
      <w:marTop w:val="0"/>
      <w:marBottom w:val="0"/>
      <w:divBdr>
        <w:top w:val="none" w:sz="0" w:space="0" w:color="auto"/>
        <w:left w:val="none" w:sz="0" w:space="0" w:color="auto"/>
        <w:bottom w:val="none" w:sz="0" w:space="0" w:color="auto"/>
        <w:right w:val="none" w:sz="0" w:space="0" w:color="auto"/>
      </w:divBdr>
    </w:div>
    <w:div w:id="1388263350">
      <w:bodyDiv w:val="1"/>
      <w:marLeft w:val="0"/>
      <w:marRight w:val="0"/>
      <w:marTop w:val="0"/>
      <w:marBottom w:val="0"/>
      <w:divBdr>
        <w:top w:val="none" w:sz="0" w:space="0" w:color="auto"/>
        <w:left w:val="none" w:sz="0" w:space="0" w:color="auto"/>
        <w:bottom w:val="none" w:sz="0" w:space="0" w:color="auto"/>
        <w:right w:val="none" w:sz="0" w:space="0" w:color="auto"/>
      </w:divBdr>
    </w:div>
    <w:div w:id="1436439938">
      <w:bodyDiv w:val="1"/>
      <w:marLeft w:val="0"/>
      <w:marRight w:val="0"/>
      <w:marTop w:val="0"/>
      <w:marBottom w:val="0"/>
      <w:divBdr>
        <w:top w:val="none" w:sz="0" w:space="0" w:color="auto"/>
        <w:left w:val="none" w:sz="0" w:space="0" w:color="auto"/>
        <w:bottom w:val="none" w:sz="0" w:space="0" w:color="auto"/>
        <w:right w:val="none" w:sz="0" w:space="0" w:color="auto"/>
      </w:divBdr>
    </w:div>
    <w:div w:id="1442648967">
      <w:bodyDiv w:val="1"/>
      <w:marLeft w:val="0"/>
      <w:marRight w:val="0"/>
      <w:marTop w:val="0"/>
      <w:marBottom w:val="0"/>
      <w:divBdr>
        <w:top w:val="none" w:sz="0" w:space="0" w:color="auto"/>
        <w:left w:val="none" w:sz="0" w:space="0" w:color="auto"/>
        <w:bottom w:val="none" w:sz="0" w:space="0" w:color="auto"/>
        <w:right w:val="none" w:sz="0" w:space="0" w:color="auto"/>
      </w:divBdr>
    </w:div>
    <w:div w:id="1447894546">
      <w:bodyDiv w:val="1"/>
      <w:marLeft w:val="0"/>
      <w:marRight w:val="0"/>
      <w:marTop w:val="0"/>
      <w:marBottom w:val="0"/>
      <w:divBdr>
        <w:top w:val="none" w:sz="0" w:space="0" w:color="auto"/>
        <w:left w:val="none" w:sz="0" w:space="0" w:color="auto"/>
        <w:bottom w:val="none" w:sz="0" w:space="0" w:color="auto"/>
        <w:right w:val="none" w:sz="0" w:space="0" w:color="auto"/>
      </w:divBdr>
    </w:div>
    <w:div w:id="1479415846">
      <w:bodyDiv w:val="1"/>
      <w:marLeft w:val="0"/>
      <w:marRight w:val="0"/>
      <w:marTop w:val="0"/>
      <w:marBottom w:val="0"/>
      <w:divBdr>
        <w:top w:val="none" w:sz="0" w:space="0" w:color="auto"/>
        <w:left w:val="none" w:sz="0" w:space="0" w:color="auto"/>
        <w:bottom w:val="none" w:sz="0" w:space="0" w:color="auto"/>
        <w:right w:val="none" w:sz="0" w:space="0" w:color="auto"/>
      </w:divBdr>
    </w:div>
    <w:div w:id="1521046755">
      <w:bodyDiv w:val="1"/>
      <w:marLeft w:val="0"/>
      <w:marRight w:val="0"/>
      <w:marTop w:val="0"/>
      <w:marBottom w:val="0"/>
      <w:divBdr>
        <w:top w:val="none" w:sz="0" w:space="0" w:color="auto"/>
        <w:left w:val="none" w:sz="0" w:space="0" w:color="auto"/>
        <w:bottom w:val="none" w:sz="0" w:space="0" w:color="auto"/>
        <w:right w:val="none" w:sz="0" w:space="0" w:color="auto"/>
      </w:divBdr>
    </w:div>
    <w:div w:id="1577083015">
      <w:bodyDiv w:val="1"/>
      <w:marLeft w:val="0"/>
      <w:marRight w:val="0"/>
      <w:marTop w:val="0"/>
      <w:marBottom w:val="0"/>
      <w:divBdr>
        <w:top w:val="none" w:sz="0" w:space="0" w:color="auto"/>
        <w:left w:val="none" w:sz="0" w:space="0" w:color="auto"/>
        <w:bottom w:val="none" w:sz="0" w:space="0" w:color="auto"/>
        <w:right w:val="none" w:sz="0" w:space="0" w:color="auto"/>
      </w:divBdr>
    </w:div>
    <w:div w:id="1830168522">
      <w:bodyDiv w:val="1"/>
      <w:marLeft w:val="0"/>
      <w:marRight w:val="0"/>
      <w:marTop w:val="0"/>
      <w:marBottom w:val="0"/>
      <w:divBdr>
        <w:top w:val="none" w:sz="0" w:space="0" w:color="auto"/>
        <w:left w:val="none" w:sz="0" w:space="0" w:color="auto"/>
        <w:bottom w:val="none" w:sz="0" w:space="0" w:color="auto"/>
        <w:right w:val="none" w:sz="0" w:space="0" w:color="auto"/>
      </w:divBdr>
    </w:div>
    <w:div w:id="1897084317">
      <w:bodyDiv w:val="1"/>
      <w:marLeft w:val="0"/>
      <w:marRight w:val="0"/>
      <w:marTop w:val="0"/>
      <w:marBottom w:val="0"/>
      <w:divBdr>
        <w:top w:val="none" w:sz="0" w:space="0" w:color="auto"/>
        <w:left w:val="none" w:sz="0" w:space="0" w:color="auto"/>
        <w:bottom w:val="none" w:sz="0" w:space="0" w:color="auto"/>
        <w:right w:val="none" w:sz="0" w:space="0" w:color="auto"/>
      </w:divBdr>
    </w:div>
    <w:div w:id="1930385566">
      <w:bodyDiv w:val="1"/>
      <w:marLeft w:val="0"/>
      <w:marRight w:val="0"/>
      <w:marTop w:val="0"/>
      <w:marBottom w:val="0"/>
      <w:divBdr>
        <w:top w:val="none" w:sz="0" w:space="0" w:color="auto"/>
        <w:left w:val="none" w:sz="0" w:space="0" w:color="auto"/>
        <w:bottom w:val="none" w:sz="0" w:space="0" w:color="auto"/>
        <w:right w:val="none" w:sz="0" w:space="0" w:color="auto"/>
      </w:divBdr>
    </w:div>
    <w:div w:id="1964769483">
      <w:bodyDiv w:val="1"/>
      <w:marLeft w:val="0"/>
      <w:marRight w:val="0"/>
      <w:marTop w:val="0"/>
      <w:marBottom w:val="0"/>
      <w:divBdr>
        <w:top w:val="none" w:sz="0" w:space="0" w:color="auto"/>
        <w:left w:val="none" w:sz="0" w:space="0" w:color="auto"/>
        <w:bottom w:val="none" w:sz="0" w:space="0" w:color="auto"/>
        <w:right w:val="none" w:sz="0" w:space="0" w:color="auto"/>
      </w:divBdr>
    </w:div>
    <w:div w:id="212430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1259</Words>
  <Characters>7178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Monitoring Report Q1 2025/26</dc:title>
  <dc:subject/>
  <dc:creator/>
  <cp:keywords/>
  <dc:description/>
  <cp:lastModifiedBy/>
  <cp:revision>1</cp:revision>
  <dcterms:created xsi:type="dcterms:W3CDTF">2025-10-01T16:05:00Z</dcterms:created>
  <dcterms:modified xsi:type="dcterms:W3CDTF">2025-10-01T16:07:00Z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ceb4eb6,314f3af3,6f568efe</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4113863e,e535f9c,6b5167b1</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2025-10-01T16:07:02Z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bf65acc7-6469-4b27-830e-f705fa4d127d</vt:lpwstr>
  </property>
  <property fmtid="{D5CDD505-2E9C-101B-9397-08002B2CF9AE}" pid="14" name="MSIP_Label_ea4fd52f-9814-4cae-aa53-0ea7b16cd381_ContentBits">
    <vt:lpwstr>3</vt:lpwstr>
  </property>
  <property fmtid="{D5CDD505-2E9C-101B-9397-08002B2CF9AE}" pid="15" name="MSIP_Label_ea4fd52f-9814-4cae-aa53-0ea7b16cd381_Tag">
    <vt:lpwstr>10, 0, 1, 1</vt:lpwstr>
  </property>
</Properties>
</file>