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1923907"/>
        <w:docPartObj>
          <w:docPartGallery w:val="Cover Pages"/>
          <w:docPartUnique/>
        </w:docPartObj>
      </w:sdtPr>
      <w:sdtContent>
        <w:p w14:paraId="0DE7AAA4" w14:textId="77777777" w:rsidR="004073BC" w:rsidRDefault="00F72274" w:rsidP="00F72274">
          <w:r>
            <w:rPr>
              <w:noProof/>
            </w:rPr>
            <w:drawing>
              <wp:anchor distT="0" distB="0" distL="114300" distR="114300" simplePos="0" relativeHeight="251658241" behindDoc="1" locked="0" layoutInCell="1" allowOverlap="1" wp14:anchorId="7D33EC4B" wp14:editId="3B5D26BD">
                <wp:simplePos x="0" y="0"/>
                <wp:positionH relativeFrom="column">
                  <wp:posOffset>-532765</wp:posOffset>
                </wp:positionH>
                <wp:positionV relativeFrom="paragraph">
                  <wp:posOffset>-717550</wp:posOffset>
                </wp:positionV>
                <wp:extent cx="7559645" cy="10875645"/>
                <wp:effectExtent l="0" t="0" r="3810" b="190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2095" cy="10879170"/>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65E5337E" wp14:editId="260B0046">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p>
        <w:p w14:paraId="0B8A0683" w14:textId="77777777" w:rsidR="004073BC" w:rsidRDefault="004073BC" w:rsidP="008C1A73"/>
        <w:p w14:paraId="49287428" w14:textId="77777777" w:rsidR="004073BC" w:rsidRDefault="004073BC" w:rsidP="008C1A73"/>
        <w:p w14:paraId="2FFCEE96" w14:textId="77777777" w:rsidR="004073BC" w:rsidRDefault="004073BC" w:rsidP="008C1A73"/>
        <w:p w14:paraId="1559B1FC" w14:textId="77777777" w:rsidR="004073BC" w:rsidRDefault="004073BC" w:rsidP="008C1A73"/>
        <w:p w14:paraId="2D0DBA95" w14:textId="77777777" w:rsidR="004073BC" w:rsidRDefault="004073BC" w:rsidP="008C1A73"/>
        <w:p w14:paraId="02BBBC27" w14:textId="77777777" w:rsidR="00281BB1" w:rsidRDefault="00281BB1" w:rsidP="00281BB1">
          <w:pPr>
            <w:rPr>
              <w:b/>
              <w:bCs/>
              <w:color w:val="FFFFFF" w:themeColor="background1"/>
              <w:sz w:val="84"/>
              <w:szCs w:val="84"/>
            </w:rPr>
          </w:pPr>
        </w:p>
        <w:p w14:paraId="772DC55C" w14:textId="34D107F7" w:rsidR="00801105" w:rsidRDefault="00281BB1" w:rsidP="00B42845">
          <w:pPr>
            <w:spacing w:line="240" w:lineRule="auto"/>
            <w:rPr>
              <w:b/>
              <w:bCs/>
              <w:color w:val="FFFFFF" w:themeColor="background1"/>
              <w:sz w:val="84"/>
              <w:szCs w:val="84"/>
            </w:rPr>
          </w:pPr>
          <w:r>
            <w:rPr>
              <w:noProof/>
            </w:rPr>
            <mc:AlternateContent>
              <mc:Choice Requires="wps">
                <w:drawing>
                  <wp:anchor distT="0" distB="0" distL="114300" distR="114300" simplePos="0" relativeHeight="251658240" behindDoc="0" locked="1" layoutInCell="1" allowOverlap="1" wp14:anchorId="545BE8CB" wp14:editId="485E6BF3">
                    <wp:simplePos x="0" y="0"/>
                    <wp:positionH relativeFrom="column">
                      <wp:posOffset>124460</wp:posOffset>
                    </wp:positionH>
                    <wp:positionV relativeFrom="paragraph">
                      <wp:posOffset>6338570</wp:posOffset>
                    </wp:positionV>
                    <wp:extent cx="4308475" cy="178435"/>
                    <wp:effectExtent l="0" t="0" r="0" b="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08475" cy="178435"/>
                            </a:xfrm>
                            <a:prstGeom prst="rect">
                              <a:avLst/>
                            </a:prstGeom>
                            <a:noFill/>
                            <a:ln w="6350">
                              <a:noFill/>
                            </a:ln>
                          </wps:spPr>
                          <wps:txbx>
                            <w:txbxContent>
                              <w:p w14:paraId="211A22D4" w14:textId="78FD12AB" w:rsidR="00281BB1" w:rsidRPr="009A240D" w:rsidRDefault="00BF4C93" w:rsidP="00281BB1">
                                <w:pPr>
                                  <w:pStyle w:val="BodyText1"/>
                                  <w:rPr>
                                    <w:color w:val="FFFFFF" w:themeColor="background1"/>
                                  </w:rPr>
                                </w:pPr>
                                <w:r>
                                  <w:rPr>
                                    <w:color w:val="FFFFFF" w:themeColor="background1"/>
                                  </w:rPr>
                                  <w:t xml:space="preserve">Version </w:t>
                                </w:r>
                                <w:r w:rsidR="00D112F7">
                                  <w:rPr>
                                    <w:color w:val="FFFFFF" w:themeColor="background1"/>
                                  </w:rPr>
                                  <w:t>2</w:t>
                                </w:r>
                                <w:r>
                                  <w:rPr>
                                    <w:color w:val="FFFFFF" w:themeColor="background1"/>
                                  </w:rPr>
                                  <w:t xml:space="preserve"> – </w:t>
                                </w:r>
                                <w:r w:rsidR="00D7596B">
                                  <w:rPr>
                                    <w:color w:val="FFFFFF" w:themeColor="background1"/>
                                  </w:rPr>
                                  <w:t>Octo</w:t>
                                </w:r>
                                <w:r>
                                  <w:rPr>
                                    <w:color w:val="FFFFFF" w:themeColor="background1"/>
                                  </w:rPr>
                                  <w:t>ber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5BE8CB" id="_x0000_t202" coordsize="21600,21600" o:spt="202" path="m,l,21600r21600,l21600,xe">
                    <v:stroke joinstyle="miter"/>
                    <v:path gradientshapeok="t" o:connecttype="rect"/>
                  </v:shapetype>
                  <v:shape id="Text Box 3" o:spid="_x0000_s1026" type="#_x0000_t202" alt="&quot;&quot;" style="position:absolute;margin-left:9.8pt;margin-top:499.1pt;width:339.25pt;height:1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" filled="f" stroked="f" strokeweight=".5pt">
                    <v:textbox inset="0,0,0,0">
                      <w:txbxContent>
                        <w:p w14:paraId="211A22D4" w14:textId="78FD12AB" w:rsidR="00281BB1" w:rsidRPr="009A240D" w:rsidRDefault="00BF4C93" w:rsidP="00281BB1">
                          <w:pPr>
                            <w:pStyle w:val="BodyText1"/>
                            <w:rPr>
                              <w:color w:val="FFFFFF" w:themeColor="background1"/>
                            </w:rPr>
                          </w:pPr>
                          <w:r>
                            <w:rPr>
                              <w:color w:val="FFFFFF" w:themeColor="background1"/>
                            </w:rPr>
                            <w:t xml:space="preserve">Version </w:t>
                          </w:r>
                          <w:r w:rsidR="00D112F7">
                            <w:rPr>
                              <w:color w:val="FFFFFF" w:themeColor="background1"/>
                            </w:rPr>
                            <w:t>2</w:t>
                          </w:r>
                          <w:r>
                            <w:rPr>
                              <w:color w:val="FFFFFF" w:themeColor="background1"/>
                            </w:rPr>
                            <w:t xml:space="preserve"> – </w:t>
                          </w:r>
                          <w:r w:rsidR="00D7596B">
                            <w:rPr>
                              <w:color w:val="FFFFFF" w:themeColor="background1"/>
                            </w:rPr>
                            <w:t>Octo</w:t>
                          </w:r>
                          <w:r>
                            <w:rPr>
                              <w:color w:val="FFFFFF" w:themeColor="background1"/>
                            </w:rPr>
                            <w:t>ber 2026</w:t>
                          </w:r>
                        </w:p>
                      </w:txbxContent>
                    </v:textbox>
                    <w10:anchorlock/>
                  </v:shape>
                </w:pict>
              </mc:Fallback>
            </mc:AlternateContent>
          </w:r>
          <w:r w:rsidR="00074330">
            <w:rPr>
              <w:b/>
              <w:bCs/>
              <w:color w:val="FFFFFF" w:themeColor="background1"/>
              <w:sz w:val="84"/>
              <w:szCs w:val="84"/>
            </w:rPr>
            <w:t>D</w:t>
          </w:r>
          <w:r w:rsidR="00F57FFE">
            <w:rPr>
              <w:b/>
              <w:bCs/>
              <w:color w:val="FFFFFF" w:themeColor="background1"/>
              <w:sz w:val="84"/>
              <w:szCs w:val="84"/>
            </w:rPr>
            <w:t>efinition of waste supplementary guidance: D</w:t>
          </w:r>
          <w:r w:rsidR="00074330">
            <w:rPr>
              <w:b/>
              <w:bCs/>
              <w:color w:val="FFFFFF" w:themeColor="background1"/>
              <w:sz w:val="84"/>
              <w:szCs w:val="84"/>
            </w:rPr>
            <w:t>etermining when waste has been fully recovered</w:t>
          </w:r>
        </w:p>
        <w:p w14:paraId="31F9462C" w14:textId="77777777" w:rsidR="008C1A73" w:rsidRPr="00CF7EFB" w:rsidRDefault="008C1A73" w:rsidP="00CF7EFB">
          <w:pPr>
            <w:rPr>
              <w:b/>
              <w:bCs/>
              <w:color w:val="FFFFFF" w:themeColor="background1"/>
              <w:sz w:val="84"/>
              <w:szCs w:val="84"/>
            </w:rPr>
          </w:pPr>
          <w:r>
            <w:br w:type="page"/>
          </w:r>
        </w:p>
      </w:sdtContent>
    </w:sdt>
    <w:sdt>
      <w:sdtPr>
        <w:rPr>
          <w:rFonts w:asciiTheme="minorHAnsi" w:eastAsiaTheme="minorEastAsia" w:hAnsiTheme="minorHAnsi" w:cstheme="minorBidi"/>
          <w:color w:val="auto"/>
          <w:sz w:val="24"/>
          <w:szCs w:val="24"/>
          <w:lang w:eastAsia="en-US"/>
        </w:rPr>
        <w:id w:val="531628655"/>
        <w:docPartObj>
          <w:docPartGallery w:val="Table of Contents"/>
          <w:docPartUnique/>
        </w:docPartObj>
      </w:sdtPr>
      <w:sdtEndPr>
        <w:rPr>
          <w:b/>
          <w:bCs/>
        </w:rPr>
      </w:sdtEndPr>
      <w:sdtContent>
        <w:p w14:paraId="5B4F7491" w14:textId="39305FD0" w:rsidR="00853985" w:rsidRDefault="00853985">
          <w:pPr>
            <w:pStyle w:val="TOCHeading"/>
          </w:pPr>
          <w:r>
            <w:t>Contents</w:t>
          </w:r>
        </w:p>
        <w:p w14:paraId="5CB89246" w14:textId="77777777" w:rsidR="00853985" w:rsidRPr="00853985" w:rsidRDefault="00853985" w:rsidP="00853985">
          <w:pPr>
            <w:rPr>
              <w:lang w:eastAsia="en-GB"/>
            </w:rPr>
          </w:pPr>
        </w:p>
        <w:p w14:paraId="56108C93" w14:textId="70DCDD71" w:rsidR="005C2D5F" w:rsidRDefault="00853985">
          <w:pPr>
            <w:pStyle w:val="TOC1"/>
            <w:tabs>
              <w:tab w:val="right" w:leader="dot" w:pos="10212"/>
            </w:tabs>
            <w:rPr>
              <w:noProof/>
              <w:kern w:val="2"/>
              <w:lang w:eastAsia="en-GB"/>
              <w14:ligatures w14:val="standardContextual"/>
            </w:rPr>
          </w:pPr>
          <w:r>
            <w:fldChar w:fldCharType="begin"/>
          </w:r>
          <w:r>
            <w:instrText xml:space="preserve"> TOC \o "1-3" \h \z \u </w:instrText>
          </w:r>
          <w:r>
            <w:fldChar w:fldCharType="separate"/>
          </w:r>
          <w:hyperlink w:anchor="_Toc242170217" w:history="1">
            <w:r w:rsidR="005C2D5F" w:rsidRPr="00F57EC0">
              <w:rPr>
                <w:rStyle w:val="Hyperlink"/>
                <w:noProof/>
              </w:rPr>
              <w:t>Disclaimer</w:t>
            </w:r>
            <w:r w:rsidR="005C2D5F">
              <w:rPr>
                <w:noProof/>
                <w:webHidden/>
              </w:rPr>
              <w:tab/>
            </w:r>
            <w:r w:rsidR="005C2D5F">
              <w:rPr>
                <w:noProof/>
                <w:webHidden/>
              </w:rPr>
              <w:fldChar w:fldCharType="begin"/>
            </w:r>
            <w:r w:rsidR="005C2D5F">
              <w:rPr>
                <w:noProof/>
                <w:webHidden/>
              </w:rPr>
              <w:instrText xml:space="preserve"> PAGEREF _Toc242170217 \h </w:instrText>
            </w:r>
            <w:r w:rsidR="005C2D5F">
              <w:rPr>
                <w:noProof/>
                <w:webHidden/>
              </w:rPr>
            </w:r>
            <w:r w:rsidR="005C2D5F">
              <w:rPr>
                <w:noProof/>
                <w:webHidden/>
              </w:rPr>
              <w:fldChar w:fldCharType="separate"/>
            </w:r>
            <w:r w:rsidR="005C2D5F">
              <w:rPr>
                <w:noProof/>
                <w:webHidden/>
              </w:rPr>
              <w:t>2</w:t>
            </w:r>
            <w:r w:rsidR="005C2D5F">
              <w:rPr>
                <w:noProof/>
                <w:webHidden/>
              </w:rPr>
              <w:fldChar w:fldCharType="end"/>
            </w:r>
          </w:hyperlink>
        </w:p>
        <w:p w14:paraId="53EDD345" w14:textId="72B8AD53" w:rsidR="005C2D5F" w:rsidRDefault="005C2D5F">
          <w:pPr>
            <w:pStyle w:val="TOC1"/>
            <w:tabs>
              <w:tab w:val="right" w:leader="dot" w:pos="10212"/>
            </w:tabs>
            <w:rPr>
              <w:noProof/>
              <w:kern w:val="2"/>
              <w:lang w:eastAsia="en-GB"/>
              <w14:ligatures w14:val="standardContextual"/>
            </w:rPr>
          </w:pPr>
          <w:hyperlink w:anchor="_Toc242170218" w:history="1">
            <w:r w:rsidRPr="00F57EC0">
              <w:rPr>
                <w:rStyle w:val="Hyperlink"/>
                <w:rFonts w:eastAsia="Times New Roman"/>
                <w:noProof/>
              </w:rPr>
              <w:t>Introduction</w:t>
            </w:r>
            <w:r>
              <w:rPr>
                <w:noProof/>
                <w:webHidden/>
              </w:rPr>
              <w:tab/>
            </w:r>
            <w:r>
              <w:rPr>
                <w:noProof/>
                <w:webHidden/>
              </w:rPr>
              <w:fldChar w:fldCharType="begin"/>
            </w:r>
            <w:r>
              <w:rPr>
                <w:noProof/>
                <w:webHidden/>
              </w:rPr>
              <w:instrText xml:space="preserve"> PAGEREF _Toc242170218 \h </w:instrText>
            </w:r>
            <w:r>
              <w:rPr>
                <w:noProof/>
                <w:webHidden/>
              </w:rPr>
            </w:r>
            <w:r>
              <w:rPr>
                <w:noProof/>
                <w:webHidden/>
              </w:rPr>
              <w:fldChar w:fldCharType="separate"/>
            </w:r>
            <w:r>
              <w:rPr>
                <w:noProof/>
                <w:webHidden/>
              </w:rPr>
              <w:t>2</w:t>
            </w:r>
            <w:r>
              <w:rPr>
                <w:noProof/>
                <w:webHidden/>
              </w:rPr>
              <w:fldChar w:fldCharType="end"/>
            </w:r>
          </w:hyperlink>
        </w:p>
        <w:p w14:paraId="65CEDF2C" w14:textId="36B12564" w:rsidR="005C2D5F" w:rsidRDefault="005C2D5F">
          <w:pPr>
            <w:pStyle w:val="TOC1"/>
            <w:tabs>
              <w:tab w:val="right" w:leader="dot" w:pos="10212"/>
            </w:tabs>
            <w:rPr>
              <w:noProof/>
              <w:kern w:val="2"/>
              <w:lang w:eastAsia="en-GB"/>
              <w14:ligatures w14:val="standardContextual"/>
            </w:rPr>
          </w:pPr>
          <w:hyperlink w:anchor="_Toc242170219" w:history="1">
            <w:r w:rsidRPr="00F57EC0">
              <w:rPr>
                <w:rStyle w:val="Hyperlink"/>
                <w:rFonts w:eastAsia="Times New Roman"/>
                <w:noProof/>
              </w:rPr>
              <w:t>Methodology</w:t>
            </w:r>
            <w:r>
              <w:rPr>
                <w:noProof/>
                <w:webHidden/>
              </w:rPr>
              <w:tab/>
            </w:r>
            <w:r>
              <w:rPr>
                <w:noProof/>
                <w:webHidden/>
              </w:rPr>
              <w:fldChar w:fldCharType="begin"/>
            </w:r>
            <w:r>
              <w:rPr>
                <w:noProof/>
                <w:webHidden/>
              </w:rPr>
              <w:instrText xml:space="preserve"> PAGEREF _Toc242170219 \h </w:instrText>
            </w:r>
            <w:r>
              <w:rPr>
                <w:noProof/>
                <w:webHidden/>
              </w:rPr>
            </w:r>
            <w:r>
              <w:rPr>
                <w:noProof/>
                <w:webHidden/>
              </w:rPr>
              <w:fldChar w:fldCharType="separate"/>
            </w:r>
            <w:r>
              <w:rPr>
                <w:noProof/>
                <w:webHidden/>
              </w:rPr>
              <w:t>3</w:t>
            </w:r>
            <w:r>
              <w:rPr>
                <w:noProof/>
                <w:webHidden/>
              </w:rPr>
              <w:fldChar w:fldCharType="end"/>
            </w:r>
          </w:hyperlink>
        </w:p>
        <w:p w14:paraId="4C548468" w14:textId="69D9B41C" w:rsidR="005C2D5F" w:rsidRPr="005C2D5F" w:rsidRDefault="005C2D5F">
          <w:pPr>
            <w:pStyle w:val="TOC2"/>
            <w:rPr>
              <w:rFonts w:asciiTheme="minorHAnsi" w:eastAsiaTheme="minorEastAsia" w:hAnsiTheme="minorHAnsi" w:cstheme="minorBidi"/>
              <w:b w:val="0"/>
              <w:bCs w:val="0"/>
              <w:kern w:val="2"/>
              <w:lang w:eastAsia="en-GB"/>
              <w14:ligatures w14:val="standardContextual"/>
            </w:rPr>
          </w:pPr>
          <w:hyperlink w:anchor="_Toc242170220" w:history="1">
            <w:r w:rsidRPr="005C2D5F">
              <w:rPr>
                <w:rStyle w:val="Hyperlink"/>
                <w:b w:val="0"/>
                <w:bCs w:val="0"/>
              </w:rPr>
              <w:t>Step 1: Initial description and identification of a suitable non-waste comparator</w:t>
            </w:r>
            <w:r w:rsidRPr="005C2D5F">
              <w:rPr>
                <w:b w:val="0"/>
                <w:bCs w:val="0"/>
                <w:webHidden/>
              </w:rPr>
              <w:tab/>
            </w:r>
            <w:r w:rsidRPr="005C2D5F">
              <w:rPr>
                <w:b w:val="0"/>
                <w:bCs w:val="0"/>
                <w:webHidden/>
              </w:rPr>
              <w:fldChar w:fldCharType="begin"/>
            </w:r>
            <w:r w:rsidRPr="005C2D5F">
              <w:rPr>
                <w:b w:val="0"/>
                <w:bCs w:val="0"/>
                <w:webHidden/>
              </w:rPr>
              <w:instrText xml:space="preserve"> PAGEREF _Toc242170220 \h </w:instrText>
            </w:r>
            <w:r w:rsidRPr="005C2D5F">
              <w:rPr>
                <w:b w:val="0"/>
                <w:bCs w:val="0"/>
                <w:webHidden/>
              </w:rPr>
            </w:r>
            <w:r w:rsidRPr="005C2D5F">
              <w:rPr>
                <w:b w:val="0"/>
                <w:bCs w:val="0"/>
                <w:webHidden/>
              </w:rPr>
              <w:fldChar w:fldCharType="separate"/>
            </w:r>
            <w:r w:rsidRPr="005C2D5F">
              <w:rPr>
                <w:b w:val="0"/>
                <w:bCs w:val="0"/>
                <w:webHidden/>
              </w:rPr>
              <w:t>3</w:t>
            </w:r>
            <w:r w:rsidRPr="005C2D5F">
              <w:rPr>
                <w:b w:val="0"/>
                <w:bCs w:val="0"/>
                <w:webHidden/>
              </w:rPr>
              <w:fldChar w:fldCharType="end"/>
            </w:r>
          </w:hyperlink>
        </w:p>
        <w:p w14:paraId="6168796C" w14:textId="1E931E51" w:rsidR="005C2D5F" w:rsidRPr="005C2D5F" w:rsidRDefault="005C2D5F">
          <w:pPr>
            <w:pStyle w:val="TOC2"/>
            <w:rPr>
              <w:rFonts w:asciiTheme="minorHAnsi" w:eastAsiaTheme="minorEastAsia" w:hAnsiTheme="minorHAnsi" w:cstheme="minorBidi"/>
              <w:b w:val="0"/>
              <w:bCs w:val="0"/>
              <w:kern w:val="2"/>
              <w:lang w:eastAsia="en-GB"/>
              <w14:ligatures w14:val="standardContextual"/>
            </w:rPr>
          </w:pPr>
          <w:hyperlink w:anchor="_Toc242170221" w:history="1">
            <w:r w:rsidRPr="005C2D5F">
              <w:rPr>
                <w:rStyle w:val="Hyperlink"/>
                <w:b w:val="0"/>
                <w:bCs w:val="0"/>
              </w:rPr>
              <w:t>Step 2: Comparable analysis</w:t>
            </w:r>
            <w:r w:rsidRPr="005C2D5F">
              <w:rPr>
                <w:b w:val="0"/>
                <w:bCs w:val="0"/>
                <w:webHidden/>
              </w:rPr>
              <w:tab/>
            </w:r>
            <w:r w:rsidRPr="005C2D5F">
              <w:rPr>
                <w:b w:val="0"/>
                <w:bCs w:val="0"/>
                <w:webHidden/>
              </w:rPr>
              <w:fldChar w:fldCharType="begin"/>
            </w:r>
            <w:r w:rsidRPr="005C2D5F">
              <w:rPr>
                <w:b w:val="0"/>
                <w:bCs w:val="0"/>
                <w:webHidden/>
              </w:rPr>
              <w:instrText xml:space="preserve"> PAGEREF _Toc242170221 \h </w:instrText>
            </w:r>
            <w:r w:rsidRPr="005C2D5F">
              <w:rPr>
                <w:b w:val="0"/>
                <w:bCs w:val="0"/>
                <w:webHidden/>
              </w:rPr>
            </w:r>
            <w:r w:rsidRPr="005C2D5F">
              <w:rPr>
                <w:b w:val="0"/>
                <w:bCs w:val="0"/>
                <w:webHidden/>
              </w:rPr>
              <w:fldChar w:fldCharType="separate"/>
            </w:r>
            <w:r w:rsidRPr="005C2D5F">
              <w:rPr>
                <w:b w:val="0"/>
                <w:bCs w:val="0"/>
                <w:webHidden/>
              </w:rPr>
              <w:t>4</w:t>
            </w:r>
            <w:r w:rsidRPr="005C2D5F">
              <w:rPr>
                <w:b w:val="0"/>
                <w:bCs w:val="0"/>
                <w:webHidden/>
              </w:rPr>
              <w:fldChar w:fldCharType="end"/>
            </w:r>
          </w:hyperlink>
        </w:p>
        <w:p w14:paraId="000716CE" w14:textId="2805A906" w:rsidR="005C2D5F" w:rsidRPr="005C2D5F" w:rsidRDefault="005C2D5F">
          <w:pPr>
            <w:pStyle w:val="TOC3"/>
            <w:tabs>
              <w:tab w:val="right" w:leader="dot" w:pos="10212"/>
            </w:tabs>
            <w:rPr>
              <w:noProof/>
              <w:kern w:val="2"/>
              <w:lang w:eastAsia="en-GB"/>
              <w14:ligatures w14:val="standardContextual"/>
            </w:rPr>
          </w:pPr>
          <w:hyperlink w:anchor="_Toc242170222" w:history="1">
            <w:r w:rsidRPr="005C2D5F">
              <w:rPr>
                <w:rStyle w:val="Hyperlink"/>
                <w:rFonts w:eastAsia="Times New Roman"/>
                <w:noProof/>
              </w:rPr>
              <w:t>Sampling</w:t>
            </w:r>
            <w:r w:rsidRPr="005C2D5F">
              <w:rPr>
                <w:noProof/>
                <w:webHidden/>
              </w:rPr>
              <w:tab/>
            </w:r>
            <w:r w:rsidRPr="005C2D5F">
              <w:rPr>
                <w:noProof/>
                <w:webHidden/>
              </w:rPr>
              <w:fldChar w:fldCharType="begin"/>
            </w:r>
            <w:r w:rsidRPr="005C2D5F">
              <w:rPr>
                <w:noProof/>
                <w:webHidden/>
              </w:rPr>
              <w:instrText xml:space="preserve"> PAGEREF _Toc242170222 \h </w:instrText>
            </w:r>
            <w:r w:rsidRPr="005C2D5F">
              <w:rPr>
                <w:noProof/>
                <w:webHidden/>
              </w:rPr>
            </w:r>
            <w:r w:rsidRPr="005C2D5F">
              <w:rPr>
                <w:noProof/>
                <w:webHidden/>
              </w:rPr>
              <w:fldChar w:fldCharType="separate"/>
            </w:r>
            <w:r w:rsidRPr="005C2D5F">
              <w:rPr>
                <w:noProof/>
                <w:webHidden/>
              </w:rPr>
              <w:t>4</w:t>
            </w:r>
            <w:r w:rsidRPr="005C2D5F">
              <w:rPr>
                <w:noProof/>
                <w:webHidden/>
              </w:rPr>
              <w:fldChar w:fldCharType="end"/>
            </w:r>
          </w:hyperlink>
        </w:p>
        <w:p w14:paraId="2B0285E6" w14:textId="2AAEE365" w:rsidR="005C2D5F" w:rsidRPr="005C2D5F" w:rsidRDefault="005C2D5F">
          <w:pPr>
            <w:pStyle w:val="TOC3"/>
            <w:tabs>
              <w:tab w:val="right" w:leader="dot" w:pos="10212"/>
            </w:tabs>
            <w:rPr>
              <w:noProof/>
              <w:kern w:val="2"/>
              <w:lang w:eastAsia="en-GB"/>
              <w14:ligatures w14:val="standardContextual"/>
            </w:rPr>
          </w:pPr>
          <w:hyperlink w:anchor="_Toc242170223" w:history="1">
            <w:r w:rsidRPr="005C2D5F">
              <w:rPr>
                <w:rStyle w:val="Hyperlink"/>
                <w:rFonts w:eastAsia="Times New Roman"/>
                <w:noProof/>
              </w:rPr>
              <w:t>Choice of analyses</w:t>
            </w:r>
            <w:r w:rsidRPr="005C2D5F">
              <w:rPr>
                <w:noProof/>
                <w:webHidden/>
              </w:rPr>
              <w:tab/>
            </w:r>
            <w:r w:rsidRPr="005C2D5F">
              <w:rPr>
                <w:noProof/>
                <w:webHidden/>
              </w:rPr>
              <w:fldChar w:fldCharType="begin"/>
            </w:r>
            <w:r w:rsidRPr="005C2D5F">
              <w:rPr>
                <w:noProof/>
                <w:webHidden/>
              </w:rPr>
              <w:instrText xml:space="preserve"> PAGEREF _Toc242170223 \h </w:instrText>
            </w:r>
            <w:r w:rsidRPr="005C2D5F">
              <w:rPr>
                <w:noProof/>
                <w:webHidden/>
              </w:rPr>
            </w:r>
            <w:r w:rsidRPr="005C2D5F">
              <w:rPr>
                <w:noProof/>
                <w:webHidden/>
              </w:rPr>
              <w:fldChar w:fldCharType="separate"/>
            </w:r>
            <w:r w:rsidRPr="005C2D5F">
              <w:rPr>
                <w:noProof/>
                <w:webHidden/>
              </w:rPr>
              <w:t>5</w:t>
            </w:r>
            <w:r w:rsidRPr="005C2D5F">
              <w:rPr>
                <w:noProof/>
                <w:webHidden/>
              </w:rPr>
              <w:fldChar w:fldCharType="end"/>
            </w:r>
          </w:hyperlink>
        </w:p>
        <w:p w14:paraId="1AD790B7" w14:textId="181F8B27" w:rsidR="005C2D5F" w:rsidRPr="005C2D5F" w:rsidRDefault="005C2D5F">
          <w:pPr>
            <w:pStyle w:val="TOC3"/>
            <w:tabs>
              <w:tab w:val="right" w:leader="dot" w:pos="10212"/>
            </w:tabs>
            <w:rPr>
              <w:noProof/>
              <w:kern w:val="2"/>
              <w:lang w:eastAsia="en-GB"/>
              <w14:ligatures w14:val="standardContextual"/>
            </w:rPr>
          </w:pPr>
          <w:hyperlink w:anchor="_Toc242170224" w:history="1">
            <w:r w:rsidRPr="005C2D5F">
              <w:rPr>
                <w:rStyle w:val="Hyperlink"/>
                <w:rFonts w:eastAsia="Times New Roman"/>
                <w:noProof/>
              </w:rPr>
              <w:t>Assessment of results</w:t>
            </w:r>
            <w:r w:rsidRPr="005C2D5F">
              <w:rPr>
                <w:noProof/>
                <w:webHidden/>
              </w:rPr>
              <w:tab/>
            </w:r>
            <w:r w:rsidRPr="005C2D5F">
              <w:rPr>
                <w:noProof/>
                <w:webHidden/>
              </w:rPr>
              <w:fldChar w:fldCharType="begin"/>
            </w:r>
            <w:r w:rsidRPr="005C2D5F">
              <w:rPr>
                <w:noProof/>
                <w:webHidden/>
              </w:rPr>
              <w:instrText xml:space="preserve"> PAGEREF _Toc242170224 \h </w:instrText>
            </w:r>
            <w:r w:rsidRPr="005C2D5F">
              <w:rPr>
                <w:noProof/>
                <w:webHidden/>
              </w:rPr>
            </w:r>
            <w:r w:rsidRPr="005C2D5F">
              <w:rPr>
                <w:noProof/>
                <w:webHidden/>
              </w:rPr>
              <w:fldChar w:fldCharType="separate"/>
            </w:r>
            <w:r w:rsidRPr="005C2D5F">
              <w:rPr>
                <w:noProof/>
                <w:webHidden/>
              </w:rPr>
              <w:t>6</w:t>
            </w:r>
            <w:r w:rsidRPr="005C2D5F">
              <w:rPr>
                <w:noProof/>
                <w:webHidden/>
              </w:rPr>
              <w:fldChar w:fldCharType="end"/>
            </w:r>
          </w:hyperlink>
        </w:p>
        <w:p w14:paraId="5AD77A85" w14:textId="21DE627E" w:rsidR="005C2D5F" w:rsidRPr="005C2D5F" w:rsidRDefault="005C2D5F">
          <w:pPr>
            <w:pStyle w:val="TOC2"/>
            <w:rPr>
              <w:rFonts w:asciiTheme="minorHAnsi" w:eastAsiaTheme="minorEastAsia" w:hAnsiTheme="minorHAnsi" w:cstheme="minorBidi"/>
              <w:b w:val="0"/>
              <w:bCs w:val="0"/>
              <w:kern w:val="2"/>
              <w:lang w:eastAsia="en-GB"/>
              <w14:ligatures w14:val="standardContextual"/>
            </w:rPr>
          </w:pPr>
          <w:hyperlink w:anchor="_Toc242170225" w:history="1">
            <w:r w:rsidRPr="005C2D5F">
              <w:rPr>
                <w:rStyle w:val="Hyperlink"/>
                <w:b w:val="0"/>
                <w:bCs w:val="0"/>
              </w:rPr>
              <w:t>Step 3: Conditions of use and environmental issues</w:t>
            </w:r>
            <w:r w:rsidRPr="005C2D5F">
              <w:rPr>
                <w:b w:val="0"/>
                <w:bCs w:val="0"/>
                <w:webHidden/>
              </w:rPr>
              <w:tab/>
            </w:r>
            <w:r w:rsidRPr="005C2D5F">
              <w:rPr>
                <w:b w:val="0"/>
                <w:bCs w:val="0"/>
                <w:webHidden/>
              </w:rPr>
              <w:fldChar w:fldCharType="begin"/>
            </w:r>
            <w:r w:rsidRPr="005C2D5F">
              <w:rPr>
                <w:b w:val="0"/>
                <w:bCs w:val="0"/>
                <w:webHidden/>
              </w:rPr>
              <w:instrText xml:space="preserve"> PAGEREF _Toc242170225 \h </w:instrText>
            </w:r>
            <w:r w:rsidRPr="005C2D5F">
              <w:rPr>
                <w:b w:val="0"/>
                <w:bCs w:val="0"/>
                <w:webHidden/>
              </w:rPr>
            </w:r>
            <w:r w:rsidRPr="005C2D5F">
              <w:rPr>
                <w:b w:val="0"/>
                <w:bCs w:val="0"/>
                <w:webHidden/>
              </w:rPr>
              <w:fldChar w:fldCharType="separate"/>
            </w:r>
            <w:r w:rsidRPr="005C2D5F">
              <w:rPr>
                <w:b w:val="0"/>
                <w:bCs w:val="0"/>
                <w:webHidden/>
              </w:rPr>
              <w:t>7</w:t>
            </w:r>
            <w:r w:rsidRPr="005C2D5F">
              <w:rPr>
                <w:b w:val="0"/>
                <w:bCs w:val="0"/>
                <w:webHidden/>
              </w:rPr>
              <w:fldChar w:fldCharType="end"/>
            </w:r>
          </w:hyperlink>
        </w:p>
        <w:p w14:paraId="17842972" w14:textId="0DF24A44" w:rsidR="005C2D5F" w:rsidRPr="005C2D5F" w:rsidRDefault="005C2D5F">
          <w:pPr>
            <w:pStyle w:val="TOC3"/>
            <w:tabs>
              <w:tab w:val="right" w:leader="dot" w:pos="10212"/>
            </w:tabs>
            <w:rPr>
              <w:noProof/>
              <w:kern w:val="2"/>
              <w:lang w:eastAsia="en-GB"/>
              <w14:ligatures w14:val="standardContextual"/>
            </w:rPr>
          </w:pPr>
          <w:hyperlink w:anchor="_Toc242170226" w:history="1">
            <w:r w:rsidRPr="005C2D5F">
              <w:rPr>
                <w:rStyle w:val="Hyperlink"/>
                <w:rFonts w:eastAsia="Times New Roman"/>
                <w:noProof/>
              </w:rPr>
              <w:t>Trials</w:t>
            </w:r>
            <w:r w:rsidRPr="005C2D5F">
              <w:rPr>
                <w:noProof/>
                <w:webHidden/>
              </w:rPr>
              <w:tab/>
            </w:r>
            <w:r w:rsidRPr="005C2D5F">
              <w:rPr>
                <w:noProof/>
                <w:webHidden/>
              </w:rPr>
              <w:fldChar w:fldCharType="begin"/>
            </w:r>
            <w:r w:rsidRPr="005C2D5F">
              <w:rPr>
                <w:noProof/>
                <w:webHidden/>
              </w:rPr>
              <w:instrText xml:space="preserve"> PAGEREF _Toc242170226 \h </w:instrText>
            </w:r>
            <w:r w:rsidRPr="005C2D5F">
              <w:rPr>
                <w:noProof/>
                <w:webHidden/>
              </w:rPr>
            </w:r>
            <w:r w:rsidRPr="005C2D5F">
              <w:rPr>
                <w:noProof/>
                <w:webHidden/>
              </w:rPr>
              <w:fldChar w:fldCharType="separate"/>
            </w:r>
            <w:r w:rsidRPr="005C2D5F">
              <w:rPr>
                <w:noProof/>
                <w:webHidden/>
              </w:rPr>
              <w:t>7</w:t>
            </w:r>
            <w:r w:rsidRPr="005C2D5F">
              <w:rPr>
                <w:noProof/>
                <w:webHidden/>
              </w:rPr>
              <w:fldChar w:fldCharType="end"/>
            </w:r>
          </w:hyperlink>
        </w:p>
        <w:p w14:paraId="1237CD7F" w14:textId="4436A7D2" w:rsidR="00853985" w:rsidRDefault="00853985">
          <w:pPr>
            <w:rPr>
              <w:b/>
              <w:bCs/>
            </w:rPr>
          </w:pPr>
          <w:r>
            <w:rPr>
              <w:b/>
              <w:bCs/>
            </w:rPr>
            <w:fldChar w:fldCharType="end"/>
          </w:r>
        </w:p>
      </w:sdtContent>
    </w:sdt>
    <w:p w14:paraId="32D6E010" w14:textId="77777777" w:rsidR="00A40714" w:rsidRDefault="00A40714">
      <w:pPr>
        <w:rPr>
          <w:b/>
          <w:bCs/>
        </w:rPr>
      </w:pPr>
    </w:p>
    <w:p w14:paraId="61E3128B" w14:textId="77777777" w:rsidR="00A40714" w:rsidRDefault="00A40714">
      <w:pPr>
        <w:rPr>
          <w:b/>
          <w:bCs/>
        </w:rPr>
      </w:pPr>
    </w:p>
    <w:p w14:paraId="33F0D5AF" w14:textId="77777777" w:rsidR="00A40714" w:rsidRDefault="00A40714">
      <w:pPr>
        <w:rPr>
          <w:b/>
          <w:bCs/>
        </w:rPr>
      </w:pPr>
    </w:p>
    <w:p w14:paraId="3FDBF3DE" w14:textId="77777777" w:rsidR="005619A5" w:rsidRDefault="005619A5">
      <w:pPr>
        <w:rPr>
          <w:b/>
          <w:bCs/>
        </w:rPr>
      </w:pPr>
    </w:p>
    <w:p w14:paraId="281C6AAF" w14:textId="77777777" w:rsidR="005619A5" w:rsidRDefault="005619A5">
      <w:pPr>
        <w:rPr>
          <w:b/>
          <w:bCs/>
        </w:rPr>
      </w:pPr>
    </w:p>
    <w:p w14:paraId="52F9DD75" w14:textId="77777777" w:rsidR="005619A5" w:rsidRDefault="005619A5">
      <w:pPr>
        <w:rPr>
          <w:b/>
          <w:bCs/>
        </w:rPr>
      </w:pPr>
    </w:p>
    <w:p w14:paraId="4BB51EFB" w14:textId="77777777" w:rsidR="00A40714" w:rsidRDefault="00A40714" w:rsidP="00A40714">
      <w:pPr>
        <w:pStyle w:val="BodyText1"/>
        <w:rPr>
          <w:rFonts w:eastAsia="Times New Roman"/>
          <w:sz w:val="32"/>
          <w:szCs w:val="32"/>
        </w:rPr>
      </w:pPr>
    </w:p>
    <w:p w14:paraId="05E8AF87" w14:textId="77777777" w:rsidR="00A40714" w:rsidRDefault="00A40714" w:rsidP="00A40714">
      <w:pPr>
        <w:pStyle w:val="BodyText1"/>
        <w:rPr>
          <w:rFonts w:eastAsia="Times New Roman"/>
          <w:sz w:val="32"/>
          <w:szCs w:val="32"/>
        </w:rPr>
      </w:pPr>
    </w:p>
    <w:p w14:paraId="54F9B7E3" w14:textId="77777777" w:rsidR="00A40714" w:rsidRDefault="00A40714" w:rsidP="00A40714">
      <w:pPr>
        <w:pStyle w:val="BodyText1"/>
        <w:rPr>
          <w:rFonts w:eastAsia="Times New Roman"/>
          <w:sz w:val="32"/>
          <w:szCs w:val="32"/>
        </w:rPr>
      </w:pPr>
    </w:p>
    <w:p w14:paraId="035B30B5" w14:textId="4AA271EF" w:rsidR="00A40714" w:rsidRPr="00853985" w:rsidRDefault="00A40714" w:rsidP="00A40714">
      <w:pPr>
        <w:pStyle w:val="BodyText1"/>
        <w:rPr>
          <w:rFonts w:eastAsia="Times New Roman"/>
          <w:sz w:val="32"/>
          <w:szCs w:val="32"/>
        </w:rPr>
      </w:pPr>
      <w:r w:rsidRPr="0020743F">
        <w:rPr>
          <w:rFonts w:eastAsia="Times New Roman"/>
          <w:sz w:val="32"/>
          <w:szCs w:val="32"/>
        </w:rPr>
        <w:t>If you would like this document in an accessible format, such as large print, audio recording or braille, please contact SEPA by emailing </w:t>
      </w:r>
      <w:hyperlink r:id="rId13" w:tgtFrame="_blank" w:tooltip="mailto:equalities@sepa.org.uk" w:history="1">
        <w:r w:rsidRPr="0020743F">
          <w:rPr>
            <w:rFonts w:eastAsia="Times New Roman"/>
            <w:color w:val="016574" w:themeColor="hyperlink"/>
            <w:sz w:val="32"/>
            <w:szCs w:val="32"/>
            <w:u w:val="single"/>
          </w:rPr>
          <w:t>equalities@sepa.org.uk</w:t>
        </w:r>
      </w:hyperlink>
      <w:r w:rsidRPr="0020743F">
        <w:rPr>
          <w:rFonts w:eastAsia="Times New Roman"/>
          <w:sz w:val="32"/>
          <w:szCs w:val="32"/>
        </w:rPr>
        <w:t xml:space="preserve"> </w:t>
      </w:r>
    </w:p>
    <w:p w14:paraId="4305D82E" w14:textId="3F886BC9" w:rsidR="00934526" w:rsidRPr="00B42845" w:rsidRDefault="00C05C29" w:rsidP="00B42845">
      <w:pPr>
        <w:pStyle w:val="Heading1"/>
      </w:pPr>
      <w:bookmarkStart w:id="0" w:name="_Toc242170217"/>
      <w:r>
        <w:lastRenderedPageBreak/>
        <w:t>Disclaimer</w:t>
      </w:r>
      <w:bookmarkEnd w:id="0"/>
    </w:p>
    <w:p w14:paraId="3CF81F79" w14:textId="27373B87" w:rsidR="00934526" w:rsidRPr="00934526" w:rsidRDefault="009B4A21" w:rsidP="00B42845">
      <w:pPr>
        <w:pStyle w:val="BodyText1"/>
        <w:rPr>
          <w:rFonts w:eastAsia="Times New Roman"/>
        </w:rPr>
      </w:pPr>
      <w:r>
        <w:rPr>
          <w:rFonts w:eastAsia="Times New Roman"/>
        </w:rPr>
        <w:t>This guidance has been updated to meet accessibility requirements</w:t>
      </w:r>
      <w:r w:rsidR="00A40714">
        <w:rPr>
          <w:rFonts w:eastAsia="Times New Roman"/>
        </w:rPr>
        <w:t xml:space="preserve"> however the</w:t>
      </w:r>
      <w:r w:rsidR="00712A84">
        <w:rPr>
          <w:rFonts w:eastAsia="Times New Roman"/>
        </w:rPr>
        <w:t xml:space="preserve"> overall contents of the document remain as they were in version </w:t>
      </w:r>
      <w:r w:rsidR="00D112F7">
        <w:rPr>
          <w:rFonts w:eastAsia="Times New Roman"/>
        </w:rPr>
        <w:t>1</w:t>
      </w:r>
      <w:r>
        <w:rPr>
          <w:rFonts w:eastAsia="Times New Roman"/>
        </w:rPr>
        <w:t xml:space="preserve">. The </w:t>
      </w:r>
      <w:r w:rsidR="00712A84">
        <w:rPr>
          <w:rFonts w:eastAsia="Times New Roman"/>
        </w:rPr>
        <w:t xml:space="preserve">technical </w:t>
      </w:r>
      <w:r>
        <w:rPr>
          <w:rFonts w:eastAsia="Times New Roman"/>
        </w:rPr>
        <w:t xml:space="preserve">content of this guidance </w:t>
      </w:r>
      <w:r w:rsidR="00712A84">
        <w:rPr>
          <w:rFonts w:eastAsia="Times New Roman"/>
        </w:rPr>
        <w:t>is</w:t>
      </w:r>
      <w:r>
        <w:rPr>
          <w:rFonts w:eastAsia="Times New Roman"/>
        </w:rPr>
        <w:t xml:space="preserve"> currently under review. Should you wish to know more about the review and any potential changes, please contact </w:t>
      </w:r>
      <w:hyperlink r:id="rId14" w:history="1">
        <w:r w:rsidRPr="007F5AF7">
          <w:rPr>
            <w:rStyle w:val="Hyperlink"/>
            <w:rFonts w:eastAsia="Times New Roman"/>
          </w:rPr>
          <w:t>nationalwaste@sepa.org.uk</w:t>
        </w:r>
      </w:hyperlink>
      <w:r>
        <w:rPr>
          <w:rFonts w:eastAsia="Times New Roman"/>
        </w:rPr>
        <w:t xml:space="preserve"> </w:t>
      </w:r>
    </w:p>
    <w:p w14:paraId="15DC36A2" w14:textId="186BC904" w:rsidR="00934526" w:rsidRPr="00934526" w:rsidRDefault="00D112F7" w:rsidP="00B42845">
      <w:pPr>
        <w:pStyle w:val="Heading1"/>
        <w:rPr>
          <w:rFonts w:eastAsia="Times New Roman"/>
        </w:rPr>
      </w:pPr>
      <w:bookmarkStart w:id="1" w:name="_Toc242170218"/>
      <w:r>
        <w:rPr>
          <w:rFonts w:eastAsia="Times New Roman"/>
        </w:rPr>
        <w:t>Introduction</w:t>
      </w:r>
      <w:bookmarkEnd w:id="1"/>
    </w:p>
    <w:p w14:paraId="705F6805" w14:textId="4315F30F" w:rsidR="00D15916" w:rsidRPr="00D15916" w:rsidRDefault="00D15916" w:rsidP="00D15916">
      <w:pPr>
        <w:pStyle w:val="BodyText1"/>
        <w:rPr>
          <w:rFonts w:eastAsia="Times New Roman"/>
        </w:rPr>
      </w:pPr>
      <w:r w:rsidRPr="00D15916">
        <w:rPr>
          <w:rFonts w:eastAsia="Times New Roman"/>
        </w:rPr>
        <w:t>SEPA’s</w:t>
      </w:r>
      <w:r w:rsidR="00C01EC3">
        <w:rPr>
          <w:rFonts w:eastAsia="Times New Roman"/>
        </w:rPr>
        <w:t xml:space="preserve"> ‘Understanding the definition of waste’</w:t>
      </w:r>
      <w:r w:rsidRPr="00D15916">
        <w:rPr>
          <w:rFonts w:eastAsia="Times New Roman"/>
        </w:rPr>
        <w:t xml:space="preserve"> guidance sets out a framework of factors to be considered in establishing whether a particular substance or object is likely to fall within the scope of the definition of waste given in the Waste Framework Directive (2006/12/EC) and adopted in the UK.</w:t>
      </w:r>
    </w:p>
    <w:p w14:paraId="37ED2B3A" w14:textId="0E2E333C" w:rsidR="00D15916" w:rsidRPr="00D15916" w:rsidRDefault="00D15916" w:rsidP="00D15916">
      <w:pPr>
        <w:pStyle w:val="BodyText1"/>
        <w:rPr>
          <w:rFonts w:eastAsia="Times New Roman"/>
        </w:rPr>
      </w:pPr>
      <w:r w:rsidRPr="00D15916">
        <w:rPr>
          <w:rFonts w:eastAsia="Times New Roman"/>
        </w:rPr>
        <w:t xml:space="preserve">This supplementary guidance expands on Appendix 4 of </w:t>
      </w:r>
      <w:r w:rsidR="00626039">
        <w:rPr>
          <w:rFonts w:eastAsia="Times New Roman"/>
        </w:rPr>
        <w:t>that guidance</w:t>
      </w:r>
      <w:r w:rsidRPr="00D15916">
        <w:rPr>
          <w:rFonts w:eastAsia="Times New Roman"/>
        </w:rPr>
        <w:t xml:space="preserve"> and provides a</w:t>
      </w:r>
      <w:r w:rsidR="003401EC">
        <w:rPr>
          <w:rFonts w:eastAsia="Times New Roman"/>
        </w:rPr>
        <w:t>n</w:t>
      </w:r>
      <w:r w:rsidRPr="00D15916">
        <w:rPr>
          <w:rFonts w:eastAsia="Times New Roman"/>
        </w:rPr>
        <w:t xml:space="preserve"> example methodology for demonstrating that a waste has been fully recovered to the extent that it has ceased to be waste for a particular proposed use. It should be read in conjunction with SEPA’s “</w:t>
      </w:r>
      <w:r w:rsidR="00FD2E4B">
        <w:rPr>
          <w:rFonts w:eastAsia="Times New Roman"/>
        </w:rPr>
        <w:t>Understanding the definition of w</w:t>
      </w:r>
      <w:r w:rsidRPr="00D15916">
        <w:rPr>
          <w:rFonts w:eastAsia="Times New Roman"/>
        </w:rPr>
        <w:t xml:space="preserve">aste” guidance. If there is any conflict between the guidance and supplementary guidance, </w:t>
      </w:r>
      <w:r w:rsidR="00FD2E4B">
        <w:rPr>
          <w:rFonts w:eastAsia="Times New Roman"/>
        </w:rPr>
        <w:t>‘Understanding the definition of w</w:t>
      </w:r>
      <w:r w:rsidRPr="00D15916">
        <w:rPr>
          <w:rFonts w:eastAsia="Times New Roman"/>
        </w:rPr>
        <w:t>aste” guidance takes precedence over this supplementa</w:t>
      </w:r>
      <w:r w:rsidR="003030E8">
        <w:rPr>
          <w:rFonts w:eastAsia="Times New Roman"/>
        </w:rPr>
        <w:t>l</w:t>
      </w:r>
      <w:r w:rsidRPr="00D15916">
        <w:rPr>
          <w:rFonts w:eastAsia="Times New Roman"/>
        </w:rPr>
        <w:t>. This guidance may be used by waste holders, although its principal purpose is to assist SEPA staff in assessing a waste holder’s claim that a waste has been fully recovered and is no longer waste. The outline method set out in this guidance is an example methodology and is not intended to be definitive: operators are entitled to make a case to SEPA using a different approach should they wish. Decisions must be made on a case–by-case basis.</w:t>
      </w:r>
    </w:p>
    <w:p w14:paraId="20A013A8" w14:textId="77777777" w:rsidR="00D15916" w:rsidRPr="00D15916" w:rsidRDefault="00D15916" w:rsidP="00D15916">
      <w:pPr>
        <w:pStyle w:val="BodyText1"/>
        <w:rPr>
          <w:rFonts w:eastAsia="Times New Roman"/>
        </w:rPr>
      </w:pPr>
      <w:r w:rsidRPr="00D15916">
        <w:rPr>
          <w:rFonts w:eastAsia="Times New Roman"/>
        </w:rPr>
        <w:t>It is the responsibility of the person making a claim that a waste has been fully recovered to provide evidence that the substance or object no longer needs to be subject to waste management controls for each proposed use. To avoid possible enforcement action, it is in the interests of the person making the claim to seek a decision from SEPA before using the substance or object as if it were no longer a waste.</w:t>
      </w:r>
    </w:p>
    <w:p w14:paraId="7C5760F6" w14:textId="381EE7BA" w:rsidR="00934526" w:rsidRPr="00934526" w:rsidRDefault="00D15916" w:rsidP="00D15916">
      <w:pPr>
        <w:pStyle w:val="BodyText1"/>
        <w:rPr>
          <w:rFonts w:eastAsia="Times New Roman"/>
        </w:rPr>
      </w:pPr>
      <w:r w:rsidRPr="00D15916">
        <w:rPr>
          <w:rFonts w:eastAsia="Times New Roman"/>
        </w:rPr>
        <w:t>This guidance may be updated from time to time to reflect new case law or different approaches to demonstrating that a waste has ceased to be waste.</w:t>
      </w:r>
      <w:r w:rsidR="00934526" w:rsidRPr="00934526">
        <w:rPr>
          <w:rFonts w:eastAsia="Times New Roman"/>
        </w:rPr>
        <w:t xml:space="preserve"> </w:t>
      </w:r>
    </w:p>
    <w:p w14:paraId="77C78338" w14:textId="006A705B" w:rsidR="00934526" w:rsidRPr="00934526" w:rsidRDefault="00D15916" w:rsidP="00B42845">
      <w:pPr>
        <w:pStyle w:val="Heading1"/>
        <w:rPr>
          <w:rFonts w:eastAsia="Times New Roman"/>
        </w:rPr>
      </w:pPr>
      <w:bookmarkStart w:id="2" w:name="_Toc242170219"/>
      <w:r>
        <w:rPr>
          <w:rFonts w:eastAsia="Times New Roman"/>
        </w:rPr>
        <w:lastRenderedPageBreak/>
        <w:t>Methodology</w:t>
      </w:r>
      <w:bookmarkEnd w:id="2"/>
    </w:p>
    <w:p w14:paraId="5CD21ECB" w14:textId="20F06A0B" w:rsidR="00C27A9A" w:rsidRPr="00C27A9A" w:rsidRDefault="00C27A9A" w:rsidP="00C27A9A">
      <w:pPr>
        <w:pStyle w:val="BodyText1"/>
        <w:rPr>
          <w:rFonts w:eastAsia="Times New Roman"/>
        </w:rPr>
      </w:pPr>
      <w:r w:rsidRPr="00C27A9A">
        <w:rPr>
          <w:rFonts w:eastAsia="Times New Roman"/>
        </w:rPr>
        <w:t>Demonstrating that a waste has been fully recovered can be considered in three main steps as set out below. The purpose must be to demonstrate that the end of waste criteria set out in SEPA’s “Is It Waste” guidance have been met for each proposed use. Progression from one step to the following step is only advisable in agreement with the appropriate SEPA office.</w:t>
      </w:r>
    </w:p>
    <w:p w14:paraId="616F50F6" w14:textId="5F0770E3" w:rsidR="00EF1896" w:rsidRDefault="00C27A9A" w:rsidP="00C27A9A">
      <w:pPr>
        <w:pStyle w:val="BodyText1"/>
        <w:rPr>
          <w:rFonts w:eastAsia="Times New Roman"/>
        </w:rPr>
      </w:pPr>
      <w:r w:rsidRPr="00C27A9A">
        <w:rPr>
          <w:rFonts w:eastAsia="Times New Roman"/>
        </w:rPr>
        <w:t>In accordance with agreed procedures, support and advice can be sought by SEPA officers from Waste Policy in complex cases. Waste Policy will facilitate support from other parts of SEPA as necessary. Waste Policy can be contacted through the Waste Definition mailbox. However, external enquiries should always come via the local SEPA officer.</w:t>
      </w:r>
    </w:p>
    <w:p w14:paraId="0CB0C242" w14:textId="394718F1" w:rsidR="00BF4C93" w:rsidRPr="00934526" w:rsidRDefault="003C7E70" w:rsidP="00BF4C93">
      <w:pPr>
        <w:pStyle w:val="Heading2"/>
        <w:rPr>
          <w:rFonts w:eastAsia="Times New Roman"/>
        </w:rPr>
      </w:pPr>
      <w:bookmarkStart w:id="3" w:name="_Toc242170220"/>
      <w:r>
        <w:rPr>
          <w:rFonts w:eastAsia="Times New Roman"/>
        </w:rPr>
        <w:t>Step 1: Initial description and identification of a suitable non-waste compar</w:t>
      </w:r>
      <w:r w:rsidR="00F27928">
        <w:rPr>
          <w:rFonts w:eastAsia="Times New Roman"/>
        </w:rPr>
        <w:t>a</w:t>
      </w:r>
      <w:r>
        <w:rPr>
          <w:rFonts w:eastAsia="Times New Roman"/>
        </w:rPr>
        <w:t>tor</w:t>
      </w:r>
      <w:bookmarkEnd w:id="3"/>
    </w:p>
    <w:p w14:paraId="7ED7E093" w14:textId="77777777" w:rsidR="00C778E2" w:rsidRPr="00C778E2" w:rsidRDefault="00C778E2" w:rsidP="00C778E2">
      <w:pPr>
        <w:pStyle w:val="BodyText1"/>
        <w:rPr>
          <w:rFonts w:eastAsia="Times New Roman"/>
        </w:rPr>
      </w:pPr>
      <w:r w:rsidRPr="00C778E2">
        <w:rPr>
          <w:rFonts w:eastAsia="Times New Roman"/>
        </w:rPr>
        <w:t>A justification must be provided for the selection of an appropriate non-waste material for comparison, i.e. a comparator, with the potentially recovered waste. This is necessary for each specified use of the recovered material where the comparator may be different. A number of different analyses will therefore be required wherever there is more than one proposed use of the waste in question.</w:t>
      </w:r>
    </w:p>
    <w:p w14:paraId="3F8D50AA" w14:textId="0C3F6A52" w:rsidR="00C778E2" w:rsidRPr="00C778E2" w:rsidRDefault="00C778E2" w:rsidP="00C778E2">
      <w:pPr>
        <w:pStyle w:val="BodyText1"/>
        <w:rPr>
          <w:rFonts w:eastAsia="Times New Roman"/>
        </w:rPr>
      </w:pPr>
      <w:r w:rsidRPr="00C778E2">
        <w:rPr>
          <w:rFonts w:eastAsia="Times New Roman"/>
        </w:rPr>
        <w:t>Where a number of non-waste materials could be chosen, the operator must make a full justification for their choice of comparator for each of the proposed uses of the waste in question, e.g. where the recovered waste is proposed to replace a fuel it must be demonstrated that the equipment in question is capable of burning the comparable fuel without further modification.</w:t>
      </w:r>
    </w:p>
    <w:p w14:paraId="0F2CBB60" w14:textId="41DD43F1" w:rsidR="00C778E2" w:rsidRPr="00C778E2" w:rsidRDefault="00C778E2" w:rsidP="00C778E2">
      <w:pPr>
        <w:pStyle w:val="BodyText1"/>
        <w:rPr>
          <w:rFonts w:eastAsia="Times New Roman"/>
        </w:rPr>
      </w:pPr>
      <w:r w:rsidRPr="00C778E2">
        <w:rPr>
          <w:rFonts w:eastAsia="Times New Roman"/>
        </w:rPr>
        <w:t>The information required includes the following:</w:t>
      </w:r>
    </w:p>
    <w:p w14:paraId="421CFE62" w14:textId="5D99D77D" w:rsidR="00C778E2" w:rsidRPr="00C778E2" w:rsidRDefault="00C778E2" w:rsidP="00D3524C">
      <w:pPr>
        <w:pStyle w:val="BodyText1"/>
        <w:numPr>
          <w:ilvl w:val="0"/>
          <w:numId w:val="17"/>
        </w:numPr>
        <w:rPr>
          <w:rFonts w:eastAsia="Times New Roman"/>
        </w:rPr>
      </w:pPr>
      <w:r w:rsidRPr="00C778E2">
        <w:rPr>
          <w:rFonts w:eastAsia="Times New Roman"/>
        </w:rPr>
        <w:t>A description of:</w:t>
      </w:r>
    </w:p>
    <w:p w14:paraId="6D57CB64" w14:textId="2C975730" w:rsidR="00C778E2" w:rsidRPr="00C778E2" w:rsidRDefault="00C778E2" w:rsidP="00D3524C">
      <w:pPr>
        <w:pStyle w:val="BodyText1"/>
        <w:numPr>
          <w:ilvl w:val="1"/>
          <w:numId w:val="17"/>
        </w:numPr>
        <w:rPr>
          <w:rFonts w:eastAsia="Times New Roman"/>
        </w:rPr>
      </w:pPr>
      <w:r w:rsidRPr="00C778E2">
        <w:rPr>
          <w:rFonts w:eastAsia="Times New Roman"/>
        </w:rPr>
        <w:t>the waste(s) to be considered;</w:t>
      </w:r>
    </w:p>
    <w:p w14:paraId="5C22BAB4" w14:textId="2775571E" w:rsidR="00C778E2" w:rsidRPr="00C778E2" w:rsidRDefault="00C778E2" w:rsidP="00D3524C">
      <w:pPr>
        <w:pStyle w:val="BodyText1"/>
        <w:numPr>
          <w:ilvl w:val="1"/>
          <w:numId w:val="17"/>
        </w:numPr>
        <w:rPr>
          <w:rFonts w:eastAsia="Times New Roman"/>
        </w:rPr>
      </w:pPr>
      <w:r w:rsidRPr="00C778E2">
        <w:rPr>
          <w:rFonts w:eastAsia="Times New Roman"/>
        </w:rPr>
        <w:t>the treatment/recovery process undertaken on the waste;</w:t>
      </w:r>
    </w:p>
    <w:p w14:paraId="3B618380" w14:textId="5B9BEE32" w:rsidR="00C778E2" w:rsidRPr="00C778E2" w:rsidRDefault="00C778E2" w:rsidP="00D3524C">
      <w:pPr>
        <w:pStyle w:val="BodyText1"/>
        <w:numPr>
          <w:ilvl w:val="1"/>
          <w:numId w:val="17"/>
        </w:numPr>
        <w:rPr>
          <w:rFonts w:eastAsia="Times New Roman"/>
        </w:rPr>
      </w:pPr>
      <w:r w:rsidRPr="00C778E2">
        <w:rPr>
          <w:rFonts w:eastAsia="Times New Roman"/>
        </w:rPr>
        <w:lastRenderedPageBreak/>
        <w:t>the material(s) that the recovered waste is intended to replace and each proposed use of it;</w:t>
      </w:r>
    </w:p>
    <w:p w14:paraId="122DB307" w14:textId="080DCBE9" w:rsidR="00C778E2" w:rsidRPr="00C778E2" w:rsidRDefault="00C778E2" w:rsidP="00D3524C">
      <w:pPr>
        <w:pStyle w:val="BodyText1"/>
        <w:numPr>
          <w:ilvl w:val="1"/>
          <w:numId w:val="17"/>
        </w:numPr>
        <w:rPr>
          <w:rFonts w:eastAsia="Times New Roman"/>
        </w:rPr>
      </w:pPr>
      <w:r w:rsidRPr="00C778E2">
        <w:rPr>
          <w:rFonts w:eastAsia="Times New Roman"/>
        </w:rPr>
        <w:t>any potential differences in composition between the recovered waste and the non-waste comparator(s) for each proposed use.</w:t>
      </w:r>
    </w:p>
    <w:p w14:paraId="7E39DFAB" w14:textId="5D990CAF" w:rsidR="00C778E2" w:rsidRPr="00C778E2" w:rsidRDefault="00C778E2" w:rsidP="00D3524C">
      <w:pPr>
        <w:pStyle w:val="BodyText1"/>
        <w:numPr>
          <w:ilvl w:val="0"/>
          <w:numId w:val="16"/>
        </w:numPr>
        <w:rPr>
          <w:rFonts w:eastAsia="Times New Roman"/>
        </w:rPr>
      </w:pPr>
      <w:r w:rsidRPr="00C778E2">
        <w:rPr>
          <w:rFonts w:eastAsia="Times New Roman"/>
        </w:rPr>
        <w:t>Evidence that:</w:t>
      </w:r>
    </w:p>
    <w:p w14:paraId="0D4691F2" w14:textId="3D79FF3A" w:rsidR="00C778E2" w:rsidRPr="00C778E2" w:rsidRDefault="00C778E2" w:rsidP="00D3524C">
      <w:pPr>
        <w:pStyle w:val="BodyText1"/>
        <w:numPr>
          <w:ilvl w:val="1"/>
          <w:numId w:val="16"/>
        </w:numPr>
        <w:rPr>
          <w:rFonts w:eastAsia="Times New Roman"/>
        </w:rPr>
      </w:pPr>
      <w:r w:rsidRPr="00C778E2">
        <w:rPr>
          <w:rFonts w:eastAsia="Times New Roman"/>
        </w:rPr>
        <w:t>the proposed treatment process is sufficient to recover the waste to a particular and consistent specification;</w:t>
      </w:r>
    </w:p>
    <w:p w14:paraId="675996E7" w14:textId="0C413807" w:rsidR="00C778E2" w:rsidRPr="00C778E2" w:rsidRDefault="00C778E2" w:rsidP="00D3524C">
      <w:pPr>
        <w:pStyle w:val="BodyText1"/>
        <w:numPr>
          <w:ilvl w:val="1"/>
          <w:numId w:val="16"/>
        </w:numPr>
        <w:rPr>
          <w:rFonts w:eastAsia="Times New Roman"/>
        </w:rPr>
      </w:pPr>
      <w:r w:rsidRPr="00C778E2">
        <w:rPr>
          <w:rFonts w:eastAsia="Times New Roman"/>
        </w:rPr>
        <w:t>there is certainty of use of the recovered waste for the specified purpose(s) and for each proposed use; and that</w:t>
      </w:r>
    </w:p>
    <w:p w14:paraId="3AADFF12" w14:textId="3D0F23DC" w:rsidR="00C778E2" w:rsidRPr="00C778E2" w:rsidRDefault="00C778E2" w:rsidP="00D3524C">
      <w:pPr>
        <w:pStyle w:val="BodyText1"/>
        <w:numPr>
          <w:ilvl w:val="1"/>
          <w:numId w:val="16"/>
        </w:numPr>
        <w:rPr>
          <w:rFonts w:eastAsia="Times New Roman"/>
        </w:rPr>
      </w:pPr>
      <w:r w:rsidRPr="00C778E2">
        <w:rPr>
          <w:rFonts w:eastAsia="Times New Roman"/>
        </w:rPr>
        <w:t>the recovered waste is capable of being used under the same conditions of environmental protection and with no modification to the process, as the selected comparator in respect of each proposed use of the waste, without any greater danger of harm to human health or the environment.</w:t>
      </w:r>
    </w:p>
    <w:p w14:paraId="5FEFD93E" w14:textId="401F2D21" w:rsidR="007D5183" w:rsidRPr="007D5183" w:rsidRDefault="00C778E2" w:rsidP="00C778E2">
      <w:pPr>
        <w:pStyle w:val="BodyText1"/>
        <w:rPr>
          <w:rFonts w:eastAsia="Times New Roman"/>
        </w:rPr>
      </w:pPr>
      <w:r w:rsidRPr="00C778E2">
        <w:rPr>
          <w:rFonts w:eastAsia="Times New Roman"/>
        </w:rPr>
        <w:t>SEPA should be consulted before embarking on the next step to ensure that the comparator is appropriate.</w:t>
      </w:r>
    </w:p>
    <w:p w14:paraId="2460DEA9" w14:textId="42E5D488" w:rsidR="00BF4C93" w:rsidRPr="00934526" w:rsidRDefault="00232B9E" w:rsidP="00BF4C93">
      <w:pPr>
        <w:pStyle w:val="Heading2"/>
        <w:rPr>
          <w:rFonts w:eastAsia="Times New Roman"/>
        </w:rPr>
      </w:pPr>
      <w:bookmarkStart w:id="4" w:name="_Toc242170221"/>
      <w:r>
        <w:rPr>
          <w:rFonts w:eastAsia="Times New Roman"/>
        </w:rPr>
        <w:t>Step 2: Comparable analysis</w:t>
      </w:r>
      <w:bookmarkEnd w:id="4"/>
    </w:p>
    <w:p w14:paraId="03711222" w14:textId="1B576B18" w:rsidR="00C7487F" w:rsidRPr="00C7487F" w:rsidRDefault="00C7487F" w:rsidP="00C7487F">
      <w:pPr>
        <w:pStyle w:val="BodyText1"/>
        <w:rPr>
          <w:rFonts w:eastAsia="Times New Roman"/>
        </w:rPr>
      </w:pPr>
      <w:r w:rsidRPr="00C7487F">
        <w:rPr>
          <w:rFonts w:eastAsia="Times New Roman"/>
        </w:rPr>
        <w:t>The recovered waste and each comparator which it is proposed to replace in respect of each proposed use of the waste must undergo a rigorous analytical comparison. The analysis must be supported by an assessment of the contaminants/pollutants likely to be found in the waste as a consequence of its inherent nature, its previous uses, and the processing to which it has been subjected.</w:t>
      </w:r>
    </w:p>
    <w:p w14:paraId="23D143D9" w14:textId="60B8B5FE" w:rsidR="00C7487F" w:rsidRPr="00C7487F" w:rsidRDefault="00C7487F" w:rsidP="009E6C7A">
      <w:pPr>
        <w:pStyle w:val="Heading3"/>
        <w:rPr>
          <w:rFonts w:eastAsia="Times New Roman"/>
        </w:rPr>
      </w:pPr>
      <w:bookmarkStart w:id="5" w:name="_Toc242170222"/>
      <w:r w:rsidRPr="00C7487F">
        <w:rPr>
          <w:rFonts w:eastAsia="Times New Roman"/>
        </w:rPr>
        <w:t>Sampling</w:t>
      </w:r>
      <w:bookmarkEnd w:id="5"/>
    </w:p>
    <w:p w14:paraId="69D6C792" w14:textId="3DF43DBB" w:rsidR="003B7470" w:rsidRPr="003B7470" w:rsidRDefault="00C7487F" w:rsidP="00773A24">
      <w:pPr>
        <w:pStyle w:val="BodyText1"/>
        <w:rPr>
          <w:rFonts w:eastAsia="Times New Roman"/>
        </w:rPr>
      </w:pPr>
      <w:r w:rsidRPr="00C7487F">
        <w:rPr>
          <w:rFonts w:eastAsia="Times New Roman"/>
        </w:rPr>
        <w:t>Representative samples of both the recovered waste and each of the comparators must be obtained. For solid materials this may require</w:t>
      </w:r>
      <w:r w:rsidR="003B7470">
        <w:rPr>
          <w:rFonts w:eastAsia="Times New Roman"/>
        </w:rPr>
        <w:t xml:space="preserve"> </w:t>
      </w:r>
      <w:r w:rsidR="003B7470" w:rsidRPr="003B7470">
        <w:rPr>
          <w:rFonts w:eastAsia="Times New Roman"/>
        </w:rPr>
        <w:t>composite samples to be taken. If the composition of either the recovered waste or virgin materials is particularly variable in their composition, additional batches may require analysis such that the variability can be adequately described.</w:t>
      </w:r>
    </w:p>
    <w:p w14:paraId="7E581D16" w14:textId="10CBC639" w:rsidR="007D5183" w:rsidRDefault="003B7470" w:rsidP="00773A24">
      <w:pPr>
        <w:pStyle w:val="BodyText1"/>
        <w:rPr>
          <w:rFonts w:eastAsia="Times New Roman"/>
        </w:rPr>
      </w:pPr>
      <w:r w:rsidRPr="003B7470">
        <w:rPr>
          <w:rFonts w:eastAsia="Times New Roman"/>
        </w:rPr>
        <w:lastRenderedPageBreak/>
        <w:t>A statistically robust number of samples of the recovered waste and the non-waste comparator(s) for each proposed use shall be taken to ensure that sampling is representative. Where the recovered waste comprises wastes from different or unknown sources, or there is a range of comparators, a sampling protocol shall be developed and submitted to SEPA for approval.</w:t>
      </w:r>
    </w:p>
    <w:p w14:paraId="563A6D0A" w14:textId="06B4D1AC" w:rsidR="00E21F74" w:rsidRDefault="00E21F74" w:rsidP="009E6C7A">
      <w:pPr>
        <w:pStyle w:val="Heading3"/>
        <w:rPr>
          <w:rFonts w:eastAsia="Times New Roman"/>
        </w:rPr>
      </w:pPr>
      <w:bookmarkStart w:id="6" w:name="_Toc242170223"/>
      <w:r>
        <w:rPr>
          <w:rFonts w:eastAsia="Times New Roman"/>
        </w:rPr>
        <w:t>Choice of analyses</w:t>
      </w:r>
      <w:bookmarkEnd w:id="6"/>
    </w:p>
    <w:p w14:paraId="50F18383" w14:textId="40B95D25" w:rsidR="004C6344" w:rsidRPr="004C6344" w:rsidRDefault="004C6344" w:rsidP="004C6344">
      <w:pPr>
        <w:pStyle w:val="BodyText1"/>
        <w:rPr>
          <w:rFonts w:eastAsia="Times New Roman"/>
        </w:rPr>
      </w:pPr>
      <w:r w:rsidRPr="004C6344">
        <w:rPr>
          <w:rFonts w:eastAsia="Times New Roman"/>
        </w:rPr>
        <w:t>Analysis for a range of chemical, physical and biological parameters is required to determine whether the recovered waste is equivalent to the non-waste comparator(s), whether it contains additional contaminants, and is likely to be suitable for use under the same conditions of environmental protection for each proposed use. It will be necessary for a quality-assured laboratory to undertake the analyses required.</w:t>
      </w:r>
    </w:p>
    <w:p w14:paraId="64348D15" w14:textId="6C413E45" w:rsidR="004C6344" w:rsidRPr="004C6344" w:rsidRDefault="004C6344" w:rsidP="004C6344">
      <w:pPr>
        <w:pStyle w:val="BodyText1"/>
        <w:rPr>
          <w:rFonts w:eastAsia="Times New Roman"/>
        </w:rPr>
      </w:pPr>
      <w:r w:rsidRPr="004C6344">
        <w:rPr>
          <w:rFonts w:eastAsia="Times New Roman"/>
        </w:rPr>
        <w:t>The range of analytical parameters depends partly on the characteristics of the comparator(s), possibly defined by a product standard. However, product standards are normally drafted for uncontaminated “virgin” materials and may well not address substances or contaminants that may be present in a treated waste. Strict comparison against a product standard is therefore very unlikely to be sufficient to justify a waste ceasing to be waste as it does not fully address the end of waste criteria set out in the “Is It Waste” guidance. In such cases additional analyses for contaminants that may be present in the recovered waste, but not in the comparator(s), will be required.</w:t>
      </w:r>
    </w:p>
    <w:p w14:paraId="4F155145" w14:textId="77777777" w:rsidR="004C6344" w:rsidRPr="004C6344" w:rsidRDefault="004C6344" w:rsidP="004C6344">
      <w:pPr>
        <w:pStyle w:val="BodyText1"/>
        <w:rPr>
          <w:rFonts w:eastAsia="Times New Roman"/>
        </w:rPr>
      </w:pPr>
      <w:r w:rsidRPr="004C6344">
        <w:rPr>
          <w:rFonts w:eastAsia="Times New Roman"/>
        </w:rPr>
        <w:t>In order to decide what additional contaminants may be present, and therefore which additional analyses must be undertaken, consideration must be given to:</w:t>
      </w:r>
    </w:p>
    <w:p w14:paraId="7FDB9A75" w14:textId="4DCA9A8D" w:rsidR="004C6344" w:rsidRPr="004C6344" w:rsidRDefault="004C6344" w:rsidP="004C6344">
      <w:pPr>
        <w:pStyle w:val="BodyText1"/>
        <w:numPr>
          <w:ilvl w:val="0"/>
          <w:numId w:val="16"/>
        </w:numPr>
        <w:rPr>
          <w:rFonts w:eastAsia="Times New Roman"/>
        </w:rPr>
      </w:pPr>
      <w:r w:rsidRPr="004C6344">
        <w:rPr>
          <w:rFonts w:eastAsia="Times New Roman"/>
        </w:rPr>
        <w:t>Previous uses of the recovered waste material which could result in a physical, chemical or biological change; and,</w:t>
      </w:r>
    </w:p>
    <w:p w14:paraId="26C164E7" w14:textId="44E53580" w:rsidR="004C6344" w:rsidRPr="004C6344" w:rsidRDefault="004C6344" w:rsidP="004C6344">
      <w:pPr>
        <w:pStyle w:val="BodyText1"/>
        <w:numPr>
          <w:ilvl w:val="0"/>
          <w:numId w:val="16"/>
        </w:numPr>
        <w:rPr>
          <w:rFonts w:eastAsia="Times New Roman"/>
        </w:rPr>
      </w:pPr>
      <w:r w:rsidRPr="004C6344">
        <w:rPr>
          <w:rFonts w:eastAsia="Times New Roman"/>
        </w:rPr>
        <w:t>Any potential changes in its composition which could have taken place as a result of its use (e.g. addition of a chemical) or the treatment process leading to its recovery.</w:t>
      </w:r>
    </w:p>
    <w:p w14:paraId="5EB764ED" w14:textId="28425B53" w:rsidR="00E21F74" w:rsidRPr="004C6344" w:rsidRDefault="004C6344" w:rsidP="004C6344">
      <w:pPr>
        <w:pStyle w:val="BodyText1"/>
        <w:numPr>
          <w:ilvl w:val="0"/>
          <w:numId w:val="16"/>
        </w:numPr>
        <w:rPr>
          <w:rFonts w:eastAsia="Times New Roman"/>
        </w:rPr>
      </w:pPr>
      <w:r w:rsidRPr="004C6344">
        <w:rPr>
          <w:rFonts w:eastAsia="Times New Roman"/>
        </w:rPr>
        <w:t>the circumstances of each of the proposed uses.</w:t>
      </w:r>
    </w:p>
    <w:p w14:paraId="3C4A570F" w14:textId="5B1E3CA5" w:rsidR="004C6344" w:rsidRDefault="004C6344" w:rsidP="009E6C7A">
      <w:pPr>
        <w:pStyle w:val="Heading3"/>
        <w:rPr>
          <w:rFonts w:eastAsia="Times New Roman"/>
        </w:rPr>
      </w:pPr>
      <w:bookmarkStart w:id="7" w:name="_Toc242170224"/>
      <w:r>
        <w:rPr>
          <w:rFonts w:eastAsia="Times New Roman"/>
        </w:rPr>
        <w:lastRenderedPageBreak/>
        <w:t>Assessment of results</w:t>
      </w:r>
      <w:bookmarkEnd w:id="7"/>
    </w:p>
    <w:p w14:paraId="67C4AAAF" w14:textId="77777777" w:rsidR="00532743" w:rsidRPr="00532743" w:rsidRDefault="00532743" w:rsidP="00532743">
      <w:pPr>
        <w:pStyle w:val="BodyText1"/>
        <w:rPr>
          <w:rFonts w:eastAsia="Times New Roman"/>
        </w:rPr>
      </w:pPr>
      <w:r w:rsidRPr="00532743">
        <w:rPr>
          <w:rFonts w:eastAsia="Times New Roman"/>
        </w:rPr>
        <w:t>The samples taken shall be subject to the same suite of analysis and the results submitted to SEPA. The analytical data should include</w:t>
      </w:r>
    </w:p>
    <w:p w14:paraId="7ED4F687" w14:textId="728EA268" w:rsidR="00532743" w:rsidRPr="00532743" w:rsidRDefault="00532743" w:rsidP="00532743">
      <w:pPr>
        <w:pStyle w:val="BodyText1"/>
        <w:numPr>
          <w:ilvl w:val="0"/>
          <w:numId w:val="21"/>
        </w:numPr>
        <w:rPr>
          <w:rFonts w:eastAsia="Times New Roman"/>
        </w:rPr>
      </w:pPr>
      <w:r w:rsidRPr="00532743">
        <w:rPr>
          <w:rFonts w:eastAsia="Times New Roman"/>
        </w:rPr>
        <w:t>sampling and analytical margins of error;</w:t>
      </w:r>
    </w:p>
    <w:p w14:paraId="4B029C04" w14:textId="02E95FC7" w:rsidR="00532743" w:rsidRPr="00532743" w:rsidRDefault="00532743" w:rsidP="00532743">
      <w:pPr>
        <w:pStyle w:val="BodyText1"/>
        <w:numPr>
          <w:ilvl w:val="0"/>
          <w:numId w:val="21"/>
        </w:numPr>
        <w:rPr>
          <w:rFonts w:eastAsia="Times New Roman"/>
        </w:rPr>
      </w:pPr>
      <w:r w:rsidRPr="00532743">
        <w:rPr>
          <w:rFonts w:eastAsia="Times New Roman"/>
        </w:rPr>
        <w:t>details of the analyses undertaken;</w:t>
      </w:r>
    </w:p>
    <w:p w14:paraId="3E2832C6" w14:textId="6C4DD081" w:rsidR="00532743" w:rsidRPr="00532743" w:rsidRDefault="00532743" w:rsidP="00532743">
      <w:pPr>
        <w:pStyle w:val="BodyText1"/>
        <w:numPr>
          <w:ilvl w:val="0"/>
          <w:numId w:val="21"/>
        </w:numPr>
        <w:rPr>
          <w:rFonts w:eastAsia="Times New Roman"/>
        </w:rPr>
      </w:pPr>
      <w:r w:rsidRPr="00532743">
        <w:rPr>
          <w:rFonts w:eastAsia="Times New Roman"/>
        </w:rPr>
        <w:t>any observations on the analytical process;</w:t>
      </w:r>
    </w:p>
    <w:p w14:paraId="2E5E59CD" w14:textId="2977958B" w:rsidR="004C6344" w:rsidRPr="00532743" w:rsidRDefault="00532743" w:rsidP="00532743">
      <w:pPr>
        <w:pStyle w:val="BodyText1"/>
        <w:numPr>
          <w:ilvl w:val="0"/>
          <w:numId w:val="21"/>
        </w:numPr>
        <w:rPr>
          <w:rFonts w:eastAsia="Times New Roman"/>
        </w:rPr>
      </w:pPr>
      <w:r w:rsidRPr="00532743">
        <w:rPr>
          <w:rFonts w:eastAsia="Times New Roman"/>
        </w:rPr>
        <w:t>the limit of detection (LOD)/limit of quantitation (LOQ) of the analytical technique used</w:t>
      </w:r>
    </w:p>
    <w:p w14:paraId="75DCFC91" w14:textId="08E7F422" w:rsidR="000E3225" w:rsidRPr="000E3225" w:rsidRDefault="000E3225" w:rsidP="000E3225">
      <w:pPr>
        <w:pStyle w:val="BodyText1"/>
        <w:rPr>
          <w:rFonts w:eastAsia="Times New Roman"/>
        </w:rPr>
      </w:pPr>
      <w:r w:rsidRPr="000E3225">
        <w:rPr>
          <w:rFonts w:eastAsia="Times New Roman"/>
        </w:rPr>
        <w:t>If the analytical results indicate that the recovered waste is chemically, physically and biologically identical to the non-waste material in respect of each of the proposed uses, then it may be possible to agree that the recovered waste is suitable for a proposed use, and has ceased to be a waste for that particular use only, so long as all of the end of waste criteria set out in “Is It Waste” have been met. An assurance should be sought that the specification can be routinely achieved and that no other substances are present. This may be done by implementing an agreed Quality Assurance Scheme and/or through licence/permit conditions for treatment process.</w:t>
      </w:r>
    </w:p>
    <w:p w14:paraId="5035B73F" w14:textId="3D091609" w:rsidR="000E3225" w:rsidRPr="000E3225" w:rsidRDefault="000E3225" w:rsidP="000E3225">
      <w:pPr>
        <w:pStyle w:val="BodyText1"/>
        <w:rPr>
          <w:rFonts w:eastAsia="Times New Roman"/>
        </w:rPr>
      </w:pPr>
      <w:r w:rsidRPr="000E3225">
        <w:rPr>
          <w:rFonts w:eastAsia="Times New Roman"/>
        </w:rPr>
        <w:t>Normally, if the analytical results indicate that some substances are present in higher concentrations in the recovered waste than in the non-waste comparator in respect of each proposed use, or that contaminants are also present, then the waste will remain a waste. However, in some cases for a proposed use it may be possible to aggregate certain analytical results for certain substances which have a similar overall environmental impact. This approach can only be considered individually on a case-by-case basis for each proposed use and a full scientific justification for the proposed approach must be provided that meets all the end of waste criteria set out in “Is It Waste”.</w:t>
      </w:r>
    </w:p>
    <w:p w14:paraId="334AD1E3" w14:textId="37C3B910" w:rsidR="00BF4C93" w:rsidRDefault="000E3225" w:rsidP="000E3225">
      <w:pPr>
        <w:pStyle w:val="BodyText1"/>
        <w:rPr>
          <w:rFonts w:eastAsia="Times New Roman"/>
        </w:rPr>
      </w:pPr>
      <w:r w:rsidRPr="000E3225">
        <w:rPr>
          <w:rFonts w:eastAsia="Times New Roman"/>
        </w:rPr>
        <w:t>SEPA should be consulted before embarking on the next step.</w:t>
      </w:r>
    </w:p>
    <w:p w14:paraId="076F469B" w14:textId="3E14A96E" w:rsidR="00BF4C93" w:rsidRPr="00934526" w:rsidRDefault="000E3225" w:rsidP="00BF4C93">
      <w:pPr>
        <w:pStyle w:val="Heading2"/>
        <w:rPr>
          <w:rFonts w:eastAsia="Times New Roman"/>
        </w:rPr>
      </w:pPr>
      <w:bookmarkStart w:id="8" w:name="_Toc242170225"/>
      <w:r>
        <w:rPr>
          <w:rFonts w:eastAsia="Times New Roman"/>
        </w:rPr>
        <w:lastRenderedPageBreak/>
        <w:t>Step 3: Conditions of use and environmental issues</w:t>
      </w:r>
      <w:bookmarkEnd w:id="8"/>
    </w:p>
    <w:p w14:paraId="503F78A7" w14:textId="4DF5F80A" w:rsidR="00A949B8" w:rsidRPr="00A949B8" w:rsidRDefault="00A949B8" w:rsidP="00A949B8">
      <w:pPr>
        <w:pStyle w:val="BodyText1"/>
        <w:rPr>
          <w:rFonts w:eastAsia="Times New Roman"/>
        </w:rPr>
      </w:pPr>
      <w:r w:rsidRPr="00A949B8">
        <w:rPr>
          <w:rFonts w:eastAsia="Times New Roman"/>
        </w:rPr>
        <w:t>The analytical results for any of the chemical/physical/biological parameters may indicate how any differences in composition between the recovered waste and the comparator in respect of each proposed use could affect the conditions of use and associated emissions to the environment. For example, if any modification of the intended process is required in order to use a recovered fuel oil, e.g. changes to oxygen levels, combustion temperatures, fuel mix, then this indicates that full recovery has not taken place and that the recovered material remains waste. If further processing is required before use the substance or object is still waste. A requirement for further processing before use indicates that not all the relevant parameters were considered in the comparative analysis step.</w:t>
      </w:r>
    </w:p>
    <w:p w14:paraId="2E047B0E" w14:textId="77777777" w:rsidR="00A949B8" w:rsidRPr="00A949B8" w:rsidRDefault="00A949B8" w:rsidP="00A949B8">
      <w:pPr>
        <w:pStyle w:val="BodyText1"/>
        <w:rPr>
          <w:rFonts w:eastAsia="Times New Roman"/>
        </w:rPr>
      </w:pPr>
      <w:r w:rsidRPr="00A949B8">
        <w:rPr>
          <w:rFonts w:eastAsia="Times New Roman"/>
        </w:rPr>
        <w:t>If the composition of the recovered waste differs from the raw material it may still be possible to demonstrate that full recovery has taken place, if all of the end of waste criteria are met and it can be used for each proposed use under the same conditions of environmental protection as the non-waste comparator and without any greater risk of harm to human health or the environment. An assessment may be made of the environmental impact expected from each of the proposed final uses of the recovered waste, based on the analytical results.</w:t>
      </w:r>
    </w:p>
    <w:p w14:paraId="7CF1A07F" w14:textId="77777777" w:rsidR="00A949B8" w:rsidRPr="00A949B8" w:rsidRDefault="00A949B8" w:rsidP="009E6C7A">
      <w:pPr>
        <w:pStyle w:val="Heading3"/>
        <w:rPr>
          <w:rFonts w:eastAsia="Times New Roman"/>
        </w:rPr>
      </w:pPr>
      <w:bookmarkStart w:id="9" w:name="_Toc242170226"/>
      <w:r w:rsidRPr="00A949B8">
        <w:rPr>
          <w:rFonts w:eastAsia="Times New Roman"/>
        </w:rPr>
        <w:t>Trials</w:t>
      </w:r>
      <w:bookmarkEnd w:id="9"/>
    </w:p>
    <w:p w14:paraId="2CD87EFF" w14:textId="6B1A312A" w:rsidR="00152642" w:rsidRPr="00152642" w:rsidRDefault="00A949B8" w:rsidP="00152642">
      <w:pPr>
        <w:pStyle w:val="BodyText1"/>
        <w:rPr>
          <w:rFonts w:eastAsia="Times New Roman"/>
        </w:rPr>
      </w:pPr>
      <w:r w:rsidRPr="00A949B8">
        <w:rPr>
          <w:rFonts w:eastAsia="Times New Roman"/>
        </w:rPr>
        <w:t>It may be necessary to undertake emissions testing where the analytical data does not clearly demonstrate that the recovered waste can be used under the same conditions of environmental protection as the non-waste comparator for each proposed use.  All proposals for trials must be undertaken in accordance with</w:t>
      </w:r>
      <w:r w:rsidR="00152642">
        <w:rPr>
          <w:rFonts w:eastAsia="Times New Roman"/>
        </w:rPr>
        <w:t xml:space="preserve"> </w:t>
      </w:r>
      <w:r w:rsidR="00152642" w:rsidRPr="00152642">
        <w:rPr>
          <w:rFonts w:eastAsia="Times New Roman"/>
        </w:rPr>
        <w:t>relevant legislation, any existing environmental licences and in accordance with a trial protocol submitted to and approved by SEPA. A licence/permit may have to be applied for or varied to permit a trial.</w:t>
      </w:r>
    </w:p>
    <w:p w14:paraId="1AFEFB2C" w14:textId="3BF16D33" w:rsidR="00152642" w:rsidRPr="00152642" w:rsidRDefault="00152642" w:rsidP="00152642">
      <w:pPr>
        <w:pStyle w:val="BodyText1"/>
        <w:rPr>
          <w:rFonts w:eastAsia="Times New Roman"/>
        </w:rPr>
      </w:pPr>
      <w:r w:rsidRPr="00152642">
        <w:rPr>
          <w:rFonts w:eastAsia="Times New Roman"/>
        </w:rPr>
        <w:t>A full report detailing the outcome of the trials must be submitted to SEPA on completion of the trial. The report shall include the information required in the agreed protocol. Any modifications to the protocol must be notified to, and agreed with, SEPA prior to implementing the change.</w:t>
      </w:r>
    </w:p>
    <w:p w14:paraId="09850567" w14:textId="1C770EEE" w:rsidR="00152642" w:rsidRPr="00152642" w:rsidRDefault="00152642" w:rsidP="00152642">
      <w:pPr>
        <w:pStyle w:val="BodyText1"/>
        <w:rPr>
          <w:rFonts w:eastAsia="Times New Roman"/>
        </w:rPr>
      </w:pPr>
      <w:r w:rsidRPr="00152642">
        <w:rPr>
          <w:rFonts w:eastAsia="Times New Roman"/>
        </w:rPr>
        <w:t xml:space="preserve">If, after undertaking these steps all of the end of waste criteria have been met and it has been demonstrated that the recovered waste can be used under the same conditions of environmental protection for each proposed use as the non-waste material, then the material </w:t>
      </w:r>
      <w:r w:rsidRPr="00152642">
        <w:rPr>
          <w:rFonts w:eastAsia="Times New Roman"/>
        </w:rPr>
        <w:lastRenderedPageBreak/>
        <w:t>may be considered to be fully recovered and therefore no longer subject to waste regulatory controls for that particular proposed use.</w:t>
      </w:r>
    </w:p>
    <w:p w14:paraId="1B7E1F69" w14:textId="6E15DBF1" w:rsidR="00097F88" w:rsidRPr="00514384" w:rsidRDefault="00152642" w:rsidP="00514384">
      <w:pPr>
        <w:pStyle w:val="BodyText1"/>
        <w:rPr>
          <w:rFonts w:eastAsia="Times New Roman"/>
        </w:rPr>
      </w:pPr>
      <w:r w:rsidRPr="00152642">
        <w:rPr>
          <w:rFonts w:eastAsia="Times New Roman"/>
        </w:rPr>
        <w:t>Note that even if waste has economic value, or can be processed with no danger to environment or human health, or has undergone a complete recovery operation – the substance or object will still be waste if the holder discards or is required or intends to discard the substance or object.</w:t>
      </w:r>
    </w:p>
    <w:sectPr w:rsidR="00097F88" w:rsidRPr="00514384" w:rsidSect="00F13324">
      <w:headerReference w:type="even" r:id="rId15"/>
      <w:headerReference w:type="default" r:id="rId16"/>
      <w:footerReference w:type="even" r:id="rId17"/>
      <w:footerReference w:type="default" r:id="rId18"/>
      <w:headerReference w:type="first" r:id="rId19"/>
      <w:footerReference w:type="first" r:id="rId20"/>
      <w:pgSz w:w="11900" w:h="16840"/>
      <w:pgMar w:top="839" w:right="839" w:bottom="839" w:left="839" w:header="79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79C10" w14:textId="77777777" w:rsidR="00AC3A3B" w:rsidRDefault="00AC3A3B" w:rsidP="00660C79">
      <w:pPr>
        <w:spacing w:line="240" w:lineRule="auto"/>
      </w:pPr>
      <w:r>
        <w:separator/>
      </w:r>
    </w:p>
  </w:endnote>
  <w:endnote w:type="continuationSeparator" w:id="0">
    <w:p w14:paraId="58972AD0" w14:textId="77777777" w:rsidR="00AC3A3B" w:rsidRDefault="00AC3A3B" w:rsidP="00660C79">
      <w:pPr>
        <w:spacing w:line="240" w:lineRule="auto"/>
      </w:pPr>
      <w:r>
        <w:continuationSeparator/>
      </w:r>
    </w:p>
  </w:endnote>
  <w:endnote w:type="continuationNotice" w:id="1">
    <w:p w14:paraId="0380B973" w14:textId="77777777" w:rsidR="00AC3A3B" w:rsidRDefault="00AC3A3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0EDAF" w14:textId="77777777" w:rsidR="00EC6A73" w:rsidRDefault="00805B2F" w:rsidP="00E60556">
    <w:pPr>
      <w:pStyle w:val="Footer"/>
      <w:framePr w:wrap="none" w:vAnchor="text" w:hAnchor="margin" w:xAlign="right" w:y="1"/>
      <w:rPr>
        <w:rStyle w:val="PageNumber"/>
      </w:rPr>
    </w:pPr>
    <w:r>
      <w:rPr>
        <w:noProof/>
      </w:rPr>
      <mc:AlternateContent>
        <mc:Choice Requires="wps">
          <w:drawing>
            <wp:anchor distT="0" distB="0" distL="0" distR="0" simplePos="0" relativeHeight="251658246" behindDoc="0" locked="0" layoutInCell="1" allowOverlap="1" wp14:anchorId="6192EA1A" wp14:editId="69EDCF4C">
              <wp:simplePos x="635" y="635"/>
              <wp:positionH relativeFrom="page">
                <wp:align>center</wp:align>
              </wp:positionH>
              <wp:positionV relativeFrom="page">
                <wp:align>bottom</wp:align>
              </wp:positionV>
              <wp:extent cx="443865" cy="443865"/>
              <wp:effectExtent l="0" t="0" r="16510" b="0"/>
              <wp:wrapNone/>
              <wp:docPr id="11" name="Text Box 11">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CDF1D46" w14:textId="77777777" w:rsidR="00805B2F" w:rsidRPr="00805B2F" w:rsidRDefault="00805B2F" w:rsidP="00805B2F">
                          <w:pPr>
                            <w:rPr>
                              <w:rFonts w:ascii="Calibri" w:eastAsia="Calibri" w:hAnsi="Calibri" w:cs="Calibri"/>
                              <w:noProof/>
                              <w:color w:val="0000FF"/>
                              <w:sz w:val="20"/>
                              <w:szCs w:val="20"/>
                            </w:rPr>
                          </w:pPr>
                          <w:r w:rsidRPr="00805B2F">
                            <w:rPr>
                              <w:rFonts w:ascii="Calibri" w:eastAsia="Calibri" w:hAnsi="Calibri" w:cs="Calibri"/>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92EA1A" id="_x0000_t202" coordsize="21600,21600" o:spt="202" path="m,l,21600r21600,l21600,xe">
              <v:stroke joinstyle="miter"/>
              <v:path gradientshapeok="t" o:connecttype="rect"/>
            </v:shapetype>
            <v:shape id="Text Box 11" o:spid="_x0000_s1029" type="#_x0000_t202" alt="&quot;&quot;" style="position:absolute;margin-left:0;margin-top:0;width:34.95pt;height:34.9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1CDF1D46" w14:textId="77777777" w:rsidR="00805B2F" w:rsidRPr="00805B2F" w:rsidRDefault="00805B2F" w:rsidP="00805B2F">
                    <w:pPr>
                      <w:rPr>
                        <w:rFonts w:ascii="Calibri" w:eastAsia="Calibri" w:hAnsi="Calibri" w:cs="Calibri"/>
                        <w:noProof/>
                        <w:color w:val="0000FF"/>
                        <w:sz w:val="20"/>
                        <w:szCs w:val="20"/>
                      </w:rPr>
                    </w:pPr>
                    <w:r w:rsidRPr="00805B2F">
                      <w:rPr>
                        <w:rFonts w:ascii="Calibri" w:eastAsia="Calibri" w:hAnsi="Calibri" w:cs="Calibri"/>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Content>
      <w:p w14:paraId="704B13AF" w14:textId="77777777" w:rsidR="00EC6A73" w:rsidRDefault="00EC6A73" w:rsidP="00E6055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Content>
      <w:p w14:paraId="0B3F1ADC"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EF62E2F"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C9778" w14:textId="77777777" w:rsidR="00EC6A73" w:rsidRDefault="00805B2F" w:rsidP="00917BB1">
    <w:pPr>
      <w:pStyle w:val="Footer"/>
      <w:ind w:right="360"/>
    </w:pPr>
    <w:r>
      <w:rPr>
        <w:noProof/>
      </w:rPr>
      <mc:AlternateContent>
        <mc:Choice Requires="wps">
          <w:drawing>
            <wp:anchor distT="0" distB="0" distL="0" distR="0" simplePos="0" relativeHeight="251658247" behindDoc="0" locked="0" layoutInCell="1" allowOverlap="1" wp14:anchorId="578E1CCB" wp14:editId="6336789D">
              <wp:simplePos x="533400" y="9716770"/>
              <wp:positionH relativeFrom="page">
                <wp:align>center</wp:align>
              </wp:positionH>
              <wp:positionV relativeFrom="page">
                <wp:align>bottom</wp:align>
              </wp:positionV>
              <wp:extent cx="443865" cy="443865"/>
              <wp:effectExtent l="0" t="0" r="16510" b="0"/>
              <wp:wrapNone/>
              <wp:docPr id="12" name="Text Box 12">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CEACD14" w14:textId="77777777" w:rsidR="00805B2F" w:rsidRPr="00805B2F" w:rsidRDefault="00805B2F" w:rsidP="00805B2F">
                          <w:pPr>
                            <w:rPr>
                              <w:rFonts w:ascii="Calibri" w:eastAsia="Calibri" w:hAnsi="Calibri" w:cs="Calibri"/>
                              <w:noProof/>
                              <w:color w:val="0000FF"/>
                              <w:sz w:val="20"/>
                              <w:szCs w:val="20"/>
                            </w:rPr>
                          </w:pPr>
                          <w:r w:rsidRPr="00805B2F">
                            <w:rPr>
                              <w:rFonts w:ascii="Calibri" w:eastAsia="Calibri" w:hAnsi="Calibri" w:cs="Calibri"/>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8E1CCB" id="_x0000_t202" coordsize="21600,21600" o:spt="202" path="m,l,21600r21600,l21600,xe">
              <v:stroke joinstyle="miter"/>
              <v:path gradientshapeok="t" o:connecttype="rect"/>
            </v:shapetype>
            <v:shape id="Text Box 12" o:spid="_x0000_s1030" type="#_x0000_t202" alt="&quot;&quot;" style="position:absolute;margin-left:0;margin-top:0;width:34.95pt;height:34.9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6CEACD14" w14:textId="77777777" w:rsidR="00805B2F" w:rsidRPr="00805B2F" w:rsidRDefault="00805B2F" w:rsidP="00805B2F">
                    <w:pPr>
                      <w:rPr>
                        <w:rFonts w:ascii="Calibri" w:eastAsia="Calibri" w:hAnsi="Calibri" w:cs="Calibri"/>
                        <w:noProof/>
                        <w:color w:val="0000FF"/>
                        <w:sz w:val="20"/>
                        <w:szCs w:val="20"/>
                      </w:rPr>
                    </w:pPr>
                    <w:r w:rsidRPr="00805B2F">
                      <w:rPr>
                        <w:rFonts w:ascii="Calibri" w:eastAsia="Calibri" w:hAnsi="Calibri" w:cs="Calibri"/>
                        <w:noProof/>
                        <w:color w:val="0000FF"/>
                        <w:sz w:val="20"/>
                        <w:szCs w:val="20"/>
                      </w:rPr>
                      <w:t>OFFICIAL</w:t>
                    </w:r>
                  </w:p>
                </w:txbxContent>
              </v:textbox>
              <w10:wrap anchorx="page" anchory="page"/>
            </v:shape>
          </w:pict>
        </mc:Fallback>
      </mc:AlternateContent>
    </w:r>
  </w:p>
  <w:p w14:paraId="4DCBAC03" w14:textId="77777777" w:rsidR="00917BB1" w:rsidRDefault="000E0D15" w:rsidP="00917BB1">
    <w:pPr>
      <w:pStyle w:val="Footer"/>
      <w:ind w:right="360"/>
    </w:pPr>
    <w:r>
      <w:rPr>
        <w:noProof/>
      </w:rPr>
      <mc:AlternateContent>
        <mc:Choice Requires="wps">
          <w:drawing>
            <wp:anchor distT="0" distB="0" distL="114300" distR="114300" simplePos="0" relativeHeight="251658241" behindDoc="0" locked="0" layoutInCell="1" allowOverlap="1" wp14:anchorId="02CF5611" wp14:editId="6083CD05">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9E20D4" id="Straight Connector 10"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Content>
      <w:p w14:paraId="1992CBA1"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F9A9F7A" w14:textId="77777777" w:rsidR="00917BB1" w:rsidRDefault="00917BB1" w:rsidP="00917BB1">
    <w:pPr>
      <w:pStyle w:val="Footer"/>
      <w:ind w:right="360"/>
    </w:pPr>
    <w:r>
      <w:rPr>
        <w:noProof/>
      </w:rPr>
      <w:drawing>
        <wp:inline distT="0" distB="0" distL="0" distR="0" wp14:anchorId="4DF81F20" wp14:editId="696014CE">
          <wp:extent cx="1007167" cy="265044"/>
          <wp:effectExtent l="0" t="0" r="0" b="1905"/>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429FA" w14:textId="77777777" w:rsidR="00805B2F" w:rsidRDefault="00805B2F">
    <w:pPr>
      <w:pStyle w:val="Footer"/>
    </w:pPr>
    <w:r>
      <w:rPr>
        <w:noProof/>
      </w:rPr>
      <mc:AlternateContent>
        <mc:Choice Requires="wps">
          <w:drawing>
            <wp:anchor distT="0" distB="0" distL="0" distR="0" simplePos="0" relativeHeight="251658245" behindDoc="0" locked="0" layoutInCell="1" allowOverlap="1" wp14:anchorId="10E732C0" wp14:editId="055FD441">
              <wp:simplePos x="533400" y="10160000"/>
              <wp:positionH relativeFrom="page">
                <wp:align>center</wp:align>
              </wp:positionH>
              <wp:positionV relativeFrom="page">
                <wp:align>bottom</wp:align>
              </wp:positionV>
              <wp:extent cx="443865" cy="443865"/>
              <wp:effectExtent l="0" t="0" r="16510" b="0"/>
              <wp:wrapNone/>
              <wp:docPr id="9" name="Text Box 9">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E0ED02D" w14:textId="77777777" w:rsidR="00805B2F" w:rsidRPr="00805B2F" w:rsidRDefault="00805B2F" w:rsidP="00805B2F">
                          <w:pPr>
                            <w:rPr>
                              <w:rFonts w:ascii="Calibri" w:eastAsia="Calibri" w:hAnsi="Calibri" w:cs="Calibri"/>
                              <w:noProof/>
                              <w:color w:val="0000FF"/>
                              <w:sz w:val="20"/>
                              <w:szCs w:val="20"/>
                            </w:rPr>
                          </w:pPr>
                          <w:r w:rsidRPr="00805B2F">
                            <w:rPr>
                              <w:rFonts w:ascii="Calibri" w:eastAsia="Calibri" w:hAnsi="Calibri" w:cs="Calibri"/>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E732C0" id="_x0000_t202" coordsize="21600,21600" o:spt="202" path="m,l,21600r21600,l21600,xe">
              <v:stroke joinstyle="miter"/>
              <v:path gradientshapeok="t" o:connecttype="rect"/>
            </v:shapetype>
            <v:shape id="Text Box 9" o:spid="_x0000_s1032" type="#_x0000_t202" alt="&quot;&quot;" style="position:absolute;margin-left:0;margin-top:0;width:34.95pt;height:34.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1E0ED02D" w14:textId="77777777" w:rsidR="00805B2F" w:rsidRPr="00805B2F" w:rsidRDefault="00805B2F" w:rsidP="00805B2F">
                    <w:pPr>
                      <w:rPr>
                        <w:rFonts w:ascii="Calibri" w:eastAsia="Calibri" w:hAnsi="Calibri" w:cs="Calibri"/>
                        <w:noProof/>
                        <w:color w:val="0000FF"/>
                        <w:sz w:val="20"/>
                        <w:szCs w:val="20"/>
                      </w:rPr>
                    </w:pPr>
                    <w:r w:rsidRPr="00805B2F">
                      <w:rPr>
                        <w:rFonts w:ascii="Calibri" w:eastAsia="Calibri" w:hAnsi="Calibri" w:cs="Calibri"/>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8BF4C" w14:textId="77777777" w:rsidR="00AC3A3B" w:rsidRDefault="00AC3A3B" w:rsidP="00660C79">
      <w:pPr>
        <w:spacing w:line="240" w:lineRule="auto"/>
      </w:pPr>
      <w:r>
        <w:separator/>
      </w:r>
    </w:p>
  </w:footnote>
  <w:footnote w:type="continuationSeparator" w:id="0">
    <w:p w14:paraId="5F73CD0F" w14:textId="77777777" w:rsidR="00AC3A3B" w:rsidRDefault="00AC3A3B" w:rsidP="00660C79">
      <w:pPr>
        <w:spacing w:line="240" w:lineRule="auto"/>
      </w:pPr>
      <w:r>
        <w:continuationSeparator/>
      </w:r>
    </w:p>
  </w:footnote>
  <w:footnote w:type="continuationNotice" w:id="1">
    <w:p w14:paraId="14632675" w14:textId="77777777" w:rsidR="00AC3A3B" w:rsidRDefault="00AC3A3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0608F" w14:textId="77777777" w:rsidR="00805B2F" w:rsidRDefault="00805B2F">
    <w:pPr>
      <w:pStyle w:val="Header"/>
    </w:pPr>
    <w:r>
      <w:rPr>
        <w:noProof/>
      </w:rPr>
      <mc:AlternateContent>
        <mc:Choice Requires="wps">
          <w:drawing>
            <wp:anchor distT="0" distB="0" distL="0" distR="0" simplePos="0" relativeHeight="251658243" behindDoc="0" locked="0" layoutInCell="1" allowOverlap="1" wp14:anchorId="77BE9FFD" wp14:editId="7FA3E60A">
              <wp:simplePos x="635" y="635"/>
              <wp:positionH relativeFrom="page">
                <wp:align>center</wp:align>
              </wp:positionH>
              <wp:positionV relativeFrom="page">
                <wp:align>top</wp:align>
              </wp:positionV>
              <wp:extent cx="443865" cy="443865"/>
              <wp:effectExtent l="0" t="0" r="16510" b="15240"/>
              <wp:wrapNone/>
              <wp:docPr id="6" name="Text Box 6">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0766DEA" w14:textId="77777777" w:rsidR="00805B2F" w:rsidRPr="00805B2F" w:rsidRDefault="00805B2F" w:rsidP="00805B2F">
                          <w:pPr>
                            <w:rPr>
                              <w:rFonts w:ascii="Calibri" w:eastAsia="Calibri" w:hAnsi="Calibri" w:cs="Calibri"/>
                              <w:noProof/>
                              <w:color w:val="0000FF"/>
                              <w:sz w:val="20"/>
                              <w:szCs w:val="20"/>
                            </w:rPr>
                          </w:pPr>
                          <w:r w:rsidRPr="00805B2F">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BE9FFD" id="_x0000_t202" coordsize="21600,21600" o:spt="202" path="m,l,21600r21600,l21600,xe">
              <v:stroke joinstyle="miter"/>
              <v:path gradientshapeok="t" o:connecttype="rect"/>
            </v:shapetype>
            <v:shape id="Text Box 6" o:spid="_x0000_s1027" type="#_x0000_t202" alt="&quot;&quot;" style="position:absolute;margin-left:0;margin-top:0;width:34.95pt;height:34.9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10766DEA" w14:textId="77777777" w:rsidR="00805B2F" w:rsidRPr="00805B2F" w:rsidRDefault="00805B2F" w:rsidP="00805B2F">
                    <w:pPr>
                      <w:rPr>
                        <w:rFonts w:ascii="Calibri" w:eastAsia="Calibri" w:hAnsi="Calibri" w:cs="Calibri"/>
                        <w:noProof/>
                        <w:color w:val="0000FF"/>
                        <w:sz w:val="20"/>
                        <w:szCs w:val="20"/>
                      </w:rPr>
                    </w:pPr>
                    <w:r w:rsidRPr="00805B2F">
                      <w:rPr>
                        <w:rFonts w:ascii="Calibri" w:eastAsia="Calibri" w:hAnsi="Calibri" w:cs="Calibri"/>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2804C" w14:textId="782021FF" w:rsidR="008D113C" w:rsidRPr="00917BB1" w:rsidRDefault="00805B2F" w:rsidP="008D113C">
    <w:pPr>
      <w:pStyle w:val="BodyText1"/>
      <w:spacing w:line="240" w:lineRule="auto"/>
      <w:jc w:val="right"/>
      <w:rPr>
        <w:color w:val="6E7571" w:themeColor="text2"/>
      </w:rPr>
    </w:pPr>
    <w:r>
      <w:rPr>
        <w:noProof/>
        <w:color w:val="6E7571" w:themeColor="text2"/>
      </w:rPr>
      <mc:AlternateContent>
        <mc:Choice Requires="wps">
          <w:drawing>
            <wp:anchor distT="0" distB="0" distL="0" distR="0" simplePos="0" relativeHeight="251696128" behindDoc="0" locked="0" layoutInCell="1" allowOverlap="1" wp14:anchorId="16243F56" wp14:editId="4DBD157A">
              <wp:simplePos x="533400" y="504825"/>
              <wp:positionH relativeFrom="page">
                <wp:align>center</wp:align>
              </wp:positionH>
              <wp:positionV relativeFrom="page">
                <wp:align>top</wp:align>
              </wp:positionV>
              <wp:extent cx="443865" cy="443865"/>
              <wp:effectExtent l="0" t="0" r="16510" b="15240"/>
              <wp:wrapNone/>
              <wp:docPr id="8" name="Text Box 8">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478A804" w14:textId="77777777" w:rsidR="00805B2F" w:rsidRPr="00805B2F" w:rsidRDefault="00805B2F" w:rsidP="00805B2F">
                          <w:pPr>
                            <w:rPr>
                              <w:rFonts w:ascii="Calibri" w:eastAsia="Calibri" w:hAnsi="Calibri" w:cs="Calibri"/>
                              <w:noProof/>
                              <w:color w:val="0000FF"/>
                              <w:sz w:val="20"/>
                              <w:szCs w:val="20"/>
                            </w:rPr>
                          </w:pPr>
                          <w:r w:rsidRPr="00805B2F">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243F56" id="_x0000_t202" coordsize="21600,21600" o:spt="202" path="m,l,21600r21600,l21600,xe">
              <v:stroke joinstyle="miter"/>
              <v:path gradientshapeok="t" o:connecttype="rect"/>
            </v:shapetype>
            <v:shape id="Text Box 8" o:spid="_x0000_s1028" type="#_x0000_t202" alt="&quot;&quot;" style="position:absolute;left:0;text-align:left;margin-left:0;margin-top:0;width:34.95pt;height:34.95pt;z-index:2516961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4478A804" w14:textId="77777777" w:rsidR="00805B2F" w:rsidRPr="00805B2F" w:rsidRDefault="00805B2F" w:rsidP="00805B2F">
                    <w:pPr>
                      <w:rPr>
                        <w:rFonts w:ascii="Calibri" w:eastAsia="Calibri" w:hAnsi="Calibri" w:cs="Calibri"/>
                        <w:noProof/>
                        <w:color w:val="0000FF"/>
                        <w:sz w:val="20"/>
                        <w:szCs w:val="20"/>
                      </w:rPr>
                    </w:pPr>
                    <w:r w:rsidRPr="00805B2F">
                      <w:rPr>
                        <w:rFonts w:ascii="Calibri" w:eastAsia="Calibri" w:hAnsi="Calibri" w:cs="Calibri"/>
                        <w:noProof/>
                        <w:color w:val="0000FF"/>
                        <w:sz w:val="20"/>
                        <w:szCs w:val="20"/>
                      </w:rPr>
                      <w:t>OFFICIAL</w:t>
                    </w:r>
                  </w:p>
                </w:txbxContent>
              </v:textbox>
              <w10:wrap anchorx="page" anchory="page"/>
            </v:shape>
          </w:pict>
        </mc:Fallback>
      </mc:AlternateContent>
    </w:r>
    <w:r w:rsidR="005619A5">
      <w:rPr>
        <w:color w:val="6E7571" w:themeColor="text2"/>
      </w:rPr>
      <w:t>Determining when waste has been fully recovered</w:t>
    </w:r>
  </w:p>
  <w:p w14:paraId="2750E204" w14:textId="77777777" w:rsidR="008D113C" w:rsidRDefault="007D441B" w:rsidP="008D113C">
    <w:pPr>
      <w:pStyle w:val="BodyText1"/>
      <w:jc w:val="right"/>
    </w:pPr>
    <w:r>
      <w:rPr>
        <w:noProof/>
      </w:rPr>
      <mc:AlternateContent>
        <mc:Choice Requires="wps">
          <w:drawing>
            <wp:anchor distT="0" distB="0" distL="114300" distR="114300" simplePos="0" relativeHeight="251656192" behindDoc="0" locked="0" layoutInCell="1" allowOverlap="1" wp14:anchorId="63EB90F9" wp14:editId="18F740F6">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8332AA" id="Straight Connector 7" o:spid="_x0000_s1026" alt="&quot;&quot;" style="position:absolute;flip:x;z-index:251656192;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A5F8C" w14:textId="77777777" w:rsidR="00805B2F" w:rsidRDefault="00805B2F">
    <w:pPr>
      <w:pStyle w:val="Header"/>
    </w:pPr>
    <w:r>
      <w:rPr>
        <w:noProof/>
      </w:rPr>
      <mc:AlternateContent>
        <mc:Choice Requires="wps">
          <w:drawing>
            <wp:anchor distT="0" distB="0" distL="0" distR="0" simplePos="0" relativeHeight="251658242" behindDoc="0" locked="0" layoutInCell="1" allowOverlap="1" wp14:anchorId="4C81C0B3" wp14:editId="3BBE0F5A">
              <wp:simplePos x="533400" y="508000"/>
              <wp:positionH relativeFrom="page">
                <wp:align>center</wp:align>
              </wp:positionH>
              <wp:positionV relativeFrom="page">
                <wp:align>top</wp:align>
              </wp:positionV>
              <wp:extent cx="443865" cy="443865"/>
              <wp:effectExtent l="0" t="0" r="16510" b="15240"/>
              <wp:wrapNone/>
              <wp:docPr id="1" name="Text Box 1">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BC7BF9" w14:textId="77777777" w:rsidR="00805B2F" w:rsidRPr="00805B2F" w:rsidRDefault="00805B2F" w:rsidP="00805B2F">
                          <w:pPr>
                            <w:rPr>
                              <w:rFonts w:ascii="Calibri" w:eastAsia="Calibri" w:hAnsi="Calibri" w:cs="Calibri"/>
                              <w:noProof/>
                              <w:color w:val="0000FF"/>
                              <w:sz w:val="20"/>
                              <w:szCs w:val="20"/>
                            </w:rPr>
                          </w:pPr>
                          <w:r w:rsidRPr="00805B2F">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81C0B3" id="_x0000_t202" coordsize="21600,21600" o:spt="202" path="m,l,21600r21600,l21600,xe">
              <v:stroke joinstyle="miter"/>
              <v:path gradientshapeok="t" o:connecttype="rect"/>
            </v:shapetype>
            <v:shape id="Text Box 1" o:spid="_x0000_s1031" type="#_x0000_t202" alt="&quot;&quot;" style="position:absolute;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1BBC7BF9" w14:textId="77777777" w:rsidR="00805B2F" w:rsidRPr="00805B2F" w:rsidRDefault="00805B2F" w:rsidP="00805B2F">
                    <w:pPr>
                      <w:rPr>
                        <w:rFonts w:ascii="Calibri" w:eastAsia="Calibri" w:hAnsi="Calibri" w:cs="Calibri"/>
                        <w:noProof/>
                        <w:color w:val="0000FF"/>
                        <w:sz w:val="20"/>
                        <w:szCs w:val="20"/>
                      </w:rPr>
                    </w:pPr>
                    <w:r w:rsidRPr="00805B2F">
                      <w:rPr>
                        <w:rFonts w:ascii="Calibri" w:eastAsia="Calibri" w:hAnsi="Calibri" w:cs="Calibri"/>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B4D5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F0C0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DC6C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EC9F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FCAA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A22D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E624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0C93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1E39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2E56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0F47B8"/>
    <w:multiLevelType w:val="hybridMultilevel"/>
    <w:tmpl w:val="C1E898BA"/>
    <w:lvl w:ilvl="0" w:tplc="3ACE4760">
      <w:start w:val="1"/>
      <w:numFmt w:val="upperLetter"/>
      <w:lvlText w:val="%1."/>
      <w:lvlJc w:val="left"/>
      <w:pPr>
        <w:ind w:left="1080" w:hanging="720"/>
      </w:pPr>
      <w:rPr>
        <w:rFonts w:hint="default"/>
      </w:rPr>
    </w:lvl>
    <w:lvl w:ilvl="1" w:tplc="86760692">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515AFE"/>
    <w:multiLevelType w:val="hybridMultilevel"/>
    <w:tmpl w:val="1BFE6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4864E8"/>
    <w:multiLevelType w:val="hybridMultilevel"/>
    <w:tmpl w:val="D97C1CDA"/>
    <w:lvl w:ilvl="0" w:tplc="C01A2D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B91B8F"/>
    <w:multiLevelType w:val="hybridMultilevel"/>
    <w:tmpl w:val="50F65F86"/>
    <w:lvl w:ilvl="0" w:tplc="AD1208B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B40FA2"/>
    <w:multiLevelType w:val="hybridMultilevel"/>
    <w:tmpl w:val="BA642FC0"/>
    <w:lvl w:ilvl="0" w:tplc="3ACE4760">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8432DDD"/>
    <w:multiLevelType w:val="hybridMultilevel"/>
    <w:tmpl w:val="4D0C48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9424CC"/>
    <w:multiLevelType w:val="hybridMultilevel"/>
    <w:tmpl w:val="B69C1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DC38EE"/>
    <w:multiLevelType w:val="hybridMultilevel"/>
    <w:tmpl w:val="F0CC41F6"/>
    <w:lvl w:ilvl="0" w:tplc="D1AC66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414E24"/>
    <w:multiLevelType w:val="hybridMultilevel"/>
    <w:tmpl w:val="219EF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27111D"/>
    <w:multiLevelType w:val="hybridMultilevel"/>
    <w:tmpl w:val="7868A3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A76544"/>
    <w:multiLevelType w:val="hybridMultilevel"/>
    <w:tmpl w:val="60449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ABA2D0C"/>
    <w:multiLevelType w:val="hybridMultilevel"/>
    <w:tmpl w:val="B180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DC6963"/>
    <w:multiLevelType w:val="hybridMultilevel"/>
    <w:tmpl w:val="FBCA1D08"/>
    <w:lvl w:ilvl="0" w:tplc="A532F9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C383E7B"/>
    <w:multiLevelType w:val="hybridMultilevel"/>
    <w:tmpl w:val="C794F578"/>
    <w:lvl w:ilvl="0" w:tplc="1E0058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6E2E7C"/>
    <w:multiLevelType w:val="hybridMultilevel"/>
    <w:tmpl w:val="098EC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6991833">
    <w:abstractNumId w:val="0"/>
  </w:num>
  <w:num w:numId="2" w16cid:durableId="2105566417">
    <w:abstractNumId w:val="1"/>
  </w:num>
  <w:num w:numId="3" w16cid:durableId="1805927877">
    <w:abstractNumId w:val="2"/>
  </w:num>
  <w:num w:numId="4" w16cid:durableId="905798264">
    <w:abstractNumId w:val="3"/>
  </w:num>
  <w:num w:numId="5" w16cid:durableId="1414813136">
    <w:abstractNumId w:val="8"/>
  </w:num>
  <w:num w:numId="6" w16cid:durableId="79523064">
    <w:abstractNumId w:val="4"/>
  </w:num>
  <w:num w:numId="7" w16cid:durableId="1085418359">
    <w:abstractNumId w:val="5"/>
  </w:num>
  <w:num w:numId="8" w16cid:durableId="500970126">
    <w:abstractNumId w:val="6"/>
  </w:num>
  <w:num w:numId="9" w16cid:durableId="683829009">
    <w:abstractNumId w:val="7"/>
  </w:num>
  <w:num w:numId="10" w16cid:durableId="2124495314">
    <w:abstractNumId w:val="9"/>
  </w:num>
  <w:num w:numId="11" w16cid:durableId="772438943">
    <w:abstractNumId w:val="21"/>
  </w:num>
  <w:num w:numId="12" w16cid:durableId="1700204152">
    <w:abstractNumId w:val="16"/>
  </w:num>
  <w:num w:numId="13" w16cid:durableId="921716480">
    <w:abstractNumId w:val="11"/>
  </w:num>
  <w:num w:numId="14" w16cid:durableId="156464629">
    <w:abstractNumId w:val="24"/>
  </w:num>
  <w:num w:numId="15" w16cid:durableId="1943611850">
    <w:abstractNumId w:val="20"/>
  </w:num>
  <w:num w:numId="16" w16cid:durableId="495733005">
    <w:abstractNumId w:val="15"/>
  </w:num>
  <w:num w:numId="17" w16cid:durableId="629701375">
    <w:abstractNumId w:val="19"/>
  </w:num>
  <w:num w:numId="18" w16cid:durableId="125708824">
    <w:abstractNumId w:val="10"/>
  </w:num>
  <w:num w:numId="19" w16cid:durableId="1639455409">
    <w:abstractNumId w:val="14"/>
  </w:num>
  <w:num w:numId="20" w16cid:durableId="2035112499">
    <w:abstractNumId w:val="23"/>
  </w:num>
  <w:num w:numId="21" w16cid:durableId="2102484009">
    <w:abstractNumId w:val="18"/>
  </w:num>
  <w:num w:numId="22" w16cid:durableId="2110735930">
    <w:abstractNumId w:val="22"/>
  </w:num>
  <w:num w:numId="23" w16cid:durableId="1654408552">
    <w:abstractNumId w:val="17"/>
  </w:num>
  <w:num w:numId="24" w16cid:durableId="2129734937">
    <w:abstractNumId w:val="12"/>
  </w:num>
  <w:num w:numId="25" w16cid:durableId="846215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93"/>
    <w:rsid w:val="000039D0"/>
    <w:rsid w:val="00032829"/>
    <w:rsid w:val="00040561"/>
    <w:rsid w:val="00047AF3"/>
    <w:rsid w:val="00070937"/>
    <w:rsid w:val="00074330"/>
    <w:rsid w:val="00090CBA"/>
    <w:rsid w:val="00097F88"/>
    <w:rsid w:val="000B7559"/>
    <w:rsid w:val="000E0D15"/>
    <w:rsid w:val="000E3225"/>
    <w:rsid w:val="00105F31"/>
    <w:rsid w:val="001416CC"/>
    <w:rsid w:val="00152642"/>
    <w:rsid w:val="001B2CE4"/>
    <w:rsid w:val="0020743F"/>
    <w:rsid w:val="00232626"/>
    <w:rsid w:val="00232B9E"/>
    <w:rsid w:val="00236552"/>
    <w:rsid w:val="00263D45"/>
    <w:rsid w:val="00281BB1"/>
    <w:rsid w:val="00290B1F"/>
    <w:rsid w:val="002B4F98"/>
    <w:rsid w:val="0030096D"/>
    <w:rsid w:val="003030E8"/>
    <w:rsid w:val="00310792"/>
    <w:rsid w:val="00317618"/>
    <w:rsid w:val="00321484"/>
    <w:rsid w:val="003401EC"/>
    <w:rsid w:val="003500BC"/>
    <w:rsid w:val="00366299"/>
    <w:rsid w:val="00373D8F"/>
    <w:rsid w:val="00380D2D"/>
    <w:rsid w:val="003B7470"/>
    <w:rsid w:val="003C7E70"/>
    <w:rsid w:val="003D04DA"/>
    <w:rsid w:val="003D63AD"/>
    <w:rsid w:val="003E36B6"/>
    <w:rsid w:val="003E3A4D"/>
    <w:rsid w:val="003F5384"/>
    <w:rsid w:val="003F7659"/>
    <w:rsid w:val="004073BC"/>
    <w:rsid w:val="00420C6B"/>
    <w:rsid w:val="00421A2D"/>
    <w:rsid w:val="00444AA1"/>
    <w:rsid w:val="004A20FC"/>
    <w:rsid w:val="004C6344"/>
    <w:rsid w:val="004F60FB"/>
    <w:rsid w:val="00514384"/>
    <w:rsid w:val="00532743"/>
    <w:rsid w:val="00540C78"/>
    <w:rsid w:val="00551989"/>
    <w:rsid w:val="005619A5"/>
    <w:rsid w:val="005A355E"/>
    <w:rsid w:val="005C2D5F"/>
    <w:rsid w:val="005D1213"/>
    <w:rsid w:val="005D2F7E"/>
    <w:rsid w:val="00606F38"/>
    <w:rsid w:val="006243FF"/>
    <w:rsid w:val="00626039"/>
    <w:rsid w:val="00626C11"/>
    <w:rsid w:val="00660C79"/>
    <w:rsid w:val="006D16CE"/>
    <w:rsid w:val="006D6084"/>
    <w:rsid w:val="00712A84"/>
    <w:rsid w:val="00773A24"/>
    <w:rsid w:val="007C3F12"/>
    <w:rsid w:val="007D441B"/>
    <w:rsid w:val="007D5183"/>
    <w:rsid w:val="007F04B2"/>
    <w:rsid w:val="00801105"/>
    <w:rsid w:val="00805B2F"/>
    <w:rsid w:val="0083233F"/>
    <w:rsid w:val="00853985"/>
    <w:rsid w:val="00861B46"/>
    <w:rsid w:val="008C1A73"/>
    <w:rsid w:val="008D113C"/>
    <w:rsid w:val="008D376F"/>
    <w:rsid w:val="008D6FDE"/>
    <w:rsid w:val="00916B68"/>
    <w:rsid w:val="00917BB1"/>
    <w:rsid w:val="00934526"/>
    <w:rsid w:val="0094336B"/>
    <w:rsid w:val="00975D21"/>
    <w:rsid w:val="00980531"/>
    <w:rsid w:val="009974A0"/>
    <w:rsid w:val="009A240D"/>
    <w:rsid w:val="009B4A21"/>
    <w:rsid w:val="009B6A1C"/>
    <w:rsid w:val="009E6C7A"/>
    <w:rsid w:val="00A07A8B"/>
    <w:rsid w:val="00A40714"/>
    <w:rsid w:val="00A9349C"/>
    <w:rsid w:val="00A949B8"/>
    <w:rsid w:val="00AC3A3B"/>
    <w:rsid w:val="00AE068C"/>
    <w:rsid w:val="00B20652"/>
    <w:rsid w:val="00B42845"/>
    <w:rsid w:val="00B46E48"/>
    <w:rsid w:val="00B54CF4"/>
    <w:rsid w:val="00B71762"/>
    <w:rsid w:val="00BA0669"/>
    <w:rsid w:val="00BE7D59"/>
    <w:rsid w:val="00BF4C93"/>
    <w:rsid w:val="00C01EC3"/>
    <w:rsid w:val="00C05C29"/>
    <w:rsid w:val="00C06D34"/>
    <w:rsid w:val="00C103B4"/>
    <w:rsid w:val="00C27A9A"/>
    <w:rsid w:val="00C569B9"/>
    <w:rsid w:val="00C7487F"/>
    <w:rsid w:val="00C778E2"/>
    <w:rsid w:val="00C946B6"/>
    <w:rsid w:val="00CD6AC0"/>
    <w:rsid w:val="00CF7EFB"/>
    <w:rsid w:val="00D112F7"/>
    <w:rsid w:val="00D15916"/>
    <w:rsid w:val="00D3524C"/>
    <w:rsid w:val="00D35448"/>
    <w:rsid w:val="00D64363"/>
    <w:rsid w:val="00D67600"/>
    <w:rsid w:val="00D7596B"/>
    <w:rsid w:val="00E0586D"/>
    <w:rsid w:val="00E11A56"/>
    <w:rsid w:val="00E21F74"/>
    <w:rsid w:val="00E60556"/>
    <w:rsid w:val="00E67C75"/>
    <w:rsid w:val="00EC6A73"/>
    <w:rsid w:val="00EF1896"/>
    <w:rsid w:val="00F07048"/>
    <w:rsid w:val="00F13324"/>
    <w:rsid w:val="00F27928"/>
    <w:rsid w:val="00F321C9"/>
    <w:rsid w:val="00F57FFE"/>
    <w:rsid w:val="00F62E76"/>
    <w:rsid w:val="00F72274"/>
    <w:rsid w:val="00F87841"/>
    <w:rsid w:val="00FA0715"/>
    <w:rsid w:val="00FD2E4B"/>
    <w:rsid w:val="00FD2F37"/>
    <w:rsid w:val="00FF571C"/>
    <w:rsid w:val="00FF5D5A"/>
    <w:rsid w:val="38FE9A2D"/>
    <w:rsid w:val="3D918062"/>
    <w:rsid w:val="447FA83A"/>
    <w:rsid w:val="5BF62271"/>
    <w:rsid w:val="79DFBB9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25CC7"/>
  <w15:chartTrackingRefBased/>
  <w15:docId w15:val="{D76687AB-A161-4FD7-B42A-2501FDE5F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F88"/>
    <w:pPr>
      <w:spacing w:line="360" w:lineRule="auto"/>
    </w:pPr>
    <w:rPr>
      <w:rFonts w:eastAsiaTheme="minorEastAsia"/>
    </w:rPr>
  </w:style>
  <w:style w:type="paragraph" w:styleId="Heading1">
    <w:name w:val="heading 1"/>
    <w:basedOn w:val="Normal"/>
    <w:next w:val="Normal"/>
    <w:link w:val="Heading1Char"/>
    <w:uiPriority w:val="9"/>
    <w:qFormat/>
    <w:rsid w:val="00B42845"/>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B42845"/>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B42845"/>
    <w:pPr>
      <w:keepNext/>
      <w:keepLines/>
      <w:spacing w:after="240" w:line="240" w:lineRule="auto"/>
      <w:outlineLvl w:val="2"/>
    </w:pPr>
    <w:rPr>
      <w:rFonts w:asciiTheme="majorHAnsi" w:eastAsiaTheme="majorEastAsia" w:hAnsiTheme="majorHAnsi" w:cstheme="majorBidi"/>
      <w:b/>
      <w:sz w:val="28"/>
    </w:rPr>
  </w:style>
  <w:style w:type="paragraph" w:styleId="Heading4">
    <w:name w:val="heading 4"/>
    <w:basedOn w:val="Normal"/>
    <w:next w:val="Normal"/>
    <w:link w:val="Heading4Char"/>
    <w:uiPriority w:val="9"/>
    <w:unhideWhenUsed/>
    <w:qFormat/>
    <w:rsid w:val="00B42845"/>
    <w:pPr>
      <w:keepNext/>
      <w:keepLines/>
      <w:spacing w:after="240" w:line="240" w:lineRule="auto"/>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B42845"/>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B42845"/>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B42845"/>
    <w:rPr>
      <w:rFonts w:asciiTheme="majorHAnsi" w:eastAsiaTheme="majorEastAsia" w:hAnsiTheme="majorHAnsi" w:cstheme="majorBidi"/>
      <w:b/>
      <w:sz w:val="28"/>
    </w:rPr>
  </w:style>
  <w:style w:type="character" w:customStyle="1" w:styleId="Heading4Char">
    <w:name w:val="Heading 4 Char"/>
    <w:basedOn w:val="DefaultParagraphFont"/>
    <w:link w:val="Heading4"/>
    <w:uiPriority w:val="9"/>
    <w:rsid w:val="00B42845"/>
    <w:rPr>
      <w:rFonts w:asciiTheme="majorHAnsi" w:eastAsiaTheme="majorEastAsia" w:hAnsiTheme="majorHAnsi" w:cstheme="majorBidi"/>
      <w:b/>
      <w:iCs/>
    </w:rPr>
  </w:style>
  <w:style w:type="paragraph" w:customStyle="1" w:styleId="BodyText1">
    <w:name w:val="Body Text1"/>
    <w:basedOn w:val="Normal"/>
    <w:qFormat/>
    <w:rsid w:val="00B42845"/>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ListParagraph">
    <w:name w:val="List Paragraph"/>
    <w:basedOn w:val="Normal"/>
    <w:uiPriority w:val="34"/>
    <w:qFormat/>
    <w:pPr>
      <w:ind w:left="720"/>
      <w:contextualSpacing/>
    </w:pPr>
  </w:style>
  <w:style w:type="paragraph" w:styleId="TOCHeading">
    <w:name w:val="TOC Heading"/>
    <w:basedOn w:val="Heading1"/>
    <w:next w:val="Normal"/>
    <w:uiPriority w:val="39"/>
    <w:unhideWhenUsed/>
    <w:qFormat/>
    <w:rsid w:val="00373D8F"/>
    <w:pPr>
      <w:spacing w:before="240" w:after="0" w:line="259" w:lineRule="auto"/>
      <w:outlineLvl w:val="9"/>
    </w:pPr>
    <w:rPr>
      <w:b w:val="0"/>
      <w:color w:val="004B56" w:themeColor="accent1" w:themeShade="BF"/>
      <w:sz w:val="32"/>
      <w:lang w:eastAsia="en-GB"/>
    </w:rPr>
  </w:style>
  <w:style w:type="paragraph" w:styleId="TOC1">
    <w:name w:val="toc 1"/>
    <w:basedOn w:val="Normal"/>
    <w:next w:val="Normal"/>
    <w:autoRedefine/>
    <w:uiPriority w:val="39"/>
    <w:unhideWhenUsed/>
    <w:rsid w:val="00373D8F"/>
    <w:pPr>
      <w:spacing w:after="100"/>
    </w:pPr>
  </w:style>
  <w:style w:type="paragraph" w:styleId="TOC2">
    <w:name w:val="toc 2"/>
    <w:basedOn w:val="Normal"/>
    <w:next w:val="Normal"/>
    <w:autoRedefine/>
    <w:uiPriority w:val="39"/>
    <w:unhideWhenUsed/>
    <w:rsid w:val="00A40714"/>
    <w:pPr>
      <w:tabs>
        <w:tab w:val="right" w:leader="dot" w:pos="10212"/>
      </w:tabs>
      <w:spacing w:after="100"/>
      <w:ind w:left="240"/>
    </w:pPr>
    <w:rPr>
      <w:rFonts w:asciiTheme="majorHAnsi" w:eastAsia="Times New Roman" w:hAnsiTheme="majorHAnsi" w:cstheme="majorBidi"/>
      <w:b/>
      <w:bCs/>
      <w:noProof/>
    </w:rPr>
  </w:style>
  <w:style w:type="paragraph" w:styleId="TOC3">
    <w:name w:val="toc 3"/>
    <w:basedOn w:val="Normal"/>
    <w:next w:val="Normal"/>
    <w:autoRedefine/>
    <w:uiPriority w:val="39"/>
    <w:unhideWhenUsed/>
    <w:rsid w:val="0094336B"/>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80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qualities@sepa.org.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ationalwaste@sepa.org.uk"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scottishepa.sharepoint.com/sites/StaffUpdate/OfficeTemplates/SEPA_word_template_resources_cover.dotx" TargetMode="External"/></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C06D8B2CBF6E4CBC356F8D97C830E7" ma:contentTypeVersion="1" ma:contentTypeDescription="Create a new document." ma:contentTypeScope="" ma:versionID="d0719986e77ad546c4a0b8dc0baa5c3e">
  <xsd:schema xmlns:xsd="http://www.w3.org/2001/XMLSchema" xmlns:xs="http://www.w3.org/2001/XMLSchema" xmlns:p="http://schemas.microsoft.com/office/2006/metadata/properties" xmlns:ns2="ffb1e15f-ffff-4dd8-8f41-c630cb6c0ad3" targetNamespace="http://schemas.microsoft.com/office/2006/metadata/properties" ma:root="true" ma:fieldsID="57893b89d64d3b8f20f113b0b4dbcdc8" ns2:_="">
    <xsd:import namespace="ffb1e15f-ffff-4dd8-8f41-c630cb6c0ad3"/>
    <xsd:element name="properties">
      <xsd:complexType>
        <xsd:sequence>
          <xsd:element name="documentManagement">
            <xsd:complexType>
              <xsd:all>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b1e15f-ffff-4dd8-8f41-c630cb6c0ad3" elementFormDefault="qualified">
    <xsd:import namespace="http://schemas.microsoft.com/office/2006/documentManagement/types"/>
    <xsd:import namespace="http://schemas.microsoft.com/office/infopath/2007/PartnerControls"/>
    <xsd:element name="lcf76f155ced4ddcb4097134ff3c332f" ma:index="8"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fb1e15f-ffff-4dd8-8f41-c630cb6c0ad3" xsi:nil="true"/>
  </documentManagement>
</p:properties>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customXml/itemProps2.xml><?xml version="1.0" encoding="utf-8"?>
<ds:datastoreItem xmlns:ds="http://schemas.openxmlformats.org/officeDocument/2006/customXml" ds:itemID="{CC311ED9-7CF4-407B-A4CD-FD7B8517B1D3}">
  <ds:schemaRefs>
    <ds:schemaRef ds:uri="http://schemas.microsoft.com/sharepoint/v3/contenttype/forms"/>
  </ds:schemaRefs>
</ds:datastoreItem>
</file>

<file path=customXml/itemProps3.xml><?xml version="1.0" encoding="utf-8"?>
<ds:datastoreItem xmlns:ds="http://schemas.openxmlformats.org/officeDocument/2006/customXml" ds:itemID="{23ECBA57-07DF-4A71-94AF-5B66D296AE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b1e15f-ffff-4dd8-8f41-c630cb6c0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016898-C939-47D2-A4B3-A42BF1E3B413}">
  <ds:schemaRefs>
    <ds:schemaRef ds:uri="http://schemas.microsoft.com/office/2006/metadata/properties"/>
    <ds:schemaRef ds:uri="http://schemas.microsoft.com/office/infopath/2007/PartnerControls"/>
    <ds:schemaRef ds:uri="ffb1e15f-ffff-4dd8-8f41-c630cb6c0ad3"/>
  </ds:schemaRefs>
</ds:datastoreItem>
</file>

<file path=docProps/app.xml><?xml version="1.0" encoding="utf-8"?>
<Properties xmlns="http://schemas.openxmlformats.org/officeDocument/2006/extended-properties" xmlns:vt="http://schemas.openxmlformats.org/officeDocument/2006/docPropsVTypes">
  <Template>SEPA_word_template_resources_cover</Template>
  <TotalTime>19</TotalTime>
  <Pages>1</Pages>
  <Words>2017</Words>
  <Characters>11503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Naomi</dc:creator>
  <cp:keywords/>
  <dc:description/>
  <cp:lastModifiedBy>Foley, Jennifer</cp:lastModifiedBy>
  <cp:revision>39</cp:revision>
  <cp:lastPrinted>2023-03-23T21:44:00Z</cp:lastPrinted>
  <dcterms:created xsi:type="dcterms:W3CDTF">2026-09-07T14:37:00Z</dcterms:created>
  <dcterms:modified xsi:type="dcterms:W3CDTF">2026-10-19T06:29:00Z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1,6,8</vt:lpwstr>
  </property>
  <property fmtid="{D5CDD505-2E9C-101B-9397-08002B2CF9AE}" pid="3" name="ClassificationContentMarkingHeaderFontProps">
    <vt:lpwstr>#0000ff,10,Calibri</vt:lpwstr>
  </property>
  <property fmtid="{D5CDD505-2E9C-101B-9397-08002B2CF9AE}" pid="4" name="ClassificationContentMarkingHeaderText">
    <vt:lpwstr>OFFICIAL</vt:lpwstr>
  </property>
  <property fmtid="{D5CDD505-2E9C-101B-9397-08002B2CF9AE}" pid="5" name="ClassificationContentMarkingFooterShapeIds">
    <vt:lpwstr>9,b,c</vt:lpwstr>
  </property>
  <property fmtid="{D5CDD505-2E9C-101B-9397-08002B2CF9AE}" pid="6" name="ClassificationContentMarkingFooterFontProps">
    <vt:lpwstr>#0000ff,10,Calibri</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2023-07-28T12:39:48Z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42244f92-3245-42e1-804f-f4492a4b6a19</vt:lpwstr>
  </property>
  <property fmtid="{D5CDD505-2E9C-101B-9397-08002B2CF9AE}" pid="14" name="MSIP_Label_ea4fd52f-9814-4cae-aa53-0ea7b16cd381_ContentBits">
    <vt:lpwstr>3</vt:lpwstr>
  </property>
  <property fmtid="{D5CDD505-2E9C-101B-9397-08002B2CF9AE}" pid="15" name="ContentTypeId">
    <vt:lpwstr>0x01010074C06D8B2CBF6E4CBC356F8D97C830E7</vt:lpwstr>
  </property>
  <property fmtid="{D5CDD505-2E9C-101B-9397-08002B2CF9AE}" pid="16" name="MediaServiceImageTags">
    <vt:lpwstr/>
  </property>
  <property fmtid="{D5CDD505-2E9C-101B-9397-08002B2CF9AE}" pid="17" name="sepaSiteName">
    <vt:lpwstr/>
  </property>
  <property fmtid="{D5CDD505-2E9C-101B-9397-08002B2CF9AE}" pid="18" name="sepaDocType">
    <vt:lpwstr/>
  </property>
  <property fmtid="{D5CDD505-2E9C-101B-9397-08002B2CF9AE}" pid="19" name="j4a146bd1242497e854fea19bd003ce8">
    <vt:lpwstr/>
  </property>
  <property fmtid="{D5CDD505-2E9C-101B-9397-08002B2CF9AE}" pid="20" name="ef51aa4790c945b9a0419016f7ab6e29">
    <vt:lpwstr/>
  </property>
  <property fmtid="{D5CDD505-2E9C-101B-9397-08002B2CF9AE}" pid="21" name="ma72f8e6ceae418eb78a3347036104c1">
    <vt:lpwstr/>
  </property>
  <property fmtid="{D5CDD505-2E9C-101B-9397-08002B2CF9AE}" pid="22" name="oef38a18042f4301907f28c0522602c2">
    <vt:lpwstr/>
  </property>
  <property fmtid="{D5CDD505-2E9C-101B-9397-08002B2CF9AE}" pid="23" name="ee9e47817d504c689218031fd5e96151">
    <vt:lpwstr/>
  </property>
  <property fmtid="{D5CDD505-2E9C-101B-9397-08002B2CF9AE}" pid="24" name="sepaWaterbody">
    <vt:lpwstr/>
  </property>
  <property fmtid="{D5CDD505-2E9C-101B-9397-08002B2CF9AE}" pid="25" name="ne0f48cd5d0346faa88fbe934056f480">
    <vt:lpwstr/>
  </property>
  <property fmtid="{D5CDD505-2E9C-101B-9397-08002B2CF9AE}" pid="26" name="k30a802c90584b64ac3ae896c6a1ef3a">
    <vt:lpwstr/>
  </property>
  <property fmtid="{D5CDD505-2E9C-101B-9397-08002B2CF9AE}" pid="27" name="sepaLocationCode">
    <vt:lpwstr/>
  </property>
  <property fmtid="{D5CDD505-2E9C-101B-9397-08002B2CF9AE}" pid="28" name="sepaIAODept">
    <vt:lpwstr/>
  </property>
  <property fmtid="{D5CDD505-2E9C-101B-9397-08002B2CF9AE}" pid="29" name="sepaSector">
    <vt:lpwstr/>
  </property>
  <property fmtid="{D5CDD505-2E9C-101B-9397-08002B2CF9AE}" pid="30" name="sepaRegime">
    <vt:lpwstr/>
  </property>
  <property fmtid="{D5CDD505-2E9C-101B-9397-08002B2CF9AE}" pid="31" name="TaxCatchAll">
    <vt:lpwstr/>
  </property>
</Properties>
</file>