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2514C55D" w14:textId="77777777" w:rsidR="004073BC" w:rsidRDefault="00F72274" w:rsidP="00F72274">
          <w:r>
            <w:rPr>
              <w:noProof/>
            </w:rPr>
            <w:drawing>
              <wp:anchor distT="0" distB="0" distL="114300" distR="114300" simplePos="0" relativeHeight="251658241" behindDoc="1" locked="0" layoutInCell="1" allowOverlap="1" wp14:anchorId="038ED94A" wp14:editId="7A0FDD20">
                <wp:simplePos x="0" y="0"/>
                <wp:positionH relativeFrom="page">
                  <wp:align>left</wp:align>
                </wp:positionH>
                <wp:positionV relativeFrom="paragraph">
                  <wp:posOffset>-717550</wp:posOffset>
                </wp:positionV>
                <wp:extent cx="7559645" cy="108756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756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20C278FF" wp14:editId="5FA88ED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28E45442" w14:textId="77777777" w:rsidR="004073BC" w:rsidRDefault="004073BC" w:rsidP="008C1A73"/>
        <w:p w14:paraId="5A8128CA" w14:textId="77777777" w:rsidR="004073BC" w:rsidRDefault="004073BC" w:rsidP="008C1A73"/>
        <w:p w14:paraId="2806ABCB" w14:textId="77777777" w:rsidR="004073BC" w:rsidRDefault="004073BC" w:rsidP="008C1A73"/>
        <w:p w14:paraId="22F95F7E" w14:textId="33F5E7B8" w:rsidR="004073BC" w:rsidRPr="002C0846" w:rsidRDefault="002C0846" w:rsidP="008C1A73">
          <w:pPr>
            <w:rPr>
              <w:b/>
              <w:bCs/>
              <w:color w:val="FFFFFF" w:themeColor="background1"/>
              <w:sz w:val="36"/>
              <w:szCs w:val="36"/>
            </w:rPr>
          </w:pPr>
          <w:r w:rsidRPr="002C0846">
            <w:rPr>
              <w:b/>
              <w:bCs/>
              <w:color w:val="FFFFFF" w:themeColor="background1"/>
              <w:sz w:val="36"/>
              <w:szCs w:val="36"/>
            </w:rPr>
            <w:t>WAS-G-</w:t>
          </w:r>
          <w:r w:rsidR="00A26960">
            <w:rPr>
              <w:b/>
              <w:bCs/>
              <w:color w:val="FFFFFF" w:themeColor="background1"/>
              <w:sz w:val="36"/>
              <w:szCs w:val="36"/>
            </w:rPr>
            <w:t>62</w:t>
          </w:r>
        </w:p>
        <w:p w14:paraId="53D128F5" w14:textId="77777777" w:rsidR="004073BC" w:rsidRDefault="004073BC" w:rsidP="008C1A73"/>
        <w:p w14:paraId="1A1D2416" w14:textId="77777777" w:rsidR="00281BB1" w:rsidRDefault="00281BB1" w:rsidP="00281BB1">
          <w:pPr>
            <w:rPr>
              <w:b/>
              <w:bCs/>
              <w:color w:val="FFFFFF" w:themeColor="background1"/>
              <w:sz w:val="84"/>
              <w:szCs w:val="84"/>
            </w:rPr>
          </w:pPr>
        </w:p>
        <w:p w14:paraId="6AFE14BD" w14:textId="57151CFD" w:rsidR="00801105" w:rsidRDefault="00281BB1" w:rsidP="00B42845">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607D0E38" wp14:editId="00BCCD53">
                    <wp:simplePos x="0" y="0"/>
                    <wp:positionH relativeFrom="column">
                      <wp:posOffset>124460</wp:posOffset>
                    </wp:positionH>
                    <wp:positionV relativeFrom="paragraph">
                      <wp:posOffset>6205220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2DC5560A" w14:textId="00C37B43" w:rsidR="00281BB1" w:rsidRPr="009A240D" w:rsidRDefault="00083814" w:rsidP="00281BB1">
                                <w:pPr>
                                  <w:pStyle w:val="BodyText1"/>
                                  <w:rPr>
                                    <w:color w:val="FFFFFF" w:themeColor="background1"/>
                                  </w:rPr>
                                </w:pPr>
                                <w:r>
                                  <w:rPr>
                                    <w:color w:val="FFFFFF" w:themeColor="background1"/>
                                  </w:rPr>
                                  <w:t>Version 2.0 –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7D0E38" id="_x0000_t202" coordsize="21600,21600" o:spt="202" path="m,l,21600r21600,l21600,xe">
                    <v:stroke joinstyle="miter"/>
                    <v:path gradientshapeok="t" o:connecttype="rect"/>
                  </v:shapetype>
                  <v:shape id="Text Box 3" o:spid="_x0000_s1026" type="#_x0000_t202" alt="&quot;&quot;" style="position:absolute;margin-left:9.8pt;margin-top:488.6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" filled="f" stroked="f" strokeweight=".5pt">
                    <v:textbox inset="0,0,0,0">
                      <w:txbxContent>
                        <w:p w14:paraId="2DC5560A" w14:textId="00C37B43" w:rsidR="00281BB1" w:rsidRPr="009A240D" w:rsidRDefault="00083814" w:rsidP="00281BB1">
                          <w:pPr>
                            <w:pStyle w:val="BodyText1"/>
                            <w:rPr>
                              <w:color w:val="FFFFFF" w:themeColor="background1"/>
                            </w:rPr>
                          </w:pPr>
                          <w:r>
                            <w:rPr>
                              <w:color w:val="FFFFFF" w:themeColor="background1"/>
                            </w:rPr>
                            <w:t>Version 2.0 – August 2025</w:t>
                          </w:r>
                        </w:p>
                      </w:txbxContent>
                    </v:textbox>
                    <w10:anchorlock/>
                  </v:shape>
                </w:pict>
              </mc:Fallback>
            </mc:AlternateContent>
          </w:r>
          <w:r w:rsidR="00A26960">
            <w:rPr>
              <w:b/>
              <w:bCs/>
              <w:color w:val="FFFFFF" w:themeColor="background1"/>
              <w:sz w:val="84"/>
              <w:szCs w:val="84"/>
            </w:rPr>
            <w:t>Managing waste during an animal disease outbreak</w:t>
          </w:r>
        </w:p>
        <w:p w14:paraId="23268862" w14:textId="77777777" w:rsidR="007044CF" w:rsidRDefault="007044CF" w:rsidP="00CF7EFB"/>
        <w:p w14:paraId="306E9211" w14:textId="349DC1F4" w:rsidR="008C1A73" w:rsidRPr="00CF7EFB" w:rsidRDefault="008C1A73" w:rsidP="00CF7EFB">
          <w:pPr>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411079781"/>
        <w:docPartObj>
          <w:docPartGallery w:val="Table of Contents"/>
          <w:docPartUnique/>
        </w:docPartObj>
      </w:sdtPr>
      <w:sdtEndPr>
        <w:rPr>
          <w:b/>
          <w:bCs/>
          <w:noProof/>
        </w:rPr>
      </w:sdtEndPr>
      <w:sdtContent>
        <w:p w14:paraId="4EB2C206" w14:textId="21CA920B" w:rsidR="00E92DFB" w:rsidRPr="00E92DFB" w:rsidRDefault="00E92DFB">
          <w:pPr>
            <w:pStyle w:val="TOCHeading"/>
            <w:rPr>
              <w:b/>
              <w:bCs/>
            </w:rPr>
          </w:pPr>
          <w:r w:rsidRPr="00E92DFB">
            <w:rPr>
              <w:b/>
              <w:bCs/>
            </w:rPr>
            <w:t>Contents</w:t>
          </w:r>
        </w:p>
        <w:p w14:paraId="04B1517C" w14:textId="77777777" w:rsidR="00E92DFB" w:rsidRDefault="00E92DFB" w:rsidP="00E92DFB">
          <w:pPr>
            <w:pStyle w:val="TOC2"/>
            <w:tabs>
              <w:tab w:val="right" w:leader="dot" w:pos="10212"/>
            </w:tabs>
            <w:ind w:left="0"/>
          </w:pPr>
        </w:p>
        <w:p w14:paraId="692E1594" w14:textId="46A2B57E" w:rsidR="00B65ADA" w:rsidRPr="00B65ADA" w:rsidRDefault="00E92DFB">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5618843" w:history="1">
            <w:r w:rsidR="00B65ADA" w:rsidRPr="00B65ADA">
              <w:rPr>
                <w:rStyle w:val="Hyperlink"/>
                <w:rFonts w:ascii="Arial" w:eastAsiaTheme="majorEastAsia" w:hAnsi="Arial" w:cstheme="majorBidi"/>
                <w:noProof/>
              </w:rPr>
              <w:t>Management of animal disease outbreaks</w:t>
            </w:r>
            <w:r w:rsidR="00B65ADA" w:rsidRPr="00B65ADA">
              <w:rPr>
                <w:noProof/>
                <w:webHidden/>
              </w:rPr>
              <w:tab/>
            </w:r>
            <w:r w:rsidR="00B65ADA" w:rsidRPr="00B65ADA">
              <w:rPr>
                <w:noProof/>
                <w:webHidden/>
              </w:rPr>
              <w:fldChar w:fldCharType="begin"/>
            </w:r>
            <w:r w:rsidR="00B65ADA" w:rsidRPr="00B65ADA">
              <w:rPr>
                <w:noProof/>
                <w:webHidden/>
              </w:rPr>
              <w:instrText xml:space="preserve"> PAGEREF _Toc195618843 \h </w:instrText>
            </w:r>
            <w:r w:rsidR="00B65ADA" w:rsidRPr="00B65ADA">
              <w:rPr>
                <w:noProof/>
                <w:webHidden/>
              </w:rPr>
            </w:r>
            <w:r w:rsidR="00B65ADA" w:rsidRPr="00B65ADA">
              <w:rPr>
                <w:noProof/>
                <w:webHidden/>
              </w:rPr>
              <w:fldChar w:fldCharType="separate"/>
            </w:r>
            <w:r w:rsidR="00B65ADA" w:rsidRPr="00B65ADA">
              <w:rPr>
                <w:noProof/>
                <w:webHidden/>
              </w:rPr>
              <w:t>2</w:t>
            </w:r>
            <w:r w:rsidR="00B65ADA" w:rsidRPr="00B65ADA">
              <w:rPr>
                <w:noProof/>
                <w:webHidden/>
              </w:rPr>
              <w:fldChar w:fldCharType="end"/>
            </w:r>
          </w:hyperlink>
        </w:p>
        <w:p w14:paraId="27FEB8A4" w14:textId="1A88382E" w:rsidR="00B65ADA" w:rsidRPr="00B65ADA" w:rsidRDefault="00B65ADA">
          <w:pPr>
            <w:pStyle w:val="TOC2"/>
            <w:tabs>
              <w:tab w:val="right" w:leader="dot" w:pos="10212"/>
            </w:tabs>
            <w:rPr>
              <w:noProof/>
              <w:kern w:val="2"/>
              <w:lang w:eastAsia="en-GB"/>
              <w14:ligatures w14:val="standardContextual"/>
            </w:rPr>
          </w:pPr>
          <w:hyperlink w:anchor="_Toc195618844" w:history="1">
            <w:r w:rsidRPr="00B65ADA">
              <w:rPr>
                <w:rStyle w:val="Hyperlink"/>
                <w:rFonts w:ascii="Arial" w:eastAsiaTheme="majorEastAsia" w:hAnsi="Arial" w:cstheme="majorBidi"/>
                <w:noProof/>
              </w:rPr>
              <w:t>Cleaning and disinfection Stations</w:t>
            </w:r>
            <w:r w:rsidRPr="00B65ADA">
              <w:rPr>
                <w:noProof/>
                <w:webHidden/>
              </w:rPr>
              <w:tab/>
            </w:r>
            <w:r w:rsidRPr="00B65ADA">
              <w:rPr>
                <w:noProof/>
                <w:webHidden/>
              </w:rPr>
              <w:fldChar w:fldCharType="begin"/>
            </w:r>
            <w:r w:rsidRPr="00B65ADA">
              <w:rPr>
                <w:noProof/>
                <w:webHidden/>
              </w:rPr>
              <w:instrText xml:space="preserve"> PAGEREF _Toc195618844 \h </w:instrText>
            </w:r>
            <w:r w:rsidRPr="00B65ADA">
              <w:rPr>
                <w:noProof/>
                <w:webHidden/>
              </w:rPr>
            </w:r>
            <w:r w:rsidRPr="00B65ADA">
              <w:rPr>
                <w:noProof/>
                <w:webHidden/>
              </w:rPr>
              <w:fldChar w:fldCharType="separate"/>
            </w:r>
            <w:r w:rsidRPr="00B65ADA">
              <w:rPr>
                <w:noProof/>
                <w:webHidden/>
              </w:rPr>
              <w:t>2</w:t>
            </w:r>
            <w:r w:rsidRPr="00B65ADA">
              <w:rPr>
                <w:noProof/>
                <w:webHidden/>
              </w:rPr>
              <w:fldChar w:fldCharType="end"/>
            </w:r>
          </w:hyperlink>
        </w:p>
        <w:p w14:paraId="71FE384D" w14:textId="7BEF0CC1" w:rsidR="00B65ADA" w:rsidRPr="00B65ADA" w:rsidRDefault="00B65ADA">
          <w:pPr>
            <w:pStyle w:val="TOC2"/>
            <w:tabs>
              <w:tab w:val="right" w:leader="dot" w:pos="10212"/>
            </w:tabs>
            <w:rPr>
              <w:noProof/>
              <w:kern w:val="2"/>
              <w:lang w:eastAsia="en-GB"/>
              <w14:ligatures w14:val="standardContextual"/>
            </w:rPr>
          </w:pPr>
          <w:hyperlink w:anchor="_Toc195618845" w:history="1">
            <w:r w:rsidRPr="00B65ADA">
              <w:rPr>
                <w:rStyle w:val="Hyperlink"/>
                <w:rFonts w:ascii="Arial" w:eastAsiaTheme="majorEastAsia" w:hAnsi="Arial" w:cstheme="majorBidi"/>
                <w:noProof/>
              </w:rPr>
              <w:t>Managing key waste streams</w:t>
            </w:r>
            <w:r w:rsidRPr="00B65ADA">
              <w:rPr>
                <w:noProof/>
                <w:webHidden/>
              </w:rPr>
              <w:tab/>
            </w:r>
            <w:r w:rsidRPr="00B65ADA">
              <w:rPr>
                <w:noProof/>
                <w:webHidden/>
              </w:rPr>
              <w:fldChar w:fldCharType="begin"/>
            </w:r>
            <w:r w:rsidRPr="00B65ADA">
              <w:rPr>
                <w:noProof/>
                <w:webHidden/>
              </w:rPr>
              <w:instrText xml:space="preserve"> PAGEREF _Toc195618845 \h </w:instrText>
            </w:r>
            <w:r w:rsidRPr="00B65ADA">
              <w:rPr>
                <w:noProof/>
                <w:webHidden/>
              </w:rPr>
            </w:r>
            <w:r w:rsidRPr="00B65ADA">
              <w:rPr>
                <w:noProof/>
                <w:webHidden/>
              </w:rPr>
              <w:fldChar w:fldCharType="separate"/>
            </w:r>
            <w:r w:rsidRPr="00B65ADA">
              <w:rPr>
                <w:noProof/>
                <w:webHidden/>
              </w:rPr>
              <w:t>2</w:t>
            </w:r>
            <w:r w:rsidRPr="00B65ADA">
              <w:rPr>
                <w:noProof/>
                <w:webHidden/>
              </w:rPr>
              <w:fldChar w:fldCharType="end"/>
            </w:r>
          </w:hyperlink>
        </w:p>
        <w:p w14:paraId="40C2E22D" w14:textId="70D986C9" w:rsidR="00B65ADA" w:rsidRPr="00B65ADA" w:rsidRDefault="00B65ADA">
          <w:pPr>
            <w:pStyle w:val="TOC3"/>
            <w:tabs>
              <w:tab w:val="right" w:leader="dot" w:pos="10212"/>
            </w:tabs>
            <w:rPr>
              <w:noProof/>
              <w:kern w:val="2"/>
              <w:lang w:eastAsia="en-GB"/>
              <w14:ligatures w14:val="standardContextual"/>
            </w:rPr>
          </w:pPr>
          <w:hyperlink w:anchor="_Toc195618846" w:history="1">
            <w:r w:rsidRPr="00B65ADA">
              <w:rPr>
                <w:rStyle w:val="Hyperlink"/>
                <w:rFonts w:ascii="Arial" w:eastAsiaTheme="majorEastAsia" w:hAnsi="Arial" w:cstheme="majorBidi"/>
                <w:noProof/>
              </w:rPr>
              <w:t>Carcasses</w:t>
            </w:r>
            <w:r w:rsidRPr="00B65ADA">
              <w:rPr>
                <w:noProof/>
                <w:webHidden/>
              </w:rPr>
              <w:tab/>
            </w:r>
            <w:r w:rsidRPr="00B65ADA">
              <w:rPr>
                <w:noProof/>
                <w:webHidden/>
              </w:rPr>
              <w:fldChar w:fldCharType="begin"/>
            </w:r>
            <w:r w:rsidRPr="00B65ADA">
              <w:rPr>
                <w:noProof/>
                <w:webHidden/>
              </w:rPr>
              <w:instrText xml:space="preserve"> PAGEREF _Toc195618846 \h </w:instrText>
            </w:r>
            <w:r w:rsidRPr="00B65ADA">
              <w:rPr>
                <w:noProof/>
                <w:webHidden/>
              </w:rPr>
            </w:r>
            <w:r w:rsidRPr="00B65ADA">
              <w:rPr>
                <w:noProof/>
                <w:webHidden/>
              </w:rPr>
              <w:fldChar w:fldCharType="separate"/>
            </w:r>
            <w:r w:rsidRPr="00B65ADA">
              <w:rPr>
                <w:noProof/>
                <w:webHidden/>
              </w:rPr>
              <w:t>3</w:t>
            </w:r>
            <w:r w:rsidRPr="00B65ADA">
              <w:rPr>
                <w:noProof/>
                <w:webHidden/>
              </w:rPr>
              <w:fldChar w:fldCharType="end"/>
            </w:r>
          </w:hyperlink>
        </w:p>
        <w:p w14:paraId="0F6BAA19" w14:textId="1066ACDE" w:rsidR="00B65ADA" w:rsidRPr="00B65ADA" w:rsidRDefault="00B65ADA">
          <w:pPr>
            <w:pStyle w:val="TOC3"/>
            <w:tabs>
              <w:tab w:val="right" w:leader="dot" w:pos="10212"/>
            </w:tabs>
            <w:rPr>
              <w:noProof/>
              <w:kern w:val="2"/>
              <w:lang w:eastAsia="en-GB"/>
              <w14:ligatures w14:val="standardContextual"/>
            </w:rPr>
          </w:pPr>
          <w:hyperlink w:anchor="_Toc195618847" w:history="1">
            <w:r w:rsidRPr="00B65ADA">
              <w:rPr>
                <w:rStyle w:val="Hyperlink"/>
                <w:rFonts w:ascii="Arial" w:eastAsiaTheme="majorEastAsia" w:hAnsi="Arial" w:cstheme="majorBidi"/>
                <w:noProof/>
              </w:rPr>
              <w:t>Wash waters</w:t>
            </w:r>
            <w:r w:rsidRPr="00B65ADA">
              <w:rPr>
                <w:noProof/>
                <w:webHidden/>
              </w:rPr>
              <w:tab/>
            </w:r>
            <w:r w:rsidRPr="00B65ADA">
              <w:rPr>
                <w:noProof/>
                <w:webHidden/>
              </w:rPr>
              <w:fldChar w:fldCharType="begin"/>
            </w:r>
            <w:r w:rsidRPr="00B65ADA">
              <w:rPr>
                <w:noProof/>
                <w:webHidden/>
              </w:rPr>
              <w:instrText xml:space="preserve"> PAGEREF _Toc195618847 \h </w:instrText>
            </w:r>
            <w:r w:rsidRPr="00B65ADA">
              <w:rPr>
                <w:noProof/>
                <w:webHidden/>
              </w:rPr>
            </w:r>
            <w:r w:rsidRPr="00B65ADA">
              <w:rPr>
                <w:noProof/>
                <w:webHidden/>
              </w:rPr>
              <w:fldChar w:fldCharType="separate"/>
            </w:r>
            <w:r w:rsidRPr="00B65ADA">
              <w:rPr>
                <w:noProof/>
                <w:webHidden/>
              </w:rPr>
              <w:t>4</w:t>
            </w:r>
            <w:r w:rsidRPr="00B65ADA">
              <w:rPr>
                <w:noProof/>
                <w:webHidden/>
              </w:rPr>
              <w:fldChar w:fldCharType="end"/>
            </w:r>
          </w:hyperlink>
        </w:p>
        <w:p w14:paraId="30693B14" w14:textId="2B0603DA" w:rsidR="00B65ADA" w:rsidRPr="00B65ADA" w:rsidRDefault="00B65ADA">
          <w:pPr>
            <w:pStyle w:val="TOC3"/>
            <w:tabs>
              <w:tab w:val="right" w:leader="dot" w:pos="10212"/>
            </w:tabs>
            <w:rPr>
              <w:noProof/>
              <w:kern w:val="2"/>
              <w:lang w:eastAsia="en-GB"/>
              <w14:ligatures w14:val="standardContextual"/>
            </w:rPr>
          </w:pPr>
          <w:hyperlink w:anchor="_Toc195618848" w:history="1">
            <w:r w:rsidRPr="00B65ADA">
              <w:rPr>
                <w:rStyle w:val="Hyperlink"/>
                <w:rFonts w:ascii="Arial" w:eastAsiaTheme="majorEastAsia" w:hAnsi="Arial" w:cstheme="majorBidi"/>
                <w:noProof/>
              </w:rPr>
              <w:t>Slurry</w:t>
            </w:r>
            <w:r w:rsidRPr="00B65ADA">
              <w:rPr>
                <w:noProof/>
                <w:webHidden/>
              </w:rPr>
              <w:tab/>
            </w:r>
            <w:r w:rsidRPr="00B65ADA">
              <w:rPr>
                <w:noProof/>
                <w:webHidden/>
              </w:rPr>
              <w:fldChar w:fldCharType="begin"/>
            </w:r>
            <w:r w:rsidRPr="00B65ADA">
              <w:rPr>
                <w:noProof/>
                <w:webHidden/>
              </w:rPr>
              <w:instrText xml:space="preserve"> PAGEREF _Toc195618848 \h </w:instrText>
            </w:r>
            <w:r w:rsidRPr="00B65ADA">
              <w:rPr>
                <w:noProof/>
                <w:webHidden/>
              </w:rPr>
            </w:r>
            <w:r w:rsidRPr="00B65ADA">
              <w:rPr>
                <w:noProof/>
                <w:webHidden/>
              </w:rPr>
              <w:fldChar w:fldCharType="separate"/>
            </w:r>
            <w:r w:rsidRPr="00B65ADA">
              <w:rPr>
                <w:noProof/>
                <w:webHidden/>
              </w:rPr>
              <w:t>6</w:t>
            </w:r>
            <w:r w:rsidRPr="00B65ADA">
              <w:rPr>
                <w:noProof/>
                <w:webHidden/>
              </w:rPr>
              <w:fldChar w:fldCharType="end"/>
            </w:r>
          </w:hyperlink>
        </w:p>
        <w:p w14:paraId="500C385E" w14:textId="62F85919" w:rsidR="00B65ADA" w:rsidRPr="00B65ADA" w:rsidRDefault="00B65ADA">
          <w:pPr>
            <w:pStyle w:val="TOC3"/>
            <w:tabs>
              <w:tab w:val="right" w:leader="dot" w:pos="10212"/>
            </w:tabs>
            <w:rPr>
              <w:noProof/>
              <w:kern w:val="2"/>
              <w:lang w:eastAsia="en-GB"/>
              <w14:ligatures w14:val="standardContextual"/>
            </w:rPr>
          </w:pPr>
          <w:hyperlink w:anchor="_Toc195618849" w:history="1">
            <w:r w:rsidRPr="00B65ADA">
              <w:rPr>
                <w:rStyle w:val="Hyperlink"/>
                <w:rFonts w:ascii="Arial" w:eastAsia="Times New Roman" w:hAnsi="Arial" w:cstheme="majorBidi"/>
                <w:noProof/>
              </w:rPr>
              <w:t>Manure, litter &amp; bedding</w:t>
            </w:r>
            <w:r w:rsidRPr="00B65ADA">
              <w:rPr>
                <w:noProof/>
                <w:webHidden/>
              </w:rPr>
              <w:tab/>
            </w:r>
            <w:r w:rsidRPr="00B65ADA">
              <w:rPr>
                <w:noProof/>
                <w:webHidden/>
              </w:rPr>
              <w:fldChar w:fldCharType="begin"/>
            </w:r>
            <w:r w:rsidRPr="00B65ADA">
              <w:rPr>
                <w:noProof/>
                <w:webHidden/>
              </w:rPr>
              <w:instrText xml:space="preserve"> PAGEREF _Toc195618849 \h </w:instrText>
            </w:r>
            <w:r w:rsidRPr="00B65ADA">
              <w:rPr>
                <w:noProof/>
                <w:webHidden/>
              </w:rPr>
            </w:r>
            <w:r w:rsidRPr="00B65ADA">
              <w:rPr>
                <w:noProof/>
                <w:webHidden/>
              </w:rPr>
              <w:fldChar w:fldCharType="separate"/>
            </w:r>
            <w:r w:rsidRPr="00B65ADA">
              <w:rPr>
                <w:noProof/>
                <w:webHidden/>
              </w:rPr>
              <w:t>6</w:t>
            </w:r>
            <w:r w:rsidRPr="00B65ADA">
              <w:rPr>
                <w:noProof/>
                <w:webHidden/>
              </w:rPr>
              <w:fldChar w:fldCharType="end"/>
            </w:r>
          </w:hyperlink>
        </w:p>
        <w:p w14:paraId="7FDB60A3" w14:textId="1AEDCF24" w:rsidR="00B65ADA" w:rsidRPr="00B65ADA" w:rsidRDefault="00B65ADA">
          <w:pPr>
            <w:pStyle w:val="TOC3"/>
            <w:tabs>
              <w:tab w:val="right" w:leader="dot" w:pos="10212"/>
            </w:tabs>
            <w:rPr>
              <w:noProof/>
              <w:kern w:val="2"/>
              <w:lang w:eastAsia="en-GB"/>
              <w14:ligatures w14:val="standardContextual"/>
            </w:rPr>
          </w:pPr>
          <w:hyperlink w:anchor="_Toc195618850" w:history="1">
            <w:r w:rsidRPr="00B65ADA">
              <w:rPr>
                <w:rStyle w:val="Hyperlink"/>
                <w:rFonts w:ascii="Arial" w:eastAsia="Times New Roman" w:hAnsi="Arial" w:cstheme="majorBidi"/>
                <w:noProof/>
              </w:rPr>
              <w:t>Other wastes e.g. eggs, packaging, milk</w:t>
            </w:r>
            <w:r w:rsidRPr="00B65ADA">
              <w:rPr>
                <w:noProof/>
                <w:webHidden/>
              </w:rPr>
              <w:tab/>
            </w:r>
            <w:r w:rsidRPr="00B65ADA">
              <w:rPr>
                <w:noProof/>
                <w:webHidden/>
              </w:rPr>
              <w:fldChar w:fldCharType="begin"/>
            </w:r>
            <w:r w:rsidRPr="00B65ADA">
              <w:rPr>
                <w:noProof/>
                <w:webHidden/>
              </w:rPr>
              <w:instrText xml:space="preserve"> PAGEREF _Toc195618850 \h </w:instrText>
            </w:r>
            <w:r w:rsidRPr="00B65ADA">
              <w:rPr>
                <w:noProof/>
                <w:webHidden/>
              </w:rPr>
            </w:r>
            <w:r w:rsidRPr="00B65ADA">
              <w:rPr>
                <w:noProof/>
                <w:webHidden/>
              </w:rPr>
              <w:fldChar w:fldCharType="separate"/>
            </w:r>
            <w:r w:rsidRPr="00B65ADA">
              <w:rPr>
                <w:noProof/>
                <w:webHidden/>
              </w:rPr>
              <w:t>8</w:t>
            </w:r>
            <w:r w:rsidRPr="00B65ADA">
              <w:rPr>
                <w:noProof/>
                <w:webHidden/>
              </w:rPr>
              <w:fldChar w:fldCharType="end"/>
            </w:r>
          </w:hyperlink>
        </w:p>
        <w:p w14:paraId="1E173C09" w14:textId="09B6D70D" w:rsidR="00B65ADA" w:rsidRDefault="00B65ADA">
          <w:pPr>
            <w:pStyle w:val="TOC2"/>
            <w:tabs>
              <w:tab w:val="right" w:leader="dot" w:pos="10212"/>
            </w:tabs>
            <w:rPr>
              <w:noProof/>
              <w:kern w:val="2"/>
              <w:lang w:eastAsia="en-GB"/>
              <w14:ligatures w14:val="standardContextual"/>
            </w:rPr>
          </w:pPr>
          <w:hyperlink w:anchor="_Toc195618851" w:history="1">
            <w:r w:rsidRPr="003F3110">
              <w:rPr>
                <w:rStyle w:val="Hyperlink"/>
                <w:noProof/>
              </w:rPr>
              <w:t>Appendix 1 - Cleansing and disinfection centres field assessment checklist</w:t>
            </w:r>
            <w:r>
              <w:rPr>
                <w:noProof/>
                <w:webHidden/>
              </w:rPr>
              <w:tab/>
            </w:r>
            <w:r>
              <w:rPr>
                <w:noProof/>
                <w:webHidden/>
              </w:rPr>
              <w:fldChar w:fldCharType="begin"/>
            </w:r>
            <w:r>
              <w:rPr>
                <w:noProof/>
                <w:webHidden/>
              </w:rPr>
              <w:instrText xml:space="preserve"> PAGEREF _Toc195618851 \h </w:instrText>
            </w:r>
            <w:r>
              <w:rPr>
                <w:noProof/>
                <w:webHidden/>
              </w:rPr>
            </w:r>
            <w:r>
              <w:rPr>
                <w:noProof/>
                <w:webHidden/>
              </w:rPr>
              <w:fldChar w:fldCharType="separate"/>
            </w:r>
            <w:r>
              <w:rPr>
                <w:noProof/>
                <w:webHidden/>
              </w:rPr>
              <w:t>10</w:t>
            </w:r>
            <w:r>
              <w:rPr>
                <w:noProof/>
                <w:webHidden/>
              </w:rPr>
              <w:fldChar w:fldCharType="end"/>
            </w:r>
          </w:hyperlink>
        </w:p>
        <w:p w14:paraId="03ADA7AB" w14:textId="7C66F19E" w:rsidR="00E92DFB" w:rsidRDefault="00E92DFB" w:rsidP="00E92DFB">
          <w:pPr>
            <w:rPr>
              <w:b/>
              <w:bCs/>
              <w:noProof/>
            </w:rPr>
          </w:pPr>
          <w:r>
            <w:rPr>
              <w:b/>
              <w:bCs/>
              <w:noProof/>
            </w:rPr>
            <w:fldChar w:fldCharType="end"/>
          </w:r>
        </w:p>
      </w:sdtContent>
    </w:sdt>
    <w:p w14:paraId="753E0F61" w14:textId="77777777" w:rsidR="00E92DFB" w:rsidRDefault="00E92DFB" w:rsidP="00E92DFB"/>
    <w:p w14:paraId="2FE35FD4" w14:textId="77777777" w:rsidR="00E92DFB" w:rsidRDefault="00E92DFB" w:rsidP="00E92DFB"/>
    <w:p w14:paraId="4A4684AA" w14:textId="77777777" w:rsidR="00E92DFB" w:rsidRDefault="00E92DFB" w:rsidP="00E92DFB"/>
    <w:p w14:paraId="2D434B01" w14:textId="77777777" w:rsidR="00E92DFB" w:rsidRDefault="00E92DFB" w:rsidP="00E92DFB"/>
    <w:p w14:paraId="500821D9" w14:textId="77777777" w:rsidR="00E92DFB" w:rsidRDefault="00E92DFB" w:rsidP="00E92DFB"/>
    <w:p w14:paraId="4A1B03F0" w14:textId="77777777" w:rsidR="00E92DFB" w:rsidRDefault="00E92DFB" w:rsidP="00E92DFB"/>
    <w:p w14:paraId="566B3EF5" w14:textId="77777777" w:rsidR="00E92DFB" w:rsidRDefault="00E92DFB" w:rsidP="00E92DFB"/>
    <w:p w14:paraId="1E63EA9D" w14:textId="77777777" w:rsidR="00E92DFB" w:rsidRDefault="00E92DFB" w:rsidP="00E92DFB"/>
    <w:p w14:paraId="3428BA86" w14:textId="77777777" w:rsidR="00E92DFB" w:rsidRDefault="00E92DFB" w:rsidP="00E92DFB"/>
    <w:p w14:paraId="18365303" w14:textId="77777777" w:rsidR="00E92DFB" w:rsidRDefault="00E92DFB" w:rsidP="00E92DFB"/>
    <w:p w14:paraId="0D32E214" w14:textId="77777777" w:rsidR="00E92DFB" w:rsidRDefault="00E92DFB" w:rsidP="00E92DFB"/>
    <w:p w14:paraId="2233CCFF" w14:textId="77777777" w:rsidR="00E92DFB" w:rsidRDefault="00E92DFB" w:rsidP="00E92DFB"/>
    <w:p w14:paraId="6C507473" w14:textId="77777777" w:rsidR="00F2748B" w:rsidRDefault="00F2748B" w:rsidP="00E92DFB"/>
    <w:p w14:paraId="4BA638A5" w14:textId="77777777" w:rsidR="00F2748B" w:rsidRDefault="00F2748B" w:rsidP="00E92DFB"/>
    <w:p w14:paraId="6B128E98" w14:textId="77777777" w:rsidR="0048394A" w:rsidRPr="00992135" w:rsidRDefault="0048394A" w:rsidP="0048394A">
      <w:r w:rsidRPr="0020743F">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20743F">
          <w:rPr>
            <w:rFonts w:eastAsia="Times New Roman"/>
            <w:color w:val="016574" w:themeColor="hyperlink"/>
            <w:sz w:val="32"/>
            <w:szCs w:val="32"/>
            <w:u w:val="single"/>
          </w:rPr>
          <w:t>equalities@sepa.org.uk</w:t>
        </w:r>
      </w:hyperlink>
      <w:r w:rsidRPr="0020743F">
        <w:rPr>
          <w:rFonts w:eastAsia="Times New Roman"/>
          <w:sz w:val="32"/>
          <w:szCs w:val="32"/>
        </w:rPr>
        <w:t xml:space="preserve"> </w:t>
      </w:r>
    </w:p>
    <w:sdt>
      <w:sdtPr>
        <w:id w:val="-1106417609"/>
        <w:docPartObj>
          <w:docPartGallery w:val="Cover Pages"/>
          <w:docPartUnique/>
        </w:docPartObj>
      </w:sdtPr>
      <w:sdtEndPr/>
      <w:sdtContent>
        <w:p w14:paraId="38D975C6" w14:textId="3BF7D505" w:rsidR="008E36DC" w:rsidRDefault="008E36DC" w:rsidP="008E36DC"/>
        <w:p w14:paraId="35B953DC" w14:textId="77777777" w:rsidR="00772FFD" w:rsidRPr="00772FFD" w:rsidRDefault="00772FFD" w:rsidP="00772FFD">
          <w:pPr>
            <w:keepNext/>
            <w:keepLines/>
            <w:spacing w:after="240" w:line="276" w:lineRule="auto"/>
            <w:outlineLvl w:val="1"/>
            <w:rPr>
              <w:rFonts w:ascii="Arial" w:eastAsiaTheme="majorEastAsia" w:hAnsi="Arial" w:cstheme="majorBidi"/>
              <w:b/>
              <w:color w:val="016574" w:themeColor="accent2"/>
              <w:sz w:val="32"/>
              <w:szCs w:val="26"/>
            </w:rPr>
          </w:pPr>
          <w:bookmarkStart w:id="0" w:name="_Toc195618843"/>
          <w:r w:rsidRPr="00772FFD">
            <w:rPr>
              <w:rFonts w:ascii="Arial" w:eastAsiaTheme="majorEastAsia" w:hAnsi="Arial" w:cstheme="majorBidi"/>
              <w:b/>
              <w:color w:val="016574" w:themeColor="accent2"/>
              <w:sz w:val="32"/>
              <w:szCs w:val="26"/>
            </w:rPr>
            <w:t xml:space="preserve">Management of </w:t>
          </w:r>
          <w:commentRangeStart w:id="1"/>
          <w:r w:rsidRPr="00772FFD">
            <w:rPr>
              <w:rFonts w:ascii="Arial" w:eastAsiaTheme="majorEastAsia" w:hAnsi="Arial" w:cstheme="majorBidi"/>
              <w:b/>
              <w:color w:val="016574" w:themeColor="accent2"/>
              <w:sz w:val="32"/>
              <w:szCs w:val="26"/>
            </w:rPr>
            <w:t>animal disease outbreaks</w:t>
          </w:r>
          <w:commentRangeEnd w:id="1"/>
          <w:r w:rsidRPr="00772FFD">
            <w:rPr>
              <w:sz w:val="16"/>
              <w:szCs w:val="16"/>
            </w:rPr>
            <w:commentReference w:id="1"/>
          </w:r>
          <w:bookmarkEnd w:id="0"/>
        </w:p>
        <w:p w14:paraId="21D3013B" w14:textId="77777777" w:rsidR="00772FFD" w:rsidRPr="00772FFD" w:rsidRDefault="00772FFD" w:rsidP="00772FFD">
          <w:pPr>
            <w:spacing w:after="240"/>
          </w:pPr>
          <w:r w:rsidRPr="00772FFD">
            <w:t xml:space="preserve">The Animal and Plant Health Agency (APHA) lead the response to exotic and notifiable animal disease outbreaks in Scotland. Scottish Government guidance “Exotic Diseases of Animals: Contingency Framework Plan” (‘the Contingency Framework Plan’) outlines the principles of disease control and the roles and responsibilities of the various organisations involved in a disease outbreak, including SEPA. </w:t>
          </w:r>
        </w:p>
        <w:p w14:paraId="36E2F3E6" w14:textId="77777777" w:rsidR="00772FFD" w:rsidRPr="00772FFD" w:rsidRDefault="00772FFD" w:rsidP="00772FFD">
          <w:pPr>
            <w:spacing w:after="240"/>
          </w:pPr>
          <w:r w:rsidRPr="00772FFD">
            <w:t xml:space="preserve">SEPA’s role is to support the APHA to minimise the environmental impact of an outbreak and provide advice on environmental protection and permitting compliance. This guidance supplements the Contingency Framework Plan and will be used by SEPA staff to support decision making during an outbreak. </w:t>
          </w:r>
        </w:p>
        <w:p w14:paraId="3BB392A0" w14:textId="77777777" w:rsidR="00772FFD" w:rsidRPr="00772FFD" w:rsidRDefault="00772FFD" w:rsidP="00772FFD">
          <w:pPr>
            <w:spacing w:after="240"/>
            <w:rPr>
              <w:rFonts w:ascii="Arial" w:eastAsiaTheme="majorEastAsia" w:hAnsi="Arial" w:cstheme="majorBidi"/>
              <w:b/>
              <w:sz w:val="28"/>
            </w:rPr>
          </w:pPr>
          <w:r w:rsidRPr="00772FFD">
            <w:t>Every livestock keeper should have a contingency plan in case of disease outbreak. This guidance may also be useful to those preparing their own plans.</w:t>
          </w:r>
          <w:r w:rsidRPr="00772FFD">
            <w:rPr>
              <w:rFonts w:ascii="Arial" w:eastAsiaTheme="majorEastAsia" w:hAnsi="Arial" w:cstheme="majorBidi"/>
              <w:b/>
              <w:sz w:val="28"/>
            </w:rPr>
            <w:t xml:space="preserve"> </w:t>
          </w:r>
        </w:p>
        <w:p w14:paraId="730CD652" w14:textId="77777777" w:rsidR="00772FFD" w:rsidRPr="00772FFD" w:rsidRDefault="00772FFD" w:rsidP="00772FFD">
          <w:pPr>
            <w:spacing w:after="240"/>
            <w:rPr>
              <w:rFonts w:eastAsiaTheme="majorEastAsia"/>
            </w:rPr>
          </w:pPr>
          <w:r w:rsidRPr="00772FFD">
            <w:rPr>
              <w:rFonts w:eastAsiaTheme="majorEastAsia"/>
            </w:rPr>
            <w:t xml:space="preserve">During the management of a disease outbreak, some of the wastes generated may be hazardous due to their infectious nature. The Special Waste Regulations 1996 should be complied with for movements of infected material off site. The relevant European Waste Category code is H9 (infectious) 18 02 02*, “wastes whose collection and disposal is subject to special requirements in order to prevent </w:t>
          </w:r>
          <w:commentRangeStart w:id="2"/>
          <w:r w:rsidRPr="00772FFD">
            <w:rPr>
              <w:rFonts w:eastAsiaTheme="majorEastAsia"/>
            </w:rPr>
            <w:t>infection</w:t>
          </w:r>
          <w:commentRangeEnd w:id="2"/>
          <w:r w:rsidRPr="00772FFD">
            <w:rPr>
              <w:sz w:val="16"/>
              <w:szCs w:val="16"/>
            </w:rPr>
            <w:commentReference w:id="2"/>
          </w:r>
          <w:r w:rsidRPr="00772FFD">
            <w:rPr>
              <w:rFonts w:eastAsiaTheme="majorEastAsia"/>
            </w:rPr>
            <w:t>”.</w:t>
          </w:r>
        </w:p>
        <w:p w14:paraId="7653D2BD" w14:textId="399E75E3" w:rsidR="00DD3C48" w:rsidRPr="00DD3C48" w:rsidRDefault="00DD3C48" w:rsidP="00DD3C48">
          <w:pPr>
            <w:keepNext/>
            <w:keepLines/>
            <w:spacing w:after="240" w:line="276" w:lineRule="auto"/>
            <w:outlineLvl w:val="1"/>
            <w:rPr>
              <w:rFonts w:ascii="Arial" w:eastAsiaTheme="majorEastAsia" w:hAnsi="Arial" w:cstheme="majorBidi"/>
              <w:b/>
              <w:color w:val="016574" w:themeColor="accent2"/>
              <w:sz w:val="32"/>
              <w:szCs w:val="26"/>
            </w:rPr>
          </w:pPr>
          <w:bookmarkStart w:id="3" w:name="_Toc195618844"/>
          <w:r w:rsidRPr="00DD3C48">
            <w:rPr>
              <w:rFonts w:ascii="Arial" w:eastAsiaTheme="majorEastAsia" w:hAnsi="Arial" w:cstheme="majorBidi"/>
              <w:b/>
              <w:color w:val="016574" w:themeColor="accent2"/>
              <w:sz w:val="32"/>
              <w:szCs w:val="26"/>
            </w:rPr>
            <w:t xml:space="preserve">Cleaning and </w:t>
          </w:r>
          <w:r w:rsidR="001D1656">
            <w:rPr>
              <w:rFonts w:ascii="Arial" w:eastAsiaTheme="majorEastAsia" w:hAnsi="Arial" w:cstheme="majorBidi"/>
              <w:b/>
              <w:color w:val="016574" w:themeColor="accent2"/>
              <w:sz w:val="32"/>
              <w:szCs w:val="26"/>
            </w:rPr>
            <w:t>d</w:t>
          </w:r>
          <w:r w:rsidRPr="00DD3C48">
            <w:rPr>
              <w:rFonts w:ascii="Arial" w:eastAsiaTheme="majorEastAsia" w:hAnsi="Arial" w:cstheme="majorBidi"/>
              <w:b/>
              <w:color w:val="016574" w:themeColor="accent2"/>
              <w:sz w:val="32"/>
              <w:szCs w:val="26"/>
            </w:rPr>
            <w:t>isinfection Stations</w:t>
          </w:r>
          <w:bookmarkEnd w:id="3"/>
        </w:p>
        <w:p w14:paraId="08C889E9" w14:textId="77777777" w:rsidR="00DD3C48" w:rsidRPr="00DD3C48" w:rsidRDefault="00DD3C48" w:rsidP="00DD3C48">
          <w:pPr>
            <w:spacing w:after="240"/>
            <w:rPr>
              <w:rFonts w:eastAsiaTheme="majorEastAsia"/>
            </w:rPr>
          </w:pPr>
          <w:r w:rsidRPr="00DD3C48">
            <w:rPr>
              <w:rFonts w:eastAsiaTheme="majorEastAsia"/>
            </w:rPr>
            <w:t xml:space="preserve">APHA is responsible for setting up and operating the cleaning and disinfection station. The Contingency Framework Plan refers to SEPA’s role as an advisor on how to minimise environmental impacts of disinfectants or biocides. </w:t>
          </w:r>
        </w:p>
        <w:p w14:paraId="105F6B11" w14:textId="77777777" w:rsidR="00DD3C48" w:rsidRPr="00DD3C48" w:rsidRDefault="00DD3C48" w:rsidP="00DD3C48">
          <w:pPr>
            <w:spacing w:after="240"/>
            <w:rPr>
              <w:rFonts w:eastAsiaTheme="majorEastAsia"/>
            </w:rPr>
          </w:pPr>
          <w:r w:rsidRPr="00DD3C48">
            <w:rPr>
              <w:rFonts w:eastAsiaTheme="majorEastAsia"/>
            </w:rPr>
            <w:t>Appendix 1 provides a Field Assessment Checklist outlining SEPA’s advice on how to select an appropriate location for a cleaning and disinfection station and how to prevent pollution during operation.</w:t>
          </w:r>
        </w:p>
        <w:p w14:paraId="046EB588" w14:textId="6E74DC68" w:rsidR="00DF0531" w:rsidRPr="00DF0531" w:rsidRDefault="00DF0531" w:rsidP="00DF0531">
          <w:pPr>
            <w:keepNext/>
            <w:keepLines/>
            <w:spacing w:after="240" w:line="276" w:lineRule="auto"/>
            <w:outlineLvl w:val="1"/>
            <w:rPr>
              <w:rFonts w:ascii="Arial" w:eastAsiaTheme="majorEastAsia" w:hAnsi="Arial" w:cstheme="majorBidi"/>
              <w:b/>
              <w:color w:val="016574" w:themeColor="accent2"/>
              <w:sz w:val="32"/>
              <w:szCs w:val="26"/>
            </w:rPr>
          </w:pPr>
          <w:bookmarkStart w:id="4" w:name="_Toc195618845"/>
          <w:r w:rsidRPr="00DF0531">
            <w:rPr>
              <w:rFonts w:ascii="Arial" w:eastAsiaTheme="majorEastAsia" w:hAnsi="Arial" w:cstheme="majorBidi"/>
              <w:b/>
              <w:color w:val="016574" w:themeColor="accent2"/>
              <w:sz w:val="32"/>
              <w:szCs w:val="26"/>
            </w:rPr>
            <w:t xml:space="preserve">Managing </w:t>
          </w:r>
          <w:r w:rsidR="001D1656">
            <w:rPr>
              <w:rFonts w:ascii="Arial" w:eastAsiaTheme="majorEastAsia" w:hAnsi="Arial" w:cstheme="majorBidi"/>
              <w:b/>
              <w:color w:val="016574" w:themeColor="accent2"/>
              <w:sz w:val="32"/>
              <w:szCs w:val="26"/>
            </w:rPr>
            <w:t>k</w:t>
          </w:r>
          <w:r w:rsidRPr="00DF0531">
            <w:rPr>
              <w:rFonts w:ascii="Arial" w:eastAsiaTheme="majorEastAsia" w:hAnsi="Arial" w:cstheme="majorBidi"/>
              <w:b/>
              <w:color w:val="016574" w:themeColor="accent2"/>
              <w:sz w:val="32"/>
              <w:szCs w:val="26"/>
            </w:rPr>
            <w:t xml:space="preserve">ey </w:t>
          </w:r>
          <w:r w:rsidR="001D1656">
            <w:rPr>
              <w:rFonts w:ascii="Arial" w:eastAsiaTheme="majorEastAsia" w:hAnsi="Arial" w:cstheme="majorBidi"/>
              <w:b/>
              <w:color w:val="016574" w:themeColor="accent2"/>
              <w:sz w:val="32"/>
              <w:szCs w:val="26"/>
            </w:rPr>
            <w:t>w</w:t>
          </w:r>
          <w:r w:rsidRPr="00DF0531">
            <w:rPr>
              <w:rFonts w:ascii="Arial" w:eastAsiaTheme="majorEastAsia" w:hAnsi="Arial" w:cstheme="majorBidi"/>
              <w:b/>
              <w:color w:val="016574" w:themeColor="accent2"/>
              <w:sz w:val="32"/>
              <w:szCs w:val="26"/>
            </w:rPr>
            <w:t xml:space="preserve">aste </w:t>
          </w:r>
          <w:r w:rsidR="001D1656">
            <w:rPr>
              <w:rFonts w:ascii="Arial" w:eastAsiaTheme="majorEastAsia" w:hAnsi="Arial" w:cstheme="majorBidi"/>
              <w:b/>
              <w:color w:val="016574" w:themeColor="accent2"/>
              <w:sz w:val="32"/>
              <w:szCs w:val="26"/>
            </w:rPr>
            <w:t>s</w:t>
          </w:r>
          <w:r w:rsidRPr="00DF0531">
            <w:rPr>
              <w:rFonts w:ascii="Arial" w:eastAsiaTheme="majorEastAsia" w:hAnsi="Arial" w:cstheme="majorBidi"/>
              <w:b/>
              <w:color w:val="016574" w:themeColor="accent2"/>
              <w:sz w:val="32"/>
              <w:szCs w:val="26"/>
            </w:rPr>
            <w:t>treams</w:t>
          </w:r>
          <w:bookmarkEnd w:id="4"/>
        </w:p>
        <w:p w14:paraId="2636D703" w14:textId="77777777" w:rsidR="00DF0531" w:rsidRPr="00DF0531" w:rsidRDefault="00DF0531" w:rsidP="00DF0531">
          <w:pPr>
            <w:spacing w:after="240"/>
            <w:rPr>
              <w:rFonts w:eastAsiaTheme="majorEastAsia"/>
            </w:rPr>
          </w:pPr>
          <w:r w:rsidRPr="00DF0531">
            <w:rPr>
              <w:rFonts w:eastAsiaTheme="majorEastAsia"/>
            </w:rPr>
            <w:t xml:space="preserve">The following waste streams are likely to be produced during a disease outbreak. </w:t>
          </w:r>
        </w:p>
        <w:p w14:paraId="20E345D4" w14:textId="77777777" w:rsidR="00DF0531" w:rsidRPr="00DF0531" w:rsidRDefault="00DF0531" w:rsidP="00DF0531">
          <w:pPr>
            <w:keepNext/>
            <w:keepLines/>
            <w:spacing w:after="240" w:line="276" w:lineRule="auto"/>
            <w:outlineLvl w:val="2"/>
            <w:rPr>
              <w:rFonts w:ascii="Arial" w:eastAsiaTheme="majorEastAsia" w:hAnsi="Arial" w:cstheme="majorBidi"/>
              <w:b/>
              <w:sz w:val="28"/>
            </w:rPr>
          </w:pPr>
          <w:bookmarkStart w:id="5" w:name="_Toc195618846"/>
          <w:r w:rsidRPr="00DF0531">
            <w:rPr>
              <w:rFonts w:ascii="Arial" w:eastAsiaTheme="majorEastAsia" w:hAnsi="Arial" w:cstheme="majorBidi"/>
              <w:b/>
              <w:sz w:val="28"/>
            </w:rPr>
            <w:lastRenderedPageBreak/>
            <w:t>Carcasses</w:t>
          </w:r>
          <w:bookmarkEnd w:id="5"/>
          <w:r w:rsidRPr="00DF0531">
            <w:rPr>
              <w:rFonts w:ascii="Arial" w:eastAsiaTheme="majorEastAsia" w:hAnsi="Arial" w:cstheme="majorBidi"/>
              <w:b/>
              <w:sz w:val="28"/>
            </w:rPr>
            <w:t xml:space="preserve"> </w:t>
          </w:r>
        </w:p>
        <w:p w14:paraId="49FAA600" w14:textId="6416B9CA" w:rsidR="00DF0531" w:rsidRPr="00DF0531" w:rsidRDefault="00DF0531" w:rsidP="00DF0531">
          <w:pPr>
            <w:spacing w:after="240"/>
            <w:rPr>
              <w:rFonts w:eastAsiaTheme="majorEastAsia"/>
            </w:rPr>
          </w:pPr>
          <w:r w:rsidRPr="00DF0531">
            <w:rPr>
              <w:rFonts w:eastAsiaTheme="majorEastAsia"/>
            </w:rPr>
            <w:t>During a disease outbreak, it is likely the APHA will use their powers to cull affected livestock. SEPA can advise on the use of authorised waste disposal sites in Scotland but the decision on which disposal facility to use rests with the DSG (Disease Strategy Group). The decision on disposal site and method will involve consideration of environmental and health risks and other constraints such as available capacity, the desire to limit transport of contaminated wastes, and the legislative controls for environmental protection and animal health. A hierarchy of disposal options is set out in the Contingency Framework Plan</w:t>
          </w:r>
          <w:r w:rsidR="00270655">
            <w:rPr>
              <w:rFonts w:eastAsiaTheme="majorEastAsia"/>
            </w:rPr>
            <w:t>:</w:t>
          </w:r>
        </w:p>
        <w:p w14:paraId="2FBF373D" w14:textId="56E261A2" w:rsidR="00DF0531" w:rsidRPr="00DF0531" w:rsidRDefault="00DF0531" w:rsidP="00DF0531">
          <w:pPr>
            <w:numPr>
              <w:ilvl w:val="0"/>
              <w:numId w:val="22"/>
            </w:numPr>
            <w:spacing w:after="240"/>
            <w:ind w:left="714" w:hanging="357"/>
            <w:rPr>
              <w:rFonts w:eastAsiaTheme="majorEastAsia"/>
            </w:rPr>
          </w:pPr>
          <w:r w:rsidRPr="00DF0531">
            <w:rPr>
              <w:rFonts w:eastAsiaTheme="majorEastAsia"/>
            </w:rPr>
            <w:t>Rendering / Incineration at approved and licensed premises</w:t>
          </w:r>
          <w:r w:rsidR="00270655">
            <w:rPr>
              <w:rFonts w:eastAsiaTheme="majorEastAsia"/>
            </w:rPr>
            <w:t>.</w:t>
          </w:r>
        </w:p>
        <w:p w14:paraId="55B6EA3D" w14:textId="45C8693B" w:rsidR="00DF0531" w:rsidRPr="00DF0531" w:rsidRDefault="00DF0531" w:rsidP="00DF0531">
          <w:pPr>
            <w:numPr>
              <w:ilvl w:val="0"/>
              <w:numId w:val="22"/>
            </w:numPr>
            <w:spacing w:after="240"/>
            <w:ind w:left="714" w:hanging="357"/>
            <w:rPr>
              <w:rFonts w:eastAsiaTheme="majorEastAsia"/>
            </w:rPr>
          </w:pPr>
          <w:r w:rsidRPr="00DF0531">
            <w:rPr>
              <w:rFonts w:eastAsiaTheme="majorEastAsia"/>
            </w:rPr>
            <w:t>Permitted commercial landfill</w:t>
          </w:r>
          <w:r w:rsidR="00270655">
            <w:rPr>
              <w:rFonts w:eastAsiaTheme="majorEastAsia"/>
            </w:rPr>
            <w:t>.</w:t>
          </w:r>
        </w:p>
        <w:p w14:paraId="65450026" w14:textId="3479CD0F" w:rsidR="00DF0531" w:rsidRPr="00DF0531" w:rsidRDefault="00DF0531" w:rsidP="00DF0531">
          <w:pPr>
            <w:numPr>
              <w:ilvl w:val="0"/>
              <w:numId w:val="22"/>
            </w:numPr>
            <w:spacing w:after="240"/>
            <w:ind w:left="714" w:hanging="357"/>
            <w:rPr>
              <w:rFonts w:eastAsiaTheme="majorEastAsia"/>
            </w:rPr>
          </w:pPr>
          <w:r w:rsidRPr="00DF0531">
            <w:rPr>
              <w:rFonts w:eastAsiaTheme="majorEastAsia"/>
            </w:rPr>
            <w:t>Incineration on farm</w:t>
          </w:r>
          <w:r w:rsidR="00270655">
            <w:rPr>
              <w:rFonts w:eastAsiaTheme="majorEastAsia"/>
            </w:rPr>
            <w:t>.</w:t>
          </w:r>
        </w:p>
        <w:p w14:paraId="2323916A" w14:textId="77777777" w:rsidR="00DF0531" w:rsidRPr="00DF0531" w:rsidRDefault="00DF0531" w:rsidP="00DF0531">
          <w:pPr>
            <w:numPr>
              <w:ilvl w:val="0"/>
              <w:numId w:val="22"/>
            </w:numPr>
            <w:spacing w:after="240"/>
            <w:ind w:left="714" w:hanging="357"/>
            <w:rPr>
              <w:rFonts w:eastAsiaTheme="majorEastAsia"/>
            </w:rPr>
          </w:pPr>
          <w:r w:rsidRPr="00DF0531">
            <w:rPr>
              <w:rFonts w:eastAsiaTheme="majorEastAsia"/>
            </w:rPr>
            <w:t xml:space="preserve">Burial on farm. </w:t>
          </w:r>
        </w:p>
        <w:p w14:paraId="268E60A8" w14:textId="77777777" w:rsidR="00DF0531" w:rsidRPr="00DF0531" w:rsidRDefault="00DF0531" w:rsidP="00DF0531">
          <w:pPr>
            <w:spacing w:after="240"/>
            <w:rPr>
              <w:rFonts w:eastAsiaTheme="majorEastAsia"/>
            </w:rPr>
          </w:pPr>
          <w:r w:rsidRPr="00DF0531">
            <w:rPr>
              <w:rFonts w:eastAsiaTheme="majorEastAsia"/>
            </w:rPr>
            <w:t>SEPA’s presumption is that on-farm burial will be avoided to minimise environmental impact over the short and long term.</w:t>
          </w:r>
        </w:p>
        <w:p w14:paraId="3F1EDC02" w14:textId="77777777" w:rsidR="00DF0531" w:rsidRPr="00DF0531" w:rsidRDefault="00DF0531" w:rsidP="00DF0531">
          <w:pPr>
            <w:spacing w:after="240"/>
            <w:rPr>
              <w:rFonts w:eastAsiaTheme="majorEastAsia"/>
            </w:rPr>
          </w:pPr>
          <w:r w:rsidRPr="00DF0531">
            <w:rPr>
              <w:rFonts w:eastAsiaTheme="majorEastAsia"/>
            </w:rPr>
            <w:t xml:space="preserve">However, there may be some circumstances where on-farm burial is the only available option in which case, the burial must be authorised by SEPA. SEPA has produced guidance on Regulation of Animal Carcass Burial including the fast-track authorisation procedure. Where time is critical it may be possible to fast-track the authorisation process. This must be discussed in advance with the local SEPA Unit Manager. </w:t>
          </w:r>
        </w:p>
        <w:p w14:paraId="1DEAFD70" w14:textId="77777777" w:rsidR="00DF0531" w:rsidRPr="00DF0531" w:rsidRDefault="00DF0531" w:rsidP="00DF0531">
          <w:pPr>
            <w:spacing w:after="240"/>
            <w:rPr>
              <w:rFonts w:eastAsiaTheme="majorEastAsia"/>
            </w:rPr>
          </w:pPr>
          <w:r w:rsidRPr="00DF0531">
            <w:rPr>
              <w:rFonts w:eastAsiaTheme="majorEastAsia"/>
            </w:rPr>
            <w:t xml:space="preserve">Note that open burning is not an option in the hierarchy in the Contingency Planning Framework. </w:t>
          </w:r>
        </w:p>
        <w:p w14:paraId="5B097AD1" w14:textId="77777777" w:rsidR="00DF0531" w:rsidRPr="00DF0531" w:rsidRDefault="00DF0531" w:rsidP="00DF0531">
          <w:pPr>
            <w:spacing w:after="240"/>
            <w:rPr>
              <w:rFonts w:eastAsiaTheme="majorEastAsia"/>
            </w:rPr>
          </w:pPr>
          <w:r w:rsidRPr="00DF0531">
            <w:rPr>
              <w:rFonts w:eastAsiaTheme="majorEastAsia"/>
            </w:rPr>
            <w:t>On-site incineration must be in purpose designed, enclosed units. Burning carcasses in the open, whether in air curtain destructors or on pyres is not permitted. Where the carcass incinerator has a capacity of greater than 50kg/hr, it requires a Permit from SEPA. In an emergency it may be necessary to waive authorisation to speed up the disposal process. This must be discussed in advance with the local SEPA Unit Manager.</w:t>
          </w:r>
        </w:p>
        <w:p w14:paraId="15B9888F" w14:textId="77777777" w:rsidR="00DF0531" w:rsidRPr="00DF0531" w:rsidRDefault="00DF0531" w:rsidP="00DF0531">
          <w:pPr>
            <w:keepNext/>
            <w:keepLines/>
            <w:spacing w:after="240" w:line="276" w:lineRule="auto"/>
            <w:outlineLvl w:val="2"/>
            <w:rPr>
              <w:rFonts w:ascii="Arial" w:eastAsiaTheme="majorEastAsia" w:hAnsi="Arial" w:cstheme="majorBidi"/>
              <w:b/>
              <w:sz w:val="28"/>
            </w:rPr>
          </w:pPr>
          <w:bookmarkStart w:id="6" w:name="_Toc195618847"/>
          <w:r w:rsidRPr="00DF0531">
            <w:rPr>
              <w:rFonts w:ascii="Arial" w:eastAsiaTheme="majorEastAsia" w:hAnsi="Arial" w:cstheme="majorBidi"/>
              <w:b/>
              <w:sz w:val="28"/>
            </w:rPr>
            <w:lastRenderedPageBreak/>
            <w:t>Wash waters</w:t>
          </w:r>
          <w:bookmarkEnd w:id="6"/>
          <w:r w:rsidRPr="00DF0531">
            <w:rPr>
              <w:rFonts w:ascii="Arial" w:eastAsiaTheme="majorEastAsia" w:hAnsi="Arial" w:cstheme="majorBidi"/>
              <w:b/>
              <w:sz w:val="28"/>
            </w:rPr>
            <w:t xml:space="preserve"> </w:t>
          </w:r>
        </w:p>
        <w:p w14:paraId="09B88741" w14:textId="77777777" w:rsidR="00DF0531" w:rsidRPr="00DF0531" w:rsidRDefault="00DF0531" w:rsidP="00DF0531">
          <w:pPr>
            <w:spacing w:after="240"/>
            <w:rPr>
              <w:rFonts w:eastAsiaTheme="majorEastAsia"/>
            </w:rPr>
          </w:pPr>
          <w:r w:rsidRPr="00DF0531">
            <w:rPr>
              <w:rFonts w:eastAsiaTheme="majorEastAsia"/>
            </w:rPr>
            <w:t xml:space="preserve">Following an outbreak, buildings, yards and equipment will be cleaned and disinfected. The APHA will decide the extent and method of the cleaning and disinfection, including any site preparation and the disinfectant to be used. SEPA regulates the application of wash waters from cleaning and disinfection to land under EASR. </w:t>
          </w:r>
        </w:p>
        <w:p w14:paraId="07299006" w14:textId="77777777" w:rsidR="00DF0531" w:rsidRPr="00DF0531" w:rsidRDefault="00DF0531" w:rsidP="00DF0531">
          <w:pPr>
            <w:spacing w:after="240"/>
            <w:rPr>
              <w:rFonts w:eastAsiaTheme="majorEastAsia"/>
            </w:rPr>
          </w:pPr>
          <w:r w:rsidRPr="00DF0531">
            <w:rPr>
              <w:rFonts w:ascii="Arial" w:eastAsiaTheme="majorEastAsia" w:hAnsi="Arial" w:cstheme="majorBidi"/>
              <w:b/>
              <w:iCs/>
            </w:rPr>
            <w:t>Temporary storage of wash waters</w:t>
          </w:r>
          <w:r w:rsidRPr="00DF0531">
            <w:rPr>
              <w:rFonts w:eastAsiaTheme="majorEastAsia"/>
            </w:rPr>
            <w:t xml:space="preserve"> </w:t>
          </w:r>
        </w:p>
        <w:p w14:paraId="6086EDA0" w14:textId="77777777" w:rsidR="00DF0531" w:rsidRPr="00DF0531" w:rsidRDefault="00DF0531" w:rsidP="00DF0531">
          <w:pPr>
            <w:spacing w:after="240"/>
            <w:rPr>
              <w:rFonts w:eastAsiaTheme="majorEastAsia"/>
            </w:rPr>
          </w:pPr>
          <w:r w:rsidRPr="00DF0531">
            <w:rPr>
              <w:rFonts w:eastAsiaTheme="majorEastAsia"/>
            </w:rPr>
            <w:t xml:space="preserve">Cleaning and disinfection </w:t>
          </w:r>
          <w:proofErr w:type="gramStart"/>
          <w:r w:rsidRPr="00DF0531">
            <w:rPr>
              <w:rFonts w:eastAsiaTheme="majorEastAsia"/>
            </w:rPr>
            <w:t>creates</w:t>
          </w:r>
          <w:proofErr w:type="gramEnd"/>
          <w:r w:rsidRPr="00DF0531">
            <w:rPr>
              <w:rFonts w:eastAsiaTheme="majorEastAsia"/>
            </w:rPr>
            <w:t xml:space="preserve"> large volumes of wash water which must be contained in existing dirty water or effluent management storage systems where possible, or in tanks or temporary holding pits or lagoons. Wash waters must not be allowed to discharge directly to the water environment.</w:t>
          </w:r>
        </w:p>
        <w:p w14:paraId="3356FCDA" w14:textId="77777777" w:rsidR="00DF0531" w:rsidRPr="00DF0531" w:rsidRDefault="00DF0531" w:rsidP="00DF0531">
          <w:pPr>
            <w:spacing w:after="240"/>
            <w:rPr>
              <w:rFonts w:eastAsiaTheme="majorEastAsia"/>
            </w:rPr>
          </w:pPr>
          <w:r w:rsidRPr="00DF0531">
            <w:rPr>
              <w:rFonts w:eastAsiaTheme="majorEastAsia"/>
            </w:rPr>
            <w:t xml:space="preserve">Temporary storage lagoons must comply with the relevant Water General Binding Rules including: </w:t>
          </w:r>
        </w:p>
        <w:p w14:paraId="2B2EF5FD" w14:textId="0AB9E534" w:rsidR="00DF0531" w:rsidRPr="00DF0531" w:rsidRDefault="00270655" w:rsidP="00DF0531">
          <w:pPr>
            <w:numPr>
              <w:ilvl w:val="0"/>
              <w:numId w:val="23"/>
            </w:numPr>
            <w:spacing w:after="240"/>
            <w:ind w:left="714" w:hanging="357"/>
            <w:rPr>
              <w:rFonts w:eastAsiaTheme="majorEastAsia"/>
            </w:rPr>
          </w:pPr>
          <w:r>
            <w:rPr>
              <w:rFonts w:eastAsiaTheme="majorEastAsia"/>
            </w:rPr>
            <w:t>I</w:t>
          </w:r>
          <w:r w:rsidR="00DF0531" w:rsidRPr="00DF0531">
            <w:rPr>
              <w:rFonts w:eastAsiaTheme="majorEastAsia"/>
            </w:rPr>
            <w:t>t must be 10m from watercourses or ditches</w:t>
          </w:r>
          <w:r>
            <w:rPr>
              <w:rFonts w:eastAsiaTheme="majorEastAsia"/>
            </w:rPr>
            <w:t>.</w:t>
          </w:r>
        </w:p>
        <w:p w14:paraId="439FA6A1" w14:textId="006EE486" w:rsidR="00DF0531" w:rsidRPr="00DF0531" w:rsidRDefault="00270655" w:rsidP="00DF0531">
          <w:pPr>
            <w:numPr>
              <w:ilvl w:val="0"/>
              <w:numId w:val="23"/>
            </w:numPr>
            <w:spacing w:after="240"/>
            <w:ind w:left="714" w:hanging="357"/>
            <w:rPr>
              <w:rFonts w:eastAsiaTheme="majorEastAsia"/>
            </w:rPr>
          </w:pPr>
          <w:r>
            <w:rPr>
              <w:rFonts w:eastAsiaTheme="majorEastAsia"/>
            </w:rPr>
            <w:t>I</w:t>
          </w:r>
          <w:r w:rsidR="00DF0531" w:rsidRPr="00DF0531">
            <w:rPr>
              <w:rFonts w:eastAsiaTheme="majorEastAsia"/>
            </w:rPr>
            <w:t>t must be 50m from wells, springs or boreholes used for drinking water or food production</w:t>
          </w:r>
          <w:r>
            <w:rPr>
              <w:rFonts w:eastAsiaTheme="majorEastAsia"/>
            </w:rPr>
            <w:t>.</w:t>
          </w:r>
        </w:p>
        <w:p w14:paraId="5EC83F69" w14:textId="2552993B" w:rsidR="00DF0531" w:rsidRPr="00DF0531" w:rsidRDefault="00270655" w:rsidP="00DF0531">
          <w:pPr>
            <w:numPr>
              <w:ilvl w:val="0"/>
              <w:numId w:val="23"/>
            </w:numPr>
            <w:spacing w:after="240"/>
            <w:ind w:left="714" w:hanging="357"/>
            <w:rPr>
              <w:rFonts w:eastAsiaTheme="majorEastAsia"/>
            </w:rPr>
          </w:pPr>
          <w:r>
            <w:rPr>
              <w:rFonts w:eastAsiaTheme="majorEastAsia"/>
            </w:rPr>
            <w:t>T</w:t>
          </w:r>
          <w:r w:rsidR="00DF0531" w:rsidRPr="00DF0531">
            <w:rPr>
              <w:rFonts w:eastAsiaTheme="majorEastAsia"/>
            </w:rPr>
            <w:t>he base must be above the water table</w:t>
          </w:r>
          <w:r>
            <w:rPr>
              <w:rFonts w:eastAsiaTheme="majorEastAsia"/>
            </w:rPr>
            <w:t>.</w:t>
          </w:r>
          <w:r w:rsidR="00DF0531" w:rsidRPr="00DF0531">
            <w:rPr>
              <w:rFonts w:eastAsiaTheme="majorEastAsia"/>
            </w:rPr>
            <w:t xml:space="preserve"> </w:t>
          </w:r>
        </w:p>
        <w:p w14:paraId="43357F94" w14:textId="18FF8943" w:rsidR="00DF0531" w:rsidRPr="00DF0531" w:rsidRDefault="00270655" w:rsidP="00DF0531">
          <w:pPr>
            <w:numPr>
              <w:ilvl w:val="0"/>
              <w:numId w:val="23"/>
            </w:numPr>
            <w:spacing w:after="240"/>
            <w:ind w:left="714" w:hanging="357"/>
            <w:rPr>
              <w:rFonts w:eastAsiaTheme="majorEastAsia"/>
            </w:rPr>
          </w:pPr>
          <w:r>
            <w:rPr>
              <w:rFonts w:eastAsiaTheme="majorEastAsia"/>
            </w:rPr>
            <w:t>T</w:t>
          </w:r>
          <w:r w:rsidR="00DF0531" w:rsidRPr="00DF0531">
            <w:rPr>
              <w:rFonts w:eastAsiaTheme="majorEastAsia"/>
            </w:rPr>
            <w:t>here must be a gap of at least 750 millimetres between the surface of the lagoon’s content and the top of the lagoon wall</w:t>
          </w:r>
          <w:r>
            <w:rPr>
              <w:rFonts w:eastAsiaTheme="majorEastAsia"/>
            </w:rPr>
            <w:t>.</w:t>
          </w:r>
          <w:r w:rsidR="00DF0531" w:rsidRPr="00DF0531">
            <w:rPr>
              <w:rFonts w:eastAsiaTheme="majorEastAsia"/>
            </w:rPr>
            <w:t xml:space="preserve"> </w:t>
          </w:r>
        </w:p>
        <w:p w14:paraId="766C21D6" w14:textId="52C2D7E8" w:rsidR="00DF0531" w:rsidRPr="00DF0531" w:rsidRDefault="00270655" w:rsidP="00DF0531">
          <w:pPr>
            <w:numPr>
              <w:ilvl w:val="0"/>
              <w:numId w:val="23"/>
            </w:numPr>
            <w:spacing w:after="240"/>
            <w:ind w:left="714" w:hanging="357"/>
            <w:rPr>
              <w:rFonts w:eastAsiaTheme="majorEastAsia"/>
            </w:rPr>
          </w:pPr>
          <w:r>
            <w:rPr>
              <w:rFonts w:eastAsiaTheme="majorEastAsia"/>
            </w:rPr>
            <w:t>A</w:t>
          </w:r>
          <w:r w:rsidR="00DF0531" w:rsidRPr="00DF0531">
            <w:rPr>
              <w:rFonts w:eastAsiaTheme="majorEastAsia"/>
            </w:rPr>
            <w:t xml:space="preserve"> liner must be used</w:t>
          </w:r>
          <w:r>
            <w:rPr>
              <w:rFonts w:eastAsiaTheme="majorEastAsia"/>
            </w:rPr>
            <w:t>.</w:t>
          </w:r>
          <w:r w:rsidR="00DF0531" w:rsidRPr="00DF0531">
            <w:rPr>
              <w:rFonts w:eastAsiaTheme="majorEastAsia"/>
            </w:rPr>
            <w:t xml:space="preserve"> </w:t>
          </w:r>
        </w:p>
        <w:p w14:paraId="2D5AFD1D" w14:textId="353EE0F9" w:rsidR="00DF0531" w:rsidRPr="00DF0531" w:rsidRDefault="00270655" w:rsidP="00DF0531">
          <w:pPr>
            <w:numPr>
              <w:ilvl w:val="0"/>
              <w:numId w:val="23"/>
            </w:numPr>
            <w:spacing w:after="240"/>
            <w:ind w:left="714" w:hanging="357"/>
            <w:rPr>
              <w:rFonts w:eastAsiaTheme="majorEastAsia"/>
            </w:rPr>
          </w:pPr>
          <w:r>
            <w:rPr>
              <w:rFonts w:eastAsiaTheme="majorEastAsia"/>
            </w:rPr>
            <w:t>L</w:t>
          </w:r>
          <w:r w:rsidR="00DF0531" w:rsidRPr="00DF0531">
            <w:rPr>
              <w:rFonts w:eastAsiaTheme="majorEastAsia"/>
            </w:rPr>
            <w:t xml:space="preserve">iners can be made from butyl rubber or plastic (PVC or </w:t>
          </w:r>
          <w:r w:rsidRPr="00DF0531">
            <w:rPr>
              <w:rFonts w:eastAsiaTheme="majorEastAsia"/>
            </w:rPr>
            <w:t>high- or low-density</w:t>
          </w:r>
          <w:r w:rsidR="00DF0531" w:rsidRPr="00DF0531">
            <w:rPr>
              <w:rFonts w:eastAsiaTheme="majorEastAsia"/>
            </w:rPr>
            <w:t xml:space="preserve"> polyethylene)</w:t>
          </w:r>
          <w:r>
            <w:rPr>
              <w:rFonts w:eastAsiaTheme="majorEastAsia"/>
            </w:rPr>
            <w:t>.</w:t>
          </w:r>
        </w:p>
        <w:p w14:paraId="16AD0A71" w14:textId="4499A1D4" w:rsidR="00DF0531" w:rsidRPr="00DF0531" w:rsidRDefault="00270655" w:rsidP="00DF0531">
          <w:pPr>
            <w:numPr>
              <w:ilvl w:val="0"/>
              <w:numId w:val="23"/>
            </w:numPr>
            <w:spacing w:after="240"/>
            <w:ind w:left="714" w:hanging="357"/>
            <w:rPr>
              <w:rFonts w:eastAsiaTheme="majorEastAsia"/>
            </w:rPr>
          </w:pPr>
          <w:r>
            <w:rPr>
              <w:rFonts w:eastAsiaTheme="majorEastAsia"/>
            </w:rPr>
            <w:t>L</w:t>
          </w:r>
          <w:r w:rsidR="00DF0531" w:rsidRPr="00DF0531">
            <w:rPr>
              <w:rFonts w:eastAsiaTheme="majorEastAsia"/>
            </w:rPr>
            <w:t xml:space="preserve">ow grade liners must not be used in a </w:t>
          </w:r>
          <w:r w:rsidRPr="00DF0531">
            <w:rPr>
              <w:rFonts w:eastAsiaTheme="majorEastAsia"/>
            </w:rPr>
            <w:t>high-risk</w:t>
          </w:r>
          <w:r w:rsidR="00DF0531" w:rsidRPr="00DF0531">
            <w:rPr>
              <w:rFonts w:eastAsiaTheme="majorEastAsia"/>
            </w:rPr>
            <w:t xml:space="preserve"> groundwater area</w:t>
          </w:r>
          <w:r>
            <w:rPr>
              <w:rFonts w:eastAsiaTheme="majorEastAsia"/>
            </w:rPr>
            <w:t>.</w:t>
          </w:r>
        </w:p>
        <w:p w14:paraId="077660C7" w14:textId="77777777" w:rsidR="00DF0531" w:rsidRPr="00DF0531" w:rsidRDefault="00DF0531" w:rsidP="00DF0531">
          <w:pPr>
            <w:spacing w:after="240"/>
            <w:rPr>
              <w:rFonts w:eastAsiaTheme="majorEastAsia"/>
            </w:rPr>
          </w:pPr>
          <w:r w:rsidRPr="00DF0531">
            <w:rPr>
              <w:rFonts w:eastAsiaTheme="majorEastAsia"/>
            </w:rPr>
            <w:t xml:space="preserve">Temporary storage facilities must be inspected by SEPA prior to use. In an emergency this can be achieved over video call. Speak to the SEPA Water Industry &amp; Rural Economy Team for support. </w:t>
          </w:r>
        </w:p>
        <w:p w14:paraId="636B6FF5" w14:textId="77777777" w:rsidR="00DF0531" w:rsidRDefault="00DF0531" w:rsidP="00DF0531">
          <w:pPr>
            <w:keepNext/>
            <w:keepLines/>
            <w:spacing w:after="240" w:line="276" w:lineRule="auto"/>
            <w:outlineLvl w:val="3"/>
            <w:rPr>
              <w:rFonts w:ascii="Arial" w:eastAsiaTheme="majorEastAsia" w:hAnsi="Arial" w:cstheme="majorBidi"/>
              <w:b/>
              <w:iCs/>
            </w:rPr>
          </w:pPr>
          <w:r w:rsidRPr="00DF0531">
            <w:rPr>
              <w:rFonts w:ascii="Arial" w:eastAsiaTheme="majorEastAsia" w:hAnsi="Arial" w:cstheme="majorBidi"/>
              <w:b/>
              <w:iCs/>
            </w:rPr>
            <w:lastRenderedPageBreak/>
            <w:t xml:space="preserve">Disposal of wash waters </w:t>
          </w:r>
        </w:p>
        <w:p w14:paraId="4C25AEDB" w14:textId="17BA986B" w:rsidR="000C4C41" w:rsidRPr="000C4C41" w:rsidRDefault="000C4C41" w:rsidP="00DF0531">
          <w:pPr>
            <w:keepNext/>
            <w:keepLines/>
            <w:spacing w:after="240" w:line="276" w:lineRule="auto"/>
            <w:outlineLvl w:val="3"/>
            <w:rPr>
              <w:rFonts w:ascii="Arial" w:eastAsiaTheme="majorEastAsia" w:hAnsi="Arial" w:cstheme="majorBidi"/>
              <w:bCs/>
              <w:iCs/>
            </w:rPr>
          </w:pPr>
          <w:r>
            <w:rPr>
              <w:rFonts w:ascii="Arial" w:eastAsiaTheme="majorEastAsia" w:hAnsi="Arial" w:cstheme="majorBidi"/>
              <w:bCs/>
              <w:iCs/>
            </w:rPr>
            <w:t xml:space="preserve">Table 1 sets out the preferred options for disposal of wash waters. </w:t>
          </w:r>
        </w:p>
        <w:p w14:paraId="3D81E257" w14:textId="77777777" w:rsidR="00DF0531" w:rsidRPr="00DF0531" w:rsidRDefault="00DF0531" w:rsidP="00DF0531">
          <w:pPr>
            <w:spacing w:after="240"/>
            <w:rPr>
              <w:rFonts w:eastAsiaTheme="majorEastAsia"/>
            </w:rPr>
          </w:pPr>
          <w:r w:rsidRPr="00DF0531">
            <w:rPr>
              <w:rFonts w:eastAsiaTheme="majorEastAsia"/>
            </w:rPr>
            <w:t>The preferred option is disposal at a sewage treatment works (either through an existing consented connection to the sewer network or by tanker). The operator of the sewer system or the treatment works must be made aware of the nature and volume of wash water and must give prior permission. Tanker movements must comply with the Duty of Care for waste, including transported by a registered waste carrier and accompanied by a waste transfer note.</w:t>
          </w:r>
        </w:p>
        <w:p w14:paraId="3AD5071C" w14:textId="77777777" w:rsidR="00DF0531" w:rsidRDefault="00DF0531" w:rsidP="00DF0531">
          <w:pPr>
            <w:spacing w:after="240"/>
            <w:rPr>
              <w:rFonts w:eastAsiaTheme="majorEastAsia"/>
            </w:rPr>
          </w:pPr>
          <w:r w:rsidRPr="00DF0531">
            <w:rPr>
              <w:rFonts w:eastAsiaTheme="majorEastAsia"/>
            </w:rPr>
            <w:t xml:space="preserve">Where disposal at a sewage treatment works is not possible, the next option is to apply to land providing APHA are content this will not pose a risk of spreading disease. </w:t>
          </w:r>
        </w:p>
        <w:p w14:paraId="1E246D9C" w14:textId="2CDA519D" w:rsidR="002F1A51" w:rsidRPr="002F1A51" w:rsidRDefault="002F1A51" w:rsidP="00DF0531">
          <w:pPr>
            <w:spacing w:after="240"/>
            <w:rPr>
              <w:rFonts w:eastAsiaTheme="majorEastAsia"/>
              <w:b/>
              <w:bCs/>
            </w:rPr>
          </w:pPr>
          <w:r>
            <w:rPr>
              <w:rFonts w:eastAsiaTheme="majorEastAsia"/>
              <w:b/>
              <w:bCs/>
            </w:rPr>
            <w:t>Table 1: Preferred options for disposal of wash waters</w:t>
          </w:r>
        </w:p>
        <w:tbl>
          <w:tblPr>
            <w:tblW w:w="5000" w:type="pct"/>
            <w:tblCellMar>
              <w:left w:w="0" w:type="dxa"/>
              <w:right w:w="0" w:type="dxa"/>
            </w:tblCellMar>
            <w:tblLook w:val="04A0" w:firstRow="1" w:lastRow="0" w:firstColumn="1" w:lastColumn="0" w:noHBand="0" w:noVBand="1"/>
            <w:tblCaption w:val="Table x: xxxx"/>
            <w:tblDescription w:val="Add alt text"/>
          </w:tblPr>
          <w:tblGrid>
            <w:gridCol w:w="5236"/>
            <w:gridCol w:w="4966"/>
          </w:tblGrid>
          <w:tr w:rsidR="002F1A51" w:rsidRPr="00DF0531" w14:paraId="52086E9F" w14:textId="77777777" w:rsidTr="00253678">
            <w:trPr>
              <w:trHeight w:val="610"/>
              <w:tblHeader/>
            </w:trPr>
            <w:tc>
              <w:tcPr>
                <w:tcW w:w="25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526AA2D0" w14:textId="77777777" w:rsidR="002F1A51" w:rsidRPr="00DF0531" w:rsidRDefault="002F1A51" w:rsidP="00253678">
                <w:pPr>
                  <w:spacing w:before="120" w:after="120" w:line="276" w:lineRule="auto"/>
                  <w:rPr>
                    <w:rFonts w:ascii="Arial" w:eastAsia="Times New Roman" w:hAnsi="Arial" w:cs="Arial"/>
                    <w:b/>
                    <w:bCs/>
                    <w:color w:val="FFFFFF"/>
                    <w:lang w:eastAsia="en-GB"/>
                  </w:rPr>
                </w:pPr>
                <w:r w:rsidRPr="00DF0531">
                  <w:rPr>
                    <w:rFonts w:ascii="Arial" w:eastAsia="Times New Roman" w:hAnsi="Arial" w:cs="Arial"/>
                    <w:b/>
                    <w:bCs/>
                    <w:color w:val="FFFFFF"/>
                    <w:lang w:eastAsia="en-GB"/>
                  </w:rPr>
                  <w:t>Option</w:t>
                </w:r>
              </w:p>
            </w:tc>
            <w:tc>
              <w:tcPr>
                <w:tcW w:w="24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FF4EBD7" w14:textId="77777777" w:rsidR="002F1A51" w:rsidRPr="00DF0531" w:rsidRDefault="002F1A51" w:rsidP="00253678">
                <w:pPr>
                  <w:spacing w:before="120" w:after="120" w:line="276" w:lineRule="auto"/>
                  <w:rPr>
                    <w:rFonts w:ascii="Arial" w:eastAsia="Times New Roman" w:hAnsi="Arial" w:cs="Arial"/>
                    <w:b/>
                    <w:bCs/>
                    <w:color w:val="FFFFFF"/>
                    <w:lang w:eastAsia="en-GB"/>
                  </w:rPr>
                </w:pPr>
                <w:r w:rsidRPr="00DF0531">
                  <w:rPr>
                    <w:rFonts w:ascii="Arial" w:eastAsia="Times New Roman" w:hAnsi="Arial" w:cs="Arial"/>
                    <w:b/>
                    <w:bCs/>
                    <w:color w:val="FFFFFF"/>
                    <w:lang w:eastAsia="en-GB"/>
                  </w:rPr>
                  <w:t>Preference</w:t>
                </w:r>
              </w:p>
            </w:tc>
          </w:tr>
          <w:tr w:rsidR="002F1A51" w:rsidRPr="00DF0531" w14:paraId="11CCCA0B" w14:textId="77777777" w:rsidTr="00253678">
            <w:trPr>
              <w:trHeight w:val="315"/>
            </w:trPr>
            <w:tc>
              <w:tcPr>
                <w:tcW w:w="25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888A999" w14:textId="77777777" w:rsidR="002F1A51" w:rsidRPr="00DF0531" w:rsidRDefault="002F1A51" w:rsidP="00253678">
                <w:pPr>
                  <w:spacing w:before="120" w:after="120" w:line="240" w:lineRule="auto"/>
                  <w:rPr>
                    <w:rFonts w:ascii="Arial" w:eastAsia="Times New Roman" w:hAnsi="Arial" w:cs="Arial"/>
                    <w:lang w:eastAsia="en-GB"/>
                  </w:rPr>
                </w:pPr>
                <w:r w:rsidRPr="00DF0531">
                  <w:rPr>
                    <w:rFonts w:ascii="Arial" w:eastAsia="Times New Roman" w:hAnsi="Arial" w:cs="Arial"/>
                    <w:lang w:eastAsia="en-GB"/>
                  </w:rPr>
                  <w:t>Disposal at a waste treatment works</w:t>
                </w:r>
              </w:p>
            </w:tc>
            <w:tc>
              <w:tcPr>
                <w:tcW w:w="243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DDF1246" w14:textId="77777777" w:rsidR="002F1A51" w:rsidRPr="00DF0531" w:rsidRDefault="002F1A51" w:rsidP="00253678">
                <w:pPr>
                  <w:spacing w:before="120" w:after="120" w:line="240" w:lineRule="auto"/>
                  <w:rPr>
                    <w:rFonts w:ascii="Arial" w:eastAsia="Times New Roman" w:hAnsi="Arial" w:cs="Arial"/>
                    <w:lang w:eastAsia="en-GB"/>
                  </w:rPr>
                </w:pPr>
                <w:r w:rsidRPr="00DF0531">
                  <w:rPr>
                    <w:rFonts w:ascii="Arial" w:eastAsia="Times New Roman" w:hAnsi="Arial" w:cs="Arial"/>
                    <w:lang w:eastAsia="en-GB"/>
                  </w:rPr>
                  <w:t>First</w:t>
                </w:r>
              </w:p>
            </w:tc>
          </w:tr>
          <w:tr w:rsidR="002F1A51" w:rsidRPr="00DF0531" w14:paraId="28A16B2B" w14:textId="77777777" w:rsidTr="00253678">
            <w:trPr>
              <w:trHeight w:val="300"/>
            </w:trPr>
            <w:tc>
              <w:tcPr>
                <w:tcW w:w="25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786FCDD3" w14:textId="77777777" w:rsidR="002F1A51" w:rsidRPr="00DF0531" w:rsidRDefault="002F1A51" w:rsidP="00253678">
                <w:pPr>
                  <w:spacing w:before="120" w:after="120" w:line="240" w:lineRule="auto"/>
                  <w:rPr>
                    <w:rFonts w:ascii="Arial" w:eastAsia="Times New Roman" w:hAnsi="Arial" w:cs="Arial"/>
                    <w:lang w:eastAsia="en-GB"/>
                  </w:rPr>
                </w:pPr>
                <w:r w:rsidRPr="00DF0531">
                  <w:rPr>
                    <w:rFonts w:ascii="Arial" w:eastAsia="Times New Roman" w:hAnsi="Arial" w:cs="Arial"/>
                    <w:lang w:eastAsia="en-GB"/>
                  </w:rPr>
                  <w:t>Disposal to land</w:t>
                </w:r>
              </w:p>
            </w:tc>
            <w:tc>
              <w:tcPr>
                <w:tcW w:w="243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43822F1" w14:textId="77777777" w:rsidR="002F1A51" w:rsidRPr="00DF0531" w:rsidRDefault="002F1A51" w:rsidP="00253678">
                <w:pPr>
                  <w:spacing w:before="120" w:after="120" w:line="240" w:lineRule="auto"/>
                  <w:rPr>
                    <w:rFonts w:ascii="Arial" w:eastAsia="Times New Roman" w:hAnsi="Arial" w:cs="Arial"/>
                    <w:lang w:eastAsia="en-GB"/>
                  </w:rPr>
                </w:pPr>
                <w:r w:rsidRPr="00DF0531">
                  <w:rPr>
                    <w:rFonts w:ascii="Arial" w:eastAsia="Times New Roman" w:hAnsi="Arial" w:cs="Arial"/>
                    <w:lang w:eastAsia="en-GB"/>
                  </w:rPr>
                  <w:t>Second</w:t>
                </w:r>
              </w:p>
            </w:tc>
          </w:tr>
        </w:tbl>
        <w:p w14:paraId="73FD2B14" w14:textId="77777777" w:rsidR="002F1A51" w:rsidRPr="00DF0531" w:rsidRDefault="002F1A51" w:rsidP="00DF0531">
          <w:pPr>
            <w:spacing w:after="240"/>
            <w:rPr>
              <w:rFonts w:eastAsiaTheme="majorEastAsia"/>
            </w:rPr>
          </w:pPr>
        </w:p>
        <w:p w14:paraId="197E9F68" w14:textId="77777777" w:rsidR="00DF0531" w:rsidRPr="00DF0531" w:rsidRDefault="00DF0531" w:rsidP="00DF0531">
          <w:pPr>
            <w:spacing w:after="240"/>
            <w:rPr>
              <w:rFonts w:eastAsiaTheme="majorEastAsia"/>
            </w:rPr>
          </w:pPr>
          <w:r w:rsidRPr="00DF0531">
            <w:rPr>
              <w:rFonts w:eastAsiaTheme="majorEastAsia"/>
            </w:rPr>
            <w:t>Where the volumes are more than 10m</w:t>
          </w:r>
          <w:r w:rsidRPr="00DF0531">
            <w:rPr>
              <w:rFonts w:eastAsiaTheme="majorEastAsia"/>
              <w:vertAlign w:val="superscript"/>
            </w:rPr>
            <w:t>3</w:t>
          </w:r>
          <w:r w:rsidRPr="00DF0531">
            <w:rPr>
              <w:rFonts w:eastAsiaTheme="majorEastAsia"/>
            </w:rPr>
            <w:t xml:space="preserve">, the application of wash waters to land must be authorised by SEPA. An EASR Registration for disposal of disinfectant wash waters to land may be required. In an emergency it may be necessary to fast track the application to avoid delays in the disposal process. </w:t>
          </w:r>
        </w:p>
        <w:p w14:paraId="29B61147" w14:textId="77777777" w:rsidR="00DF0531" w:rsidRPr="00DF0531" w:rsidRDefault="00DF0531" w:rsidP="00DF0531">
          <w:pPr>
            <w:spacing w:after="240"/>
            <w:rPr>
              <w:rFonts w:eastAsiaTheme="majorEastAsia"/>
            </w:rPr>
          </w:pPr>
          <w:r w:rsidRPr="00DF0531">
            <w:rPr>
              <w:rFonts w:eastAsiaTheme="majorEastAsia"/>
            </w:rPr>
            <w:t>Where the volumes of washings from livestock buildings are less than 10m</w:t>
          </w:r>
          <w:r w:rsidRPr="00DF0531">
            <w:rPr>
              <w:rFonts w:eastAsiaTheme="majorEastAsia"/>
              <w:vertAlign w:val="superscript"/>
            </w:rPr>
            <w:t>3</w:t>
          </w:r>
          <w:r w:rsidRPr="00DF0531">
            <w:rPr>
              <w:rFonts w:eastAsiaTheme="majorEastAsia"/>
            </w:rPr>
            <w:t>, you should discuss with SEPA whether this can be applied to land on a site-specific basis in compliance with the rules applicable to fertiliser under Water GBR 18.</w:t>
          </w:r>
        </w:p>
        <w:p w14:paraId="48C1A8FC" w14:textId="77777777" w:rsidR="00DF0531" w:rsidRPr="00DF0531" w:rsidRDefault="00DF0531" w:rsidP="00DF0531">
          <w:pPr>
            <w:spacing w:after="240"/>
            <w:rPr>
              <w:rFonts w:eastAsiaTheme="majorEastAsia"/>
            </w:rPr>
          </w:pPr>
          <w:r w:rsidRPr="00DF0531">
            <w:rPr>
              <w:rFonts w:eastAsiaTheme="majorEastAsia"/>
            </w:rPr>
            <w:t xml:space="preserve">Wash water may be combined with slurry for storage, however if greater than 10m3 of disinfectant wash waters are added to slurry, this will mean that an EASR Registration may be required for the application of the combined volume of slurry / </w:t>
          </w:r>
          <w:proofErr w:type="spellStart"/>
          <w:r w:rsidRPr="00DF0531">
            <w:rPr>
              <w:rFonts w:eastAsiaTheme="majorEastAsia"/>
            </w:rPr>
            <w:t>washwater</w:t>
          </w:r>
          <w:proofErr w:type="spellEnd"/>
          <w:r w:rsidRPr="00DF0531">
            <w:rPr>
              <w:rFonts w:eastAsiaTheme="majorEastAsia"/>
            </w:rPr>
            <w:t>.</w:t>
          </w:r>
        </w:p>
        <w:p w14:paraId="487C9D5E" w14:textId="77777777" w:rsidR="00DF0531" w:rsidRPr="00DF0531" w:rsidRDefault="00DF0531" w:rsidP="00DF0531">
          <w:pPr>
            <w:keepNext/>
            <w:keepLines/>
            <w:spacing w:after="240" w:line="276" w:lineRule="auto"/>
            <w:outlineLvl w:val="2"/>
            <w:rPr>
              <w:rFonts w:ascii="Arial" w:eastAsiaTheme="majorEastAsia" w:hAnsi="Arial" w:cstheme="majorBidi"/>
              <w:b/>
              <w:sz w:val="28"/>
            </w:rPr>
          </w:pPr>
          <w:bookmarkStart w:id="7" w:name="_Toc195618848"/>
          <w:r w:rsidRPr="00DF0531">
            <w:rPr>
              <w:rFonts w:ascii="Arial" w:eastAsiaTheme="majorEastAsia" w:hAnsi="Arial" w:cstheme="majorBidi"/>
              <w:b/>
              <w:sz w:val="28"/>
            </w:rPr>
            <w:lastRenderedPageBreak/>
            <w:t>Slurry</w:t>
          </w:r>
          <w:bookmarkEnd w:id="7"/>
        </w:p>
        <w:p w14:paraId="6FAE0679" w14:textId="77777777" w:rsidR="00DF0531" w:rsidRPr="00DF0531" w:rsidRDefault="00DF0531" w:rsidP="00DF0531">
          <w:pPr>
            <w:spacing w:after="240"/>
            <w:rPr>
              <w:rFonts w:eastAsiaTheme="majorEastAsia"/>
            </w:rPr>
          </w:pPr>
          <w:r w:rsidRPr="00DF0531">
            <w:rPr>
              <w:rFonts w:eastAsiaTheme="majorEastAsia"/>
            </w:rPr>
            <w:t xml:space="preserve">Slurry may need to be stored or treated prior to further use or disposal. APHA will advise on the treatment option depending on the disease involved. They will also advise when the material may be spread on land. </w:t>
          </w:r>
        </w:p>
        <w:p w14:paraId="023B3C4F" w14:textId="77777777" w:rsidR="00DF0531" w:rsidRPr="00DF0531" w:rsidRDefault="00DF0531" w:rsidP="00DF0531">
          <w:pPr>
            <w:spacing w:after="240"/>
            <w:rPr>
              <w:rFonts w:eastAsiaTheme="majorEastAsia"/>
            </w:rPr>
          </w:pPr>
          <w:r w:rsidRPr="00DF0531">
            <w:rPr>
              <w:rFonts w:eastAsiaTheme="majorEastAsia"/>
            </w:rPr>
            <w:t xml:space="preserve">Slurry must be stored in accordance with Water GBR 32 and used in line with Water GBR 18, the PEPFAA code and legislation on Nitrate Vulnerable Zones. </w:t>
          </w:r>
        </w:p>
        <w:p w14:paraId="358548FD" w14:textId="75101F91" w:rsidR="00DF0531" w:rsidRPr="00DF0531" w:rsidRDefault="00DF0531" w:rsidP="00DF0531">
          <w:pPr>
            <w:spacing w:after="240"/>
            <w:rPr>
              <w:rFonts w:eastAsiaTheme="majorEastAsia"/>
            </w:rPr>
          </w:pPr>
          <w:r w:rsidRPr="00DF0531">
            <w:rPr>
              <w:rFonts w:eastAsiaTheme="majorEastAsia"/>
            </w:rPr>
            <w:t>If the slurry is mixed with wash waters</w:t>
          </w:r>
          <w:r w:rsidR="007904CD">
            <w:rPr>
              <w:rFonts w:eastAsiaTheme="majorEastAsia"/>
            </w:rPr>
            <w:t>,</w:t>
          </w:r>
          <w:r w:rsidRPr="00DF0531">
            <w:rPr>
              <w:rFonts w:eastAsiaTheme="majorEastAsia"/>
            </w:rPr>
            <w:t xml:space="preserve"> you may need to apply for an EASR Registration for application to land may be required for the whole volume (see section 2 above). </w:t>
          </w:r>
        </w:p>
        <w:p w14:paraId="554DE4C8" w14:textId="77777777" w:rsidR="00DF0531" w:rsidRPr="00DF0531" w:rsidRDefault="00DF0531" w:rsidP="00DF0531">
          <w:pPr>
            <w:spacing w:after="240"/>
            <w:rPr>
              <w:rFonts w:eastAsiaTheme="majorEastAsia"/>
            </w:rPr>
          </w:pPr>
          <w:r w:rsidRPr="00DF0531">
            <w:rPr>
              <w:rFonts w:eastAsiaTheme="majorEastAsia"/>
            </w:rPr>
            <w:t>Where slurry is used in an AD plant, the plant must have an environmental authorisation from SEPA. The level of authorisation needed will depend on the feedstocks and the size of the plant. If the AD plant is off-site, movement of the slurry must be in accordance with the Duty of Care.</w:t>
          </w:r>
        </w:p>
        <w:p w14:paraId="284EB974" w14:textId="77777777" w:rsidR="00DF0531" w:rsidRPr="00DF0531" w:rsidRDefault="00DF0531" w:rsidP="00DF0531">
          <w:pPr>
            <w:keepNext/>
            <w:keepLines/>
            <w:spacing w:after="240" w:line="276" w:lineRule="auto"/>
            <w:outlineLvl w:val="2"/>
            <w:rPr>
              <w:rFonts w:ascii="Arial" w:eastAsia="Times New Roman" w:hAnsi="Arial" w:cstheme="majorBidi"/>
              <w:b/>
              <w:sz w:val="28"/>
            </w:rPr>
          </w:pPr>
          <w:bookmarkStart w:id="8" w:name="_Toc195618849"/>
          <w:r w:rsidRPr="00DF0531">
            <w:rPr>
              <w:rFonts w:ascii="Arial" w:eastAsia="Times New Roman" w:hAnsi="Arial" w:cstheme="majorBidi"/>
              <w:b/>
              <w:sz w:val="28"/>
            </w:rPr>
            <w:t>Manure, litter &amp; bedding</w:t>
          </w:r>
          <w:bookmarkEnd w:id="8"/>
        </w:p>
        <w:p w14:paraId="6F2D6716" w14:textId="66B5E91B" w:rsidR="00DF0531" w:rsidRPr="00DF0531" w:rsidRDefault="00DF0531" w:rsidP="00DF0531">
          <w:pPr>
            <w:spacing w:after="240"/>
            <w:rPr>
              <w:rFonts w:eastAsia="Times New Roman"/>
            </w:rPr>
          </w:pPr>
          <w:r w:rsidRPr="00DF0531">
            <w:rPr>
              <w:rFonts w:eastAsia="Times New Roman"/>
            </w:rPr>
            <w:t>Infected manure, litter and bedding which is contaminated or suspected of contamination with the virus/pathogen must be disposed of appropriately</w:t>
          </w:r>
          <w:r w:rsidR="009C6D53">
            <w:rPr>
              <w:rFonts w:eastAsia="Times New Roman"/>
            </w:rPr>
            <w:t>, with the preferred options set out in Table 2</w:t>
          </w:r>
          <w:r w:rsidRPr="00DF0531">
            <w:rPr>
              <w:rFonts w:eastAsia="Times New Roman"/>
            </w:rPr>
            <w:t xml:space="preserve">. </w:t>
          </w:r>
        </w:p>
        <w:p w14:paraId="3BD8AFED" w14:textId="77777777" w:rsidR="00DF0531" w:rsidRDefault="00DF0531" w:rsidP="00DF0531">
          <w:pPr>
            <w:spacing w:after="240"/>
            <w:rPr>
              <w:rFonts w:eastAsia="Times New Roman"/>
            </w:rPr>
          </w:pPr>
          <w:r w:rsidRPr="00DF0531">
            <w:rPr>
              <w:rFonts w:eastAsia="Times New Roman"/>
            </w:rPr>
            <w:t xml:space="preserve">To minimise the risk of disease spread, APHA will generally require that manure is treated before application to land or disposal. </w:t>
          </w:r>
        </w:p>
        <w:p w14:paraId="3DC63575" w14:textId="43AFC1A0" w:rsidR="009C6D53" w:rsidRPr="009C6D53" w:rsidRDefault="009C6D53" w:rsidP="00DF0531">
          <w:pPr>
            <w:spacing w:after="240"/>
            <w:rPr>
              <w:rFonts w:eastAsia="Times New Roman"/>
              <w:b/>
              <w:bCs/>
            </w:rPr>
          </w:pPr>
          <w:r>
            <w:rPr>
              <w:rFonts w:eastAsia="Times New Roman"/>
              <w:b/>
              <w:bCs/>
            </w:rPr>
            <w:t xml:space="preserve">Table 2: Preferred options for </w:t>
          </w:r>
          <w:r w:rsidR="003A5112">
            <w:rPr>
              <w:rFonts w:eastAsia="Times New Roman"/>
              <w:b/>
              <w:bCs/>
            </w:rPr>
            <w:t>disposal of infected manure, litter and bedding</w:t>
          </w:r>
        </w:p>
        <w:tbl>
          <w:tblPr>
            <w:tblW w:w="5000" w:type="pct"/>
            <w:tblLayout w:type="fixed"/>
            <w:tblCellMar>
              <w:left w:w="0" w:type="dxa"/>
              <w:right w:w="0" w:type="dxa"/>
            </w:tblCellMar>
            <w:tblLook w:val="04A0" w:firstRow="1" w:lastRow="0" w:firstColumn="1" w:lastColumn="0" w:noHBand="0" w:noVBand="1"/>
            <w:tblCaption w:val="Table x: xxxx"/>
            <w:tblDescription w:val="Add alt text"/>
          </w:tblPr>
          <w:tblGrid>
            <w:gridCol w:w="7221"/>
            <w:gridCol w:w="2981"/>
          </w:tblGrid>
          <w:tr w:rsidR="00DF0531" w:rsidRPr="00DF0531" w14:paraId="43604FB1" w14:textId="77777777" w:rsidTr="004E76A9">
            <w:trPr>
              <w:trHeight w:val="610"/>
              <w:tblHeader/>
            </w:trPr>
            <w:tc>
              <w:tcPr>
                <w:tcW w:w="353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02E1F789" w14:textId="77777777" w:rsidR="00DF0531" w:rsidRPr="00DF0531" w:rsidRDefault="00DF0531" w:rsidP="00DF0531">
                <w:pPr>
                  <w:spacing w:before="120" w:after="120" w:line="276" w:lineRule="auto"/>
                  <w:jc w:val="center"/>
                  <w:rPr>
                    <w:rFonts w:ascii="Arial" w:eastAsia="Times New Roman" w:hAnsi="Arial" w:cs="Arial"/>
                    <w:b/>
                    <w:bCs/>
                    <w:color w:val="FFFFFF"/>
                    <w:lang w:eastAsia="en-GB"/>
                  </w:rPr>
                </w:pPr>
                <w:r w:rsidRPr="00DF0531">
                  <w:rPr>
                    <w:rFonts w:ascii="Arial" w:eastAsia="Times New Roman" w:hAnsi="Arial" w:cs="Arial"/>
                    <w:b/>
                    <w:bCs/>
                    <w:color w:val="FFFFFF"/>
                    <w:lang w:eastAsia="en-GB"/>
                  </w:rPr>
                  <w:t>Option</w:t>
                </w:r>
              </w:p>
            </w:tc>
            <w:tc>
              <w:tcPr>
                <w:tcW w:w="146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1E1ED7B" w14:textId="77777777" w:rsidR="00DF0531" w:rsidRPr="00DF0531" w:rsidRDefault="00DF0531" w:rsidP="00DF0531">
                <w:pPr>
                  <w:spacing w:before="120" w:after="120" w:line="276" w:lineRule="auto"/>
                  <w:jc w:val="center"/>
                  <w:rPr>
                    <w:rFonts w:ascii="Arial" w:eastAsia="Times New Roman" w:hAnsi="Arial" w:cs="Arial"/>
                    <w:b/>
                    <w:bCs/>
                    <w:color w:val="FFFFFF"/>
                    <w:lang w:eastAsia="en-GB"/>
                  </w:rPr>
                </w:pPr>
                <w:r w:rsidRPr="00DF0531">
                  <w:rPr>
                    <w:rFonts w:ascii="Arial" w:eastAsia="Times New Roman" w:hAnsi="Arial" w:cs="Arial"/>
                    <w:b/>
                    <w:bCs/>
                    <w:color w:val="FFFFFF"/>
                    <w:lang w:eastAsia="en-GB"/>
                  </w:rPr>
                  <w:t>Preference</w:t>
                </w:r>
              </w:p>
            </w:tc>
          </w:tr>
          <w:tr w:rsidR="00DF0531" w:rsidRPr="00DF0531" w14:paraId="4A303F64" w14:textId="77777777" w:rsidTr="004E76A9">
            <w:trPr>
              <w:trHeight w:val="315"/>
            </w:trPr>
            <w:tc>
              <w:tcPr>
                <w:tcW w:w="35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60DE1922" w14:textId="77777777" w:rsidR="00DF0531" w:rsidRPr="00DF0531" w:rsidRDefault="00DF0531" w:rsidP="00261ED5">
                <w:pPr>
                  <w:spacing w:before="120" w:after="120" w:line="240" w:lineRule="auto"/>
                  <w:rPr>
                    <w:rFonts w:ascii="Arial" w:eastAsia="Times New Roman" w:hAnsi="Arial" w:cs="Arial"/>
                    <w:lang w:eastAsia="en-GB"/>
                  </w:rPr>
                </w:pPr>
                <w:r w:rsidRPr="00DF0531">
                  <w:rPr>
                    <w:rFonts w:ascii="Arial" w:eastAsia="Times New Roman" w:hAnsi="Arial" w:cs="Arial"/>
                    <w:lang w:eastAsia="en-GB"/>
                  </w:rPr>
                  <w:t>On site storage, stacking and treatment followed by use on land</w:t>
                </w:r>
              </w:p>
            </w:tc>
            <w:tc>
              <w:tcPr>
                <w:tcW w:w="146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3771367" w14:textId="77777777" w:rsidR="00DF0531" w:rsidRPr="00DF0531" w:rsidRDefault="00DF0531" w:rsidP="00261ED5">
                <w:pPr>
                  <w:spacing w:before="120" w:after="120" w:line="240" w:lineRule="auto"/>
                  <w:rPr>
                    <w:rFonts w:ascii="Arial" w:eastAsia="Times New Roman" w:hAnsi="Arial" w:cs="Arial"/>
                    <w:lang w:eastAsia="en-GB"/>
                  </w:rPr>
                </w:pPr>
                <w:r w:rsidRPr="00DF0531">
                  <w:rPr>
                    <w:rFonts w:ascii="Arial" w:eastAsia="Times New Roman" w:hAnsi="Arial" w:cs="Arial"/>
                    <w:lang w:eastAsia="en-GB"/>
                  </w:rPr>
                  <w:t>First</w:t>
                </w:r>
              </w:p>
            </w:tc>
          </w:tr>
          <w:tr w:rsidR="00DF0531" w:rsidRPr="00DF0531" w14:paraId="676F05D9" w14:textId="77777777" w:rsidTr="004E76A9">
            <w:trPr>
              <w:trHeight w:val="315"/>
            </w:trPr>
            <w:tc>
              <w:tcPr>
                <w:tcW w:w="35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FCCB87" w14:textId="77777777" w:rsidR="00DF0531" w:rsidRPr="00DF0531" w:rsidRDefault="00DF0531" w:rsidP="00261ED5">
                <w:pPr>
                  <w:spacing w:before="120" w:after="120" w:line="240" w:lineRule="auto"/>
                  <w:rPr>
                    <w:rFonts w:ascii="Arial" w:eastAsia="Times New Roman" w:hAnsi="Arial" w:cs="Arial"/>
                    <w:lang w:eastAsia="en-GB"/>
                  </w:rPr>
                </w:pPr>
                <w:r w:rsidRPr="00DF0531">
                  <w:rPr>
                    <w:rFonts w:ascii="Arial" w:eastAsia="Times New Roman" w:hAnsi="Arial" w:cs="Arial"/>
                    <w:lang w:eastAsia="en-GB"/>
                  </w:rPr>
                  <w:t>Off-site treatment at suitably authorised facility</w:t>
                </w:r>
              </w:p>
            </w:tc>
            <w:tc>
              <w:tcPr>
                <w:tcW w:w="14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18B89B" w14:textId="77777777" w:rsidR="00DF0531" w:rsidRPr="00DF0531" w:rsidRDefault="00DF0531" w:rsidP="00261ED5">
                <w:pPr>
                  <w:spacing w:before="120" w:after="120" w:line="240" w:lineRule="auto"/>
                  <w:rPr>
                    <w:rFonts w:ascii="Arial" w:eastAsia="Times New Roman" w:hAnsi="Arial" w:cs="Arial"/>
                    <w:lang w:eastAsia="en-GB"/>
                  </w:rPr>
                </w:pPr>
                <w:r w:rsidRPr="00DF0531">
                  <w:rPr>
                    <w:rFonts w:ascii="Arial" w:eastAsia="Times New Roman" w:hAnsi="Arial" w:cs="Arial"/>
                    <w:lang w:eastAsia="en-GB"/>
                  </w:rPr>
                  <w:t>Second</w:t>
                </w:r>
              </w:p>
            </w:tc>
          </w:tr>
          <w:tr w:rsidR="00DF0531" w:rsidRPr="00DF0531" w14:paraId="36F3D1AC" w14:textId="77777777" w:rsidTr="004E76A9">
            <w:trPr>
              <w:trHeight w:val="315"/>
            </w:trPr>
            <w:tc>
              <w:tcPr>
                <w:tcW w:w="35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403345" w14:textId="77777777" w:rsidR="00DF0531" w:rsidRPr="00DF0531" w:rsidRDefault="00DF0531" w:rsidP="00261ED5">
                <w:pPr>
                  <w:spacing w:before="120" w:after="120" w:line="240" w:lineRule="auto"/>
                  <w:rPr>
                    <w:rFonts w:ascii="Arial" w:eastAsia="Times New Roman" w:hAnsi="Arial" w:cs="Arial"/>
                    <w:lang w:eastAsia="en-GB"/>
                  </w:rPr>
                </w:pPr>
                <w:r w:rsidRPr="00DF0531">
                  <w:rPr>
                    <w:rFonts w:ascii="Arial" w:eastAsia="Times New Roman" w:hAnsi="Arial" w:cs="Arial"/>
                    <w:lang w:eastAsia="en-GB"/>
                  </w:rPr>
                  <w:t>Disposal at suitably authorised landfill</w:t>
                </w:r>
              </w:p>
            </w:tc>
            <w:tc>
              <w:tcPr>
                <w:tcW w:w="14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FBA4F3" w14:textId="77777777" w:rsidR="00DF0531" w:rsidRPr="00DF0531" w:rsidRDefault="00DF0531" w:rsidP="00261ED5">
                <w:pPr>
                  <w:spacing w:before="120" w:after="120" w:line="240" w:lineRule="auto"/>
                  <w:rPr>
                    <w:rFonts w:ascii="Arial" w:eastAsia="Times New Roman" w:hAnsi="Arial" w:cs="Arial"/>
                    <w:lang w:eastAsia="en-GB"/>
                  </w:rPr>
                </w:pPr>
                <w:r w:rsidRPr="00DF0531">
                  <w:rPr>
                    <w:rFonts w:ascii="Arial" w:eastAsia="Times New Roman" w:hAnsi="Arial" w:cs="Arial"/>
                    <w:lang w:eastAsia="en-GB"/>
                  </w:rPr>
                  <w:t>Third</w:t>
                </w:r>
              </w:p>
            </w:tc>
          </w:tr>
          <w:tr w:rsidR="00DF0531" w:rsidRPr="00DF0531" w14:paraId="56DEF2BF" w14:textId="77777777" w:rsidTr="004E76A9">
            <w:trPr>
              <w:trHeight w:val="300"/>
            </w:trPr>
            <w:tc>
              <w:tcPr>
                <w:tcW w:w="35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2BF93B1" w14:textId="77777777" w:rsidR="00DF0531" w:rsidRPr="00DF0531" w:rsidRDefault="00DF0531" w:rsidP="00261ED5">
                <w:pPr>
                  <w:spacing w:before="120" w:after="120" w:line="240" w:lineRule="auto"/>
                  <w:rPr>
                    <w:rFonts w:ascii="Arial" w:eastAsia="Times New Roman" w:hAnsi="Arial" w:cs="Arial"/>
                    <w:lang w:eastAsia="en-GB"/>
                  </w:rPr>
                </w:pPr>
                <w:r w:rsidRPr="00DF0531">
                  <w:rPr>
                    <w:rFonts w:ascii="Arial" w:eastAsia="Times New Roman" w:hAnsi="Arial" w:cs="Arial"/>
                    <w:lang w:eastAsia="en-GB"/>
                  </w:rPr>
                  <w:t>On-farm burning</w:t>
                </w:r>
              </w:p>
            </w:tc>
            <w:tc>
              <w:tcPr>
                <w:tcW w:w="146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A91CFD5" w14:textId="77777777" w:rsidR="00DF0531" w:rsidRPr="00DF0531" w:rsidRDefault="00DF0531" w:rsidP="00261ED5">
                <w:pPr>
                  <w:spacing w:before="120" w:after="120" w:line="240" w:lineRule="auto"/>
                  <w:rPr>
                    <w:rFonts w:ascii="Arial" w:eastAsia="Times New Roman" w:hAnsi="Arial" w:cs="Arial"/>
                    <w:lang w:eastAsia="en-GB"/>
                  </w:rPr>
                </w:pPr>
                <w:r w:rsidRPr="00DF0531">
                  <w:rPr>
                    <w:rFonts w:ascii="Arial" w:eastAsia="Times New Roman" w:hAnsi="Arial" w:cs="Arial"/>
                    <w:lang w:eastAsia="en-GB"/>
                  </w:rPr>
                  <w:t>Not Recommended</w:t>
                </w:r>
              </w:p>
            </w:tc>
          </w:tr>
        </w:tbl>
        <w:p w14:paraId="42137775" w14:textId="77777777" w:rsidR="00DF0531" w:rsidRPr="00DF0531" w:rsidRDefault="00DF0531" w:rsidP="00DF0531">
          <w:pPr>
            <w:spacing w:after="240"/>
            <w:rPr>
              <w:rFonts w:eastAsia="Times New Roman"/>
            </w:rPr>
          </w:pPr>
        </w:p>
        <w:p w14:paraId="7FDA96D2" w14:textId="77777777" w:rsidR="00DF0531" w:rsidRPr="00DF0531" w:rsidRDefault="00DF0531" w:rsidP="00DF0531">
          <w:pPr>
            <w:keepNext/>
            <w:keepLines/>
            <w:spacing w:after="240" w:line="276" w:lineRule="auto"/>
            <w:outlineLvl w:val="3"/>
            <w:rPr>
              <w:rFonts w:ascii="Arial" w:eastAsia="Times New Roman" w:hAnsi="Arial" w:cstheme="majorBidi"/>
              <w:b/>
              <w:iCs/>
            </w:rPr>
          </w:pPr>
          <w:r w:rsidRPr="00DF0531">
            <w:rPr>
              <w:rFonts w:ascii="Arial" w:eastAsia="Times New Roman" w:hAnsi="Arial" w:cstheme="majorBidi"/>
              <w:b/>
              <w:iCs/>
            </w:rPr>
            <w:lastRenderedPageBreak/>
            <w:t>Storage, stacking and treatment of infected manure, litter and bedding</w:t>
          </w:r>
        </w:p>
        <w:p w14:paraId="7FD8F5E3" w14:textId="77777777" w:rsidR="00DF0531" w:rsidRPr="00DF0531" w:rsidRDefault="00DF0531" w:rsidP="00DF0531">
          <w:pPr>
            <w:spacing w:after="240"/>
            <w:rPr>
              <w:rFonts w:eastAsia="Times New Roman"/>
            </w:rPr>
          </w:pPr>
          <w:r w:rsidRPr="00DF0531">
            <w:rPr>
              <w:rFonts w:eastAsia="Times New Roman"/>
            </w:rPr>
            <w:t>The Avian Influenza and Influenza of Avian Origin in Mammals (Scotland) Order 2006 (the AI Order) regulated by the APHA includes an option for manure and bedding to be treated by being ‘stacked to heat, sprayed with disinfectant and left for at least 42 days. This ‘stacking and storing’ option may also be available for manures and bedding arising during other animal disease outbreaks as instructed and supervised by APHA.</w:t>
          </w:r>
        </w:p>
        <w:p w14:paraId="415E128E" w14:textId="77777777" w:rsidR="00DF0531" w:rsidRPr="00DF0531" w:rsidRDefault="00DF0531" w:rsidP="00DF0531">
          <w:pPr>
            <w:spacing w:after="240"/>
            <w:rPr>
              <w:rFonts w:eastAsia="Times New Roman"/>
            </w:rPr>
          </w:pPr>
          <w:r w:rsidRPr="00DF0531">
            <w:rPr>
              <w:rFonts w:eastAsia="Times New Roman"/>
            </w:rPr>
            <w:t>During an outbreak of a</w:t>
          </w:r>
          <w:r w:rsidRPr="00DF0531" w:rsidDel="00D200BD">
            <w:rPr>
              <w:rFonts w:eastAsia="Times New Roman"/>
            </w:rPr>
            <w:t xml:space="preserve"> </w:t>
          </w:r>
          <w:r w:rsidRPr="00DF0531">
            <w:rPr>
              <w:rFonts w:eastAsia="Times New Roman"/>
            </w:rPr>
            <w:t xml:space="preserve">notifiable animal disease SEPA will not normally pursue an application for an environmental authorisation for the storage, stacking and treatment of infected litter, straw, manure and slurry arising and treated at infected premises </w:t>
          </w:r>
          <w:commentRangeStart w:id="9"/>
          <w:commentRangeStart w:id="10"/>
          <w:r w:rsidRPr="00DF0531">
            <w:rPr>
              <w:rFonts w:eastAsia="Times New Roman"/>
            </w:rPr>
            <w:t xml:space="preserve">where specified criteria regarding yard and field storage are met. This would be decided on a case-by-case basis by SEPA and depends on the circumstances and appropriateness. </w:t>
          </w:r>
          <w:commentRangeEnd w:id="9"/>
          <w:r w:rsidRPr="00DF0531">
            <w:rPr>
              <w:sz w:val="16"/>
              <w:szCs w:val="16"/>
            </w:rPr>
            <w:commentReference w:id="9"/>
          </w:r>
          <w:commentRangeEnd w:id="10"/>
          <w:r w:rsidRPr="00DF0531">
            <w:rPr>
              <w:sz w:val="16"/>
              <w:szCs w:val="16"/>
            </w:rPr>
            <w:commentReference w:id="10"/>
          </w:r>
        </w:p>
        <w:p w14:paraId="50FAACA0" w14:textId="77777777" w:rsidR="00DF0531" w:rsidRPr="00DF0531" w:rsidRDefault="00DF0531" w:rsidP="00DF0531">
          <w:pPr>
            <w:spacing w:after="240"/>
            <w:rPr>
              <w:rFonts w:eastAsia="Times New Roman"/>
            </w:rPr>
          </w:pPr>
          <w:r w:rsidRPr="00DF0531">
            <w:rPr>
              <w:rFonts w:eastAsia="Times New Roman"/>
            </w:rPr>
            <w:t xml:space="preserve">Manure &amp; bedding may be moved elsewhere for storage prior to destruction but only if licensed by a veterinary inspector. Transport must be in closed, leak-proof vehicles or containers in accordance with a veterinary inspector's instructions. </w:t>
          </w:r>
        </w:p>
        <w:p w14:paraId="3BBD4433" w14:textId="5694B5A8" w:rsidR="00DF0531" w:rsidRPr="00DF0531" w:rsidRDefault="00DF0531" w:rsidP="00DF0531">
          <w:pPr>
            <w:spacing w:after="240"/>
            <w:rPr>
              <w:rFonts w:eastAsia="Times New Roman"/>
              <w:b/>
              <w:bCs/>
            </w:rPr>
          </w:pPr>
          <w:r w:rsidRPr="00DF0531">
            <w:rPr>
              <w:rFonts w:eastAsia="Times New Roman"/>
              <w:b/>
              <w:bCs/>
            </w:rPr>
            <w:t xml:space="preserve">Yard </w:t>
          </w:r>
          <w:r w:rsidR="001D1656">
            <w:rPr>
              <w:rFonts w:eastAsia="Times New Roman"/>
              <w:b/>
              <w:bCs/>
            </w:rPr>
            <w:t>s</w:t>
          </w:r>
          <w:r w:rsidRPr="00DF0531">
            <w:rPr>
              <w:rFonts w:eastAsia="Times New Roman"/>
              <w:b/>
              <w:bCs/>
            </w:rPr>
            <w:t>torage</w:t>
          </w:r>
        </w:p>
        <w:p w14:paraId="66EE3CB4" w14:textId="77777777" w:rsidR="00DF0531" w:rsidRPr="00DF0531" w:rsidRDefault="00DF0531" w:rsidP="00DF0531">
          <w:pPr>
            <w:spacing w:after="240"/>
          </w:pPr>
          <w:r w:rsidRPr="00DF0531">
            <w:t>Where infected manure is stored and treated in the yard those areas should:</w:t>
          </w:r>
        </w:p>
        <w:p w14:paraId="5C9BBFF9" w14:textId="0E4725D5" w:rsidR="00DF0531" w:rsidRPr="00DF0531" w:rsidRDefault="007904CD" w:rsidP="00DF0531">
          <w:pPr>
            <w:numPr>
              <w:ilvl w:val="0"/>
              <w:numId w:val="24"/>
            </w:numPr>
            <w:spacing w:after="240"/>
            <w:rPr>
              <w:rFonts w:eastAsia="Times New Roman"/>
            </w:rPr>
          </w:pPr>
          <w:r>
            <w:t>H</w:t>
          </w:r>
          <w:r w:rsidR="00DF0531" w:rsidRPr="00DF0531">
            <w:t xml:space="preserve">ave an impermeable base, and </w:t>
          </w:r>
        </w:p>
        <w:p w14:paraId="5E209397" w14:textId="73121E90" w:rsidR="00DF0531" w:rsidRPr="00DF0531" w:rsidRDefault="007904CD" w:rsidP="00DF0531">
          <w:pPr>
            <w:numPr>
              <w:ilvl w:val="0"/>
              <w:numId w:val="24"/>
            </w:numPr>
            <w:spacing w:after="240"/>
          </w:pPr>
          <w:r>
            <w:t>P</w:t>
          </w:r>
          <w:r w:rsidR="00DF0531" w:rsidRPr="00DF0531">
            <w:t xml:space="preserve">rovide a collection and containment system for liquid run-off which meets the requirements of EASR. Contaminated run-off can be reduced by providing a roof or cover. Effluent collection tanks should be checked regularly and emptied when necessary, so they do not overflow. Effluent channels and collection tanks should be maintained to avoid blockage. Once no longer infectious the effluent should either be spread to agricultural land or disposed of off-site. </w:t>
          </w:r>
        </w:p>
        <w:p w14:paraId="22CAE36C" w14:textId="6C0EEA23" w:rsidR="00DF0531" w:rsidRPr="00DF0531" w:rsidRDefault="00DF0531" w:rsidP="00DF0531">
          <w:pPr>
            <w:spacing w:after="240"/>
            <w:rPr>
              <w:rFonts w:eastAsia="Times New Roman"/>
              <w:b/>
              <w:bCs/>
            </w:rPr>
          </w:pPr>
          <w:r w:rsidRPr="00DF0531">
            <w:rPr>
              <w:rFonts w:eastAsia="Times New Roman"/>
              <w:b/>
              <w:bCs/>
            </w:rPr>
            <w:t xml:space="preserve">Field </w:t>
          </w:r>
          <w:r w:rsidR="001D1656">
            <w:rPr>
              <w:rFonts w:eastAsia="Times New Roman"/>
              <w:b/>
              <w:bCs/>
            </w:rPr>
            <w:t>s</w:t>
          </w:r>
          <w:r w:rsidRPr="00DF0531">
            <w:rPr>
              <w:rFonts w:eastAsia="Times New Roman"/>
              <w:b/>
              <w:bCs/>
            </w:rPr>
            <w:t>torage</w:t>
          </w:r>
        </w:p>
        <w:p w14:paraId="5C83585C" w14:textId="77777777" w:rsidR="00DF0531" w:rsidRPr="00DF0531" w:rsidRDefault="00DF0531" w:rsidP="00DF0531">
          <w:pPr>
            <w:spacing w:after="240"/>
          </w:pPr>
          <w:r w:rsidRPr="00DF0531">
            <w:t xml:space="preserve">Where possible field storage should be avoided but where no alternative to field storage is available, infected litter and manure should be stored in a densely packed heap with an "A” shaped profile. Avoid siting field heaps: </w:t>
          </w:r>
        </w:p>
        <w:p w14:paraId="35E1AF1E" w14:textId="50AA340C" w:rsidR="00DF0531" w:rsidRPr="00DF0531" w:rsidRDefault="007904CD" w:rsidP="00DF0531">
          <w:pPr>
            <w:numPr>
              <w:ilvl w:val="0"/>
              <w:numId w:val="25"/>
            </w:numPr>
            <w:spacing w:after="240"/>
            <w:rPr>
              <w:rFonts w:eastAsia="Times New Roman"/>
            </w:rPr>
          </w:pPr>
          <w:r>
            <w:lastRenderedPageBreak/>
            <w:t>O</w:t>
          </w:r>
          <w:r w:rsidR="00DF0531" w:rsidRPr="00DF0531">
            <w:t>ver field drains</w:t>
          </w:r>
          <w:r>
            <w:t>.</w:t>
          </w:r>
        </w:p>
        <w:p w14:paraId="2E07E8BE" w14:textId="614C8C2B" w:rsidR="00DF0531" w:rsidRPr="00DF0531" w:rsidRDefault="007904CD" w:rsidP="00DF0531">
          <w:pPr>
            <w:numPr>
              <w:ilvl w:val="0"/>
              <w:numId w:val="25"/>
            </w:numPr>
            <w:spacing w:after="240"/>
            <w:rPr>
              <w:rFonts w:eastAsia="Times New Roman"/>
            </w:rPr>
          </w:pPr>
          <w:r>
            <w:t>W</w:t>
          </w:r>
          <w:r w:rsidR="00DF0531" w:rsidRPr="00DF0531">
            <w:t>ithin 10m of a watercourse (or a greater distance if there is a risk of effluent run-off into a watercourse), within 50m of any identified swallow hole, or any spring, well or borehole that supplies water for human consumption, or is to be used on farm.</w:t>
          </w:r>
        </w:p>
        <w:p w14:paraId="00788882" w14:textId="4B2D0D87" w:rsidR="00DF0531" w:rsidRPr="00DF0531" w:rsidRDefault="007904CD" w:rsidP="00DF0531">
          <w:pPr>
            <w:numPr>
              <w:ilvl w:val="0"/>
              <w:numId w:val="25"/>
            </w:numPr>
            <w:spacing w:after="240"/>
            <w:rPr>
              <w:rFonts w:eastAsia="Times New Roman"/>
            </w:rPr>
          </w:pPr>
          <w:r>
            <w:t>W</w:t>
          </w:r>
          <w:r w:rsidR="00DF0531" w:rsidRPr="00DF0531">
            <w:t>ith best efforts, avoiding areas subject to surface water flooding or inundation because of groundwater flooding</w:t>
          </w:r>
          <w:r>
            <w:t>.</w:t>
          </w:r>
        </w:p>
        <w:p w14:paraId="2B19A1A5" w14:textId="1A6CDCB8" w:rsidR="00DF0531" w:rsidRPr="00DF0531" w:rsidRDefault="007904CD" w:rsidP="00DF0531">
          <w:pPr>
            <w:numPr>
              <w:ilvl w:val="0"/>
              <w:numId w:val="25"/>
            </w:numPr>
            <w:spacing w:after="240"/>
            <w:rPr>
              <w:rFonts w:eastAsia="Times New Roman"/>
            </w:rPr>
          </w:pPr>
          <w:r>
            <w:t>W</w:t>
          </w:r>
          <w:r w:rsidR="00DF0531" w:rsidRPr="00DF0531">
            <w:t>here they would cause odour problems for nearby residents</w:t>
          </w:r>
          <w:r>
            <w:t>.</w:t>
          </w:r>
        </w:p>
        <w:p w14:paraId="115AF62F" w14:textId="77777777" w:rsidR="00DF0531" w:rsidRPr="00DF0531" w:rsidRDefault="00DF0531" w:rsidP="00DF0531">
          <w:pPr>
            <w:spacing w:after="240"/>
            <w:rPr>
              <w:rFonts w:eastAsia="Times New Roman"/>
            </w:rPr>
          </w:pPr>
          <w:r w:rsidRPr="00DF0531">
            <w:t xml:space="preserve">With field sites, it may be necessary to provide temporary arrangements for collection of effluent by stacking onto suitable sheeting, sloped towards a temporary sump. </w:t>
          </w:r>
        </w:p>
        <w:p w14:paraId="69A333BD" w14:textId="0D3FA7D8" w:rsidR="00DF0531" w:rsidRPr="00DF0531" w:rsidRDefault="00DF0531" w:rsidP="00DF0531">
          <w:pPr>
            <w:keepNext/>
            <w:keepLines/>
            <w:spacing w:after="240" w:line="276" w:lineRule="auto"/>
            <w:outlineLvl w:val="3"/>
            <w:rPr>
              <w:rFonts w:ascii="Arial" w:eastAsia="Times New Roman" w:hAnsi="Arial" w:cstheme="majorBidi"/>
              <w:b/>
              <w:iCs/>
            </w:rPr>
          </w:pPr>
          <w:r w:rsidRPr="00DF0531">
            <w:rPr>
              <w:rFonts w:ascii="Arial" w:eastAsia="Times New Roman" w:hAnsi="Arial" w:cstheme="majorBidi"/>
              <w:b/>
              <w:iCs/>
            </w:rPr>
            <w:t xml:space="preserve">Use </w:t>
          </w:r>
          <w:r w:rsidR="001D1656">
            <w:rPr>
              <w:rFonts w:ascii="Arial" w:eastAsia="Times New Roman" w:hAnsi="Arial" w:cstheme="majorBidi"/>
              <w:b/>
              <w:iCs/>
            </w:rPr>
            <w:t>and d</w:t>
          </w:r>
          <w:r w:rsidRPr="00DF0531">
            <w:rPr>
              <w:rFonts w:ascii="Arial" w:eastAsia="Times New Roman" w:hAnsi="Arial" w:cstheme="majorBidi"/>
              <w:b/>
              <w:iCs/>
            </w:rPr>
            <w:t xml:space="preserve">isposal </w:t>
          </w:r>
        </w:p>
        <w:p w14:paraId="3504C6DE" w14:textId="77777777" w:rsidR="00DF0531" w:rsidRPr="00DF0531" w:rsidRDefault="00DF0531" w:rsidP="00DF0531">
          <w:pPr>
            <w:spacing w:after="240"/>
            <w:rPr>
              <w:rFonts w:eastAsia="Times New Roman"/>
            </w:rPr>
          </w:pPr>
          <w:r w:rsidRPr="00DF0531">
            <w:rPr>
              <w:rFonts w:eastAsia="Times New Roman"/>
            </w:rPr>
            <w:t>Once the APHA is satisfied that the material has been fully treated and is no longer infectious, it can be applied to land as normal in line with Water GBR 18, the PEPFAA code and legislation on Nitrate Vulnerable Zones.</w:t>
          </w:r>
        </w:p>
        <w:p w14:paraId="134E15B5" w14:textId="77777777" w:rsidR="00DF0531" w:rsidRPr="00DF0531" w:rsidRDefault="00DF0531" w:rsidP="00DF0531">
          <w:pPr>
            <w:keepNext/>
            <w:keepLines/>
            <w:spacing w:after="240" w:line="276" w:lineRule="auto"/>
            <w:outlineLvl w:val="2"/>
            <w:rPr>
              <w:rFonts w:ascii="Arial" w:eastAsia="Times New Roman" w:hAnsi="Arial" w:cstheme="majorBidi"/>
              <w:b/>
              <w:sz w:val="28"/>
            </w:rPr>
          </w:pPr>
          <w:bookmarkStart w:id="12" w:name="_Toc195618850"/>
          <w:r w:rsidRPr="00DF0531">
            <w:rPr>
              <w:rFonts w:ascii="Arial" w:eastAsia="Times New Roman" w:hAnsi="Arial" w:cstheme="majorBidi"/>
              <w:b/>
              <w:sz w:val="28"/>
            </w:rPr>
            <w:t>Other wastes e.g. eggs, packaging, milk</w:t>
          </w:r>
          <w:bookmarkEnd w:id="12"/>
          <w:r w:rsidRPr="00DF0531">
            <w:rPr>
              <w:rFonts w:ascii="Arial" w:eastAsia="Times New Roman" w:hAnsi="Arial" w:cstheme="majorBidi"/>
              <w:b/>
              <w:sz w:val="28"/>
            </w:rPr>
            <w:t xml:space="preserve"> </w:t>
          </w:r>
        </w:p>
        <w:p w14:paraId="35A3792D" w14:textId="77777777" w:rsidR="00DF0531" w:rsidRPr="00DF0531" w:rsidRDefault="00DF0531" w:rsidP="00DF0531">
          <w:pPr>
            <w:spacing w:after="240"/>
            <w:rPr>
              <w:rFonts w:eastAsia="Times New Roman"/>
            </w:rPr>
          </w:pPr>
          <w:r w:rsidRPr="00DF0531">
            <w:rPr>
              <w:rFonts w:eastAsia="Times New Roman"/>
            </w:rPr>
            <w:t xml:space="preserve">The APHA will direct whether any other materials on site are suitable for use or must be disposed of. Depending on the disease they may issue a licence to allow eggs to be sent for manufacture into egg products. </w:t>
          </w:r>
        </w:p>
        <w:p w14:paraId="5B6C8492" w14:textId="77777777" w:rsidR="00DF0531" w:rsidRPr="00DF0531" w:rsidRDefault="00DF0531" w:rsidP="00DF0531">
          <w:pPr>
            <w:spacing w:after="240"/>
            <w:rPr>
              <w:rFonts w:eastAsia="Times New Roman"/>
            </w:rPr>
          </w:pPr>
          <w:r w:rsidRPr="00DF0531">
            <w:rPr>
              <w:rFonts w:eastAsia="Times New Roman"/>
            </w:rPr>
            <w:t xml:space="preserve">Eggs may be suitable for composting and milk may be suitable for anaerobic digestion. </w:t>
          </w:r>
        </w:p>
        <w:p w14:paraId="6D26AAFB" w14:textId="77777777" w:rsidR="00DF0531" w:rsidRPr="00DF0531" w:rsidRDefault="00DF0531" w:rsidP="00DF0531">
          <w:pPr>
            <w:spacing w:after="240"/>
            <w:rPr>
              <w:rFonts w:eastAsia="Times New Roman"/>
            </w:rPr>
          </w:pPr>
          <w:r w:rsidRPr="00DF0531">
            <w:rPr>
              <w:rFonts w:eastAsia="Times New Roman"/>
            </w:rPr>
            <w:t xml:space="preserve">If milk is being stored in slurry tanks, care must be taken as this may give rise to potentially lethal levels of Hydrogen Sulphide. </w:t>
          </w:r>
        </w:p>
        <w:p w14:paraId="7F7A4622" w14:textId="77777777" w:rsidR="00DF0531" w:rsidRDefault="00DF0531" w:rsidP="00DF0531">
          <w:pPr>
            <w:spacing w:after="240"/>
            <w:rPr>
              <w:rFonts w:eastAsia="Times New Roman"/>
            </w:rPr>
          </w:pPr>
          <w:r w:rsidRPr="00DF0531">
            <w:rPr>
              <w:rFonts w:eastAsia="Times New Roman"/>
            </w:rPr>
            <w:t>Packaging may be suitable for recycling or energy recovery.</w:t>
          </w:r>
        </w:p>
        <w:p w14:paraId="110FD364" w14:textId="77777777" w:rsidR="00E5426F" w:rsidRPr="004C2196" w:rsidRDefault="00E5426F" w:rsidP="00E5426F">
          <w:pPr>
            <w:rPr>
              <w:rFonts w:ascii="Arial" w:eastAsia="Times New Roman" w:hAnsi="Arial" w:cs="Arial"/>
              <w:b/>
              <w:bCs/>
              <w:color w:val="016574" w:themeColor="accent6"/>
              <w:sz w:val="32"/>
              <w:szCs w:val="32"/>
            </w:rPr>
          </w:pPr>
          <w:r w:rsidRPr="004C2196">
            <w:rPr>
              <w:rFonts w:ascii="Arial" w:eastAsia="Times New Roman" w:hAnsi="Arial" w:cs="Arial"/>
              <w:b/>
              <w:bCs/>
              <w:color w:val="016574" w:themeColor="accent6"/>
              <w:sz w:val="32"/>
              <w:szCs w:val="32"/>
            </w:rPr>
            <w:t>Disclaimer </w:t>
          </w:r>
        </w:p>
        <w:p w14:paraId="665A0465" w14:textId="77777777" w:rsidR="00CC66CF" w:rsidRPr="00CC66CF" w:rsidRDefault="00CC66CF" w:rsidP="00CC66CF">
          <w:pPr>
            <w:spacing w:after="240"/>
            <w:rPr>
              <w:rFonts w:ascii="Arial" w:eastAsia="Times New Roman" w:hAnsi="Arial" w:cs="Arial"/>
            </w:rPr>
          </w:pPr>
          <w:r w:rsidRPr="00CC66CF">
            <w:rPr>
              <w:rFonts w:ascii="Arial" w:eastAsia="Times New Roman" w:hAnsi="Arial" w:cs="Arial"/>
            </w:rPr>
            <w:t xml:space="preserve">This guidance is based on the law as it stood when the guidance was published. </w:t>
          </w:r>
        </w:p>
        <w:p w14:paraId="266773D4" w14:textId="77777777" w:rsidR="00CC66CF" w:rsidRPr="00CC66CF" w:rsidRDefault="00CC66CF" w:rsidP="00CC66CF">
          <w:pPr>
            <w:spacing w:after="240"/>
            <w:rPr>
              <w:rFonts w:ascii="Arial" w:eastAsia="Times New Roman" w:hAnsi="Arial" w:cs="Arial"/>
            </w:rPr>
          </w:pPr>
          <w:r w:rsidRPr="00CC66CF">
            <w:rPr>
              <w:rFonts w:ascii="Arial" w:eastAsia="Times New Roman" w:hAnsi="Arial" w:cs="Arial"/>
            </w:rPr>
            <w:lastRenderedPageBreak/>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69D35D63" w14:textId="77777777" w:rsidR="00CC66CF" w:rsidRPr="00CC66CF" w:rsidRDefault="00CC66CF" w:rsidP="00CC66CF">
          <w:pPr>
            <w:numPr>
              <w:ilvl w:val="0"/>
              <w:numId w:val="27"/>
            </w:numPr>
            <w:spacing w:after="240"/>
            <w:rPr>
              <w:rFonts w:ascii="Arial" w:eastAsia="Times New Roman" w:hAnsi="Arial" w:cs="Arial"/>
            </w:rPr>
          </w:pPr>
          <w:r w:rsidRPr="00CC66CF">
            <w:rPr>
              <w:rFonts w:ascii="Arial" w:eastAsia="Times New Roman" w:hAnsi="Arial" w:cs="Arial"/>
            </w:rPr>
            <w:t>any direct, indirect and consequential losses</w:t>
          </w:r>
        </w:p>
        <w:p w14:paraId="6CB282D8" w14:textId="77777777" w:rsidR="00CC66CF" w:rsidRPr="00CC66CF" w:rsidRDefault="00CC66CF" w:rsidP="00CC66CF">
          <w:pPr>
            <w:numPr>
              <w:ilvl w:val="0"/>
              <w:numId w:val="27"/>
            </w:numPr>
            <w:spacing w:after="240"/>
            <w:rPr>
              <w:rFonts w:ascii="Arial" w:eastAsia="Times New Roman" w:hAnsi="Arial" w:cs="Arial"/>
            </w:rPr>
          </w:pPr>
          <w:r w:rsidRPr="00CC66CF">
            <w:rPr>
              <w:rFonts w:ascii="Arial" w:eastAsia="Times New Roman" w:hAnsi="Arial" w:cs="Arial"/>
            </w:rPr>
            <w:t>any loss or damage caused by civil wrongs, breach of contract or otherwise</w:t>
          </w:r>
        </w:p>
        <w:p w14:paraId="1752772E" w14:textId="77777777" w:rsidR="00CC66CF" w:rsidRPr="00CC66CF" w:rsidRDefault="00CC66CF" w:rsidP="00CC66CF">
          <w:pPr>
            <w:spacing w:after="240"/>
            <w:rPr>
              <w:rFonts w:ascii="Arial" w:eastAsia="Times New Roman" w:hAnsi="Arial" w:cs="Arial"/>
            </w:rPr>
          </w:pPr>
          <w:r w:rsidRPr="00CC66CF">
            <w:rPr>
              <w:rFonts w:ascii="Arial" w:eastAsia="Times New Roman" w:hAnsi="Arial" w:cs="Arial"/>
            </w:rPr>
            <w:t>SEPA reserves the right to depart from this guidance and take appropriate action as it considers necessary or appropriate.  Applicants and authorised persons are responsible for ensuring that they are compliant with the law. If necessary, independent legal / specialist advice should be sought.</w:t>
          </w:r>
        </w:p>
        <w:p w14:paraId="6C5BC6A0" w14:textId="77777777" w:rsidR="008E36DC" w:rsidRDefault="00CC66CF" w:rsidP="008E36DC">
          <w:pPr>
            <w:pStyle w:val="ListParagraph"/>
          </w:pPr>
        </w:p>
      </w:sdtContent>
    </w:sdt>
    <w:p w14:paraId="17A10001" w14:textId="3CB69105" w:rsidR="008407F7" w:rsidRDefault="008407F7">
      <w:pPr>
        <w:spacing w:line="240" w:lineRule="auto"/>
        <w:rPr>
          <w:rFonts w:ascii="Arial" w:hAnsi="Arial" w:cs="Arial"/>
        </w:rPr>
      </w:pPr>
      <w:r>
        <w:rPr>
          <w:rFonts w:ascii="Arial" w:hAnsi="Arial" w:cs="Arial"/>
        </w:rPr>
        <w:br w:type="page"/>
      </w:r>
    </w:p>
    <w:p w14:paraId="42E6363F" w14:textId="77777777" w:rsidR="008E36DC" w:rsidRPr="0024239C" w:rsidRDefault="008E36DC" w:rsidP="008E36DC">
      <w:pPr>
        <w:rPr>
          <w:rFonts w:ascii="Arial" w:hAnsi="Arial" w:cs="Arial"/>
        </w:rPr>
      </w:pPr>
    </w:p>
    <w:p w14:paraId="77BADFCB" w14:textId="0FCA4741" w:rsidR="00C27450" w:rsidRDefault="00C27450" w:rsidP="00C27450">
      <w:pPr>
        <w:pStyle w:val="Heading2"/>
      </w:pPr>
      <w:bookmarkStart w:id="13" w:name="_Toc195618851"/>
      <w:r w:rsidRPr="003808C2">
        <w:t xml:space="preserve">Appendix 1 - Cleansing and </w:t>
      </w:r>
      <w:r w:rsidR="001D1656">
        <w:t>d</w:t>
      </w:r>
      <w:r w:rsidRPr="003808C2">
        <w:t xml:space="preserve">isinfection </w:t>
      </w:r>
      <w:r w:rsidR="001D1656">
        <w:t>c</w:t>
      </w:r>
      <w:r w:rsidRPr="003808C2">
        <w:t xml:space="preserve">entres </w:t>
      </w:r>
      <w:r w:rsidR="001D1656">
        <w:t>f</w:t>
      </w:r>
      <w:r w:rsidRPr="003808C2">
        <w:t xml:space="preserve">ield </w:t>
      </w:r>
      <w:r w:rsidR="001D1656">
        <w:t>a</w:t>
      </w:r>
      <w:r w:rsidRPr="003808C2">
        <w:t xml:space="preserve">ssessment </w:t>
      </w:r>
      <w:r w:rsidR="001D1656">
        <w:t>c</w:t>
      </w:r>
      <w:r w:rsidRPr="003808C2">
        <w:t>hecklist</w:t>
      </w:r>
      <w:bookmarkEnd w:id="13"/>
    </w:p>
    <w:tbl>
      <w:tblPr>
        <w:tblW w:w="5005" w:type="pct"/>
        <w:tblInd w:w="-10" w:type="dxa"/>
        <w:tblLayout w:type="fixed"/>
        <w:tblCellMar>
          <w:left w:w="0" w:type="dxa"/>
          <w:right w:w="0" w:type="dxa"/>
        </w:tblCellMar>
        <w:tblLook w:val="04A0" w:firstRow="1" w:lastRow="0" w:firstColumn="1" w:lastColumn="0" w:noHBand="0" w:noVBand="1"/>
        <w:tblCaption w:val="Table x: xxxx"/>
        <w:tblDescription w:val="Add alt text"/>
      </w:tblPr>
      <w:tblGrid>
        <w:gridCol w:w="10"/>
        <w:gridCol w:w="9203"/>
        <w:gridCol w:w="999"/>
      </w:tblGrid>
      <w:tr w:rsidR="00C27450" w:rsidRPr="0096745E" w14:paraId="0F9FBBA2" w14:textId="77777777" w:rsidTr="004E76A9">
        <w:trPr>
          <w:gridBefore w:val="1"/>
          <w:wBefore w:w="5" w:type="pct"/>
          <w:trHeight w:val="610"/>
        </w:trPr>
        <w:tc>
          <w:tcPr>
            <w:tcW w:w="4506"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hideMark/>
          </w:tcPr>
          <w:p w14:paraId="42BCCE7A" w14:textId="14AA50DD" w:rsidR="00C27450" w:rsidRPr="0096745E" w:rsidRDefault="00C27450" w:rsidP="001D1656">
            <w:pPr>
              <w:spacing w:after="240"/>
              <w:rPr>
                <w:rFonts w:ascii="Arial" w:eastAsia="Times New Roman" w:hAnsi="Arial" w:cs="Arial"/>
                <w:b/>
                <w:bCs/>
                <w:color w:val="FFFFFF"/>
                <w:lang w:eastAsia="en-GB"/>
              </w:rPr>
            </w:pPr>
            <w:r>
              <w:rPr>
                <w:rFonts w:ascii="Arial" w:eastAsia="Times New Roman" w:hAnsi="Arial" w:cs="Arial"/>
                <w:b/>
                <w:bCs/>
                <w:color w:val="FFFFFF"/>
                <w:lang w:eastAsia="en-GB"/>
              </w:rPr>
              <w:t xml:space="preserve">Part 1 – Site Selection </w:t>
            </w:r>
            <w:r w:rsidR="003D29BF">
              <w:rPr>
                <w:rFonts w:ascii="Arial" w:eastAsia="Times New Roman" w:hAnsi="Arial" w:cs="Arial"/>
                <w:b/>
                <w:bCs/>
                <w:color w:val="FFFFFF"/>
                <w:lang w:eastAsia="en-GB"/>
              </w:rPr>
              <w:t>checklist</w:t>
            </w:r>
          </w:p>
        </w:tc>
        <w:tc>
          <w:tcPr>
            <w:tcW w:w="489" w:type="pct"/>
            <w:tcBorders>
              <w:top w:val="single" w:sz="8" w:space="0" w:color="auto"/>
              <w:left w:val="nil"/>
              <w:bottom w:val="single" w:sz="4" w:space="0" w:color="auto"/>
              <w:right w:val="single" w:sz="8" w:space="0" w:color="auto"/>
            </w:tcBorders>
            <w:shd w:val="clear" w:color="auto" w:fill="016574"/>
            <w:noWrap/>
            <w:tcMar>
              <w:top w:w="0" w:type="dxa"/>
              <w:left w:w="108" w:type="dxa"/>
              <w:bottom w:w="0" w:type="dxa"/>
              <w:right w:w="108" w:type="dxa"/>
            </w:tcMar>
            <w:vAlign w:val="center"/>
            <w:hideMark/>
          </w:tcPr>
          <w:p w14:paraId="6049F097" w14:textId="77777777" w:rsidR="00C27450" w:rsidRPr="0096745E" w:rsidRDefault="00C27450" w:rsidP="001D1656">
            <w:pPr>
              <w:spacing w:after="240"/>
              <w:jc w:val="center"/>
              <w:rPr>
                <w:rFonts w:ascii="Arial" w:eastAsia="Times New Roman" w:hAnsi="Arial" w:cs="Arial"/>
                <w:b/>
                <w:bCs/>
                <w:color w:val="FFFFFF"/>
                <w:lang w:eastAsia="en-GB"/>
              </w:rPr>
            </w:pPr>
            <w:r>
              <w:rPr>
                <w:rFonts w:ascii="Arial" w:eastAsia="Times New Roman" w:hAnsi="Arial" w:cs="Arial"/>
                <w:b/>
                <w:bCs/>
                <w:color w:val="FFFFFF"/>
                <w:lang w:eastAsia="en-GB"/>
              </w:rPr>
              <w:t>Y/N</w:t>
            </w:r>
          </w:p>
        </w:tc>
      </w:tr>
      <w:tr w:rsidR="00C27450" w:rsidRPr="0096745E" w14:paraId="25112E8B" w14:textId="77777777" w:rsidTr="004E76A9">
        <w:trPr>
          <w:gridBefore w:val="1"/>
          <w:wBefore w:w="5" w:type="pct"/>
          <w:trHeight w:val="315"/>
        </w:trPr>
        <w:tc>
          <w:tcPr>
            <w:tcW w:w="45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DEDE31B" w14:textId="77777777" w:rsidR="00C27450" w:rsidRPr="003808C2" w:rsidRDefault="00C27450" w:rsidP="001D1656">
            <w:pPr>
              <w:spacing w:after="240"/>
              <w:rPr>
                <w:rFonts w:ascii="Arial" w:eastAsia="Times New Roman" w:hAnsi="Arial" w:cs="Arial"/>
                <w:b/>
                <w:bCs/>
                <w:lang w:eastAsia="en-GB"/>
              </w:rPr>
            </w:pPr>
            <w:r w:rsidRPr="003808C2">
              <w:rPr>
                <w:rFonts w:ascii="Arial" w:eastAsia="Times New Roman" w:hAnsi="Arial" w:cs="Arial"/>
                <w:b/>
                <w:bCs/>
                <w:lang w:eastAsia="en-GB"/>
              </w:rPr>
              <w:t xml:space="preserve">Q1. Is the proposed C&amp;D centre, or any facilities associated with the centre, located within 10 metres of any surface water, or within 50 metres of any well or borehole? </w:t>
            </w:r>
          </w:p>
          <w:p w14:paraId="2A2E77EC" w14:textId="77777777" w:rsidR="00C27450" w:rsidRDefault="00C27450" w:rsidP="001D1656">
            <w:pPr>
              <w:spacing w:after="240"/>
              <w:rPr>
                <w:rFonts w:ascii="Arial" w:eastAsia="Times New Roman" w:hAnsi="Arial" w:cs="Arial"/>
                <w:lang w:eastAsia="en-GB"/>
              </w:rPr>
            </w:pPr>
            <w:r w:rsidRPr="003808C2">
              <w:rPr>
                <w:rFonts w:ascii="Arial" w:eastAsia="Times New Roman" w:hAnsi="Arial" w:cs="Arial"/>
                <w:lang w:eastAsia="en-GB"/>
              </w:rPr>
              <w:t xml:space="preserve">If yes, consider alternative location. </w:t>
            </w:r>
          </w:p>
          <w:p w14:paraId="53BB6EFA" w14:textId="77777777" w:rsidR="00C27450" w:rsidRPr="0096745E" w:rsidRDefault="00C27450" w:rsidP="001D1656">
            <w:pPr>
              <w:spacing w:after="240"/>
              <w:rPr>
                <w:rFonts w:ascii="Arial" w:eastAsia="Times New Roman" w:hAnsi="Arial" w:cs="Arial"/>
                <w:lang w:eastAsia="en-GB"/>
              </w:rPr>
            </w:pPr>
            <w:r w:rsidRPr="003808C2">
              <w:rPr>
                <w:rFonts w:ascii="Arial" w:eastAsia="Times New Roman" w:hAnsi="Arial" w:cs="Arial"/>
                <w:lang w:eastAsia="en-GB"/>
              </w:rPr>
              <w:t>Advice: consult SEPA if in doubt about status or otherwise of surface water. Also see above descriptions what is considered surface water.</w:t>
            </w:r>
          </w:p>
        </w:tc>
        <w:tc>
          <w:tcPr>
            <w:tcW w:w="4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9D4948" w14:textId="77777777" w:rsidR="00C27450" w:rsidRPr="0096745E" w:rsidRDefault="00C27450" w:rsidP="001D1656">
            <w:pPr>
              <w:spacing w:after="240"/>
              <w:jc w:val="center"/>
              <w:rPr>
                <w:rFonts w:ascii="Arial" w:eastAsia="Times New Roman" w:hAnsi="Arial" w:cs="Arial"/>
                <w:lang w:eastAsia="en-GB"/>
              </w:rPr>
            </w:pPr>
          </w:p>
        </w:tc>
      </w:tr>
      <w:tr w:rsidR="00C27450" w:rsidRPr="0096745E" w14:paraId="523B8428" w14:textId="77777777" w:rsidTr="004E76A9">
        <w:trPr>
          <w:gridBefore w:val="1"/>
          <w:wBefore w:w="5" w:type="pct"/>
          <w:trHeight w:val="315"/>
        </w:trPr>
        <w:tc>
          <w:tcPr>
            <w:tcW w:w="45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F3346BE" w14:textId="77777777" w:rsidR="00C27450" w:rsidRPr="003808C2" w:rsidRDefault="00C27450" w:rsidP="001D1656">
            <w:pPr>
              <w:spacing w:after="240"/>
              <w:rPr>
                <w:rFonts w:ascii="Arial" w:eastAsia="Times New Roman" w:hAnsi="Arial" w:cs="Arial"/>
                <w:b/>
                <w:bCs/>
                <w:lang w:eastAsia="en-GB"/>
              </w:rPr>
            </w:pPr>
            <w:r w:rsidRPr="003808C2">
              <w:rPr>
                <w:rFonts w:ascii="Arial" w:eastAsia="Times New Roman" w:hAnsi="Arial" w:cs="Arial"/>
                <w:b/>
                <w:bCs/>
                <w:lang w:eastAsia="en-GB"/>
              </w:rPr>
              <w:t xml:space="preserve">Q2. Are there any public or private water supplies downstream of the proposed C&amp;D centre? </w:t>
            </w:r>
          </w:p>
          <w:p w14:paraId="0D2D9C00" w14:textId="77777777" w:rsidR="00C27450" w:rsidRDefault="00C27450" w:rsidP="001D1656">
            <w:pPr>
              <w:spacing w:after="240"/>
              <w:rPr>
                <w:rFonts w:ascii="Arial" w:eastAsia="Times New Roman" w:hAnsi="Arial" w:cs="Arial"/>
                <w:lang w:eastAsia="en-GB"/>
              </w:rPr>
            </w:pPr>
            <w:r w:rsidRPr="003808C2">
              <w:rPr>
                <w:rFonts w:ascii="Arial" w:eastAsia="Times New Roman" w:hAnsi="Arial" w:cs="Arial"/>
                <w:lang w:eastAsia="en-GB"/>
              </w:rPr>
              <w:t xml:space="preserve">If yes, consider alternative location. </w:t>
            </w:r>
          </w:p>
          <w:p w14:paraId="29C66F96" w14:textId="77777777" w:rsidR="00C27450" w:rsidRDefault="00C27450" w:rsidP="001D1656">
            <w:pPr>
              <w:spacing w:after="240"/>
              <w:rPr>
                <w:rFonts w:ascii="Arial" w:eastAsia="Times New Roman" w:hAnsi="Arial" w:cs="Arial"/>
                <w:lang w:eastAsia="en-GB"/>
              </w:rPr>
            </w:pPr>
            <w:r w:rsidRPr="003808C2">
              <w:rPr>
                <w:rFonts w:ascii="Arial" w:eastAsia="Times New Roman" w:hAnsi="Arial" w:cs="Arial"/>
                <w:lang w:eastAsia="en-GB"/>
              </w:rPr>
              <w:t>Advice: Scottish Water have an inventory of public water supplies Local Authority Services have a register of private water supplies.</w:t>
            </w:r>
          </w:p>
        </w:tc>
        <w:tc>
          <w:tcPr>
            <w:tcW w:w="4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CB3A130" w14:textId="77777777" w:rsidR="00C27450" w:rsidRDefault="00C27450" w:rsidP="001D1656">
            <w:pPr>
              <w:spacing w:after="240"/>
              <w:jc w:val="center"/>
              <w:rPr>
                <w:rFonts w:ascii="Arial" w:eastAsia="Times New Roman" w:hAnsi="Arial" w:cs="Arial"/>
                <w:lang w:eastAsia="en-GB"/>
              </w:rPr>
            </w:pPr>
          </w:p>
        </w:tc>
      </w:tr>
      <w:tr w:rsidR="00C27450" w:rsidRPr="0096745E" w14:paraId="4FD6E2E1" w14:textId="77777777" w:rsidTr="004E76A9">
        <w:trPr>
          <w:gridBefore w:val="1"/>
          <w:wBefore w:w="5" w:type="pct"/>
          <w:trHeight w:val="315"/>
        </w:trPr>
        <w:tc>
          <w:tcPr>
            <w:tcW w:w="45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049C494" w14:textId="77777777" w:rsidR="00C27450" w:rsidRPr="003808C2" w:rsidRDefault="00C27450" w:rsidP="001D1656">
            <w:pPr>
              <w:spacing w:after="240"/>
              <w:rPr>
                <w:rFonts w:ascii="Arial" w:eastAsia="Times New Roman" w:hAnsi="Arial" w:cs="Arial"/>
                <w:b/>
                <w:bCs/>
                <w:lang w:eastAsia="en-GB"/>
              </w:rPr>
            </w:pPr>
            <w:r w:rsidRPr="003808C2">
              <w:rPr>
                <w:rFonts w:ascii="Arial" w:eastAsia="Times New Roman" w:hAnsi="Arial" w:cs="Arial"/>
                <w:b/>
                <w:bCs/>
                <w:lang w:eastAsia="en-GB"/>
              </w:rPr>
              <w:t xml:space="preserve">Q3. Are there any conservation interests downstream of the proposed C&amp;D centre? </w:t>
            </w:r>
          </w:p>
          <w:p w14:paraId="390737A2" w14:textId="77777777" w:rsidR="00C27450" w:rsidRDefault="00C27450" w:rsidP="001D1656">
            <w:pPr>
              <w:spacing w:after="240"/>
              <w:rPr>
                <w:rFonts w:ascii="Arial" w:eastAsia="Times New Roman" w:hAnsi="Arial" w:cs="Arial"/>
                <w:lang w:eastAsia="en-GB"/>
              </w:rPr>
            </w:pPr>
            <w:r w:rsidRPr="003808C2">
              <w:rPr>
                <w:rFonts w:ascii="Arial" w:eastAsia="Times New Roman" w:hAnsi="Arial" w:cs="Arial"/>
                <w:lang w:eastAsia="en-GB"/>
              </w:rPr>
              <w:t xml:space="preserve">If yes, consider alternative location. </w:t>
            </w:r>
          </w:p>
          <w:p w14:paraId="64EE21D5" w14:textId="77777777" w:rsidR="00C27450" w:rsidRDefault="00C27450" w:rsidP="001D1656">
            <w:pPr>
              <w:spacing w:after="240"/>
              <w:rPr>
                <w:rFonts w:ascii="Arial" w:eastAsia="Times New Roman" w:hAnsi="Arial" w:cs="Arial"/>
                <w:lang w:eastAsia="en-GB"/>
              </w:rPr>
            </w:pPr>
            <w:r w:rsidRPr="003808C2">
              <w:rPr>
                <w:rFonts w:ascii="Arial" w:eastAsia="Times New Roman" w:hAnsi="Arial" w:cs="Arial"/>
                <w:lang w:eastAsia="en-GB"/>
              </w:rPr>
              <w:t>Advice: NatureScot will be able to offer site-specific advice.</w:t>
            </w:r>
          </w:p>
        </w:tc>
        <w:tc>
          <w:tcPr>
            <w:tcW w:w="4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E94DC5F" w14:textId="77777777" w:rsidR="00C27450" w:rsidRDefault="00C27450" w:rsidP="001D1656">
            <w:pPr>
              <w:spacing w:after="240"/>
              <w:jc w:val="center"/>
              <w:rPr>
                <w:rFonts w:ascii="Arial" w:eastAsia="Times New Roman" w:hAnsi="Arial" w:cs="Arial"/>
                <w:lang w:eastAsia="en-GB"/>
              </w:rPr>
            </w:pPr>
          </w:p>
        </w:tc>
      </w:tr>
      <w:tr w:rsidR="00C27450" w:rsidRPr="0096745E" w14:paraId="592E3033" w14:textId="77777777" w:rsidTr="004E76A9">
        <w:trPr>
          <w:gridBefore w:val="1"/>
          <w:wBefore w:w="5" w:type="pct"/>
          <w:trHeight w:val="300"/>
        </w:trPr>
        <w:tc>
          <w:tcPr>
            <w:tcW w:w="45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1CABEB0" w14:textId="77777777" w:rsidR="00C27450" w:rsidRPr="003808C2" w:rsidRDefault="00C27450" w:rsidP="001D1656">
            <w:pPr>
              <w:spacing w:after="240"/>
              <w:rPr>
                <w:rFonts w:ascii="Arial" w:eastAsia="Times New Roman" w:hAnsi="Arial" w:cs="Arial"/>
                <w:b/>
                <w:bCs/>
                <w:lang w:eastAsia="en-GB"/>
              </w:rPr>
            </w:pPr>
            <w:r w:rsidRPr="003808C2">
              <w:rPr>
                <w:rFonts w:ascii="Arial" w:eastAsia="Times New Roman" w:hAnsi="Arial" w:cs="Arial"/>
                <w:b/>
                <w:bCs/>
                <w:lang w:eastAsia="en-GB"/>
              </w:rPr>
              <w:t xml:space="preserve">Q4. Is disinfectant Defra approved? </w:t>
            </w:r>
          </w:p>
          <w:p w14:paraId="5A021D75" w14:textId="77777777" w:rsidR="00C27450" w:rsidRPr="0096745E" w:rsidRDefault="00C27450" w:rsidP="001D1656">
            <w:pPr>
              <w:spacing w:after="240"/>
              <w:rPr>
                <w:rFonts w:ascii="Arial" w:eastAsia="Times New Roman" w:hAnsi="Arial" w:cs="Arial"/>
                <w:lang w:eastAsia="en-GB"/>
              </w:rPr>
            </w:pPr>
            <w:r w:rsidRPr="003808C2">
              <w:rPr>
                <w:rFonts w:ascii="Arial" w:eastAsia="Times New Roman" w:hAnsi="Arial" w:cs="Arial"/>
                <w:lang w:eastAsia="en-GB"/>
              </w:rPr>
              <w:t>Advice: use only Defra approved disinfectant</w:t>
            </w:r>
          </w:p>
        </w:tc>
        <w:tc>
          <w:tcPr>
            <w:tcW w:w="4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E310233" w14:textId="77777777" w:rsidR="00C27450" w:rsidRPr="0096745E" w:rsidRDefault="00C27450" w:rsidP="001D1656">
            <w:pPr>
              <w:spacing w:after="240"/>
              <w:jc w:val="center"/>
              <w:rPr>
                <w:rFonts w:ascii="Arial" w:eastAsia="Times New Roman" w:hAnsi="Arial" w:cs="Arial"/>
                <w:lang w:eastAsia="en-GB"/>
              </w:rPr>
            </w:pPr>
          </w:p>
        </w:tc>
      </w:tr>
      <w:tr w:rsidR="00C27450" w:rsidRPr="0096745E" w14:paraId="26199F56" w14:textId="77777777" w:rsidTr="004E76A9">
        <w:trPr>
          <w:gridBefore w:val="1"/>
          <w:wBefore w:w="5" w:type="pct"/>
          <w:trHeight w:val="300"/>
        </w:trPr>
        <w:tc>
          <w:tcPr>
            <w:tcW w:w="45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BFBEDEA" w14:textId="77777777" w:rsidR="00C27450" w:rsidRPr="003808C2" w:rsidRDefault="00C27450" w:rsidP="001D1656">
            <w:pPr>
              <w:spacing w:after="240"/>
              <w:rPr>
                <w:rFonts w:ascii="Arial" w:eastAsia="Times New Roman" w:hAnsi="Arial" w:cs="Arial"/>
                <w:b/>
                <w:bCs/>
                <w:lang w:eastAsia="en-GB"/>
              </w:rPr>
            </w:pPr>
            <w:r w:rsidRPr="003808C2">
              <w:rPr>
                <w:rFonts w:ascii="Arial" w:eastAsia="Times New Roman" w:hAnsi="Arial" w:cs="Arial"/>
                <w:b/>
                <w:bCs/>
                <w:lang w:eastAsia="en-GB"/>
              </w:rPr>
              <w:t>Q5. Has the operator read and implemented the disinfectant label instructions?</w:t>
            </w:r>
          </w:p>
        </w:tc>
        <w:tc>
          <w:tcPr>
            <w:tcW w:w="4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AE31E98" w14:textId="77777777" w:rsidR="00C27450" w:rsidRPr="0096745E" w:rsidRDefault="00C27450" w:rsidP="001D1656">
            <w:pPr>
              <w:spacing w:after="240"/>
              <w:jc w:val="center"/>
              <w:rPr>
                <w:rFonts w:ascii="Arial" w:eastAsia="Times New Roman" w:hAnsi="Arial" w:cs="Arial"/>
                <w:lang w:eastAsia="en-GB"/>
              </w:rPr>
            </w:pPr>
          </w:p>
        </w:tc>
      </w:tr>
      <w:tr w:rsidR="00C27450" w:rsidRPr="0096745E" w14:paraId="256C86F3" w14:textId="77777777" w:rsidTr="004E76A9">
        <w:trPr>
          <w:gridBefore w:val="1"/>
          <w:wBefore w:w="5" w:type="pct"/>
          <w:trHeight w:val="300"/>
        </w:trPr>
        <w:tc>
          <w:tcPr>
            <w:tcW w:w="45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02724B" w14:textId="77777777" w:rsidR="00C27450" w:rsidRPr="003808C2" w:rsidRDefault="00C27450" w:rsidP="001D1656">
            <w:pPr>
              <w:spacing w:after="240"/>
              <w:rPr>
                <w:rFonts w:ascii="Arial" w:eastAsia="Times New Roman" w:hAnsi="Arial" w:cs="Arial"/>
                <w:b/>
                <w:bCs/>
                <w:lang w:eastAsia="en-GB"/>
              </w:rPr>
            </w:pPr>
            <w:r w:rsidRPr="003808C2">
              <w:rPr>
                <w:rFonts w:ascii="Arial" w:eastAsia="Times New Roman" w:hAnsi="Arial" w:cs="Arial"/>
                <w:b/>
                <w:bCs/>
                <w:lang w:eastAsia="en-GB"/>
              </w:rPr>
              <w:lastRenderedPageBreak/>
              <w:t>Q6. Can disinfectant be discharged to public sewerage system?</w:t>
            </w:r>
          </w:p>
          <w:p w14:paraId="38E78F19" w14:textId="77777777" w:rsidR="00C27450" w:rsidRDefault="00C27450" w:rsidP="001D1656">
            <w:pPr>
              <w:spacing w:after="240"/>
              <w:rPr>
                <w:rFonts w:ascii="Arial" w:eastAsia="Times New Roman" w:hAnsi="Arial" w:cs="Arial"/>
                <w:lang w:eastAsia="en-GB"/>
              </w:rPr>
            </w:pPr>
            <w:r w:rsidRPr="003808C2">
              <w:rPr>
                <w:rFonts w:ascii="Arial" w:eastAsia="Times New Roman" w:hAnsi="Arial" w:cs="Arial"/>
                <w:lang w:eastAsia="en-GB"/>
              </w:rPr>
              <w:t xml:space="preserve">If yes, then do so. </w:t>
            </w:r>
          </w:p>
          <w:p w14:paraId="2669827B" w14:textId="77777777" w:rsidR="00C27450" w:rsidRPr="003808C2" w:rsidRDefault="00C27450" w:rsidP="001D1656">
            <w:pPr>
              <w:spacing w:after="240"/>
              <w:rPr>
                <w:rFonts w:ascii="Arial" w:eastAsia="Times New Roman" w:hAnsi="Arial" w:cs="Arial"/>
                <w:lang w:eastAsia="en-GB"/>
              </w:rPr>
            </w:pPr>
            <w:r w:rsidRPr="003808C2">
              <w:rPr>
                <w:rFonts w:ascii="Arial" w:eastAsia="Times New Roman" w:hAnsi="Arial" w:cs="Arial"/>
                <w:lang w:eastAsia="en-GB"/>
              </w:rPr>
              <w:t>Advice: Any discharge to sewer would require the prior permission of Scottish Water.</w:t>
            </w:r>
          </w:p>
        </w:tc>
        <w:tc>
          <w:tcPr>
            <w:tcW w:w="4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8BF7EB4" w14:textId="77777777" w:rsidR="00C27450" w:rsidRPr="0096745E" w:rsidRDefault="00C27450" w:rsidP="001D1656">
            <w:pPr>
              <w:spacing w:after="240"/>
              <w:jc w:val="center"/>
              <w:rPr>
                <w:rFonts w:ascii="Arial" w:eastAsia="Times New Roman" w:hAnsi="Arial" w:cs="Arial"/>
                <w:lang w:eastAsia="en-GB"/>
              </w:rPr>
            </w:pPr>
          </w:p>
        </w:tc>
      </w:tr>
      <w:tr w:rsidR="00C27450" w:rsidRPr="0096745E" w14:paraId="53E6E047" w14:textId="77777777" w:rsidTr="004E76A9">
        <w:trPr>
          <w:trHeight w:val="610"/>
          <w:tblHeader/>
        </w:trPr>
        <w:tc>
          <w:tcPr>
            <w:tcW w:w="4511" w:type="pct"/>
            <w:gridSpan w:val="2"/>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hideMark/>
          </w:tcPr>
          <w:p w14:paraId="4F81DDA9" w14:textId="31821B3C" w:rsidR="00C27450" w:rsidRPr="0096745E" w:rsidRDefault="00C27450" w:rsidP="001D1656">
            <w:pPr>
              <w:spacing w:after="240"/>
              <w:rPr>
                <w:rFonts w:ascii="Arial" w:eastAsia="Times New Roman" w:hAnsi="Arial" w:cs="Arial"/>
                <w:b/>
                <w:bCs/>
                <w:color w:val="FFFFFF"/>
                <w:lang w:eastAsia="en-GB"/>
              </w:rPr>
            </w:pPr>
            <w:r>
              <w:rPr>
                <w:rFonts w:ascii="Arial" w:eastAsia="Times New Roman" w:hAnsi="Arial" w:cs="Arial"/>
                <w:b/>
                <w:bCs/>
                <w:color w:val="FFFFFF"/>
                <w:lang w:eastAsia="en-GB"/>
              </w:rPr>
              <w:t>Part 2 – Preventing disinfectant entering surface waters</w:t>
            </w:r>
            <w:r w:rsidR="003D29BF">
              <w:rPr>
                <w:rFonts w:ascii="Arial" w:eastAsia="Times New Roman" w:hAnsi="Arial" w:cs="Arial"/>
                <w:b/>
                <w:bCs/>
                <w:color w:val="FFFFFF"/>
                <w:lang w:eastAsia="en-GB"/>
              </w:rPr>
              <w:t xml:space="preserve"> checklist</w:t>
            </w:r>
          </w:p>
        </w:tc>
        <w:tc>
          <w:tcPr>
            <w:tcW w:w="489" w:type="pct"/>
            <w:tcBorders>
              <w:top w:val="single" w:sz="8" w:space="0" w:color="auto"/>
              <w:left w:val="nil"/>
              <w:bottom w:val="single" w:sz="4" w:space="0" w:color="auto"/>
              <w:right w:val="single" w:sz="8" w:space="0" w:color="auto"/>
            </w:tcBorders>
            <w:shd w:val="clear" w:color="auto" w:fill="016574"/>
            <w:noWrap/>
            <w:tcMar>
              <w:top w:w="0" w:type="dxa"/>
              <w:left w:w="108" w:type="dxa"/>
              <w:bottom w:w="0" w:type="dxa"/>
              <w:right w:w="108" w:type="dxa"/>
            </w:tcMar>
            <w:vAlign w:val="center"/>
            <w:hideMark/>
          </w:tcPr>
          <w:p w14:paraId="44217DE0" w14:textId="77777777" w:rsidR="00C27450" w:rsidRPr="0096745E" w:rsidRDefault="00C27450" w:rsidP="001D1656">
            <w:pPr>
              <w:spacing w:after="240"/>
              <w:jc w:val="center"/>
              <w:rPr>
                <w:rFonts w:ascii="Arial" w:eastAsia="Times New Roman" w:hAnsi="Arial" w:cs="Arial"/>
                <w:b/>
                <w:bCs/>
                <w:color w:val="FFFFFF"/>
                <w:lang w:eastAsia="en-GB"/>
              </w:rPr>
            </w:pPr>
            <w:r>
              <w:rPr>
                <w:rFonts w:ascii="Arial" w:eastAsia="Times New Roman" w:hAnsi="Arial" w:cs="Arial"/>
                <w:b/>
                <w:bCs/>
                <w:color w:val="FFFFFF"/>
                <w:lang w:eastAsia="en-GB"/>
              </w:rPr>
              <w:t>Y/N</w:t>
            </w:r>
          </w:p>
        </w:tc>
      </w:tr>
      <w:tr w:rsidR="00C27450" w:rsidRPr="0096745E" w14:paraId="4A98E3DC" w14:textId="77777777" w:rsidTr="004E76A9">
        <w:trPr>
          <w:gridBefore w:val="1"/>
          <w:wBefore w:w="5" w:type="pct"/>
          <w:trHeight w:val="300"/>
        </w:trPr>
        <w:tc>
          <w:tcPr>
            <w:tcW w:w="45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B36DED4" w14:textId="77777777" w:rsidR="00C27450" w:rsidRPr="003808C2" w:rsidRDefault="00C27450" w:rsidP="001D1656">
            <w:pPr>
              <w:spacing w:after="240"/>
              <w:rPr>
                <w:rFonts w:ascii="Arial" w:eastAsia="Times New Roman" w:hAnsi="Arial" w:cs="Arial"/>
                <w:b/>
                <w:bCs/>
                <w:lang w:eastAsia="en-GB"/>
              </w:rPr>
            </w:pPr>
            <w:r w:rsidRPr="003808C2">
              <w:rPr>
                <w:rFonts w:ascii="Arial" w:eastAsia="Times New Roman" w:hAnsi="Arial" w:cs="Arial"/>
                <w:b/>
                <w:bCs/>
                <w:lang w:eastAsia="en-GB"/>
              </w:rPr>
              <w:t xml:space="preserve">Q7. Have physical barriers (such as clay or </w:t>
            </w:r>
            <w:proofErr w:type="gramStart"/>
            <w:r w:rsidRPr="003808C2">
              <w:rPr>
                <w:rFonts w:ascii="Arial" w:eastAsia="Times New Roman" w:hAnsi="Arial" w:cs="Arial"/>
                <w:b/>
                <w:bCs/>
                <w:lang w:eastAsia="en-GB"/>
              </w:rPr>
              <w:t>sand bags</w:t>
            </w:r>
            <w:proofErr w:type="gramEnd"/>
            <w:r w:rsidRPr="003808C2">
              <w:rPr>
                <w:rFonts w:ascii="Arial" w:eastAsia="Times New Roman" w:hAnsi="Arial" w:cs="Arial"/>
                <w:b/>
                <w:bCs/>
                <w:lang w:eastAsia="en-GB"/>
              </w:rPr>
              <w:t xml:space="preserve">) been provided to prevent disinfectant entering surface waters? </w:t>
            </w:r>
          </w:p>
          <w:p w14:paraId="630F5F74" w14:textId="77777777" w:rsidR="00C27450" w:rsidRDefault="00C27450" w:rsidP="001D1656">
            <w:pPr>
              <w:spacing w:after="240"/>
              <w:rPr>
                <w:rFonts w:ascii="Arial" w:eastAsia="Times New Roman" w:hAnsi="Arial" w:cs="Arial"/>
                <w:lang w:eastAsia="en-GB"/>
              </w:rPr>
            </w:pPr>
            <w:r w:rsidRPr="003808C2">
              <w:rPr>
                <w:rFonts w:ascii="Arial" w:eastAsia="Times New Roman" w:hAnsi="Arial" w:cs="Arial"/>
                <w:lang w:eastAsia="en-GB"/>
              </w:rPr>
              <w:t xml:space="preserve">If no, then consider doing so. </w:t>
            </w:r>
          </w:p>
          <w:p w14:paraId="5FCDC951" w14:textId="77777777" w:rsidR="00C27450" w:rsidRPr="003808C2" w:rsidRDefault="00C27450" w:rsidP="001D1656">
            <w:pPr>
              <w:spacing w:after="240"/>
              <w:rPr>
                <w:rFonts w:ascii="Arial" w:eastAsia="Times New Roman" w:hAnsi="Arial" w:cs="Arial"/>
                <w:lang w:eastAsia="en-GB"/>
              </w:rPr>
            </w:pPr>
            <w:r w:rsidRPr="003808C2">
              <w:rPr>
                <w:rFonts w:ascii="Arial" w:eastAsia="Times New Roman" w:hAnsi="Arial" w:cs="Arial"/>
                <w:lang w:eastAsia="en-GB"/>
              </w:rPr>
              <w:t xml:space="preserve">Advice: It may be appropriate to direct any disinfectant run off to a storage area (use </w:t>
            </w:r>
            <w:proofErr w:type="gramStart"/>
            <w:r w:rsidRPr="003808C2">
              <w:rPr>
                <w:rFonts w:ascii="Arial" w:eastAsia="Times New Roman" w:hAnsi="Arial" w:cs="Arial"/>
                <w:lang w:eastAsia="en-GB"/>
              </w:rPr>
              <w:t>sand bags</w:t>
            </w:r>
            <w:proofErr w:type="gramEnd"/>
            <w:r w:rsidRPr="003808C2">
              <w:rPr>
                <w:rFonts w:ascii="Arial" w:eastAsia="Times New Roman" w:hAnsi="Arial" w:cs="Arial"/>
                <w:lang w:eastAsia="en-GB"/>
              </w:rPr>
              <w:t>?) on the road surface, for collection.</w:t>
            </w:r>
          </w:p>
        </w:tc>
        <w:tc>
          <w:tcPr>
            <w:tcW w:w="4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B12301" w14:textId="77777777" w:rsidR="00C27450" w:rsidRPr="0096745E" w:rsidRDefault="00C27450" w:rsidP="001D1656">
            <w:pPr>
              <w:spacing w:after="240"/>
              <w:jc w:val="center"/>
              <w:rPr>
                <w:rFonts w:ascii="Arial" w:eastAsia="Times New Roman" w:hAnsi="Arial" w:cs="Arial"/>
                <w:lang w:eastAsia="en-GB"/>
              </w:rPr>
            </w:pPr>
          </w:p>
        </w:tc>
      </w:tr>
      <w:tr w:rsidR="00C27450" w:rsidRPr="0096745E" w14:paraId="61545BC0" w14:textId="77777777" w:rsidTr="004E76A9">
        <w:trPr>
          <w:gridBefore w:val="1"/>
          <w:wBefore w:w="5" w:type="pct"/>
          <w:cantSplit/>
          <w:trHeight w:val="300"/>
        </w:trPr>
        <w:tc>
          <w:tcPr>
            <w:tcW w:w="45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6A4A8F" w14:textId="77777777" w:rsidR="00C27450" w:rsidRPr="003808C2" w:rsidRDefault="00C27450" w:rsidP="001D1656">
            <w:pPr>
              <w:spacing w:after="240"/>
              <w:rPr>
                <w:rFonts w:ascii="Arial" w:eastAsia="Times New Roman" w:hAnsi="Arial" w:cs="Arial"/>
                <w:b/>
                <w:bCs/>
                <w:lang w:eastAsia="en-GB"/>
              </w:rPr>
            </w:pPr>
            <w:r w:rsidRPr="003808C2">
              <w:rPr>
                <w:rFonts w:ascii="Arial" w:eastAsia="Times New Roman" w:hAnsi="Arial" w:cs="Arial"/>
                <w:b/>
                <w:bCs/>
                <w:lang w:eastAsia="en-GB"/>
              </w:rPr>
              <w:t xml:space="preserve">Q8. Have surface water drains on roads been bunded or blocked/capped off to prevent disinfectant entering surface waters? </w:t>
            </w:r>
          </w:p>
          <w:p w14:paraId="16BB2F69" w14:textId="77777777" w:rsidR="00C27450" w:rsidRDefault="00C27450" w:rsidP="001D1656">
            <w:pPr>
              <w:spacing w:after="240"/>
              <w:rPr>
                <w:rFonts w:ascii="Arial" w:eastAsia="Times New Roman" w:hAnsi="Arial" w:cs="Arial"/>
                <w:lang w:eastAsia="en-GB"/>
              </w:rPr>
            </w:pPr>
            <w:r w:rsidRPr="003808C2">
              <w:rPr>
                <w:rFonts w:ascii="Arial" w:eastAsia="Times New Roman" w:hAnsi="Arial" w:cs="Arial"/>
                <w:lang w:eastAsia="en-GB"/>
              </w:rPr>
              <w:t xml:space="preserve">If no, then consider doing so. </w:t>
            </w:r>
          </w:p>
          <w:p w14:paraId="2616925B" w14:textId="77777777" w:rsidR="00C27450" w:rsidRPr="003808C2" w:rsidRDefault="00C27450" w:rsidP="001D1656">
            <w:pPr>
              <w:spacing w:after="240"/>
              <w:rPr>
                <w:rFonts w:ascii="Arial" w:eastAsia="Times New Roman" w:hAnsi="Arial" w:cs="Arial"/>
                <w:lang w:eastAsia="en-GB"/>
              </w:rPr>
            </w:pPr>
            <w:r w:rsidRPr="003808C2">
              <w:rPr>
                <w:rFonts w:ascii="Arial" w:eastAsia="Times New Roman" w:hAnsi="Arial" w:cs="Arial"/>
                <w:lang w:eastAsia="en-GB"/>
              </w:rPr>
              <w:t>Advice: Where road drains cannot be blocked off at the roads surface, consider blocking off/capping any outlet pipes from road manholes/inspection chambers within the roads drainage system to allow collection of disinfectant away from the roads surface.</w:t>
            </w:r>
          </w:p>
        </w:tc>
        <w:tc>
          <w:tcPr>
            <w:tcW w:w="4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AF98446" w14:textId="77777777" w:rsidR="00C27450" w:rsidRPr="0096745E" w:rsidRDefault="00C27450" w:rsidP="001D1656">
            <w:pPr>
              <w:spacing w:after="240"/>
              <w:jc w:val="center"/>
              <w:rPr>
                <w:rFonts w:ascii="Arial" w:eastAsia="Times New Roman" w:hAnsi="Arial" w:cs="Arial"/>
                <w:lang w:eastAsia="en-GB"/>
              </w:rPr>
            </w:pPr>
          </w:p>
        </w:tc>
      </w:tr>
      <w:tr w:rsidR="00C27450" w:rsidRPr="0096745E" w14:paraId="35CA7A15" w14:textId="77777777" w:rsidTr="004E76A9">
        <w:trPr>
          <w:gridBefore w:val="1"/>
          <w:wBefore w:w="5" w:type="pct"/>
          <w:cantSplit/>
          <w:trHeight w:val="300"/>
        </w:trPr>
        <w:tc>
          <w:tcPr>
            <w:tcW w:w="45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C50CB48" w14:textId="77777777" w:rsidR="00C27450" w:rsidRPr="003808C2" w:rsidRDefault="00C27450" w:rsidP="001D1656">
            <w:pPr>
              <w:spacing w:after="240"/>
              <w:rPr>
                <w:rFonts w:ascii="Arial" w:eastAsia="Times New Roman" w:hAnsi="Arial" w:cs="Arial"/>
                <w:b/>
                <w:bCs/>
                <w:lang w:eastAsia="en-GB"/>
              </w:rPr>
            </w:pPr>
            <w:r w:rsidRPr="003808C2">
              <w:rPr>
                <w:rFonts w:ascii="Arial" w:eastAsia="Times New Roman" w:hAnsi="Arial" w:cs="Arial"/>
                <w:b/>
                <w:bCs/>
                <w:lang w:eastAsia="en-GB"/>
              </w:rPr>
              <w:t xml:space="preserve">Q9. Has a channel been dug, or channel created (for instance by sandbagging) to direct disinfectant run off to a collection point? </w:t>
            </w:r>
          </w:p>
          <w:p w14:paraId="429396FF" w14:textId="77777777" w:rsidR="00C27450" w:rsidRPr="003808C2" w:rsidRDefault="00C27450" w:rsidP="001D1656">
            <w:pPr>
              <w:spacing w:after="240"/>
              <w:rPr>
                <w:rFonts w:ascii="Arial" w:eastAsia="Times New Roman" w:hAnsi="Arial" w:cs="Arial"/>
                <w:lang w:eastAsia="en-GB"/>
              </w:rPr>
            </w:pPr>
            <w:r w:rsidRPr="003808C2">
              <w:rPr>
                <w:rFonts w:ascii="Arial" w:eastAsia="Times New Roman" w:hAnsi="Arial" w:cs="Arial"/>
                <w:lang w:eastAsia="en-GB"/>
              </w:rPr>
              <w:t>If no, then consider doing so.</w:t>
            </w:r>
          </w:p>
        </w:tc>
        <w:tc>
          <w:tcPr>
            <w:tcW w:w="4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31488A2" w14:textId="77777777" w:rsidR="00C27450" w:rsidRPr="0096745E" w:rsidRDefault="00C27450" w:rsidP="001D1656">
            <w:pPr>
              <w:spacing w:after="240"/>
              <w:jc w:val="center"/>
              <w:rPr>
                <w:rFonts w:ascii="Arial" w:eastAsia="Times New Roman" w:hAnsi="Arial" w:cs="Arial"/>
                <w:lang w:eastAsia="en-GB"/>
              </w:rPr>
            </w:pPr>
          </w:p>
        </w:tc>
      </w:tr>
      <w:tr w:rsidR="00C27450" w:rsidRPr="0096745E" w14:paraId="19A7861D" w14:textId="77777777" w:rsidTr="004E76A9">
        <w:trPr>
          <w:gridBefore w:val="1"/>
          <w:wBefore w:w="5" w:type="pct"/>
          <w:cantSplit/>
          <w:trHeight w:val="300"/>
        </w:trPr>
        <w:tc>
          <w:tcPr>
            <w:tcW w:w="45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3BA3931" w14:textId="77777777" w:rsidR="00C27450" w:rsidRPr="003808C2" w:rsidRDefault="00C27450" w:rsidP="001D1656">
            <w:pPr>
              <w:spacing w:after="240"/>
              <w:rPr>
                <w:rFonts w:ascii="Arial" w:eastAsia="Times New Roman" w:hAnsi="Arial" w:cs="Arial"/>
                <w:b/>
                <w:bCs/>
                <w:lang w:eastAsia="en-GB"/>
              </w:rPr>
            </w:pPr>
            <w:r w:rsidRPr="003808C2">
              <w:rPr>
                <w:rFonts w:ascii="Arial" w:eastAsia="Times New Roman" w:hAnsi="Arial" w:cs="Arial"/>
                <w:b/>
                <w:bCs/>
                <w:lang w:eastAsia="en-GB"/>
              </w:rPr>
              <w:lastRenderedPageBreak/>
              <w:t xml:space="preserve">Q10. Is a collection point or sump provided to collect disinfectant run off? </w:t>
            </w:r>
          </w:p>
          <w:p w14:paraId="0A30E42C" w14:textId="77777777" w:rsidR="00C27450" w:rsidRDefault="00C27450" w:rsidP="001D1656">
            <w:pPr>
              <w:spacing w:after="240"/>
              <w:rPr>
                <w:rFonts w:ascii="Arial" w:eastAsia="Times New Roman" w:hAnsi="Arial" w:cs="Arial"/>
                <w:lang w:eastAsia="en-GB"/>
              </w:rPr>
            </w:pPr>
            <w:r w:rsidRPr="003808C2">
              <w:rPr>
                <w:rFonts w:ascii="Arial" w:eastAsia="Times New Roman" w:hAnsi="Arial" w:cs="Arial"/>
                <w:lang w:eastAsia="en-GB"/>
              </w:rPr>
              <w:t xml:space="preserve">If no, consider doing so. </w:t>
            </w:r>
          </w:p>
          <w:p w14:paraId="10AE1785" w14:textId="77777777" w:rsidR="00C27450" w:rsidRPr="003808C2" w:rsidRDefault="00C27450" w:rsidP="001D1656">
            <w:pPr>
              <w:spacing w:after="240"/>
              <w:rPr>
                <w:rFonts w:ascii="Arial" w:eastAsia="Times New Roman" w:hAnsi="Arial" w:cs="Arial"/>
                <w:lang w:eastAsia="en-GB"/>
              </w:rPr>
            </w:pPr>
            <w:r w:rsidRPr="003808C2">
              <w:rPr>
                <w:rFonts w:ascii="Arial" w:eastAsia="Times New Roman" w:hAnsi="Arial" w:cs="Arial"/>
                <w:lang w:eastAsia="en-GB"/>
              </w:rPr>
              <w:t>Advice: set aside an area where a collection sump can be hand or machine excavated. Any collection sump should preferably be lined with polythene, or other impermeable material (e.g. clay) and sited well away from surface waters and wells/boreholes. The sump is to allow the used disinfectant to be managed safely for disposal and not to allow it to soakaway.</w:t>
            </w:r>
          </w:p>
        </w:tc>
        <w:tc>
          <w:tcPr>
            <w:tcW w:w="4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1C91140" w14:textId="77777777" w:rsidR="00C27450" w:rsidRPr="0096745E" w:rsidRDefault="00C27450" w:rsidP="001D1656">
            <w:pPr>
              <w:spacing w:after="240"/>
              <w:jc w:val="center"/>
              <w:rPr>
                <w:rFonts w:ascii="Arial" w:eastAsia="Times New Roman" w:hAnsi="Arial" w:cs="Arial"/>
                <w:lang w:eastAsia="en-GB"/>
              </w:rPr>
            </w:pPr>
          </w:p>
        </w:tc>
      </w:tr>
      <w:tr w:rsidR="00C27450" w:rsidRPr="0096745E" w14:paraId="6E8B66D4" w14:textId="77777777" w:rsidTr="004E76A9">
        <w:trPr>
          <w:gridBefore w:val="1"/>
          <w:wBefore w:w="5" w:type="pct"/>
          <w:cantSplit/>
          <w:trHeight w:val="300"/>
        </w:trPr>
        <w:tc>
          <w:tcPr>
            <w:tcW w:w="45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AD0D36A" w14:textId="77777777" w:rsidR="00C27450" w:rsidRPr="003808C2" w:rsidRDefault="00C27450" w:rsidP="001D1656">
            <w:pPr>
              <w:spacing w:after="240"/>
              <w:rPr>
                <w:rFonts w:ascii="Arial" w:eastAsia="Times New Roman" w:hAnsi="Arial" w:cs="Arial"/>
                <w:b/>
                <w:bCs/>
                <w:lang w:eastAsia="en-GB"/>
              </w:rPr>
            </w:pPr>
            <w:r w:rsidRPr="003808C2">
              <w:rPr>
                <w:rFonts w:ascii="Arial" w:eastAsia="Times New Roman" w:hAnsi="Arial" w:cs="Arial"/>
                <w:b/>
                <w:bCs/>
                <w:lang w:eastAsia="en-GB"/>
              </w:rPr>
              <w:t xml:space="preserve">Q11. Are there stockpiles absorbents at the site (such as sand, sawdust, or soil) to allow any spillages of disinfectant to be dealt with quickly? </w:t>
            </w:r>
          </w:p>
          <w:p w14:paraId="484B61EC" w14:textId="77777777" w:rsidR="00C27450" w:rsidRPr="003808C2" w:rsidRDefault="00C27450" w:rsidP="001D1656">
            <w:pPr>
              <w:spacing w:after="240"/>
              <w:rPr>
                <w:rFonts w:ascii="Arial" w:eastAsia="Times New Roman" w:hAnsi="Arial" w:cs="Arial"/>
                <w:lang w:eastAsia="en-GB"/>
              </w:rPr>
            </w:pPr>
            <w:r w:rsidRPr="003808C2">
              <w:rPr>
                <w:rFonts w:ascii="Arial" w:eastAsia="Times New Roman" w:hAnsi="Arial" w:cs="Arial"/>
                <w:lang w:eastAsia="en-GB"/>
              </w:rPr>
              <w:t>If no, ensure adequate provision made for the site.</w:t>
            </w:r>
          </w:p>
        </w:tc>
        <w:tc>
          <w:tcPr>
            <w:tcW w:w="4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F88177" w14:textId="77777777" w:rsidR="00C27450" w:rsidRPr="0096745E" w:rsidRDefault="00C27450" w:rsidP="001D1656">
            <w:pPr>
              <w:spacing w:after="240"/>
              <w:jc w:val="center"/>
              <w:rPr>
                <w:rFonts w:ascii="Arial" w:eastAsia="Times New Roman" w:hAnsi="Arial" w:cs="Arial"/>
                <w:lang w:eastAsia="en-GB"/>
              </w:rPr>
            </w:pPr>
          </w:p>
        </w:tc>
      </w:tr>
      <w:tr w:rsidR="00C27450" w:rsidRPr="0096745E" w14:paraId="50E412D6" w14:textId="77777777" w:rsidTr="004E76A9">
        <w:trPr>
          <w:gridBefore w:val="1"/>
          <w:wBefore w:w="5" w:type="pct"/>
          <w:cantSplit/>
          <w:trHeight w:val="300"/>
        </w:trPr>
        <w:tc>
          <w:tcPr>
            <w:tcW w:w="45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F4C07C" w14:textId="77777777" w:rsidR="00C27450" w:rsidRPr="003808C2" w:rsidRDefault="00C27450" w:rsidP="001D1656">
            <w:pPr>
              <w:spacing w:after="240"/>
              <w:rPr>
                <w:rFonts w:ascii="Arial" w:eastAsia="Times New Roman" w:hAnsi="Arial" w:cs="Arial"/>
                <w:b/>
                <w:bCs/>
                <w:lang w:eastAsia="en-GB"/>
              </w:rPr>
            </w:pPr>
            <w:r w:rsidRPr="003808C2">
              <w:rPr>
                <w:rFonts w:ascii="Arial" w:eastAsia="Times New Roman" w:hAnsi="Arial" w:cs="Arial"/>
                <w:b/>
                <w:bCs/>
                <w:lang w:eastAsia="en-GB"/>
              </w:rPr>
              <w:t xml:space="preserve">Q12. If there is no direct access to the public sewer at the site, is there provision to securely store waste disinfectant (e.g. in a lined sump) and arrangements in place to collect it for off-site disposal? </w:t>
            </w:r>
          </w:p>
          <w:p w14:paraId="6C893D6B" w14:textId="77777777" w:rsidR="00C27450" w:rsidRPr="003808C2" w:rsidRDefault="00C27450" w:rsidP="001D1656">
            <w:pPr>
              <w:spacing w:after="240"/>
              <w:rPr>
                <w:rFonts w:ascii="Arial" w:eastAsia="Times New Roman" w:hAnsi="Arial" w:cs="Arial"/>
                <w:lang w:eastAsia="en-GB"/>
              </w:rPr>
            </w:pPr>
            <w:r w:rsidRPr="003808C2">
              <w:rPr>
                <w:rFonts w:ascii="Arial" w:eastAsia="Times New Roman" w:hAnsi="Arial" w:cs="Arial"/>
                <w:lang w:eastAsia="en-GB"/>
              </w:rPr>
              <w:t xml:space="preserve">Advice: Where disinfectant cannot be discharged directly to sewer at the site, ensure there is a secure means of storing waste disinfectant such that the storage complies with the Duty of Care (i.e. prevents escape into the environment) and that arrangements are in place to collect the disinfectant for off-site disposal, e.g. by </w:t>
            </w:r>
            <w:proofErr w:type="spellStart"/>
            <w:r w:rsidRPr="003808C2">
              <w:rPr>
                <w:rFonts w:ascii="Arial" w:eastAsia="Times New Roman" w:hAnsi="Arial" w:cs="Arial"/>
                <w:lang w:eastAsia="en-GB"/>
              </w:rPr>
              <w:t>tankering</w:t>
            </w:r>
            <w:proofErr w:type="spellEnd"/>
            <w:r w:rsidRPr="003808C2">
              <w:rPr>
                <w:rFonts w:ascii="Arial" w:eastAsia="Times New Roman" w:hAnsi="Arial" w:cs="Arial"/>
                <w:lang w:eastAsia="en-GB"/>
              </w:rPr>
              <w:t xml:space="preserve"> in a leakproof vehicle to a disposal point on the public sewer (with Scottish Water’s express permission), or to a suitably authorised waste management facility.</w:t>
            </w:r>
          </w:p>
        </w:tc>
        <w:tc>
          <w:tcPr>
            <w:tcW w:w="4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806331F" w14:textId="77777777" w:rsidR="00C27450" w:rsidRPr="0096745E" w:rsidRDefault="00C27450" w:rsidP="001D1656">
            <w:pPr>
              <w:spacing w:after="240"/>
              <w:jc w:val="center"/>
              <w:rPr>
                <w:rFonts w:ascii="Arial" w:eastAsia="Times New Roman" w:hAnsi="Arial" w:cs="Arial"/>
                <w:lang w:eastAsia="en-GB"/>
              </w:rPr>
            </w:pPr>
          </w:p>
        </w:tc>
      </w:tr>
      <w:tr w:rsidR="00C27450" w:rsidRPr="0096745E" w14:paraId="7F80EC93" w14:textId="77777777" w:rsidTr="004E76A9">
        <w:trPr>
          <w:trHeight w:val="610"/>
          <w:tblHeader/>
        </w:trPr>
        <w:tc>
          <w:tcPr>
            <w:tcW w:w="4511" w:type="pct"/>
            <w:gridSpan w:val="2"/>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hideMark/>
          </w:tcPr>
          <w:p w14:paraId="58B38F21" w14:textId="4439E4F9" w:rsidR="00C27450" w:rsidRPr="0096745E" w:rsidRDefault="00C27450" w:rsidP="001D1656">
            <w:pPr>
              <w:spacing w:after="240"/>
              <w:rPr>
                <w:rFonts w:ascii="Arial" w:eastAsia="Times New Roman" w:hAnsi="Arial" w:cs="Arial"/>
                <w:b/>
                <w:bCs/>
                <w:color w:val="FFFFFF"/>
                <w:lang w:eastAsia="en-GB"/>
              </w:rPr>
            </w:pPr>
            <w:r>
              <w:rPr>
                <w:rFonts w:ascii="Arial" w:eastAsia="Times New Roman" w:hAnsi="Arial" w:cs="Arial"/>
                <w:b/>
                <w:bCs/>
                <w:color w:val="FFFFFF"/>
                <w:lang w:eastAsia="en-GB"/>
              </w:rPr>
              <w:t>Part 3 – Other facilities associated with C&amp;D centres</w:t>
            </w:r>
            <w:r w:rsidR="003D29BF">
              <w:rPr>
                <w:rFonts w:ascii="Arial" w:eastAsia="Times New Roman" w:hAnsi="Arial" w:cs="Arial"/>
                <w:b/>
                <w:bCs/>
                <w:color w:val="FFFFFF"/>
                <w:lang w:eastAsia="en-GB"/>
              </w:rPr>
              <w:t xml:space="preserve"> checklist</w:t>
            </w:r>
          </w:p>
        </w:tc>
        <w:tc>
          <w:tcPr>
            <w:tcW w:w="489" w:type="pct"/>
            <w:tcBorders>
              <w:top w:val="single" w:sz="8" w:space="0" w:color="auto"/>
              <w:left w:val="nil"/>
              <w:bottom w:val="single" w:sz="4" w:space="0" w:color="auto"/>
              <w:right w:val="single" w:sz="8" w:space="0" w:color="auto"/>
            </w:tcBorders>
            <w:shd w:val="clear" w:color="auto" w:fill="016574"/>
            <w:noWrap/>
            <w:tcMar>
              <w:top w:w="0" w:type="dxa"/>
              <w:left w:w="108" w:type="dxa"/>
              <w:bottom w:w="0" w:type="dxa"/>
              <w:right w:w="108" w:type="dxa"/>
            </w:tcMar>
            <w:vAlign w:val="center"/>
            <w:hideMark/>
          </w:tcPr>
          <w:p w14:paraId="7B86DAB3" w14:textId="77777777" w:rsidR="00C27450" w:rsidRPr="0096745E" w:rsidRDefault="00C27450" w:rsidP="001D1656">
            <w:pPr>
              <w:spacing w:after="240"/>
              <w:jc w:val="center"/>
              <w:rPr>
                <w:rFonts w:ascii="Arial" w:eastAsia="Times New Roman" w:hAnsi="Arial" w:cs="Arial"/>
                <w:b/>
                <w:bCs/>
                <w:color w:val="FFFFFF"/>
                <w:lang w:eastAsia="en-GB"/>
              </w:rPr>
            </w:pPr>
            <w:r>
              <w:rPr>
                <w:rFonts w:ascii="Arial" w:eastAsia="Times New Roman" w:hAnsi="Arial" w:cs="Arial"/>
                <w:b/>
                <w:bCs/>
                <w:color w:val="FFFFFF"/>
                <w:lang w:eastAsia="en-GB"/>
              </w:rPr>
              <w:t>Y/N</w:t>
            </w:r>
          </w:p>
        </w:tc>
      </w:tr>
      <w:tr w:rsidR="00C27450" w:rsidRPr="0096745E" w14:paraId="5ECE92C3" w14:textId="77777777" w:rsidTr="004E76A9">
        <w:trPr>
          <w:gridBefore w:val="1"/>
          <w:wBefore w:w="5" w:type="pct"/>
          <w:cantSplit/>
          <w:trHeight w:val="300"/>
        </w:trPr>
        <w:tc>
          <w:tcPr>
            <w:tcW w:w="45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000C4CF" w14:textId="77777777" w:rsidR="00C27450" w:rsidRPr="003808C2" w:rsidRDefault="00C27450" w:rsidP="001D1656">
            <w:pPr>
              <w:spacing w:after="240"/>
              <w:rPr>
                <w:rFonts w:ascii="Arial" w:eastAsia="Times New Roman" w:hAnsi="Arial" w:cs="Arial"/>
                <w:b/>
                <w:bCs/>
                <w:lang w:eastAsia="en-GB"/>
              </w:rPr>
            </w:pPr>
            <w:r w:rsidRPr="003808C2">
              <w:rPr>
                <w:rFonts w:ascii="Arial" w:eastAsia="Times New Roman" w:hAnsi="Arial" w:cs="Arial"/>
                <w:b/>
                <w:bCs/>
                <w:lang w:eastAsia="en-GB"/>
              </w:rPr>
              <w:t xml:space="preserve">Q13. Are areas designated for storage of full disinfectant drums/bottles/containers/bags, and any areas used for the preparation of disinfectants are sited well away from surface waters (&gt;10 metres), wells and boreholes (&gt;50 metres)? </w:t>
            </w:r>
          </w:p>
          <w:p w14:paraId="088AE0FD" w14:textId="77777777" w:rsidR="00C27450" w:rsidRPr="003808C2" w:rsidRDefault="00C27450" w:rsidP="001D1656">
            <w:pPr>
              <w:spacing w:after="240"/>
              <w:rPr>
                <w:rFonts w:ascii="Arial" w:eastAsia="Times New Roman" w:hAnsi="Arial" w:cs="Arial"/>
                <w:lang w:eastAsia="en-GB"/>
              </w:rPr>
            </w:pPr>
            <w:r w:rsidRPr="003808C2">
              <w:rPr>
                <w:rFonts w:ascii="Arial" w:eastAsia="Times New Roman" w:hAnsi="Arial" w:cs="Arial"/>
                <w:lang w:eastAsia="en-GB"/>
              </w:rPr>
              <w:t>If no, consider alternative location</w:t>
            </w:r>
          </w:p>
        </w:tc>
        <w:tc>
          <w:tcPr>
            <w:tcW w:w="4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2E60EB2" w14:textId="77777777" w:rsidR="00C27450" w:rsidRPr="0096745E" w:rsidRDefault="00C27450" w:rsidP="001D1656">
            <w:pPr>
              <w:spacing w:after="240"/>
              <w:jc w:val="center"/>
              <w:rPr>
                <w:rFonts w:ascii="Arial" w:eastAsia="Times New Roman" w:hAnsi="Arial" w:cs="Arial"/>
                <w:lang w:eastAsia="en-GB"/>
              </w:rPr>
            </w:pPr>
          </w:p>
        </w:tc>
      </w:tr>
      <w:tr w:rsidR="00C27450" w:rsidRPr="0096745E" w14:paraId="3A519AAB" w14:textId="77777777" w:rsidTr="004E76A9">
        <w:trPr>
          <w:gridBefore w:val="1"/>
          <w:wBefore w:w="5" w:type="pct"/>
          <w:cantSplit/>
          <w:trHeight w:val="300"/>
        </w:trPr>
        <w:tc>
          <w:tcPr>
            <w:tcW w:w="45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E12359" w14:textId="77777777" w:rsidR="00C27450" w:rsidRPr="003808C2" w:rsidRDefault="00C27450" w:rsidP="001D1656">
            <w:pPr>
              <w:spacing w:after="240"/>
              <w:rPr>
                <w:rFonts w:ascii="Arial" w:eastAsia="Times New Roman" w:hAnsi="Arial" w:cs="Arial"/>
                <w:b/>
                <w:bCs/>
                <w:lang w:eastAsia="en-GB"/>
              </w:rPr>
            </w:pPr>
            <w:r w:rsidRPr="003808C2">
              <w:rPr>
                <w:rFonts w:ascii="Arial" w:eastAsia="Times New Roman" w:hAnsi="Arial" w:cs="Arial"/>
                <w:b/>
                <w:bCs/>
                <w:lang w:eastAsia="en-GB"/>
              </w:rPr>
              <w:lastRenderedPageBreak/>
              <w:t xml:space="preserve">Q14. Are there facilities provided at the site to securely store solid wastes arising from operations at the site and arrangements for collection and off-site disposal? </w:t>
            </w:r>
          </w:p>
          <w:p w14:paraId="1915E560" w14:textId="77777777" w:rsidR="00C27450" w:rsidRDefault="00C27450" w:rsidP="001D1656">
            <w:pPr>
              <w:spacing w:after="240"/>
              <w:rPr>
                <w:rFonts w:ascii="Arial" w:eastAsia="Times New Roman" w:hAnsi="Arial" w:cs="Arial"/>
                <w:lang w:eastAsia="en-GB"/>
              </w:rPr>
            </w:pPr>
            <w:r w:rsidRPr="003808C2">
              <w:rPr>
                <w:rFonts w:ascii="Arial" w:eastAsia="Times New Roman" w:hAnsi="Arial" w:cs="Arial"/>
                <w:lang w:eastAsia="en-GB"/>
              </w:rPr>
              <w:t xml:space="preserve">If no, then consider providing solid waste storage. </w:t>
            </w:r>
          </w:p>
          <w:p w14:paraId="780D57C2" w14:textId="77777777" w:rsidR="00C27450" w:rsidRPr="003808C2" w:rsidRDefault="00C27450" w:rsidP="001D1656">
            <w:pPr>
              <w:spacing w:after="240"/>
              <w:rPr>
                <w:rFonts w:ascii="Arial" w:eastAsia="Times New Roman" w:hAnsi="Arial" w:cs="Arial"/>
                <w:lang w:eastAsia="en-GB"/>
              </w:rPr>
            </w:pPr>
            <w:r w:rsidRPr="003808C2">
              <w:rPr>
                <w:rFonts w:ascii="Arial" w:eastAsia="Times New Roman" w:hAnsi="Arial" w:cs="Arial"/>
                <w:lang w:eastAsia="en-GB"/>
              </w:rPr>
              <w:t xml:space="preserve">Advice: All waste disinfectant drums/bottles/bags/PPE etc. should be securely stored to prevent escape into the environment and prevent possible harm to human/animal health. Depending on prevailing conditions (e.g. </w:t>
            </w:r>
            <w:proofErr w:type="spellStart"/>
            <w:r w:rsidRPr="003808C2">
              <w:rPr>
                <w:rFonts w:ascii="Arial" w:eastAsia="Times New Roman" w:hAnsi="Arial" w:cs="Arial"/>
                <w:lang w:eastAsia="en-GB"/>
              </w:rPr>
              <w:t>liklihood</w:t>
            </w:r>
            <w:proofErr w:type="spellEnd"/>
            <w:r w:rsidRPr="003808C2">
              <w:rPr>
                <w:rFonts w:ascii="Arial" w:eastAsia="Times New Roman" w:hAnsi="Arial" w:cs="Arial"/>
                <w:lang w:eastAsia="en-GB"/>
              </w:rPr>
              <w:t xml:space="preserve"> of windblow, access by vermin, etc.) and the nature of the waste (e.g. materials that are not intrinsically harmful to the environment human/animal health) leakproof skips may be sufficient. For materials that present more significant risks to environment and/or human/animal health, a fully enclosed or lockable skip may be more appropriate. Arrangements should be in place to ensure that the waste is collected and transported off-site to an authorised facility for disposal</w:t>
            </w:r>
          </w:p>
        </w:tc>
        <w:tc>
          <w:tcPr>
            <w:tcW w:w="4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2EC9D0C" w14:textId="77777777" w:rsidR="00C27450" w:rsidRPr="0096745E" w:rsidRDefault="00C27450" w:rsidP="001D1656">
            <w:pPr>
              <w:spacing w:after="240"/>
              <w:jc w:val="center"/>
              <w:rPr>
                <w:rFonts w:ascii="Arial" w:eastAsia="Times New Roman" w:hAnsi="Arial" w:cs="Arial"/>
                <w:lang w:eastAsia="en-GB"/>
              </w:rPr>
            </w:pPr>
          </w:p>
        </w:tc>
      </w:tr>
      <w:tr w:rsidR="00C27450" w:rsidRPr="0096745E" w14:paraId="4A3B593B" w14:textId="77777777" w:rsidTr="004E76A9">
        <w:trPr>
          <w:gridBefore w:val="1"/>
          <w:wBefore w:w="5" w:type="pct"/>
          <w:cantSplit/>
          <w:trHeight w:val="300"/>
        </w:trPr>
        <w:tc>
          <w:tcPr>
            <w:tcW w:w="45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A76CA2" w14:textId="77777777" w:rsidR="00C27450" w:rsidRPr="003808C2" w:rsidRDefault="00C27450" w:rsidP="001D1656">
            <w:pPr>
              <w:spacing w:after="240"/>
              <w:rPr>
                <w:rFonts w:ascii="Arial" w:eastAsia="Times New Roman" w:hAnsi="Arial" w:cs="Arial"/>
                <w:b/>
                <w:bCs/>
                <w:lang w:eastAsia="en-GB"/>
              </w:rPr>
            </w:pPr>
            <w:r w:rsidRPr="003808C2">
              <w:rPr>
                <w:rFonts w:ascii="Arial" w:eastAsia="Times New Roman" w:hAnsi="Arial" w:cs="Arial"/>
                <w:b/>
                <w:bCs/>
                <w:lang w:eastAsia="en-GB"/>
              </w:rPr>
              <w:t xml:space="preserve">Q15. Are generator(s) provided at the site (for example for floodlighting / heating / other power for compressors etc)? </w:t>
            </w:r>
          </w:p>
          <w:p w14:paraId="1CFF6CE1" w14:textId="77777777" w:rsidR="00C27450" w:rsidRPr="003808C2" w:rsidRDefault="00C27450" w:rsidP="001D1656">
            <w:pPr>
              <w:spacing w:after="240"/>
              <w:rPr>
                <w:rFonts w:ascii="Arial" w:eastAsia="Times New Roman" w:hAnsi="Arial" w:cs="Arial"/>
                <w:lang w:eastAsia="en-GB"/>
              </w:rPr>
            </w:pPr>
            <w:r w:rsidRPr="003808C2">
              <w:rPr>
                <w:rFonts w:ascii="Arial" w:eastAsia="Times New Roman" w:hAnsi="Arial" w:cs="Arial"/>
                <w:lang w:eastAsia="en-GB"/>
              </w:rPr>
              <w:t>Advice: Ensure generator is sited well away from surface waters, and place in bunded area (example: earth bund, lined with impermeable polythene liner).</w:t>
            </w:r>
          </w:p>
        </w:tc>
        <w:tc>
          <w:tcPr>
            <w:tcW w:w="4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00A80B" w14:textId="77777777" w:rsidR="00C27450" w:rsidRPr="0096745E" w:rsidRDefault="00C27450" w:rsidP="001D1656">
            <w:pPr>
              <w:spacing w:after="240"/>
              <w:jc w:val="center"/>
              <w:rPr>
                <w:rFonts w:ascii="Arial" w:eastAsia="Times New Roman" w:hAnsi="Arial" w:cs="Arial"/>
                <w:lang w:eastAsia="en-GB"/>
              </w:rPr>
            </w:pPr>
          </w:p>
        </w:tc>
      </w:tr>
      <w:tr w:rsidR="00C27450" w:rsidRPr="0096745E" w14:paraId="0F374E52" w14:textId="77777777" w:rsidTr="004E76A9">
        <w:trPr>
          <w:gridBefore w:val="1"/>
          <w:wBefore w:w="5" w:type="pct"/>
          <w:cantSplit/>
          <w:trHeight w:val="300"/>
        </w:trPr>
        <w:tc>
          <w:tcPr>
            <w:tcW w:w="45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DAFEDA" w14:textId="77777777" w:rsidR="00C27450" w:rsidRPr="003808C2" w:rsidRDefault="00C27450" w:rsidP="001D1656">
            <w:pPr>
              <w:spacing w:after="240"/>
              <w:rPr>
                <w:rFonts w:ascii="Arial" w:eastAsia="Times New Roman" w:hAnsi="Arial" w:cs="Arial"/>
                <w:b/>
                <w:bCs/>
                <w:lang w:eastAsia="en-GB"/>
              </w:rPr>
            </w:pPr>
            <w:r w:rsidRPr="003808C2">
              <w:rPr>
                <w:rFonts w:ascii="Arial" w:eastAsia="Times New Roman" w:hAnsi="Arial" w:cs="Arial"/>
                <w:b/>
                <w:bCs/>
                <w:lang w:eastAsia="en-GB"/>
              </w:rPr>
              <w:t xml:space="preserve">Q16. Will fuel oil, or other oils, stored on site (including drums, jerry cans etc.)? </w:t>
            </w:r>
          </w:p>
          <w:p w14:paraId="296FE9E8" w14:textId="77777777" w:rsidR="00C27450" w:rsidRDefault="00C27450" w:rsidP="001D1656">
            <w:pPr>
              <w:spacing w:after="240"/>
              <w:rPr>
                <w:rFonts w:ascii="Arial" w:eastAsia="Times New Roman" w:hAnsi="Arial" w:cs="Arial"/>
                <w:lang w:eastAsia="en-GB"/>
              </w:rPr>
            </w:pPr>
            <w:r w:rsidRPr="003808C2">
              <w:rPr>
                <w:rFonts w:ascii="Arial" w:eastAsia="Times New Roman" w:hAnsi="Arial" w:cs="Arial"/>
                <w:lang w:eastAsia="en-GB"/>
              </w:rPr>
              <w:t xml:space="preserve">If yes, then provide dedicated bunded storage facility as specified in </w:t>
            </w:r>
            <w:r>
              <w:rPr>
                <w:rFonts w:ascii="Arial" w:eastAsia="Times New Roman" w:hAnsi="Arial" w:cs="Arial"/>
                <w:lang w:eastAsia="en-GB"/>
              </w:rPr>
              <w:t xml:space="preserve">Water </w:t>
            </w:r>
            <w:r w:rsidRPr="003808C2">
              <w:rPr>
                <w:rFonts w:ascii="Arial" w:eastAsia="Times New Roman" w:hAnsi="Arial" w:cs="Arial"/>
                <w:lang w:eastAsia="en-GB"/>
              </w:rPr>
              <w:t xml:space="preserve">GBR 28. </w:t>
            </w:r>
          </w:p>
          <w:p w14:paraId="456D34A9" w14:textId="77777777" w:rsidR="00C27450" w:rsidRPr="003808C2" w:rsidRDefault="00C27450" w:rsidP="001D1656">
            <w:pPr>
              <w:spacing w:after="240"/>
              <w:rPr>
                <w:rFonts w:ascii="Arial" w:eastAsia="Times New Roman" w:hAnsi="Arial" w:cs="Arial"/>
                <w:lang w:eastAsia="en-GB"/>
              </w:rPr>
            </w:pPr>
            <w:r w:rsidRPr="003808C2">
              <w:rPr>
                <w:rFonts w:ascii="Arial" w:eastAsia="Times New Roman" w:hAnsi="Arial" w:cs="Arial"/>
                <w:lang w:eastAsia="en-GB"/>
              </w:rPr>
              <w:t xml:space="preserve">Advice: All oils should be located only in impermeable bunded areas. Consider also how fuel will be transferred from any stored oil to generators etc. Also, fuel delivery can present </w:t>
            </w:r>
            <w:proofErr w:type="gramStart"/>
            <w:r w:rsidRPr="003808C2">
              <w:rPr>
                <w:rFonts w:ascii="Arial" w:eastAsia="Times New Roman" w:hAnsi="Arial" w:cs="Arial"/>
                <w:lang w:eastAsia="en-GB"/>
              </w:rPr>
              <w:t>particular risks</w:t>
            </w:r>
            <w:proofErr w:type="gramEnd"/>
            <w:r w:rsidRPr="003808C2">
              <w:rPr>
                <w:rFonts w:ascii="Arial" w:eastAsia="Times New Roman" w:hAnsi="Arial" w:cs="Arial"/>
                <w:lang w:eastAsia="en-GB"/>
              </w:rPr>
              <w:t xml:space="preserve"> ensuring that all spilled fuel is contained and cannot enter surface waters (i.e. blocking off/capping drains prior to any refuelling).</w:t>
            </w:r>
          </w:p>
        </w:tc>
        <w:tc>
          <w:tcPr>
            <w:tcW w:w="4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98A06E6" w14:textId="77777777" w:rsidR="00C27450" w:rsidRPr="0096745E" w:rsidRDefault="00C27450" w:rsidP="001D1656">
            <w:pPr>
              <w:spacing w:after="240"/>
              <w:jc w:val="center"/>
              <w:rPr>
                <w:rFonts w:ascii="Arial" w:eastAsia="Times New Roman" w:hAnsi="Arial" w:cs="Arial"/>
                <w:lang w:eastAsia="en-GB"/>
              </w:rPr>
            </w:pPr>
          </w:p>
        </w:tc>
      </w:tr>
      <w:tr w:rsidR="00C27450" w:rsidRPr="0096745E" w14:paraId="027DE877" w14:textId="77777777" w:rsidTr="004E76A9">
        <w:trPr>
          <w:gridBefore w:val="1"/>
          <w:wBefore w:w="5" w:type="pct"/>
          <w:cantSplit/>
          <w:trHeight w:val="300"/>
        </w:trPr>
        <w:tc>
          <w:tcPr>
            <w:tcW w:w="45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7C44C12" w14:textId="77777777" w:rsidR="00C27450" w:rsidRPr="003808C2" w:rsidRDefault="00C27450" w:rsidP="001D1656">
            <w:pPr>
              <w:spacing w:after="240"/>
              <w:rPr>
                <w:rFonts w:ascii="Arial" w:eastAsia="Times New Roman" w:hAnsi="Arial" w:cs="Arial"/>
                <w:b/>
                <w:bCs/>
                <w:lang w:eastAsia="en-GB"/>
              </w:rPr>
            </w:pPr>
            <w:r w:rsidRPr="003808C2">
              <w:rPr>
                <w:rFonts w:ascii="Arial" w:eastAsia="Times New Roman" w:hAnsi="Arial" w:cs="Arial"/>
                <w:b/>
                <w:bCs/>
                <w:lang w:eastAsia="en-GB"/>
              </w:rPr>
              <w:t xml:space="preserve">Q17. Are any oil clean up kit(s) provided at site? </w:t>
            </w:r>
          </w:p>
          <w:p w14:paraId="20A735CB" w14:textId="77777777" w:rsidR="00C27450" w:rsidRPr="003808C2" w:rsidRDefault="00C27450" w:rsidP="001D1656">
            <w:pPr>
              <w:spacing w:after="240"/>
              <w:rPr>
                <w:rFonts w:ascii="Arial" w:eastAsia="Times New Roman" w:hAnsi="Arial" w:cs="Arial"/>
                <w:lang w:eastAsia="en-GB"/>
              </w:rPr>
            </w:pPr>
            <w:r w:rsidRPr="003808C2">
              <w:rPr>
                <w:rFonts w:ascii="Arial" w:eastAsia="Times New Roman" w:hAnsi="Arial" w:cs="Arial"/>
                <w:lang w:eastAsia="en-GB"/>
              </w:rPr>
              <w:t>Advice: provide clean up kit to deal with minor spills.</w:t>
            </w:r>
          </w:p>
        </w:tc>
        <w:tc>
          <w:tcPr>
            <w:tcW w:w="4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9C76BC3" w14:textId="77777777" w:rsidR="00C27450" w:rsidRPr="0096745E" w:rsidRDefault="00C27450" w:rsidP="001D1656">
            <w:pPr>
              <w:spacing w:after="240"/>
              <w:jc w:val="center"/>
              <w:rPr>
                <w:rFonts w:ascii="Arial" w:eastAsia="Times New Roman" w:hAnsi="Arial" w:cs="Arial"/>
                <w:lang w:eastAsia="en-GB"/>
              </w:rPr>
            </w:pPr>
          </w:p>
        </w:tc>
      </w:tr>
      <w:tr w:rsidR="00C27450" w:rsidRPr="0096745E" w14:paraId="064E9DAB" w14:textId="77777777" w:rsidTr="004E76A9">
        <w:trPr>
          <w:gridBefore w:val="1"/>
          <w:wBefore w:w="5" w:type="pct"/>
          <w:cantSplit/>
          <w:trHeight w:val="300"/>
        </w:trPr>
        <w:tc>
          <w:tcPr>
            <w:tcW w:w="45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34BE1CA" w14:textId="77777777" w:rsidR="00C27450" w:rsidRPr="003808C2" w:rsidRDefault="00C27450" w:rsidP="001D1656">
            <w:pPr>
              <w:spacing w:after="240"/>
              <w:rPr>
                <w:rFonts w:ascii="Arial" w:eastAsia="Times New Roman" w:hAnsi="Arial" w:cs="Arial"/>
                <w:b/>
                <w:bCs/>
                <w:lang w:eastAsia="en-GB"/>
              </w:rPr>
            </w:pPr>
            <w:r w:rsidRPr="003808C2">
              <w:rPr>
                <w:rFonts w:ascii="Arial" w:eastAsia="Times New Roman" w:hAnsi="Arial" w:cs="Arial"/>
                <w:b/>
                <w:bCs/>
                <w:lang w:eastAsia="en-GB"/>
              </w:rPr>
              <w:lastRenderedPageBreak/>
              <w:t xml:space="preserve">Q18. Are site facilities going to be provided (toilets/showers/hand basins)? </w:t>
            </w:r>
          </w:p>
          <w:p w14:paraId="0121E3F2" w14:textId="77777777" w:rsidR="00C27450" w:rsidRPr="003808C2" w:rsidRDefault="00C27450" w:rsidP="001D1656">
            <w:pPr>
              <w:spacing w:after="240"/>
              <w:rPr>
                <w:rFonts w:ascii="Arial" w:eastAsia="Times New Roman" w:hAnsi="Arial" w:cs="Arial"/>
                <w:lang w:eastAsia="en-GB"/>
              </w:rPr>
            </w:pPr>
            <w:r w:rsidRPr="003808C2">
              <w:rPr>
                <w:rFonts w:ascii="Arial" w:eastAsia="Times New Roman" w:hAnsi="Arial" w:cs="Arial"/>
                <w:lang w:eastAsia="en-GB"/>
              </w:rPr>
              <w:t>Advice: Chemical toilets should be provided if possible. ‘Greywater’ from showers/handbasins should be directed to the disinfectant collection point or else permission sought for a discharge to vegetated land or</w:t>
            </w:r>
            <w:r>
              <w:rPr>
                <w:rFonts w:ascii="Arial" w:eastAsia="Times New Roman" w:hAnsi="Arial" w:cs="Arial"/>
                <w:lang w:eastAsia="en-GB"/>
              </w:rPr>
              <w:t xml:space="preserve"> </w:t>
            </w:r>
            <w:r w:rsidRPr="003808C2">
              <w:rPr>
                <w:rFonts w:ascii="Arial" w:eastAsia="Times New Roman" w:hAnsi="Arial" w:cs="Arial"/>
                <w:lang w:eastAsia="en-GB"/>
              </w:rPr>
              <w:t>to a soakaway. If flushing toilet installed, consider sealed septic tank with suitable discharge arrangements including appropriate authorisation</w:t>
            </w:r>
            <w:r>
              <w:rPr>
                <w:rFonts w:ascii="Arial" w:eastAsia="Times New Roman" w:hAnsi="Arial" w:cs="Arial"/>
                <w:lang w:eastAsia="en-GB"/>
              </w:rPr>
              <w:t xml:space="preserve"> form SEPA. </w:t>
            </w:r>
            <w:r w:rsidRPr="003808C2">
              <w:rPr>
                <w:rFonts w:ascii="Arial" w:eastAsia="Times New Roman" w:hAnsi="Arial" w:cs="Arial"/>
                <w:lang w:eastAsia="en-GB"/>
              </w:rPr>
              <w:t>Any soakaway should be located &gt;10 metres from any surface waters, and &gt;50 metres from any well or borehole</w:t>
            </w:r>
          </w:p>
        </w:tc>
        <w:tc>
          <w:tcPr>
            <w:tcW w:w="4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C327211" w14:textId="77777777" w:rsidR="00C27450" w:rsidRPr="0096745E" w:rsidRDefault="00C27450" w:rsidP="001D1656">
            <w:pPr>
              <w:spacing w:after="240"/>
              <w:jc w:val="center"/>
              <w:rPr>
                <w:rFonts w:ascii="Arial" w:eastAsia="Times New Roman" w:hAnsi="Arial" w:cs="Arial"/>
                <w:lang w:eastAsia="en-GB"/>
              </w:rPr>
            </w:pPr>
          </w:p>
        </w:tc>
      </w:tr>
    </w:tbl>
    <w:p w14:paraId="11035D89" w14:textId="77777777" w:rsidR="00C27450" w:rsidRDefault="00C27450" w:rsidP="001D1656"/>
    <w:p w14:paraId="07D1BB2F" w14:textId="77777777" w:rsidR="00831258" w:rsidRDefault="00831258" w:rsidP="00831258">
      <w:r w:rsidRPr="003808C2">
        <w:t xml:space="preserve">SEPA’s aim is that, wherever possible, the location of Cleansing and Disinfection (C&amp;D) centres </w:t>
      </w:r>
      <w:proofErr w:type="gramStart"/>
      <w:r w:rsidRPr="003808C2">
        <w:t>are located in</w:t>
      </w:r>
      <w:proofErr w:type="gramEnd"/>
      <w:r w:rsidRPr="003808C2">
        <w:t xml:space="preserve"> areas that as far as possible minimise the risk of harm to the environment. In all cases, SEPA would wish to see all reasonable and practical measures taken to prevent the entry of disinfectants to the water environment. This includes all surface waters, wetlands, ditches, coastal and transitional waters as well as groundwater.</w:t>
      </w:r>
    </w:p>
    <w:p w14:paraId="4837C8CA" w14:textId="77777777" w:rsidR="00831258" w:rsidRDefault="00831258" w:rsidP="001D1656"/>
    <w:sectPr w:rsidR="00831258" w:rsidSect="00F13324">
      <w:headerReference w:type="even" r:id="rId18"/>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onaldson, Fiona" w:date="2024-12-23T11:50:00Z" w:initials="FD">
    <w:p w14:paraId="4E86EB98" w14:textId="77777777" w:rsidR="00772FFD" w:rsidRDefault="00772FFD" w:rsidP="00772FFD">
      <w:pPr>
        <w:pStyle w:val="CommentText"/>
      </w:pPr>
      <w:r>
        <w:rPr>
          <w:rStyle w:val="CommentReference"/>
        </w:rPr>
        <w:annotationRef/>
      </w:r>
      <w:r>
        <w:t>Sometimes we refer to disease and sometimes to exotic diseases. I think the guidance should refer to all sort of outbreaks.</w:t>
      </w:r>
    </w:p>
    <w:p w14:paraId="2908FDF6" w14:textId="77777777" w:rsidR="00772FFD" w:rsidRDefault="00772FFD" w:rsidP="00772FFD">
      <w:pPr>
        <w:pStyle w:val="CommentText"/>
      </w:pPr>
    </w:p>
    <w:p w14:paraId="590394BE" w14:textId="77777777" w:rsidR="00772FFD" w:rsidRDefault="00772FFD" w:rsidP="00772FFD">
      <w:pPr>
        <w:pStyle w:val="CommentText"/>
      </w:pPr>
      <w:r>
        <w:t xml:space="preserve">I’m not sure if accessibility allows footnotes to explain that we’ll treat them the same for the purpose of this guidance.  </w:t>
      </w:r>
    </w:p>
    <w:p w14:paraId="796E16B6" w14:textId="77777777" w:rsidR="00772FFD" w:rsidRDefault="00772FFD" w:rsidP="00772FFD">
      <w:pPr>
        <w:pStyle w:val="CommentText"/>
      </w:pPr>
    </w:p>
    <w:p w14:paraId="0F6A2E38" w14:textId="77777777" w:rsidR="00772FFD" w:rsidRDefault="00772FFD" w:rsidP="00772FFD">
      <w:pPr>
        <w:pStyle w:val="CommentText"/>
      </w:pPr>
      <w:r>
        <w:t xml:space="preserve">Notifiable diseases are already in the UK but are serious to warrant legal reporting and management. Exotic diseases are typically not present in the UK but could enter from other countries. Avian influenza is a notifiable disease as is bluetongue and classic swine fever. Afrithe current can swine fever and Newcastle disease are exotic diseases. </w:t>
      </w:r>
    </w:p>
    <w:p w14:paraId="777BD59C" w14:textId="77777777" w:rsidR="00772FFD" w:rsidRDefault="00772FFD" w:rsidP="00772FFD">
      <w:pPr>
        <w:pStyle w:val="CommentText"/>
      </w:pPr>
    </w:p>
    <w:p w14:paraId="64BEB582" w14:textId="77777777" w:rsidR="00772FFD" w:rsidRDefault="00772FFD" w:rsidP="00772FFD">
      <w:pPr>
        <w:pStyle w:val="CommentText"/>
      </w:pPr>
      <w:r>
        <w:t xml:space="preserve">FMD and rabies are considered to be both, depending on the context. They are not naturally present in the UK but could be introduced from other countries. </w:t>
      </w:r>
    </w:p>
  </w:comment>
  <w:comment w:id="2" w:author="Donaldson, Fiona" w:date="2024-12-23T15:40:00Z" w:initials="FD">
    <w:p w14:paraId="0346358A" w14:textId="77777777" w:rsidR="00772FFD" w:rsidRDefault="00772FFD" w:rsidP="00772FFD">
      <w:pPr>
        <w:pStyle w:val="CommentText"/>
      </w:pPr>
      <w:r>
        <w:rPr>
          <w:rStyle w:val="CommentReference"/>
        </w:rPr>
        <w:annotationRef/>
      </w:r>
      <w:r>
        <w:t>We don’t mention anything about hazardous waste. I think this is important for human, animal and environmental safety and should be included either here or at the beginning.</w:t>
      </w:r>
    </w:p>
  </w:comment>
  <w:comment w:id="9" w:author="Donaldson, Fiona" w:date="2024-12-23T15:22:00Z" w:initials="FD">
    <w:p w14:paraId="10E1765F" w14:textId="77777777" w:rsidR="00DF0531" w:rsidRDefault="00DF0531" w:rsidP="00DF0531">
      <w:pPr>
        <w:pStyle w:val="CommentText"/>
      </w:pPr>
      <w:r>
        <w:rPr>
          <w:rStyle w:val="CommentReference"/>
        </w:rPr>
        <w:annotationRef/>
      </w:r>
      <w:r>
        <w:t>Are we not going to cover them here? They are listed in the current guidance which I think is clearer and more up front. However, it would make the document even longer! We could list them in an appendix?</w:t>
      </w:r>
    </w:p>
    <w:p w14:paraId="3486E345" w14:textId="77777777" w:rsidR="00DF0531" w:rsidRDefault="00DF0531" w:rsidP="00DF0531">
      <w:pPr>
        <w:pStyle w:val="CommentText"/>
      </w:pPr>
      <w:r>
        <w:t>It also means that if we should be asked we don’t have to make them up on the spot and they will be consistent.</w:t>
      </w:r>
    </w:p>
  </w:comment>
  <w:comment w:id="10" w:author="Sullivan, Andrew" w:date="2025-01-08T17:13:00Z" w:initials="AS">
    <w:p w14:paraId="35C98FDB" w14:textId="77777777" w:rsidR="00DF0531" w:rsidRDefault="00DF0531" w:rsidP="00DF0531">
      <w:pPr>
        <w:pStyle w:val="CommentText"/>
      </w:pPr>
      <w:r>
        <w:rPr>
          <w:rStyle w:val="CommentReference"/>
        </w:rPr>
        <w:annotationRef/>
      </w:r>
      <w:r>
        <w:fldChar w:fldCharType="begin"/>
      </w:r>
      <w:r>
        <w:instrText>HYPERLINK "mailto:Fiona.Donaldson@SEPA.org.uk"</w:instrText>
      </w:r>
      <w:bookmarkStart w:id="11" w:name="_@_F4FCE0515B3E48E0AFAC4A230C711564Z"/>
      <w:r>
        <w:fldChar w:fldCharType="separate"/>
      </w:r>
      <w:bookmarkEnd w:id="11"/>
      <w:r w:rsidRPr="003D4845">
        <w:rPr>
          <w:rStyle w:val="Mention"/>
          <w:noProof/>
        </w:rPr>
        <w:t>@Donaldson, Fiona</w:t>
      </w:r>
      <w:r>
        <w:fldChar w:fldCharType="end"/>
      </w:r>
      <w:r>
        <w:t xml:space="preserve"> Thanks for this - I have tried to include the key bits of the position statement in the yard storage and field storage sections below but could add more - there is some further best practice stuff about covering etc that could be included. Perhaps worth a chat.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BEB582" w15:done="1"/>
  <w15:commentEx w15:paraId="0346358A" w15:done="1"/>
  <w15:commentEx w15:paraId="3486E345" w15:done="1"/>
  <w15:commentEx w15:paraId="35C98FDB" w15:paraIdParent="3486E34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88C117" w16cex:dateUtc="2024-12-23T11:50:00Z">
    <w16cex:extLst>
      <w16:ext w16:uri="{CE6994B0-6A32-4C9F-8C6B-6E91EDA988CE}">
        <cr:reactions xmlns:cr="http://schemas.microsoft.com/office/comments/2020/reactions">
          <cr:reaction reactionType="1">
            <cr:reactionInfo dateUtc="2025-01-08T17:14:08Z">
              <cr:user userId="S::andrew.sullivan@SEPA.org.uk::fc192239-3b1d-4087-bbcf-38354e1bf714" userProvider="AD" userName="Sullivan, Andrew"/>
            </cr:reactionInfo>
          </cr:reaction>
        </cr:reactions>
      </w16:ext>
    </w16cex:extLst>
  </w16cex:commentExtensible>
  <w16cex:commentExtensible w16cex:durableId="12C12D60" w16cex:dateUtc="2024-12-23T15:40:00Z"/>
  <w16cex:commentExtensible w16cex:durableId="0672B4C6" w16cex:dateUtc="2024-12-23T15:22:00Z"/>
  <w16cex:commentExtensible w16cex:durableId="751D09B5" w16cex:dateUtc="2025-01-08T1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BEB582" w16cid:durableId="4188C117"/>
  <w16cid:commentId w16cid:paraId="0346358A" w16cid:durableId="12C12D60"/>
  <w16cid:commentId w16cid:paraId="3486E345" w16cid:durableId="0672B4C6"/>
  <w16cid:commentId w16cid:paraId="35C98FDB" w16cid:durableId="751D09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4593C" w14:textId="77777777" w:rsidR="00E40D31" w:rsidRDefault="00E40D31" w:rsidP="00660C79">
      <w:pPr>
        <w:spacing w:line="240" w:lineRule="auto"/>
      </w:pPr>
      <w:r>
        <w:separator/>
      </w:r>
    </w:p>
  </w:endnote>
  <w:endnote w:type="continuationSeparator" w:id="0">
    <w:p w14:paraId="7F1439D9" w14:textId="77777777" w:rsidR="00E40D31" w:rsidRDefault="00E40D31" w:rsidP="00660C79">
      <w:pPr>
        <w:spacing w:line="240" w:lineRule="auto"/>
      </w:pPr>
      <w:r>
        <w:continuationSeparator/>
      </w:r>
    </w:p>
  </w:endnote>
  <w:endnote w:type="continuationNotice" w:id="1">
    <w:p w14:paraId="790EB438" w14:textId="77777777" w:rsidR="00E40D31" w:rsidRDefault="00E40D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C3DBA" w14:textId="77777777" w:rsidR="00EC6A73" w:rsidRDefault="00805B2F" w:rsidP="00E60556">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31EE8E88" wp14:editId="27DEC6C2">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FD0639"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EE8E88"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FFD0639"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0818D155" w14:textId="77777777" w:rsidR="00EC6A73" w:rsidRDefault="00EC6A73" w:rsidP="00E605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3B2350CE"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DFC364"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11C59" w14:textId="77777777" w:rsidR="00EC6A73" w:rsidRDefault="00805B2F" w:rsidP="00917BB1">
    <w:pPr>
      <w:pStyle w:val="Footer"/>
      <w:ind w:right="360"/>
    </w:pPr>
    <w:r>
      <w:rPr>
        <w:noProof/>
      </w:rPr>
      <mc:AlternateContent>
        <mc:Choice Requires="wps">
          <w:drawing>
            <wp:anchor distT="0" distB="0" distL="0" distR="0" simplePos="0" relativeHeight="251658247" behindDoc="0" locked="0" layoutInCell="1" allowOverlap="1" wp14:anchorId="287BC1AA" wp14:editId="2EC171A6">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35DDC7"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7BC1AA"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335DDC7"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p w14:paraId="64896DA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4E31AD71" wp14:editId="62D7B478">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886A56"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073F9787"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A4C7F2" w14:textId="77777777" w:rsidR="00917BB1" w:rsidRDefault="00917BB1" w:rsidP="00917BB1">
    <w:pPr>
      <w:pStyle w:val="Footer"/>
      <w:ind w:right="360"/>
    </w:pPr>
    <w:r>
      <w:rPr>
        <w:noProof/>
      </w:rPr>
      <w:drawing>
        <wp:inline distT="0" distB="0" distL="0" distR="0" wp14:anchorId="0833596E" wp14:editId="34FA91C6">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AC89" w14:textId="77777777" w:rsidR="00805B2F" w:rsidRDefault="00805B2F">
    <w:pPr>
      <w:pStyle w:val="Footer"/>
    </w:pPr>
    <w:r>
      <w:rPr>
        <w:noProof/>
      </w:rPr>
      <mc:AlternateContent>
        <mc:Choice Requires="wps">
          <w:drawing>
            <wp:anchor distT="0" distB="0" distL="0" distR="0" simplePos="0" relativeHeight="251658245" behindDoc="0" locked="0" layoutInCell="1" allowOverlap="1" wp14:anchorId="49E915E1" wp14:editId="0DF93DD2">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D2464E"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E915E1"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8D2464E"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1780D" w14:textId="77777777" w:rsidR="00E40D31" w:rsidRDefault="00E40D31" w:rsidP="00660C79">
      <w:pPr>
        <w:spacing w:line="240" w:lineRule="auto"/>
      </w:pPr>
      <w:r>
        <w:separator/>
      </w:r>
    </w:p>
  </w:footnote>
  <w:footnote w:type="continuationSeparator" w:id="0">
    <w:p w14:paraId="602E5FDC" w14:textId="77777777" w:rsidR="00E40D31" w:rsidRDefault="00E40D31" w:rsidP="00660C79">
      <w:pPr>
        <w:spacing w:line="240" w:lineRule="auto"/>
      </w:pPr>
      <w:r>
        <w:continuationSeparator/>
      </w:r>
    </w:p>
  </w:footnote>
  <w:footnote w:type="continuationNotice" w:id="1">
    <w:p w14:paraId="6B09FB5F" w14:textId="77777777" w:rsidR="00E40D31" w:rsidRDefault="00E40D3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0B60E" w14:textId="77777777" w:rsidR="00805B2F" w:rsidRDefault="00805B2F">
    <w:pPr>
      <w:pStyle w:val="Header"/>
    </w:pPr>
    <w:r>
      <w:rPr>
        <w:noProof/>
      </w:rPr>
      <mc:AlternateContent>
        <mc:Choice Requires="wps">
          <w:drawing>
            <wp:anchor distT="0" distB="0" distL="0" distR="0" simplePos="0" relativeHeight="251658243" behindDoc="0" locked="0" layoutInCell="1" allowOverlap="1" wp14:anchorId="59DB90EE" wp14:editId="5753DF50">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53192D"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DB90EE"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253192D"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01041" w14:textId="3F1846A3" w:rsidR="008D113C" w:rsidRPr="00917BB1" w:rsidRDefault="00805B2F"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47AAECA2" wp14:editId="0344E443">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D1AC75"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AAECA2"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ED1AC75"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r w:rsidR="001D1656">
      <w:rPr>
        <w:color w:val="6E7571" w:themeColor="text2"/>
      </w:rPr>
      <w:t>Managing waste during disease outbreaks</w:t>
    </w:r>
  </w:p>
  <w:p w14:paraId="47CC3852"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04F596EA" wp14:editId="5CAB47CE">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FC678A"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4799" w14:textId="77777777" w:rsidR="00805B2F" w:rsidRDefault="00805B2F">
    <w:pPr>
      <w:pStyle w:val="Header"/>
    </w:pPr>
    <w:r>
      <w:rPr>
        <w:noProof/>
      </w:rPr>
      <mc:AlternateContent>
        <mc:Choice Requires="wps">
          <w:drawing>
            <wp:anchor distT="0" distB="0" distL="0" distR="0" simplePos="0" relativeHeight="251658242" behindDoc="0" locked="0" layoutInCell="1" allowOverlap="1" wp14:anchorId="0BB73758" wp14:editId="0ED2D95A">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D3ECFB"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B73758"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5D3ECFB"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553D9"/>
    <w:multiLevelType w:val="hybridMultilevel"/>
    <w:tmpl w:val="D63C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D42CC4"/>
    <w:multiLevelType w:val="hybridMultilevel"/>
    <w:tmpl w:val="0DC23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CE7FCE"/>
    <w:multiLevelType w:val="hybridMultilevel"/>
    <w:tmpl w:val="898E8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AD6C19"/>
    <w:multiLevelType w:val="hybridMultilevel"/>
    <w:tmpl w:val="B44A2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003848"/>
    <w:multiLevelType w:val="hybridMultilevel"/>
    <w:tmpl w:val="DB5AA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367E77"/>
    <w:multiLevelType w:val="hybridMultilevel"/>
    <w:tmpl w:val="D910E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175F50"/>
    <w:multiLevelType w:val="hybridMultilevel"/>
    <w:tmpl w:val="B38C8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0C197F"/>
    <w:multiLevelType w:val="hybridMultilevel"/>
    <w:tmpl w:val="942E4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69F11A5"/>
    <w:multiLevelType w:val="hybridMultilevel"/>
    <w:tmpl w:val="71F8B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9424CC"/>
    <w:multiLevelType w:val="hybridMultilevel"/>
    <w:tmpl w:val="B69C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B16093"/>
    <w:multiLevelType w:val="hybridMultilevel"/>
    <w:tmpl w:val="48F0A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B6391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E104B9C"/>
    <w:multiLevelType w:val="hybridMultilevel"/>
    <w:tmpl w:val="AE9E6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FD27D0"/>
    <w:multiLevelType w:val="hybridMultilevel"/>
    <w:tmpl w:val="FDCC1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1F35BA"/>
    <w:multiLevelType w:val="hybridMultilevel"/>
    <w:tmpl w:val="B1C0A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7072A1"/>
    <w:multiLevelType w:val="hybridMultilevel"/>
    <w:tmpl w:val="918A0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772438943">
    <w:abstractNumId w:val="23"/>
  </w:num>
  <w:num w:numId="12" w16cid:durableId="1700204152">
    <w:abstractNumId w:val="19"/>
  </w:num>
  <w:num w:numId="13" w16cid:durableId="989750667">
    <w:abstractNumId w:val="20"/>
  </w:num>
  <w:num w:numId="14" w16cid:durableId="1365522542">
    <w:abstractNumId w:val="12"/>
  </w:num>
  <w:num w:numId="15" w16cid:durableId="160510938">
    <w:abstractNumId w:val="25"/>
  </w:num>
  <w:num w:numId="16" w16cid:durableId="1621841860">
    <w:abstractNumId w:val="18"/>
  </w:num>
  <w:num w:numId="17" w16cid:durableId="579602798">
    <w:abstractNumId w:val="26"/>
  </w:num>
  <w:num w:numId="18" w16cid:durableId="837621693">
    <w:abstractNumId w:val="24"/>
  </w:num>
  <w:num w:numId="19" w16cid:durableId="1142578382">
    <w:abstractNumId w:val="11"/>
  </w:num>
  <w:num w:numId="20" w16cid:durableId="2000109790">
    <w:abstractNumId w:val="16"/>
  </w:num>
  <w:num w:numId="21" w16cid:durableId="175967623">
    <w:abstractNumId w:val="14"/>
  </w:num>
  <w:num w:numId="22" w16cid:durableId="1188057958">
    <w:abstractNumId w:val="15"/>
  </w:num>
  <w:num w:numId="23" w16cid:durableId="1963726511">
    <w:abstractNumId w:val="22"/>
  </w:num>
  <w:num w:numId="24" w16cid:durableId="2143765472">
    <w:abstractNumId w:val="13"/>
  </w:num>
  <w:num w:numId="25" w16cid:durableId="983580048">
    <w:abstractNumId w:val="10"/>
  </w:num>
  <w:num w:numId="26" w16cid:durableId="781656532">
    <w:abstractNumId w:val="17"/>
  </w:num>
  <w:num w:numId="27" w16cid:durableId="426772352">
    <w:abstractNumId w:val="21"/>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naldson, Fiona">
    <w15:presenceInfo w15:providerId="AD" w15:userId="S::Fiona.Donaldson@SEPA.org.uk::a9333b76-f1cf-437f-9c63-cfbf93a30f07"/>
  </w15:person>
  <w15:person w15:author="Sullivan, Andrew">
    <w15:presenceInfo w15:providerId="AD" w15:userId="S::andrew.sullivan@SEPA.org.uk::fc192239-3b1d-4087-bbcf-38354e1bf7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9D"/>
    <w:rsid w:val="00020054"/>
    <w:rsid w:val="00025802"/>
    <w:rsid w:val="00032829"/>
    <w:rsid w:val="000369E8"/>
    <w:rsid w:val="00037E58"/>
    <w:rsid w:val="00040561"/>
    <w:rsid w:val="0005516E"/>
    <w:rsid w:val="0006272F"/>
    <w:rsid w:val="00066CF0"/>
    <w:rsid w:val="00070937"/>
    <w:rsid w:val="0007262D"/>
    <w:rsid w:val="000762BE"/>
    <w:rsid w:val="00083814"/>
    <w:rsid w:val="00090CBA"/>
    <w:rsid w:val="000B3F70"/>
    <w:rsid w:val="000B7559"/>
    <w:rsid w:val="000C1078"/>
    <w:rsid w:val="000C4C41"/>
    <w:rsid w:val="000C7295"/>
    <w:rsid w:val="000E0D15"/>
    <w:rsid w:val="000F4EDF"/>
    <w:rsid w:val="00101688"/>
    <w:rsid w:val="00105F31"/>
    <w:rsid w:val="001122F8"/>
    <w:rsid w:val="00113CB5"/>
    <w:rsid w:val="00116C64"/>
    <w:rsid w:val="00117A03"/>
    <w:rsid w:val="00132446"/>
    <w:rsid w:val="00134283"/>
    <w:rsid w:val="001416CC"/>
    <w:rsid w:val="00142505"/>
    <w:rsid w:val="001435DF"/>
    <w:rsid w:val="00173097"/>
    <w:rsid w:val="001905B3"/>
    <w:rsid w:val="00190EA7"/>
    <w:rsid w:val="001A5E8F"/>
    <w:rsid w:val="001B08EB"/>
    <w:rsid w:val="001B2CE4"/>
    <w:rsid w:val="001B7238"/>
    <w:rsid w:val="001D1656"/>
    <w:rsid w:val="001E2AE5"/>
    <w:rsid w:val="001F4378"/>
    <w:rsid w:val="001F4E4E"/>
    <w:rsid w:val="0020743F"/>
    <w:rsid w:val="002113E9"/>
    <w:rsid w:val="00220452"/>
    <w:rsid w:val="00223D1D"/>
    <w:rsid w:val="002278F3"/>
    <w:rsid w:val="00232626"/>
    <w:rsid w:val="0023647F"/>
    <w:rsid w:val="00236552"/>
    <w:rsid w:val="00253678"/>
    <w:rsid w:val="00261ED5"/>
    <w:rsid w:val="002628D7"/>
    <w:rsid w:val="00270655"/>
    <w:rsid w:val="00281BB1"/>
    <w:rsid w:val="00290B1F"/>
    <w:rsid w:val="002941AD"/>
    <w:rsid w:val="002B4F98"/>
    <w:rsid w:val="002B6E5B"/>
    <w:rsid w:val="002C0846"/>
    <w:rsid w:val="002E2099"/>
    <w:rsid w:val="002F1A51"/>
    <w:rsid w:val="002F6A3A"/>
    <w:rsid w:val="0030096D"/>
    <w:rsid w:val="00310792"/>
    <w:rsid w:val="00317618"/>
    <w:rsid w:val="00320D9D"/>
    <w:rsid w:val="003365C6"/>
    <w:rsid w:val="00350D38"/>
    <w:rsid w:val="00356239"/>
    <w:rsid w:val="00357B64"/>
    <w:rsid w:val="00361DBB"/>
    <w:rsid w:val="00370917"/>
    <w:rsid w:val="00372BF4"/>
    <w:rsid w:val="00380D2D"/>
    <w:rsid w:val="00382C5D"/>
    <w:rsid w:val="00391B57"/>
    <w:rsid w:val="003949D4"/>
    <w:rsid w:val="003A2164"/>
    <w:rsid w:val="003A5112"/>
    <w:rsid w:val="003B0443"/>
    <w:rsid w:val="003B2D24"/>
    <w:rsid w:val="003C3251"/>
    <w:rsid w:val="003D04DA"/>
    <w:rsid w:val="003D29BF"/>
    <w:rsid w:val="003E1CE8"/>
    <w:rsid w:val="003E3A4D"/>
    <w:rsid w:val="003F03AD"/>
    <w:rsid w:val="003F2B2C"/>
    <w:rsid w:val="003F4E43"/>
    <w:rsid w:val="003F5384"/>
    <w:rsid w:val="003F7659"/>
    <w:rsid w:val="00403C1C"/>
    <w:rsid w:val="004073BC"/>
    <w:rsid w:val="004074CE"/>
    <w:rsid w:val="0041096C"/>
    <w:rsid w:val="00413FE8"/>
    <w:rsid w:val="00420C6B"/>
    <w:rsid w:val="00420F54"/>
    <w:rsid w:val="00421A2D"/>
    <w:rsid w:val="00423A1B"/>
    <w:rsid w:val="00431D03"/>
    <w:rsid w:val="00442273"/>
    <w:rsid w:val="004424DD"/>
    <w:rsid w:val="00444AA1"/>
    <w:rsid w:val="00444B55"/>
    <w:rsid w:val="00465150"/>
    <w:rsid w:val="0048394A"/>
    <w:rsid w:val="004872DD"/>
    <w:rsid w:val="00493EF7"/>
    <w:rsid w:val="004A20FC"/>
    <w:rsid w:val="004A2999"/>
    <w:rsid w:val="004A6A7D"/>
    <w:rsid w:val="004B35C3"/>
    <w:rsid w:val="004C093D"/>
    <w:rsid w:val="004E1AF6"/>
    <w:rsid w:val="004E1D0C"/>
    <w:rsid w:val="004F1AA8"/>
    <w:rsid w:val="004F305F"/>
    <w:rsid w:val="005039D3"/>
    <w:rsid w:val="00510BF4"/>
    <w:rsid w:val="00540C78"/>
    <w:rsid w:val="00550A85"/>
    <w:rsid w:val="00551989"/>
    <w:rsid w:val="005542FF"/>
    <w:rsid w:val="00554D21"/>
    <w:rsid w:val="00566892"/>
    <w:rsid w:val="005A355E"/>
    <w:rsid w:val="005C16FE"/>
    <w:rsid w:val="005D1213"/>
    <w:rsid w:val="005D46CF"/>
    <w:rsid w:val="00603C7B"/>
    <w:rsid w:val="006243FF"/>
    <w:rsid w:val="00640892"/>
    <w:rsid w:val="00654E27"/>
    <w:rsid w:val="00660C79"/>
    <w:rsid w:val="006614BD"/>
    <w:rsid w:val="0066318C"/>
    <w:rsid w:val="0067275E"/>
    <w:rsid w:val="0069622A"/>
    <w:rsid w:val="00696CE0"/>
    <w:rsid w:val="006B210F"/>
    <w:rsid w:val="006B73C9"/>
    <w:rsid w:val="006C10AD"/>
    <w:rsid w:val="006D16CE"/>
    <w:rsid w:val="006D6084"/>
    <w:rsid w:val="006E69BB"/>
    <w:rsid w:val="006E7F21"/>
    <w:rsid w:val="00702358"/>
    <w:rsid w:val="007044CF"/>
    <w:rsid w:val="00712CA8"/>
    <w:rsid w:val="007508F7"/>
    <w:rsid w:val="00772FFD"/>
    <w:rsid w:val="007904CD"/>
    <w:rsid w:val="007910B9"/>
    <w:rsid w:val="007B082D"/>
    <w:rsid w:val="007B269C"/>
    <w:rsid w:val="007C3F12"/>
    <w:rsid w:val="007C4140"/>
    <w:rsid w:val="007D346F"/>
    <w:rsid w:val="007D441B"/>
    <w:rsid w:val="007E4916"/>
    <w:rsid w:val="00801105"/>
    <w:rsid w:val="00805B2F"/>
    <w:rsid w:val="008262AD"/>
    <w:rsid w:val="00831258"/>
    <w:rsid w:val="0083233F"/>
    <w:rsid w:val="008407F7"/>
    <w:rsid w:val="008438A2"/>
    <w:rsid w:val="00856D40"/>
    <w:rsid w:val="00861B46"/>
    <w:rsid w:val="0087653D"/>
    <w:rsid w:val="008851D6"/>
    <w:rsid w:val="0089139A"/>
    <w:rsid w:val="008B2FCF"/>
    <w:rsid w:val="008B4A60"/>
    <w:rsid w:val="008C1A73"/>
    <w:rsid w:val="008D113C"/>
    <w:rsid w:val="008D376F"/>
    <w:rsid w:val="008D5686"/>
    <w:rsid w:val="008D6FDE"/>
    <w:rsid w:val="008E02B7"/>
    <w:rsid w:val="008E36DC"/>
    <w:rsid w:val="008E44EE"/>
    <w:rsid w:val="008F0ED2"/>
    <w:rsid w:val="008F1D01"/>
    <w:rsid w:val="008F770B"/>
    <w:rsid w:val="00916B68"/>
    <w:rsid w:val="0091748E"/>
    <w:rsid w:val="00917BB1"/>
    <w:rsid w:val="00934526"/>
    <w:rsid w:val="00940D7C"/>
    <w:rsid w:val="00954FDB"/>
    <w:rsid w:val="00964BE7"/>
    <w:rsid w:val="00975D21"/>
    <w:rsid w:val="00980531"/>
    <w:rsid w:val="00982052"/>
    <w:rsid w:val="0098392A"/>
    <w:rsid w:val="009915C7"/>
    <w:rsid w:val="00996D28"/>
    <w:rsid w:val="009974A0"/>
    <w:rsid w:val="009A240D"/>
    <w:rsid w:val="009B6A1C"/>
    <w:rsid w:val="009C27A4"/>
    <w:rsid w:val="009C3492"/>
    <w:rsid w:val="009C5B25"/>
    <w:rsid w:val="009C6D53"/>
    <w:rsid w:val="009E325D"/>
    <w:rsid w:val="00A00A6D"/>
    <w:rsid w:val="00A04A71"/>
    <w:rsid w:val="00A07A8B"/>
    <w:rsid w:val="00A20CC1"/>
    <w:rsid w:val="00A26960"/>
    <w:rsid w:val="00A5276C"/>
    <w:rsid w:val="00A52C34"/>
    <w:rsid w:val="00A70BF2"/>
    <w:rsid w:val="00A7603F"/>
    <w:rsid w:val="00A8493F"/>
    <w:rsid w:val="00A86E47"/>
    <w:rsid w:val="00A9349C"/>
    <w:rsid w:val="00AB0764"/>
    <w:rsid w:val="00AC1D20"/>
    <w:rsid w:val="00AC7023"/>
    <w:rsid w:val="00AE068C"/>
    <w:rsid w:val="00AE4243"/>
    <w:rsid w:val="00B20652"/>
    <w:rsid w:val="00B30A23"/>
    <w:rsid w:val="00B36A3A"/>
    <w:rsid w:val="00B3729A"/>
    <w:rsid w:val="00B421A9"/>
    <w:rsid w:val="00B42845"/>
    <w:rsid w:val="00B45CB0"/>
    <w:rsid w:val="00B462EB"/>
    <w:rsid w:val="00B46E48"/>
    <w:rsid w:val="00B52BE1"/>
    <w:rsid w:val="00B54CF4"/>
    <w:rsid w:val="00B65ADA"/>
    <w:rsid w:val="00B66A66"/>
    <w:rsid w:val="00B868E4"/>
    <w:rsid w:val="00BA0669"/>
    <w:rsid w:val="00BA7573"/>
    <w:rsid w:val="00BB5D9E"/>
    <w:rsid w:val="00BD02E9"/>
    <w:rsid w:val="00BD3BB6"/>
    <w:rsid w:val="00BD4076"/>
    <w:rsid w:val="00BE7D59"/>
    <w:rsid w:val="00C04BB3"/>
    <w:rsid w:val="00C06D34"/>
    <w:rsid w:val="00C10D3C"/>
    <w:rsid w:val="00C1342A"/>
    <w:rsid w:val="00C2218D"/>
    <w:rsid w:val="00C27450"/>
    <w:rsid w:val="00C569B9"/>
    <w:rsid w:val="00C6272B"/>
    <w:rsid w:val="00C637EC"/>
    <w:rsid w:val="00C6427F"/>
    <w:rsid w:val="00C85819"/>
    <w:rsid w:val="00C946B6"/>
    <w:rsid w:val="00C97174"/>
    <w:rsid w:val="00CB51BC"/>
    <w:rsid w:val="00CB7A56"/>
    <w:rsid w:val="00CC1EBE"/>
    <w:rsid w:val="00CC66CF"/>
    <w:rsid w:val="00CD0E62"/>
    <w:rsid w:val="00CD2600"/>
    <w:rsid w:val="00CD6AC0"/>
    <w:rsid w:val="00CE0700"/>
    <w:rsid w:val="00CF42BC"/>
    <w:rsid w:val="00CF7EFB"/>
    <w:rsid w:val="00D0428F"/>
    <w:rsid w:val="00D14179"/>
    <w:rsid w:val="00D240E0"/>
    <w:rsid w:val="00D35448"/>
    <w:rsid w:val="00D60FFE"/>
    <w:rsid w:val="00D67600"/>
    <w:rsid w:val="00D7207F"/>
    <w:rsid w:val="00D9189D"/>
    <w:rsid w:val="00D94C2A"/>
    <w:rsid w:val="00DA401A"/>
    <w:rsid w:val="00DB351C"/>
    <w:rsid w:val="00DC0A09"/>
    <w:rsid w:val="00DD0023"/>
    <w:rsid w:val="00DD3C48"/>
    <w:rsid w:val="00DE3604"/>
    <w:rsid w:val="00DF0531"/>
    <w:rsid w:val="00E00503"/>
    <w:rsid w:val="00E11A56"/>
    <w:rsid w:val="00E1287E"/>
    <w:rsid w:val="00E321BD"/>
    <w:rsid w:val="00E35D9B"/>
    <w:rsid w:val="00E36C13"/>
    <w:rsid w:val="00E40D31"/>
    <w:rsid w:val="00E5426F"/>
    <w:rsid w:val="00E60556"/>
    <w:rsid w:val="00E67C75"/>
    <w:rsid w:val="00E92DFB"/>
    <w:rsid w:val="00E93292"/>
    <w:rsid w:val="00E96DE5"/>
    <w:rsid w:val="00EA1C0A"/>
    <w:rsid w:val="00EA7274"/>
    <w:rsid w:val="00EC1090"/>
    <w:rsid w:val="00EC6A73"/>
    <w:rsid w:val="00F07048"/>
    <w:rsid w:val="00F13324"/>
    <w:rsid w:val="00F271B3"/>
    <w:rsid w:val="00F2748B"/>
    <w:rsid w:val="00F36ADF"/>
    <w:rsid w:val="00F44AEA"/>
    <w:rsid w:val="00F62E76"/>
    <w:rsid w:val="00F645E7"/>
    <w:rsid w:val="00F720A5"/>
    <w:rsid w:val="00F72274"/>
    <w:rsid w:val="00F74FFC"/>
    <w:rsid w:val="00F97DBB"/>
    <w:rsid w:val="00F97DC9"/>
    <w:rsid w:val="00FD1468"/>
    <w:rsid w:val="00FD2F37"/>
    <w:rsid w:val="00FF571C"/>
    <w:rsid w:val="00FF5D5A"/>
    <w:rsid w:val="02EBA74C"/>
    <w:rsid w:val="03D52033"/>
    <w:rsid w:val="04C727E2"/>
    <w:rsid w:val="0571881C"/>
    <w:rsid w:val="0BFF7759"/>
    <w:rsid w:val="0E0DEABC"/>
    <w:rsid w:val="1187192E"/>
    <w:rsid w:val="1C800604"/>
    <w:rsid w:val="1CC18CEE"/>
    <w:rsid w:val="1E8073AA"/>
    <w:rsid w:val="24806051"/>
    <w:rsid w:val="2550C1C9"/>
    <w:rsid w:val="26164345"/>
    <w:rsid w:val="29C069AA"/>
    <w:rsid w:val="2BD4A4D2"/>
    <w:rsid w:val="2CA70F6F"/>
    <w:rsid w:val="2FFDE41A"/>
    <w:rsid w:val="34DB9778"/>
    <w:rsid w:val="38A65038"/>
    <w:rsid w:val="38FE673D"/>
    <w:rsid w:val="38FE9A2D"/>
    <w:rsid w:val="39FF8EB1"/>
    <w:rsid w:val="3B2AB650"/>
    <w:rsid w:val="3D918062"/>
    <w:rsid w:val="4159C9A5"/>
    <w:rsid w:val="43CE86B2"/>
    <w:rsid w:val="447FA83A"/>
    <w:rsid w:val="4650C74F"/>
    <w:rsid w:val="475F23EE"/>
    <w:rsid w:val="4C2A406B"/>
    <w:rsid w:val="4C2CD44F"/>
    <w:rsid w:val="4D9DC616"/>
    <w:rsid w:val="4FB7B4FB"/>
    <w:rsid w:val="566EEA8F"/>
    <w:rsid w:val="5718E52F"/>
    <w:rsid w:val="5810A329"/>
    <w:rsid w:val="5BF62271"/>
    <w:rsid w:val="5C64E291"/>
    <w:rsid w:val="5E3D8DEB"/>
    <w:rsid w:val="5FE444BD"/>
    <w:rsid w:val="62A08147"/>
    <w:rsid w:val="6794E7B3"/>
    <w:rsid w:val="6AA1B9D9"/>
    <w:rsid w:val="6BAA2430"/>
    <w:rsid w:val="6D08D3CC"/>
    <w:rsid w:val="6EC45176"/>
    <w:rsid w:val="717CFE1B"/>
    <w:rsid w:val="73B49A17"/>
    <w:rsid w:val="79DFBB93"/>
    <w:rsid w:val="7B997FFC"/>
    <w:rsid w:val="7E678B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0336D"/>
  <w15:chartTrackingRefBased/>
  <w15:docId w15:val="{DD0C5DC4-BFB0-4E13-9040-28EDE855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B4284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B4284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B42845"/>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B4284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B4284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B4284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B4284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B42845"/>
    <w:rPr>
      <w:rFonts w:asciiTheme="majorHAnsi" w:eastAsiaTheme="majorEastAsia" w:hAnsiTheme="majorHAnsi" w:cstheme="majorBidi"/>
      <w:b/>
      <w:iCs/>
    </w:rPr>
  </w:style>
  <w:style w:type="paragraph" w:customStyle="1" w:styleId="BodyText1">
    <w:name w:val="Body Text1"/>
    <w:basedOn w:val="Normal"/>
    <w:qFormat/>
    <w:rsid w:val="00B4284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B35C3"/>
    <w:rPr>
      <w:b/>
      <w:bCs/>
    </w:rPr>
  </w:style>
  <w:style w:type="character" w:customStyle="1" w:styleId="CommentSubjectChar">
    <w:name w:val="Comment Subject Char"/>
    <w:basedOn w:val="CommentTextChar"/>
    <w:link w:val="CommentSubject"/>
    <w:uiPriority w:val="99"/>
    <w:semiHidden/>
    <w:rsid w:val="004B35C3"/>
    <w:rPr>
      <w:rFonts w:eastAsiaTheme="minorEastAsia"/>
      <w:b/>
      <w:bCs/>
      <w:sz w:val="20"/>
      <w:szCs w:val="20"/>
    </w:rPr>
  </w:style>
  <w:style w:type="paragraph" w:styleId="TOC2">
    <w:name w:val="toc 2"/>
    <w:basedOn w:val="Normal"/>
    <w:next w:val="Normal"/>
    <w:autoRedefine/>
    <w:uiPriority w:val="39"/>
    <w:unhideWhenUsed/>
    <w:rsid w:val="00E92DFB"/>
    <w:pPr>
      <w:spacing w:after="100"/>
      <w:ind w:left="240"/>
    </w:pPr>
  </w:style>
  <w:style w:type="paragraph" w:styleId="TOCHeading">
    <w:name w:val="TOC Heading"/>
    <w:basedOn w:val="Heading1"/>
    <w:next w:val="Normal"/>
    <w:uiPriority w:val="39"/>
    <w:unhideWhenUsed/>
    <w:qFormat/>
    <w:rsid w:val="00E92DFB"/>
    <w:pPr>
      <w:spacing w:before="240" w:after="0" w:line="259" w:lineRule="auto"/>
      <w:outlineLvl w:val="9"/>
    </w:pPr>
    <w:rPr>
      <w:b w:val="0"/>
      <w:color w:val="004B56" w:themeColor="accent1" w:themeShade="BF"/>
      <w:sz w:val="32"/>
      <w:lang w:val="en-US"/>
    </w:rPr>
  </w:style>
  <w:style w:type="paragraph" w:customStyle="1" w:styleId="Reportheader">
    <w:name w:val="Report header"/>
    <w:basedOn w:val="Heading1"/>
    <w:qFormat/>
    <w:rsid w:val="008E36DC"/>
    <w:pPr>
      <w:spacing w:line="276" w:lineRule="auto"/>
    </w:pPr>
    <w:rPr>
      <w:sz w:val="48"/>
      <w:szCs w:val="48"/>
    </w:rPr>
  </w:style>
  <w:style w:type="paragraph" w:styleId="BodyText">
    <w:name w:val="Body Text"/>
    <w:basedOn w:val="Normal"/>
    <w:link w:val="BodyTextChar"/>
    <w:uiPriority w:val="1"/>
    <w:qFormat/>
    <w:rsid w:val="008E36DC"/>
    <w:pPr>
      <w:widowControl w:val="0"/>
      <w:autoSpaceDE w:val="0"/>
      <w:autoSpaceDN w:val="0"/>
      <w:spacing w:line="240" w:lineRule="auto"/>
    </w:pPr>
    <w:rPr>
      <w:rFonts w:ascii="Arial" w:eastAsia="Arial" w:hAnsi="Arial"/>
      <w:sz w:val="28"/>
      <w:szCs w:val="28"/>
    </w:rPr>
  </w:style>
  <w:style w:type="character" w:customStyle="1" w:styleId="BodyTextChar">
    <w:name w:val="Body Text Char"/>
    <w:basedOn w:val="DefaultParagraphFont"/>
    <w:link w:val="BodyText"/>
    <w:uiPriority w:val="1"/>
    <w:rsid w:val="008E36DC"/>
    <w:rPr>
      <w:rFonts w:ascii="Arial" w:eastAsia="Arial" w:hAnsi="Arial"/>
      <w:sz w:val="28"/>
      <w:szCs w:val="28"/>
    </w:rPr>
  </w:style>
  <w:style w:type="paragraph" w:styleId="TOC1">
    <w:name w:val="toc 1"/>
    <w:basedOn w:val="Normal"/>
    <w:next w:val="Normal"/>
    <w:autoRedefine/>
    <w:uiPriority w:val="39"/>
    <w:unhideWhenUsed/>
    <w:rsid w:val="00640892"/>
    <w:pPr>
      <w:spacing w:after="100"/>
    </w:pPr>
  </w:style>
  <w:style w:type="character" w:styleId="Mention">
    <w:name w:val="Mention"/>
    <w:basedOn w:val="DefaultParagraphFont"/>
    <w:uiPriority w:val="99"/>
    <w:unhideWhenUsed/>
    <w:rsid w:val="00DF0531"/>
    <w:rPr>
      <w:color w:val="2B579A"/>
      <w:shd w:val="clear" w:color="auto" w:fill="E1DFDD"/>
    </w:rPr>
  </w:style>
  <w:style w:type="paragraph" w:styleId="TOC3">
    <w:name w:val="toc 3"/>
    <w:basedOn w:val="Normal"/>
    <w:next w:val="Normal"/>
    <w:autoRedefine/>
    <w:uiPriority w:val="39"/>
    <w:unhideWhenUsed/>
    <w:rsid w:val="00B30A23"/>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34093">
      <w:bodyDiv w:val="1"/>
      <w:marLeft w:val="0"/>
      <w:marRight w:val="0"/>
      <w:marTop w:val="0"/>
      <w:marBottom w:val="0"/>
      <w:divBdr>
        <w:top w:val="none" w:sz="0" w:space="0" w:color="auto"/>
        <w:left w:val="none" w:sz="0" w:space="0" w:color="auto"/>
        <w:bottom w:val="none" w:sz="0" w:space="0" w:color="auto"/>
        <w:right w:val="none" w:sz="0" w:space="0" w:color="auto"/>
      </w:divBdr>
    </w:div>
    <w:div w:id="486436929">
      <w:bodyDiv w:val="1"/>
      <w:marLeft w:val="0"/>
      <w:marRight w:val="0"/>
      <w:marTop w:val="0"/>
      <w:marBottom w:val="0"/>
      <w:divBdr>
        <w:top w:val="none" w:sz="0" w:space="0" w:color="auto"/>
        <w:left w:val="none" w:sz="0" w:space="0" w:color="auto"/>
        <w:bottom w:val="none" w:sz="0" w:space="0" w:color="auto"/>
        <w:right w:val="none" w:sz="0" w:space="0" w:color="auto"/>
      </w:divBdr>
    </w:div>
    <w:div w:id="525680451">
      <w:bodyDiv w:val="1"/>
      <w:marLeft w:val="0"/>
      <w:marRight w:val="0"/>
      <w:marTop w:val="0"/>
      <w:marBottom w:val="0"/>
      <w:divBdr>
        <w:top w:val="none" w:sz="0" w:space="0" w:color="auto"/>
        <w:left w:val="none" w:sz="0" w:space="0" w:color="auto"/>
        <w:bottom w:val="none" w:sz="0" w:space="0" w:color="auto"/>
        <w:right w:val="none" w:sz="0" w:space="0" w:color="auto"/>
      </w:divBdr>
    </w:div>
    <w:div w:id="1443258524">
      <w:bodyDiv w:val="1"/>
      <w:marLeft w:val="0"/>
      <w:marRight w:val="0"/>
      <w:marTop w:val="0"/>
      <w:marBottom w:val="0"/>
      <w:divBdr>
        <w:top w:val="none" w:sz="0" w:space="0" w:color="auto"/>
        <w:left w:val="none" w:sz="0" w:space="0" w:color="auto"/>
        <w:bottom w:val="none" w:sz="0" w:space="0" w:color="auto"/>
        <w:right w:val="none" w:sz="0" w:space="0" w:color="auto"/>
      </w:divBdr>
    </w:div>
    <w:div w:id="1765805266">
      <w:bodyDiv w:val="1"/>
      <w:marLeft w:val="0"/>
      <w:marRight w:val="0"/>
      <w:marTop w:val="0"/>
      <w:marBottom w:val="0"/>
      <w:divBdr>
        <w:top w:val="none" w:sz="0" w:space="0" w:color="auto"/>
        <w:left w:val="none" w:sz="0" w:space="0" w:color="auto"/>
        <w:bottom w:val="none" w:sz="0" w:space="0" w:color="auto"/>
        <w:right w:val="none" w:sz="0" w:space="0" w:color="auto"/>
      </w:divBdr>
    </w:div>
    <w:div w:id="204459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resources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No</Correctonguidancetrack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311ED9-7CF4-407B-A4CD-FD7B8517B1D3}">
  <ds:schemaRefs>
    <ds:schemaRef ds:uri="http://schemas.microsoft.com/sharepoint/v3/contenttype/form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A3016898-C939-47D2-A4B3-A42BF1E3B413}">
  <ds:schemaRefs>
    <ds:schemaRef ds:uri="http://www.w3.org/XML/1998/namespace"/>
    <ds:schemaRef ds:uri="http://purl.org/dc/elements/1.1/"/>
    <ds:schemaRef ds:uri="7dd4d6b0-2bd1-40f7-94aa-8d4785e79023"/>
    <ds:schemaRef ds:uri="http://schemas.openxmlformats.org/package/2006/metadata/core-properties"/>
    <ds:schemaRef ds:uri="http://purl.org/dc/terms/"/>
    <ds:schemaRef ds:uri="http://schemas.microsoft.com/office/2006/documentManagement/types"/>
    <ds:schemaRef ds:uri="ce5b52f7-9556-48ad-bf4f-1238de82834a"/>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20299C4-12DD-4CF1-B480-1E1940548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SEPA_word_template_resources_cover</Template>
  <TotalTime>20</TotalTime>
  <Pages>15</Pages>
  <Words>3077</Words>
  <Characters>17545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Waste Unit</dc:creator>
  <cp:keywords/>
  <dc:description/>
  <cp:lastModifiedBy>Ross, Naomi</cp:lastModifiedBy>
  <cp:revision>26</cp:revision>
  <cp:lastPrinted>2023-03-24T04:44:00Z</cp:lastPrinted>
  <dcterms:created xsi:type="dcterms:W3CDTF">2025-02-11T13:04:00Z</dcterms:created>
  <dcterms:modified xsi:type="dcterms:W3CDTF">2025-05-01T14:40:00Z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2023-07-28T12:39:48Z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42244f92-3245-42e1-804f-f4492a4b6a19</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