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6303869" w:displacedByCustomXml="next"/>
    <w:bookmarkEnd w:id="0" w:displacedByCustomXml="next"/>
    <w:sdt>
      <w:sdtPr>
        <w:id w:val="-191923907"/>
        <w:docPartObj>
          <w:docPartGallery w:val="Cover Pages"/>
          <w:docPartUnique/>
        </w:docPartObj>
      </w:sdtPr>
      <w:sdtContent>
        <w:p w14:paraId="6803CDBB" w14:textId="77777777" w:rsidR="004073BC" w:rsidRDefault="00F72274" w:rsidP="00F72274">
          <w:r>
            <w:rPr>
              <w:noProof/>
            </w:rPr>
            <w:drawing>
              <wp:anchor distT="0" distB="0" distL="114300" distR="114300" simplePos="0" relativeHeight="251658241" behindDoc="1" locked="0" layoutInCell="1" allowOverlap="1" wp14:anchorId="59BE4433" wp14:editId="5DF6BCCC">
                <wp:simplePos x="0" y="0"/>
                <wp:positionH relativeFrom="column">
                  <wp:posOffset>-532765</wp:posOffset>
                </wp:positionH>
                <wp:positionV relativeFrom="paragraph">
                  <wp:posOffset>-793750</wp:posOffset>
                </wp:positionV>
                <wp:extent cx="7559645" cy="109518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9518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5E0DCF2" wp14:editId="3E88EC15">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74F8765E" w14:textId="77777777" w:rsidR="004073BC" w:rsidRDefault="004073BC" w:rsidP="008C1A73"/>
        <w:p w14:paraId="7AE1E284" w14:textId="77777777" w:rsidR="004073BC" w:rsidRDefault="004073BC" w:rsidP="008C1A73"/>
        <w:p w14:paraId="46BBD139" w14:textId="77777777" w:rsidR="004073BC" w:rsidRDefault="004073BC" w:rsidP="008C1A73"/>
        <w:p w14:paraId="2E564782" w14:textId="77777777" w:rsidR="004073BC" w:rsidRDefault="004073BC" w:rsidP="008C1A73"/>
        <w:p w14:paraId="3F020ADC" w14:textId="77777777" w:rsidR="004073BC" w:rsidRDefault="004073BC" w:rsidP="008C1A73"/>
        <w:p w14:paraId="676B75C5" w14:textId="4121A636" w:rsidR="00DB5061" w:rsidRPr="001A32D6" w:rsidRDefault="00281BB1" w:rsidP="00DB5061">
          <w:pPr>
            <w:rPr>
              <w:b/>
              <w:color w:val="FFFFFF" w:themeColor="background1"/>
              <w:sz w:val="72"/>
              <w:szCs w:val="72"/>
            </w:rPr>
          </w:pPr>
          <w:r w:rsidRPr="001A32D6">
            <w:rPr>
              <w:noProof/>
              <w:sz w:val="72"/>
              <w:szCs w:val="72"/>
            </w:rPr>
            <mc:AlternateContent>
              <mc:Choice Requires="wps">
                <w:drawing>
                  <wp:anchor distT="0" distB="0" distL="114300" distR="114300" simplePos="0" relativeHeight="251658240" behindDoc="0" locked="1" layoutInCell="1" allowOverlap="1" wp14:anchorId="25D5B600" wp14:editId="12B3E5B6">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7ABD715A" w14:textId="3C24C835" w:rsidR="00281BB1" w:rsidRPr="009A240D" w:rsidRDefault="00DB5061" w:rsidP="00281BB1">
                                <w:pPr>
                                  <w:pStyle w:val="BodyText1"/>
                                  <w:rPr>
                                    <w:color w:val="FFFFFF" w:themeColor="background1"/>
                                  </w:rPr>
                                </w:pPr>
                                <w:r>
                                  <w:rPr>
                                    <w:color w:val="FFFFFF" w:themeColor="background1"/>
                                  </w:rPr>
                                  <w:t>October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5B600"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7ABD715A" w14:textId="3C24C835" w:rsidR="00281BB1" w:rsidRPr="009A240D" w:rsidRDefault="00DB5061" w:rsidP="00281BB1">
                          <w:pPr>
                            <w:pStyle w:val="BodyText1"/>
                            <w:rPr>
                              <w:color w:val="FFFFFF" w:themeColor="background1"/>
                            </w:rPr>
                          </w:pPr>
                          <w:r>
                            <w:rPr>
                              <w:color w:val="FFFFFF" w:themeColor="background1"/>
                            </w:rPr>
                            <w:t>October 2023</w:t>
                          </w:r>
                        </w:p>
                      </w:txbxContent>
                    </v:textbox>
                    <w10:anchorlock/>
                  </v:shape>
                </w:pict>
              </mc:Fallback>
            </mc:AlternateContent>
          </w:r>
          <w:r w:rsidR="00DB5061" w:rsidRPr="001A32D6">
            <w:rPr>
              <w:b/>
              <w:color w:val="FFFFFF" w:themeColor="background1"/>
              <w:sz w:val="72"/>
              <w:szCs w:val="72"/>
            </w:rPr>
            <w:t xml:space="preserve">Annual </w:t>
          </w:r>
          <w:r w:rsidR="001A32D6" w:rsidRPr="001A32D6">
            <w:rPr>
              <w:b/>
              <w:bCs/>
              <w:color w:val="FFFFFF" w:themeColor="background1"/>
              <w:sz w:val="72"/>
              <w:szCs w:val="72"/>
            </w:rPr>
            <w:t xml:space="preserve">Customer </w:t>
          </w:r>
          <w:r w:rsidR="003F5C80">
            <w:rPr>
              <w:b/>
              <w:bCs/>
              <w:color w:val="FFFFFF" w:themeColor="background1"/>
              <w:sz w:val="72"/>
              <w:szCs w:val="72"/>
            </w:rPr>
            <w:t xml:space="preserve">Service </w:t>
          </w:r>
          <w:r w:rsidR="00DB5061" w:rsidRPr="001A32D6">
            <w:rPr>
              <w:b/>
              <w:color w:val="FFFFFF" w:themeColor="background1"/>
              <w:sz w:val="72"/>
              <w:szCs w:val="72"/>
            </w:rPr>
            <w:t>Complaints Performance Report</w:t>
          </w:r>
        </w:p>
        <w:p w14:paraId="188E599E" w14:textId="77777777" w:rsidR="00DB5061" w:rsidRPr="001A32D6" w:rsidRDefault="00DB5061" w:rsidP="00DB5061">
          <w:pPr>
            <w:rPr>
              <w:b/>
              <w:color w:val="FFFFFF" w:themeColor="background1"/>
              <w:sz w:val="72"/>
              <w:szCs w:val="72"/>
            </w:rPr>
          </w:pPr>
          <w:r w:rsidRPr="001A32D6">
            <w:rPr>
              <w:b/>
              <w:color w:val="FFFFFF" w:themeColor="background1"/>
              <w:sz w:val="72"/>
              <w:szCs w:val="72"/>
            </w:rPr>
            <w:t>April 2022- March 2023</w:t>
          </w:r>
        </w:p>
        <w:p w14:paraId="3A04382A" w14:textId="2810C8D5" w:rsidR="00801105" w:rsidRDefault="00801105" w:rsidP="00801105">
          <w:pPr>
            <w:rPr>
              <w:b/>
              <w:bCs/>
              <w:color w:val="FFFFFF" w:themeColor="background1"/>
              <w:sz w:val="84"/>
              <w:szCs w:val="84"/>
            </w:rPr>
          </w:pPr>
        </w:p>
        <w:p w14:paraId="4EEB7A8C" w14:textId="77777777" w:rsidR="008C1A73" w:rsidRPr="00CF7EFB" w:rsidRDefault="008C1A73" w:rsidP="00CF7EFB">
          <w:pPr>
            <w:rPr>
              <w:b/>
              <w:bCs/>
              <w:color w:val="FFFFFF" w:themeColor="background1"/>
              <w:sz w:val="84"/>
              <w:szCs w:val="84"/>
            </w:rPr>
          </w:pPr>
          <w:r>
            <w:br w:type="page"/>
          </w:r>
        </w:p>
      </w:sdtContent>
    </w:sdt>
    <w:p w14:paraId="6E4BCF7B" w14:textId="508477D0" w:rsidR="00DB5061" w:rsidRDefault="00DB5061" w:rsidP="007E4EBE">
      <w:pPr>
        <w:pStyle w:val="Heading1"/>
        <w:spacing w:line="360" w:lineRule="auto"/>
        <w:rPr>
          <w:rFonts w:eastAsia="Times New Roman"/>
        </w:rPr>
      </w:pPr>
      <w:r>
        <w:rPr>
          <w:rFonts w:eastAsia="Times New Roman"/>
        </w:rPr>
        <w:lastRenderedPageBreak/>
        <w:t>Introduction</w:t>
      </w:r>
    </w:p>
    <w:p w14:paraId="15731DD7" w14:textId="1544FAAF" w:rsidR="00DB5061" w:rsidRPr="00DB5061" w:rsidRDefault="00DB5061" w:rsidP="007E4EBE">
      <w:pPr>
        <w:pStyle w:val="BodyText1"/>
        <w:rPr>
          <w:rFonts w:eastAsia="Times New Roman"/>
        </w:rPr>
      </w:pPr>
      <w:r w:rsidRPr="00DB5061">
        <w:rPr>
          <w:rFonts w:eastAsia="Times New Roman"/>
        </w:rPr>
        <w:t xml:space="preserve">SEPA’s Complaints Handling Procedure (CHP) is in accordance with the requirements of the Model Complaints Handling Procedure published by the Scottish Public Services Ombudsman (SPSO) and requires us to publish an annual report on our performance against four key indicators, including complaint trends and the actions that have been or will be taken to improve services as a result. </w:t>
      </w:r>
    </w:p>
    <w:p w14:paraId="7C4C7C85" w14:textId="0B043DF9" w:rsidR="00DB5061" w:rsidRPr="00DB5061" w:rsidRDefault="00DB5061" w:rsidP="007E4EBE">
      <w:pPr>
        <w:pStyle w:val="BodyText1"/>
        <w:rPr>
          <w:rFonts w:eastAsia="Times New Roman"/>
        </w:rPr>
      </w:pPr>
      <w:r w:rsidRPr="00DB5061">
        <w:rPr>
          <w:rFonts w:eastAsia="Times New Roman"/>
        </w:rPr>
        <w:t xml:space="preserve">For comparative purposes, the performance figures for the year April 2022 to March 2023 inclusive, are presented alongside the corresponding figures for the </w:t>
      </w:r>
      <w:r w:rsidR="006C6A9B">
        <w:rPr>
          <w:rFonts w:eastAsia="Times New Roman"/>
        </w:rPr>
        <w:t xml:space="preserve">previous </w:t>
      </w:r>
      <w:r w:rsidRPr="00DB5061">
        <w:rPr>
          <w:rFonts w:eastAsia="Times New Roman"/>
        </w:rPr>
        <w:t xml:space="preserve">year April 2021 to March 2022 inclusive. </w:t>
      </w:r>
    </w:p>
    <w:p w14:paraId="01083740" w14:textId="75C968CD" w:rsidR="00DB5061" w:rsidRDefault="00DB5061" w:rsidP="007E4EBE">
      <w:pPr>
        <w:pStyle w:val="Heading1"/>
        <w:spacing w:line="360" w:lineRule="auto"/>
        <w:rPr>
          <w:rFonts w:eastAsia="Times New Roman"/>
          <w:bCs/>
        </w:rPr>
      </w:pPr>
      <w:r>
        <w:rPr>
          <w:rFonts w:eastAsia="Times New Roman"/>
          <w:bCs/>
        </w:rPr>
        <w:t>Indicators</w:t>
      </w:r>
    </w:p>
    <w:p w14:paraId="229CA643" w14:textId="6771F94E" w:rsidR="00DB5061" w:rsidRPr="0070722F" w:rsidRDefault="00DB5061" w:rsidP="0070722F">
      <w:pPr>
        <w:pStyle w:val="Heading2"/>
        <w:spacing w:line="360" w:lineRule="auto"/>
      </w:pPr>
      <w:r w:rsidRPr="0070722F">
        <w:t xml:space="preserve">Indicator One - total number of </w:t>
      </w:r>
      <w:r w:rsidR="003D280A" w:rsidRPr="0070722F">
        <w:t xml:space="preserve">customer service </w:t>
      </w:r>
      <w:r w:rsidRPr="0070722F">
        <w:t xml:space="preserve">complaints </w:t>
      </w:r>
      <w:proofErr w:type="gramStart"/>
      <w:r w:rsidRPr="0070722F">
        <w:t>received</w:t>
      </w:r>
      <w:proofErr w:type="gramEnd"/>
    </w:p>
    <w:p w14:paraId="77F3E4B1" w14:textId="5655E5E0" w:rsidR="00DB5061" w:rsidRPr="00DB5061" w:rsidRDefault="00DB5061" w:rsidP="007E4EBE">
      <w:pPr>
        <w:spacing w:after="240"/>
        <w:rPr>
          <w:rFonts w:asciiTheme="majorHAnsi" w:hAnsiTheme="majorHAnsi" w:cstheme="majorHAnsi"/>
          <w:lang w:eastAsia="en-GB"/>
        </w:rPr>
      </w:pPr>
      <w:r w:rsidRPr="00DB5061">
        <w:rPr>
          <w:rFonts w:asciiTheme="majorHAnsi" w:hAnsiTheme="majorHAnsi" w:cstheme="majorHAnsi"/>
        </w:rPr>
        <w:t xml:space="preserve">This indicator is a measure of the sum of the number of </w:t>
      </w:r>
      <w:r w:rsidR="003D280A">
        <w:rPr>
          <w:rFonts w:asciiTheme="majorHAnsi" w:hAnsiTheme="majorHAnsi" w:cstheme="majorHAnsi"/>
        </w:rPr>
        <w:t xml:space="preserve">service </w:t>
      </w:r>
      <w:r w:rsidRPr="00DB5061">
        <w:rPr>
          <w:rFonts w:asciiTheme="majorHAnsi" w:hAnsiTheme="majorHAnsi" w:cstheme="majorHAnsi"/>
        </w:rPr>
        <w:t>complaints received at Stage 1 (this includes escalated complaints as they were first received at Stage 1), and the number of complaints received directly at Stage 2.</w:t>
      </w:r>
    </w:p>
    <w:p w14:paraId="6299557B" w14:textId="77777777" w:rsidR="00DB5061" w:rsidRPr="00DB5061" w:rsidRDefault="00DB5061" w:rsidP="007E4EBE">
      <w:pPr>
        <w:spacing w:after="240"/>
        <w:ind w:firstLine="11"/>
        <w:rPr>
          <w:rFonts w:asciiTheme="majorHAnsi" w:hAnsiTheme="majorHAnsi" w:cstheme="majorHAnsi"/>
        </w:rPr>
      </w:pPr>
      <w:r w:rsidRPr="00DB5061">
        <w:rPr>
          <w:rFonts w:asciiTheme="majorHAnsi" w:hAnsiTheme="majorHAnsi" w:cstheme="majorHAnsi"/>
        </w:rPr>
        <w:t>A total of 32 service level complaints were received in the reporting period and handled under the SEPA’s CHP, with 21 being handled at Stage 1 and 11 at Stage 2.</w:t>
      </w:r>
    </w:p>
    <w:p w14:paraId="5755AF70" w14:textId="77777777" w:rsidR="005155A0" w:rsidRDefault="00DB5061" w:rsidP="005155A0">
      <w:pPr>
        <w:keepNext/>
        <w:spacing w:after="240"/>
        <w:ind w:left="709"/>
        <w:jc w:val="center"/>
      </w:pPr>
      <w:r w:rsidRPr="00DB5061">
        <w:rPr>
          <w:rFonts w:asciiTheme="majorHAnsi" w:hAnsiTheme="majorHAnsi" w:cstheme="majorHAnsi"/>
          <w:noProof/>
          <w:shd w:val="clear" w:color="auto" w:fill="E6E6E6"/>
        </w:rPr>
        <w:lastRenderedPageBreak/>
        <w:drawing>
          <wp:inline distT="0" distB="0" distL="0" distR="0" wp14:anchorId="3F78BB4B" wp14:editId="2615E93A">
            <wp:extent cx="5270500" cy="3063875"/>
            <wp:effectExtent l="0" t="0" r="6350" b="3175"/>
            <wp:docPr id="246804909" name="Chart 246804909" descr="Bar graph of total Stage 1 and Stage 2 complaints received in reporting years 2021-2022 and 2022-2023. It shows an increase of 8 Stage 1complaints and 1 Stage 2 complaint between years.">
              <a:extLst xmlns:a="http://schemas.openxmlformats.org/drawingml/2006/main">
                <a:ext uri="{FF2B5EF4-FFF2-40B4-BE49-F238E27FC236}">
                  <a16:creationId xmlns:a16="http://schemas.microsoft.com/office/drawing/2014/main" id="{2C89F4EA-428C-FBC2-69AA-BBBC8B948A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714134" w14:textId="61079EF9" w:rsidR="00DB5061" w:rsidRPr="005155A0" w:rsidRDefault="005155A0" w:rsidP="005155A0">
      <w:pPr>
        <w:pStyle w:val="Caption"/>
        <w:jc w:val="center"/>
        <w:rPr>
          <w:rFonts w:asciiTheme="majorHAnsi" w:hAnsiTheme="majorHAnsi" w:cstheme="majorHAnsi"/>
          <w:sz w:val="24"/>
          <w:szCs w:val="24"/>
        </w:rPr>
      </w:pPr>
      <w:r w:rsidRPr="005155A0">
        <w:rPr>
          <w:sz w:val="24"/>
          <w:szCs w:val="24"/>
        </w:rPr>
        <w:t xml:space="preserve">Table </w:t>
      </w:r>
      <w:r w:rsidRPr="005155A0">
        <w:rPr>
          <w:sz w:val="24"/>
          <w:szCs w:val="24"/>
        </w:rPr>
        <w:fldChar w:fldCharType="begin"/>
      </w:r>
      <w:r w:rsidRPr="005155A0">
        <w:rPr>
          <w:sz w:val="24"/>
          <w:szCs w:val="24"/>
        </w:rPr>
        <w:instrText xml:space="preserve"> SEQ Table \* ARABIC </w:instrText>
      </w:r>
      <w:r w:rsidRPr="005155A0">
        <w:rPr>
          <w:sz w:val="24"/>
          <w:szCs w:val="24"/>
        </w:rPr>
        <w:fldChar w:fldCharType="separate"/>
      </w:r>
      <w:r w:rsidR="00BC1C6D">
        <w:rPr>
          <w:noProof/>
          <w:sz w:val="24"/>
          <w:szCs w:val="24"/>
        </w:rPr>
        <w:t>1</w:t>
      </w:r>
      <w:r w:rsidRPr="005155A0">
        <w:rPr>
          <w:sz w:val="24"/>
          <w:szCs w:val="24"/>
        </w:rPr>
        <w:fldChar w:fldCharType="end"/>
      </w:r>
      <w:r w:rsidRPr="005155A0">
        <w:rPr>
          <w:sz w:val="24"/>
          <w:szCs w:val="24"/>
        </w:rPr>
        <w:t xml:space="preserve">: Bar graph showing total number of Stage 1 and Stage 2 </w:t>
      </w:r>
      <w:r w:rsidR="00E41496" w:rsidRPr="005155A0">
        <w:rPr>
          <w:sz w:val="24"/>
          <w:szCs w:val="24"/>
        </w:rPr>
        <w:t>complaints.</w:t>
      </w:r>
    </w:p>
    <w:p w14:paraId="593ACA88" w14:textId="333FF408" w:rsidR="00DB5061" w:rsidRPr="00DB5061" w:rsidRDefault="00DB5061" w:rsidP="007E4EBE">
      <w:pPr>
        <w:spacing w:after="240"/>
        <w:ind w:firstLine="22"/>
        <w:rPr>
          <w:rFonts w:asciiTheme="majorHAnsi" w:hAnsiTheme="majorHAnsi" w:cstheme="majorBidi"/>
          <w:lang w:eastAsia="en-GB"/>
        </w:rPr>
      </w:pPr>
      <w:r w:rsidRPr="00DB5061">
        <w:rPr>
          <w:rFonts w:asciiTheme="majorHAnsi" w:hAnsiTheme="majorHAnsi" w:cstheme="majorBidi"/>
        </w:rPr>
        <w:t>This represents an overall increase of 39% from the total number of complaints (23) handled in the previous year 2021/22.</w:t>
      </w:r>
      <w:r w:rsidR="00F108BB">
        <w:rPr>
          <w:rFonts w:asciiTheme="majorHAnsi" w:hAnsiTheme="majorHAnsi" w:cstheme="majorBidi"/>
        </w:rPr>
        <w:t xml:space="preserve"> </w:t>
      </w:r>
      <w:r w:rsidRPr="00DB5061">
        <w:rPr>
          <w:rFonts w:asciiTheme="majorHAnsi" w:hAnsiTheme="majorHAnsi" w:cstheme="majorBidi"/>
        </w:rPr>
        <w:t>The number of Stage 1 complaints handled in this reporting year increased by 62% (from 13 to 21), with Stage 2 complaints increasing only by 9% (from 10 to 11).</w:t>
      </w:r>
    </w:p>
    <w:p w14:paraId="0316FF6D" w14:textId="4BDC0F09" w:rsidR="00DB5061" w:rsidRDefault="00DB5061" w:rsidP="007E4EBE">
      <w:pPr>
        <w:pStyle w:val="Heading2"/>
        <w:spacing w:line="360" w:lineRule="auto"/>
        <w:rPr>
          <w:rFonts w:eastAsia="Times New Roman"/>
        </w:rPr>
      </w:pPr>
      <w:r w:rsidRPr="00DB5061">
        <w:rPr>
          <w:rFonts w:eastAsia="Times New Roman"/>
        </w:rPr>
        <w:t xml:space="preserve">Indicator two - number and percentage of complaints at each </w:t>
      </w:r>
      <w:r w:rsidR="00B12E46">
        <w:rPr>
          <w:rFonts w:eastAsia="Times New Roman"/>
        </w:rPr>
        <w:t>s</w:t>
      </w:r>
      <w:r w:rsidRPr="00DB5061">
        <w:rPr>
          <w:rFonts w:eastAsia="Times New Roman"/>
        </w:rPr>
        <w:t xml:space="preserve">tage that were closed in full within the set timescales of five and 20 working </w:t>
      </w:r>
      <w:proofErr w:type="gramStart"/>
      <w:r w:rsidRPr="00DB5061">
        <w:rPr>
          <w:rFonts w:eastAsia="Times New Roman"/>
        </w:rPr>
        <w:t>days</w:t>
      </w:r>
      <w:proofErr w:type="gramEnd"/>
    </w:p>
    <w:p w14:paraId="5AC9B4B1" w14:textId="73063DAF" w:rsidR="00B12E46" w:rsidRPr="00B12E46" w:rsidRDefault="006C6A9B" w:rsidP="007E4EBE">
      <w:pPr>
        <w:spacing w:after="240"/>
        <w:rPr>
          <w:rFonts w:ascii="Arial" w:hAnsi="Arial" w:cs="Arial"/>
          <w:b/>
          <w:bCs/>
        </w:rPr>
      </w:pPr>
      <w:r>
        <w:rPr>
          <w:rFonts w:asciiTheme="majorHAnsi" w:hAnsiTheme="majorHAnsi" w:cstheme="majorHAnsi"/>
        </w:rPr>
        <w:t>T</w:t>
      </w:r>
      <w:r w:rsidR="00B12E46" w:rsidRPr="00B12E46">
        <w:rPr>
          <w:rFonts w:asciiTheme="majorHAnsi" w:hAnsiTheme="majorHAnsi" w:cstheme="majorHAnsi"/>
        </w:rPr>
        <w:t xml:space="preserve">his indicator reports on the number of complaints closed in full at Stage 1, Stage 2 and after escalation within MCHP timescales as % of all Stage 1, Stage 2 and escalated complaints </w:t>
      </w:r>
      <w:r w:rsidR="00B12E46" w:rsidRPr="00B12E46">
        <w:rPr>
          <w:rFonts w:ascii="Arial" w:hAnsi="Arial" w:cs="Arial"/>
        </w:rPr>
        <w:t>responded to in full.</w:t>
      </w:r>
    </w:p>
    <w:p w14:paraId="41764B68" w14:textId="77777777" w:rsidR="00BC1C6D" w:rsidRDefault="00B12E46" w:rsidP="00BC1C6D">
      <w:pPr>
        <w:keepNext/>
        <w:spacing w:after="240"/>
        <w:ind w:left="567"/>
        <w:jc w:val="center"/>
      </w:pPr>
      <w:r w:rsidRPr="00B12E46">
        <w:rPr>
          <w:rFonts w:ascii="Arial" w:eastAsia="Calibri" w:hAnsi="Arial" w:cs="Arial"/>
          <w:noProof/>
          <w:color w:val="2B579A"/>
          <w:sz w:val="22"/>
          <w:szCs w:val="22"/>
          <w:shd w:val="clear" w:color="auto" w:fill="E6E6E6"/>
        </w:rPr>
        <w:lastRenderedPageBreak/>
        <w:drawing>
          <wp:inline distT="0" distB="0" distL="0" distR="0" wp14:anchorId="02C994E8" wp14:editId="3B0B7B59">
            <wp:extent cx="5448300" cy="3086100"/>
            <wp:effectExtent l="0" t="0" r="0" b="0"/>
            <wp:docPr id="1157179706" name="Chart 1157179706" descr="Stacked bar chart of Stage 1 complaints showing 57% were closed within timescales in 2022-2023. This was an increase from 46% in 2021-2022.">
              <a:extLst xmlns:a="http://schemas.openxmlformats.org/drawingml/2006/main">
                <a:ext uri="{FF2B5EF4-FFF2-40B4-BE49-F238E27FC236}">
                  <a16:creationId xmlns:a16="http://schemas.microsoft.com/office/drawing/2014/main" id="{F809402C-D7F2-A2E8-4743-E8A7B1F56B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8AC8D5" w14:textId="13F6A54F" w:rsidR="00B12E46" w:rsidRDefault="00BC1C6D" w:rsidP="00BC1C6D">
      <w:pPr>
        <w:pStyle w:val="Caption"/>
        <w:jc w:val="center"/>
        <w:rPr>
          <w:sz w:val="24"/>
          <w:szCs w:val="24"/>
        </w:rPr>
      </w:pPr>
      <w:r w:rsidRPr="00BC1C6D">
        <w:rPr>
          <w:sz w:val="24"/>
          <w:szCs w:val="24"/>
        </w:rPr>
        <w:t xml:space="preserve">Table </w:t>
      </w:r>
      <w:r w:rsidRPr="00BC1C6D">
        <w:rPr>
          <w:sz w:val="24"/>
          <w:szCs w:val="24"/>
        </w:rPr>
        <w:fldChar w:fldCharType="begin"/>
      </w:r>
      <w:r w:rsidRPr="00BC1C6D">
        <w:rPr>
          <w:sz w:val="24"/>
          <w:szCs w:val="24"/>
        </w:rPr>
        <w:instrText xml:space="preserve"> SEQ Table \* ARABIC </w:instrText>
      </w:r>
      <w:r w:rsidRPr="00BC1C6D">
        <w:rPr>
          <w:sz w:val="24"/>
          <w:szCs w:val="24"/>
        </w:rPr>
        <w:fldChar w:fldCharType="separate"/>
      </w:r>
      <w:r>
        <w:rPr>
          <w:noProof/>
          <w:sz w:val="24"/>
          <w:szCs w:val="24"/>
        </w:rPr>
        <w:t>2</w:t>
      </w:r>
      <w:r w:rsidRPr="00BC1C6D">
        <w:rPr>
          <w:sz w:val="24"/>
          <w:szCs w:val="24"/>
        </w:rPr>
        <w:fldChar w:fldCharType="end"/>
      </w:r>
      <w:r w:rsidRPr="00BC1C6D">
        <w:rPr>
          <w:sz w:val="24"/>
          <w:szCs w:val="24"/>
        </w:rPr>
        <w:t>: Bar graph showing number of Stage 1 complaints closed within timescales.</w:t>
      </w:r>
    </w:p>
    <w:p w14:paraId="23867040" w14:textId="77777777" w:rsidR="00BC1C6D" w:rsidRPr="00BC1C6D" w:rsidRDefault="00BC1C6D" w:rsidP="00BC1C6D"/>
    <w:p w14:paraId="72C11D54" w14:textId="77777777" w:rsidR="00BC1C6D" w:rsidRDefault="00B12E46" w:rsidP="00BC1C6D">
      <w:pPr>
        <w:keepNext/>
        <w:spacing w:after="240"/>
        <w:ind w:left="567"/>
        <w:jc w:val="center"/>
      </w:pPr>
      <w:r w:rsidRPr="00B12E46">
        <w:rPr>
          <w:rFonts w:ascii="Arial" w:eastAsia="Calibri" w:hAnsi="Arial" w:cs="Arial"/>
          <w:noProof/>
          <w:color w:val="2B579A"/>
          <w:sz w:val="22"/>
          <w:szCs w:val="22"/>
          <w:shd w:val="clear" w:color="auto" w:fill="E6E6E6"/>
        </w:rPr>
        <w:drawing>
          <wp:inline distT="0" distB="0" distL="0" distR="0" wp14:anchorId="7514393A" wp14:editId="14BEF6DC">
            <wp:extent cx="5353050" cy="3305175"/>
            <wp:effectExtent l="0" t="0" r="0" b="9525"/>
            <wp:docPr id="1487384572" name="Chart 1487384572" descr="Stacked bar chart of Stage 2 complaints showing 36% were closed within timescales in 2022-2023. This was an increase from 0% in 2021-2022.">
              <a:extLst xmlns:a="http://schemas.openxmlformats.org/drawingml/2006/main">
                <a:ext uri="{FF2B5EF4-FFF2-40B4-BE49-F238E27FC236}">
                  <a16:creationId xmlns:a16="http://schemas.microsoft.com/office/drawing/2014/main" id="{6D5CD890-8AA8-3D05-45BF-7E0E5C8DFE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ECED31" w14:textId="64D0E60F" w:rsidR="00B12E46" w:rsidRPr="00BC1C6D" w:rsidRDefault="00BC1C6D" w:rsidP="00BC1C6D">
      <w:pPr>
        <w:pStyle w:val="Caption"/>
        <w:jc w:val="center"/>
        <w:rPr>
          <w:rFonts w:ascii="Arial" w:eastAsia="Calibri" w:hAnsi="Arial" w:cs="Arial"/>
          <w:sz w:val="24"/>
          <w:szCs w:val="24"/>
        </w:rPr>
      </w:pPr>
      <w:r w:rsidRPr="00BC1C6D">
        <w:rPr>
          <w:sz w:val="24"/>
          <w:szCs w:val="24"/>
        </w:rPr>
        <w:t xml:space="preserve">Table </w:t>
      </w:r>
      <w:r w:rsidRPr="00BC1C6D">
        <w:rPr>
          <w:sz w:val="24"/>
          <w:szCs w:val="24"/>
        </w:rPr>
        <w:fldChar w:fldCharType="begin"/>
      </w:r>
      <w:r w:rsidRPr="00BC1C6D">
        <w:rPr>
          <w:sz w:val="24"/>
          <w:szCs w:val="24"/>
        </w:rPr>
        <w:instrText xml:space="preserve"> SEQ Table \* ARABIC </w:instrText>
      </w:r>
      <w:r w:rsidRPr="00BC1C6D">
        <w:rPr>
          <w:sz w:val="24"/>
          <w:szCs w:val="24"/>
        </w:rPr>
        <w:fldChar w:fldCharType="separate"/>
      </w:r>
      <w:r>
        <w:rPr>
          <w:noProof/>
          <w:sz w:val="24"/>
          <w:szCs w:val="24"/>
        </w:rPr>
        <w:t>3</w:t>
      </w:r>
      <w:r w:rsidRPr="00BC1C6D">
        <w:rPr>
          <w:sz w:val="24"/>
          <w:szCs w:val="24"/>
        </w:rPr>
        <w:fldChar w:fldCharType="end"/>
      </w:r>
      <w:r w:rsidRPr="00BC1C6D">
        <w:rPr>
          <w:sz w:val="24"/>
          <w:szCs w:val="24"/>
        </w:rPr>
        <w:t>: Bar graph showing number of Stage 2 complaints closed within timescales.</w:t>
      </w:r>
    </w:p>
    <w:p w14:paraId="16BB90C0" w14:textId="77777777" w:rsidR="00DB5061" w:rsidRDefault="00DB5061" w:rsidP="007E4EBE">
      <w:pPr>
        <w:pStyle w:val="BodyText1"/>
        <w:rPr>
          <w:rFonts w:eastAsia="Times New Roman"/>
        </w:rPr>
      </w:pPr>
    </w:p>
    <w:p w14:paraId="6570F391" w14:textId="65934271" w:rsidR="00DB5061" w:rsidRDefault="00B12E46" w:rsidP="007E4EBE">
      <w:pPr>
        <w:pStyle w:val="Heading2"/>
        <w:spacing w:line="360" w:lineRule="auto"/>
        <w:rPr>
          <w:rFonts w:eastAsia="Times New Roman"/>
        </w:rPr>
      </w:pPr>
      <w:r w:rsidRPr="00DD441D">
        <w:rPr>
          <w:shd w:val="clear" w:color="auto" w:fill="FFFFFF"/>
        </w:rPr>
        <w:lastRenderedPageBreak/>
        <w:t>Indicator Three - average time in working days for a full response to complaints at each</w:t>
      </w:r>
      <w:r>
        <w:rPr>
          <w:shd w:val="clear" w:color="auto" w:fill="FFFFFF"/>
        </w:rPr>
        <w:t xml:space="preserve"> </w:t>
      </w:r>
      <w:proofErr w:type="gramStart"/>
      <w:r>
        <w:rPr>
          <w:shd w:val="clear" w:color="auto" w:fill="FFFFFF"/>
        </w:rPr>
        <w:t>stage</w:t>
      </w:r>
      <w:proofErr w:type="gramEnd"/>
    </w:p>
    <w:p w14:paraId="0E84D70F" w14:textId="211BBCB0" w:rsidR="00B12E46" w:rsidRPr="00B12E46" w:rsidRDefault="00B12E46" w:rsidP="007E4EBE">
      <w:pPr>
        <w:spacing w:after="240"/>
        <w:rPr>
          <w:rFonts w:cstheme="minorHAnsi"/>
          <w:shd w:val="clear" w:color="auto" w:fill="FFFFFF"/>
        </w:rPr>
      </w:pPr>
      <w:r w:rsidRPr="00B12E46">
        <w:rPr>
          <w:rFonts w:cstheme="minorHAnsi"/>
          <w:shd w:val="clear" w:color="auto" w:fill="FFFFFF"/>
        </w:rPr>
        <w:t>This indicator records the average (mean) time in working days to respond at Stage 1, Stage 2 and after escalation.</w:t>
      </w:r>
    </w:p>
    <w:p w14:paraId="193B2288" w14:textId="7A149C8A" w:rsidR="00B12E46" w:rsidRPr="00B12E46" w:rsidRDefault="00B12E46" w:rsidP="007E4EBE">
      <w:pPr>
        <w:spacing w:after="240"/>
        <w:rPr>
          <w:rStyle w:val="normaltextrun"/>
          <w:rFonts w:cstheme="minorHAnsi"/>
          <w:shd w:val="clear" w:color="auto" w:fill="FFFFFF"/>
        </w:rPr>
      </w:pPr>
      <w:r w:rsidRPr="00B12E46">
        <w:rPr>
          <w:rStyle w:val="normaltextrun"/>
          <w:rFonts w:cstheme="minorHAnsi"/>
          <w:shd w:val="clear" w:color="auto" w:fill="FFFFFF"/>
        </w:rPr>
        <w:t xml:space="preserve">Response times to Stage 1 and Stage 2 complaints improved in the reporting year with the average number of days for Stage 1 complaints reducing from 6 days in 2021/22 to 5 days in 2022/23 and the average number of days for Stage 2 complaints reducing from </w:t>
      </w:r>
      <w:r w:rsidR="00FA4CED">
        <w:rPr>
          <w:rStyle w:val="normaltextrun"/>
          <w:rFonts w:cstheme="minorHAnsi"/>
          <w:shd w:val="clear" w:color="auto" w:fill="FFFFFF"/>
        </w:rPr>
        <w:t>33</w:t>
      </w:r>
      <w:r w:rsidRPr="00B12E46">
        <w:rPr>
          <w:rStyle w:val="normaltextrun"/>
          <w:rFonts w:cstheme="minorHAnsi"/>
          <w:shd w:val="clear" w:color="auto" w:fill="FFFFFF"/>
        </w:rPr>
        <w:t xml:space="preserve"> to 21 days. </w:t>
      </w:r>
    </w:p>
    <w:p w14:paraId="0CA88B35" w14:textId="77777777" w:rsidR="00B12E46" w:rsidRPr="00B12E46" w:rsidRDefault="00B12E46" w:rsidP="007E4EBE">
      <w:pPr>
        <w:spacing w:after="240"/>
        <w:rPr>
          <w:rStyle w:val="normaltextrun"/>
          <w:rFonts w:cstheme="minorHAnsi"/>
          <w:shd w:val="clear" w:color="auto" w:fill="FFFFFF"/>
        </w:rPr>
      </w:pPr>
      <w:r w:rsidRPr="00B12E46">
        <w:rPr>
          <w:rStyle w:val="normaltextrun"/>
          <w:rFonts w:cstheme="minorHAnsi"/>
          <w:shd w:val="clear" w:color="auto" w:fill="FFFFFF"/>
        </w:rPr>
        <w:t>We assess this as being due to continued recovery from the 2020 cyberattack, enhanced staff awareness and understanding of the complaints handling processes</w:t>
      </w:r>
      <w:r w:rsidRPr="00B12E46">
        <w:rPr>
          <w:rStyle w:val="normaltextrun"/>
          <w:rFonts w:cstheme="minorHAnsi"/>
        </w:rPr>
        <w:t xml:space="preserve"> following roll-out of training modules, and the priority given to customer complaints by SEPA management at the highest level</w:t>
      </w:r>
      <w:r w:rsidRPr="00B12E46">
        <w:rPr>
          <w:rStyle w:val="normaltextrun"/>
          <w:rFonts w:cstheme="minorHAnsi"/>
          <w:shd w:val="clear" w:color="auto" w:fill="FFFFFF"/>
        </w:rPr>
        <w:t>.</w:t>
      </w:r>
    </w:p>
    <w:p w14:paraId="636943EA" w14:textId="77777777" w:rsidR="0066694E" w:rsidRDefault="0066694E" w:rsidP="007E4EBE">
      <w:pPr>
        <w:pStyle w:val="Heading2"/>
        <w:spacing w:line="360" w:lineRule="auto"/>
      </w:pPr>
    </w:p>
    <w:p w14:paraId="64B78329" w14:textId="77777777" w:rsidR="0066694E" w:rsidRDefault="0066694E" w:rsidP="0066694E"/>
    <w:p w14:paraId="1244DFCE" w14:textId="77777777" w:rsidR="0066694E" w:rsidRDefault="0066694E" w:rsidP="0066694E"/>
    <w:p w14:paraId="03E46903" w14:textId="77777777" w:rsidR="0066694E" w:rsidRDefault="0066694E" w:rsidP="0066694E"/>
    <w:p w14:paraId="6BBEB072" w14:textId="77777777" w:rsidR="0066694E" w:rsidRDefault="0066694E" w:rsidP="0066694E"/>
    <w:p w14:paraId="7D03EB2C" w14:textId="77777777" w:rsidR="005A5095" w:rsidRDefault="005A5095" w:rsidP="0066694E"/>
    <w:p w14:paraId="3A8E672F" w14:textId="77777777" w:rsidR="005A5095" w:rsidRDefault="005A5095" w:rsidP="0066694E"/>
    <w:p w14:paraId="58BFC554" w14:textId="77777777" w:rsidR="005A5095" w:rsidRDefault="005A5095" w:rsidP="0066694E"/>
    <w:p w14:paraId="77E6B2A2" w14:textId="77777777" w:rsidR="005A5095" w:rsidRDefault="005A5095" w:rsidP="0066694E"/>
    <w:p w14:paraId="1F8D4098" w14:textId="77777777" w:rsidR="0066694E" w:rsidRDefault="0066694E" w:rsidP="007E4EBE">
      <w:pPr>
        <w:pStyle w:val="Heading2"/>
        <w:spacing w:line="360" w:lineRule="auto"/>
      </w:pPr>
    </w:p>
    <w:p w14:paraId="48DC3304" w14:textId="77777777" w:rsidR="005A5095" w:rsidRPr="005A5095" w:rsidRDefault="005A5095" w:rsidP="005A5095"/>
    <w:p w14:paraId="7011595D" w14:textId="2DA7F5CB" w:rsidR="00DB5061" w:rsidRDefault="00B12E46" w:rsidP="007E4EBE">
      <w:pPr>
        <w:pStyle w:val="Heading2"/>
        <w:spacing w:line="360" w:lineRule="auto"/>
        <w:rPr>
          <w:rFonts w:eastAsia="Times New Roman"/>
        </w:rPr>
      </w:pPr>
      <w:r w:rsidRPr="004A7891">
        <w:lastRenderedPageBreak/>
        <w:t>Indicator Four - outcome of complaints at each</w:t>
      </w:r>
      <w:r>
        <w:t xml:space="preserve"> Stage</w:t>
      </w:r>
    </w:p>
    <w:p w14:paraId="3C406DBD" w14:textId="6F366F0F" w:rsidR="00B12E46" w:rsidRPr="00B12E46" w:rsidRDefault="00B12E46" w:rsidP="007E4EBE">
      <w:pPr>
        <w:spacing w:after="240"/>
        <w:rPr>
          <w:rFonts w:eastAsia="Calibri" w:cstheme="minorHAnsi"/>
        </w:rPr>
      </w:pPr>
      <w:r>
        <w:rPr>
          <w:rFonts w:eastAsia="Calibri" w:cstheme="minorHAnsi"/>
        </w:rPr>
        <w:t>This</w:t>
      </w:r>
      <w:r w:rsidRPr="00B12E46">
        <w:rPr>
          <w:rFonts w:eastAsia="Calibri" w:cstheme="minorHAnsi"/>
        </w:rPr>
        <w:t xml:space="preserve"> indicator quantifies the number of complaints upheld, partially upheld, not upheld and resolved at Stage 1, Stage 2 and after escalation as % of all complaints closed at Stage 1, Stage 2 and after escalation.</w:t>
      </w:r>
    </w:p>
    <w:p w14:paraId="09E4FF11" w14:textId="77777777" w:rsidR="00BC1C6D" w:rsidRDefault="00B12E46" w:rsidP="00BC1C6D">
      <w:pPr>
        <w:keepNext/>
        <w:spacing w:after="240"/>
        <w:ind w:left="567" w:hanging="567"/>
        <w:jc w:val="center"/>
      </w:pPr>
      <w:r w:rsidRPr="00B12E46">
        <w:rPr>
          <w:rFonts w:eastAsia="Calibri" w:cstheme="minorHAnsi"/>
          <w:noProof/>
          <w:highlight w:val="yellow"/>
          <w:shd w:val="clear" w:color="auto" w:fill="E6E6E6"/>
        </w:rPr>
        <w:drawing>
          <wp:inline distT="0" distB="0" distL="0" distR="0" wp14:anchorId="6B1174DA" wp14:editId="705A1F14">
            <wp:extent cx="5478283" cy="2722328"/>
            <wp:effectExtent l="0" t="0" r="8255" b="1905"/>
            <wp:docPr id="1196795651" name="Chart 1196795651" descr="Bar chart of complaint outcomes at Stage 1 and Stage 2. It shows there was an increase from 10 to 17 not upheld at Stage 1 between 2021-2022 and 2022-2023. The number not upheld at Stage 2 remained at 10 for both reporting years.">
              <a:extLst xmlns:a="http://schemas.openxmlformats.org/drawingml/2006/main">
                <a:ext uri="{FF2B5EF4-FFF2-40B4-BE49-F238E27FC236}">
                  <a16:creationId xmlns:a16="http://schemas.microsoft.com/office/drawing/2014/main" id="{9C48235C-8BE6-5E90-3B77-825338280C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EBECDD2" w14:textId="1B9B2FDA" w:rsidR="00B12E46" w:rsidRPr="00BC1C6D" w:rsidRDefault="00BC1C6D" w:rsidP="00BC1C6D">
      <w:pPr>
        <w:pStyle w:val="Caption"/>
        <w:jc w:val="center"/>
        <w:rPr>
          <w:rFonts w:eastAsia="Calibri" w:cstheme="minorHAnsi"/>
          <w:b/>
          <w:bCs/>
          <w:sz w:val="24"/>
          <w:szCs w:val="24"/>
          <w:lang w:eastAsia="en-GB"/>
        </w:rPr>
      </w:pPr>
      <w:r w:rsidRPr="00BC1C6D">
        <w:rPr>
          <w:sz w:val="24"/>
          <w:szCs w:val="24"/>
        </w:rPr>
        <w:t xml:space="preserve">Table </w:t>
      </w:r>
      <w:r w:rsidRPr="00BC1C6D">
        <w:rPr>
          <w:sz w:val="24"/>
          <w:szCs w:val="24"/>
        </w:rPr>
        <w:fldChar w:fldCharType="begin"/>
      </w:r>
      <w:r w:rsidRPr="00BC1C6D">
        <w:rPr>
          <w:sz w:val="24"/>
          <w:szCs w:val="24"/>
        </w:rPr>
        <w:instrText xml:space="preserve"> SEQ Table \* ARABIC </w:instrText>
      </w:r>
      <w:r w:rsidRPr="00BC1C6D">
        <w:rPr>
          <w:sz w:val="24"/>
          <w:szCs w:val="24"/>
        </w:rPr>
        <w:fldChar w:fldCharType="separate"/>
      </w:r>
      <w:r w:rsidRPr="00BC1C6D">
        <w:rPr>
          <w:noProof/>
          <w:sz w:val="24"/>
          <w:szCs w:val="24"/>
        </w:rPr>
        <w:t>4</w:t>
      </w:r>
      <w:r w:rsidRPr="00BC1C6D">
        <w:rPr>
          <w:sz w:val="24"/>
          <w:szCs w:val="24"/>
        </w:rPr>
        <w:fldChar w:fldCharType="end"/>
      </w:r>
      <w:r w:rsidRPr="00BC1C6D">
        <w:rPr>
          <w:sz w:val="24"/>
          <w:szCs w:val="24"/>
        </w:rPr>
        <w:t>: Bar graph showing the outcomes of complaints at each stage (upheld, not upheld, partially upheld, and resolved</w:t>
      </w:r>
      <w:r>
        <w:rPr>
          <w:sz w:val="24"/>
          <w:szCs w:val="24"/>
        </w:rPr>
        <w:t>.</w:t>
      </w:r>
      <w:r w:rsidRPr="00BC1C6D">
        <w:rPr>
          <w:sz w:val="24"/>
          <w:szCs w:val="24"/>
        </w:rPr>
        <w:t>)</w:t>
      </w:r>
    </w:p>
    <w:p w14:paraId="48EAA2D1" w14:textId="6F941FF8" w:rsidR="00B12E46" w:rsidRPr="00B12E46" w:rsidRDefault="00B12E46" w:rsidP="007E4EBE">
      <w:pPr>
        <w:spacing w:after="240"/>
        <w:rPr>
          <w:rFonts w:eastAsia="Calibri" w:cstheme="minorHAnsi"/>
        </w:rPr>
      </w:pPr>
    </w:p>
    <w:p w14:paraId="6C75083C" w14:textId="03107BF6" w:rsidR="00B12E46" w:rsidRPr="00B12E46" w:rsidRDefault="00B12E46" w:rsidP="00B12E46">
      <w:pPr>
        <w:spacing w:after="240"/>
        <w:rPr>
          <w:rFonts w:eastAsia="Calibri" w:cstheme="minorHAnsi"/>
        </w:rPr>
      </w:pPr>
      <w:r w:rsidRPr="00B12E46">
        <w:rPr>
          <w:rFonts w:eastAsia="Calibri" w:cstheme="minorHAnsi"/>
        </w:rPr>
        <w:t>Of the 21 Stage 1 complaints closed in the reporting period, one (5%) was found Upheld, 17 (81%) were found Not Upheld and three (14%) were Resolved.</w:t>
      </w:r>
      <w:r w:rsidR="00F108BB">
        <w:rPr>
          <w:rFonts w:eastAsia="Calibri" w:cstheme="minorHAnsi"/>
        </w:rPr>
        <w:t xml:space="preserve"> </w:t>
      </w:r>
    </w:p>
    <w:p w14:paraId="60C9DD9B" w14:textId="77777777" w:rsidR="00B12E46" w:rsidRPr="00B12E46" w:rsidRDefault="00B12E46" w:rsidP="00B12E46">
      <w:pPr>
        <w:spacing w:after="240"/>
        <w:rPr>
          <w:rFonts w:eastAsia="Calibri" w:cstheme="minorHAnsi"/>
          <w:sz w:val="22"/>
          <w:szCs w:val="22"/>
        </w:rPr>
      </w:pPr>
      <w:r w:rsidRPr="00B12E46">
        <w:rPr>
          <w:rFonts w:eastAsia="Calibri" w:cstheme="minorHAnsi"/>
        </w:rPr>
        <w:t>The Upheld complaint concerned a failure by SEPA to deliver a timely service and provide the customer with regular updates about a then ongoing discharge of sewage into a watercourse. The relevant Unit Manager apologised, explained the reasons for delay and committed to further action and regular contact with the customer.</w:t>
      </w:r>
    </w:p>
    <w:p w14:paraId="3B476E3B" w14:textId="77777777" w:rsidR="00B12E46" w:rsidRPr="00B12E46" w:rsidRDefault="00B12E46" w:rsidP="00B12E46">
      <w:pPr>
        <w:spacing w:after="240"/>
        <w:rPr>
          <w:rFonts w:eastAsia="Calibri" w:cstheme="minorHAnsi"/>
        </w:rPr>
      </w:pPr>
      <w:r w:rsidRPr="00B12E46">
        <w:rPr>
          <w:rFonts w:eastAsia="Calibri" w:cstheme="minorHAnsi"/>
        </w:rPr>
        <w:t xml:space="preserve">In two of the three Stage 1 complaints which were Resolved, courses of action to address the respective complaints were proposed and subsequently agreed by the complainants, who considered the complaints Resolved. In the third case, SEPA understood that the complainant </w:t>
      </w:r>
      <w:r w:rsidRPr="00B12E46">
        <w:rPr>
          <w:rFonts w:eastAsia="Calibri" w:cstheme="minorHAnsi"/>
        </w:rPr>
        <w:lastRenderedPageBreak/>
        <w:t>had accepted a proposed course of action and considered the complaint to be Resolved. However, the complainant subsequently disagreed with this outcome, and the complaint was escalated for investigation at Stage 2 of the CHP, where it was found Partially Upheld.</w:t>
      </w:r>
    </w:p>
    <w:p w14:paraId="3E5CAEFE" w14:textId="4F66F596" w:rsidR="00B12E46" w:rsidRPr="00B12E46" w:rsidRDefault="00B12E46" w:rsidP="00B12E46">
      <w:pPr>
        <w:spacing w:after="240"/>
        <w:rPr>
          <w:rFonts w:eastAsia="Calibri" w:cstheme="minorHAnsi"/>
          <w:sz w:val="22"/>
          <w:szCs w:val="22"/>
        </w:rPr>
      </w:pPr>
      <w:r w:rsidRPr="00B12E46">
        <w:rPr>
          <w:rFonts w:eastAsia="Calibri" w:cstheme="minorHAnsi"/>
        </w:rPr>
        <w:t>Of the 11 Stage 2 complaints closed in the period, 10 (91%) were found Not Upheld and one (9%) was Partially Upheld.</w:t>
      </w:r>
      <w:r w:rsidR="00F108BB">
        <w:rPr>
          <w:rFonts w:eastAsia="Calibri" w:cstheme="minorHAnsi"/>
        </w:rPr>
        <w:t xml:space="preserve"> </w:t>
      </w:r>
      <w:r w:rsidRPr="00B12E46">
        <w:rPr>
          <w:rFonts w:eastAsia="Calibri" w:cstheme="minorHAnsi"/>
        </w:rPr>
        <w:t>In the Partially Upheld complaint, one of the Points of Complaint investigated was upheld, due to an inordinate delay in communication with the complainant. That delay was caused by a combination of post-Covid and post-cyberattack impacts on SEPA’s ability to respond at the time and which have since been resolved.</w:t>
      </w:r>
      <w:r w:rsidR="00F108BB">
        <w:rPr>
          <w:rFonts w:eastAsia="Calibri" w:cstheme="minorHAnsi"/>
        </w:rPr>
        <w:t xml:space="preserve"> </w:t>
      </w:r>
      <w:r w:rsidRPr="00B12E46">
        <w:rPr>
          <w:rFonts w:eastAsia="Calibri" w:cstheme="minorHAnsi"/>
        </w:rPr>
        <w:t>However, the other Points of Complaint investigated were not upheld, resulting in the outcome of Partially Upheld.</w:t>
      </w:r>
    </w:p>
    <w:p w14:paraId="0706F69F" w14:textId="73252B41" w:rsidR="00B12E46" w:rsidRPr="00F108BB" w:rsidRDefault="00B12E46" w:rsidP="00F108BB">
      <w:pPr>
        <w:pStyle w:val="Heading1"/>
        <w:rPr>
          <w:rFonts w:eastAsia="Calibri"/>
        </w:rPr>
      </w:pPr>
      <w:r w:rsidRPr="00A05A45">
        <w:rPr>
          <w:rFonts w:eastAsia="Calibri"/>
        </w:rPr>
        <w:t>Complaint trends</w:t>
      </w:r>
    </w:p>
    <w:p w14:paraId="162C5ED1" w14:textId="4042517C" w:rsidR="00B12E46" w:rsidRPr="00F108BB" w:rsidRDefault="00B12E46" w:rsidP="00F108BB">
      <w:pPr>
        <w:spacing w:after="240"/>
        <w:rPr>
          <w:rFonts w:eastAsia="Calibri" w:cstheme="minorHAnsi"/>
        </w:rPr>
      </w:pPr>
      <w:r w:rsidRPr="00A05A45">
        <w:rPr>
          <w:rFonts w:eastAsia="Calibri" w:cstheme="minorHAnsi"/>
        </w:rPr>
        <w:t>No clear trends were identified from the complaints handled in the reporting period, but this will continue to be monitored and reported.</w:t>
      </w:r>
    </w:p>
    <w:p w14:paraId="50F6CA5D" w14:textId="478290FB" w:rsidR="00B12E46" w:rsidRPr="00F108BB" w:rsidRDefault="00B12E46" w:rsidP="00F108BB">
      <w:pPr>
        <w:pStyle w:val="Heading1"/>
        <w:rPr>
          <w:rFonts w:eastAsia="Calibri"/>
        </w:rPr>
      </w:pPr>
      <w:r w:rsidRPr="00A05A45">
        <w:rPr>
          <w:rFonts w:eastAsia="Calibri"/>
        </w:rPr>
        <w:t xml:space="preserve">Lessons learned/actions </w:t>
      </w:r>
      <w:proofErr w:type="gramStart"/>
      <w:r w:rsidRPr="00A05A45">
        <w:rPr>
          <w:rFonts w:eastAsia="Calibri"/>
        </w:rPr>
        <w:t>taken</w:t>
      </w:r>
      <w:proofErr w:type="gramEnd"/>
    </w:p>
    <w:p w14:paraId="68462EAD" w14:textId="21C69055" w:rsidR="00B12E46" w:rsidRPr="00F108BB" w:rsidRDefault="00B12E46" w:rsidP="00B12E46">
      <w:pPr>
        <w:spacing w:after="240"/>
        <w:rPr>
          <w:rFonts w:cstheme="minorHAnsi"/>
        </w:rPr>
      </w:pPr>
      <w:r w:rsidRPr="00A05A45">
        <w:rPr>
          <w:rFonts w:eastAsia="Calibri" w:cstheme="minorHAnsi"/>
        </w:rPr>
        <w:t xml:space="preserve">A key part of SEPA's CHP is to learn from the complaints and implement changes to improve service. </w:t>
      </w:r>
    </w:p>
    <w:p w14:paraId="3BE7AFA5" w14:textId="21BE6F75" w:rsidR="00B12E46" w:rsidRPr="00A05A45" w:rsidRDefault="00B12E46" w:rsidP="00B12E46">
      <w:pPr>
        <w:spacing w:after="240"/>
        <w:rPr>
          <w:rFonts w:cstheme="minorHAnsi"/>
        </w:rPr>
      </w:pPr>
      <w:r w:rsidRPr="00A05A45">
        <w:rPr>
          <w:rFonts w:eastAsia="Calibri" w:cstheme="minorHAnsi"/>
        </w:rPr>
        <w:t>In the Stage 1 complaint which was found to be Upheld, the customer was provided with an apology, an explanation for the service failure and was given assurances that appropriate actions would be taken to address those failures, improve service and prevent any recurrence.</w:t>
      </w:r>
    </w:p>
    <w:p w14:paraId="2E3800F0" w14:textId="496F4194" w:rsidR="00B12E46" w:rsidRPr="00A05A45" w:rsidRDefault="00B12E46" w:rsidP="00B12E46">
      <w:pPr>
        <w:spacing w:after="240"/>
        <w:rPr>
          <w:rFonts w:cstheme="minorHAnsi"/>
        </w:rPr>
      </w:pPr>
      <w:r w:rsidRPr="00A05A45">
        <w:rPr>
          <w:rFonts w:eastAsia="Calibri" w:cstheme="minorHAnsi"/>
        </w:rPr>
        <w:t>Whilst no Stage 2 complaints were found to be Upheld in the reporting year, one was Partially Upheld due to an inordinate delay in communicating with the complainant. That delay was due in part to impacts of the pandemic and subsequent cyberattack on SEPA staff resource; nevertheless, an apology was issued, and the delay highlighted to relevant staff for future noting.</w:t>
      </w:r>
    </w:p>
    <w:p w14:paraId="5B29DDD6" w14:textId="74C2DA07" w:rsidR="00B12E46" w:rsidRPr="00F108BB" w:rsidRDefault="00B12E46" w:rsidP="00F108BB">
      <w:pPr>
        <w:pStyle w:val="Heading1"/>
        <w:rPr>
          <w:rFonts w:eastAsia="Calibri"/>
        </w:rPr>
      </w:pPr>
      <w:r w:rsidRPr="00A05A45">
        <w:rPr>
          <w:rFonts w:eastAsia="Calibri"/>
        </w:rPr>
        <w:lastRenderedPageBreak/>
        <w:t>Improving services and performance from complaints</w:t>
      </w:r>
    </w:p>
    <w:p w14:paraId="06FEAB8B" w14:textId="4FF504F9" w:rsidR="00B12E46" w:rsidRPr="00A05A45" w:rsidRDefault="00B12E46" w:rsidP="00A05A45">
      <w:pPr>
        <w:spacing w:after="240"/>
        <w:rPr>
          <w:rFonts w:cstheme="minorHAnsi"/>
        </w:rPr>
      </w:pPr>
      <w:r w:rsidRPr="00A05A45">
        <w:rPr>
          <w:rFonts w:eastAsia="Calibri" w:cstheme="minorHAnsi"/>
        </w:rPr>
        <w:t>As part of SEPA’s commitment to learning from complaints, the outcomes and lessons learned are reported to management at the highest level. This demonstrates the significance SEPA places on learning from complaints. Where any necessary outcome actions are identified, these are shared with appropriate management and monitored to ensure they are implemented, and that service improvements are delivered.</w:t>
      </w:r>
    </w:p>
    <w:p w14:paraId="06C2F9F6" w14:textId="4CC34B19" w:rsidR="00B12E46" w:rsidRPr="00A05A45" w:rsidRDefault="00B12E46" w:rsidP="00A05A45">
      <w:pPr>
        <w:spacing w:after="240"/>
        <w:rPr>
          <w:rFonts w:cstheme="minorHAnsi"/>
        </w:rPr>
      </w:pPr>
      <w:r w:rsidRPr="00A05A45">
        <w:rPr>
          <w:rFonts w:eastAsia="Calibri" w:cstheme="minorHAnsi"/>
        </w:rPr>
        <w:t>To ensure that complaints handling is embedded across the business, a programme of training in handling Stage 1 complaints has been developed and is being delivered for all SEPA staff who engage with customers directly; this will enable them to handle Stage 1 complaints in accordance with the CHP. Similarly, training for managers has been developed to provide them with guidance on supporting staff through the complaints process.</w:t>
      </w:r>
    </w:p>
    <w:p w14:paraId="00FC0BD7" w14:textId="339A50EE" w:rsidR="00B12E46" w:rsidRPr="00A05A45" w:rsidRDefault="00B12E46" w:rsidP="00B12E46">
      <w:pPr>
        <w:spacing w:after="240"/>
        <w:rPr>
          <w:rFonts w:eastAsia="Calibri" w:cstheme="minorHAnsi"/>
        </w:rPr>
      </w:pPr>
      <w:r w:rsidRPr="00A05A45">
        <w:rPr>
          <w:rFonts w:eastAsia="Calibri" w:cstheme="minorHAnsi"/>
        </w:rPr>
        <w:t>These CHP training resources will be maintained as an open-access reference library, allowing staff to refresh their knowledge and skills on an ongoing basis, and with additional support and guidance available from members of SEPA’s Resolution function.</w:t>
      </w:r>
    </w:p>
    <w:p w14:paraId="605EF6CB" w14:textId="77777777" w:rsidR="00B12E46" w:rsidRPr="00A05A45" w:rsidRDefault="00B12E46" w:rsidP="00B12E46">
      <w:pPr>
        <w:spacing w:after="240"/>
        <w:rPr>
          <w:rFonts w:eastAsia="Calibri" w:cstheme="minorHAnsi"/>
        </w:rPr>
      </w:pPr>
      <w:r w:rsidRPr="00A05A45">
        <w:rPr>
          <w:rFonts w:eastAsia="Calibri" w:cstheme="minorHAnsi"/>
        </w:rPr>
        <w:t>To further build on the Stage 1 and Managers’ CHP training modules, ad hoc online “drop-in” sessions are held to refresh teams’ awareness of the CHP processes and provide further support in complaints handling.</w:t>
      </w:r>
    </w:p>
    <w:p w14:paraId="362EB2B9" w14:textId="77777777" w:rsidR="00B12E46" w:rsidRPr="00A05A45" w:rsidRDefault="00B12E46" w:rsidP="00B12E46">
      <w:pPr>
        <w:spacing w:after="240"/>
        <w:ind w:left="709" w:hanging="709"/>
        <w:rPr>
          <w:rFonts w:eastAsia="Calibri" w:cstheme="minorHAnsi"/>
        </w:rPr>
      </w:pPr>
    </w:p>
    <w:p w14:paraId="388B3481" w14:textId="77777777" w:rsidR="00B12E46" w:rsidRDefault="00B12E46" w:rsidP="00B12E46">
      <w:pPr>
        <w:spacing w:after="160" w:line="259" w:lineRule="auto"/>
        <w:jc w:val="both"/>
        <w:rPr>
          <w:rFonts w:asciiTheme="majorHAnsi" w:hAnsiTheme="majorHAnsi" w:cstheme="majorBidi"/>
          <w:color w:val="000000" w:themeColor="text1"/>
        </w:rPr>
      </w:pPr>
    </w:p>
    <w:p w14:paraId="22D59D2F" w14:textId="77777777" w:rsidR="00DB5061" w:rsidRDefault="00DB5061" w:rsidP="00DB5061">
      <w:pPr>
        <w:pStyle w:val="BodyText1"/>
        <w:rPr>
          <w:rFonts w:eastAsia="Times New Roman"/>
        </w:rPr>
      </w:pPr>
    </w:p>
    <w:p w14:paraId="11095F10" w14:textId="77777777" w:rsidR="00DB5061" w:rsidRDefault="00DB5061" w:rsidP="00DB5061">
      <w:pPr>
        <w:pStyle w:val="BodyText1"/>
        <w:rPr>
          <w:rFonts w:eastAsia="Times New Roman"/>
        </w:rPr>
      </w:pPr>
    </w:p>
    <w:p w14:paraId="59895766" w14:textId="77777777" w:rsidR="00DB5061" w:rsidRDefault="00DB5061" w:rsidP="00DB5061">
      <w:pPr>
        <w:pStyle w:val="BodyText1"/>
        <w:rPr>
          <w:rFonts w:eastAsia="Times New Roman"/>
        </w:rPr>
      </w:pPr>
    </w:p>
    <w:p w14:paraId="3E893496" w14:textId="77777777" w:rsidR="00DB5061" w:rsidRDefault="00DB5061" w:rsidP="00DB5061">
      <w:pPr>
        <w:pStyle w:val="BodyText1"/>
        <w:rPr>
          <w:rFonts w:eastAsia="Times New Roman"/>
        </w:rPr>
      </w:pPr>
    </w:p>
    <w:p w14:paraId="04BB4B1A" w14:textId="688D0A39" w:rsidR="00BF33A2" w:rsidRPr="00BF33A2" w:rsidRDefault="00BF33A2" w:rsidP="00DB5061">
      <w:pPr>
        <w:pStyle w:val="BodyText1"/>
        <w:rPr>
          <w:rFonts w:eastAsia="Times New Roman"/>
        </w:rPr>
      </w:pPr>
      <w:r w:rsidRPr="00BF33A2">
        <w:rPr>
          <w:rFonts w:eastAsia="Times New Roman"/>
        </w:rPr>
        <w:lastRenderedPageBreak/>
        <w:t xml:space="preserve">For information on accessing this document in an alternative format or language, please contact SEPA by emailing </w:t>
      </w:r>
      <w:hyperlink r:id="rId17" w:history="1">
        <w:r w:rsidRPr="00BF33A2">
          <w:rPr>
            <w:rFonts w:eastAsia="Times New Roman"/>
            <w:color w:val="016574"/>
            <w:u w:val="single"/>
          </w:rPr>
          <w:t>equalities@sepa.org.uk</w:t>
        </w:r>
      </w:hyperlink>
    </w:p>
    <w:p w14:paraId="203CDB85" w14:textId="77777777" w:rsidR="006243FF" w:rsidRPr="00E67C75" w:rsidRDefault="00BF33A2" w:rsidP="00DB5061">
      <w:pPr>
        <w:pStyle w:val="BodyText1"/>
        <w:rPr>
          <w:color w:val="44546A" w:themeColor="text2"/>
          <w:u w:val="single"/>
        </w:rPr>
      </w:pPr>
      <w:r w:rsidRPr="00BF33A2">
        <w:rPr>
          <w:rFonts w:eastAsia="Times New Roman"/>
        </w:rPr>
        <w:t xml:space="preserve">If you are a user of British Sign Language (BSL), the Contact Scotland BSL service gives you access to an online interpreter, enabling you to communicate with us using sign language. </w:t>
      </w:r>
      <w:hyperlink r:id="rId18" w:history="1">
        <w:r w:rsidRPr="00BF33A2">
          <w:rPr>
            <w:rFonts w:eastAsia="Times New Roman"/>
            <w:color w:val="016574"/>
            <w:u w:val="single"/>
          </w:rPr>
          <w:t>contactscotland-bsl.org</w:t>
        </w:r>
      </w:hyperlink>
    </w:p>
    <w:sectPr w:rsidR="006243FF" w:rsidRPr="00E67C75" w:rsidSect="00917BB1">
      <w:headerReference w:type="even" r:id="rId19"/>
      <w:headerReference w:type="default" r:id="rId20"/>
      <w:footerReference w:type="even" r:id="rId21"/>
      <w:footerReference w:type="default" r:id="rId22"/>
      <w:headerReference w:type="first" r:id="rId23"/>
      <w:footerReference w:type="first" r:id="rId2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526AC" w14:textId="77777777" w:rsidR="00DA7ACA" w:rsidRDefault="00DA7ACA" w:rsidP="00660C79">
      <w:pPr>
        <w:spacing w:line="240" w:lineRule="auto"/>
      </w:pPr>
      <w:r>
        <w:separator/>
      </w:r>
    </w:p>
  </w:endnote>
  <w:endnote w:type="continuationSeparator" w:id="0">
    <w:p w14:paraId="68717901" w14:textId="77777777" w:rsidR="00DA7ACA" w:rsidRDefault="00DA7ACA" w:rsidP="00660C79">
      <w:pPr>
        <w:spacing w:line="240" w:lineRule="auto"/>
      </w:pPr>
      <w:r>
        <w:continuationSeparator/>
      </w:r>
    </w:p>
  </w:endnote>
  <w:endnote w:type="continuationNotice" w:id="1">
    <w:p w14:paraId="6BFE14C4" w14:textId="77777777" w:rsidR="00DA7ACA" w:rsidRDefault="00DA7A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2142" w14:textId="77777777" w:rsidR="00EC6A73" w:rsidRDefault="006A7344">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69F976EC" wp14:editId="22542828">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0FBB90"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F976EC"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70FBB90"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v:textbox>
              <w10:wrap anchorx="page" anchory="page"/>
            </v:shape>
          </w:pict>
        </mc:Fallback>
      </mc:AlternateContent>
    </w:r>
  </w:p>
  <w:p w14:paraId="230BEBF8"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B6860D6"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0E57C01F"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1C97" w14:textId="77777777" w:rsidR="00EC6A73" w:rsidRDefault="006A7344" w:rsidP="00917BB1">
    <w:pPr>
      <w:pStyle w:val="Footer"/>
      <w:ind w:right="360"/>
    </w:pPr>
    <w:r>
      <w:rPr>
        <w:noProof/>
      </w:rPr>
      <mc:AlternateContent>
        <mc:Choice Requires="wps">
          <w:drawing>
            <wp:anchor distT="0" distB="0" distL="0" distR="0" simplePos="0" relativeHeight="251658247" behindDoc="0" locked="0" layoutInCell="1" allowOverlap="1" wp14:anchorId="11955A01" wp14:editId="29AA992E">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E66996"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955A01"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3E66996"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v:textbox>
              <w10:wrap anchorx="page" anchory="page"/>
            </v:shape>
          </w:pict>
        </mc:Fallback>
      </mc:AlternateContent>
    </w:r>
  </w:p>
  <w:p w14:paraId="0423AE7E"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0C331C3" wp14:editId="048E39E1">
              <wp:simplePos x="0" y="0"/>
              <wp:positionH relativeFrom="column">
                <wp:posOffset>23826</wp:posOffset>
              </wp:positionH>
              <wp:positionV relativeFrom="paragraph">
                <wp:posOffset>74240</wp:posOffset>
              </wp:positionV>
              <wp:extent cx="646684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01657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8E4CA"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" strokecolor="#016574" strokeweight=".5pt">
              <v:stroke joinstyle="miter"/>
            </v:line>
          </w:pict>
        </mc:Fallback>
      </mc:AlternateContent>
    </w:r>
  </w:p>
  <w:sdt>
    <w:sdtPr>
      <w:rPr>
        <w:rStyle w:val="PageNumber"/>
      </w:rPr>
      <w:id w:val="-1560629883"/>
      <w:docPartObj>
        <w:docPartGallery w:val="Page Numbers (Bottom of Page)"/>
        <w:docPartUnique/>
      </w:docPartObj>
    </w:sdtPr>
    <w:sdtContent>
      <w:p w14:paraId="67E9BEE2"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4CDD44" w14:textId="77777777" w:rsidR="00917BB1" w:rsidRDefault="00917BB1" w:rsidP="00917BB1">
    <w:pPr>
      <w:pStyle w:val="Footer"/>
      <w:ind w:right="360"/>
    </w:pPr>
    <w:r>
      <w:rPr>
        <w:noProof/>
      </w:rPr>
      <w:drawing>
        <wp:inline distT="0" distB="0" distL="0" distR="0" wp14:anchorId="0506B2E5" wp14:editId="6D09B9E7">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FFB0" w14:textId="77777777" w:rsidR="006A7344" w:rsidRDefault="006A7344">
    <w:pPr>
      <w:pStyle w:val="Footer"/>
    </w:pPr>
    <w:r>
      <w:rPr>
        <w:noProof/>
      </w:rPr>
      <mc:AlternateContent>
        <mc:Choice Requires="wps">
          <w:drawing>
            <wp:anchor distT="0" distB="0" distL="0" distR="0" simplePos="0" relativeHeight="251658245" behindDoc="0" locked="0" layoutInCell="1" allowOverlap="1" wp14:anchorId="717B3B5A" wp14:editId="1FA0E6A8">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893544"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7B3B5A"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1893544"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78054" w14:textId="77777777" w:rsidR="00DA7ACA" w:rsidRDefault="00DA7ACA" w:rsidP="00660C79">
      <w:pPr>
        <w:spacing w:line="240" w:lineRule="auto"/>
      </w:pPr>
      <w:r>
        <w:separator/>
      </w:r>
    </w:p>
  </w:footnote>
  <w:footnote w:type="continuationSeparator" w:id="0">
    <w:p w14:paraId="65B5011C" w14:textId="77777777" w:rsidR="00DA7ACA" w:rsidRDefault="00DA7ACA" w:rsidP="00660C79">
      <w:pPr>
        <w:spacing w:line="240" w:lineRule="auto"/>
      </w:pPr>
      <w:r>
        <w:continuationSeparator/>
      </w:r>
    </w:p>
  </w:footnote>
  <w:footnote w:type="continuationNotice" w:id="1">
    <w:p w14:paraId="36E0E73C" w14:textId="77777777" w:rsidR="00DA7ACA" w:rsidRDefault="00DA7AC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3F57" w14:textId="77777777" w:rsidR="006A7344" w:rsidRDefault="006A7344">
    <w:pPr>
      <w:pStyle w:val="Header"/>
    </w:pPr>
    <w:r>
      <w:rPr>
        <w:noProof/>
      </w:rPr>
      <mc:AlternateContent>
        <mc:Choice Requires="wps">
          <w:drawing>
            <wp:anchor distT="0" distB="0" distL="0" distR="0" simplePos="0" relativeHeight="251658243" behindDoc="0" locked="0" layoutInCell="1" allowOverlap="1" wp14:anchorId="40F17B08" wp14:editId="0B09C87D">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E8073A"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F17B08"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7E8073A"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AAAC" w14:textId="27334446" w:rsidR="00DB5061" w:rsidRPr="00DB5061" w:rsidRDefault="006A7344" w:rsidP="00DB5061">
    <w:pPr>
      <w:pStyle w:val="BodyText1"/>
      <w:spacing w:line="240" w:lineRule="auto"/>
      <w:jc w:val="right"/>
      <w:rPr>
        <w:color w:val="44546A" w:themeColor="text2"/>
      </w:rPr>
    </w:pPr>
    <w:r>
      <w:rPr>
        <w:noProof/>
        <w:color w:val="44546A" w:themeColor="text2"/>
      </w:rPr>
      <mc:AlternateContent>
        <mc:Choice Requires="wps">
          <w:drawing>
            <wp:anchor distT="0" distB="0" distL="0" distR="0" simplePos="0" relativeHeight="251658244" behindDoc="0" locked="0" layoutInCell="1" allowOverlap="1" wp14:anchorId="115D0A14" wp14:editId="39584A41">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373E1B"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5D0A14"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A373E1B"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v:textbox>
              <w10:wrap anchorx="page" anchory="page"/>
            </v:shape>
          </w:pict>
        </mc:Fallback>
      </mc:AlternateContent>
    </w:r>
    <w:r w:rsidR="00DB5061">
      <w:rPr>
        <w:color w:val="44546A" w:themeColor="text2"/>
      </w:rPr>
      <w:t xml:space="preserve">Annual </w:t>
    </w:r>
    <w:r w:rsidR="003F5C80">
      <w:rPr>
        <w:color w:val="44546A" w:themeColor="text2"/>
      </w:rPr>
      <w:t xml:space="preserve">Customer Service </w:t>
    </w:r>
    <w:r w:rsidR="00DB5061">
      <w:rPr>
        <w:color w:val="44546A" w:themeColor="text2"/>
      </w:rPr>
      <w:t xml:space="preserve">Complaints </w:t>
    </w:r>
    <w:r w:rsidR="00DB5061" w:rsidRPr="00DB5061">
      <w:rPr>
        <w:color w:val="44546A" w:themeColor="text2"/>
      </w:rPr>
      <w:t>Performance Report</w:t>
    </w:r>
  </w:p>
  <w:p w14:paraId="5905F1F1" w14:textId="253E4150" w:rsidR="008D113C" w:rsidRPr="00917BB1" w:rsidRDefault="00DB5061" w:rsidP="00DB5061">
    <w:pPr>
      <w:pStyle w:val="BodyText1"/>
      <w:spacing w:line="240" w:lineRule="auto"/>
      <w:jc w:val="right"/>
      <w:rPr>
        <w:color w:val="44546A" w:themeColor="text2"/>
      </w:rPr>
    </w:pPr>
    <w:r w:rsidRPr="00DB5061">
      <w:rPr>
        <w:color w:val="44546A" w:themeColor="text2"/>
      </w:rPr>
      <w:t>April 2022</w:t>
    </w:r>
    <w:r>
      <w:rPr>
        <w:color w:val="44546A" w:themeColor="text2"/>
      </w:rPr>
      <w:t xml:space="preserve"> </w:t>
    </w:r>
    <w:r w:rsidRPr="00DB5061">
      <w:rPr>
        <w:color w:val="44546A" w:themeColor="text2"/>
      </w:rPr>
      <w:t>- March 202</w:t>
    </w:r>
    <w:r>
      <w:rPr>
        <w:color w:val="44546A" w:themeColor="text2"/>
      </w:rPr>
      <w:t>3</w:t>
    </w:r>
  </w:p>
  <w:p w14:paraId="541F9FE3"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0B2560CE" wp14:editId="25B72A96">
              <wp:simplePos x="0" y="0"/>
              <wp:positionH relativeFrom="column">
                <wp:posOffset>23826</wp:posOffset>
              </wp:positionH>
              <wp:positionV relativeFrom="paragraph">
                <wp:posOffset>89176</wp:posOffset>
              </wp:positionV>
              <wp:extent cx="6467061"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rgbClr val="01657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D994DB"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" strokecolor="#01657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8264" w14:textId="77777777" w:rsidR="006A7344" w:rsidRDefault="006A7344">
    <w:pPr>
      <w:pStyle w:val="Header"/>
    </w:pPr>
    <w:r>
      <w:rPr>
        <w:noProof/>
      </w:rPr>
      <mc:AlternateContent>
        <mc:Choice Requires="wps">
          <w:drawing>
            <wp:anchor distT="0" distB="0" distL="0" distR="0" simplePos="0" relativeHeight="251658242" behindDoc="0" locked="0" layoutInCell="1" allowOverlap="1" wp14:anchorId="292DD465" wp14:editId="5E39FBB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39760B"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2DD465"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639760B"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D133F8"/>
    <w:multiLevelType w:val="hybridMultilevel"/>
    <w:tmpl w:val="F290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77673471">
    <w:abstractNumId w:val="10"/>
  </w:num>
  <w:num w:numId="12" w16cid:durableId="10340394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61"/>
    <w:rsid w:val="00032829"/>
    <w:rsid w:val="000359CC"/>
    <w:rsid w:val="00040561"/>
    <w:rsid w:val="0005284E"/>
    <w:rsid w:val="00070937"/>
    <w:rsid w:val="0009238C"/>
    <w:rsid w:val="000973B4"/>
    <w:rsid w:val="000B7559"/>
    <w:rsid w:val="000E0D15"/>
    <w:rsid w:val="00105F31"/>
    <w:rsid w:val="001A32D6"/>
    <w:rsid w:val="001F4B01"/>
    <w:rsid w:val="00236552"/>
    <w:rsid w:val="00281BB1"/>
    <w:rsid w:val="00290B1F"/>
    <w:rsid w:val="0029604B"/>
    <w:rsid w:val="002C4A76"/>
    <w:rsid w:val="002C5767"/>
    <w:rsid w:val="0030096D"/>
    <w:rsid w:val="00317618"/>
    <w:rsid w:val="00322C37"/>
    <w:rsid w:val="003C09B2"/>
    <w:rsid w:val="003D280A"/>
    <w:rsid w:val="003F5384"/>
    <w:rsid w:val="003F5C80"/>
    <w:rsid w:val="004073BC"/>
    <w:rsid w:val="0044182E"/>
    <w:rsid w:val="00444AA1"/>
    <w:rsid w:val="00493E7B"/>
    <w:rsid w:val="004F66E5"/>
    <w:rsid w:val="0050216F"/>
    <w:rsid w:val="005155A0"/>
    <w:rsid w:val="005167AE"/>
    <w:rsid w:val="00551989"/>
    <w:rsid w:val="005A17D0"/>
    <w:rsid w:val="005A355E"/>
    <w:rsid w:val="005A3DA2"/>
    <w:rsid w:val="005A5095"/>
    <w:rsid w:val="005B56A1"/>
    <w:rsid w:val="005D1213"/>
    <w:rsid w:val="005D5972"/>
    <w:rsid w:val="006243FF"/>
    <w:rsid w:val="00660C79"/>
    <w:rsid w:val="0066694E"/>
    <w:rsid w:val="006A5D0C"/>
    <w:rsid w:val="006A7344"/>
    <w:rsid w:val="006B1827"/>
    <w:rsid w:val="006C6A9B"/>
    <w:rsid w:val="006D16CE"/>
    <w:rsid w:val="0070722F"/>
    <w:rsid w:val="00723234"/>
    <w:rsid w:val="00754D28"/>
    <w:rsid w:val="00796410"/>
    <w:rsid w:val="007B0ACB"/>
    <w:rsid w:val="007C3F12"/>
    <w:rsid w:val="007D441B"/>
    <w:rsid w:val="007E4EBE"/>
    <w:rsid w:val="00801105"/>
    <w:rsid w:val="008152A7"/>
    <w:rsid w:val="008206B6"/>
    <w:rsid w:val="00861B46"/>
    <w:rsid w:val="008C1A73"/>
    <w:rsid w:val="008D113C"/>
    <w:rsid w:val="008D376F"/>
    <w:rsid w:val="00914962"/>
    <w:rsid w:val="00917BB1"/>
    <w:rsid w:val="0094194C"/>
    <w:rsid w:val="00975D21"/>
    <w:rsid w:val="00980531"/>
    <w:rsid w:val="009A240D"/>
    <w:rsid w:val="009C0A36"/>
    <w:rsid w:val="00A05A45"/>
    <w:rsid w:val="00A54C63"/>
    <w:rsid w:val="00A82CCE"/>
    <w:rsid w:val="00A93138"/>
    <w:rsid w:val="00A9349C"/>
    <w:rsid w:val="00AC752C"/>
    <w:rsid w:val="00AD792F"/>
    <w:rsid w:val="00AE068C"/>
    <w:rsid w:val="00B12E46"/>
    <w:rsid w:val="00B46E48"/>
    <w:rsid w:val="00B54CF4"/>
    <w:rsid w:val="00BC1C6D"/>
    <w:rsid w:val="00BF33A2"/>
    <w:rsid w:val="00C16DB3"/>
    <w:rsid w:val="00C569B9"/>
    <w:rsid w:val="00C77F0F"/>
    <w:rsid w:val="00CD6AC0"/>
    <w:rsid w:val="00CF7EFB"/>
    <w:rsid w:val="00D12599"/>
    <w:rsid w:val="00D35448"/>
    <w:rsid w:val="00D360D1"/>
    <w:rsid w:val="00D72E25"/>
    <w:rsid w:val="00DA24D4"/>
    <w:rsid w:val="00DA7ACA"/>
    <w:rsid w:val="00DB313B"/>
    <w:rsid w:val="00DB5061"/>
    <w:rsid w:val="00E03539"/>
    <w:rsid w:val="00E11A56"/>
    <w:rsid w:val="00E15EA5"/>
    <w:rsid w:val="00E41496"/>
    <w:rsid w:val="00E56127"/>
    <w:rsid w:val="00E67C75"/>
    <w:rsid w:val="00E70E7B"/>
    <w:rsid w:val="00EC6A73"/>
    <w:rsid w:val="00ED2821"/>
    <w:rsid w:val="00EF2B39"/>
    <w:rsid w:val="00F01935"/>
    <w:rsid w:val="00F07048"/>
    <w:rsid w:val="00F108BB"/>
    <w:rsid w:val="00F14610"/>
    <w:rsid w:val="00F318B7"/>
    <w:rsid w:val="00F4317C"/>
    <w:rsid w:val="00F72274"/>
    <w:rsid w:val="00F74E89"/>
    <w:rsid w:val="00F924A3"/>
    <w:rsid w:val="00FA4CED"/>
    <w:rsid w:val="00FB0737"/>
    <w:rsid w:val="00FD5DAE"/>
    <w:rsid w:val="00FD734C"/>
    <w:rsid w:val="00FF5D5A"/>
    <w:rsid w:val="57AD55F9"/>
    <w:rsid w:val="75FAC3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71494"/>
  <w15:chartTrackingRefBased/>
  <w15:docId w15:val="{F7DD602C-F14B-4755-8E25-5E0469B3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0359CC"/>
    <w:pPr>
      <w:keepNext/>
      <w:keepLines/>
      <w:spacing w:after="240" w:line="240" w:lineRule="auto"/>
      <w:outlineLvl w:val="0"/>
    </w:pPr>
    <w:rPr>
      <w:rFonts w:asciiTheme="majorHAnsi" w:eastAsiaTheme="majorEastAsia" w:hAnsiTheme="majorHAnsi" w:cstheme="majorBidi"/>
      <w:b/>
      <w:color w:val="016574"/>
      <w:sz w:val="40"/>
      <w:szCs w:val="32"/>
    </w:rPr>
  </w:style>
  <w:style w:type="paragraph" w:styleId="Heading2">
    <w:name w:val="heading 2"/>
    <w:basedOn w:val="Normal"/>
    <w:next w:val="Normal"/>
    <w:link w:val="Heading2Char"/>
    <w:uiPriority w:val="9"/>
    <w:unhideWhenUsed/>
    <w:qFormat/>
    <w:rsid w:val="000359CC"/>
    <w:pPr>
      <w:keepNext/>
      <w:keepLines/>
      <w:spacing w:after="240" w:line="240" w:lineRule="auto"/>
      <w:outlineLvl w:val="1"/>
    </w:pPr>
    <w:rPr>
      <w:rFonts w:asciiTheme="majorHAnsi" w:eastAsiaTheme="majorEastAsia" w:hAnsiTheme="majorHAnsi" w:cstheme="majorBidi"/>
      <w:b/>
      <w:color w:val="016574"/>
      <w:sz w:val="32"/>
      <w:szCs w:val="26"/>
    </w:rPr>
  </w:style>
  <w:style w:type="paragraph" w:styleId="Heading3">
    <w:name w:val="heading 3"/>
    <w:basedOn w:val="Normal"/>
    <w:next w:val="Normal"/>
    <w:link w:val="Heading3Char"/>
    <w:uiPriority w:val="9"/>
    <w:unhideWhenUsed/>
    <w:qFormat/>
    <w:rsid w:val="00F924A3"/>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F924A3"/>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4472C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0359CC"/>
    <w:rPr>
      <w:rFonts w:asciiTheme="majorHAnsi" w:eastAsiaTheme="majorEastAsia" w:hAnsiTheme="majorHAnsi" w:cstheme="majorBidi"/>
      <w:b/>
      <w:color w:val="016574"/>
      <w:sz w:val="40"/>
      <w:szCs w:val="32"/>
    </w:rPr>
  </w:style>
  <w:style w:type="character" w:customStyle="1" w:styleId="Heading2Char">
    <w:name w:val="Heading 2 Char"/>
    <w:basedOn w:val="DefaultParagraphFont"/>
    <w:link w:val="Heading2"/>
    <w:uiPriority w:val="9"/>
    <w:rsid w:val="000359CC"/>
    <w:rPr>
      <w:rFonts w:asciiTheme="majorHAnsi" w:eastAsiaTheme="majorEastAsia" w:hAnsiTheme="majorHAnsi" w:cstheme="majorBidi"/>
      <w:b/>
      <w:color w:val="016574"/>
      <w:sz w:val="32"/>
      <w:szCs w:val="26"/>
    </w:rPr>
  </w:style>
  <w:style w:type="character" w:customStyle="1" w:styleId="Heading3Char">
    <w:name w:val="Heading 3 Char"/>
    <w:basedOn w:val="DefaultParagraphFont"/>
    <w:link w:val="Heading3"/>
    <w:uiPriority w:val="9"/>
    <w:rsid w:val="00F924A3"/>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F924A3"/>
    <w:rPr>
      <w:rFonts w:asciiTheme="majorHAnsi" w:eastAsiaTheme="majorEastAsia" w:hAnsiTheme="majorHAnsi" w:cstheme="majorBidi"/>
      <w:b/>
      <w:iCs/>
    </w:rPr>
  </w:style>
  <w:style w:type="paragraph" w:customStyle="1" w:styleId="BodyText1">
    <w:name w:val="Body Text1"/>
    <w:basedOn w:val="Normal"/>
    <w:qFormat/>
    <w:rsid w:val="00F924A3"/>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2F549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563C1"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Caption">
    <w:name w:val="caption"/>
    <w:basedOn w:val="Normal"/>
    <w:next w:val="Normal"/>
    <w:uiPriority w:val="35"/>
    <w:unhideWhenUsed/>
    <w:qFormat/>
    <w:rsid w:val="00DB5061"/>
    <w:pPr>
      <w:spacing w:after="200" w:line="240" w:lineRule="auto"/>
    </w:pPr>
    <w:rPr>
      <w:rFonts w:eastAsiaTheme="minorHAnsi"/>
      <w:i/>
      <w:iCs/>
      <w:color w:val="44546A" w:themeColor="text2"/>
      <w:sz w:val="18"/>
      <w:szCs w:val="18"/>
    </w:rPr>
  </w:style>
  <w:style w:type="character" w:customStyle="1" w:styleId="normaltextrun">
    <w:name w:val="normaltextrun"/>
    <w:basedOn w:val="DefaultParagraphFont"/>
    <w:rsid w:val="00B12E46"/>
  </w:style>
  <w:style w:type="character" w:styleId="CommentReference">
    <w:name w:val="annotation reference"/>
    <w:basedOn w:val="DefaultParagraphFont"/>
    <w:uiPriority w:val="99"/>
    <w:semiHidden/>
    <w:unhideWhenUsed/>
    <w:rsid w:val="00F14610"/>
    <w:rPr>
      <w:sz w:val="16"/>
      <w:szCs w:val="16"/>
    </w:rPr>
  </w:style>
  <w:style w:type="paragraph" w:styleId="CommentText">
    <w:name w:val="annotation text"/>
    <w:basedOn w:val="Normal"/>
    <w:link w:val="CommentTextChar"/>
    <w:uiPriority w:val="99"/>
    <w:unhideWhenUsed/>
    <w:rsid w:val="00F14610"/>
    <w:pPr>
      <w:spacing w:line="240" w:lineRule="auto"/>
    </w:pPr>
    <w:rPr>
      <w:sz w:val="20"/>
      <w:szCs w:val="20"/>
    </w:rPr>
  </w:style>
  <w:style w:type="character" w:customStyle="1" w:styleId="CommentTextChar">
    <w:name w:val="Comment Text Char"/>
    <w:basedOn w:val="DefaultParagraphFont"/>
    <w:link w:val="CommentText"/>
    <w:uiPriority w:val="99"/>
    <w:rsid w:val="00F1461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14610"/>
    <w:rPr>
      <w:b/>
      <w:bCs/>
    </w:rPr>
  </w:style>
  <w:style w:type="character" w:customStyle="1" w:styleId="CommentSubjectChar">
    <w:name w:val="Comment Subject Char"/>
    <w:basedOn w:val="CommentTextChar"/>
    <w:link w:val="CommentSubject"/>
    <w:uiPriority w:val="99"/>
    <w:semiHidden/>
    <w:rsid w:val="00F14610"/>
    <w:rPr>
      <w:rFonts w:eastAsiaTheme="minorEastAsia"/>
      <w:b/>
      <w:bCs/>
      <w:sz w:val="20"/>
      <w:szCs w:val="20"/>
    </w:rPr>
  </w:style>
  <w:style w:type="character" w:styleId="Mention">
    <w:name w:val="Mention"/>
    <w:basedOn w:val="DefaultParagraphFont"/>
    <w:uiPriority w:val="99"/>
    <w:unhideWhenUsed/>
    <w:rsid w:val="00AD79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yperlink" Target="http://contactscotland-bsl.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equalities@sepa.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businesss_cover.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scottishepa.sharepoint.com/sites/ResolutionAllStaff-2022-23ComplaintsLogMaster/Shared%20Documents/2022-23%20Complaints%20Tracker%20Master/2022-23%20Complaints%20KPI%20Tracker.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scottishepa.sharepoint.com/sites/ResolutionAllStaff-2022-23ComplaintsLogMaster/Shared%20Documents/2022-23%20Complaints%20Tracker%20Master/2022-23%20Complaints%20KPI%20Tracker.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scottishepa.sharepoint.com/sites/ResolutionAllStaff-2022-23ComplaintsLogMaster/Shared%20Documents/2022-23%20Complaints%20Tracker%20Master/2022-23%20Complaints%20KPI%20Tracker.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scottishepa.sharepoint.com/sites/ResolutionAllStaff-2022-23ComplaintsLogMaster/Shared%20Documents/2022-23%20Complaints%20Tracker%20Master/2022-23%20Complaints%20KPI%20Track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Arial" panose="020B0604020202020204" pitchFamily="34" charset="0"/>
              </a:defRPr>
            </a:pPr>
            <a:r>
              <a:rPr lang="en-GB" sz="1200">
                <a:latin typeface="Arial" panose="020B0604020202020204" pitchFamily="34" charset="0"/>
                <a:cs typeface="Arial" panose="020B0604020202020204" pitchFamily="34" charset="0"/>
              </a:rPr>
              <a:t>Total number of</a:t>
            </a:r>
            <a:r>
              <a:rPr lang="en-GB" sz="1200" b="0" i="0" u="none" strike="noStrike" kern="1200" spc="0" baseline="0">
                <a:solidFill>
                  <a:sysClr val="windowText" lastClr="000000"/>
                </a:solidFill>
                <a:latin typeface="Arial" panose="020B0604020202020204" pitchFamily="34" charset="0"/>
                <a:ea typeface="+mn-ea"/>
                <a:cs typeface="Arial" panose="020B0604020202020204" pitchFamily="34" charset="0"/>
              </a:rPr>
              <a:t> Stage</a:t>
            </a:r>
            <a:r>
              <a:rPr lang="en-GB" sz="1200">
                <a:latin typeface="Arial" panose="020B0604020202020204" pitchFamily="34" charset="0"/>
                <a:cs typeface="Arial" panose="020B0604020202020204" pitchFamily="34" charset="0"/>
              </a:rPr>
              <a:t> 1 and</a:t>
            </a:r>
            <a:r>
              <a:rPr lang="en-GB" sz="1200" b="0" i="0" u="none" strike="noStrike" kern="1200" spc="0" baseline="0">
                <a:solidFill>
                  <a:sysClr val="windowText" lastClr="000000"/>
                </a:solidFill>
                <a:latin typeface="Arial" panose="020B0604020202020204" pitchFamily="34" charset="0"/>
                <a:ea typeface="+mn-ea"/>
                <a:cs typeface="Arial" panose="020B0604020202020204" pitchFamily="34" charset="0"/>
              </a:rPr>
              <a:t> Stage</a:t>
            </a:r>
            <a:r>
              <a:rPr lang="en-GB" sz="1200">
                <a:latin typeface="Arial" panose="020B0604020202020204" pitchFamily="34" charset="0"/>
                <a:cs typeface="Arial" panose="020B0604020202020204" pitchFamily="34" charset="0"/>
              </a:rPr>
              <a:t> 2 complaints 2021 - 2023</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'KPI Annual Figures 2021-2023'!$B$2</c:f>
              <c:strCache>
                <c:ptCount val="1"/>
                <c:pt idx="0">
                  <c:v>2021-22</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('KPI Annual Figures 2021-2023'!$A$3,'KPI Annual Figures 2021-2023'!$A$11)</c:f>
              <c:strCache>
                <c:ptCount val="2"/>
                <c:pt idx="0">
                  <c:v>Frontline Stage 1</c:v>
                </c:pt>
                <c:pt idx="1">
                  <c:v>Investigation Stage 2</c:v>
                </c:pt>
              </c:strCache>
            </c:strRef>
          </c:cat>
          <c:val>
            <c:numRef>
              <c:f>('KPI Annual Figures 2021-2023'!$B$9,'KPI Annual Figures 2021-2023'!$B$17)</c:f>
              <c:numCache>
                <c:formatCode>General</c:formatCode>
                <c:ptCount val="2"/>
                <c:pt idx="0">
                  <c:v>13</c:v>
                </c:pt>
                <c:pt idx="1">
                  <c:v>10</c:v>
                </c:pt>
              </c:numCache>
            </c:numRef>
          </c:val>
          <c:extLst>
            <c:ext xmlns:c16="http://schemas.microsoft.com/office/drawing/2014/chart" uri="{C3380CC4-5D6E-409C-BE32-E72D297353CC}">
              <c16:uniqueId val="{00000000-9CB1-4A96-8106-35436E31D8C0}"/>
            </c:ext>
          </c:extLst>
        </c:ser>
        <c:ser>
          <c:idx val="1"/>
          <c:order val="1"/>
          <c:tx>
            <c:strRef>
              <c:f>'KPI Annual Figures 2021-2023'!$C$2</c:f>
              <c:strCache>
                <c:ptCount val="1"/>
                <c:pt idx="0">
                  <c:v>2022-23</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('KPI Annual Figures 2021-2023'!$A$3,'KPI Annual Figures 2021-2023'!$A$11)</c:f>
              <c:strCache>
                <c:ptCount val="2"/>
                <c:pt idx="0">
                  <c:v>Frontline Stage 1</c:v>
                </c:pt>
                <c:pt idx="1">
                  <c:v>Investigation Stage 2</c:v>
                </c:pt>
              </c:strCache>
            </c:strRef>
          </c:cat>
          <c:val>
            <c:numRef>
              <c:f>('KPI Annual Figures 2021-2023'!$C$9,'KPI Annual Figures 2021-2023'!$C$17)</c:f>
              <c:numCache>
                <c:formatCode>General</c:formatCode>
                <c:ptCount val="2"/>
                <c:pt idx="0">
                  <c:v>21</c:v>
                </c:pt>
                <c:pt idx="1">
                  <c:v>11</c:v>
                </c:pt>
              </c:numCache>
            </c:numRef>
          </c:val>
          <c:extLst>
            <c:ext xmlns:c16="http://schemas.microsoft.com/office/drawing/2014/chart" uri="{C3380CC4-5D6E-409C-BE32-E72D297353CC}">
              <c16:uniqueId val="{00000001-9CB1-4A96-8106-35436E31D8C0}"/>
            </c:ext>
          </c:extLst>
        </c:ser>
        <c:dLbls>
          <c:showLegendKey val="0"/>
          <c:showVal val="0"/>
          <c:showCatName val="0"/>
          <c:showSerName val="0"/>
          <c:showPercent val="0"/>
          <c:showBubbleSize val="0"/>
        </c:dLbls>
        <c:gapWidth val="219"/>
        <c:overlap val="-27"/>
        <c:axId val="647365552"/>
        <c:axId val="647366992"/>
      </c:barChart>
      <c:catAx>
        <c:axId val="647365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47366992"/>
        <c:crosses val="autoZero"/>
        <c:auto val="1"/>
        <c:lblAlgn val="ctr"/>
        <c:lblOffset val="100"/>
        <c:noMultiLvlLbl val="0"/>
      </c:catAx>
      <c:valAx>
        <c:axId val="647366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473655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E7E6E6">
          <a:lumMod val="90000"/>
        </a:srgbClr>
      </a:solidFill>
      <a:round/>
    </a:ln>
    <a:effectLst/>
  </c:spPr>
  <c:txPr>
    <a:bodyPr/>
    <a:lstStyle/>
    <a:p>
      <a:pPr>
        <a:defRPr sz="1200">
          <a:solidFill>
            <a:sysClr val="windowText" lastClr="000000"/>
          </a:solidFill>
          <a:latin typeface="+mj-lt"/>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a:t>Stage 1 complaints closed within timescales</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stacked"/>
        <c:varyColors val="0"/>
        <c:ser>
          <c:idx val="2"/>
          <c:order val="2"/>
          <c:tx>
            <c:strRef>
              <c:f>'Annual Report graphs'!$A$14</c:f>
              <c:strCache>
                <c:ptCount val="1"/>
                <c:pt idx="0">
                  <c:v>% closed within 5-day deadline</c:v>
                </c:pt>
              </c:strCache>
            </c:strRef>
          </c:tx>
          <c:spPr>
            <a:solidFill>
              <a:srgbClr val="70AD47">
                <a:lumMod val="60000"/>
                <a:lumOff val="40000"/>
              </a:srgbClr>
            </a:solidFill>
            <a:ln>
              <a:noFill/>
            </a:ln>
            <a:effectLst/>
          </c:spPr>
          <c:invertIfNegative val="0"/>
          <c:dLbls>
            <c:dLbl>
              <c:idx val="0"/>
              <c:tx>
                <c:strRef>
                  <c:f>'Annual Report graphs'!$C$4</c:f>
                  <c:strCache>
                    <c:ptCount val="1"/>
                    <c:pt idx="0">
                      <c:v>6</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{37003865-5272-4A1F-8A01-F495D14DB112}</c15:txfldGUID>
                      <c15:f>'Annual Report graphs'!$C$4</c15:f>
                      <c15:dlblFieldTableCache>
                        <c:ptCount val="1"/>
                        <c:pt idx="0">
                          <c:v>6</c:v>
                        </c:pt>
                      </c15:dlblFieldTableCache>
                    </c15:dlblFTEntry>
                  </c15:dlblFieldTable>
                  <c15:showDataLabelsRange val="0"/>
                </c:ext>
                <c:ext xmlns:c16="http://schemas.microsoft.com/office/drawing/2014/chart" uri="{C3380CC4-5D6E-409C-BE32-E72D297353CC}">
                  <c16:uniqueId val="{00000000-C52D-4BC6-8F23-A6866F1707DF}"/>
                </c:ext>
              </c:extLst>
            </c:dLbl>
            <c:dLbl>
              <c:idx val="1"/>
              <c:tx>
                <c:strRef>
                  <c:f>'Annual Report graphs'!$B$4</c:f>
                  <c:strCache>
                    <c:ptCount val="1"/>
                    <c:pt idx="0">
                      <c:v>12</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{D85B6C2B-C223-4CD5-8B65-02CE6234FC86}</c15:txfldGUID>
                      <c15:f>'Annual Report graphs'!$B$4</c15:f>
                      <c15:dlblFieldTableCache>
                        <c:ptCount val="1"/>
                        <c:pt idx="0">
                          <c:v>12</c:v>
                        </c:pt>
                      </c15:dlblFieldTableCache>
                    </c15:dlblFTEntry>
                  </c15:dlblFieldTable>
                  <c15:showDataLabelsRange val="0"/>
                </c:ext>
                <c:ext xmlns:c16="http://schemas.microsoft.com/office/drawing/2014/chart" uri="{C3380CC4-5D6E-409C-BE32-E72D297353CC}">
                  <c16:uniqueId val="{00000001-C52D-4BC6-8F23-A6866F1707DF}"/>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'Annual Report graphs'!$B$11:$C$11</c:f>
              <c:strCache>
                <c:ptCount val="2"/>
                <c:pt idx="0">
                  <c:v>2021-2022</c:v>
                </c:pt>
                <c:pt idx="1">
                  <c:v>2022-2023</c:v>
                </c:pt>
              </c:strCache>
            </c:strRef>
          </c:cat>
          <c:val>
            <c:numRef>
              <c:f>'Annual Report graphs'!$B$14:$C$14</c:f>
              <c:numCache>
                <c:formatCode>0%</c:formatCode>
                <c:ptCount val="2"/>
                <c:pt idx="0">
                  <c:v>0.46</c:v>
                </c:pt>
                <c:pt idx="1">
                  <c:v>0.56999999999999995</c:v>
                </c:pt>
              </c:numCache>
            </c:numRef>
          </c:val>
          <c:extLst>
            <c:ext xmlns:c16="http://schemas.microsoft.com/office/drawing/2014/chart" uri="{C3380CC4-5D6E-409C-BE32-E72D297353CC}">
              <c16:uniqueId val="{00000002-C52D-4BC6-8F23-A6866F1707DF}"/>
            </c:ext>
          </c:extLst>
        </c:ser>
        <c:ser>
          <c:idx val="3"/>
          <c:order val="3"/>
          <c:tx>
            <c:strRef>
              <c:f>'Annual Report graphs'!$A$15</c:f>
              <c:strCache>
                <c:ptCount val="1"/>
                <c:pt idx="0">
                  <c:v>% not closed within 5-day deadline</c:v>
                </c:pt>
              </c:strCache>
            </c:strRef>
          </c:tx>
          <c:spPr>
            <a:solidFill>
              <a:srgbClr val="4472C4">
                <a:lumMod val="60000"/>
                <a:lumOff val="40000"/>
              </a:srgbClr>
            </a:solidFill>
            <a:ln>
              <a:noFill/>
            </a:ln>
            <a:effectLst/>
          </c:spPr>
          <c:invertIfNegative val="0"/>
          <c:dLbls>
            <c:dLbl>
              <c:idx val="0"/>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52D-4BC6-8F23-A6866F1707DF}"/>
                </c:ext>
              </c:extLst>
            </c:dLbl>
            <c:dLbl>
              <c:idx val="1"/>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52D-4BC6-8F23-A6866F1707DF}"/>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'Annual Report graphs'!$B$11:$C$11</c:f>
              <c:strCache>
                <c:ptCount val="2"/>
                <c:pt idx="0">
                  <c:v>2021-2022</c:v>
                </c:pt>
                <c:pt idx="1">
                  <c:v>2022-2023</c:v>
                </c:pt>
              </c:strCache>
            </c:strRef>
          </c:cat>
          <c:val>
            <c:numRef>
              <c:f>'Annual Report graphs'!$B$15:$C$15</c:f>
              <c:numCache>
                <c:formatCode>0%</c:formatCode>
                <c:ptCount val="2"/>
                <c:pt idx="0">
                  <c:v>0.54</c:v>
                </c:pt>
                <c:pt idx="1">
                  <c:v>0.43</c:v>
                </c:pt>
              </c:numCache>
            </c:numRef>
          </c:val>
          <c:extLst>
            <c:ext xmlns:c16="http://schemas.microsoft.com/office/drawing/2014/chart" uri="{C3380CC4-5D6E-409C-BE32-E72D297353CC}">
              <c16:uniqueId val="{00000005-C52D-4BC6-8F23-A6866F1707DF}"/>
            </c:ext>
          </c:extLst>
        </c:ser>
        <c:dLbls>
          <c:showLegendKey val="0"/>
          <c:showVal val="0"/>
          <c:showCatName val="0"/>
          <c:showSerName val="0"/>
          <c:showPercent val="0"/>
          <c:showBubbleSize val="0"/>
        </c:dLbls>
        <c:gapWidth val="150"/>
        <c:overlap val="100"/>
        <c:axId val="539193888"/>
        <c:axId val="576181280"/>
        <c:extLst>
          <c:ext xmlns:c15="http://schemas.microsoft.com/office/drawing/2012/chart" uri="{02D57815-91ED-43cb-92C2-25804820EDAC}">
            <c15:filteredBarSeries>
              <c15:ser>
                <c:idx val="0"/>
                <c:order val="0"/>
                <c:tx>
                  <c:strRef>
                    <c:extLst>
                      <c:ext uri="{02D57815-91ED-43cb-92C2-25804820EDAC}">
                        <c15:formulaRef>
                          <c15:sqref>'Annual Report graphs'!$A$12</c15:sqref>
                        </c15:formulaRef>
                      </c:ext>
                    </c:extLst>
                    <c:strCache>
                      <c:ptCount val="1"/>
                      <c:pt idx="0">
                        <c:v>Total number Stage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'Annual Report graphs'!$B$11:$C$11</c15:sqref>
                        </c15:formulaRef>
                      </c:ext>
                    </c:extLst>
                    <c:strCache>
                      <c:ptCount val="2"/>
                      <c:pt idx="0">
                        <c:v>2021-2022</c:v>
                      </c:pt>
                      <c:pt idx="1">
                        <c:v>2022-2023</c:v>
                      </c:pt>
                    </c:strCache>
                  </c:strRef>
                </c:cat>
                <c:val>
                  <c:numRef>
                    <c:extLst>
                      <c:ext uri="{02D57815-91ED-43cb-92C2-25804820EDAC}">
                        <c15:formulaRef>
                          <c15:sqref>'Annual Report graphs'!$B$12:$C$12</c15:sqref>
                        </c15:formulaRef>
                      </c:ext>
                    </c:extLst>
                    <c:numCache>
                      <c:formatCode>General</c:formatCode>
                      <c:ptCount val="2"/>
                      <c:pt idx="0">
                        <c:v>13</c:v>
                      </c:pt>
                      <c:pt idx="1">
                        <c:v>21</c:v>
                      </c:pt>
                    </c:numCache>
                  </c:numRef>
                </c:val>
                <c:extLst>
                  <c:ext xmlns:c16="http://schemas.microsoft.com/office/drawing/2014/chart" uri="{C3380CC4-5D6E-409C-BE32-E72D297353CC}">
                    <c16:uniqueId val="{00000006-C52D-4BC6-8F23-A6866F1707DF}"/>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'Annual Report graphs'!$A$13</c15:sqref>
                        </c15:formulaRef>
                      </c:ext>
                    </c:extLst>
                    <c:strCache>
                      <c:ptCount val="1"/>
                      <c:pt idx="0">
                        <c:v>Closed within 5-days deadline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'Annual Report graphs'!$B$11:$C$11</c15:sqref>
                        </c15:formulaRef>
                      </c:ext>
                    </c:extLst>
                    <c:strCache>
                      <c:ptCount val="2"/>
                      <c:pt idx="0">
                        <c:v>2021-2022</c:v>
                      </c:pt>
                      <c:pt idx="1">
                        <c:v>2022-2023</c:v>
                      </c:pt>
                    </c:strCache>
                  </c:strRef>
                </c:cat>
                <c:val>
                  <c:numRef>
                    <c:extLst xmlns:c15="http://schemas.microsoft.com/office/drawing/2012/chart">
                      <c:ext xmlns:c15="http://schemas.microsoft.com/office/drawing/2012/chart" uri="{02D57815-91ED-43cb-92C2-25804820EDAC}">
                        <c15:formulaRef>
                          <c15:sqref>'Annual Report graphs'!$B$13:$C$13</c15:sqref>
                        </c15:formulaRef>
                      </c:ext>
                    </c:extLst>
                    <c:numCache>
                      <c:formatCode>General</c:formatCode>
                      <c:ptCount val="2"/>
                      <c:pt idx="0">
                        <c:v>6</c:v>
                      </c:pt>
                      <c:pt idx="1">
                        <c:v>12</c:v>
                      </c:pt>
                    </c:numCache>
                  </c:numRef>
                </c:val>
                <c:extLst xmlns:c15="http://schemas.microsoft.com/office/drawing/2012/chart">
                  <c:ext xmlns:c16="http://schemas.microsoft.com/office/drawing/2014/chart" uri="{C3380CC4-5D6E-409C-BE32-E72D297353CC}">
                    <c16:uniqueId val="{00000007-C52D-4BC6-8F23-A6866F1707DF}"/>
                  </c:ext>
                </c:extLst>
              </c15:ser>
            </c15:filteredBarSeries>
          </c:ext>
        </c:extLst>
      </c:barChart>
      <c:catAx>
        <c:axId val="53919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76181280"/>
        <c:crosses val="autoZero"/>
        <c:auto val="1"/>
        <c:lblAlgn val="ctr"/>
        <c:lblOffset val="100"/>
        <c:noMultiLvlLbl val="0"/>
      </c:catAx>
      <c:valAx>
        <c:axId val="5761812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9193888"/>
        <c:crosses val="autoZero"/>
        <c:crossBetween val="between"/>
      </c:valAx>
      <c:spPr>
        <a:noFill/>
        <a:ln>
          <a:noFill/>
        </a:ln>
        <a:effectLst/>
      </c:spPr>
    </c:plotArea>
    <c:legend>
      <c:legendPos val="b"/>
      <c:layout>
        <c:manualLayout>
          <c:xMode val="edge"/>
          <c:yMode val="edge"/>
          <c:x val="4.3006993006993011E-2"/>
          <c:y val="0.89598392793493409"/>
          <c:w val="0.906993006993007"/>
          <c:h val="7.9324714040374583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a:t>Stage 2 complaints closed within timescales</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stacked"/>
        <c:varyColors val="0"/>
        <c:ser>
          <c:idx val="0"/>
          <c:order val="0"/>
          <c:tx>
            <c:strRef>
              <c:f>'Annual Report graphs'!$A$21</c:f>
              <c:strCache>
                <c:ptCount val="1"/>
                <c:pt idx="0">
                  <c:v>% closed within 20-days deadline</c:v>
                </c:pt>
              </c:strCache>
            </c:strRef>
          </c:tx>
          <c:spPr>
            <a:solidFill>
              <a:srgbClr val="70AD47">
                <a:lumMod val="60000"/>
                <a:lumOff val="40000"/>
              </a:srgbClr>
            </a:solidFill>
            <a:ln>
              <a:noFill/>
            </a:ln>
            <a:effectLst/>
          </c:spPr>
          <c:invertIfNegative val="0"/>
          <c:dPt>
            <c:idx val="1"/>
            <c:invertIfNegative val="0"/>
            <c:bubble3D val="0"/>
            <c:spPr>
              <a:solidFill>
                <a:srgbClr val="70AD47">
                  <a:lumMod val="60000"/>
                  <a:lumOff val="40000"/>
                </a:srgbClr>
              </a:solidFill>
              <a:ln>
                <a:noFill/>
              </a:ln>
              <a:effectLst/>
            </c:spPr>
            <c:extLst>
              <c:ext xmlns:c16="http://schemas.microsoft.com/office/drawing/2014/chart" uri="{C3380CC4-5D6E-409C-BE32-E72D297353CC}">
                <c16:uniqueId val="{00000001-1DDB-4A3A-9A69-050F956D1422}"/>
              </c:ext>
            </c:extLst>
          </c:dPt>
          <c:dLbls>
            <c:dLbl>
              <c:idx val="0"/>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DDB-4A3A-9A69-050F956D1422}"/>
                </c:ext>
              </c:extLst>
            </c:dLbl>
            <c:dLbl>
              <c:idx val="1"/>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DDB-4A3A-9A69-050F956D1422}"/>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'Annual Report graphs'!$B$18:$C$18</c:f>
              <c:strCache>
                <c:ptCount val="2"/>
                <c:pt idx="0">
                  <c:v>2021-2022</c:v>
                </c:pt>
                <c:pt idx="1">
                  <c:v>2022-2023</c:v>
                </c:pt>
              </c:strCache>
            </c:strRef>
          </c:cat>
          <c:val>
            <c:numRef>
              <c:f>'Annual Report graphs'!$B$21:$C$21</c:f>
              <c:numCache>
                <c:formatCode>0%</c:formatCode>
                <c:ptCount val="2"/>
                <c:pt idx="0">
                  <c:v>0.4</c:v>
                </c:pt>
                <c:pt idx="1">
                  <c:v>0.36</c:v>
                </c:pt>
              </c:numCache>
            </c:numRef>
          </c:val>
          <c:extLst>
            <c:ext xmlns:c16="http://schemas.microsoft.com/office/drawing/2014/chart" uri="{C3380CC4-5D6E-409C-BE32-E72D297353CC}">
              <c16:uniqueId val="{00000002-1DDB-4A3A-9A69-050F956D1422}"/>
            </c:ext>
          </c:extLst>
        </c:ser>
        <c:ser>
          <c:idx val="1"/>
          <c:order val="1"/>
          <c:tx>
            <c:strRef>
              <c:f>'Annual Report graphs'!$A$22</c:f>
              <c:strCache>
                <c:ptCount val="1"/>
                <c:pt idx="0">
                  <c:v>% not closed within 20-day deadline</c:v>
                </c:pt>
              </c:strCache>
            </c:strRef>
          </c:tx>
          <c:spPr>
            <a:solidFill>
              <a:srgbClr val="4472C4">
                <a:lumMod val="60000"/>
                <a:lumOff val="40000"/>
              </a:srgbClr>
            </a:solidFill>
            <a:ln>
              <a:noFill/>
            </a:ln>
            <a:effectLst/>
          </c:spPr>
          <c:invertIfNegative val="0"/>
          <c:dLbls>
            <c:dLbl>
              <c:idx val="0"/>
              <c:layout>
                <c:manualLayout>
                  <c:x val="-4.7449584816132862E-3"/>
                  <c:y val="0"/>
                </c:manualLayout>
              </c:layout>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DDB-4A3A-9A69-050F956D1422}"/>
                </c:ext>
              </c:extLst>
            </c:dLbl>
            <c:dLbl>
              <c:idx val="1"/>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1DDB-4A3A-9A69-050F956D1422}"/>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'Annual Report graphs'!$B$18:$C$18</c:f>
              <c:strCache>
                <c:ptCount val="2"/>
                <c:pt idx="0">
                  <c:v>2021-2022</c:v>
                </c:pt>
                <c:pt idx="1">
                  <c:v>2022-2023</c:v>
                </c:pt>
              </c:strCache>
            </c:strRef>
          </c:cat>
          <c:val>
            <c:numRef>
              <c:f>'Annual Report graphs'!$B$22:$C$22</c:f>
              <c:numCache>
                <c:formatCode>0%</c:formatCode>
                <c:ptCount val="2"/>
                <c:pt idx="0">
                  <c:v>0.6</c:v>
                </c:pt>
                <c:pt idx="1">
                  <c:v>0.64</c:v>
                </c:pt>
              </c:numCache>
            </c:numRef>
          </c:val>
          <c:extLst>
            <c:ext xmlns:c16="http://schemas.microsoft.com/office/drawing/2014/chart" uri="{C3380CC4-5D6E-409C-BE32-E72D297353CC}">
              <c16:uniqueId val="{00000005-1DDB-4A3A-9A69-050F956D1422}"/>
            </c:ext>
          </c:extLst>
        </c:ser>
        <c:dLbls>
          <c:showLegendKey val="0"/>
          <c:showVal val="0"/>
          <c:showCatName val="0"/>
          <c:showSerName val="0"/>
          <c:showPercent val="0"/>
          <c:showBubbleSize val="0"/>
        </c:dLbls>
        <c:gapWidth val="150"/>
        <c:overlap val="100"/>
        <c:axId val="579910224"/>
        <c:axId val="579911184"/>
      </c:barChart>
      <c:catAx>
        <c:axId val="579910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79911184"/>
        <c:crosses val="autoZero"/>
        <c:auto val="1"/>
        <c:lblAlgn val="ctr"/>
        <c:lblOffset val="100"/>
        <c:noMultiLvlLbl val="0"/>
      </c:catAx>
      <c:valAx>
        <c:axId val="57991118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79910224"/>
        <c:crosses val="autoZero"/>
        <c:crossBetween val="between"/>
      </c:valAx>
      <c:spPr>
        <a:noFill/>
        <a:ln>
          <a:noFill/>
        </a:ln>
        <a:effectLst/>
      </c:spPr>
    </c:plotArea>
    <c:legend>
      <c:legendPos val="b"/>
      <c:layout>
        <c:manualLayout>
          <c:xMode val="edge"/>
          <c:yMode val="edge"/>
          <c:x val="7.3180710062487738E-3"/>
          <c:y val="0.83548586686030235"/>
          <c:w val="0.96768290974304372"/>
          <c:h val="0.12220805252369391"/>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t>Outcomes of complaints at each Stage</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'Annual Report graphs'!$A$108</c:f>
              <c:strCache>
                <c:ptCount val="1"/>
                <c:pt idx="0">
                  <c:v>Upheld</c:v>
                </c:pt>
              </c:strCache>
            </c:strRef>
          </c:tx>
          <c:spPr>
            <a:solidFill>
              <a:srgbClr val="5B9BD5">
                <a:lumMod val="60000"/>
                <a:lumOff val="40000"/>
              </a:srgbClr>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DCFA-47F1-B9E1-7462EB3DA4E5}"/>
                </c:ext>
              </c:extLst>
            </c:dLbl>
            <c:dLbl>
              <c:idx val="3"/>
              <c:delete val="1"/>
              <c:extLst>
                <c:ext xmlns:c15="http://schemas.microsoft.com/office/drawing/2012/chart" uri="{CE6537A1-D6FC-4f65-9D91-7224C49458BB}"/>
                <c:ext xmlns:c16="http://schemas.microsoft.com/office/drawing/2014/chart" uri="{C3380CC4-5D6E-409C-BE32-E72D297353CC}">
                  <c16:uniqueId val="{00000001-DCFA-47F1-B9E1-7462EB3DA4E5}"/>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'Annual Report graphs'!$B$106:$E$107</c:f>
              <c:multiLvlStrCache>
                <c:ptCount val="4"/>
                <c:lvl>
                  <c:pt idx="0">
                    <c:v>Stage 1</c:v>
                  </c:pt>
                  <c:pt idx="1">
                    <c:v>Stage 2</c:v>
                  </c:pt>
                  <c:pt idx="2">
                    <c:v>Stage 1</c:v>
                  </c:pt>
                  <c:pt idx="3">
                    <c:v>Stage 2</c:v>
                  </c:pt>
                </c:lvl>
                <c:lvl>
                  <c:pt idx="0">
                    <c:v>2021-2022</c:v>
                  </c:pt>
                  <c:pt idx="2">
                    <c:v>2022-2023</c:v>
                  </c:pt>
                </c:lvl>
              </c:multiLvlStrCache>
            </c:multiLvlStrRef>
          </c:cat>
          <c:val>
            <c:numRef>
              <c:f>'Annual Report graphs'!$B$108:$E$108</c:f>
              <c:numCache>
                <c:formatCode>General</c:formatCode>
                <c:ptCount val="4"/>
                <c:pt idx="0">
                  <c:v>2</c:v>
                </c:pt>
                <c:pt idx="1">
                  <c:v>0</c:v>
                </c:pt>
                <c:pt idx="2">
                  <c:v>1</c:v>
                </c:pt>
                <c:pt idx="3">
                  <c:v>0</c:v>
                </c:pt>
              </c:numCache>
            </c:numRef>
          </c:val>
          <c:extLst>
            <c:ext xmlns:c16="http://schemas.microsoft.com/office/drawing/2014/chart" uri="{C3380CC4-5D6E-409C-BE32-E72D297353CC}">
              <c16:uniqueId val="{00000002-DCFA-47F1-B9E1-7462EB3DA4E5}"/>
            </c:ext>
          </c:extLst>
        </c:ser>
        <c:ser>
          <c:idx val="1"/>
          <c:order val="1"/>
          <c:tx>
            <c:strRef>
              <c:f>'Annual Report graphs'!$A$109</c:f>
              <c:strCache>
                <c:ptCount val="1"/>
                <c:pt idx="0">
                  <c:v>Not upheld</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'Annual Report graphs'!$B$106:$E$107</c:f>
              <c:multiLvlStrCache>
                <c:ptCount val="4"/>
                <c:lvl>
                  <c:pt idx="0">
                    <c:v>Stage 1</c:v>
                  </c:pt>
                  <c:pt idx="1">
                    <c:v>Stage 2</c:v>
                  </c:pt>
                  <c:pt idx="2">
                    <c:v>Stage 1</c:v>
                  </c:pt>
                  <c:pt idx="3">
                    <c:v>Stage 2</c:v>
                  </c:pt>
                </c:lvl>
                <c:lvl>
                  <c:pt idx="0">
                    <c:v>2021-2022</c:v>
                  </c:pt>
                  <c:pt idx="2">
                    <c:v>2022-2023</c:v>
                  </c:pt>
                </c:lvl>
              </c:multiLvlStrCache>
            </c:multiLvlStrRef>
          </c:cat>
          <c:val>
            <c:numRef>
              <c:f>'Annual Report graphs'!$B$109:$E$109</c:f>
              <c:numCache>
                <c:formatCode>General</c:formatCode>
                <c:ptCount val="4"/>
                <c:pt idx="0">
                  <c:v>10</c:v>
                </c:pt>
                <c:pt idx="1">
                  <c:v>10</c:v>
                </c:pt>
                <c:pt idx="2">
                  <c:v>17</c:v>
                </c:pt>
                <c:pt idx="3">
                  <c:v>10</c:v>
                </c:pt>
              </c:numCache>
            </c:numRef>
          </c:val>
          <c:extLst>
            <c:ext xmlns:c16="http://schemas.microsoft.com/office/drawing/2014/chart" uri="{C3380CC4-5D6E-409C-BE32-E72D297353CC}">
              <c16:uniqueId val="{00000003-DCFA-47F1-B9E1-7462EB3DA4E5}"/>
            </c:ext>
          </c:extLst>
        </c:ser>
        <c:ser>
          <c:idx val="2"/>
          <c:order val="2"/>
          <c:tx>
            <c:strRef>
              <c:f>'Annual Report graphs'!$A$110</c:f>
              <c:strCache>
                <c:ptCount val="1"/>
                <c:pt idx="0">
                  <c:v>Partially upheld</c:v>
                </c:pt>
              </c:strCache>
            </c:strRef>
          </c:tx>
          <c:spPr>
            <a:solidFill>
              <a:schemeClr val="accent4">
                <a:lumMod val="60000"/>
                <a:lumOff val="4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4-DCFA-47F1-B9E1-7462EB3DA4E5}"/>
                </c:ext>
              </c:extLst>
            </c:dLbl>
            <c:dLbl>
              <c:idx val="1"/>
              <c:delete val="1"/>
              <c:extLst>
                <c:ext xmlns:c15="http://schemas.microsoft.com/office/drawing/2012/chart" uri="{CE6537A1-D6FC-4f65-9D91-7224C49458BB}"/>
                <c:ext xmlns:c16="http://schemas.microsoft.com/office/drawing/2014/chart" uri="{C3380CC4-5D6E-409C-BE32-E72D297353CC}">
                  <c16:uniqueId val="{00000005-DCFA-47F1-B9E1-7462EB3DA4E5}"/>
                </c:ext>
              </c:extLst>
            </c:dLbl>
            <c:dLbl>
              <c:idx val="2"/>
              <c:delete val="1"/>
              <c:extLst>
                <c:ext xmlns:c15="http://schemas.microsoft.com/office/drawing/2012/chart" uri="{CE6537A1-D6FC-4f65-9D91-7224C49458BB}"/>
                <c:ext xmlns:c16="http://schemas.microsoft.com/office/drawing/2014/chart" uri="{C3380CC4-5D6E-409C-BE32-E72D297353CC}">
                  <c16:uniqueId val="{00000006-DCFA-47F1-B9E1-7462EB3DA4E5}"/>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'Annual Report graphs'!$B$106:$E$107</c:f>
              <c:multiLvlStrCache>
                <c:ptCount val="4"/>
                <c:lvl>
                  <c:pt idx="0">
                    <c:v>Stage 1</c:v>
                  </c:pt>
                  <c:pt idx="1">
                    <c:v>Stage 2</c:v>
                  </c:pt>
                  <c:pt idx="2">
                    <c:v>Stage 1</c:v>
                  </c:pt>
                  <c:pt idx="3">
                    <c:v>Stage 2</c:v>
                  </c:pt>
                </c:lvl>
                <c:lvl>
                  <c:pt idx="0">
                    <c:v>2021-2022</c:v>
                  </c:pt>
                  <c:pt idx="2">
                    <c:v>2022-2023</c:v>
                  </c:pt>
                </c:lvl>
              </c:multiLvlStrCache>
            </c:multiLvlStrRef>
          </c:cat>
          <c:val>
            <c:numRef>
              <c:f>'Annual Report graphs'!$B$110:$E$110</c:f>
              <c:numCache>
                <c:formatCode>General</c:formatCode>
                <c:ptCount val="4"/>
                <c:pt idx="0">
                  <c:v>0</c:v>
                </c:pt>
                <c:pt idx="1">
                  <c:v>0</c:v>
                </c:pt>
                <c:pt idx="2">
                  <c:v>0</c:v>
                </c:pt>
                <c:pt idx="3">
                  <c:v>1</c:v>
                </c:pt>
              </c:numCache>
            </c:numRef>
          </c:val>
          <c:extLst>
            <c:ext xmlns:c16="http://schemas.microsoft.com/office/drawing/2014/chart" uri="{C3380CC4-5D6E-409C-BE32-E72D297353CC}">
              <c16:uniqueId val="{00000007-DCFA-47F1-B9E1-7462EB3DA4E5}"/>
            </c:ext>
          </c:extLst>
        </c:ser>
        <c:ser>
          <c:idx val="3"/>
          <c:order val="3"/>
          <c:tx>
            <c:strRef>
              <c:f>'Annual Report graphs'!$A$111</c:f>
              <c:strCache>
                <c:ptCount val="1"/>
                <c:pt idx="0">
                  <c:v>Resolved</c:v>
                </c:pt>
              </c:strCache>
            </c:strRef>
          </c:tx>
          <c:spPr>
            <a:solidFill>
              <a:schemeClr val="accent6">
                <a:lumMod val="60000"/>
                <a:lumOff val="40000"/>
              </a:schemeClr>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8-DCFA-47F1-B9E1-7462EB3DA4E5}"/>
                </c:ext>
              </c:extLst>
            </c:dLbl>
            <c:dLbl>
              <c:idx val="3"/>
              <c:delete val="1"/>
              <c:extLst>
                <c:ext xmlns:c15="http://schemas.microsoft.com/office/drawing/2012/chart" uri="{CE6537A1-D6FC-4f65-9D91-7224C49458BB}"/>
                <c:ext xmlns:c16="http://schemas.microsoft.com/office/drawing/2014/chart" uri="{C3380CC4-5D6E-409C-BE32-E72D297353CC}">
                  <c16:uniqueId val="{00000009-DCFA-47F1-B9E1-7462EB3DA4E5}"/>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'Annual Report graphs'!$B$106:$E$107</c:f>
              <c:multiLvlStrCache>
                <c:ptCount val="4"/>
                <c:lvl>
                  <c:pt idx="0">
                    <c:v>Stage 1</c:v>
                  </c:pt>
                  <c:pt idx="1">
                    <c:v>Stage 2</c:v>
                  </c:pt>
                  <c:pt idx="2">
                    <c:v>Stage 1</c:v>
                  </c:pt>
                  <c:pt idx="3">
                    <c:v>Stage 2</c:v>
                  </c:pt>
                </c:lvl>
                <c:lvl>
                  <c:pt idx="0">
                    <c:v>2021-2022</c:v>
                  </c:pt>
                  <c:pt idx="2">
                    <c:v>2022-2023</c:v>
                  </c:pt>
                </c:lvl>
              </c:multiLvlStrCache>
            </c:multiLvlStrRef>
          </c:cat>
          <c:val>
            <c:numRef>
              <c:f>'Annual Report graphs'!$B$111:$E$111</c:f>
              <c:numCache>
                <c:formatCode>General</c:formatCode>
                <c:ptCount val="4"/>
                <c:pt idx="0">
                  <c:v>1</c:v>
                </c:pt>
                <c:pt idx="1">
                  <c:v>0</c:v>
                </c:pt>
                <c:pt idx="2">
                  <c:v>4</c:v>
                </c:pt>
                <c:pt idx="3">
                  <c:v>0</c:v>
                </c:pt>
              </c:numCache>
            </c:numRef>
          </c:val>
          <c:extLst>
            <c:ext xmlns:c16="http://schemas.microsoft.com/office/drawing/2014/chart" uri="{C3380CC4-5D6E-409C-BE32-E72D297353CC}">
              <c16:uniqueId val="{0000000A-DCFA-47F1-B9E1-7462EB3DA4E5}"/>
            </c:ext>
          </c:extLst>
        </c:ser>
        <c:dLbls>
          <c:showLegendKey val="0"/>
          <c:showVal val="0"/>
          <c:showCatName val="0"/>
          <c:showSerName val="0"/>
          <c:showPercent val="0"/>
          <c:showBubbleSize val="0"/>
        </c:dLbls>
        <c:gapWidth val="219"/>
        <c:overlap val="-27"/>
        <c:axId val="2029569567"/>
        <c:axId val="2029570047"/>
      </c:barChart>
      <c:catAx>
        <c:axId val="2029569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29570047"/>
        <c:crosses val="autoZero"/>
        <c:auto val="1"/>
        <c:lblAlgn val="ctr"/>
        <c:lblOffset val="100"/>
        <c:noMultiLvlLbl val="0"/>
      </c:catAx>
      <c:valAx>
        <c:axId val="20295700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29569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oard_x0020_categorisation xmlns="751e3f90-42c0-43e4-89a8-a5b21cfa89f2">Please select...</Board_x0020_categorisation>
    <_Version xmlns="http://schemas.microsoft.com/sharepoint/v3/fields" xsi:nil="true"/>
    <Report_x0020_Type0 xmlns="ceb49085-11e9-4f9d-ab60-3fc012d947f0">Please select...</Report_x0020_Type0>
    <Report_x0020_type xmlns="751e3f90-42c0-43e4-89a8-a5b21cfa89f2">Please select...</Report_x0020_type>
    <Sensitivity xmlns="751e3f90-42c0-43e4-89a8-a5b21cfa89f2">Please select...</Sensitivity>
    <Reporting_x0020_period xmlns="751e3f90-42c0-43e4-89a8-a5b21cfa89f2" xsi:nil="true"/>
    <Retention_x0020_date xmlns="751e3f90-42c0-43e4-89a8-a5b21cfa89f2"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5104C549D43D489F925D0B797F6060" ma:contentTypeVersion="13" ma:contentTypeDescription="Create a new document." ma:contentTypeScope="" ma:versionID="05dffa97e3947204c326ec9fda3bbec4">
  <xsd:schema xmlns:xsd="http://www.w3.org/2001/XMLSchema" xmlns:xs="http://www.w3.org/2001/XMLSchema" xmlns:p="http://schemas.microsoft.com/office/2006/metadata/properties" xmlns:ns2="751e3f90-42c0-43e4-89a8-a5b21cfa89f2" xmlns:ns3="http://schemas.microsoft.com/sharepoint/v3/fields" xmlns:ns4="ceb49085-11e9-4f9d-ab60-3fc012d947f0" targetNamespace="http://schemas.microsoft.com/office/2006/metadata/properties" ma:root="true" ma:fieldsID="bc7bcd1e743c2eabd25cf639fc41d571" ns2:_="" ns3:_="" ns4:_="">
    <xsd:import namespace="751e3f90-42c0-43e4-89a8-a5b21cfa89f2"/>
    <xsd:import namespace="http://schemas.microsoft.com/sharepoint/v3/fields"/>
    <xsd:import namespace="ceb49085-11e9-4f9d-ab60-3fc012d947f0"/>
    <xsd:element name="properties">
      <xsd:complexType>
        <xsd:sequence>
          <xsd:element name="documentManagement">
            <xsd:complexType>
              <xsd:all>
                <xsd:element ref="ns2:Report_x0020_type" minOccurs="0"/>
                <xsd:element ref="ns3:_DCDateCreated" minOccurs="0"/>
                <xsd:element ref="ns3:_Version" minOccurs="0"/>
                <xsd:element ref="ns2:Retention_x0020_date" minOccurs="0"/>
                <xsd:element ref="ns2:Sensitivity" minOccurs="0"/>
                <xsd:element ref="ns2:Board_x0020_categorisation" minOccurs="0"/>
                <xsd:element ref="ns2:Reporting_x0020_period" minOccurs="0"/>
                <xsd:element ref="ns4:MediaServiceMetadata" minOccurs="0"/>
                <xsd:element ref="ns4:MediaServiceFastMetadata" minOccurs="0"/>
                <xsd:element ref="ns4:MediaServiceObjectDetectorVersions" minOccurs="0"/>
                <xsd:element ref="ns2:SharedWithUsers" minOccurs="0"/>
                <xsd:element ref="ns2:SharedWithDetails" minOccurs="0"/>
                <xsd:element ref="ns4:Report_x0020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e3f90-42c0-43e4-89a8-a5b21cfa89f2" elementFormDefault="qualified">
    <xsd:import namespace="http://schemas.microsoft.com/office/2006/documentManagement/types"/>
    <xsd:import namespace="http://schemas.microsoft.com/office/infopath/2007/PartnerControls"/>
    <xsd:element name="Report_x0020_type" ma:index="8" nillable="true" ma:displayName="Meeting type" ma:default="Please select..." ma:format="Dropdown" ma:internalName="Report_x0020_type">
      <xsd:simpleType>
        <xsd:restriction base="dms:Choice">
          <xsd:enumeration value="Please select..."/>
          <xsd:enumeration value="CLT"/>
          <xsd:enumeration value="ARC"/>
          <xsd:enumeration value="Agency Board"/>
          <xsd:enumeration value="Legal"/>
          <xsd:enumeration value="Ad Hoc"/>
        </xsd:restriction>
      </xsd:simpleType>
    </xsd:element>
    <xsd:element name="Retention_x0020_date" ma:index="11" nillable="true" ma:displayName="Retention date" ma:format="DateOnly" ma:internalName="Retention_x0020_date">
      <xsd:simpleType>
        <xsd:restriction base="dms:DateTime"/>
      </xsd:simpleType>
    </xsd:element>
    <xsd:element name="Sensitivity" ma:index="12" nillable="true" ma:displayName="Sensitivity" ma:default="Please select..." ma:format="Dropdown" ma:internalName="Sensitivity">
      <xsd:simpleType>
        <xsd:restriction base="dms:Choice">
          <xsd:enumeration value="Please select..."/>
          <xsd:enumeration value="Official"/>
          <xsd:enumeration value="Official Confidential"/>
          <xsd:enumeration value="Official Sensitive"/>
        </xsd:restriction>
      </xsd:simpleType>
    </xsd:element>
    <xsd:element name="Board_x0020_categorisation" ma:index="13" nillable="true" ma:displayName="Board categorisation" ma:default="Please select..." ma:format="Dropdown" ma:internalName="Board_x0020_categorisation">
      <xsd:simpleType>
        <xsd:restriction base="dms:Choice">
          <xsd:enumeration value="Please select..."/>
          <xsd:enumeration value="Public"/>
          <xsd:enumeration value="Private"/>
        </xsd:restriction>
      </xsd:simpleType>
    </xsd:element>
    <xsd:element name="Reporting_x0020_period" ma:index="14" nillable="true" ma:displayName="Reporting period" ma:internalName="Reporting_x0020_period">
      <xsd:simpleType>
        <xsd:restriction base="dms:Text">
          <xsd:maxLength value="100"/>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9" nillable="true" ma:displayName="Date Created" ma:description="The date on which this resource was created" ma:format="DateOnly" ma:internalName="_DCDateCreated">
      <xsd:simpleType>
        <xsd:restriction base="dms:DateTime"/>
      </xsd:simpleType>
    </xsd:element>
    <xsd:element name="_Version" ma:index="10"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b49085-11e9-4f9d-ab60-3fc012d947f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Report_x0020_Type0" ma:index="20" nillable="true" ma:displayName="Report Type" ma:default="Please select..." ma:format="Dropdown" ma:internalName="Report_x0020_Type0">
      <xsd:simpleType>
        <xsd:restriction base="dms:Choice">
          <xsd:enumeration value="Please select..."/>
          <xsd:enumeration value="Quarterly CHP"/>
          <xsd:enumeration value="Annual CHP"/>
          <xsd:enumeration value="AOP Measure"/>
          <xsd:enumeration value="Ad h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C66BFE10-11B2-4FA4-8B85-E7AD8F8FD9A3}">
  <ds:schemaRefs>
    <ds:schemaRef ds:uri="http://schemas.microsoft.com/sharepoint/v3/contenttype/forms"/>
  </ds:schemaRefs>
</ds:datastoreItem>
</file>

<file path=customXml/itemProps3.xml><?xml version="1.0" encoding="utf-8"?>
<ds:datastoreItem xmlns:ds="http://schemas.openxmlformats.org/officeDocument/2006/customXml" ds:itemID="{14163993-B347-4AE7-A4AA-A71AF1B5810E}">
  <ds:schemaRefs>
    <ds:schemaRef ds:uri="http://schemas.microsoft.com/office/2006/metadata/properties"/>
    <ds:schemaRef ds:uri="http://schemas.microsoft.com/office/infopath/2007/PartnerControls"/>
    <ds:schemaRef ds:uri="751e3f90-42c0-43e4-89a8-a5b21cfa89f2"/>
    <ds:schemaRef ds:uri="http://schemas.microsoft.com/sharepoint/v3/fields"/>
    <ds:schemaRef ds:uri="ceb49085-11e9-4f9d-ab60-3fc012d947f0"/>
  </ds:schemaRefs>
</ds:datastoreItem>
</file>

<file path=customXml/itemProps4.xml><?xml version="1.0" encoding="utf-8"?>
<ds:datastoreItem xmlns:ds="http://schemas.openxmlformats.org/officeDocument/2006/customXml" ds:itemID="{6D720A45-955E-4551-8F48-C00B00108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e3f90-42c0-43e4-89a8-a5b21cfa89f2"/>
    <ds:schemaRef ds:uri="http://schemas.microsoft.com/sharepoint/v3/fields"/>
    <ds:schemaRef ds:uri="ceb49085-11e9-4f9d-ab60-3fc012d94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SEPA_word_template_businesss_cover</Template>
  <TotalTime>20</TotalTime>
  <Pages>9</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Links>
    <vt:vector size="18" baseType="variant">
      <vt:variant>
        <vt:i4>2556013</vt:i4>
      </vt:variant>
      <vt:variant>
        <vt:i4>3</vt:i4>
      </vt:variant>
      <vt:variant>
        <vt:i4>0</vt:i4>
      </vt:variant>
      <vt:variant>
        <vt:i4>5</vt:i4>
      </vt:variant>
      <vt:variant>
        <vt:lpwstr>http://contactscotland-bsl.org/</vt:lpwstr>
      </vt:variant>
      <vt:variant>
        <vt:lpwstr/>
      </vt:variant>
      <vt:variant>
        <vt:i4>3539032</vt:i4>
      </vt:variant>
      <vt:variant>
        <vt:i4>0</vt:i4>
      </vt:variant>
      <vt:variant>
        <vt:i4>0</vt:i4>
      </vt:variant>
      <vt:variant>
        <vt:i4>5</vt:i4>
      </vt:variant>
      <vt:variant>
        <vt:lpwstr>mailto:equalities@sepa.org.uk</vt:lpwstr>
      </vt:variant>
      <vt:variant>
        <vt:lpwstr/>
      </vt:variant>
      <vt:variant>
        <vt:i4>4915313</vt:i4>
      </vt:variant>
      <vt:variant>
        <vt:i4>0</vt:i4>
      </vt:variant>
      <vt:variant>
        <vt:i4>0</vt:i4>
      </vt:variant>
      <vt:variant>
        <vt:i4>5</vt:i4>
      </vt:variant>
      <vt:variant>
        <vt:lpwstr>mailto:craig.ballantyne@sepa.org.uk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Craig</dc:creator>
  <cp:keywords/>
  <dc:description/>
  <cp:lastModifiedBy>Caron, Natasha</cp:lastModifiedBy>
  <cp:revision>8</cp:revision>
  <cp:lastPrinted>2023-03-23T14:44:00Z</cp:lastPrinted>
  <dcterms:created xsi:type="dcterms:W3CDTF">2023-10-30T16:09:00Z</dcterms:created>
  <dcterms:modified xsi:type="dcterms:W3CDTF">2024-01-16T13:26:00Z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2023-07-28T11:45:40Z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1fbb958f-f9a5-4268-a93a-d7babc725234</vt:lpwstr>
  </property>
  <property fmtid="{D5CDD505-2E9C-101B-9397-08002B2CF9AE}" pid="14" name="MSIP_Label_ea4fd52f-9814-4cae-aa53-0ea7b16cd381_ContentBits">
    <vt:lpwstr>3</vt:lpwstr>
  </property>
  <property fmtid="{D5CDD505-2E9C-101B-9397-08002B2CF9AE}" pid="15" name="ContentTypeId">
    <vt:lpwstr>0x010100045104C549D43D489F925D0B797F6060</vt:lpwstr>
  </property>
</Properties>
</file>