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D9BB765" w14:textId="77777777" w:rsidR="004073BC" w:rsidRDefault="00F72274" w:rsidP="00744C13">
          <w:r>
            <w:rPr>
              <w:noProof/>
            </w:rPr>
            <w:drawing>
              <wp:anchor distT="0" distB="0" distL="114300" distR="114300" simplePos="0" relativeHeight="251658241" behindDoc="1" locked="0" layoutInCell="1" allowOverlap="1" wp14:anchorId="281A2863" wp14:editId="0E8C37F5">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44B6B40" wp14:editId="4C5E476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9D74ACD" w14:textId="77777777" w:rsidR="004073BC" w:rsidRDefault="004073BC" w:rsidP="008C1A73"/>
        <w:p w14:paraId="05C158A7" w14:textId="5645D5F7" w:rsidR="00F67CFB" w:rsidRDefault="00281BB1" w:rsidP="004133B7">
          <w:pPr>
            <w:spacing w:line="240" w:lineRule="auto"/>
            <w:rPr>
              <w:b/>
              <w:bCs/>
              <w:color w:val="FFFFFF" w:themeColor="background1"/>
              <w:sz w:val="48"/>
              <w:szCs w:val="48"/>
            </w:rPr>
          </w:pPr>
          <w:r w:rsidRPr="00C73CF1">
            <w:rPr>
              <w:noProof/>
              <w:sz w:val="48"/>
              <w:szCs w:val="48"/>
            </w:rPr>
            <mc:AlternateContent>
              <mc:Choice Requires="wps">
                <w:drawing>
                  <wp:anchor distT="0" distB="0" distL="114300" distR="114300" simplePos="0" relativeHeight="251658240" behindDoc="0" locked="1" layoutInCell="1" allowOverlap="1" wp14:anchorId="57E5E307" wp14:editId="3FBC64DB">
                    <wp:simplePos x="0" y="0"/>
                    <wp:positionH relativeFrom="column">
                      <wp:posOffset>124460</wp:posOffset>
                    </wp:positionH>
                    <wp:positionV relativeFrom="paragraph">
                      <wp:posOffset>8180070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51C6627" w14:textId="7E8058D2" w:rsidR="00281BB1" w:rsidRPr="009A240D" w:rsidRDefault="007654B2" w:rsidP="00281BB1">
                                <w:pPr>
                                  <w:pStyle w:val="BodyText1"/>
                                  <w:rPr>
                                    <w:color w:val="FFFFFF" w:themeColor="background1"/>
                                  </w:rPr>
                                </w:pPr>
                                <w:r>
                                  <w:rPr>
                                    <w:color w:val="FFFFFF" w:themeColor="background1"/>
                                  </w:rPr>
                                  <w:t>Version 1.0</w:t>
                                </w:r>
                                <w:r w:rsidR="002D34DF">
                                  <w:rPr>
                                    <w:color w:val="FFFFFF" w:themeColor="background1"/>
                                  </w:rPr>
                                  <w:t>,</w:t>
                                </w:r>
                                <w:r w:rsidR="00281BB1" w:rsidRPr="009A240D">
                                  <w:rPr>
                                    <w:color w:val="FFFFFF" w:themeColor="background1"/>
                                  </w:rPr>
                                  <w:t xml:space="preserve"> </w:t>
                                </w:r>
                                <w:r>
                                  <w:rPr>
                                    <w:color w:val="FFFFFF" w:themeColor="background1"/>
                                  </w:rP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5E307" id="_x0000_t202" coordsize="21600,21600" o:spt="202" path="m,l,21600r21600,l21600,xe">
                    <v:stroke joinstyle="miter"/>
                    <v:path gradientshapeok="t" o:connecttype="rect"/>
                  </v:shapetype>
                  <v:shape id="Text Box 3" o:spid="_x0000_s1026" type="#_x0000_t202" alt="&quot;&quot;" style="position:absolute;margin-left:9.8pt;margin-top:644.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" filled="f" stroked="f" strokeweight=".5pt">
                    <v:textbox inset="0,0,0,0">
                      <w:txbxContent>
                        <w:p w14:paraId="751C6627" w14:textId="7E8058D2" w:rsidR="00281BB1" w:rsidRPr="009A240D" w:rsidRDefault="007654B2" w:rsidP="00281BB1">
                          <w:pPr>
                            <w:pStyle w:val="BodyText1"/>
                            <w:rPr>
                              <w:color w:val="FFFFFF" w:themeColor="background1"/>
                            </w:rPr>
                          </w:pPr>
                          <w:r>
                            <w:rPr>
                              <w:color w:val="FFFFFF" w:themeColor="background1"/>
                            </w:rPr>
                            <w:t>Version 1.0</w:t>
                          </w:r>
                          <w:r w:rsidR="002D34DF">
                            <w:rPr>
                              <w:color w:val="FFFFFF" w:themeColor="background1"/>
                            </w:rPr>
                            <w:t>,</w:t>
                          </w:r>
                          <w:r w:rsidR="00281BB1" w:rsidRPr="009A240D">
                            <w:rPr>
                              <w:color w:val="FFFFFF" w:themeColor="background1"/>
                            </w:rPr>
                            <w:t xml:space="preserve"> </w:t>
                          </w:r>
                          <w:r>
                            <w:rPr>
                              <w:color w:val="FFFFFF" w:themeColor="background1"/>
                            </w:rPr>
                            <w:t>August 2025</w:t>
                          </w:r>
                        </w:p>
                      </w:txbxContent>
                    </v:textbox>
                    <w10:anchorlock/>
                  </v:shape>
                </w:pict>
              </mc:Fallback>
            </mc:AlternateContent>
          </w:r>
          <w:r w:rsidR="00F67CFB" w:rsidRPr="00C73CF1">
            <w:rPr>
              <w:b/>
              <w:bCs/>
              <w:color w:val="FFFFFF" w:themeColor="background1"/>
              <w:sz w:val="48"/>
              <w:szCs w:val="48"/>
            </w:rPr>
            <w:t>WAT-G-</w:t>
          </w:r>
          <w:r w:rsidR="00C73CF1">
            <w:rPr>
              <w:b/>
              <w:bCs/>
              <w:color w:val="FFFFFF" w:themeColor="background1"/>
              <w:sz w:val="48"/>
              <w:szCs w:val="48"/>
            </w:rPr>
            <w:t>0</w:t>
          </w:r>
          <w:r w:rsidR="00F67CFB" w:rsidRPr="00C73CF1">
            <w:rPr>
              <w:b/>
              <w:bCs/>
              <w:color w:val="FFFFFF" w:themeColor="background1"/>
              <w:sz w:val="48"/>
              <w:szCs w:val="48"/>
            </w:rPr>
            <w:t>4</w:t>
          </w:r>
          <w:r w:rsidR="00EA7201" w:rsidRPr="00C73CF1">
            <w:rPr>
              <w:b/>
              <w:bCs/>
              <w:color w:val="FFFFFF" w:themeColor="background1"/>
              <w:sz w:val="48"/>
              <w:szCs w:val="48"/>
            </w:rPr>
            <w:t>4</w:t>
          </w:r>
        </w:p>
        <w:p w14:paraId="0C05086D" w14:textId="77777777" w:rsidR="00C73CF1" w:rsidRDefault="00C73CF1" w:rsidP="004133B7">
          <w:pPr>
            <w:spacing w:line="240" w:lineRule="auto"/>
            <w:rPr>
              <w:b/>
              <w:bCs/>
              <w:color w:val="FFFFFF" w:themeColor="background1"/>
              <w:sz w:val="48"/>
              <w:szCs w:val="48"/>
            </w:rPr>
          </w:pPr>
        </w:p>
        <w:p w14:paraId="1458BC71" w14:textId="77777777" w:rsidR="00C73CF1" w:rsidRDefault="00C73CF1" w:rsidP="004133B7">
          <w:pPr>
            <w:spacing w:line="240" w:lineRule="auto"/>
            <w:rPr>
              <w:b/>
              <w:bCs/>
              <w:color w:val="FFFFFF" w:themeColor="background1"/>
              <w:sz w:val="48"/>
              <w:szCs w:val="48"/>
            </w:rPr>
          </w:pPr>
        </w:p>
        <w:p w14:paraId="1C03BBBC" w14:textId="77777777" w:rsidR="00C73CF1" w:rsidRPr="00C73CF1" w:rsidRDefault="00C73CF1" w:rsidP="004133B7">
          <w:pPr>
            <w:spacing w:line="240" w:lineRule="auto"/>
            <w:rPr>
              <w:b/>
              <w:bCs/>
              <w:color w:val="FFFFFF" w:themeColor="background1"/>
              <w:sz w:val="48"/>
              <w:szCs w:val="48"/>
            </w:rPr>
          </w:pPr>
        </w:p>
        <w:p w14:paraId="31EC4138" w14:textId="57FB1EDD" w:rsidR="00801105" w:rsidRDefault="00F67CFB" w:rsidP="2DE8E78F">
          <w:pPr>
            <w:spacing w:line="240" w:lineRule="auto"/>
            <w:rPr>
              <w:b/>
              <w:bCs/>
              <w:color w:val="FFFFFF" w:themeColor="background1"/>
              <w:sz w:val="84"/>
              <w:szCs w:val="84"/>
            </w:rPr>
          </w:pPr>
          <w:r>
            <w:rPr>
              <w:b/>
              <w:bCs/>
              <w:color w:val="FFFFFF" w:themeColor="background1"/>
              <w:sz w:val="84"/>
              <w:szCs w:val="84"/>
            </w:rPr>
            <w:t xml:space="preserve">EASR </w:t>
          </w:r>
          <w:r w:rsidR="003C21D8">
            <w:rPr>
              <w:b/>
              <w:bCs/>
              <w:color w:val="FFFFFF" w:themeColor="background1"/>
              <w:sz w:val="84"/>
              <w:szCs w:val="84"/>
            </w:rPr>
            <w:t>Guidance</w:t>
          </w:r>
          <w:r>
            <w:rPr>
              <w:b/>
              <w:bCs/>
              <w:color w:val="FFFFFF" w:themeColor="background1"/>
              <w:sz w:val="84"/>
              <w:szCs w:val="84"/>
            </w:rPr>
            <w:t>:</w:t>
          </w:r>
        </w:p>
        <w:p w14:paraId="3386825C" w14:textId="34AD348B" w:rsidR="00801105" w:rsidRDefault="00EF5A41" w:rsidP="004133B7">
          <w:pPr>
            <w:spacing w:line="240" w:lineRule="auto"/>
            <w:rPr>
              <w:b/>
              <w:bCs/>
              <w:color w:val="FFFFFF" w:themeColor="background1"/>
              <w:sz w:val="84"/>
              <w:szCs w:val="84"/>
            </w:rPr>
          </w:pPr>
          <w:r>
            <w:rPr>
              <w:b/>
              <w:bCs/>
              <w:color w:val="FFFFFF" w:themeColor="background1"/>
              <w:sz w:val="84"/>
              <w:szCs w:val="84"/>
            </w:rPr>
            <w:t>W</w:t>
          </w:r>
          <w:r w:rsidR="003C21D8">
            <w:rPr>
              <w:b/>
              <w:bCs/>
              <w:color w:val="FFFFFF" w:themeColor="background1"/>
              <w:sz w:val="84"/>
              <w:szCs w:val="84"/>
            </w:rPr>
            <w:t>ater source heat pumps</w:t>
          </w:r>
        </w:p>
        <w:p w14:paraId="4A43C06A"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610171251"/>
        <w:docPartObj>
          <w:docPartGallery w:val="Table of Contents"/>
          <w:docPartUnique/>
        </w:docPartObj>
      </w:sdtPr>
      <w:sdtEndPr>
        <w:rPr>
          <w:b/>
          <w:bCs/>
          <w:noProof/>
        </w:rPr>
      </w:sdtEndPr>
      <w:sdtContent>
        <w:p w14:paraId="237962D3" w14:textId="77777777" w:rsidR="00423C50" w:rsidRDefault="0006219D" w:rsidP="0006219D">
          <w:pPr>
            <w:pStyle w:val="TOCHeading"/>
            <w:rPr>
              <w:noProof/>
            </w:rPr>
          </w:pPr>
          <w:r w:rsidRPr="00744C13">
            <w:rPr>
              <w:rStyle w:val="Heading1Char"/>
            </w:rPr>
            <w:t>Contents</w:t>
          </w:r>
          <w:r>
            <w:fldChar w:fldCharType="begin"/>
          </w:r>
          <w:r>
            <w:instrText xml:space="preserve"> TOC \o "1-3" \h \z \u </w:instrText>
          </w:r>
          <w:r>
            <w:fldChar w:fldCharType="separate"/>
          </w:r>
        </w:p>
        <w:p w14:paraId="02D0F2F4" w14:textId="108E0572" w:rsidR="00423C50" w:rsidRDefault="00423C50">
          <w:pPr>
            <w:pStyle w:val="TOC1"/>
            <w:tabs>
              <w:tab w:val="right" w:leader="dot" w:pos="10212"/>
            </w:tabs>
            <w:rPr>
              <w:noProof/>
              <w:kern w:val="2"/>
              <w:lang w:eastAsia="en-GB"/>
              <w14:ligatures w14:val="standardContextual"/>
            </w:rPr>
          </w:pPr>
          <w:hyperlink w:anchor="_Toc193726760" w:history="1">
            <w:r w:rsidRPr="004F0EB1">
              <w:rPr>
                <w:rStyle w:val="Hyperlink"/>
                <w:noProof/>
              </w:rPr>
              <w:t>1 Purpose</w:t>
            </w:r>
            <w:r>
              <w:rPr>
                <w:noProof/>
                <w:webHidden/>
              </w:rPr>
              <w:tab/>
            </w:r>
            <w:r>
              <w:rPr>
                <w:noProof/>
                <w:webHidden/>
              </w:rPr>
              <w:fldChar w:fldCharType="begin"/>
            </w:r>
            <w:r>
              <w:rPr>
                <w:noProof/>
                <w:webHidden/>
              </w:rPr>
              <w:instrText xml:space="preserve"> PAGEREF _Toc193726760 \h </w:instrText>
            </w:r>
            <w:r>
              <w:rPr>
                <w:noProof/>
                <w:webHidden/>
              </w:rPr>
            </w:r>
            <w:r>
              <w:rPr>
                <w:noProof/>
                <w:webHidden/>
              </w:rPr>
              <w:fldChar w:fldCharType="separate"/>
            </w:r>
            <w:r>
              <w:rPr>
                <w:noProof/>
                <w:webHidden/>
              </w:rPr>
              <w:t>2</w:t>
            </w:r>
            <w:r>
              <w:rPr>
                <w:noProof/>
                <w:webHidden/>
              </w:rPr>
              <w:fldChar w:fldCharType="end"/>
            </w:r>
          </w:hyperlink>
        </w:p>
        <w:p w14:paraId="25051F65" w14:textId="7674A361" w:rsidR="00423C50" w:rsidRDefault="00423C50">
          <w:pPr>
            <w:pStyle w:val="TOC1"/>
            <w:tabs>
              <w:tab w:val="right" w:leader="dot" w:pos="10212"/>
            </w:tabs>
            <w:rPr>
              <w:noProof/>
              <w:kern w:val="2"/>
              <w:lang w:eastAsia="en-GB"/>
              <w14:ligatures w14:val="standardContextual"/>
            </w:rPr>
          </w:pPr>
          <w:hyperlink w:anchor="_Toc193726761" w:history="1">
            <w:r w:rsidRPr="004F0EB1">
              <w:rPr>
                <w:rStyle w:val="Hyperlink"/>
                <w:noProof/>
              </w:rPr>
              <w:t>2 Environmental risks to be mitigated</w:t>
            </w:r>
            <w:r>
              <w:rPr>
                <w:noProof/>
                <w:webHidden/>
              </w:rPr>
              <w:tab/>
            </w:r>
            <w:r>
              <w:rPr>
                <w:noProof/>
                <w:webHidden/>
              </w:rPr>
              <w:fldChar w:fldCharType="begin"/>
            </w:r>
            <w:r>
              <w:rPr>
                <w:noProof/>
                <w:webHidden/>
              </w:rPr>
              <w:instrText xml:space="preserve"> PAGEREF _Toc193726761 \h </w:instrText>
            </w:r>
            <w:r>
              <w:rPr>
                <w:noProof/>
                <w:webHidden/>
              </w:rPr>
            </w:r>
            <w:r>
              <w:rPr>
                <w:noProof/>
                <w:webHidden/>
              </w:rPr>
              <w:fldChar w:fldCharType="separate"/>
            </w:r>
            <w:r>
              <w:rPr>
                <w:noProof/>
                <w:webHidden/>
              </w:rPr>
              <w:t>2</w:t>
            </w:r>
            <w:r>
              <w:rPr>
                <w:noProof/>
                <w:webHidden/>
              </w:rPr>
              <w:fldChar w:fldCharType="end"/>
            </w:r>
          </w:hyperlink>
        </w:p>
        <w:p w14:paraId="50922FFC" w14:textId="2F41EDEA" w:rsidR="00423C50" w:rsidRDefault="00423C50">
          <w:pPr>
            <w:pStyle w:val="TOC1"/>
            <w:tabs>
              <w:tab w:val="right" w:leader="dot" w:pos="10212"/>
            </w:tabs>
            <w:rPr>
              <w:noProof/>
              <w:kern w:val="2"/>
              <w:lang w:eastAsia="en-GB"/>
              <w14:ligatures w14:val="standardContextual"/>
            </w:rPr>
          </w:pPr>
          <w:hyperlink w:anchor="_Toc193726762" w:history="1">
            <w:r w:rsidRPr="004F0EB1">
              <w:rPr>
                <w:rStyle w:val="Hyperlink"/>
                <w:noProof/>
              </w:rPr>
              <w:t>3 Open loop systems</w:t>
            </w:r>
            <w:r>
              <w:rPr>
                <w:noProof/>
                <w:webHidden/>
              </w:rPr>
              <w:tab/>
            </w:r>
            <w:r>
              <w:rPr>
                <w:noProof/>
                <w:webHidden/>
              </w:rPr>
              <w:fldChar w:fldCharType="begin"/>
            </w:r>
            <w:r>
              <w:rPr>
                <w:noProof/>
                <w:webHidden/>
              </w:rPr>
              <w:instrText xml:space="preserve"> PAGEREF _Toc193726762 \h </w:instrText>
            </w:r>
            <w:r>
              <w:rPr>
                <w:noProof/>
                <w:webHidden/>
              </w:rPr>
            </w:r>
            <w:r>
              <w:rPr>
                <w:noProof/>
                <w:webHidden/>
              </w:rPr>
              <w:fldChar w:fldCharType="separate"/>
            </w:r>
            <w:r>
              <w:rPr>
                <w:noProof/>
                <w:webHidden/>
              </w:rPr>
              <w:t>3</w:t>
            </w:r>
            <w:r>
              <w:rPr>
                <w:noProof/>
                <w:webHidden/>
              </w:rPr>
              <w:fldChar w:fldCharType="end"/>
            </w:r>
          </w:hyperlink>
        </w:p>
        <w:p w14:paraId="1347B7EB" w14:textId="6FCD12EB" w:rsidR="00423C50" w:rsidRDefault="00423C50">
          <w:pPr>
            <w:pStyle w:val="TOC1"/>
            <w:tabs>
              <w:tab w:val="right" w:leader="dot" w:pos="10212"/>
            </w:tabs>
            <w:rPr>
              <w:noProof/>
              <w:kern w:val="2"/>
              <w:lang w:eastAsia="en-GB"/>
              <w14:ligatures w14:val="standardContextual"/>
            </w:rPr>
          </w:pPr>
          <w:hyperlink w:anchor="_Toc193726763" w:history="1">
            <w:r w:rsidRPr="004F0EB1">
              <w:rPr>
                <w:rStyle w:val="Hyperlink"/>
                <w:noProof/>
              </w:rPr>
              <w:t>4 Closed loop systems</w:t>
            </w:r>
            <w:r>
              <w:rPr>
                <w:noProof/>
                <w:webHidden/>
              </w:rPr>
              <w:tab/>
            </w:r>
            <w:r>
              <w:rPr>
                <w:noProof/>
                <w:webHidden/>
              </w:rPr>
              <w:fldChar w:fldCharType="begin"/>
            </w:r>
            <w:r>
              <w:rPr>
                <w:noProof/>
                <w:webHidden/>
              </w:rPr>
              <w:instrText xml:space="preserve"> PAGEREF _Toc193726763 \h </w:instrText>
            </w:r>
            <w:r>
              <w:rPr>
                <w:noProof/>
                <w:webHidden/>
              </w:rPr>
            </w:r>
            <w:r>
              <w:rPr>
                <w:noProof/>
                <w:webHidden/>
              </w:rPr>
              <w:fldChar w:fldCharType="separate"/>
            </w:r>
            <w:r>
              <w:rPr>
                <w:noProof/>
                <w:webHidden/>
              </w:rPr>
              <w:t>4</w:t>
            </w:r>
            <w:r>
              <w:rPr>
                <w:noProof/>
                <w:webHidden/>
              </w:rPr>
              <w:fldChar w:fldCharType="end"/>
            </w:r>
          </w:hyperlink>
        </w:p>
        <w:p w14:paraId="41677A9A" w14:textId="66C21576" w:rsidR="00423C50" w:rsidRDefault="00423C50">
          <w:pPr>
            <w:pStyle w:val="TOC1"/>
            <w:tabs>
              <w:tab w:val="right" w:leader="dot" w:pos="10212"/>
            </w:tabs>
            <w:rPr>
              <w:noProof/>
              <w:kern w:val="2"/>
              <w:lang w:eastAsia="en-GB"/>
              <w14:ligatures w14:val="standardContextual"/>
            </w:rPr>
          </w:pPr>
          <w:hyperlink w:anchor="_Toc193726764" w:history="1">
            <w:r w:rsidRPr="004F0EB1">
              <w:rPr>
                <w:rStyle w:val="Hyperlink"/>
                <w:noProof/>
              </w:rPr>
              <w:t>5 Coastal and Transitional systems</w:t>
            </w:r>
            <w:r>
              <w:rPr>
                <w:noProof/>
                <w:webHidden/>
              </w:rPr>
              <w:tab/>
            </w:r>
            <w:r>
              <w:rPr>
                <w:noProof/>
                <w:webHidden/>
              </w:rPr>
              <w:fldChar w:fldCharType="begin"/>
            </w:r>
            <w:r>
              <w:rPr>
                <w:noProof/>
                <w:webHidden/>
              </w:rPr>
              <w:instrText xml:space="preserve"> PAGEREF _Toc193726764 \h </w:instrText>
            </w:r>
            <w:r>
              <w:rPr>
                <w:noProof/>
                <w:webHidden/>
              </w:rPr>
            </w:r>
            <w:r>
              <w:rPr>
                <w:noProof/>
                <w:webHidden/>
              </w:rPr>
              <w:fldChar w:fldCharType="separate"/>
            </w:r>
            <w:r>
              <w:rPr>
                <w:noProof/>
                <w:webHidden/>
              </w:rPr>
              <w:t>4</w:t>
            </w:r>
            <w:r>
              <w:rPr>
                <w:noProof/>
                <w:webHidden/>
              </w:rPr>
              <w:fldChar w:fldCharType="end"/>
            </w:r>
          </w:hyperlink>
        </w:p>
        <w:p w14:paraId="39D743AE" w14:textId="29F2EA8A" w:rsidR="00423C50" w:rsidRDefault="00423C50">
          <w:pPr>
            <w:pStyle w:val="TOC1"/>
            <w:tabs>
              <w:tab w:val="right" w:leader="dot" w:pos="10212"/>
            </w:tabs>
            <w:rPr>
              <w:noProof/>
              <w:kern w:val="2"/>
              <w:lang w:eastAsia="en-GB"/>
              <w14:ligatures w14:val="standardContextual"/>
            </w:rPr>
          </w:pPr>
          <w:hyperlink w:anchor="_Toc193726765" w:history="1">
            <w:r w:rsidRPr="004F0EB1">
              <w:rPr>
                <w:rStyle w:val="Hyperlink"/>
                <w:noProof/>
                <w:lang w:eastAsia="en-GB"/>
              </w:rPr>
              <w:t>5.1 SEPA</w:t>
            </w:r>
            <w:r>
              <w:rPr>
                <w:noProof/>
                <w:webHidden/>
              </w:rPr>
              <w:tab/>
            </w:r>
            <w:r>
              <w:rPr>
                <w:noProof/>
                <w:webHidden/>
              </w:rPr>
              <w:fldChar w:fldCharType="begin"/>
            </w:r>
            <w:r>
              <w:rPr>
                <w:noProof/>
                <w:webHidden/>
              </w:rPr>
              <w:instrText xml:space="preserve"> PAGEREF _Toc193726765 \h </w:instrText>
            </w:r>
            <w:r>
              <w:rPr>
                <w:noProof/>
                <w:webHidden/>
              </w:rPr>
            </w:r>
            <w:r>
              <w:rPr>
                <w:noProof/>
                <w:webHidden/>
              </w:rPr>
              <w:fldChar w:fldCharType="separate"/>
            </w:r>
            <w:r>
              <w:rPr>
                <w:noProof/>
                <w:webHidden/>
              </w:rPr>
              <w:t>4</w:t>
            </w:r>
            <w:r>
              <w:rPr>
                <w:noProof/>
                <w:webHidden/>
              </w:rPr>
              <w:fldChar w:fldCharType="end"/>
            </w:r>
          </w:hyperlink>
        </w:p>
        <w:p w14:paraId="124C4CF8" w14:textId="3EFDA4FB" w:rsidR="00423C50" w:rsidRDefault="00423C50">
          <w:pPr>
            <w:pStyle w:val="TOC1"/>
            <w:tabs>
              <w:tab w:val="right" w:leader="dot" w:pos="10212"/>
            </w:tabs>
            <w:rPr>
              <w:noProof/>
              <w:kern w:val="2"/>
              <w:lang w:eastAsia="en-GB"/>
              <w14:ligatures w14:val="standardContextual"/>
            </w:rPr>
          </w:pPr>
          <w:hyperlink w:anchor="_Toc193726766" w:history="1">
            <w:r w:rsidRPr="004F0EB1">
              <w:rPr>
                <w:rStyle w:val="Hyperlink"/>
                <w:noProof/>
              </w:rPr>
              <w:t>5.2 Marine Scotland</w:t>
            </w:r>
            <w:r>
              <w:rPr>
                <w:noProof/>
                <w:webHidden/>
              </w:rPr>
              <w:tab/>
            </w:r>
            <w:r>
              <w:rPr>
                <w:noProof/>
                <w:webHidden/>
              </w:rPr>
              <w:fldChar w:fldCharType="begin"/>
            </w:r>
            <w:r>
              <w:rPr>
                <w:noProof/>
                <w:webHidden/>
              </w:rPr>
              <w:instrText xml:space="preserve"> PAGEREF _Toc193726766 \h </w:instrText>
            </w:r>
            <w:r>
              <w:rPr>
                <w:noProof/>
                <w:webHidden/>
              </w:rPr>
            </w:r>
            <w:r>
              <w:rPr>
                <w:noProof/>
                <w:webHidden/>
              </w:rPr>
              <w:fldChar w:fldCharType="separate"/>
            </w:r>
            <w:r>
              <w:rPr>
                <w:noProof/>
                <w:webHidden/>
              </w:rPr>
              <w:t>4</w:t>
            </w:r>
            <w:r>
              <w:rPr>
                <w:noProof/>
                <w:webHidden/>
              </w:rPr>
              <w:fldChar w:fldCharType="end"/>
            </w:r>
          </w:hyperlink>
        </w:p>
        <w:p w14:paraId="14318902" w14:textId="2677BE94" w:rsidR="00423C50" w:rsidRDefault="00423C50">
          <w:pPr>
            <w:pStyle w:val="TOC1"/>
            <w:tabs>
              <w:tab w:val="right" w:leader="dot" w:pos="10212"/>
            </w:tabs>
            <w:rPr>
              <w:noProof/>
              <w:kern w:val="2"/>
              <w:lang w:eastAsia="en-GB"/>
              <w14:ligatures w14:val="standardContextual"/>
            </w:rPr>
          </w:pPr>
          <w:hyperlink w:anchor="_Toc193726767" w:history="1">
            <w:r w:rsidRPr="004F0EB1">
              <w:rPr>
                <w:rStyle w:val="Hyperlink"/>
                <w:noProof/>
                <w:lang w:eastAsia="en-GB"/>
              </w:rPr>
              <w:t>5.3 Other organisations</w:t>
            </w:r>
            <w:r>
              <w:rPr>
                <w:noProof/>
                <w:webHidden/>
              </w:rPr>
              <w:tab/>
            </w:r>
            <w:r>
              <w:rPr>
                <w:noProof/>
                <w:webHidden/>
              </w:rPr>
              <w:fldChar w:fldCharType="begin"/>
            </w:r>
            <w:r>
              <w:rPr>
                <w:noProof/>
                <w:webHidden/>
              </w:rPr>
              <w:instrText xml:space="preserve"> PAGEREF _Toc193726767 \h </w:instrText>
            </w:r>
            <w:r>
              <w:rPr>
                <w:noProof/>
                <w:webHidden/>
              </w:rPr>
            </w:r>
            <w:r>
              <w:rPr>
                <w:noProof/>
                <w:webHidden/>
              </w:rPr>
              <w:fldChar w:fldCharType="separate"/>
            </w:r>
            <w:r>
              <w:rPr>
                <w:noProof/>
                <w:webHidden/>
              </w:rPr>
              <w:t>4</w:t>
            </w:r>
            <w:r>
              <w:rPr>
                <w:noProof/>
                <w:webHidden/>
              </w:rPr>
              <w:fldChar w:fldCharType="end"/>
            </w:r>
          </w:hyperlink>
        </w:p>
        <w:p w14:paraId="54FA3F1C" w14:textId="15DD4DBD" w:rsidR="0006219D" w:rsidRDefault="0006219D">
          <w:r>
            <w:rPr>
              <w:b/>
              <w:bCs/>
              <w:noProof/>
            </w:rPr>
            <w:fldChar w:fldCharType="end"/>
          </w:r>
        </w:p>
      </w:sdtContent>
    </w:sdt>
    <w:p w14:paraId="456C5FA1" w14:textId="1560CC2C" w:rsidR="003C21D8" w:rsidRPr="003C21D8" w:rsidRDefault="003C21D8" w:rsidP="3B04DE1B">
      <w:pPr>
        <w:rPr>
          <w:rFonts w:ascii="Arial" w:eastAsia="Arial" w:hAnsi="Arial" w:cs="Arial"/>
          <w:color w:val="000000"/>
          <w:sz w:val="32"/>
          <w:szCs w:val="32"/>
        </w:rPr>
      </w:pPr>
    </w:p>
    <w:p w14:paraId="097D54AA" w14:textId="77777777" w:rsidR="00123A3F" w:rsidRDefault="00123A3F" w:rsidP="00123A3F">
      <w:pPr>
        <w:rPr>
          <w:rFonts w:ascii="Arial" w:eastAsia="Arial" w:hAnsi="Arial" w:cs="Arial"/>
          <w:color w:val="000000"/>
          <w:sz w:val="32"/>
          <w:szCs w:val="32"/>
        </w:rPr>
      </w:pPr>
    </w:p>
    <w:p w14:paraId="49D093AD" w14:textId="77777777" w:rsidR="00123A3F" w:rsidRDefault="00123A3F" w:rsidP="00123A3F">
      <w:pPr>
        <w:rPr>
          <w:rFonts w:ascii="Arial" w:eastAsia="Arial" w:hAnsi="Arial" w:cs="Arial"/>
          <w:color w:val="000000"/>
          <w:sz w:val="32"/>
          <w:szCs w:val="32"/>
        </w:rPr>
      </w:pPr>
    </w:p>
    <w:p w14:paraId="5619DF8F" w14:textId="77777777" w:rsidR="00123A3F" w:rsidRDefault="00123A3F" w:rsidP="00123A3F">
      <w:pPr>
        <w:rPr>
          <w:rFonts w:ascii="Arial" w:eastAsia="Arial" w:hAnsi="Arial" w:cs="Arial"/>
          <w:color w:val="000000"/>
          <w:sz w:val="32"/>
          <w:szCs w:val="32"/>
        </w:rPr>
      </w:pPr>
    </w:p>
    <w:p w14:paraId="245ADF31" w14:textId="77777777" w:rsidR="00123A3F" w:rsidRDefault="00123A3F" w:rsidP="00123A3F">
      <w:pPr>
        <w:rPr>
          <w:rFonts w:ascii="Arial" w:eastAsia="Arial" w:hAnsi="Arial" w:cs="Arial"/>
          <w:color w:val="000000"/>
          <w:sz w:val="32"/>
          <w:szCs w:val="32"/>
        </w:rPr>
      </w:pPr>
    </w:p>
    <w:p w14:paraId="70E32A19" w14:textId="77777777" w:rsidR="00123A3F" w:rsidRDefault="00123A3F" w:rsidP="00123A3F">
      <w:pPr>
        <w:rPr>
          <w:rFonts w:ascii="Arial" w:eastAsia="Arial" w:hAnsi="Arial" w:cs="Arial"/>
          <w:color w:val="000000"/>
          <w:sz w:val="32"/>
          <w:szCs w:val="32"/>
        </w:rPr>
      </w:pPr>
    </w:p>
    <w:p w14:paraId="16B7CF61" w14:textId="77777777" w:rsidR="00123A3F" w:rsidRDefault="00123A3F" w:rsidP="00123A3F">
      <w:pPr>
        <w:rPr>
          <w:rFonts w:ascii="Arial" w:eastAsia="Arial" w:hAnsi="Arial" w:cs="Arial"/>
          <w:color w:val="000000"/>
          <w:sz w:val="32"/>
          <w:szCs w:val="32"/>
        </w:rPr>
      </w:pPr>
    </w:p>
    <w:p w14:paraId="7ADA287C" w14:textId="77777777" w:rsidR="00123A3F" w:rsidRDefault="00123A3F" w:rsidP="00123A3F">
      <w:pPr>
        <w:rPr>
          <w:rFonts w:ascii="Arial" w:eastAsia="Arial" w:hAnsi="Arial" w:cs="Arial"/>
          <w:color w:val="000000"/>
          <w:sz w:val="32"/>
          <w:szCs w:val="32"/>
        </w:rPr>
      </w:pPr>
    </w:p>
    <w:p w14:paraId="014B5FC4" w14:textId="77777777" w:rsidR="00123A3F" w:rsidRDefault="00123A3F" w:rsidP="00123A3F">
      <w:pPr>
        <w:rPr>
          <w:rFonts w:ascii="Arial" w:eastAsia="Arial" w:hAnsi="Arial" w:cs="Arial"/>
          <w:color w:val="000000"/>
          <w:sz w:val="32"/>
          <w:szCs w:val="32"/>
        </w:rPr>
      </w:pPr>
    </w:p>
    <w:p w14:paraId="3F724828" w14:textId="77777777" w:rsidR="00123A3F" w:rsidRDefault="00123A3F" w:rsidP="00123A3F">
      <w:pPr>
        <w:rPr>
          <w:rFonts w:ascii="Arial" w:eastAsia="Arial" w:hAnsi="Arial" w:cs="Arial"/>
          <w:color w:val="000000"/>
          <w:sz w:val="32"/>
          <w:szCs w:val="32"/>
        </w:rPr>
      </w:pPr>
    </w:p>
    <w:p w14:paraId="237BDE7B" w14:textId="77777777" w:rsidR="00123A3F" w:rsidRDefault="00123A3F" w:rsidP="00123A3F">
      <w:pPr>
        <w:rPr>
          <w:rFonts w:ascii="Arial" w:eastAsia="Arial" w:hAnsi="Arial" w:cs="Arial"/>
          <w:color w:val="000000"/>
          <w:sz w:val="32"/>
          <w:szCs w:val="32"/>
        </w:rPr>
      </w:pPr>
    </w:p>
    <w:p w14:paraId="5E9A403C" w14:textId="1E46F6EF" w:rsidR="00123A3F" w:rsidRPr="003C21D8" w:rsidRDefault="00123A3F" w:rsidP="00123A3F">
      <w:r w:rsidRPr="3B04DE1B">
        <w:rPr>
          <w:rFonts w:ascii="Arial" w:eastAsia="Arial" w:hAnsi="Arial" w:cs="Arial"/>
          <w:color w:val="000000"/>
          <w:sz w:val="32"/>
          <w:szCs w:val="32"/>
        </w:rPr>
        <w:t>If you would like this document in an accessible format, such as large print, audio recording or braille, please contact SEPA by emailing </w:t>
      </w:r>
      <w:hyperlink r:id="rId13">
        <w:r w:rsidRPr="3B04DE1B">
          <w:rPr>
            <w:rStyle w:val="Hyperlink"/>
            <w:rFonts w:ascii="Arial" w:eastAsia="Arial" w:hAnsi="Arial" w:cs="Arial"/>
            <w:sz w:val="32"/>
            <w:szCs w:val="32"/>
          </w:rPr>
          <w:t>equalities@sepa.org.uk</w:t>
        </w:r>
      </w:hyperlink>
      <w:r w:rsidRPr="3B04DE1B">
        <w:rPr>
          <w:rFonts w:ascii="Arial" w:eastAsia="Arial" w:hAnsi="Arial" w:cs="Arial"/>
          <w:color w:val="000000"/>
          <w:sz w:val="32"/>
          <w:szCs w:val="32"/>
        </w:rPr>
        <w:t xml:space="preserve"> </w:t>
      </w:r>
      <w:r w:rsidRPr="3B04DE1B">
        <w:rPr>
          <w:rFonts w:ascii="Arial" w:eastAsia="Arial" w:hAnsi="Arial" w:cs="Arial"/>
          <w:color w:val="000000"/>
        </w:rPr>
        <w:t xml:space="preserve"> </w:t>
      </w:r>
      <w:r w:rsidRPr="3B04DE1B">
        <w:t xml:space="preserve"> </w:t>
      </w:r>
    </w:p>
    <w:p w14:paraId="0D450E6F" w14:textId="1BBF782F" w:rsidR="003C21D8" w:rsidRPr="003C21D8" w:rsidRDefault="55AFE96D" w:rsidP="00123A3F">
      <w:pPr>
        <w:pStyle w:val="Heading1"/>
      </w:pPr>
      <w:r>
        <w:br w:type="page"/>
      </w:r>
      <w:bookmarkStart w:id="0" w:name="_Toc193726760"/>
      <w:r w:rsidR="4EF8A51D">
        <w:lastRenderedPageBreak/>
        <w:t xml:space="preserve">1 </w:t>
      </w:r>
      <w:r>
        <w:t>Purpose</w:t>
      </w:r>
      <w:bookmarkEnd w:id="0"/>
    </w:p>
    <w:p w14:paraId="104D46CD" w14:textId="356A5F10" w:rsidR="1CC12014" w:rsidRDefault="009F58E6" w:rsidP="007654C1">
      <w:pPr>
        <w:pStyle w:val="BodyText1"/>
      </w:pPr>
      <w:r w:rsidRPr="1CC12014">
        <w:t xml:space="preserve">To </w:t>
      </w:r>
      <w:r w:rsidR="003C21D8" w:rsidRPr="1CC12014">
        <w:t>achieve the Scottish Climate Change ambitions, including decarbonisation of the energy system, it is important that low carbon energy generation can develop. The Scottish Government is promoting the potential of Water Source Heat Pump Heat Maps (WSHPHM) to help identify suitable areas to supply renewable energy at a district level within Scotland. However, while energy is fundamental to the economy its production, transmission and use can have environmental impacts.</w:t>
      </w:r>
    </w:p>
    <w:p w14:paraId="1104BC8C" w14:textId="3E532E67" w:rsidR="1CC12014" w:rsidRDefault="003C21D8" w:rsidP="007654C1">
      <w:pPr>
        <w:pStyle w:val="BodyText1"/>
      </w:pPr>
      <w:r>
        <w:t>This</w:t>
      </w:r>
      <w:r w:rsidR="25246D90">
        <w:t xml:space="preserve"> guidance i</w:t>
      </w:r>
      <w:r>
        <w:t>s to clarify the regulatory requirements where developers want to install a surface water Water Source Heat Pump (WSHP). The requirements will depend on the type of system - open or closed loop. The primary regulation will be an abstraction authorisation, with potentially point source and engineering controls.</w:t>
      </w:r>
    </w:p>
    <w:p w14:paraId="25632F79" w14:textId="731DDC90" w:rsidR="1CC12014" w:rsidRPr="00775286" w:rsidRDefault="003C21D8" w:rsidP="00775286">
      <w:pPr>
        <w:pStyle w:val="BodyText1"/>
        <w:rPr>
          <w:rFonts w:cstheme="minorHAnsi"/>
        </w:rPr>
      </w:pPr>
      <w:r w:rsidRPr="1CC12014">
        <w:t>For open and closed loop systems for groundwater geothermal energy from boreholes see guidance document (SEPA’s requirements for activities related to geothermal energy).</w:t>
      </w:r>
    </w:p>
    <w:p w14:paraId="07C786C1" w14:textId="553620B4" w:rsidR="003C21D8" w:rsidRPr="003C21D8" w:rsidRDefault="277A66C7" w:rsidP="003C21D8">
      <w:pPr>
        <w:pStyle w:val="Heading1"/>
      </w:pPr>
      <w:bookmarkStart w:id="1" w:name="_Toc193726761"/>
      <w:r>
        <w:t xml:space="preserve">2 </w:t>
      </w:r>
      <w:r w:rsidR="003C21D8">
        <w:t>Environmental risks to be mitigated</w:t>
      </w:r>
      <w:bookmarkEnd w:id="1"/>
    </w:p>
    <w:p w14:paraId="7B2D8E63" w14:textId="3317AF8C" w:rsidR="1CC12014" w:rsidRDefault="003C21D8" w:rsidP="00775286">
      <w:pPr>
        <w:pStyle w:val="BodyText1"/>
      </w:pPr>
      <w:r w:rsidRPr="1CC12014">
        <w:t>The risks posed by WSHPs will depend on the activities involved. Surface water WSHPs are likely to involve one or more of the following activities:</w:t>
      </w:r>
    </w:p>
    <w:p w14:paraId="4F282469" w14:textId="1A4028A8" w:rsidR="009F58E6" w:rsidRPr="00E519A3" w:rsidRDefault="003C21D8" w:rsidP="00775286">
      <w:pPr>
        <w:pStyle w:val="BodyText1"/>
        <w:numPr>
          <w:ilvl w:val="0"/>
          <w:numId w:val="21"/>
        </w:numPr>
      </w:pPr>
      <w:r w:rsidRPr="6806B43B">
        <w:t>abstraction of water from the water environment</w:t>
      </w:r>
      <w:r w:rsidR="0095139E">
        <w:t>. For information see</w:t>
      </w:r>
      <w:r w:rsidRPr="6806B43B">
        <w:t xml:space="preserve"> </w:t>
      </w:r>
      <w:r w:rsidRPr="00E519A3">
        <w:t>WAT-</w:t>
      </w:r>
      <w:r w:rsidR="00E519A3" w:rsidRPr="00E519A3">
        <w:t xml:space="preserve">G-040 </w:t>
      </w:r>
      <w:r w:rsidR="004B5474">
        <w:t xml:space="preserve">EASR Guidance: </w:t>
      </w:r>
      <w:r w:rsidR="00E519A3" w:rsidRPr="00E519A3">
        <w:t>Permit application guide for abstractions and impoundments</w:t>
      </w:r>
    </w:p>
    <w:p w14:paraId="5B181432" w14:textId="2D50B173" w:rsidR="009F58E6" w:rsidRDefault="003C21D8" w:rsidP="00775286">
      <w:pPr>
        <w:pStyle w:val="BodyText1"/>
        <w:numPr>
          <w:ilvl w:val="0"/>
          <w:numId w:val="21"/>
        </w:numPr>
      </w:pPr>
      <w:r w:rsidRPr="6806B43B">
        <w:t>construction of the intake/infrastructure</w:t>
      </w:r>
      <w:r w:rsidR="00092DF6">
        <w:t xml:space="preserve">. For information see WAT-G-036 EASR Guidance: Intakes and Outfalls </w:t>
      </w:r>
      <w:r w:rsidRPr="00092DF6">
        <w:t>a</w:t>
      </w:r>
      <w:r w:rsidRPr="6806B43B">
        <w:t>nd</w:t>
      </w:r>
    </w:p>
    <w:p w14:paraId="04488203" w14:textId="4F34F339" w:rsidR="1CC12014" w:rsidRDefault="003C21D8" w:rsidP="00775286">
      <w:pPr>
        <w:pStyle w:val="BodyText1"/>
        <w:numPr>
          <w:ilvl w:val="0"/>
          <w:numId w:val="21"/>
        </w:numPr>
      </w:pPr>
      <w:r>
        <w:t>changes to the temperature of the receiving water environment</w:t>
      </w:r>
      <w:r w:rsidR="7074249A">
        <w:t>. For information see WAT-G-072 EASR Guidance: Environmental standards for discharges to surface waters</w:t>
      </w:r>
      <w:r w:rsidR="43092651">
        <w:t>.</w:t>
      </w:r>
    </w:p>
    <w:p w14:paraId="0D130D45" w14:textId="77777777" w:rsidR="003C21D8" w:rsidRPr="003C21D8" w:rsidRDefault="003C21D8" w:rsidP="00775286">
      <w:pPr>
        <w:pStyle w:val="BodyText1"/>
        <w:rPr>
          <w:rFonts w:cstheme="minorHAnsi"/>
        </w:rPr>
      </w:pPr>
      <w:r w:rsidRPr="003C21D8">
        <w:rPr>
          <w:rFonts w:cstheme="minorHAnsi"/>
        </w:rPr>
        <w:t>SEPA would address WSHPs as per our guidance, but extra mitigation may be required for thermal discharges into lochs where the flow of water may be low which could lead to hot spots. Additional care will also be needed to assess cumulative impact if these systems were in close proximity to each other or other large abstractions.</w:t>
      </w:r>
    </w:p>
    <w:p w14:paraId="2EF0BDD9" w14:textId="7925666B" w:rsidR="003C21D8" w:rsidRPr="003C21D8" w:rsidRDefault="52E9D10F" w:rsidP="003C21D8">
      <w:pPr>
        <w:pStyle w:val="Heading1"/>
      </w:pPr>
      <w:bookmarkStart w:id="2" w:name="_Toc193726762"/>
      <w:r>
        <w:lastRenderedPageBreak/>
        <w:t xml:space="preserve">3 </w:t>
      </w:r>
      <w:r w:rsidR="003C21D8">
        <w:t>Open loop systems</w:t>
      </w:r>
      <w:bookmarkEnd w:id="2"/>
    </w:p>
    <w:p w14:paraId="5DB77202" w14:textId="77C360D2" w:rsidR="1CC12014" w:rsidRDefault="003C21D8" w:rsidP="00486F21">
      <w:pPr>
        <w:pStyle w:val="BodyText1"/>
      </w:pPr>
      <w:r w:rsidRPr="1CC12014">
        <w:t>For inland surface water open loop systems</w:t>
      </w:r>
      <w:r w:rsidR="54792143">
        <w:t>,</w:t>
      </w:r>
      <w:r w:rsidRPr="1CC12014">
        <w:t xml:space="preserve"> the abstraction volume would determine the level of authorisation required under </w:t>
      </w:r>
      <w:r w:rsidR="756022D0" w:rsidRPr="1CC12014">
        <w:t>T</w:t>
      </w:r>
      <w:r w:rsidRPr="1CC12014">
        <w:t xml:space="preserve">he </w:t>
      </w:r>
      <w:r w:rsidR="009F58E6" w:rsidRPr="1CC12014">
        <w:t>Environment Authorisation (Scotland) Regulations 2018 (EASR)</w:t>
      </w:r>
      <w:r w:rsidRPr="1CC12014">
        <w:t>:</w:t>
      </w:r>
    </w:p>
    <w:p w14:paraId="50094452" w14:textId="26FA8F75" w:rsidR="003C21D8" w:rsidRPr="003C21D8" w:rsidRDefault="003C21D8" w:rsidP="00486F21">
      <w:pPr>
        <w:pStyle w:val="BodyText1"/>
        <w:numPr>
          <w:ilvl w:val="0"/>
          <w:numId w:val="22"/>
        </w:numPr>
        <w:rPr>
          <w:rFonts w:cstheme="minorHAnsi"/>
        </w:rPr>
      </w:pPr>
      <w:r w:rsidRPr="003C21D8">
        <w:rPr>
          <w:rFonts w:cstheme="minorHAnsi"/>
        </w:rPr>
        <w:t>GBR – &lt;10m3/day</w:t>
      </w:r>
    </w:p>
    <w:p w14:paraId="0E8ED5E8" w14:textId="3F16C17A" w:rsidR="003C21D8" w:rsidRPr="003C21D8" w:rsidRDefault="003C21D8" w:rsidP="00486F21">
      <w:pPr>
        <w:pStyle w:val="BodyText1"/>
        <w:numPr>
          <w:ilvl w:val="0"/>
          <w:numId w:val="22"/>
        </w:numPr>
        <w:rPr>
          <w:rFonts w:cstheme="minorHAnsi"/>
        </w:rPr>
      </w:pPr>
      <w:r w:rsidRPr="003C21D8">
        <w:rPr>
          <w:rFonts w:cstheme="minorHAnsi"/>
        </w:rPr>
        <w:t>Registration – ≥10 - ≤50m3/day</w:t>
      </w:r>
    </w:p>
    <w:p w14:paraId="06FF19FF" w14:textId="10B888CF" w:rsidR="1CC12014" w:rsidRPr="00486F21" w:rsidRDefault="00B32A2B" w:rsidP="00486F21">
      <w:pPr>
        <w:pStyle w:val="BodyText1"/>
        <w:numPr>
          <w:ilvl w:val="0"/>
          <w:numId w:val="22"/>
        </w:numPr>
        <w:rPr>
          <w:rFonts w:cstheme="minorHAnsi"/>
        </w:rPr>
      </w:pPr>
      <w:r w:rsidRPr="1CC12014">
        <w:t xml:space="preserve">Permit - </w:t>
      </w:r>
      <w:r w:rsidR="003C21D8" w:rsidRPr="1CC12014">
        <w:t>≥50m3/day</w:t>
      </w:r>
    </w:p>
    <w:p w14:paraId="34A414D4" w14:textId="318BD10C" w:rsidR="1CC12014" w:rsidRPr="00486F21" w:rsidRDefault="003C21D8" w:rsidP="00486F21">
      <w:pPr>
        <w:pStyle w:val="BodyText1"/>
      </w:pPr>
      <w:r w:rsidRPr="6806B43B">
        <w:t xml:space="preserve">SEPA recognises the importance of promoting the development of renewable energy generation as a contribution to reducing global warming. We therefore do not want our charges to be a disincentive for small-scale energy generation. There is currently no activity description for this type of activity in </w:t>
      </w:r>
      <w:r w:rsidR="59486951" w:rsidRPr="6806B43B">
        <w:t>T</w:t>
      </w:r>
      <w:r w:rsidRPr="6806B43B">
        <w:t>he Environmental Regulation</w:t>
      </w:r>
      <w:r w:rsidR="08B7AAA4" w:rsidRPr="6806B43B">
        <w:t xml:space="preserve"> </w:t>
      </w:r>
      <w:r w:rsidRPr="6806B43B">
        <w:t xml:space="preserve">(Scotland) Charging Scheme 2018. Therefore, the application activity is “any other </w:t>
      </w:r>
      <w:r w:rsidR="007B2EA2">
        <w:t>EAS</w:t>
      </w:r>
      <w:r w:rsidR="003F6A39">
        <w:t xml:space="preserve">R </w:t>
      </w:r>
      <w:r w:rsidR="00185F0B">
        <w:t xml:space="preserve">authorisation </w:t>
      </w:r>
      <w:r w:rsidRPr="6806B43B">
        <w:t>subject to a Registration or of Registration scale”.</w:t>
      </w:r>
    </w:p>
    <w:p w14:paraId="349D40D8" w14:textId="7B449CAE" w:rsidR="1CC12014" w:rsidRDefault="003C21D8" w:rsidP="00486F21">
      <w:pPr>
        <w:pStyle w:val="BodyText1"/>
        <w:rPr>
          <w:color w:val="000000"/>
        </w:rPr>
      </w:pPr>
      <w:r w:rsidRPr="1CC12014">
        <w:rPr>
          <w:color w:val="000000"/>
        </w:rPr>
        <w:t>For water source heat pumps which return water immediately adjacent1 to the abstraction and have no significant thermal impact (within 3</w:t>
      </w:r>
      <w:r w:rsidRPr="1CC12014">
        <w:rPr>
          <w:color w:val="000000"/>
          <w:vertAlign w:val="superscript"/>
        </w:rPr>
        <w:t>o</w:t>
      </w:r>
      <w:r w:rsidRPr="1CC12014">
        <w:rPr>
          <w:color w:val="000000"/>
        </w:rPr>
        <w:t>C of the ambient temperature of the receiving water) a registration fee will apply to the abstracted water. No fee is payable for the abstraction return and there will be no annual subsistence fees.</w:t>
      </w:r>
    </w:p>
    <w:p w14:paraId="13528E45" w14:textId="48ABABD7" w:rsidR="1CC12014" w:rsidRDefault="003C21D8" w:rsidP="00486F21">
      <w:pPr>
        <w:pStyle w:val="BodyText1"/>
      </w:pPr>
      <w:r w:rsidRPr="1CC12014">
        <w:t>For inland waters if a developer cannot meet the return criteria above, the charging incentives would not apply</w:t>
      </w:r>
      <w:r w:rsidR="199B8A67">
        <w:t>,</w:t>
      </w:r>
      <w:r w:rsidRPr="1CC12014">
        <w:t xml:space="preserve"> and the return would be dealt with as a discharge registration level activity and included in the authorisation.</w:t>
      </w:r>
    </w:p>
    <w:p w14:paraId="7B4A0361" w14:textId="782413F2" w:rsidR="003C21D8" w:rsidRPr="003C21D8" w:rsidRDefault="003C21D8" w:rsidP="00486F21">
      <w:pPr>
        <w:pStyle w:val="BodyText1"/>
      </w:pPr>
      <w:r w:rsidRPr="1CC12014">
        <w:t>SEPA would allow the discharge temperature to be within 3</w:t>
      </w:r>
      <w:r w:rsidRPr="1CC12014">
        <w:rPr>
          <w:vertAlign w:val="superscript"/>
        </w:rPr>
        <w:t>o</w:t>
      </w:r>
      <w:r w:rsidRPr="1CC12014">
        <w:t xml:space="preserve">C of the ambient temperature of the receiving water. You can find more information on thermal discharges in </w:t>
      </w:r>
      <w:r>
        <w:t>WAT-</w:t>
      </w:r>
      <w:r w:rsidR="5B1E498F">
        <w:t>G-072 EASR Guidance: Environmental standards for discharges to surface waters.</w:t>
      </w:r>
      <w:r w:rsidRPr="1CC12014">
        <w:t xml:space="preserve"> A point source simple licence (thermal effluents) would</w:t>
      </w:r>
      <w:r w:rsidR="35C6AACE" w:rsidRPr="1CC12014">
        <w:t xml:space="preserve"> </w:t>
      </w:r>
      <w:r w:rsidRPr="1CC12014">
        <w:t>be required if the temperature change would have the potential to breach environmental standards.</w:t>
      </w:r>
    </w:p>
    <w:p w14:paraId="2CCB541C" w14:textId="426A7776" w:rsidR="1CC12014" w:rsidRPr="00486F21" w:rsidRDefault="003C21D8" w:rsidP="00486F21">
      <w:pPr>
        <w:pStyle w:val="BodyText1"/>
        <w:rPr>
          <w:rFonts w:cstheme="minorHAnsi"/>
        </w:rPr>
      </w:pPr>
      <w:r w:rsidRPr="1CC12014">
        <w:t>The engineering aspect of the intake and discharge would be included in the authorisation without the need for a separate authorisation (as per hydro intakes and returns).</w:t>
      </w:r>
    </w:p>
    <w:p w14:paraId="36D0D75B" w14:textId="231FC186" w:rsidR="003C21D8" w:rsidRPr="003C21D8" w:rsidRDefault="1A42FA1A" w:rsidP="003C21D8">
      <w:pPr>
        <w:pStyle w:val="Heading1"/>
      </w:pPr>
      <w:bookmarkStart w:id="3" w:name="_Toc193726763"/>
      <w:r>
        <w:lastRenderedPageBreak/>
        <w:t xml:space="preserve">4 </w:t>
      </w:r>
      <w:r w:rsidR="003C21D8">
        <w:t>Closed loop systems</w:t>
      </w:r>
      <w:bookmarkEnd w:id="3"/>
    </w:p>
    <w:p w14:paraId="16BB029A" w14:textId="77777777" w:rsidR="00B32A2B" w:rsidRDefault="003C21D8" w:rsidP="00486F21">
      <w:pPr>
        <w:pStyle w:val="BodyText1"/>
      </w:pPr>
      <w:r w:rsidRPr="003C21D8">
        <w:t>Surface water closed loop systems will not have an abstraction or discharge. Therefore, these systems will be authorised based on:</w:t>
      </w:r>
    </w:p>
    <w:p w14:paraId="02B0D254" w14:textId="6B7A99DD" w:rsidR="003C21D8" w:rsidRPr="003C21D8" w:rsidRDefault="003C21D8" w:rsidP="00486F21">
      <w:pPr>
        <w:pStyle w:val="BodyText1"/>
        <w:numPr>
          <w:ilvl w:val="0"/>
          <w:numId w:val="23"/>
        </w:numPr>
      </w:pPr>
      <w:r w:rsidRPr="1CC12014">
        <w:t>Engineering authorisation required where there is an impact on the bank or beds</w:t>
      </w:r>
      <w:r w:rsidR="00D61EA7">
        <w:t>. See the relevant section in the EASR authorisation guide</w:t>
      </w:r>
      <w:r w:rsidR="00423C50">
        <w:t>.</w:t>
      </w:r>
    </w:p>
    <w:p w14:paraId="745B9278" w14:textId="36928456" w:rsidR="687F4F65" w:rsidRDefault="003C21D8" w:rsidP="00486F21">
      <w:pPr>
        <w:pStyle w:val="BodyText1"/>
        <w:numPr>
          <w:ilvl w:val="0"/>
          <w:numId w:val="23"/>
        </w:numPr>
      </w:pPr>
      <w:r w:rsidRPr="1CC12014">
        <w:t>Point source simple licence required if ambient temperature difference is &gt;3</w:t>
      </w:r>
      <w:r w:rsidRPr="1CC12014">
        <w:rPr>
          <w:vertAlign w:val="superscript"/>
        </w:rPr>
        <w:t>o</w:t>
      </w:r>
      <w:r w:rsidRPr="1CC12014">
        <w:t>C.</w:t>
      </w:r>
    </w:p>
    <w:p w14:paraId="0859BCFF" w14:textId="16B2BF23" w:rsidR="003C21D8" w:rsidRPr="003C21D8" w:rsidRDefault="31900716" w:rsidP="003C21D8">
      <w:pPr>
        <w:pStyle w:val="Heading1"/>
      </w:pPr>
      <w:bookmarkStart w:id="4" w:name="_Toc193726764"/>
      <w:r>
        <w:t xml:space="preserve">5 </w:t>
      </w:r>
      <w:r w:rsidR="003C21D8">
        <w:t>Coastal and Transitional systems</w:t>
      </w:r>
      <w:bookmarkEnd w:id="4"/>
    </w:p>
    <w:p w14:paraId="1B375618" w14:textId="5E5CB508" w:rsidR="1CC12014" w:rsidRDefault="003C21D8" w:rsidP="00486F21">
      <w:pPr>
        <w:pStyle w:val="BodyText1"/>
      </w:pPr>
      <w:r w:rsidRPr="1CC12014">
        <w:t>A number of organisations regulate WSHPs in Coastal and Transitional waters:</w:t>
      </w:r>
    </w:p>
    <w:p w14:paraId="4EE3FAF9" w14:textId="713BB60D" w:rsidR="003C21D8" w:rsidRDefault="3FEA199E" w:rsidP="42E0E31A">
      <w:pPr>
        <w:pStyle w:val="NormalWeb"/>
        <w:spacing w:before="0" w:beforeAutospacing="0" w:after="0" w:afterAutospacing="0" w:line="360" w:lineRule="auto"/>
        <w:rPr>
          <w:rStyle w:val="Heading1Char"/>
          <w:sz w:val="32"/>
        </w:rPr>
      </w:pPr>
      <w:bookmarkStart w:id="5" w:name="_Toc193726765"/>
      <w:r w:rsidRPr="3B04DE1B">
        <w:rPr>
          <w:rStyle w:val="Heading1Char"/>
          <w:sz w:val="32"/>
        </w:rPr>
        <w:t xml:space="preserve">5.1 </w:t>
      </w:r>
      <w:r w:rsidR="003C21D8" w:rsidRPr="3B04DE1B">
        <w:rPr>
          <w:rStyle w:val="Heading1Char"/>
          <w:sz w:val="32"/>
        </w:rPr>
        <w:t>SEPA</w:t>
      </w:r>
      <w:bookmarkEnd w:id="5"/>
    </w:p>
    <w:p w14:paraId="4A77E94E" w14:textId="5C868274" w:rsidR="003C21D8" w:rsidRPr="00B32A2B" w:rsidRDefault="003C21D8" w:rsidP="00486F21">
      <w:pPr>
        <w:pStyle w:val="BodyText1"/>
        <w:numPr>
          <w:ilvl w:val="0"/>
          <w:numId w:val="24"/>
        </w:numPr>
        <w:rPr>
          <w:b/>
        </w:rPr>
      </w:pPr>
      <w:r w:rsidRPr="00B32A2B">
        <w:t>Abstraction registration for all Coastal and Transitional abstractions</w:t>
      </w:r>
      <w:r w:rsidR="00423C50">
        <w:t>.</w:t>
      </w:r>
    </w:p>
    <w:p w14:paraId="069159E7" w14:textId="531AD489" w:rsidR="1CC12014" w:rsidRPr="00486F21" w:rsidRDefault="003C21D8" w:rsidP="00486F21">
      <w:pPr>
        <w:pStyle w:val="BodyText1"/>
        <w:numPr>
          <w:ilvl w:val="0"/>
          <w:numId w:val="24"/>
        </w:numPr>
        <w:rPr>
          <w:color w:val="000000"/>
        </w:rPr>
      </w:pPr>
      <w:r w:rsidRPr="1CC12014">
        <w:rPr>
          <w:color w:val="000000"/>
        </w:rPr>
        <w:t>Point source simple licence required if ambient temperature difference is &gt;3</w:t>
      </w:r>
      <w:r w:rsidRPr="1CC12014">
        <w:rPr>
          <w:color w:val="000000"/>
          <w:vertAlign w:val="superscript"/>
        </w:rPr>
        <w:t>o</w:t>
      </w:r>
      <w:r w:rsidRPr="1CC12014">
        <w:rPr>
          <w:color w:val="000000"/>
        </w:rPr>
        <w:t>C. Unlikely for WSHPs.</w:t>
      </w:r>
    </w:p>
    <w:p w14:paraId="075B49FA" w14:textId="67DAF97B" w:rsidR="00B32A2B" w:rsidRDefault="6969AE84" w:rsidP="42E0E31A">
      <w:pPr>
        <w:pStyle w:val="Heading1"/>
        <w:spacing w:after="0" w:line="360" w:lineRule="auto"/>
        <w:rPr>
          <w:sz w:val="32"/>
        </w:rPr>
      </w:pPr>
      <w:bookmarkStart w:id="6" w:name="_Toc193726766"/>
      <w:r w:rsidRPr="3B04DE1B">
        <w:rPr>
          <w:sz w:val="32"/>
        </w:rPr>
        <w:t xml:space="preserve">5.2 </w:t>
      </w:r>
      <w:r w:rsidR="003C21D8" w:rsidRPr="3B04DE1B">
        <w:rPr>
          <w:sz w:val="32"/>
        </w:rPr>
        <w:t>Marine Scotland</w:t>
      </w:r>
      <w:bookmarkEnd w:id="6"/>
    </w:p>
    <w:p w14:paraId="52613C83" w14:textId="7E225D1E" w:rsidR="003C21D8" w:rsidRPr="009C3146" w:rsidRDefault="003C21D8" w:rsidP="009C3146">
      <w:pPr>
        <w:pStyle w:val="BodyText1"/>
        <w:numPr>
          <w:ilvl w:val="0"/>
          <w:numId w:val="25"/>
        </w:numPr>
      </w:pPr>
      <w:r w:rsidRPr="009C3146">
        <w:t>Marine licence for engineering activities such as construction of WSHP in, on or under the seabed.</w:t>
      </w:r>
    </w:p>
    <w:p w14:paraId="69ED2D48" w14:textId="513C8CC6" w:rsidR="003C21D8" w:rsidRDefault="04B9F3A4" w:rsidP="42E0E31A">
      <w:pPr>
        <w:pStyle w:val="NormalWeb"/>
        <w:spacing w:before="0" w:beforeAutospacing="0" w:after="0" w:afterAutospacing="0" w:line="360" w:lineRule="auto"/>
        <w:rPr>
          <w:rFonts w:asciiTheme="minorHAnsi" w:hAnsiTheme="minorHAnsi" w:cstheme="minorBidi"/>
          <w:color w:val="000000"/>
        </w:rPr>
      </w:pPr>
      <w:bookmarkStart w:id="7" w:name="_Toc193726767"/>
      <w:r w:rsidRPr="3B04DE1B">
        <w:rPr>
          <w:rStyle w:val="Heading1Char"/>
          <w:sz w:val="32"/>
        </w:rPr>
        <w:t xml:space="preserve">5.3 </w:t>
      </w:r>
      <w:r w:rsidR="003C21D8" w:rsidRPr="3B04DE1B">
        <w:rPr>
          <w:rStyle w:val="Heading1Char"/>
          <w:sz w:val="32"/>
        </w:rPr>
        <w:t>Other organisations</w:t>
      </w:r>
      <w:bookmarkEnd w:id="7"/>
    </w:p>
    <w:p w14:paraId="05AD432B" w14:textId="4926A0A1" w:rsidR="003C21D8" w:rsidRDefault="003C21D8" w:rsidP="009C3146">
      <w:pPr>
        <w:pStyle w:val="BodyText1"/>
        <w:numPr>
          <w:ilvl w:val="0"/>
          <w:numId w:val="26"/>
        </w:numPr>
      </w:pPr>
      <w:r w:rsidRPr="003C21D8">
        <w:t>Approval or consent may be required from other consenting bodies such as the Crown Estate or the Harbour/Port authority.</w:t>
      </w:r>
    </w:p>
    <w:p w14:paraId="23E9280E" w14:textId="77777777" w:rsidR="00501435" w:rsidRDefault="00501435">
      <w:pPr>
        <w:spacing w:line="240" w:lineRule="auto"/>
        <w:rPr>
          <w:rStyle w:val="normaltextrun"/>
          <w:rFonts w:ascii="Arial" w:eastAsiaTheme="majorEastAsia" w:hAnsi="Arial" w:cs="Arial"/>
          <w:b/>
          <w:bCs/>
          <w:color w:val="016574"/>
          <w:sz w:val="40"/>
          <w:szCs w:val="40"/>
          <w:lang w:eastAsia="en-GB"/>
        </w:rPr>
      </w:pPr>
      <w:r>
        <w:rPr>
          <w:rStyle w:val="normaltextrun"/>
          <w:rFonts w:ascii="Arial" w:eastAsiaTheme="majorEastAsia" w:hAnsi="Arial" w:cs="Arial"/>
          <w:b/>
          <w:bCs/>
          <w:color w:val="016574"/>
          <w:sz w:val="40"/>
          <w:szCs w:val="40"/>
        </w:rPr>
        <w:br w:type="page"/>
      </w:r>
    </w:p>
    <w:p w14:paraId="584C2475" w14:textId="500D28F5" w:rsidR="00501435" w:rsidRDefault="00501435" w:rsidP="00501435">
      <w:pPr>
        <w:pStyle w:val="paragraph"/>
        <w:spacing w:before="0" w:beforeAutospacing="0" w:after="0" w:afterAutospacing="0" w:line="360" w:lineRule="auto"/>
        <w:textAlignment w:val="baseline"/>
        <w:rPr>
          <w:rFonts w:ascii="Segoe UI" w:hAnsi="Segoe UI" w:cs="Segoe UI"/>
          <w:b/>
          <w:bCs/>
          <w:color w:val="016574"/>
          <w:sz w:val="18"/>
          <w:szCs w:val="18"/>
        </w:rPr>
      </w:pPr>
      <w:r>
        <w:rPr>
          <w:rStyle w:val="normaltextrun"/>
          <w:rFonts w:ascii="Arial" w:eastAsiaTheme="majorEastAsia" w:hAnsi="Arial" w:cs="Arial"/>
          <w:b/>
          <w:bCs/>
          <w:color w:val="016574"/>
          <w:sz w:val="40"/>
          <w:szCs w:val="40"/>
        </w:rPr>
        <w:lastRenderedPageBreak/>
        <w:t>Disclaimer</w:t>
      </w:r>
      <w:r>
        <w:rPr>
          <w:rStyle w:val="eop"/>
          <w:rFonts w:ascii="Arial" w:eastAsiaTheme="majorEastAsia" w:hAnsi="Arial" w:cs="Arial"/>
          <w:b/>
          <w:bCs/>
          <w:color w:val="016574"/>
          <w:sz w:val="40"/>
          <w:szCs w:val="40"/>
        </w:rPr>
        <w:t> </w:t>
      </w:r>
    </w:p>
    <w:p w14:paraId="7C1F7B6F" w14:textId="77777777" w:rsidR="00501435" w:rsidRDefault="00501435" w:rsidP="00501435">
      <w:pPr>
        <w:pStyle w:val="paragraph"/>
        <w:spacing w:before="0" w:beforeAutospacing="0" w:after="0" w:afterAutospacing="0" w:line="360" w:lineRule="auto"/>
        <w:textAlignment w:val="baseline"/>
        <w:rPr>
          <w:rStyle w:val="eop"/>
          <w:rFonts w:ascii="Arial" w:eastAsiaTheme="majorEastAsia" w:hAnsi="Arial" w:cs="Arial"/>
        </w:rPr>
      </w:pPr>
      <w:r>
        <w:rPr>
          <w:rStyle w:val="normaltextrun"/>
          <w:rFonts w:ascii="Arial" w:eastAsiaTheme="majorEastAsia"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r>
        <w:rPr>
          <w:rStyle w:val="eop"/>
          <w:rFonts w:ascii="Arial" w:eastAsiaTheme="majorEastAsia" w:hAnsi="Arial" w:cs="Arial"/>
        </w:rPr>
        <w:t> </w:t>
      </w:r>
    </w:p>
    <w:p w14:paraId="3CA219A0" w14:textId="77777777" w:rsidR="00501435" w:rsidRDefault="00501435" w:rsidP="00501435">
      <w:pPr>
        <w:pStyle w:val="paragraph"/>
        <w:spacing w:before="0" w:beforeAutospacing="0" w:after="0" w:afterAutospacing="0" w:line="360" w:lineRule="auto"/>
        <w:textAlignment w:val="baseline"/>
        <w:rPr>
          <w:rFonts w:ascii="Segoe UI" w:hAnsi="Segoe UI" w:cs="Segoe UI"/>
          <w:sz w:val="18"/>
          <w:szCs w:val="18"/>
        </w:rPr>
      </w:pPr>
    </w:p>
    <w:p w14:paraId="5ECF56D8" w14:textId="77777777" w:rsidR="00501435" w:rsidRDefault="00501435" w:rsidP="00501435">
      <w:pPr>
        <w:pStyle w:val="paragraph"/>
        <w:numPr>
          <w:ilvl w:val="0"/>
          <w:numId w:val="27"/>
        </w:numPr>
        <w:spacing w:before="0" w:beforeAutospacing="0" w:after="0" w:afterAutospacing="0" w:line="360" w:lineRule="auto"/>
        <w:ind w:left="1080" w:firstLine="0"/>
        <w:textAlignment w:val="baseline"/>
        <w:rPr>
          <w:rFonts w:ascii="Arial" w:hAnsi="Arial" w:cs="Arial"/>
        </w:rPr>
      </w:pPr>
      <w:r>
        <w:rPr>
          <w:rStyle w:val="normaltextrun"/>
          <w:rFonts w:ascii="Arial" w:eastAsiaTheme="majorEastAsia" w:hAnsi="Arial" w:cs="Arial"/>
        </w:rPr>
        <w:t>any direct, indirect and consequential losses</w:t>
      </w:r>
      <w:r>
        <w:rPr>
          <w:rStyle w:val="eop"/>
          <w:rFonts w:ascii="Arial" w:eastAsiaTheme="majorEastAsia" w:hAnsi="Arial" w:cs="Arial"/>
        </w:rPr>
        <w:t> </w:t>
      </w:r>
    </w:p>
    <w:p w14:paraId="534390AF" w14:textId="77777777" w:rsidR="00501435" w:rsidRPr="00501435" w:rsidRDefault="00501435" w:rsidP="00501435">
      <w:pPr>
        <w:pStyle w:val="paragraph"/>
        <w:numPr>
          <w:ilvl w:val="0"/>
          <w:numId w:val="28"/>
        </w:numPr>
        <w:spacing w:before="0" w:beforeAutospacing="0" w:after="0" w:afterAutospacing="0" w:line="360" w:lineRule="auto"/>
        <w:ind w:left="1080" w:firstLine="0"/>
        <w:textAlignment w:val="baseline"/>
        <w:rPr>
          <w:rStyle w:val="eop"/>
          <w:rFonts w:ascii="Arial" w:hAnsi="Arial" w:cs="Arial"/>
        </w:rPr>
      </w:pPr>
      <w:r>
        <w:rPr>
          <w:rStyle w:val="normaltextrun"/>
          <w:rFonts w:ascii="Arial" w:eastAsiaTheme="majorEastAsia" w:hAnsi="Arial" w:cs="Arial"/>
        </w:rPr>
        <w:t>any loss or damage caused by civil wrongs, breach of contract or otherwise</w:t>
      </w:r>
      <w:r>
        <w:rPr>
          <w:rStyle w:val="eop"/>
          <w:rFonts w:ascii="Arial" w:eastAsiaTheme="majorEastAsia" w:hAnsi="Arial" w:cs="Arial"/>
        </w:rPr>
        <w:t> </w:t>
      </w:r>
    </w:p>
    <w:p w14:paraId="17AFFF6A" w14:textId="77777777" w:rsidR="00501435" w:rsidRDefault="00501435" w:rsidP="00501435">
      <w:pPr>
        <w:pStyle w:val="paragraph"/>
        <w:spacing w:before="0" w:beforeAutospacing="0" w:after="0" w:afterAutospacing="0" w:line="360" w:lineRule="auto"/>
        <w:textAlignment w:val="baseline"/>
        <w:rPr>
          <w:rStyle w:val="normaltextrun"/>
          <w:rFonts w:ascii="Arial" w:eastAsiaTheme="majorEastAsia" w:hAnsi="Arial" w:cs="Arial"/>
        </w:rPr>
      </w:pPr>
    </w:p>
    <w:p w14:paraId="621258D9" w14:textId="7C3EFE55" w:rsidR="00501435" w:rsidRDefault="00501435" w:rsidP="0050143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eastAsiaTheme="majorEastAsia"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r>
        <w:rPr>
          <w:rStyle w:val="eop"/>
          <w:rFonts w:ascii="Arial" w:eastAsiaTheme="majorEastAsia" w:hAnsi="Arial" w:cs="Arial"/>
        </w:rPr>
        <w:t> </w:t>
      </w:r>
    </w:p>
    <w:p w14:paraId="0FA7ADA4" w14:textId="77777777" w:rsidR="00501435" w:rsidRPr="003C21D8" w:rsidRDefault="00501435" w:rsidP="00501435">
      <w:pPr>
        <w:pStyle w:val="BodyText1"/>
      </w:pPr>
    </w:p>
    <w:sectPr w:rsidR="00501435" w:rsidRPr="003C21D8"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C516" w14:textId="77777777" w:rsidR="00DE7049" w:rsidRDefault="00DE7049" w:rsidP="00660C79">
      <w:pPr>
        <w:spacing w:line="240" w:lineRule="auto"/>
      </w:pPr>
      <w:r>
        <w:separator/>
      </w:r>
    </w:p>
  </w:endnote>
  <w:endnote w:type="continuationSeparator" w:id="0">
    <w:p w14:paraId="1E6CF516" w14:textId="77777777" w:rsidR="00DE7049" w:rsidRDefault="00DE7049" w:rsidP="00660C79">
      <w:pPr>
        <w:spacing w:line="240" w:lineRule="auto"/>
      </w:pPr>
      <w:r>
        <w:continuationSeparator/>
      </w:r>
    </w:p>
  </w:endnote>
  <w:endnote w:type="continuationNotice" w:id="1">
    <w:p w14:paraId="743AB374" w14:textId="77777777" w:rsidR="00DE7049" w:rsidRDefault="00DE70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6D82"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DD52D5B" wp14:editId="2639E0B0">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23B5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52D5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523B5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E48F0B1"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466F5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297F6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F37F"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56D97AE" wp14:editId="2860BC9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9CD0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D97AE"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E9CD0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4C3DFC7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22FA02F" wp14:editId="1820EED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D3C7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10B5D5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07981C" w14:textId="77777777" w:rsidR="00917BB1" w:rsidRDefault="00917BB1" w:rsidP="00917BB1">
    <w:pPr>
      <w:pStyle w:val="Footer"/>
      <w:ind w:right="360"/>
    </w:pPr>
    <w:r>
      <w:rPr>
        <w:noProof/>
      </w:rPr>
      <w:drawing>
        <wp:inline distT="0" distB="0" distL="0" distR="0" wp14:anchorId="42765CD5" wp14:editId="51D424D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3B11"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6BE403D" wp14:editId="0BB3359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F2D2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E403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61F2D2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D778" w14:textId="77777777" w:rsidR="00DE7049" w:rsidRDefault="00DE7049" w:rsidP="00660C79">
      <w:pPr>
        <w:spacing w:line="240" w:lineRule="auto"/>
      </w:pPr>
      <w:r>
        <w:separator/>
      </w:r>
    </w:p>
  </w:footnote>
  <w:footnote w:type="continuationSeparator" w:id="0">
    <w:p w14:paraId="42D88F31" w14:textId="77777777" w:rsidR="00DE7049" w:rsidRDefault="00DE7049" w:rsidP="00660C79">
      <w:pPr>
        <w:spacing w:line="240" w:lineRule="auto"/>
      </w:pPr>
      <w:r>
        <w:continuationSeparator/>
      </w:r>
    </w:p>
  </w:footnote>
  <w:footnote w:type="continuationNotice" w:id="1">
    <w:p w14:paraId="7E99020A" w14:textId="77777777" w:rsidR="00DE7049" w:rsidRDefault="00DE70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FFCA"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FF24812" wp14:editId="2CC38B18">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67BF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2481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D67BF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3BFF" w14:textId="39C65F4C"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4BBE62B" wp14:editId="1779E048">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A751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BE62B"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9A751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2217DE">
      <w:rPr>
        <w:color w:val="6E7571" w:themeColor="text2"/>
      </w:rPr>
      <w:t>EASR Guidance</w:t>
    </w:r>
    <w:r w:rsidR="009B1D8F">
      <w:rPr>
        <w:color w:val="6E7571" w:themeColor="text2"/>
      </w:rPr>
      <w:t>: Water source heat pumps</w:t>
    </w:r>
  </w:p>
  <w:p w14:paraId="0920825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99DE9C5" wp14:editId="7A1E0C92">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681F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AB1F"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296B85B" wp14:editId="7B2B49E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6FB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96B85B"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D6FB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B55A5"/>
    <w:multiLevelType w:val="hybridMultilevel"/>
    <w:tmpl w:val="DF36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81281"/>
    <w:multiLevelType w:val="hybridMultilevel"/>
    <w:tmpl w:val="CC72DE92"/>
    <w:lvl w:ilvl="0" w:tplc="10D047C2">
      <w:start w:val="1"/>
      <w:numFmt w:val="bullet"/>
      <w:lvlText w:val=""/>
      <w:lvlJc w:val="left"/>
      <w:pPr>
        <w:ind w:left="720" w:hanging="360"/>
      </w:pPr>
      <w:rPr>
        <w:rFonts w:ascii="Symbol" w:hAnsi="Symbol" w:hint="default"/>
        <w:color w:val="01657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01B50"/>
    <w:multiLevelType w:val="multilevel"/>
    <w:tmpl w:val="06A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8757B"/>
    <w:multiLevelType w:val="hybridMultilevel"/>
    <w:tmpl w:val="AB545E1C"/>
    <w:lvl w:ilvl="0" w:tplc="D0363756">
      <w:start w:val="1"/>
      <w:numFmt w:val="bullet"/>
      <w:lvlText w:val=""/>
      <w:lvlJc w:val="left"/>
      <w:pPr>
        <w:ind w:left="720" w:hanging="360"/>
      </w:pPr>
      <w:rPr>
        <w:rFonts w:ascii="Symbol" w:hAnsi="Symbol" w:hint="default"/>
        <w:color w:val="01657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9511E"/>
    <w:multiLevelType w:val="multilevel"/>
    <w:tmpl w:val="401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602416"/>
    <w:multiLevelType w:val="hybridMultilevel"/>
    <w:tmpl w:val="5AEA1768"/>
    <w:lvl w:ilvl="0" w:tplc="1F566CB8">
      <w:start w:val="1"/>
      <w:numFmt w:val="bullet"/>
      <w:lvlText w:val=""/>
      <w:lvlJc w:val="left"/>
      <w:pPr>
        <w:ind w:left="720" w:hanging="360"/>
      </w:pPr>
      <w:rPr>
        <w:rFonts w:ascii="Symbol" w:hAnsi="Symbol" w:hint="default"/>
        <w:color w:val="016574" w:themeColor="accent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413D4"/>
    <w:multiLevelType w:val="hybridMultilevel"/>
    <w:tmpl w:val="F1CE1BFE"/>
    <w:lvl w:ilvl="0" w:tplc="1F566CB8">
      <w:start w:val="1"/>
      <w:numFmt w:val="bullet"/>
      <w:lvlText w:val=""/>
      <w:lvlJc w:val="left"/>
      <w:pPr>
        <w:ind w:left="720" w:hanging="360"/>
      </w:pPr>
      <w:rPr>
        <w:rFonts w:ascii="Symbol" w:hAnsi="Symbol" w:hint="default"/>
        <w:color w:val="016574" w:themeColor="accent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52DD4"/>
    <w:multiLevelType w:val="hybridMultilevel"/>
    <w:tmpl w:val="B480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3533E"/>
    <w:multiLevelType w:val="hybridMultilevel"/>
    <w:tmpl w:val="5204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375E7"/>
    <w:multiLevelType w:val="hybridMultilevel"/>
    <w:tmpl w:val="BC1A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E0A38"/>
    <w:multiLevelType w:val="hybridMultilevel"/>
    <w:tmpl w:val="6846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D06A4"/>
    <w:multiLevelType w:val="hybridMultilevel"/>
    <w:tmpl w:val="C6B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01D25"/>
    <w:multiLevelType w:val="hybridMultilevel"/>
    <w:tmpl w:val="0366D816"/>
    <w:lvl w:ilvl="0" w:tplc="1F566CB8">
      <w:start w:val="1"/>
      <w:numFmt w:val="bullet"/>
      <w:lvlText w:val=""/>
      <w:lvlJc w:val="left"/>
      <w:pPr>
        <w:ind w:left="780" w:hanging="360"/>
      </w:pPr>
      <w:rPr>
        <w:rFonts w:ascii="Symbol" w:hAnsi="Symbol" w:hint="default"/>
        <w:color w:val="016574" w:themeColor="accent2"/>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6E156B"/>
    <w:multiLevelType w:val="hybridMultilevel"/>
    <w:tmpl w:val="2214AE5A"/>
    <w:lvl w:ilvl="0" w:tplc="1F566CB8">
      <w:start w:val="1"/>
      <w:numFmt w:val="bullet"/>
      <w:lvlText w:val=""/>
      <w:lvlJc w:val="left"/>
      <w:pPr>
        <w:ind w:left="720" w:hanging="360"/>
      </w:pPr>
      <w:rPr>
        <w:rFonts w:ascii="Symbol" w:hAnsi="Symbol" w:hint="default"/>
        <w:color w:val="016574" w:themeColor="accent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6441FA"/>
    <w:multiLevelType w:val="hybridMultilevel"/>
    <w:tmpl w:val="AE2C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5"/>
  </w:num>
  <w:num w:numId="12" w16cid:durableId="791052000">
    <w:abstractNumId w:val="13"/>
  </w:num>
  <w:num w:numId="13" w16cid:durableId="593785568">
    <w:abstractNumId w:val="26"/>
  </w:num>
  <w:num w:numId="14" w16cid:durableId="116335145">
    <w:abstractNumId w:val="14"/>
  </w:num>
  <w:num w:numId="15" w16cid:durableId="894463053">
    <w:abstractNumId w:val="11"/>
  </w:num>
  <w:num w:numId="16" w16cid:durableId="32073956">
    <w:abstractNumId w:val="21"/>
  </w:num>
  <w:num w:numId="17" w16cid:durableId="794637184">
    <w:abstractNumId w:val="24"/>
  </w:num>
  <w:num w:numId="18" w16cid:durableId="71977966">
    <w:abstractNumId w:val="17"/>
  </w:num>
  <w:num w:numId="19" w16cid:durableId="1525942500">
    <w:abstractNumId w:val="16"/>
  </w:num>
  <w:num w:numId="20" w16cid:durableId="408892104">
    <w:abstractNumId w:val="23"/>
  </w:num>
  <w:num w:numId="21" w16cid:durableId="67311410">
    <w:abstractNumId w:val="27"/>
  </w:num>
  <w:num w:numId="22" w16cid:durableId="1723215790">
    <w:abstractNumId w:val="22"/>
  </w:num>
  <w:num w:numId="23" w16cid:durableId="192230007">
    <w:abstractNumId w:val="19"/>
  </w:num>
  <w:num w:numId="24" w16cid:durableId="1290894045">
    <w:abstractNumId w:val="18"/>
  </w:num>
  <w:num w:numId="25" w16cid:durableId="1598322263">
    <w:abstractNumId w:val="20"/>
  </w:num>
  <w:num w:numId="26" w16cid:durableId="15885411">
    <w:abstractNumId w:val="10"/>
  </w:num>
  <w:num w:numId="27" w16cid:durableId="27531611">
    <w:abstractNumId w:val="12"/>
  </w:num>
  <w:num w:numId="28" w16cid:durableId="297300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D8"/>
    <w:rsid w:val="00011D9A"/>
    <w:rsid w:val="0003257F"/>
    <w:rsid w:val="00032829"/>
    <w:rsid w:val="00040561"/>
    <w:rsid w:val="0006219D"/>
    <w:rsid w:val="00070507"/>
    <w:rsid w:val="00070937"/>
    <w:rsid w:val="00092DF6"/>
    <w:rsid w:val="000B7559"/>
    <w:rsid w:val="000C1B83"/>
    <w:rsid w:val="000E0D15"/>
    <w:rsid w:val="000F4A16"/>
    <w:rsid w:val="000F507A"/>
    <w:rsid w:val="00105F31"/>
    <w:rsid w:val="00123A3F"/>
    <w:rsid w:val="00123AE9"/>
    <w:rsid w:val="001327E8"/>
    <w:rsid w:val="00171668"/>
    <w:rsid w:val="00185F0B"/>
    <w:rsid w:val="001A2B8C"/>
    <w:rsid w:val="001E4E9F"/>
    <w:rsid w:val="001F1151"/>
    <w:rsid w:val="001F78B1"/>
    <w:rsid w:val="002043BF"/>
    <w:rsid w:val="00214C93"/>
    <w:rsid w:val="002217DE"/>
    <w:rsid w:val="002233FA"/>
    <w:rsid w:val="00236552"/>
    <w:rsid w:val="00261D29"/>
    <w:rsid w:val="002748B1"/>
    <w:rsid w:val="00281BB1"/>
    <w:rsid w:val="00290B1F"/>
    <w:rsid w:val="002B5C1D"/>
    <w:rsid w:val="002C71A4"/>
    <w:rsid w:val="002D34DF"/>
    <w:rsid w:val="002E05D8"/>
    <w:rsid w:val="002F75CF"/>
    <w:rsid w:val="00300470"/>
    <w:rsid w:val="0030096D"/>
    <w:rsid w:val="00317618"/>
    <w:rsid w:val="00341172"/>
    <w:rsid w:val="00347813"/>
    <w:rsid w:val="003810DF"/>
    <w:rsid w:val="00394726"/>
    <w:rsid w:val="003A69EB"/>
    <w:rsid w:val="003A6DD7"/>
    <w:rsid w:val="003B544D"/>
    <w:rsid w:val="003B574D"/>
    <w:rsid w:val="003C21D8"/>
    <w:rsid w:val="003F5384"/>
    <w:rsid w:val="003F6A39"/>
    <w:rsid w:val="00402F5D"/>
    <w:rsid w:val="004073BC"/>
    <w:rsid w:val="004133B7"/>
    <w:rsid w:val="00423C50"/>
    <w:rsid w:val="00430ED6"/>
    <w:rsid w:val="00444AA1"/>
    <w:rsid w:val="0045691C"/>
    <w:rsid w:val="00486F21"/>
    <w:rsid w:val="00496EF6"/>
    <w:rsid w:val="004B5474"/>
    <w:rsid w:val="004B79BB"/>
    <w:rsid w:val="004C2A35"/>
    <w:rsid w:val="004D313B"/>
    <w:rsid w:val="004E1575"/>
    <w:rsid w:val="004E6BA4"/>
    <w:rsid w:val="004F54CF"/>
    <w:rsid w:val="00501435"/>
    <w:rsid w:val="00512F5D"/>
    <w:rsid w:val="00520CCE"/>
    <w:rsid w:val="005256C4"/>
    <w:rsid w:val="00551989"/>
    <w:rsid w:val="00587EA6"/>
    <w:rsid w:val="005A355E"/>
    <w:rsid w:val="005D1213"/>
    <w:rsid w:val="006243FF"/>
    <w:rsid w:val="00640159"/>
    <w:rsid w:val="006447F7"/>
    <w:rsid w:val="00660C79"/>
    <w:rsid w:val="00684F5A"/>
    <w:rsid w:val="006A6137"/>
    <w:rsid w:val="006D16CE"/>
    <w:rsid w:val="006D6BE0"/>
    <w:rsid w:val="006E0CF8"/>
    <w:rsid w:val="007159E9"/>
    <w:rsid w:val="00721B90"/>
    <w:rsid w:val="00725053"/>
    <w:rsid w:val="007404EA"/>
    <w:rsid w:val="00744C13"/>
    <w:rsid w:val="00751749"/>
    <w:rsid w:val="007654B2"/>
    <w:rsid w:val="007654C1"/>
    <w:rsid w:val="00775286"/>
    <w:rsid w:val="00776453"/>
    <w:rsid w:val="007777DA"/>
    <w:rsid w:val="007B2EA2"/>
    <w:rsid w:val="007C3F12"/>
    <w:rsid w:val="007D441B"/>
    <w:rsid w:val="00801105"/>
    <w:rsid w:val="0081093D"/>
    <w:rsid w:val="00820C48"/>
    <w:rsid w:val="00833AE7"/>
    <w:rsid w:val="0085114F"/>
    <w:rsid w:val="00857B7B"/>
    <w:rsid w:val="00861B46"/>
    <w:rsid w:val="00877BF1"/>
    <w:rsid w:val="008C1A73"/>
    <w:rsid w:val="008C269A"/>
    <w:rsid w:val="008D113C"/>
    <w:rsid w:val="008D376F"/>
    <w:rsid w:val="009119E7"/>
    <w:rsid w:val="00911B06"/>
    <w:rsid w:val="00917BB1"/>
    <w:rsid w:val="009411A1"/>
    <w:rsid w:val="0095139E"/>
    <w:rsid w:val="00975D21"/>
    <w:rsid w:val="00980531"/>
    <w:rsid w:val="0099486A"/>
    <w:rsid w:val="009A240D"/>
    <w:rsid w:val="009B1D8F"/>
    <w:rsid w:val="009B71EF"/>
    <w:rsid w:val="009C3146"/>
    <w:rsid w:val="009C5F29"/>
    <w:rsid w:val="009F58E6"/>
    <w:rsid w:val="00A07633"/>
    <w:rsid w:val="00A56DE0"/>
    <w:rsid w:val="00A60B0B"/>
    <w:rsid w:val="00A8465C"/>
    <w:rsid w:val="00A9349C"/>
    <w:rsid w:val="00AD4D65"/>
    <w:rsid w:val="00AE068C"/>
    <w:rsid w:val="00AE43E6"/>
    <w:rsid w:val="00B32A2B"/>
    <w:rsid w:val="00B46E48"/>
    <w:rsid w:val="00B54CF4"/>
    <w:rsid w:val="00B66238"/>
    <w:rsid w:val="00BB09D7"/>
    <w:rsid w:val="00BC052C"/>
    <w:rsid w:val="00BE11A8"/>
    <w:rsid w:val="00BE2613"/>
    <w:rsid w:val="00BE29FD"/>
    <w:rsid w:val="00C21322"/>
    <w:rsid w:val="00C27F04"/>
    <w:rsid w:val="00C40398"/>
    <w:rsid w:val="00C569B9"/>
    <w:rsid w:val="00C73CF1"/>
    <w:rsid w:val="00C76F04"/>
    <w:rsid w:val="00CD6AC0"/>
    <w:rsid w:val="00CF1553"/>
    <w:rsid w:val="00CF7EFB"/>
    <w:rsid w:val="00D22396"/>
    <w:rsid w:val="00D30573"/>
    <w:rsid w:val="00D35448"/>
    <w:rsid w:val="00D61EA7"/>
    <w:rsid w:val="00D846DB"/>
    <w:rsid w:val="00D87CA2"/>
    <w:rsid w:val="00DE363E"/>
    <w:rsid w:val="00DE7049"/>
    <w:rsid w:val="00DF0877"/>
    <w:rsid w:val="00E11A56"/>
    <w:rsid w:val="00E326A4"/>
    <w:rsid w:val="00E45CBE"/>
    <w:rsid w:val="00E519A3"/>
    <w:rsid w:val="00E67C75"/>
    <w:rsid w:val="00EA7201"/>
    <w:rsid w:val="00EB5C17"/>
    <w:rsid w:val="00EC1F6F"/>
    <w:rsid w:val="00EC3627"/>
    <w:rsid w:val="00EC6A73"/>
    <w:rsid w:val="00EF5A41"/>
    <w:rsid w:val="00F07048"/>
    <w:rsid w:val="00F10271"/>
    <w:rsid w:val="00F43200"/>
    <w:rsid w:val="00F6059F"/>
    <w:rsid w:val="00F67CFB"/>
    <w:rsid w:val="00F72274"/>
    <w:rsid w:val="00F7634B"/>
    <w:rsid w:val="00FE1324"/>
    <w:rsid w:val="00FE7FCA"/>
    <w:rsid w:val="00FF5D5A"/>
    <w:rsid w:val="019462B1"/>
    <w:rsid w:val="04B9F3A4"/>
    <w:rsid w:val="08B7AAA4"/>
    <w:rsid w:val="0B71F1A5"/>
    <w:rsid w:val="14320040"/>
    <w:rsid w:val="199B8A67"/>
    <w:rsid w:val="1A42FA1A"/>
    <w:rsid w:val="1B6EAA9C"/>
    <w:rsid w:val="1CC12014"/>
    <w:rsid w:val="1D66B4A6"/>
    <w:rsid w:val="208CC894"/>
    <w:rsid w:val="23174856"/>
    <w:rsid w:val="25246D90"/>
    <w:rsid w:val="277A66C7"/>
    <w:rsid w:val="287C08F8"/>
    <w:rsid w:val="2DE8E78F"/>
    <w:rsid w:val="2E03D1D6"/>
    <w:rsid w:val="31900716"/>
    <w:rsid w:val="35C6AACE"/>
    <w:rsid w:val="36967CE2"/>
    <w:rsid w:val="3B04DE1B"/>
    <w:rsid w:val="3FEA199E"/>
    <w:rsid w:val="42E0E31A"/>
    <w:rsid w:val="43092651"/>
    <w:rsid w:val="43770C77"/>
    <w:rsid w:val="44C4398E"/>
    <w:rsid w:val="4EF8A51D"/>
    <w:rsid w:val="5023425A"/>
    <w:rsid w:val="5172F7B0"/>
    <w:rsid w:val="52E9D10F"/>
    <w:rsid w:val="54792143"/>
    <w:rsid w:val="558D6F03"/>
    <w:rsid w:val="55AFE96D"/>
    <w:rsid w:val="59486951"/>
    <w:rsid w:val="599D0195"/>
    <w:rsid w:val="5AA74721"/>
    <w:rsid w:val="5B1E498F"/>
    <w:rsid w:val="64367E61"/>
    <w:rsid w:val="6806B43B"/>
    <w:rsid w:val="687F4F65"/>
    <w:rsid w:val="6969AE84"/>
    <w:rsid w:val="6FDC0D61"/>
    <w:rsid w:val="7074249A"/>
    <w:rsid w:val="756022D0"/>
    <w:rsid w:val="7BCC58AB"/>
    <w:rsid w:val="7CA0B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1980"/>
  <w15:chartTrackingRefBased/>
  <w15:docId w15:val="{B95CCBB0-BDC9-44E5-B95E-C1DFAB2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F58E6"/>
    <w:rPr>
      <w:sz w:val="16"/>
      <w:szCs w:val="16"/>
    </w:rPr>
  </w:style>
  <w:style w:type="paragraph" w:styleId="CommentText">
    <w:name w:val="annotation text"/>
    <w:basedOn w:val="Normal"/>
    <w:link w:val="CommentTextChar"/>
    <w:uiPriority w:val="99"/>
    <w:unhideWhenUsed/>
    <w:rsid w:val="009F58E6"/>
    <w:pPr>
      <w:spacing w:line="240" w:lineRule="auto"/>
    </w:pPr>
    <w:rPr>
      <w:sz w:val="20"/>
      <w:szCs w:val="20"/>
    </w:rPr>
  </w:style>
  <w:style w:type="character" w:customStyle="1" w:styleId="CommentTextChar">
    <w:name w:val="Comment Text Char"/>
    <w:basedOn w:val="DefaultParagraphFont"/>
    <w:link w:val="CommentText"/>
    <w:uiPriority w:val="99"/>
    <w:rsid w:val="009F58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58E6"/>
    <w:rPr>
      <w:b/>
      <w:bCs/>
    </w:rPr>
  </w:style>
  <w:style w:type="character" w:customStyle="1" w:styleId="CommentSubjectChar">
    <w:name w:val="Comment Subject Char"/>
    <w:basedOn w:val="CommentTextChar"/>
    <w:link w:val="CommentSubject"/>
    <w:uiPriority w:val="99"/>
    <w:semiHidden/>
    <w:rsid w:val="009F58E6"/>
    <w:rPr>
      <w:rFonts w:eastAsiaTheme="minorEastAsia"/>
      <w:b/>
      <w:bCs/>
      <w:sz w:val="20"/>
      <w:szCs w:val="20"/>
    </w:rPr>
  </w:style>
  <w:style w:type="paragraph" w:styleId="TOC1">
    <w:name w:val="toc 1"/>
    <w:basedOn w:val="Normal"/>
    <w:next w:val="Normal"/>
    <w:uiPriority w:val="39"/>
    <w:unhideWhenUsed/>
    <w:rsid w:val="3B04DE1B"/>
    <w:pPr>
      <w:spacing w:after="100"/>
    </w:pPr>
  </w:style>
  <w:style w:type="paragraph" w:styleId="TOCHeading">
    <w:name w:val="TOC Heading"/>
    <w:basedOn w:val="Heading1"/>
    <w:next w:val="Normal"/>
    <w:uiPriority w:val="39"/>
    <w:unhideWhenUsed/>
    <w:qFormat/>
    <w:rsid w:val="0006219D"/>
    <w:pPr>
      <w:spacing w:before="240" w:after="0" w:line="259" w:lineRule="auto"/>
      <w:outlineLvl w:val="9"/>
    </w:pPr>
    <w:rPr>
      <w:b w:val="0"/>
      <w:color w:val="004B56" w:themeColor="accent1" w:themeShade="BF"/>
      <w:sz w:val="32"/>
      <w:lang w:val="en-US"/>
    </w:rPr>
  </w:style>
  <w:style w:type="paragraph" w:customStyle="1" w:styleId="paragraph">
    <w:name w:val="paragraph"/>
    <w:basedOn w:val="Normal"/>
    <w:rsid w:val="0050143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01435"/>
  </w:style>
  <w:style w:type="character" w:customStyle="1" w:styleId="eop">
    <w:name w:val="eop"/>
    <w:basedOn w:val="DefaultParagraphFont"/>
    <w:rsid w:val="00501435"/>
  </w:style>
  <w:style w:type="table" w:styleId="TableGrid">
    <w:name w:val="Table Grid"/>
    <w:basedOn w:val="TableNormal"/>
    <w:uiPriority w:val="59"/>
    <w:rsid w:val="0045691C"/>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9360">
      <w:bodyDiv w:val="1"/>
      <w:marLeft w:val="0"/>
      <w:marRight w:val="0"/>
      <w:marTop w:val="0"/>
      <w:marBottom w:val="0"/>
      <w:divBdr>
        <w:top w:val="none" w:sz="0" w:space="0" w:color="auto"/>
        <w:left w:val="none" w:sz="0" w:space="0" w:color="auto"/>
        <w:bottom w:val="none" w:sz="0" w:space="0" w:color="auto"/>
        <w:right w:val="none" w:sz="0" w:space="0" w:color="auto"/>
      </w:divBdr>
      <w:divsChild>
        <w:div w:id="727342744">
          <w:marLeft w:val="0"/>
          <w:marRight w:val="0"/>
          <w:marTop w:val="0"/>
          <w:marBottom w:val="0"/>
          <w:divBdr>
            <w:top w:val="none" w:sz="0" w:space="0" w:color="auto"/>
            <w:left w:val="none" w:sz="0" w:space="0" w:color="auto"/>
            <w:bottom w:val="none" w:sz="0" w:space="0" w:color="auto"/>
            <w:right w:val="none" w:sz="0" w:space="0" w:color="auto"/>
          </w:divBdr>
        </w:div>
        <w:div w:id="878126683">
          <w:marLeft w:val="0"/>
          <w:marRight w:val="0"/>
          <w:marTop w:val="0"/>
          <w:marBottom w:val="0"/>
          <w:divBdr>
            <w:top w:val="none" w:sz="0" w:space="0" w:color="auto"/>
            <w:left w:val="none" w:sz="0" w:space="0" w:color="auto"/>
            <w:bottom w:val="none" w:sz="0" w:space="0" w:color="auto"/>
            <w:right w:val="none" w:sz="0" w:space="0" w:color="auto"/>
          </w:divBdr>
        </w:div>
        <w:div w:id="1139225885">
          <w:marLeft w:val="0"/>
          <w:marRight w:val="0"/>
          <w:marTop w:val="0"/>
          <w:marBottom w:val="0"/>
          <w:divBdr>
            <w:top w:val="none" w:sz="0" w:space="0" w:color="auto"/>
            <w:left w:val="none" w:sz="0" w:space="0" w:color="auto"/>
            <w:bottom w:val="none" w:sz="0" w:space="0" w:color="auto"/>
            <w:right w:val="none" w:sz="0" w:space="0" w:color="auto"/>
          </w:divBdr>
        </w:div>
        <w:div w:id="1898585602">
          <w:marLeft w:val="0"/>
          <w:marRight w:val="0"/>
          <w:marTop w:val="0"/>
          <w:marBottom w:val="0"/>
          <w:divBdr>
            <w:top w:val="none" w:sz="0" w:space="0" w:color="auto"/>
            <w:left w:val="none" w:sz="0" w:space="0" w:color="auto"/>
            <w:bottom w:val="none" w:sz="0" w:space="0" w:color="auto"/>
            <w:right w:val="none" w:sz="0" w:space="0" w:color="auto"/>
          </w:divBdr>
        </w:div>
        <w:div w:id="1934312744">
          <w:marLeft w:val="0"/>
          <w:marRight w:val="0"/>
          <w:marTop w:val="0"/>
          <w:marBottom w:val="0"/>
          <w:divBdr>
            <w:top w:val="none" w:sz="0" w:space="0" w:color="auto"/>
            <w:left w:val="none" w:sz="0" w:space="0" w:color="auto"/>
            <w:bottom w:val="none" w:sz="0" w:space="0" w:color="auto"/>
            <w:right w:val="none" w:sz="0" w:space="0" w:color="auto"/>
          </w:divBdr>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2680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ADAF9-8312-48D1-BB57-AA00C6BE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7dd4d6b0-2bd1-40f7-94aa-8d4785e79023"/>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e5b52f7-9556-48ad-bf4f-1238de82834a"/>
    <ds:schemaRef ds:uri="http://purl.org/dc/dcmitype/"/>
    <ds:schemaRef ds:uri="http://purl.org/dc/terms/"/>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Links>
    <vt:vector size="60" baseType="variant">
      <vt:variant>
        <vt:i4>3539032</vt:i4>
      </vt:variant>
      <vt:variant>
        <vt:i4>54</vt:i4>
      </vt:variant>
      <vt:variant>
        <vt:i4>0</vt:i4>
      </vt:variant>
      <vt:variant>
        <vt:i4>5</vt:i4>
      </vt:variant>
      <vt:variant>
        <vt:lpwstr>mailto:equalities@sepa.org.uk</vt:lpwstr>
      </vt:variant>
      <vt:variant>
        <vt:lpwstr/>
      </vt:variant>
      <vt:variant>
        <vt:i4>1966134</vt:i4>
      </vt:variant>
      <vt:variant>
        <vt:i4>47</vt:i4>
      </vt:variant>
      <vt:variant>
        <vt:i4>0</vt:i4>
      </vt:variant>
      <vt:variant>
        <vt:i4>5</vt:i4>
      </vt:variant>
      <vt:variant>
        <vt:lpwstr/>
      </vt:variant>
      <vt:variant>
        <vt:lpwstr>_Toc191970197</vt:lpwstr>
      </vt:variant>
      <vt:variant>
        <vt:i4>1966134</vt:i4>
      </vt:variant>
      <vt:variant>
        <vt:i4>41</vt:i4>
      </vt:variant>
      <vt:variant>
        <vt:i4>0</vt:i4>
      </vt:variant>
      <vt:variant>
        <vt:i4>5</vt:i4>
      </vt:variant>
      <vt:variant>
        <vt:lpwstr/>
      </vt:variant>
      <vt:variant>
        <vt:lpwstr>_Toc191970196</vt:lpwstr>
      </vt:variant>
      <vt:variant>
        <vt:i4>1966134</vt:i4>
      </vt:variant>
      <vt:variant>
        <vt:i4>35</vt:i4>
      </vt:variant>
      <vt:variant>
        <vt:i4>0</vt:i4>
      </vt:variant>
      <vt:variant>
        <vt:i4>5</vt:i4>
      </vt:variant>
      <vt:variant>
        <vt:lpwstr/>
      </vt:variant>
      <vt:variant>
        <vt:lpwstr>_Toc191970195</vt:lpwstr>
      </vt:variant>
      <vt:variant>
        <vt:i4>1966134</vt:i4>
      </vt:variant>
      <vt:variant>
        <vt:i4>29</vt:i4>
      </vt:variant>
      <vt:variant>
        <vt:i4>0</vt:i4>
      </vt:variant>
      <vt:variant>
        <vt:i4>5</vt:i4>
      </vt:variant>
      <vt:variant>
        <vt:lpwstr/>
      </vt:variant>
      <vt:variant>
        <vt:lpwstr>_Toc191970194</vt:lpwstr>
      </vt:variant>
      <vt:variant>
        <vt:i4>1966134</vt:i4>
      </vt:variant>
      <vt:variant>
        <vt:i4>23</vt:i4>
      </vt:variant>
      <vt:variant>
        <vt:i4>0</vt:i4>
      </vt:variant>
      <vt:variant>
        <vt:i4>5</vt:i4>
      </vt:variant>
      <vt:variant>
        <vt:lpwstr/>
      </vt:variant>
      <vt:variant>
        <vt:lpwstr>_Toc191970193</vt:lpwstr>
      </vt:variant>
      <vt:variant>
        <vt:i4>1966134</vt:i4>
      </vt:variant>
      <vt:variant>
        <vt:i4>17</vt:i4>
      </vt:variant>
      <vt:variant>
        <vt:i4>0</vt:i4>
      </vt:variant>
      <vt:variant>
        <vt:i4>5</vt:i4>
      </vt:variant>
      <vt:variant>
        <vt:lpwstr/>
      </vt:variant>
      <vt:variant>
        <vt:lpwstr>_Toc191970192</vt:lpwstr>
      </vt:variant>
      <vt:variant>
        <vt:i4>1966134</vt:i4>
      </vt:variant>
      <vt:variant>
        <vt:i4>11</vt:i4>
      </vt:variant>
      <vt:variant>
        <vt:i4>0</vt:i4>
      </vt:variant>
      <vt:variant>
        <vt:i4>5</vt:i4>
      </vt:variant>
      <vt:variant>
        <vt:lpwstr/>
      </vt:variant>
      <vt:variant>
        <vt:lpwstr>_Toc191970191</vt:lpwstr>
      </vt:variant>
      <vt:variant>
        <vt:i4>1966134</vt:i4>
      </vt:variant>
      <vt:variant>
        <vt:i4>5</vt:i4>
      </vt:variant>
      <vt:variant>
        <vt:i4>0</vt:i4>
      </vt:variant>
      <vt:variant>
        <vt:i4>5</vt:i4>
      </vt:variant>
      <vt:variant>
        <vt:lpwstr/>
      </vt:variant>
      <vt:variant>
        <vt:lpwstr>_Toc191970190</vt:lpwstr>
      </vt:variant>
      <vt:variant>
        <vt:i4>2031670</vt:i4>
      </vt:variant>
      <vt:variant>
        <vt:i4>2</vt:i4>
      </vt:variant>
      <vt:variant>
        <vt:i4>0</vt:i4>
      </vt:variant>
      <vt:variant>
        <vt:i4>5</vt:i4>
      </vt:variant>
      <vt:variant>
        <vt:lpwstr/>
      </vt:variant>
      <vt:variant>
        <vt:lpwstr>_Toc191970189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2025-06-13T10:11:00Z</dcterms:created>
  <dcterms:modified xsi:type="dcterms:W3CDTF">2025-06-13T10:11:00Z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