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7AA9CA3" w14:textId="77777777" w:rsidR="00ED3EE7" w:rsidRDefault="00CF7EFB" w:rsidP="00ED3EE7">
          <w:r>
            <w:rPr>
              <w:noProof/>
            </w:rPr>
            <w:drawing>
              <wp:inline distT="0" distB="0" distL="0" distR="0" wp14:anchorId="32327C34" wp14:editId="55D3A6F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5747DEAC" w14:textId="2A88B923" w:rsidR="00ED3EE7" w:rsidRDefault="001D5FDB" w:rsidP="00ED3EE7">
          <w:pPr>
            <w:pStyle w:val="Heading1"/>
          </w:pPr>
          <w:r>
            <w:t>WAS-G-DEF-04</w:t>
          </w:r>
        </w:p>
        <w:p w14:paraId="7B3654EE" w14:textId="3E596508" w:rsidR="00ED3EE7" w:rsidRPr="00E245AC" w:rsidRDefault="002D5326" w:rsidP="00760F9A">
          <w:pPr>
            <w:pStyle w:val="Reportheader"/>
            <w:rPr>
              <w:rFonts w:ascii="Arial" w:hAnsi="Arial" w:cs="Arial"/>
            </w:rPr>
          </w:pPr>
          <w:r>
            <w:rPr>
              <w:rFonts w:ascii="Arial" w:hAnsi="Arial" w:cs="Arial"/>
            </w:rPr>
            <w:t>End-of-Waste for scrap metal</w:t>
          </w:r>
          <w:r w:rsidR="00D807D9">
            <w:rPr>
              <w:rFonts w:ascii="Arial" w:hAnsi="Arial" w:cs="Arial"/>
            </w:rPr>
            <w:t xml:space="preserve"> and glass</w:t>
          </w:r>
          <w:r w:rsidR="00E90AE9">
            <w:rPr>
              <w:rFonts w:ascii="Arial" w:hAnsi="Arial" w:cs="Arial"/>
            </w:rPr>
            <w:t xml:space="preserve"> cullet</w:t>
          </w:r>
        </w:p>
        <w:p w14:paraId="6E65369A" w14:textId="186A5C5A" w:rsidR="00ED3EE7" w:rsidRDefault="00481812" w:rsidP="00ED3EE7">
          <w:pPr>
            <w:pStyle w:val="Heading2"/>
          </w:pPr>
          <w:r>
            <w:t>Version 2</w:t>
          </w:r>
          <w:r w:rsidR="1B940B0A">
            <w:t>.0</w:t>
          </w:r>
          <w:r>
            <w:t xml:space="preserve"> - </w:t>
          </w:r>
          <w:r w:rsidR="0CE38F45">
            <w:t>August</w:t>
          </w:r>
          <w:r w:rsidR="00D807D9">
            <w:t xml:space="preserve"> 202</w:t>
          </w:r>
          <w:r w:rsidR="0060147B">
            <w:t>5</w:t>
          </w:r>
        </w:p>
        <w:p w14:paraId="3BECB3CC" w14:textId="77777777" w:rsidR="00ED3EE7" w:rsidRDefault="00ED3EE7" w:rsidP="00ED3EE7">
          <w:pPr>
            <w:pStyle w:val="Footer"/>
            <w:ind w:right="360"/>
          </w:pPr>
          <w:r>
            <w:rPr>
              <w:noProof/>
            </w:rPr>
            <mc:AlternateContent>
              <mc:Choice Requires="wps">
                <w:drawing>
                  <wp:anchor distT="0" distB="0" distL="114300" distR="114300" simplePos="0" relativeHeight="251663360" behindDoc="0" locked="0" layoutInCell="1" allowOverlap="1" wp14:anchorId="33BA186B" wp14:editId="054798EA">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B0E05" id="Straight Connector 12"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695E3133" w14:textId="3E118B19" w:rsidR="007A6036" w:rsidRPr="00A34CDC" w:rsidRDefault="0058554C" w:rsidP="000944A3">
          <w:pPr>
            <w:pStyle w:val="Heading2"/>
          </w:pPr>
          <w:r>
            <w:t>Introduction</w:t>
          </w:r>
        </w:p>
        <w:p w14:paraId="5D925CC0" w14:textId="6C51896F" w:rsidR="007A6036" w:rsidRDefault="007A6036" w:rsidP="000944A3">
          <w:r>
            <w:t xml:space="preserve">This guidance </w:t>
          </w:r>
          <w:r w:rsidR="0058554C">
            <w:t xml:space="preserve">provides advice on </w:t>
          </w:r>
          <w:r>
            <w:t>the end-of-waste criteria for scrap metal and glass cullet.</w:t>
          </w:r>
        </w:p>
        <w:p w14:paraId="11826F29" w14:textId="77777777" w:rsidR="009716E7" w:rsidRPr="009716E7" w:rsidRDefault="009716E7" w:rsidP="000944A3">
          <w:pPr>
            <w:pStyle w:val="Heading2"/>
          </w:pPr>
          <w:r w:rsidRPr="009716E7">
            <w:t>End-of-Waste Criteria</w:t>
          </w:r>
        </w:p>
        <w:p w14:paraId="3FD971B5" w14:textId="389277BC" w:rsidR="00D807D9" w:rsidRDefault="00D807D9" w:rsidP="000944A3">
          <w:pPr>
            <w:pStyle w:val="NormalWeb"/>
            <w:shd w:val="clear" w:color="auto" w:fill="FFFFFF"/>
            <w:spacing w:before="0" w:beforeAutospacing="0" w:after="240" w:afterAutospacing="0" w:line="360" w:lineRule="auto"/>
            <w:rPr>
              <w:rFonts w:ascii="Arial" w:hAnsi="Arial" w:cs="Arial"/>
              <w:color w:val="0B0C0C"/>
            </w:rPr>
          </w:pPr>
          <w:r>
            <w:rPr>
              <w:rFonts w:ascii="Arial" w:hAnsi="Arial" w:cs="Arial"/>
              <w:color w:val="0B0C0C"/>
            </w:rPr>
            <w:t>After 1 January 2021, the UK </w:t>
          </w:r>
          <w:r w:rsidR="004C7BC3">
            <w:rPr>
              <w:rFonts w:ascii="Arial" w:hAnsi="Arial" w:cs="Arial"/>
              <w:color w:val="0B0C0C"/>
            </w:rPr>
            <w:t>retained</w:t>
          </w:r>
          <w:r>
            <w:rPr>
              <w:rFonts w:ascii="Arial" w:hAnsi="Arial" w:cs="Arial"/>
              <w:color w:val="0B0C0C"/>
            </w:rPr>
            <w:t xml:space="preserve"> the EU regulations that relate to</w:t>
          </w:r>
          <w:r w:rsidR="00F11907">
            <w:rPr>
              <w:rFonts w:ascii="Arial" w:hAnsi="Arial" w:cs="Arial"/>
              <w:color w:val="0B0C0C"/>
            </w:rPr>
            <w:t xml:space="preserve"> end-of-waste for</w:t>
          </w:r>
          <w:r>
            <w:rPr>
              <w:rFonts w:ascii="Arial" w:hAnsi="Arial" w:cs="Arial"/>
              <w:color w:val="0B0C0C"/>
            </w:rPr>
            <w:t>:</w:t>
          </w:r>
        </w:p>
        <w:p w14:paraId="13EC0DA4" w14:textId="52D54F9A" w:rsidR="00D807D9" w:rsidRDefault="00D807D9" w:rsidP="000944A3">
          <w:pPr>
            <w:numPr>
              <w:ilvl w:val="0"/>
              <w:numId w:val="12"/>
            </w:numPr>
            <w:shd w:val="clear" w:color="auto" w:fill="FFFFFF"/>
            <w:ind w:left="1020"/>
            <w:rPr>
              <w:rFonts w:ascii="Arial" w:hAnsi="Arial" w:cs="Arial"/>
              <w:color w:val="0B0C0C"/>
            </w:rPr>
          </w:pPr>
          <w:hyperlink r:id="rId12" w:history="1">
            <w:r>
              <w:rPr>
                <w:rStyle w:val="Hyperlink"/>
                <w:rFonts w:cs="Arial"/>
                <w:color w:val="1D70B8"/>
              </w:rPr>
              <w:t>iron, steel and aluminium scrap</w:t>
            </w:r>
          </w:hyperlink>
          <w:r w:rsidR="00E90AE9">
            <w:rPr>
              <w:rStyle w:val="FootnoteReference"/>
              <w:rFonts w:ascii="Arial" w:hAnsi="Arial" w:cs="Arial"/>
              <w:color w:val="0B0C0C"/>
            </w:rPr>
            <w:footnoteReference w:id="2"/>
          </w:r>
        </w:p>
        <w:p w14:paraId="61D3FABB" w14:textId="08586BDA" w:rsidR="00D807D9" w:rsidRDefault="00D807D9" w:rsidP="000944A3">
          <w:pPr>
            <w:numPr>
              <w:ilvl w:val="0"/>
              <w:numId w:val="12"/>
            </w:numPr>
            <w:shd w:val="clear" w:color="auto" w:fill="FFFFFF"/>
            <w:ind w:left="1020"/>
            <w:rPr>
              <w:rFonts w:ascii="Arial" w:hAnsi="Arial" w:cs="Arial"/>
              <w:color w:val="0B0C0C"/>
            </w:rPr>
          </w:pPr>
          <w:hyperlink r:id="rId13" w:history="1">
            <w:r>
              <w:rPr>
                <w:rStyle w:val="Hyperlink"/>
                <w:rFonts w:cs="Arial"/>
                <w:color w:val="1D70B8"/>
              </w:rPr>
              <w:t>copper scrap</w:t>
            </w:r>
          </w:hyperlink>
          <w:r w:rsidR="00E90AE9">
            <w:rPr>
              <w:rStyle w:val="FootnoteReference"/>
              <w:rFonts w:ascii="Arial" w:hAnsi="Arial" w:cs="Arial"/>
              <w:color w:val="0B0C0C"/>
            </w:rPr>
            <w:footnoteReference w:id="3"/>
          </w:r>
        </w:p>
        <w:p w14:paraId="1C46D3F1" w14:textId="55C34916" w:rsidR="00D807D9" w:rsidRDefault="00D807D9" w:rsidP="000944A3">
          <w:pPr>
            <w:numPr>
              <w:ilvl w:val="0"/>
              <w:numId w:val="12"/>
            </w:numPr>
            <w:shd w:val="clear" w:color="auto" w:fill="FFFFFF"/>
            <w:ind w:left="1020"/>
            <w:rPr>
              <w:rFonts w:ascii="Arial" w:hAnsi="Arial" w:cs="Arial"/>
              <w:color w:val="0B0C0C"/>
            </w:rPr>
          </w:pPr>
          <w:hyperlink r:id="rId14" w:history="1">
            <w:r>
              <w:rPr>
                <w:rStyle w:val="Hyperlink"/>
                <w:rFonts w:cs="Arial"/>
                <w:color w:val="1D70B8"/>
              </w:rPr>
              <w:t>glass cullet</w:t>
            </w:r>
          </w:hyperlink>
          <w:r w:rsidR="00E90AE9">
            <w:rPr>
              <w:rStyle w:val="FootnoteReference"/>
              <w:rFonts w:ascii="Arial" w:hAnsi="Arial" w:cs="Arial"/>
              <w:color w:val="0B0C0C"/>
            </w:rPr>
            <w:footnoteReference w:id="4"/>
          </w:r>
        </w:p>
        <w:p w14:paraId="758B57D8" w14:textId="14A8C793" w:rsidR="00185D07" w:rsidRDefault="002D5326" w:rsidP="000944A3">
          <w:r w:rsidRPr="002D5326">
            <w:rPr>
              <w:rFonts w:ascii="Arial" w:hAnsi="Arial" w:cs="Arial"/>
              <w:color w:val="0B0C0C"/>
              <w:shd w:val="clear" w:color="auto" w:fill="FFFFFF"/>
            </w:rPr>
            <w:t xml:space="preserve">If your material </w:t>
          </w:r>
          <w:r w:rsidR="00A652A0">
            <w:rPr>
              <w:rFonts w:ascii="Arial" w:hAnsi="Arial" w:cs="Arial"/>
              <w:color w:val="0B0C0C"/>
              <w:shd w:val="clear" w:color="auto" w:fill="FFFFFF"/>
            </w:rPr>
            <w:t>is covered by one of these</w:t>
          </w:r>
          <w:r w:rsidRPr="002D5326">
            <w:rPr>
              <w:rFonts w:ascii="Arial" w:hAnsi="Arial" w:cs="Arial"/>
              <w:color w:val="0B0C0C"/>
              <w:shd w:val="clear" w:color="auto" w:fill="FFFFFF"/>
            </w:rPr>
            <w:t xml:space="preserve"> regulations, </w:t>
          </w:r>
          <w:r w:rsidR="00990D5E">
            <w:rPr>
              <w:rFonts w:ascii="Arial" w:hAnsi="Arial" w:cs="Arial"/>
              <w:color w:val="0B0C0C"/>
              <w:shd w:val="clear" w:color="auto" w:fill="FFFFFF"/>
            </w:rPr>
            <w:t>use</w:t>
          </w:r>
          <w:r w:rsidRPr="002D5326">
            <w:rPr>
              <w:rFonts w:ascii="Arial" w:hAnsi="Arial" w:cs="Arial"/>
              <w:color w:val="0B0C0C"/>
              <w:shd w:val="clear" w:color="auto" w:fill="FFFFFF"/>
            </w:rPr>
            <w:t xml:space="preserve"> </w:t>
          </w:r>
          <w:r w:rsidR="00A652A0">
            <w:rPr>
              <w:rFonts w:ascii="Arial" w:hAnsi="Arial" w:cs="Arial"/>
              <w:color w:val="0B0C0C"/>
              <w:shd w:val="clear" w:color="auto" w:fill="FFFFFF"/>
            </w:rPr>
            <w:t xml:space="preserve">them to </w:t>
          </w:r>
          <w:r w:rsidR="00FC6D33">
            <w:rPr>
              <w:rFonts w:ascii="Arial" w:hAnsi="Arial" w:cs="Arial"/>
              <w:color w:val="0B0C0C"/>
              <w:shd w:val="clear" w:color="auto" w:fill="FFFFFF"/>
            </w:rPr>
            <w:t xml:space="preserve">establish </w:t>
          </w:r>
          <w:r w:rsidRPr="002D5326">
            <w:rPr>
              <w:rFonts w:ascii="Arial" w:hAnsi="Arial" w:cs="Arial"/>
              <w:color w:val="0B0C0C"/>
              <w:shd w:val="clear" w:color="auto" w:fill="FFFFFF"/>
            </w:rPr>
            <w:t>if you</w:t>
          </w:r>
          <w:r w:rsidR="00A807C8">
            <w:rPr>
              <w:rFonts w:ascii="Arial" w:hAnsi="Arial" w:cs="Arial"/>
              <w:color w:val="0B0C0C"/>
              <w:shd w:val="clear" w:color="auto" w:fill="FFFFFF"/>
            </w:rPr>
            <w:t xml:space="preserve"> can </w:t>
          </w:r>
          <w:r w:rsidRPr="002D5326">
            <w:rPr>
              <w:rFonts w:ascii="Arial" w:hAnsi="Arial" w:cs="Arial"/>
              <w:color w:val="0B0C0C"/>
              <w:shd w:val="clear" w:color="auto" w:fill="FFFFFF"/>
            </w:rPr>
            <w:t xml:space="preserve">achieve end of waste. </w:t>
          </w:r>
          <w:r w:rsidR="00185D07" w:rsidRPr="00185D07">
            <w:t xml:space="preserve">The </w:t>
          </w:r>
          <w:r w:rsidR="00A807C8">
            <w:t>regulations contain the following requirements</w:t>
          </w:r>
          <w:r w:rsidR="00185D07" w:rsidRPr="00185D07">
            <w:t xml:space="preserve">: </w:t>
          </w:r>
        </w:p>
        <w:p w14:paraId="08AA98C6" w14:textId="496727FC" w:rsidR="00185D07" w:rsidRPr="0078653E" w:rsidRDefault="00185D07" w:rsidP="000944A3">
          <w:pPr>
            <w:pStyle w:val="ListParagraph"/>
            <w:numPr>
              <w:ilvl w:val="0"/>
              <w:numId w:val="13"/>
            </w:numPr>
            <w:contextualSpacing w:val="0"/>
            <w:rPr>
              <w:rFonts w:ascii="Arial" w:hAnsi="Arial" w:cs="Arial"/>
              <w:color w:val="0B0C0C"/>
              <w:shd w:val="clear" w:color="auto" w:fill="FFFFFF"/>
            </w:rPr>
          </w:pPr>
          <w:r w:rsidRPr="00185D07">
            <w:t>The waste inputs</w:t>
          </w:r>
          <w:r w:rsidR="0078653E">
            <w:t xml:space="preserve"> </w:t>
          </w:r>
          <w:r w:rsidRPr="00185D07">
            <w:t>must comply with technical criteria in the Regulations</w:t>
          </w:r>
          <w:r w:rsidR="0082243C">
            <w:t>.</w:t>
          </w:r>
        </w:p>
        <w:p w14:paraId="4B22CD4E" w14:textId="77777777" w:rsidR="0078653E" w:rsidRPr="0078653E" w:rsidRDefault="00185D07" w:rsidP="000944A3">
          <w:pPr>
            <w:pStyle w:val="ListParagraph"/>
            <w:numPr>
              <w:ilvl w:val="0"/>
              <w:numId w:val="13"/>
            </w:numPr>
            <w:contextualSpacing w:val="0"/>
            <w:rPr>
              <w:rFonts w:ascii="Arial" w:hAnsi="Arial" w:cs="Arial"/>
              <w:color w:val="0B0C0C"/>
              <w:shd w:val="clear" w:color="auto" w:fill="FFFFFF"/>
            </w:rPr>
          </w:pPr>
          <w:r w:rsidRPr="00185D07">
            <w:t>The waste input must be treated in accordance with the criteria in the Regulations.</w:t>
          </w:r>
        </w:p>
        <w:p w14:paraId="1D0DAC2E" w14:textId="77777777" w:rsidR="000944A3" w:rsidRPr="000944A3" w:rsidRDefault="00185D07" w:rsidP="000944A3">
          <w:pPr>
            <w:pStyle w:val="ListParagraph"/>
            <w:numPr>
              <w:ilvl w:val="0"/>
              <w:numId w:val="13"/>
            </w:numPr>
            <w:contextualSpacing w:val="0"/>
            <w:rPr>
              <w:rFonts w:ascii="Arial" w:hAnsi="Arial" w:cs="Arial"/>
              <w:color w:val="0B0C0C"/>
              <w:shd w:val="clear" w:color="auto" w:fill="FFFFFF"/>
            </w:rPr>
          </w:pPr>
          <w:r w:rsidRPr="00185D07">
            <w:t>The output must comply with the criteria set out in the Regulations.</w:t>
          </w:r>
        </w:p>
        <w:p w14:paraId="09C47BB2" w14:textId="11EC0181" w:rsidR="0078653E" w:rsidRPr="000944A3" w:rsidRDefault="00185D07" w:rsidP="000944A3">
          <w:pPr>
            <w:pStyle w:val="ListParagraph"/>
            <w:numPr>
              <w:ilvl w:val="0"/>
              <w:numId w:val="13"/>
            </w:numPr>
            <w:contextualSpacing w:val="0"/>
            <w:rPr>
              <w:rFonts w:ascii="Arial" w:hAnsi="Arial" w:cs="Arial"/>
              <w:color w:val="0B0C0C"/>
              <w:shd w:val="clear" w:color="auto" w:fill="FFFFFF"/>
            </w:rPr>
          </w:pPr>
          <w:r w:rsidRPr="00185D07">
            <w:lastRenderedPageBreak/>
            <w:t>The producer must issue a statement of conformity for each consignment of material which has met the relevant criteria. This must be passed on to the next holder of the material with the producer keeping a copy for a minimum of one year.</w:t>
          </w:r>
        </w:p>
        <w:p w14:paraId="08B04A43" w14:textId="6EB2B615" w:rsidR="0078653E" w:rsidRPr="000944A3" w:rsidRDefault="00185D07" w:rsidP="000944A3">
          <w:pPr>
            <w:pStyle w:val="ListParagraph"/>
            <w:numPr>
              <w:ilvl w:val="0"/>
              <w:numId w:val="13"/>
            </w:numPr>
            <w:contextualSpacing w:val="0"/>
            <w:rPr>
              <w:rFonts w:ascii="Arial" w:hAnsi="Arial" w:cs="Arial"/>
              <w:color w:val="0B0C0C"/>
              <w:shd w:val="clear" w:color="auto" w:fill="FFFFFF"/>
            </w:rPr>
          </w:pPr>
          <w:r w:rsidRPr="00185D07">
            <w:t xml:space="preserve">The producer must implement a Quality Management System (QMS) which complies with the Regulations. </w:t>
          </w:r>
        </w:p>
        <w:p w14:paraId="4163A51F" w14:textId="5706349C" w:rsidR="0078653E" w:rsidRDefault="00185D07" w:rsidP="000944A3">
          <w:pPr>
            <w:pStyle w:val="ListParagraph"/>
            <w:numPr>
              <w:ilvl w:val="0"/>
              <w:numId w:val="13"/>
            </w:numPr>
            <w:contextualSpacing w:val="0"/>
          </w:pPr>
          <w:r w:rsidRPr="00185D07">
            <w:t>The QMS must be verified every three years by an independent outside body that has been accredited by the UK Accreditation Service (UKAS).</w:t>
          </w:r>
        </w:p>
        <w:p w14:paraId="7CFDA28B" w14:textId="18FE9C83" w:rsidR="00185D07" w:rsidRPr="00185D07" w:rsidRDefault="00185D07" w:rsidP="000944A3">
          <w:pPr>
            <w:pStyle w:val="ListParagraph"/>
            <w:numPr>
              <w:ilvl w:val="0"/>
              <w:numId w:val="13"/>
            </w:numPr>
            <w:contextualSpacing w:val="0"/>
            <w:rPr>
              <w:rFonts w:ascii="Arial" w:hAnsi="Arial" w:cs="Arial"/>
              <w:color w:val="0B0C0C"/>
              <w:shd w:val="clear" w:color="auto" w:fill="FFFFFF"/>
            </w:rPr>
          </w:pPr>
          <w:r w:rsidRPr="00185D07">
            <w:t>The QMS and statement of conformity must be available for inspection by the SEPA on request.</w:t>
          </w:r>
        </w:p>
        <w:p w14:paraId="488498EC" w14:textId="23CC6AE4" w:rsidR="00B520DD" w:rsidRDefault="00B520DD" w:rsidP="000944A3">
          <w:r w:rsidRPr="00B520DD">
            <w:t xml:space="preserve">If these requirements are met, the treated </w:t>
          </w:r>
          <w:r>
            <w:t>output</w:t>
          </w:r>
          <w:r w:rsidRPr="00B520DD">
            <w:t xml:space="preserve"> ceases to be waste upon transfer from the producer to another holder. Another ‘holder’ means a person who takes possession of the treated </w:t>
          </w:r>
          <w:r>
            <w:t>output</w:t>
          </w:r>
          <w:r w:rsidRPr="00B520DD">
            <w:t xml:space="preserve">. This means that the </w:t>
          </w:r>
          <w:r>
            <w:t xml:space="preserve">output </w:t>
          </w:r>
          <w:r w:rsidRPr="00B520DD">
            <w:t>remains waste so long as the producer remains in possession of it.</w:t>
          </w:r>
        </w:p>
        <w:p w14:paraId="7823A628" w14:textId="1F4BEDF4" w:rsidR="0078653E" w:rsidRDefault="00D807D9" w:rsidP="000944A3">
          <w:r>
            <w:t xml:space="preserve">SEPA will use the statement of conformity required by the regulations to assess whether </w:t>
          </w:r>
          <w:r w:rsidR="00E90AE9">
            <w:t>the material has achieved end-of-waste</w:t>
          </w:r>
          <w:r w:rsidR="008E451E">
            <w:t xml:space="preserve">. </w:t>
          </w:r>
          <w:r w:rsidR="00AD7C52">
            <w:t>T</w:t>
          </w:r>
          <w:r>
            <w:t xml:space="preserve">he statement </w:t>
          </w:r>
          <w:r w:rsidR="00AD7C52">
            <w:t>must</w:t>
          </w:r>
          <w:r>
            <w:t xml:space="preserve"> b</w:t>
          </w:r>
          <w:r w:rsidR="00AD7C52">
            <w:t>e</w:t>
          </w:r>
          <w:r>
            <w:t xml:space="preserve"> properly completed and </w:t>
          </w:r>
          <w:r w:rsidR="00E90AE9">
            <w:t>your</w:t>
          </w:r>
          <w:r>
            <w:t xml:space="preserve"> </w:t>
          </w:r>
          <w:r w:rsidR="00E90AE9">
            <w:t>Quality Management System</w:t>
          </w:r>
          <w:r>
            <w:t xml:space="preserve"> verified within the last 3 years by an accredited verifier</w:t>
          </w:r>
          <w:r w:rsidR="008E451E">
            <w:t>.</w:t>
          </w:r>
        </w:p>
        <w:p w14:paraId="1A4C01A4" w14:textId="77777777" w:rsidR="00C9276D" w:rsidRPr="00712163" w:rsidRDefault="00C9276D" w:rsidP="00C9276D">
          <w:pPr>
            <w:rPr>
              <w:rFonts w:ascii="Arial" w:hAnsi="Arial" w:cs="Arial"/>
              <w:b/>
              <w:bCs/>
              <w:color w:val="016574" w:themeColor="accent6"/>
              <w:sz w:val="32"/>
              <w:szCs w:val="32"/>
            </w:rPr>
          </w:pPr>
          <w:r w:rsidRPr="00712163">
            <w:rPr>
              <w:rFonts w:ascii="Arial" w:hAnsi="Arial" w:cs="Arial"/>
              <w:b/>
              <w:bCs/>
              <w:color w:val="016574" w:themeColor="accent6"/>
              <w:sz w:val="32"/>
              <w:szCs w:val="32"/>
            </w:rPr>
            <w:t>Disclaimer </w:t>
          </w:r>
        </w:p>
        <w:p w14:paraId="548C53F7" w14:textId="77777777" w:rsidR="00563B5C" w:rsidRPr="00563B5C" w:rsidRDefault="00563B5C" w:rsidP="00563B5C">
          <w:pPr>
            <w:rPr>
              <w:rFonts w:ascii="Arial" w:hAnsi="Arial" w:cs="Arial"/>
            </w:rPr>
          </w:pPr>
          <w:r w:rsidRPr="00563B5C">
            <w:rPr>
              <w:rFonts w:ascii="Arial" w:hAnsi="Arial" w:cs="Arial"/>
            </w:rPr>
            <w:t xml:space="preserve">This guidance is based on the law as it stood when the guidance was published. </w:t>
          </w:r>
        </w:p>
        <w:p w14:paraId="267E1A4D" w14:textId="77777777" w:rsidR="00563B5C" w:rsidRPr="00563B5C" w:rsidRDefault="00563B5C" w:rsidP="00563B5C">
          <w:pPr>
            <w:rPr>
              <w:rFonts w:ascii="Arial" w:hAnsi="Arial" w:cs="Arial"/>
            </w:rPr>
          </w:pPr>
          <w:r w:rsidRPr="00563B5C">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EC3C135" w14:textId="77777777" w:rsidR="00563B5C" w:rsidRPr="00563B5C" w:rsidRDefault="00563B5C" w:rsidP="00563B5C">
          <w:pPr>
            <w:numPr>
              <w:ilvl w:val="0"/>
              <w:numId w:val="17"/>
            </w:numPr>
            <w:rPr>
              <w:rFonts w:ascii="Arial" w:hAnsi="Arial" w:cs="Arial"/>
            </w:rPr>
          </w:pPr>
          <w:r w:rsidRPr="00563B5C">
            <w:rPr>
              <w:rFonts w:ascii="Arial" w:hAnsi="Arial" w:cs="Arial"/>
            </w:rPr>
            <w:t>any direct, indirect and consequential losses</w:t>
          </w:r>
        </w:p>
        <w:p w14:paraId="46D7E1CD" w14:textId="77777777" w:rsidR="00563B5C" w:rsidRPr="00563B5C" w:rsidRDefault="00563B5C" w:rsidP="00563B5C">
          <w:pPr>
            <w:numPr>
              <w:ilvl w:val="0"/>
              <w:numId w:val="17"/>
            </w:numPr>
            <w:rPr>
              <w:rFonts w:ascii="Arial" w:hAnsi="Arial" w:cs="Arial"/>
            </w:rPr>
          </w:pPr>
          <w:r w:rsidRPr="00563B5C">
            <w:rPr>
              <w:rFonts w:ascii="Arial" w:hAnsi="Arial" w:cs="Arial"/>
            </w:rPr>
            <w:lastRenderedPageBreak/>
            <w:t>any loss or damage caused by civil wrongs, breach of contract or otherwise</w:t>
          </w:r>
        </w:p>
        <w:p w14:paraId="24371402" w14:textId="77777777" w:rsidR="00563B5C" w:rsidRDefault="00563B5C" w:rsidP="00563B5C">
          <w:pPr>
            <w:rPr>
              <w:rFonts w:ascii="Arial" w:hAnsi="Arial" w:cs="Arial"/>
            </w:rPr>
          </w:pPr>
          <w:r w:rsidRPr="00563B5C">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7B04B703" w14:textId="08865352" w:rsidR="00556AD1" w:rsidRDefault="004709E2" w:rsidP="00563B5C">
          <w:r w:rsidRPr="004709E2">
            <w:rPr>
              <w:rFonts w:ascii="Arial" w:hAnsi="Arial" w:cs="Arial"/>
              <w:sz w:val="32"/>
              <w:szCs w:val="32"/>
            </w:rPr>
            <w:t>If you</w:t>
          </w:r>
          <w:r>
            <w:rPr>
              <w:rFonts w:ascii="Arial" w:hAnsi="Arial" w:cs="Arial"/>
            </w:rPr>
            <w:t xml:space="preserve"> </w:t>
          </w:r>
          <w:r w:rsidRPr="00556AD1">
            <w:rPr>
              <w:rFonts w:ascii="Arial" w:hAnsi="Arial" w:cs="Arial"/>
              <w:sz w:val="32"/>
              <w:szCs w:val="32"/>
            </w:rPr>
            <w:t xml:space="preserve">would like this document in an accessible format, such as large print, audio recording or braille, please contact SEPA by emailing </w:t>
          </w:r>
          <w:r w:rsidRPr="00556AD1">
            <w:rPr>
              <w:rFonts w:ascii="Arial" w:hAnsi="Arial" w:cs="Arial"/>
              <w:color w:val="016574" w:themeColor="accent6"/>
              <w:sz w:val="32"/>
              <w:szCs w:val="32"/>
            </w:rPr>
            <w:t>equalities@sepa.org.uk</w:t>
          </w:r>
          <w:r w:rsidR="00281BB1" w:rsidRPr="00EA297B">
            <w:rPr>
              <w:noProof/>
            </w:rPr>
            <mc:AlternateContent>
              <mc:Choice Requires="wps">
                <w:drawing>
                  <wp:anchor distT="0" distB="0" distL="114300" distR="114300" simplePos="0" relativeHeight="251657216" behindDoc="0" locked="1" layoutInCell="1" allowOverlap="1" wp14:anchorId="6A6191BD" wp14:editId="3C210050">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4351808"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191B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4351808"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5A662ACF" w14:textId="5CD8AB44" w:rsidR="00556AD1" w:rsidRPr="00556AD1" w:rsidRDefault="00556AD1" w:rsidP="00B07A98"/>
    <w:sectPr w:rsidR="00556AD1" w:rsidRPr="00556AD1" w:rsidSect="00917BB1">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A57D5" w14:textId="77777777" w:rsidR="009D0E6C" w:rsidRDefault="009D0E6C" w:rsidP="00660C79">
      <w:pPr>
        <w:spacing w:line="240" w:lineRule="auto"/>
      </w:pPr>
      <w:r>
        <w:separator/>
      </w:r>
    </w:p>
  </w:endnote>
  <w:endnote w:type="continuationSeparator" w:id="0">
    <w:p w14:paraId="19F963AC" w14:textId="77777777" w:rsidR="009D0E6C" w:rsidRDefault="009D0E6C" w:rsidP="00660C79">
      <w:pPr>
        <w:spacing w:line="240" w:lineRule="auto"/>
      </w:pPr>
      <w:r>
        <w:continuationSeparator/>
      </w:r>
    </w:p>
  </w:endnote>
  <w:endnote w:type="continuationNotice" w:id="1">
    <w:p w14:paraId="0D80451F" w14:textId="77777777" w:rsidR="009D0E6C" w:rsidRDefault="009D0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53ACD6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BE68AB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52F7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70A4"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4FC411B8" wp14:editId="2FE8A260">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6806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C411B8"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8F6806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3992102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AAA113F" wp14:editId="3964659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729B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3829A6F" w14:textId="207D43D1" w:rsidR="00EC6A73" w:rsidRDefault="00E90AE9" w:rsidP="00EC6A73">
        <w:pPr>
          <w:pStyle w:val="Footer"/>
          <w:framePr w:wrap="none" w:vAnchor="text" w:hAnchor="page" w:x="10958" w:y="9"/>
          <w:rPr>
            <w:rStyle w:val="PageNumber"/>
          </w:rPr>
        </w:pPr>
        <w:r>
          <w:rPr>
            <w:rStyle w:val="PageNumber"/>
          </w:rPr>
          <w:t>2</w:t>
        </w:r>
      </w:p>
    </w:sdtContent>
  </w:sdt>
  <w:p w14:paraId="346B6E3D" w14:textId="77777777" w:rsidR="00917BB1" w:rsidRDefault="00917BB1" w:rsidP="00917BB1">
    <w:pPr>
      <w:pStyle w:val="Footer"/>
      <w:ind w:right="360"/>
    </w:pPr>
    <w:r>
      <w:rPr>
        <w:noProof/>
      </w:rPr>
      <w:drawing>
        <wp:inline distT="0" distB="0" distL="0" distR="0" wp14:anchorId="5B9A4B8A" wp14:editId="4950C65F">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FC5A"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710C24D7" wp14:editId="79EE3407">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CA859"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0C24D7"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3BCA859"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B83F4" w14:textId="77777777" w:rsidR="009D0E6C" w:rsidRDefault="009D0E6C" w:rsidP="00660C79">
      <w:pPr>
        <w:spacing w:line="240" w:lineRule="auto"/>
      </w:pPr>
      <w:r>
        <w:separator/>
      </w:r>
    </w:p>
  </w:footnote>
  <w:footnote w:type="continuationSeparator" w:id="0">
    <w:p w14:paraId="16CC6ADE" w14:textId="77777777" w:rsidR="009D0E6C" w:rsidRDefault="009D0E6C" w:rsidP="00660C79">
      <w:pPr>
        <w:spacing w:line="240" w:lineRule="auto"/>
      </w:pPr>
      <w:r>
        <w:continuationSeparator/>
      </w:r>
    </w:p>
  </w:footnote>
  <w:footnote w:type="continuationNotice" w:id="1">
    <w:p w14:paraId="3869605A" w14:textId="77777777" w:rsidR="009D0E6C" w:rsidRDefault="009D0E6C">
      <w:pPr>
        <w:spacing w:after="0" w:line="240" w:lineRule="auto"/>
      </w:pPr>
    </w:p>
  </w:footnote>
  <w:footnote w:id="2">
    <w:p w14:paraId="7ACD2AA6" w14:textId="7830913E" w:rsidR="00E90AE9" w:rsidRDefault="00E90AE9">
      <w:pPr>
        <w:pStyle w:val="FootnoteText"/>
      </w:pPr>
      <w:r>
        <w:rPr>
          <w:rStyle w:val="FootnoteReference"/>
        </w:rPr>
        <w:footnoteRef/>
      </w:r>
      <w:r>
        <w:t xml:space="preserve"> </w:t>
      </w:r>
      <w:hyperlink r:id="rId1" w:history="1">
        <w:r w:rsidRPr="00E9506D">
          <w:rPr>
            <w:rStyle w:val="Hyperlink"/>
          </w:rPr>
          <w:t>https://www.legislation.gov.uk/eur/2011/333/introduction</w:t>
        </w:r>
      </w:hyperlink>
    </w:p>
  </w:footnote>
  <w:footnote w:id="3">
    <w:p w14:paraId="476E9AAB" w14:textId="62FE6DB3" w:rsidR="00E90AE9" w:rsidRDefault="00E90AE9">
      <w:pPr>
        <w:pStyle w:val="FootnoteText"/>
      </w:pPr>
      <w:r>
        <w:rPr>
          <w:rStyle w:val="FootnoteReference"/>
        </w:rPr>
        <w:footnoteRef/>
      </w:r>
      <w:r>
        <w:t xml:space="preserve"> </w:t>
      </w:r>
      <w:hyperlink r:id="rId2" w:history="1">
        <w:r w:rsidRPr="00E9506D">
          <w:rPr>
            <w:rStyle w:val="Hyperlink"/>
          </w:rPr>
          <w:t>https://www.legislation.gov.uk/eur/2013/715</w:t>
        </w:r>
      </w:hyperlink>
    </w:p>
  </w:footnote>
  <w:footnote w:id="4">
    <w:p w14:paraId="3FD7C1C2" w14:textId="62BC986E" w:rsidR="00E90AE9" w:rsidRDefault="00E90AE9">
      <w:pPr>
        <w:pStyle w:val="FootnoteText"/>
      </w:pPr>
      <w:r>
        <w:rPr>
          <w:rStyle w:val="FootnoteReference"/>
        </w:rPr>
        <w:footnoteRef/>
      </w:r>
      <w:r>
        <w:t xml:space="preserve"> </w:t>
      </w:r>
      <w:hyperlink r:id="rId3" w:history="1">
        <w:r w:rsidRPr="00E9506D">
          <w:rPr>
            <w:rStyle w:val="Hyperlink"/>
          </w:rPr>
          <w:t>https://www.legislation.gov.uk/eur/2012/1179</w:t>
        </w:r>
      </w:hyperlink>
    </w:p>
    <w:p w14:paraId="6F7A1D73" w14:textId="77777777" w:rsidR="00E90AE9" w:rsidRDefault="00E90A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A491" w14:textId="538D3C07"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67D1B9A5" wp14:editId="73CBCC86">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400B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D1B9A5"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365400B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E90AE9">
      <w:rPr>
        <w:color w:val="6E7571" w:themeColor="text2"/>
      </w:rPr>
      <w:t>End-of-Waste for scrap metal and glass cullet</w:t>
    </w:r>
  </w:p>
  <w:p w14:paraId="05A5232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C722BDC" wp14:editId="7309886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A03F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77BE"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3AD7112A" wp14:editId="67BA4C40">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15B1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D7112A"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F515B1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B64468"/>
    <w:multiLevelType w:val="multilevel"/>
    <w:tmpl w:val="FE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5D2760"/>
    <w:multiLevelType w:val="hybridMultilevel"/>
    <w:tmpl w:val="B2F63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52396"/>
    <w:multiLevelType w:val="multilevel"/>
    <w:tmpl w:val="E2E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8B444A"/>
    <w:multiLevelType w:val="multilevel"/>
    <w:tmpl w:val="3A6A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6"/>
  </w:num>
  <w:num w:numId="12" w16cid:durableId="2069302779">
    <w:abstractNumId w:val="14"/>
  </w:num>
  <w:num w:numId="13" w16cid:durableId="1040589366">
    <w:abstractNumId w:val="11"/>
  </w:num>
  <w:num w:numId="14" w16cid:durableId="1259561092">
    <w:abstractNumId w:val="13"/>
  </w:num>
  <w:num w:numId="15" w16cid:durableId="1084960553">
    <w:abstractNumId w:val="10"/>
  </w:num>
  <w:num w:numId="16" w16cid:durableId="410467039">
    <w:abstractNumId w:val="12"/>
  </w:num>
  <w:num w:numId="17" w16cid:durableId="844249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26"/>
    <w:rsid w:val="00032829"/>
    <w:rsid w:val="00040561"/>
    <w:rsid w:val="000624AA"/>
    <w:rsid w:val="00070937"/>
    <w:rsid w:val="000944A3"/>
    <w:rsid w:val="000A53BE"/>
    <w:rsid w:val="000B7559"/>
    <w:rsid w:val="000C2FCD"/>
    <w:rsid w:val="000D3062"/>
    <w:rsid w:val="000E0D15"/>
    <w:rsid w:val="000F1DB4"/>
    <w:rsid w:val="00105F31"/>
    <w:rsid w:val="00126074"/>
    <w:rsid w:val="00185D07"/>
    <w:rsid w:val="001A5EB4"/>
    <w:rsid w:val="001D5FDB"/>
    <w:rsid w:val="0020634F"/>
    <w:rsid w:val="00236552"/>
    <w:rsid w:val="002369CA"/>
    <w:rsid w:val="00250D9B"/>
    <w:rsid w:val="002522D3"/>
    <w:rsid w:val="00273543"/>
    <w:rsid w:val="00281BB1"/>
    <w:rsid w:val="002B2297"/>
    <w:rsid w:val="002C7710"/>
    <w:rsid w:val="002D5326"/>
    <w:rsid w:val="0030096D"/>
    <w:rsid w:val="0030153D"/>
    <w:rsid w:val="0030479F"/>
    <w:rsid w:val="00317618"/>
    <w:rsid w:val="003A7892"/>
    <w:rsid w:val="003D2E18"/>
    <w:rsid w:val="003E2041"/>
    <w:rsid w:val="003F5384"/>
    <w:rsid w:val="004073BC"/>
    <w:rsid w:val="00412609"/>
    <w:rsid w:val="00412C54"/>
    <w:rsid w:val="00415DCB"/>
    <w:rsid w:val="00444AA1"/>
    <w:rsid w:val="00466D27"/>
    <w:rsid w:val="004709E2"/>
    <w:rsid w:val="00481812"/>
    <w:rsid w:val="004C7BC3"/>
    <w:rsid w:val="004D6DB1"/>
    <w:rsid w:val="0050603F"/>
    <w:rsid w:val="00527AC6"/>
    <w:rsid w:val="00533B7D"/>
    <w:rsid w:val="00556AD1"/>
    <w:rsid w:val="00563B5C"/>
    <w:rsid w:val="005759EF"/>
    <w:rsid w:val="0058554C"/>
    <w:rsid w:val="005900AA"/>
    <w:rsid w:val="005A355E"/>
    <w:rsid w:val="005C3CDE"/>
    <w:rsid w:val="005C7651"/>
    <w:rsid w:val="005D1213"/>
    <w:rsid w:val="005D7437"/>
    <w:rsid w:val="0060147B"/>
    <w:rsid w:val="006033E7"/>
    <w:rsid w:val="006243FF"/>
    <w:rsid w:val="00660C79"/>
    <w:rsid w:val="006715F0"/>
    <w:rsid w:val="00687B1D"/>
    <w:rsid w:val="006C6F55"/>
    <w:rsid w:val="006D16CE"/>
    <w:rsid w:val="006E4C60"/>
    <w:rsid w:val="007251B5"/>
    <w:rsid w:val="00760F9A"/>
    <w:rsid w:val="00766162"/>
    <w:rsid w:val="0078653E"/>
    <w:rsid w:val="007A6036"/>
    <w:rsid w:val="007C3F12"/>
    <w:rsid w:val="007D441B"/>
    <w:rsid w:val="00801105"/>
    <w:rsid w:val="008030A8"/>
    <w:rsid w:val="0080742C"/>
    <w:rsid w:val="0082243C"/>
    <w:rsid w:val="00861B46"/>
    <w:rsid w:val="00864D60"/>
    <w:rsid w:val="008A5426"/>
    <w:rsid w:val="008C1A73"/>
    <w:rsid w:val="008D0DEE"/>
    <w:rsid w:val="008D113C"/>
    <w:rsid w:val="008D376F"/>
    <w:rsid w:val="008E451E"/>
    <w:rsid w:val="008F1D01"/>
    <w:rsid w:val="00917BB1"/>
    <w:rsid w:val="00936E4F"/>
    <w:rsid w:val="0096745E"/>
    <w:rsid w:val="009716E7"/>
    <w:rsid w:val="00975D21"/>
    <w:rsid w:val="00980531"/>
    <w:rsid w:val="00990D5E"/>
    <w:rsid w:val="009949EE"/>
    <w:rsid w:val="009A240D"/>
    <w:rsid w:val="009B2AE0"/>
    <w:rsid w:val="009D0E6C"/>
    <w:rsid w:val="00A23610"/>
    <w:rsid w:val="00A34CDC"/>
    <w:rsid w:val="00A4691F"/>
    <w:rsid w:val="00A652A0"/>
    <w:rsid w:val="00A807C8"/>
    <w:rsid w:val="00A9349C"/>
    <w:rsid w:val="00AD7C52"/>
    <w:rsid w:val="00AE068C"/>
    <w:rsid w:val="00AE3C22"/>
    <w:rsid w:val="00B062ED"/>
    <w:rsid w:val="00B07A98"/>
    <w:rsid w:val="00B23A9C"/>
    <w:rsid w:val="00B26B28"/>
    <w:rsid w:val="00B36A06"/>
    <w:rsid w:val="00B46E48"/>
    <w:rsid w:val="00B520DD"/>
    <w:rsid w:val="00B52BE1"/>
    <w:rsid w:val="00B54CF4"/>
    <w:rsid w:val="00B758D5"/>
    <w:rsid w:val="00BE60E1"/>
    <w:rsid w:val="00C569B9"/>
    <w:rsid w:val="00C63AF5"/>
    <w:rsid w:val="00C9276D"/>
    <w:rsid w:val="00CB18CA"/>
    <w:rsid w:val="00CF7EFB"/>
    <w:rsid w:val="00D04E53"/>
    <w:rsid w:val="00D27F07"/>
    <w:rsid w:val="00D35448"/>
    <w:rsid w:val="00D571C2"/>
    <w:rsid w:val="00D60540"/>
    <w:rsid w:val="00D661AD"/>
    <w:rsid w:val="00D807D9"/>
    <w:rsid w:val="00DC1FC5"/>
    <w:rsid w:val="00E00503"/>
    <w:rsid w:val="00E245AC"/>
    <w:rsid w:val="00E62524"/>
    <w:rsid w:val="00E67C75"/>
    <w:rsid w:val="00E90AE9"/>
    <w:rsid w:val="00EA182C"/>
    <w:rsid w:val="00EA297B"/>
    <w:rsid w:val="00EC692E"/>
    <w:rsid w:val="00EC6A73"/>
    <w:rsid w:val="00ED3EE7"/>
    <w:rsid w:val="00F02158"/>
    <w:rsid w:val="00F07048"/>
    <w:rsid w:val="00F11907"/>
    <w:rsid w:val="00F2038B"/>
    <w:rsid w:val="00F417D5"/>
    <w:rsid w:val="00F60DD8"/>
    <w:rsid w:val="00F72274"/>
    <w:rsid w:val="00FB42C7"/>
    <w:rsid w:val="00FC6D33"/>
    <w:rsid w:val="00FF5D5A"/>
    <w:rsid w:val="00FF669F"/>
    <w:rsid w:val="0CE38F45"/>
    <w:rsid w:val="0E55E2E7"/>
    <w:rsid w:val="1B780830"/>
    <w:rsid w:val="1B940B0A"/>
    <w:rsid w:val="3BF7220B"/>
    <w:rsid w:val="60C83A5D"/>
    <w:rsid w:val="6508EB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3553"/>
  <w15:chartTrackingRefBased/>
  <w15:docId w15:val="{8AEEA158-15F7-4D25-B6ED-6560DF2E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2D5326"/>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E90AE9"/>
    <w:rPr>
      <w:color w:val="016574" w:themeColor="followedHyperlink"/>
      <w:u w:val="single"/>
    </w:rPr>
  </w:style>
  <w:style w:type="paragraph" w:styleId="FootnoteText">
    <w:name w:val="footnote text"/>
    <w:basedOn w:val="Normal"/>
    <w:link w:val="FootnoteTextChar"/>
    <w:uiPriority w:val="99"/>
    <w:semiHidden/>
    <w:unhideWhenUsed/>
    <w:rsid w:val="00E90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AE9"/>
    <w:rPr>
      <w:rFonts w:eastAsiaTheme="minorEastAsia"/>
      <w:sz w:val="20"/>
      <w:szCs w:val="20"/>
    </w:rPr>
  </w:style>
  <w:style w:type="character" w:styleId="FootnoteReference">
    <w:name w:val="footnote reference"/>
    <w:basedOn w:val="DefaultParagraphFont"/>
    <w:uiPriority w:val="99"/>
    <w:semiHidden/>
    <w:unhideWhenUsed/>
    <w:rsid w:val="00E90AE9"/>
    <w:rPr>
      <w:vertAlign w:val="superscript"/>
    </w:rPr>
  </w:style>
  <w:style w:type="paragraph" w:styleId="ListParagraph">
    <w:name w:val="List Paragraph"/>
    <w:basedOn w:val="Normal"/>
    <w:uiPriority w:val="34"/>
    <w:qFormat/>
    <w:rsid w:val="0018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261818">
      <w:bodyDiv w:val="1"/>
      <w:marLeft w:val="0"/>
      <w:marRight w:val="0"/>
      <w:marTop w:val="0"/>
      <w:marBottom w:val="0"/>
      <w:divBdr>
        <w:top w:val="none" w:sz="0" w:space="0" w:color="auto"/>
        <w:left w:val="none" w:sz="0" w:space="0" w:color="auto"/>
        <w:bottom w:val="none" w:sz="0" w:space="0" w:color="auto"/>
        <w:right w:val="none" w:sz="0" w:space="0" w:color="auto"/>
      </w:divBdr>
    </w:div>
    <w:div w:id="1648586318">
      <w:bodyDiv w:val="1"/>
      <w:marLeft w:val="0"/>
      <w:marRight w:val="0"/>
      <w:marTop w:val="0"/>
      <w:marBottom w:val="0"/>
      <w:divBdr>
        <w:top w:val="none" w:sz="0" w:space="0" w:color="auto"/>
        <w:left w:val="none" w:sz="0" w:space="0" w:color="auto"/>
        <w:bottom w:val="none" w:sz="0" w:space="0" w:color="auto"/>
        <w:right w:val="none" w:sz="0" w:space="0" w:color="auto"/>
      </w:divBdr>
    </w:div>
    <w:div w:id="20754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eur/2013/71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eur/2011/333/introdu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eur/2012/117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eur/2012/1179" TargetMode="External"/><Relationship Id="rId2" Type="http://schemas.openxmlformats.org/officeDocument/2006/relationships/hyperlink" Target="https://www.legislation.gov.uk/eur/2013/715" TargetMode="External"/><Relationship Id="rId1" Type="http://schemas.openxmlformats.org/officeDocument/2006/relationships/hyperlink" Target="https://www.legislation.gov.uk/eur/2011/333/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Yes</Correctonguidancetrack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85CCA-BC1A-4FEF-9B84-1B4E42172721}">
  <ds:schemaRef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7BEE3877-CA93-44DD-A697-7F884A025D8F}"/>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BBA168F4-C533-40B3-86BA-6A3C29922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11</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9</cp:revision>
  <cp:lastPrinted>2023-03-23T21:44:00Z</cp:lastPrinted>
  <dcterms:created xsi:type="dcterms:W3CDTF">2024-12-13T10:13:00Z</dcterms:created>
  <dcterms:modified xsi:type="dcterms:W3CDTF">2025-05-01T14:34:00Z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