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2F4C4256" w14:textId="77777777" w:rsidR="00ED3EE7" w:rsidRDefault="00CF7EFB" w:rsidP="00ED3EE7">
          <w:r>
            <w:rPr>
              <w:noProof/>
            </w:rPr>
            <w:drawing>
              <wp:inline distT="0" distB="0" distL="0" distR="0" wp14:anchorId="748FBC6D" wp14:editId="493C9882">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1B99BBE1" w14:textId="0445564A" w:rsidR="00ED3EE7" w:rsidRPr="006B1666" w:rsidRDefault="006B1666" w:rsidP="00ED3EE7">
          <w:pPr>
            <w:pStyle w:val="Heading1"/>
            <w:rPr>
              <w:sz w:val="36"/>
              <w:szCs w:val="36"/>
            </w:rPr>
          </w:pPr>
          <w:r w:rsidRPr="006B1666">
            <w:rPr>
              <w:sz w:val="36"/>
              <w:szCs w:val="36"/>
            </w:rPr>
            <w:t>WAS-G-</w:t>
          </w:r>
          <w:r w:rsidR="00F83A4F">
            <w:rPr>
              <w:sz w:val="36"/>
              <w:szCs w:val="36"/>
            </w:rPr>
            <w:t>0</w:t>
          </w:r>
          <w:r w:rsidR="006843DF">
            <w:rPr>
              <w:sz w:val="36"/>
              <w:szCs w:val="36"/>
            </w:rPr>
            <w:t>6</w:t>
          </w:r>
        </w:p>
        <w:p w14:paraId="73C96A05" w14:textId="195C97C1" w:rsidR="00ED3EE7" w:rsidRPr="00E245AC" w:rsidRDefault="00EE4489" w:rsidP="00760F9A">
          <w:pPr>
            <w:pStyle w:val="Reportheader"/>
            <w:rPr>
              <w:rFonts w:ascii="Arial" w:hAnsi="Arial" w:cs="Arial"/>
            </w:rPr>
          </w:pPr>
          <w:r>
            <w:rPr>
              <w:rFonts w:ascii="Arial" w:hAnsi="Arial" w:cs="Arial"/>
            </w:rPr>
            <w:t>Treatment of</w:t>
          </w:r>
          <w:r w:rsidR="00DC7029">
            <w:rPr>
              <w:rFonts w:ascii="Arial" w:hAnsi="Arial" w:cs="Arial"/>
            </w:rPr>
            <w:t xml:space="preserve"> </w:t>
          </w:r>
          <w:r w:rsidR="00582238">
            <w:rPr>
              <w:rFonts w:ascii="Arial" w:hAnsi="Arial" w:cs="Arial"/>
            </w:rPr>
            <w:t>w</w:t>
          </w:r>
          <w:r w:rsidR="00DC7029">
            <w:rPr>
              <w:rFonts w:ascii="Arial" w:hAnsi="Arial" w:cs="Arial"/>
            </w:rPr>
            <w:t>aste</w:t>
          </w:r>
          <w:r>
            <w:rPr>
              <w:rFonts w:ascii="Arial" w:hAnsi="Arial" w:cs="Arial"/>
            </w:rPr>
            <w:t xml:space="preserve"> </w:t>
          </w:r>
          <w:r w:rsidR="00582238">
            <w:rPr>
              <w:rFonts w:ascii="Arial" w:hAnsi="Arial" w:cs="Arial"/>
            </w:rPr>
            <w:t>p</w:t>
          </w:r>
          <w:r>
            <w:rPr>
              <w:rFonts w:ascii="Arial" w:hAnsi="Arial" w:cs="Arial"/>
            </w:rPr>
            <w:t>rior to</w:t>
          </w:r>
          <w:r w:rsidR="00DC7029">
            <w:rPr>
              <w:rFonts w:ascii="Arial" w:hAnsi="Arial" w:cs="Arial"/>
            </w:rPr>
            <w:t xml:space="preserve"> </w:t>
          </w:r>
          <w:r w:rsidR="00582238">
            <w:rPr>
              <w:rFonts w:ascii="Arial" w:hAnsi="Arial" w:cs="Arial"/>
            </w:rPr>
            <w:t>l</w:t>
          </w:r>
          <w:r w:rsidR="00DC7029">
            <w:rPr>
              <w:rFonts w:ascii="Arial" w:hAnsi="Arial" w:cs="Arial"/>
            </w:rPr>
            <w:t>andfill</w:t>
          </w:r>
        </w:p>
        <w:p w14:paraId="10F5465E" w14:textId="04CE28BE" w:rsidR="00ED3EE7" w:rsidRDefault="00DC7029" w:rsidP="00ED3EE7">
          <w:pPr>
            <w:pStyle w:val="Heading2"/>
          </w:pPr>
          <w:r>
            <w:t>01 November 2025</w:t>
          </w:r>
        </w:p>
        <w:p w14:paraId="2C994410" w14:textId="77777777" w:rsidR="00ED3EE7" w:rsidRDefault="00ED3EE7" w:rsidP="00ED3EE7">
          <w:pPr>
            <w:pStyle w:val="Footer"/>
            <w:ind w:right="360"/>
          </w:pPr>
          <w:r>
            <w:rPr>
              <w:noProof/>
            </w:rPr>
            <mc:AlternateContent>
              <mc:Choice Requires="wps">
                <w:drawing>
                  <wp:anchor distT="0" distB="0" distL="114300" distR="114300" simplePos="0" relativeHeight="251658240" behindDoc="0" locked="0" layoutInCell="1" allowOverlap="1" wp14:anchorId="34B39742" wp14:editId="68BE8542">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3F5335A"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0ED4F155" w14:textId="5CF171BE" w:rsidR="00ED3EE7" w:rsidRPr="00236552" w:rsidRDefault="00DC7029" w:rsidP="00ED3EE7">
          <w:pPr>
            <w:pStyle w:val="Heading1"/>
          </w:pPr>
          <w:r>
            <w:t>Purpose</w:t>
          </w:r>
        </w:p>
        <w:p w14:paraId="0D1D569A" w14:textId="213D9E76" w:rsidR="00ED3EE7" w:rsidRDefault="00DC7029" w:rsidP="005759EF">
          <w:r>
            <w:t xml:space="preserve">Guidance on the requirement for waste to be treated prior to landfill. </w:t>
          </w:r>
        </w:p>
      </w:sdtContent>
    </w:sdt>
    <w:p w14:paraId="04855A90" w14:textId="51F32313" w:rsidR="006C03AA" w:rsidRPr="006C03AA" w:rsidRDefault="00B83669" w:rsidP="006C03AA">
      <w:pPr>
        <w:keepNext/>
        <w:keepLines/>
        <w:spacing w:line="276" w:lineRule="auto"/>
        <w:outlineLvl w:val="0"/>
        <w:rPr>
          <w:rFonts w:ascii="Arial" w:eastAsia="Times New Roman" w:hAnsi="Arial" w:cs="Arial"/>
          <w:b/>
          <w:color w:val="016574"/>
          <w:sz w:val="40"/>
          <w:szCs w:val="32"/>
        </w:rPr>
      </w:pPr>
      <w:r>
        <w:rPr>
          <w:rFonts w:ascii="Arial" w:eastAsia="Times New Roman" w:hAnsi="Arial" w:cs="Arial"/>
          <w:b/>
          <w:color w:val="016574"/>
          <w:sz w:val="40"/>
          <w:szCs w:val="32"/>
        </w:rPr>
        <w:t xml:space="preserve">Prior </w:t>
      </w:r>
      <w:r w:rsidR="0057717C">
        <w:rPr>
          <w:rFonts w:ascii="Arial" w:eastAsia="Times New Roman" w:hAnsi="Arial" w:cs="Arial"/>
          <w:b/>
          <w:color w:val="016574"/>
          <w:sz w:val="40"/>
          <w:szCs w:val="32"/>
        </w:rPr>
        <w:t>t</w:t>
      </w:r>
      <w:r>
        <w:rPr>
          <w:rFonts w:ascii="Arial" w:eastAsia="Times New Roman" w:hAnsi="Arial" w:cs="Arial"/>
          <w:b/>
          <w:color w:val="016574"/>
          <w:sz w:val="40"/>
          <w:szCs w:val="32"/>
        </w:rPr>
        <w:t>reatment</w:t>
      </w:r>
    </w:p>
    <w:p w14:paraId="5FDE2B71" w14:textId="2CF6B1A0" w:rsidR="007B4B60" w:rsidRPr="007B4B60" w:rsidRDefault="007B4B60" w:rsidP="007B4B60">
      <w:r>
        <w:t xml:space="preserve">Waste must usually be treated before it is sent to </w:t>
      </w:r>
      <w:r w:rsidRPr="007B4B60">
        <w:t xml:space="preserve">landfill. </w:t>
      </w:r>
      <w:r>
        <w:t>Treatment must</w:t>
      </w:r>
      <w:r w:rsidRPr="007B4B60">
        <w:t>:</w:t>
      </w:r>
    </w:p>
    <w:p w14:paraId="693585B6" w14:textId="1DCA20AD" w:rsidR="007B4B60" w:rsidRPr="007B4B60" w:rsidRDefault="00D7574F" w:rsidP="007B4B60">
      <w:pPr>
        <w:numPr>
          <w:ilvl w:val="0"/>
          <w:numId w:val="14"/>
        </w:numPr>
      </w:pPr>
      <w:r>
        <w:t>B</w:t>
      </w:r>
      <w:r w:rsidR="007B4B60" w:rsidRPr="007B4B60">
        <w:t>e a physical, thermal, chemical or biological process including sorting</w:t>
      </w:r>
      <w:r w:rsidR="00427F40">
        <w:t>.</w:t>
      </w:r>
    </w:p>
    <w:p w14:paraId="45577407" w14:textId="09F6B8F2" w:rsidR="007B4B60" w:rsidRPr="007B4B60" w:rsidRDefault="00D7574F" w:rsidP="007B4B60">
      <w:pPr>
        <w:numPr>
          <w:ilvl w:val="0"/>
          <w:numId w:val="14"/>
        </w:numPr>
      </w:pPr>
      <w:r>
        <w:t>C</w:t>
      </w:r>
      <w:r w:rsidR="007B4B60" w:rsidRPr="007B4B60">
        <w:t>hange the characteristics of the waste to reduce its volume or hazards or make it easier to handle or recover</w:t>
      </w:r>
      <w:r>
        <w:t>.</w:t>
      </w:r>
    </w:p>
    <w:p w14:paraId="0EF313C2" w14:textId="274D27E8" w:rsidR="007B4B60" w:rsidRPr="007B4B60" w:rsidRDefault="00D16597" w:rsidP="007B4B60">
      <w:r>
        <w:t xml:space="preserve">Treatment is not required </w:t>
      </w:r>
      <w:r w:rsidR="0061732F">
        <w:t>for</w:t>
      </w:r>
      <w:r w:rsidR="007B4B60" w:rsidRPr="007B4B60">
        <w:t>:</w:t>
      </w:r>
    </w:p>
    <w:p w14:paraId="1E49B0B3" w14:textId="7CF0AB46" w:rsidR="007B4B60" w:rsidRPr="007B4B60" w:rsidRDefault="00D7574F" w:rsidP="007B4B60">
      <w:pPr>
        <w:numPr>
          <w:ilvl w:val="0"/>
          <w:numId w:val="15"/>
        </w:numPr>
      </w:pPr>
      <w:r>
        <w:t>I</w:t>
      </w:r>
      <w:r w:rsidR="007B4B60" w:rsidRPr="007B4B60">
        <w:t>nert waste where treatment is not technically feasible</w:t>
      </w:r>
      <w:r>
        <w:t>.</w:t>
      </w:r>
    </w:p>
    <w:p w14:paraId="0C0C97DA" w14:textId="37E78E65" w:rsidR="007B4B60" w:rsidRPr="007B4B60" w:rsidRDefault="00D7574F" w:rsidP="007B4B60">
      <w:pPr>
        <w:numPr>
          <w:ilvl w:val="0"/>
          <w:numId w:val="15"/>
        </w:numPr>
      </w:pPr>
      <w:r>
        <w:t>N</w:t>
      </w:r>
      <w:r w:rsidR="007B4B60" w:rsidRPr="007B4B60">
        <w:t>on-hazardous or hazardous waste where treatment would not reduce its quantity or the risk to people’s health or the environment</w:t>
      </w:r>
      <w:r>
        <w:t>.</w:t>
      </w:r>
    </w:p>
    <w:p w14:paraId="4AF19C79" w14:textId="77777777" w:rsidR="008E651B" w:rsidRDefault="008E651B" w:rsidP="00BD64E8">
      <w:r>
        <w:t>Treatment may be carried out either before acceptance to landfill or after acceptance to landfill but not as part of the landfilling operation (i.e. compaction after deposit at the landfill).</w:t>
      </w:r>
    </w:p>
    <w:p w14:paraId="7E526014" w14:textId="77777777" w:rsidR="00EB6095" w:rsidRDefault="00EB6095" w:rsidP="00EB6095">
      <w:pPr>
        <w:pStyle w:val="BodyText1"/>
      </w:pPr>
      <w:r>
        <w:t xml:space="preserve">The variation of waste streams arriving at landfills means that it is not possible to derive prescriptive set rules for different waste types. </w:t>
      </w:r>
    </w:p>
    <w:p w14:paraId="393CDA60" w14:textId="5DBF0A92" w:rsidR="00EB6095" w:rsidRDefault="00F07AD1" w:rsidP="00EB6095">
      <w:pPr>
        <w:pStyle w:val="BodyText1"/>
      </w:pPr>
      <w:r>
        <w:t>SEPA expects that</w:t>
      </w:r>
      <w:r w:rsidR="00EB6095">
        <w:t xml:space="preserve"> for each waste stream the available treatment options and the</w:t>
      </w:r>
      <w:r>
        <w:t>ir</w:t>
      </w:r>
      <w:r w:rsidR="00EB6095">
        <w:t xml:space="preserve"> ability to deliver the </w:t>
      </w:r>
      <w:r w:rsidR="0089134B">
        <w:t xml:space="preserve">treatment </w:t>
      </w:r>
      <w:r w:rsidR="00EB6095">
        <w:t xml:space="preserve">objectives </w:t>
      </w:r>
      <w:r>
        <w:t>are considered and assessed</w:t>
      </w:r>
      <w:r w:rsidR="00EB6095">
        <w:t xml:space="preserve">.  </w:t>
      </w:r>
    </w:p>
    <w:p w14:paraId="5752BB38" w14:textId="224E082C" w:rsidR="00DA4C20" w:rsidRDefault="0061732F" w:rsidP="007B4B60">
      <w:r>
        <w:t>Waste can be treated</w:t>
      </w:r>
      <w:r w:rsidR="007B4B60" w:rsidRPr="007B4B60">
        <w:t xml:space="preserve"> by sorting different components from mixed waste and sending some of it for </w:t>
      </w:r>
      <w:r w:rsidR="005B25CF" w:rsidRPr="007B4B60">
        <w:t>reuse</w:t>
      </w:r>
      <w:r w:rsidR="005B25CF">
        <w:t>,</w:t>
      </w:r>
      <w:r w:rsidR="005B25CF" w:rsidRPr="007B4B60">
        <w:t xml:space="preserve"> </w:t>
      </w:r>
      <w:r w:rsidR="007B4B60" w:rsidRPr="007B4B60">
        <w:t>recycling, or recovery.</w:t>
      </w:r>
    </w:p>
    <w:p w14:paraId="61D37988" w14:textId="092CD7D8" w:rsidR="00DA4C20" w:rsidRDefault="00DA4C20" w:rsidP="007503D5">
      <w:pPr>
        <w:pStyle w:val="BodyText1"/>
      </w:pPr>
      <w:r>
        <w:t xml:space="preserve">In many cases the waste producer may be carrying out treatment as part of their </w:t>
      </w:r>
      <w:r w:rsidR="007503D5">
        <w:t>normal</w:t>
      </w:r>
      <w:r>
        <w:t xml:space="preserve"> operations (</w:t>
      </w:r>
      <w:r w:rsidR="007503D5">
        <w:t>i.e.</w:t>
      </w:r>
      <w:r>
        <w:t xml:space="preserve"> sorting of waste into segregated streams</w:t>
      </w:r>
      <w:r w:rsidR="007503D5">
        <w:t>) and many</w:t>
      </w:r>
      <w:r>
        <w:t xml:space="preserve"> waste streams are subject to some form of treatment during the normal procedures of production, collection and transport. </w:t>
      </w:r>
    </w:p>
    <w:p w14:paraId="066EB09B" w14:textId="3D71F84B" w:rsidR="00BC60FB" w:rsidRPr="006C03AA" w:rsidRDefault="00BC60FB" w:rsidP="00BC60FB">
      <w:pPr>
        <w:keepNext/>
        <w:keepLines/>
        <w:spacing w:line="276" w:lineRule="auto"/>
        <w:outlineLvl w:val="0"/>
        <w:rPr>
          <w:rFonts w:ascii="Arial" w:eastAsia="Times New Roman" w:hAnsi="Arial" w:cs="Arial"/>
          <w:b/>
          <w:color w:val="016574"/>
          <w:sz w:val="40"/>
          <w:szCs w:val="32"/>
        </w:rPr>
      </w:pPr>
      <w:r>
        <w:rPr>
          <w:rFonts w:ascii="Arial" w:eastAsia="Times New Roman" w:hAnsi="Arial" w:cs="Arial"/>
          <w:b/>
          <w:color w:val="016574"/>
          <w:sz w:val="40"/>
          <w:szCs w:val="32"/>
        </w:rPr>
        <w:t xml:space="preserve">Evidence of </w:t>
      </w:r>
      <w:r w:rsidR="0057717C">
        <w:rPr>
          <w:rFonts w:ascii="Arial" w:eastAsia="Times New Roman" w:hAnsi="Arial" w:cs="Arial"/>
          <w:b/>
          <w:color w:val="016574"/>
          <w:sz w:val="40"/>
          <w:szCs w:val="32"/>
        </w:rPr>
        <w:t>p</w:t>
      </w:r>
      <w:r>
        <w:rPr>
          <w:rFonts w:ascii="Arial" w:eastAsia="Times New Roman" w:hAnsi="Arial" w:cs="Arial"/>
          <w:b/>
          <w:color w:val="016574"/>
          <w:sz w:val="40"/>
          <w:szCs w:val="32"/>
        </w:rPr>
        <w:t xml:space="preserve">rior </w:t>
      </w:r>
      <w:r w:rsidR="0057717C">
        <w:rPr>
          <w:rFonts w:ascii="Arial" w:eastAsia="Times New Roman" w:hAnsi="Arial" w:cs="Arial"/>
          <w:b/>
          <w:color w:val="016574"/>
          <w:sz w:val="40"/>
          <w:szCs w:val="32"/>
        </w:rPr>
        <w:t>t</w:t>
      </w:r>
      <w:r w:rsidR="00EB6095">
        <w:rPr>
          <w:rFonts w:ascii="Arial" w:eastAsia="Times New Roman" w:hAnsi="Arial" w:cs="Arial"/>
          <w:b/>
          <w:color w:val="016574"/>
          <w:sz w:val="40"/>
          <w:szCs w:val="32"/>
        </w:rPr>
        <w:t>reatment</w:t>
      </w:r>
    </w:p>
    <w:p w14:paraId="42FABE5A" w14:textId="7BF36F0D" w:rsidR="007B4B60" w:rsidRPr="007B4B60" w:rsidRDefault="00B83162" w:rsidP="007B4B60">
      <w:r>
        <w:t>Waste producers and managers</w:t>
      </w:r>
      <w:r w:rsidR="007B4B60" w:rsidRPr="007B4B60">
        <w:t xml:space="preserve"> must confirm in writing to the landfill operator, either:</w:t>
      </w:r>
    </w:p>
    <w:p w14:paraId="28655438" w14:textId="4C392F78" w:rsidR="007B4B60" w:rsidRPr="007B4B60" w:rsidRDefault="00F15988" w:rsidP="007B4B60">
      <w:pPr>
        <w:numPr>
          <w:ilvl w:val="0"/>
          <w:numId w:val="16"/>
        </w:numPr>
      </w:pPr>
      <w:r>
        <w:t>T</w:t>
      </w:r>
      <w:r w:rsidR="007B4B60" w:rsidRPr="007B4B60">
        <w:t xml:space="preserve">hat </w:t>
      </w:r>
      <w:r w:rsidR="00B83162">
        <w:t>the waste has been</w:t>
      </w:r>
      <w:r w:rsidR="007B4B60" w:rsidRPr="007B4B60">
        <w:t xml:space="preserve"> treated</w:t>
      </w:r>
      <w:r>
        <w:t>.</w:t>
      </w:r>
      <w:r w:rsidR="007B4B60" w:rsidRPr="007B4B60">
        <w:t xml:space="preserve"> </w:t>
      </w:r>
    </w:p>
    <w:p w14:paraId="525CB3CC" w14:textId="48DEF76B" w:rsidR="007B4B60" w:rsidRPr="007B4B60" w:rsidRDefault="00F15988" w:rsidP="007B4B60">
      <w:pPr>
        <w:numPr>
          <w:ilvl w:val="0"/>
          <w:numId w:val="16"/>
        </w:numPr>
      </w:pPr>
      <w:r>
        <w:t>T</w:t>
      </w:r>
      <w:r w:rsidR="00B83162">
        <w:t>he reasons why the waste has not been treated</w:t>
      </w:r>
      <w:r>
        <w:t>.</w:t>
      </w:r>
    </w:p>
    <w:p w14:paraId="496A6F94" w14:textId="1D7E982E" w:rsidR="007B4B60" w:rsidRPr="007B4B60" w:rsidRDefault="00B83162" w:rsidP="007B4B60">
      <w:r>
        <w:t>T</w:t>
      </w:r>
      <w:r w:rsidR="007B4B60" w:rsidRPr="007B4B60">
        <w:t xml:space="preserve">he output of the treatment </w:t>
      </w:r>
      <w:r w:rsidR="00EB6095">
        <w:t xml:space="preserve">should be described </w:t>
      </w:r>
      <w:r w:rsidR="007B4B60" w:rsidRPr="007B4B60">
        <w:t xml:space="preserve">as part of the waste’s basic characterisation and to comply with </w:t>
      </w:r>
      <w:r w:rsidR="005B25CF">
        <w:t>the</w:t>
      </w:r>
      <w:r w:rsidR="007B4B60" w:rsidRPr="007B4B60">
        <w:t> waste duty of care.</w:t>
      </w:r>
    </w:p>
    <w:p w14:paraId="28CF1C25" w14:textId="75139E89" w:rsidR="007B4B60" w:rsidRDefault="00166FF0" w:rsidP="005B7D8E">
      <w:r>
        <w:t xml:space="preserve">The landfill operator must </w:t>
      </w:r>
      <w:r w:rsidR="00723A9A">
        <w:t xml:space="preserve">assess this evidence and keep records in accordance with their Permit conditions. </w:t>
      </w:r>
    </w:p>
    <w:p w14:paraId="7E6F0072" w14:textId="77777777" w:rsidR="006B1666" w:rsidRPr="00AF3BFD" w:rsidRDefault="006B1666" w:rsidP="006B1666">
      <w:pPr>
        <w:rPr>
          <w:rFonts w:ascii="Arial" w:hAnsi="Arial" w:cs="Arial"/>
          <w:b/>
          <w:bCs/>
          <w:color w:val="016574" w:themeColor="accent6"/>
          <w:sz w:val="40"/>
          <w:szCs w:val="40"/>
        </w:rPr>
      </w:pPr>
      <w:r w:rsidRPr="00AF3BFD">
        <w:rPr>
          <w:rFonts w:ascii="Arial" w:hAnsi="Arial" w:cs="Arial"/>
          <w:b/>
          <w:bCs/>
          <w:color w:val="016574" w:themeColor="accent6"/>
          <w:sz w:val="40"/>
          <w:szCs w:val="40"/>
        </w:rPr>
        <w:t>Disclaimer </w:t>
      </w:r>
    </w:p>
    <w:p w14:paraId="16B882D8" w14:textId="77777777" w:rsidR="00B61ED7" w:rsidRPr="00B61ED7" w:rsidRDefault="00B61ED7" w:rsidP="00B61ED7">
      <w:pPr>
        <w:rPr>
          <w:rFonts w:ascii="Arial" w:eastAsia="MS PGothic" w:hAnsi="Arial" w:cs="Arial"/>
        </w:rPr>
      </w:pPr>
      <w:r w:rsidRPr="00B61ED7">
        <w:rPr>
          <w:rFonts w:ascii="Arial" w:eastAsia="MS PGothic" w:hAnsi="Arial" w:cs="Arial"/>
        </w:rPr>
        <w:t xml:space="preserve">This guidance is based on the law as it stood when the guidance was published. </w:t>
      </w:r>
    </w:p>
    <w:p w14:paraId="3F806100" w14:textId="77777777" w:rsidR="00B61ED7" w:rsidRPr="00B61ED7" w:rsidRDefault="00B61ED7" w:rsidP="00B61ED7">
      <w:pPr>
        <w:rPr>
          <w:rFonts w:ascii="Arial" w:eastAsia="MS PGothic" w:hAnsi="Arial" w:cs="Arial"/>
        </w:rPr>
      </w:pPr>
      <w:r w:rsidRPr="00B61ED7">
        <w:rPr>
          <w:rFonts w:ascii="Arial" w:eastAsia="MS PGothic"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B16103F" w14:textId="77777777" w:rsidR="00B61ED7" w:rsidRPr="00B61ED7" w:rsidRDefault="00B61ED7" w:rsidP="00B61ED7">
      <w:pPr>
        <w:numPr>
          <w:ilvl w:val="0"/>
          <w:numId w:val="19"/>
        </w:numPr>
        <w:spacing w:after="0"/>
        <w:rPr>
          <w:rFonts w:ascii="Arial" w:eastAsia="MS PGothic" w:hAnsi="Arial" w:cs="Arial"/>
        </w:rPr>
      </w:pPr>
      <w:r w:rsidRPr="00B61ED7">
        <w:rPr>
          <w:rFonts w:ascii="Arial" w:eastAsia="MS PGothic" w:hAnsi="Arial" w:cs="Arial"/>
        </w:rPr>
        <w:t>any direct, indirect and consequential losses</w:t>
      </w:r>
    </w:p>
    <w:p w14:paraId="587A1328" w14:textId="77777777" w:rsidR="00B61ED7" w:rsidRPr="00B61ED7" w:rsidRDefault="00B61ED7" w:rsidP="00B61ED7">
      <w:pPr>
        <w:numPr>
          <w:ilvl w:val="0"/>
          <w:numId w:val="19"/>
        </w:numPr>
        <w:spacing w:after="0"/>
        <w:rPr>
          <w:rFonts w:ascii="Arial" w:eastAsia="MS PGothic" w:hAnsi="Arial" w:cs="Arial"/>
        </w:rPr>
      </w:pPr>
      <w:r w:rsidRPr="00B61ED7">
        <w:rPr>
          <w:rFonts w:ascii="Arial" w:eastAsia="MS PGothic" w:hAnsi="Arial" w:cs="Arial"/>
        </w:rPr>
        <w:t>any loss or damage caused by civil wrongs, breach of contract or otherwise</w:t>
      </w:r>
    </w:p>
    <w:p w14:paraId="5E3DD04D" w14:textId="77777777" w:rsidR="00B61ED7" w:rsidRDefault="00B61ED7" w:rsidP="00B61ED7">
      <w:pPr>
        <w:rPr>
          <w:rFonts w:ascii="Arial" w:eastAsia="MS PGothic" w:hAnsi="Arial" w:cs="Arial"/>
        </w:rPr>
      </w:pPr>
      <w:r w:rsidRPr="00B61ED7">
        <w:rPr>
          <w:rFonts w:ascii="Arial" w:eastAsia="MS PGothic"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104ADF24" w14:textId="77777777" w:rsidR="00B61ED7" w:rsidRDefault="00B61ED7" w:rsidP="00B61ED7">
      <w:pPr>
        <w:rPr>
          <w:rFonts w:ascii="Arial" w:eastAsia="MS PGothic" w:hAnsi="Arial" w:cs="Arial"/>
        </w:rPr>
      </w:pPr>
    </w:p>
    <w:p w14:paraId="15D8A3EC" w14:textId="77777777" w:rsidR="00B61ED7" w:rsidRDefault="00B61ED7" w:rsidP="00B61ED7">
      <w:pPr>
        <w:rPr>
          <w:rFonts w:ascii="Arial" w:eastAsia="MS PGothic" w:hAnsi="Arial" w:cs="Arial"/>
        </w:rPr>
      </w:pPr>
    </w:p>
    <w:p w14:paraId="515DBE5A" w14:textId="77777777" w:rsidR="00B61ED7" w:rsidRDefault="00B61ED7" w:rsidP="00B61ED7">
      <w:pPr>
        <w:rPr>
          <w:rFonts w:ascii="Arial" w:eastAsia="MS PGothic" w:hAnsi="Arial" w:cs="Arial"/>
        </w:rPr>
      </w:pPr>
    </w:p>
    <w:p w14:paraId="3568302D" w14:textId="77777777" w:rsidR="00B61ED7" w:rsidRDefault="00B61ED7" w:rsidP="00B61ED7">
      <w:pPr>
        <w:rPr>
          <w:rFonts w:ascii="Arial" w:eastAsia="MS PGothic" w:hAnsi="Arial" w:cs="Arial"/>
        </w:rPr>
      </w:pPr>
    </w:p>
    <w:p w14:paraId="03731173" w14:textId="77777777" w:rsidR="00B61ED7" w:rsidRDefault="00B61ED7" w:rsidP="00B61ED7">
      <w:pPr>
        <w:rPr>
          <w:rFonts w:ascii="Arial" w:eastAsia="MS PGothic" w:hAnsi="Arial" w:cs="Arial"/>
        </w:rPr>
      </w:pPr>
    </w:p>
    <w:p w14:paraId="3FCB6A79" w14:textId="77777777" w:rsidR="00B61ED7" w:rsidRDefault="00B61ED7" w:rsidP="00B61ED7">
      <w:pPr>
        <w:rPr>
          <w:rFonts w:ascii="Arial" w:eastAsia="MS PGothic" w:hAnsi="Arial" w:cs="Arial"/>
        </w:rPr>
      </w:pPr>
    </w:p>
    <w:p w14:paraId="68C94B3A" w14:textId="77777777" w:rsidR="00B61ED7" w:rsidRDefault="00B61ED7" w:rsidP="00B61ED7">
      <w:pPr>
        <w:rPr>
          <w:rFonts w:ascii="Arial" w:eastAsia="MS PGothic" w:hAnsi="Arial" w:cs="Arial"/>
        </w:rPr>
      </w:pPr>
    </w:p>
    <w:p w14:paraId="7FF492C1" w14:textId="77777777" w:rsidR="00B61ED7" w:rsidRDefault="00B61ED7" w:rsidP="00B61ED7">
      <w:pPr>
        <w:rPr>
          <w:rFonts w:ascii="Arial" w:eastAsia="MS PGothic" w:hAnsi="Arial" w:cs="Arial"/>
        </w:rPr>
      </w:pPr>
    </w:p>
    <w:p w14:paraId="28FDFE39" w14:textId="77777777" w:rsidR="00B61ED7" w:rsidRDefault="00B61ED7" w:rsidP="00B61ED7">
      <w:pPr>
        <w:rPr>
          <w:rFonts w:ascii="Arial" w:eastAsia="MS PGothic" w:hAnsi="Arial" w:cs="Arial"/>
        </w:rPr>
      </w:pPr>
    </w:p>
    <w:p w14:paraId="535B7DEC" w14:textId="77777777" w:rsidR="00B61ED7" w:rsidRDefault="00B61ED7" w:rsidP="00B61ED7">
      <w:pPr>
        <w:rPr>
          <w:rFonts w:ascii="Arial" w:eastAsia="MS PGothic" w:hAnsi="Arial" w:cs="Arial"/>
        </w:rPr>
      </w:pPr>
    </w:p>
    <w:p w14:paraId="639EA834" w14:textId="77777777" w:rsidR="00B61ED7" w:rsidRDefault="00B61ED7" w:rsidP="00B61ED7">
      <w:pPr>
        <w:rPr>
          <w:rFonts w:ascii="Arial" w:eastAsia="MS PGothic" w:hAnsi="Arial" w:cs="Arial"/>
        </w:rPr>
      </w:pPr>
    </w:p>
    <w:p w14:paraId="36D06E9E" w14:textId="77777777" w:rsidR="00B61ED7" w:rsidRDefault="00B61ED7" w:rsidP="00B61ED7">
      <w:pPr>
        <w:rPr>
          <w:rFonts w:ascii="Arial" w:eastAsia="MS PGothic" w:hAnsi="Arial" w:cs="Arial"/>
        </w:rPr>
      </w:pPr>
    </w:p>
    <w:p w14:paraId="61C84D3E" w14:textId="77777777" w:rsidR="00B61ED7" w:rsidRPr="00B61ED7" w:rsidRDefault="00B61ED7" w:rsidP="00B61ED7">
      <w:pPr>
        <w:rPr>
          <w:rFonts w:ascii="Arial" w:eastAsia="MS PGothic" w:hAnsi="Arial" w:cs="Arial"/>
        </w:rPr>
      </w:pPr>
    </w:p>
    <w:p w14:paraId="7040D7FF" w14:textId="70CDCD46" w:rsidR="00E01ECC" w:rsidRDefault="006B1666" w:rsidP="00B61ED7">
      <w:pPr>
        <w:pStyle w:val="paragraph"/>
        <w:spacing w:before="0" w:beforeAutospacing="0" w:after="240" w:afterAutospacing="0" w:line="360" w:lineRule="auto"/>
        <w:textAlignment w:val="baseline"/>
      </w:pPr>
      <w:r>
        <w:rPr>
          <w:rStyle w:val="normaltextrun"/>
          <w:rFonts w:ascii="Arial" w:hAnsi="Arial" w:cs="Arial"/>
          <w:sz w:val="32"/>
          <w:szCs w:val="32"/>
        </w:rPr>
        <w:t xml:space="preserve">If you would like this document in an accessible format, such as large print, audio recording or braille, please contact SEPA by emailing </w:t>
      </w:r>
      <w:hyperlink r:id="rId12" w:tgtFrame="_blank" w:history="1">
        <w:r>
          <w:rPr>
            <w:rStyle w:val="normaltextrun"/>
            <w:rFonts w:ascii="Arial" w:hAnsi="Arial" w:cs="Arial"/>
            <w:color w:val="016574"/>
            <w:sz w:val="32"/>
            <w:szCs w:val="32"/>
            <w:u w:val="single"/>
          </w:rPr>
          <w:t>equalities@sepa.org.uk</w:t>
        </w:r>
      </w:hyperlink>
    </w:p>
    <w:sectPr w:rsidR="00E01ECC" w:rsidSect="00917BB1">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0004" w14:textId="77777777" w:rsidR="000D0028" w:rsidRDefault="000D0028" w:rsidP="00660C79">
      <w:pPr>
        <w:spacing w:line="240" w:lineRule="auto"/>
      </w:pPr>
      <w:r>
        <w:separator/>
      </w:r>
    </w:p>
  </w:endnote>
  <w:endnote w:type="continuationSeparator" w:id="0">
    <w:p w14:paraId="6A50E57E" w14:textId="77777777" w:rsidR="000D0028" w:rsidRDefault="000D0028" w:rsidP="00660C79">
      <w:pPr>
        <w:spacing w:line="240" w:lineRule="auto"/>
      </w:pPr>
      <w:r>
        <w:continuationSeparator/>
      </w:r>
    </w:p>
  </w:endnote>
  <w:endnote w:type="continuationNotice" w:id="1">
    <w:p w14:paraId="3AFEDDD1" w14:textId="77777777" w:rsidR="00462205" w:rsidRDefault="00462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4122205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553F357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224B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B9BF"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600EF7C9" wp14:editId="3944CF82">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F840B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EF7C9"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0F840B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2A45B5A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FD980E0" wp14:editId="7631D24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11B95E6"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F564BF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AC1D97" w14:textId="77777777" w:rsidR="00917BB1" w:rsidRDefault="00917BB1" w:rsidP="00917BB1">
    <w:pPr>
      <w:pStyle w:val="Footer"/>
      <w:ind w:right="360"/>
    </w:pPr>
    <w:r>
      <w:rPr>
        <w:noProof/>
      </w:rPr>
      <w:drawing>
        <wp:inline distT="0" distB="0" distL="0" distR="0" wp14:anchorId="705C39B7" wp14:editId="1D1F188B">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7B34"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0D3ECD2D" wp14:editId="3D51E4C1">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ADF92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3ECD2D"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51ADF92B"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4CC1" w14:textId="77777777" w:rsidR="000D0028" w:rsidRDefault="000D0028" w:rsidP="00660C79">
      <w:pPr>
        <w:spacing w:line="240" w:lineRule="auto"/>
      </w:pPr>
      <w:r>
        <w:separator/>
      </w:r>
    </w:p>
  </w:footnote>
  <w:footnote w:type="continuationSeparator" w:id="0">
    <w:p w14:paraId="04F796FC" w14:textId="77777777" w:rsidR="000D0028" w:rsidRDefault="000D0028" w:rsidP="00660C79">
      <w:pPr>
        <w:spacing w:line="240" w:lineRule="auto"/>
      </w:pPr>
      <w:r>
        <w:continuationSeparator/>
      </w:r>
    </w:p>
  </w:footnote>
  <w:footnote w:type="continuationNotice" w:id="1">
    <w:p w14:paraId="12277043" w14:textId="77777777" w:rsidR="00462205" w:rsidRDefault="00462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4CFA" w14:textId="2E6D71F1"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2194EA10" wp14:editId="68E43A3B">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4065E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194EA10"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1E4065E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EE4489">
      <w:rPr>
        <w:color w:val="6E7571" w:themeColor="text2"/>
      </w:rPr>
      <w:t>Treatment of Waste Prior to Landfill</w:t>
    </w:r>
  </w:p>
  <w:p w14:paraId="4E26D00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69AE225" wp14:editId="4EE270D2">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D262D43"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2B95"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4CFD5819" wp14:editId="2E299B7D">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EDB8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FD5819"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FEEDB85"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B056A"/>
    <w:multiLevelType w:val="multilevel"/>
    <w:tmpl w:val="B36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C754FB"/>
    <w:multiLevelType w:val="hybridMultilevel"/>
    <w:tmpl w:val="B24ED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03E75"/>
    <w:multiLevelType w:val="multilevel"/>
    <w:tmpl w:val="C126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64468"/>
    <w:multiLevelType w:val="multilevel"/>
    <w:tmpl w:val="FE3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352396"/>
    <w:multiLevelType w:val="multilevel"/>
    <w:tmpl w:val="E2E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183197"/>
    <w:multiLevelType w:val="multilevel"/>
    <w:tmpl w:val="6BD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6B2F8B"/>
    <w:multiLevelType w:val="hybridMultilevel"/>
    <w:tmpl w:val="315E45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6"/>
  </w:num>
  <w:num w:numId="12" w16cid:durableId="864175388">
    <w:abstractNumId w:val="18"/>
  </w:num>
  <w:num w:numId="13" w16cid:durableId="565606171">
    <w:abstractNumId w:val="11"/>
  </w:num>
  <w:num w:numId="14" w16cid:durableId="554434815">
    <w:abstractNumId w:val="12"/>
  </w:num>
  <w:num w:numId="15" w16cid:durableId="174006290">
    <w:abstractNumId w:val="17"/>
  </w:num>
  <w:num w:numId="16" w16cid:durableId="618268025">
    <w:abstractNumId w:val="10"/>
  </w:num>
  <w:num w:numId="17" w16cid:durableId="1259561092">
    <w:abstractNumId w:val="14"/>
  </w:num>
  <w:num w:numId="18" w16cid:durableId="1084960553">
    <w:abstractNumId w:val="13"/>
  </w:num>
  <w:num w:numId="19" w16cid:durableId="179131558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29"/>
    <w:rsid w:val="00032829"/>
    <w:rsid w:val="00040561"/>
    <w:rsid w:val="00055901"/>
    <w:rsid w:val="000638B9"/>
    <w:rsid w:val="00070937"/>
    <w:rsid w:val="000B7559"/>
    <w:rsid w:val="000D0028"/>
    <w:rsid w:val="000E0D15"/>
    <w:rsid w:val="000F4CA9"/>
    <w:rsid w:val="00105F31"/>
    <w:rsid w:val="001338F5"/>
    <w:rsid w:val="00166FF0"/>
    <w:rsid w:val="00167C60"/>
    <w:rsid w:val="001D32E5"/>
    <w:rsid w:val="001F7B71"/>
    <w:rsid w:val="0023647F"/>
    <w:rsid w:val="00236552"/>
    <w:rsid w:val="002369CA"/>
    <w:rsid w:val="00281BB1"/>
    <w:rsid w:val="00283B74"/>
    <w:rsid w:val="002C7710"/>
    <w:rsid w:val="0030096D"/>
    <w:rsid w:val="0030479F"/>
    <w:rsid w:val="00317618"/>
    <w:rsid w:val="00353DFF"/>
    <w:rsid w:val="003F5384"/>
    <w:rsid w:val="004073BC"/>
    <w:rsid w:val="00412609"/>
    <w:rsid w:val="0041602A"/>
    <w:rsid w:val="00427F40"/>
    <w:rsid w:val="00444AA1"/>
    <w:rsid w:val="00462205"/>
    <w:rsid w:val="00462D0B"/>
    <w:rsid w:val="00466D27"/>
    <w:rsid w:val="004D6DB1"/>
    <w:rsid w:val="00504C52"/>
    <w:rsid w:val="00550C88"/>
    <w:rsid w:val="005759EF"/>
    <w:rsid w:val="0057717C"/>
    <w:rsid w:val="00582238"/>
    <w:rsid w:val="005900AA"/>
    <w:rsid w:val="005A355E"/>
    <w:rsid w:val="005B25CF"/>
    <w:rsid w:val="005B7D8E"/>
    <w:rsid w:val="005C16D5"/>
    <w:rsid w:val="005D1213"/>
    <w:rsid w:val="005D7437"/>
    <w:rsid w:val="006033E7"/>
    <w:rsid w:val="0061732F"/>
    <w:rsid w:val="006243FF"/>
    <w:rsid w:val="00660C79"/>
    <w:rsid w:val="006843DF"/>
    <w:rsid w:val="00696CE0"/>
    <w:rsid w:val="006B1666"/>
    <w:rsid w:val="006B210F"/>
    <w:rsid w:val="006C03AA"/>
    <w:rsid w:val="006C5881"/>
    <w:rsid w:val="006D16CE"/>
    <w:rsid w:val="00723A9A"/>
    <w:rsid w:val="007503D5"/>
    <w:rsid w:val="00756555"/>
    <w:rsid w:val="00760F9A"/>
    <w:rsid w:val="00766162"/>
    <w:rsid w:val="00775D0B"/>
    <w:rsid w:val="007B4B60"/>
    <w:rsid w:val="007C3509"/>
    <w:rsid w:val="007C3F12"/>
    <w:rsid w:val="007C6DE3"/>
    <w:rsid w:val="007D441B"/>
    <w:rsid w:val="00801105"/>
    <w:rsid w:val="00803C2F"/>
    <w:rsid w:val="00861B46"/>
    <w:rsid w:val="0089134B"/>
    <w:rsid w:val="008A5426"/>
    <w:rsid w:val="008C1A73"/>
    <w:rsid w:val="008D113C"/>
    <w:rsid w:val="008D376F"/>
    <w:rsid w:val="008E651B"/>
    <w:rsid w:val="008F718B"/>
    <w:rsid w:val="00917BB1"/>
    <w:rsid w:val="0096745E"/>
    <w:rsid w:val="00971DA3"/>
    <w:rsid w:val="00975D21"/>
    <w:rsid w:val="00980531"/>
    <w:rsid w:val="009A240D"/>
    <w:rsid w:val="00A4691F"/>
    <w:rsid w:val="00A62CA0"/>
    <w:rsid w:val="00A9349C"/>
    <w:rsid w:val="00AC5D60"/>
    <w:rsid w:val="00AE068C"/>
    <w:rsid w:val="00AF3BFD"/>
    <w:rsid w:val="00B26B28"/>
    <w:rsid w:val="00B41AD7"/>
    <w:rsid w:val="00B42BFF"/>
    <w:rsid w:val="00B46E48"/>
    <w:rsid w:val="00B54CF4"/>
    <w:rsid w:val="00B61ED7"/>
    <w:rsid w:val="00B758D5"/>
    <w:rsid w:val="00B83162"/>
    <w:rsid w:val="00B83669"/>
    <w:rsid w:val="00BC60FB"/>
    <w:rsid w:val="00BD64E8"/>
    <w:rsid w:val="00BE60E1"/>
    <w:rsid w:val="00C204FD"/>
    <w:rsid w:val="00C569B9"/>
    <w:rsid w:val="00C63AF5"/>
    <w:rsid w:val="00C67CFC"/>
    <w:rsid w:val="00CB3B3A"/>
    <w:rsid w:val="00CE4953"/>
    <w:rsid w:val="00CF7EFB"/>
    <w:rsid w:val="00D134AC"/>
    <w:rsid w:val="00D16597"/>
    <w:rsid w:val="00D35448"/>
    <w:rsid w:val="00D661AD"/>
    <w:rsid w:val="00D7574F"/>
    <w:rsid w:val="00DA2069"/>
    <w:rsid w:val="00DA4C20"/>
    <w:rsid w:val="00DC1FC5"/>
    <w:rsid w:val="00DC7029"/>
    <w:rsid w:val="00E01ECC"/>
    <w:rsid w:val="00E245AC"/>
    <w:rsid w:val="00E253AB"/>
    <w:rsid w:val="00E62524"/>
    <w:rsid w:val="00E67C75"/>
    <w:rsid w:val="00E81FB3"/>
    <w:rsid w:val="00EA297B"/>
    <w:rsid w:val="00EB6095"/>
    <w:rsid w:val="00EC6A73"/>
    <w:rsid w:val="00ED3767"/>
    <w:rsid w:val="00ED3EE7"/>
    <w:rsid w:val="00EE4489"/>
    <w:rsid w:val="00F07048"/>
    <w:rsid w:val="00F07AD1"/>
    <w:rsid w:val="00F13387"/>
    <w:rsid w:val="00F15988"/>
    <w:rsid w:val="00F417D5"/>
    <w:rsid w:val="00F60DD8"/>
    <w:rsid w:val="00F72274"/>
    <w:rsid w:val="00F74FFC"/>
    <w:rsid w:val="00F7633E"/>
    <w:rsid w:val="00F83A4F"/>
    <w:rsid w:val="00F96724"/>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CB24"/>
  <w15:chartTrackingRefBased/>
  <w15:docId w15:val="{6B4FDA7A-5ACD-430D-ADD7-F1145C47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LQN1">
    <w:name w:val="LQN1"/>
    <w:basedOn w:val="Normal"/>
    <w:rsid w:val="005B7D8E"/>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3">
    <w:name w:val="LQN3"/>
    <w:basedOn w:val="Normal"/>
    <w:rsid w:val="005B7D8E"/>
    <w:pPr>
      <w:tabs>
        <w:tab w:val="left" w:pos="1304"/>
      </w:tabs>
      <w:spacing w:before="80" w:after="0" w:line="220" w:lineRule="atLeast"/>
      <w:ind w:left="1304" w:hanging="397"/>
      <w:jc w:val="both"/>
    </w:pPr>
    <w:rPr>
      <w:rFonts w:ascii="Times New Roman" w:eastAsia="Times New Roman" w:hAnsi="Times New Roman" w:cs="Times New Roman"/>
      <w:sz w:val="21"/>
      <w:szCs w:val="20"/>
    </w:rPr>
  </w:style>
  <w:style w:type="paragraph" w:styleId="ListParagraph">
    <w:name w:val="List Paragraph"/>
    <w:basedOn w:val="Normal"/>
    <w:uiPriority w:val="34"/>
    <w:qFormat/>
    <w:rsid w:val="005B7D8E"/>
    <w:pPr>
      <w:ind w:left="720"/>
      <w:contextualSpacing/>
    </w:pPr>
  </w:style>
  <w:style w:type="paragraph" w:customStyle="1" w:styleId="paragraph">
    <w:name w:val="paragraph"/>
    <w:basedOn w:val="Normal"/>
    <w:rsid w:val="006B166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B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8396">
      <w:bodyDiv w:val="1"/>
      <w:marLeft w:val="0"/>
      <w:marRight w:val="0"/>
      <w:marTop w:val="0"/>
      <w:marBottom w:val="0"/>
      <w:divBdr>
        <w:top w:val="none" w:sz="0" w:space="0" w:color="auto"/>
        <w:left w:val="none" w:sz="0" w:space="0" w:color="auto"/>
        <w:bottom w:val="none" w:sz="0" w:space="0" w:color="auto"/>
        <w:right w:val="none" w:sz="0" w:space="0" w:color="auto"/>
      </w:divBdr>
    </w:div>
    <w:div w:id="896891377">
      <w:bodyDiv w:val="1"/>
      <w:marLeft w:val="0"/>
      <w:marRight w:val="0"/>
      <w:marTop w:val="0"/>
      <w:marBottom w:val="0"/>
      <w:divBdr>
        <w:top w:val="none" w:sz="0" w:space="0" w:color="auto"/>
        <w:left w:val="none" w:sz="0" w:space="0" w:color="auto"/>
        <w:bottom w:val="none" w:sz="0" w:space="0" w:color="auto"/>
        <w:right w:val="none" w:sz="0" w:space="0" w:color="auto"/>
      </w:divBdr>
    </w:div>
    <w:div w:id="898705591">
      <w:bodyDiv w:val="1"/>
      <w:marLeft w:val="0"/>
      <w:marRight w:val="0"/>
      <w:marTop w:val="0"/>
      <w:marBottom w:val="0"/>
      <w:divBdr>
        <w:top w:val="none" w:sz="0" w:space="0" w:color="auto"/>
        <w:left w:val="none" w:sz="0" w:space="0" w:color="auto"/>
        <w:bottom w:val="none" w:sz="0" w:space="0" w:color="auto"/>
        <w:right w:val="none" w:sz="0" w:space="0" w:color="auto"/>
      </w:divBdr>
    </w:div>
    <w:div w:id="1351646230">
      <w:bodyDiv w:val="1"/>
      <w:marLeft w:val="0"/>
      <w:marRight w:val="0"/>
      <w:marTop w:val="0"/>
      <w:marBottom w:val="0"/>
      <w:divBdr>
        <w:top w:val="none" w:sz="0" w:space="0" w:color="auto"/>
        <w:left w:val="none" w:sz="0" w:space="0" w:color="auto"/>
        <w:bottom w:val="none" w:sz="0" w:space="0" w:color="auto"/>
        <w:right w:val="none" w:sz="0" w:space="0" w:color="auto"/>
      </w:divBdr>
    </w:div>
    <w:div w:id="21460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No</Correctonguidancetrack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8E6E98C6-70A1-48D7-A9B9-7B5418DAC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5CCA-BC1A-4FEF-9B84-1B4E42172721}">
  <ds:schemaRefs>
    <ds:schemaRef ds:uri="http://schemas.microsoft.com/office/infopath/2007/PartnerControls"/>
    <ds:schemaRef ds:uri="http://schemas.microsoft.com/office/2006/metadata/properties"/>
    <ds:schemaRef ds:uri="7dd4d6b0-2bd1-40f7-94aa-8d4785e79023"/>
    <ds:schemaRef ds:uri="ce5b52f7-9556-48ad-bf4f-1238de82834a"/>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SEPA_word_template_no_cover.dotx</Template>
  <TotalTime>112</TotalTime>
  <Pages>1</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46</cp:revision>
  <cp:lastPrinted>2023-03-23T21:44:00Z</cp:lastPrinted>
  <dcterms:created xsi:type="dcterms:W3CDTF">2024-10-01T17:37:00Z</dcterms:created>
  <dcterms:modified xsi:type="dcterms:W3CDTF">2025-05-01T14:40:00Z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