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theme="majorBidi"/>
          <w:b/>
          <w:color w:val="016574" w:themeColor="accent2"/>
          <w:sz w:val="32"/>
          <w:szCs w:val="26"/>
        </w:rPr>
        <w:id w:val="-191923907"/>
        <w:docPartObj>
          <w:docPartGallery w:val="Cover Pages"/>
          <w:docPartUnique/>
        </w:docPartObj>
      </w:sdtPr>
      <w:sdtEndPr/>
      <w:sdtContent>
        <w:p w14:paraId="7667B6C2" w14:textId="77777777" w:rsidR="00ED3EE7" w:rsidRDefault="00CF7EFB" w:rsidP="00ED3EE7">
          <w:r>
            <w:rPr>
              <w:noProof/>
            </w:rPr>
            <w:drawing>
              <wp:inline distT="0" distB="0" distL="0" distR="0" wp14:anchorId="28D1AE60" wp14:editId="0F1B69A7">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3DB2E23" w14:textId="77777777" w:rsidR="00ED3EE7" w:rsidRDefault="00ED3EE7" w:rsidP="00ED3EE7">
          <w:pPr>
            <w:pStyle w:val="Heading1"/>
          </w:pPr>
        </w:p>
        <w:p w14:paraId="429F8184" w14:textId="77777777" w:rsidR="00115D9E" w:rsidRPr="00115D9E" w:rsidRDefault="00115D9E" w:rsidP="00115D9E">
          <w:pPr>
            <w:pStyle w:val="Heading2"/>
            <w:rPr>
              <w:rFonts w:cs="Arial"/>
              <w:sz w:val="48"/>
              <w:szCs w:val="48"/>
            </w:rPr>
          </w:pPr>
          <w:r w:rsidRPr="00115D9E">
            <w:rPr>
              <w:rFonts w:cs="Arial"/>
              <w:sz w:val="48"/>
              <w:szCs w:val="48"/>
            </w:rPr>
            <w:t>MACS Technical Guide - Guidance on MACS audits for MPFF authorisation holders</w:t>
          </w:r>
        </w:p>
        <w:p w14:paraId="3292E364" w14:textId="77777777" w:rsidR="00191573" w:rsidRDefault="00191573" w:rsidP="00191573">
          <w:pPr>
            <w:pStyle w:val="Reportheader"/>
            <w:rPr>
              <w:rFonts w:ascii="Arial" w:hAnsi="Arial" w:cs="Arial"/>
              <w:sz w:val="32"/>
              <w:szCs w:val="32"/>
            </w:rPr>
          </w:pPr>
          <w:r>
            <w:rPr>
              <w:rFonts w:ascii="Arial" w:hAnsi="Arial" w:cs="Arial"/>
              <w:sz w:val="32"/>
              <w:szCs w:val="32"/>
            </w:rPr>
            <w:t>MACS-FFA-TG-02</w:t>
          </w:r>
        </w:p>
        <w:p w14:paraId="482A2F0C" w14:textId="77777777" w:rsidR="00191573" w:rsidRDefault="00191573" w:rsidP="00191573">
          <w:pPr>
            <w:pStyle w:val="Reportheader"/>
            <w:rPr>
              <w:rFonts w:ascii="Arial" w:hAnsi="Arial" w:cs="Arial"/>
              <w:sz w:val="32"/>
              <w:szCs w:val="32"/>
            </w:rPr>
          </w:pPr>
          <w:r>
            <w:rPr>
              <w:rFonts w:ascii="Arial" w:hAnsi="Arial" w:cs="Arial"/>
              <w:sz w:val="32"/>
              <w:szCs w:val="32"/>
            </w:rPr>
            <w:t>Version 1 │ February 2026</w:t>
          </w:r>
        </w:p>
        <w:p w14:paraId="638B17EC" w14:textId="77777777" w:rsidR="00F64E01" w:rsidRDefault="00ED3EE7" w:rsidP="00E925A2">
          <w:pPr>
            <w:pStyle w:val="Footer"/>
            <w:ind w:right="360"/>
            <w:rPr>
              <w:rFonts w:eastAsia="Arial"/>
              <w:b/>
              <w:bCs/>
              <w:sz w:val="32"/>
              <w:szCs w:val="32"/>
            </w:rPr>
          </w:pPr>
          <w:r>
            <w:rPr>
              <w:noProof/>
            </w:rPr>
            <mc:AlternateContent>
              <mc:Choice Requires="wps">
                <w:drawing>
                  <wp:anchor distT="0" distB="0" distL="114300" distR="114300" simplePos="0" relativeHeight="251668480" behindDoc="0" locked="0" layoutInCell="1" allowOverlap="1" wp14:anchorId="29B0D7CD" wp14:editId="0053ACCB">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85930"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2A6784DF" w14:textId="07AB40DE" w:rsidR="00F64E01" w:rsidRPr="0023648B" w:rsidRDefault="00AB7028" w:rsidP="00E925A2">
          <w:pPr>
            <w:pStyle w:val="Footer"/>
            <w:ind w:right="360"/>
            <w:rPr>
              <w:rFonts w:eastAsia="Arial"/>
              <w:b/>
              <w:bCs/>
              <w:color w:val="016574" w:themeColor="accent6"/>
              <w:sz w:val="32"/>
              <w:szCs w:val="32"/>
            </w:rPr>
          </w:pPr>
          <w:r w:rsidRPr="0023648B">
            <w:rPr>
              <w:rFonts w:eastAsia="Arial"/>
              <w:b/>
              <w:bCs/>
              <w:color w:val="016574" w:themeColor="accent6"/>
              <w:sz w:val="32"/>
              <w:szCs w:val="32"/>
            </w:rPr>
            <w:t xml:space="preserve">Version </w:t>
          </w:r>
          <w:r w:rsidR="00A35758">
            <w:rPr>
              <w:rFonts w:eastAsia="Arial"/>
              <w:b/>
              <w:bCs/>
              <w:color w:val="016574" w:themeColor="accent6"/>
              <w:sz w:val="32"/>
              <w:szCs w:val="32"/>
            </w:rPr>
            <w:t>control</w:t>
          </w:r>
        </w:p>
        <w:tbl>
          <w:tblPr>
            <w:tblStyle w:val="TableGrid"/>
            <w:tblW w:w="0" w:type="auto"/>
            <w:jc w:val="center"/>
            <w:tblLook w:val="04A0" w:firstRow="1" w:lastRow="0" w:firstColumn="1" w:lastColumn="0" w:noHBand="0" w:noVBand="1"/>
          </w:tblPr>
          <w:tblGrid>
            <w:gridCol w:w="1457"/>
            <w:gridCol w:w="5411"/>
            <w:gridCol w:w="3344"/>
          </w:tblGrid>
          <w:tr w:rsidR="00AB7028" w14:paraId="165E82B4" w14:textId="77777777" w:rsidTr="00B32C14">
            <w:trPr>
              <w:jc w:val="center"/>
            </w:trPr>
            <w:tc>
              <w:tcPr>
                <w:tcW w:w="1271" w:type="dxa"/>
                <w:shd w:val="clear" w:color="auto" w:fill="016574" w:themeFill="accent6"/>
                <w:vAlign w:val="center"/>
              </w:tcPr>
              <w:p w14:paraId="371AE37B" w14:textId="3A9B8708" w:rsidR="00AB7028" w:rsidRPr="00732945" w:rsidRDefault="0023648B" w:rsidP="00607696">
                <w:pPr>
                  <w:pStyle w:val="Footer"/>
                  <w:spacing w:before="120" w:after="120" w:line="360" w:lineRule="auto"/>
                  <w:ind w:right="360"/>
                  <w:jc w:val="both"/>
                  <w:rPr>
                    <w:rFonts w:eastAsia="Arial"/>
                    <w:b/>
                    <w:bCs/>
                    <w:color w:val="FFFFFF" w:themeColor="background1"/>
                  </w:rPr>
                </w:pPr>
                <w:r w:rsidRPr="00732945">
                  <w:rPr>
                    <w:rFonts w:eastAsia="Arial"/>
                    <w:b/>
                    <w:bCs/>
                    <w:color w:val="FFFFFF" w:themeColor="background1"/>
                  </w:rPr>
                  <w:t>Version number</w:t>
                </w:r>
              </w:p>
            </w:tc>
            <w:tc>
              <w:tcPr>
                <w:tcW w:w="5537" w:type="dxa"/>
                <w:shd w:val="clear" w:color="auto" w:fill="016574" w:themeFill="accent6"/>
                <w:vAlign w:val="center"/>
              </w:tcPr>
              <w:p w14:paraId="1D95AF57" w14:textId="1913DC64" w:rsidR="00AB7028" w:rsidRPr="00732945" w:rsidRDefault="0023648B" w:rsidP="00607696">
                <w:pPr>
                  <w:pStyle w:val="Footer"/>
                  <w:spacing w:before="120" w:after="120" w:line="360" w:lineRule="auto"/>
                  <w:ind w:right="360"/>
                  <w:jc w:val="both"/>
                  <w:rPr>
                    <w:rFonts w:eastAsia="Arial"/>
                    <w:b/>
                    <w:bCs/>
                    <w:color w:val="FFFFFF" w:themeColor="background1"/>
                  </w:rPr>
                </w:pPr>
                <w:r w:rsidRPr="00732945">
                  <w:rPr>
                    <w:rFonts w:eastAsia="Arial"/>
                    <w:b/>
                    <w:bCs/>
                    <w:color w:val="FFFFFF" w:themeColor="background1"/>
                  </w:rPr>
                  <w:t>Reason for change</w:t>
                </w:r>
              </w:p>
            </w:tc>
            <w:tc>
              <w:tcPr>
                <w:tcW w:w="3404" w:type="dxa"/>
                <w:shd w:val="clear" w:color="auto" w:fill="016574" w:themeFill="accent6"/>
                <w:vAlign w:val="center"/>
              </w:tcPr>
              <w:p w14:paraId="1274654A" w14:textId="1083BFDF" w:rsidR="00AB7028" w:rsidRPr="00732945" w:rsidRDefault="0023648B" w:rsidP="00607696">
                <w:pPr>
                  <w:pStyle w:val="Footer"/>
                  <w:spacing w:before="120" w:after="120" w:line="360" w:lineRule="auto"/>
                  <w:ind w:right="357"/>
                  <w:jc w:val="both"/>
                  <w:rPr>
                    <w:rFonts w:eastAsia="Arial"/>
                    <w:b/>
                    <w:bCs/>
                    <w:color w:val="FFFFFF" w:themeColor="background1"/>
                  </w:rPr>
                </w:pPr>
                <w:r w:rsidRPr="00732945">
                  <w:rPr>
                    <w:rFonts w:eastAsia="Arial"/>
                    <w:b/>
                    <w:bCs/>
                    <w:color w:val="FFFFFF" w:themeColor="background1"/>
                  </w:rPr>
                  <w:t>Last revised</w:t>
                </w:r>
              </w:p>
            </w:tc>
          </w:tr>
          <w:tr w:rsidR="00AB7028" w14:paraId="2A2B7AF8" w14:textId="77777777" w:rsidTr="00B32C14">
            <w:trPr>
              <w:jc w:val="center"/>
            </w:trPr>
            <w:tc>
              <w:tcPr>
                <w:tcW w:w="1271" w:type="dxa"/>
                <w:vAlign w:val="center"/>
              </w:tcPr>
              <w:p w14:paraId="42C8FD6C" w14:textId="290A4137" w:rsidR="00AB7028" w:rsidRPr="00732945" w:rsidRDefault="00732945" w:rsidP="00607696">
                <w:pPr>
                  <w:pStyle w:val="Footer"/>
                  <w:spacing w:before="120" w:after="120" w:line="360" w:lineRule="auto"/>
                  <w:ind w:right="360"/>
                  <w:jc w:val="both"/>
                  <w:rPr>
                    <w:rFonts w:eastAsia="Arial"/>
                  </w:rPr>
                </w:pPr>
                <w:r w:rsidRPr="00732945">
                  <w:rPr>
                    <w:rFonts w:eastAsia="Arial"/>
                  </w:rPr>
                  <w:t>1</w:t>
                </w:r>
              </w:p>
            </w:tc>
            <w:tc>
              <w:tcPr>
                <w:tcW w:w="5537" w:type="dxa"/>
                <w:vAlign w:val="center"/>
              </w:tcPr>
              <w:p w14:paraId="33AEDD65" w14:textId="4846F99B" w:rsidR="00AB7028" w:rsidRPr="00732945" w:rsidRDefault="00732945" w:rsidP="00607696">
                <w:pPr>
                  <w:pStyle w:val="Footer"/>
                  <w:spacing w:before="120" w:after="120" w:line="360" w:lineRule="auto"/>
                  <w:ind w:right="360"/>
                  <w:jc w:val="both"/>
                  <w:rPr>
                    <w:rFonts w:eastAsia="Arial"/>
                  </w:rPr>
                </w:pPr>
                <w:r w:rsidRPr="00732945">
                  <w:rPr>
                    <w:rFonts w:eastAsia="Arial"/>
                  </w:rPr>
                  <w:t>New document</w:t>
                </w:r>
              </w:p>
            </w:tc>
            <w:tc>
              <w:tcPr>
                <w:tcW w:w="3404" w:type="dxa"/>
                <w:vAlign w:val="center"/>
              </w:tcPr>
              <w:p w14:paraId="56703844" w14:textId="28C089FA" w:rsidR="00AB7028" w:rsidRPr="00732945" w:rsidRDefault="00732945" w:rsidP="00607696">
                <w:pPr>
                  <w:pStyle w:val="Footer"/>
                  <w:spacing w:before="120" w:after="120" w:line="360" w:lineRule="auto"/>
                  <w:ind w:right="360"/>
                  <w:jc w:val="both"/>
                  <w:rPr>
                    <w:rFonts w:eastAsia="Arial"/>
                  </w:rPr>
                </w:pPr>
                <w:r w:rsidRPr="00732945">
                  <w:rPr>
                    <w:rFonts w:eastAsia="Arial"/>
                  </w:rPr>
                  <w:t>February 2026</w:t>
                </w:r>
              </w:p>
            </w:tc>
          </w:tr>
        </w:tbl>
        <w:p w14:paraId="1C1F9D2B" w14:textId="77777777" w:rsidR="00F64E01" w:rsidRDefault="00F64E01" w:rsidP="00E925A2">
          <w:pPr>
            <w:pStyle w:val="Footer"/>
            <w:ind w:right="360"/>
            <w:rPr>
              <w:rFonts w:eastAsia="Arial"/>
              <w:b/>
              <w:bCs/>
              <w:sz w:val="32"/>
              <w:szCs w:val="32"/>
            </w:rPr>
          </w:pPr>
        </w:p>
        <w:p w14:paraId="5B4EE370" w14:textId="77777777" w:rsidR="00F64E01" w:rsidRDefault="00F64E01" w:rsidP="00E925A2">
          <w:pPr>
            <w:pStyle w:val="Footer"/>
            <w:ind w:right="360"/>
            <w:rPr>
              <w:rFonts w:eastAsia="Arial"/>
              <w:b/>
              <w:bCs/>
              <w:sz w:val="32"/>
              <w:szCs w:val="32"/>
            </w:rPr>
          </w:pPr>
        </w:p>
        <w:p w14:paraId="293F91BF" w14:textId="77777777" w:rsidR="00F64E01" w:rsidRDefault="00F64E01" w:rsidP="00E925A2">
          <w:pPr>
            <w:pStyle w:val="Footer"/>
            <w:ind w:right="360"/>
            <w:rPr>
              <w:rFonts w:eastAsia="Arial"/>
              <w:b/>
              <w:bCs/>
              <w:sz w:val="32"/>
              <w:szCs w:val="32"/>
            </w:rPr>
          </w:pPr>
        </w:p>
        <w:p w14:paraId="1E26F25F" w14:textId="77777777" w:rsidR="00F64E01" w:rsidRDefault="00F64E01" w:rsidP="00E925A2">
          <w:pPr>
            <w:pStyle w:val="Footer"/>
            <w:ind w:right="360"/>
            <w:rPr>
              <w:rFonts w:eastAsia="Arial"/>
              <w:b/>
              <w:bCs/>
              <w:sz w:val="32"/>
              <w:szCs w:val="32"/>
            </w:rPr>
          </w:pPr>
        </w:p>
        <w:p w14:paraId="6E3AD603" w14:textId="77777777" w:rsidR="00F64E01" w:rsidRDefault="00F64E01" w:rsidP="00E925A2">
          <w:pPr>
            <w:pStyle w:val="Footer"/>
            <w:ind w:right="360"/>
            <w:rPr>
              <w:rFonts w:eastAsia="Arial"/>
              <w:b/>
              <w:bCs/>
              <w:sz w:val="32"/>
              <w:szCs w:val="32"/>
            </w:rPr>
          </w:pPr>
        </w:p>
        <w:p w14:paraId="115CFD1A" w14:textId="77777777" w:rsidR="00F64E01" w:rsidRDefault="00F64E01" w:rsidP="00E925A2">
          <w:pPr>
            <w:pStyle w:val="Footer"/>
            <w:ind w:right="360"/>
            <w:rPr>
              <w:rFonts w:eastAsia="Arial"/>
              <w:b/>
              <w:bCs/>
              <w:sz w:val="32"/>
              <w:szCs w:val="32"/>
            </w:rPr>
          </w:pPr>
        </w:p>
        <w:p w14:paraId="2A173166" w14:textId="77777777" w:rsidR="00F64E01" w:rsidRDefault="00F64E01" w:rsidP="00E925A2">
          <w:pPr>
            <w:pStyle w:val="Footer"/>
            <w:ind w:right="360"/>
            <w:rPr>
              <w:rFonts w:eastAsia="Arial"/>
              <w:b/>
              <w:bCs/>
              <w:sz w:val="32"/>
              <w:szCs w:val="32"/>
            </w:rPr>
          </w:pPr>
        </w:p>
        <w:p w14:paraId="5B715A63" w14:textId="77777777" w:rsidR="00F64E01" w:rsidRDefault="00F64E01" w:rsidP="00E925A2">
          <w:pPr>
            <w:pStyle w:val="Footer"/>
            <w:ind w:right="360"/>
            <w:rPr>
              <w:rFonts w:eastAsia="Arial"/>
              <w:b/>
              <w:bCs/>
              <w:sz w:val="32"/>
              <w:szCs w:val="32"/>
            </w:rPr>
          </w:pPr>
        </w:p>
        <w:p w14:paraId="62381CA1" w14:textId="7D5E670C" w:rsidR="00117467" w:rsidRDefault="00117467" w:rsidP="00C9704B">
          <w:pPr>
            <w:pStyle w:val="Footer"/>
            <w:ind w:right="360"/>
          </w:pPr>
          <w:r w:rsidRPr="00F64E01">
            <w:rPr>
              <w:rFonts w:eastAsia="Arial"/>
              <w:sz w:val="32"/>
              <w:szCs w:val="32"/>
            </w:rPr>
            <w:t xml:space="preserve">If you would like this document in an accessible format, such as large print, audio recording or braille, please contact SEPA by emailing </w:t>
          </w:r>
          <w:hyperlink r:id="rId9">
            <w:r w:rsidRPr="00F64E01">
              <w:rPr>
                <w:rStyle w:val="Hyperlink"/>
                <w:rFonts w:ascii="Arial" w:eastAsia="Arial" w:hAnsi="Arial" w:cs="Arial"/>
                <w:color w:val="016574" w:themeColor="accent6"/>
                <w:sz w:val="32"/>
                <w:szCs w:val="32"/>
              </w:rPr>
              <w:t>equalities@sepa.org.uk</w:t>
            </w:r>
          </w:hyperlink>
          <w:r w:rsidR="00E925A2" w:rsidRPr="00F64E01">
            <w:t>.</w:t>
          </w:r>
        </w:p>
        <w:p w14:paraId="670B81CF" w14:textId="77777777" w:rsidR="00D503B2" w:rsidRPr="00D503B2" w:rsidRDefault="00D503B2" w:rsidP="00D503B2">
          <w:pPr>
            <w:pStyle w:val="Heading2"/>
            <w:rPr>
              <w:rFonts w:asciiTheme="majorHAnsi" w:hAnsiTheme="majorHAnsi"/>
              <w:sz w:val="40"/>
              <w:szCs w:val="32"/>
            </w:rPr>
          </w:pPr>
          <w:r w:rsidRPr="00D503B2">
            <w:rPr>
              <w:rFonts w:asciiTheme="majorHAnsi" w:hAnsiTheme="majorHAnsi"/>
              <w:sz w:val="40"/>
              <w:szCs w:val="32"/>
            </w:rPr>
            <w:lastRenderedPageBreak/>
            <w:t>Introduction</w:t>
          </w:r>
        </w:p>
        <w:p w14:paraId="73F1285F" w14:textId="77777777" w:rsidR="00E36EA8" w:rsidRPr="00351211" w:rsidRDefault="00E36EA8" w:rsidP="00E36EA8">
          <w:r w:rsidRPr="00351211">
            <w:t xml:space="preserve">Measurement Assurance and Certification Scotland (MACS) </w:t>
          </w:r>
          <w:proofErr w:type="gramStart"/>
          <w:r w:rsidRPr="00351211">
            <w:t>is</w:t>
          </w:r>
          <w:proofErr w:type="gramEnd"/>
          <w:r w:rsidRPr="00351211">
            <w:t xml:space="preserve"> the Scottish Environment Protection Agency’s (SEPA) quality assurance scheme. MACS comprises a range of performance standards designed to ensure that operator monitoring data is fit for regulatory assessment. Its remit extends across the entire monitoring process, from planning and scheduling of monitoring activity to sampling, analysis and data reporting.</w:t>
          </w:r>
        </w:p>
        <w:p w14:paraId="0CC78896" w14:textId="77777777" w:rsidR="00FE5B29" w:rsidRPr="00052064" w:rsidRDefault="00FE5B29" w:rsidP="00FE5B29">
          <w:pPr>
            <w:pStyle w:val="Heading2"/>
            <w:spacing w:line="360" w:lineRule="auto"/>
            <w:rPr>
              <w:rFonts w:asciiTheme="majorHAnsi" w:hAnsiTheme="majorHAnsi" w:cstheme="majorHAnsi"/>
              <w:sz w:val="40"/>
              <w:szCs w:val="40"/>
            </w:rPr>
          </w:pPr>
          <w:r w:rsidRPr="00052064">
            <w:rPr>
              <w:rFonts w:asciiTheme="majorHAnsi" w:hAnsiTheme="majorHAnsi" w:cstheme="majorHAnsi"/>
              <w:sz w:val="40"/>
              <w:szCs w:val="40"/>
            </w:rPr>
            <w:t>Who the guidance is for</w:t>
          </w:r>
        </w:p>
        <w:p w14:paraId="5DCF8987" w14:textId="77777777" w:rsidR="00FE5B29" w:rsidRPr="00351211" w:rsidRDefault="00FE5B29" w:rsidP="00FE5B29">
          <w:r w:rsidRPr="00351211">
            <w:t>This guidance is for holders of Marine Pen Fish Farm</w:t>
          </w:r>
          <w:r>
            <w:t xml:space="preserve"> (MPFF)</w:t>
          </w:r>
          <w:r w:rsidRPr="00351211">
            <w:t xml:space="preserve"> authorisations. As you are authorised to conduct activities which are subject to SEPA’s MACS scheme, you will be routinely audited to ensure adherence to the relevant MACS performance standards referenced in your authorisation.</w:t>
          </w:r>
        </w:p>
        <w:p w14:paraId="7DDBF23B" w14:textId="77777777" w:rsidR="00FE5B29" w:rsidRPr="00351211" w:rsidRDefault="00FE5B29" w:rsidP="00FE5B29">
          <w:r w:rsidRPr="00351211">
            <w:t>Similarly, if you are contracted to undertake sampling and/or analysis on behalf of an authorised person, then you will also be required to participate in the audit process and provide evidence upon request.</w:t>
          </w:r>
        </w:p>
        <w:p w14:paraId="79E8BABD" w14:textId="4A13046A" w:rsidR="00761717" w:rsidRDefault="00FE5B29" w:rsidP="00FE5B29">
          <w:r w:rsidRPr="00351211">
            <w:t>This audit process is designed to assess conformance with the MACS performance standards, which are referenced as a condition in your authorisation. This condition is usually found within section 5.1.1 of your authorisation and will therefore be referenced as such throughout this document. The audit outcomes will be used to assess compliance with Condition 5.1.1 of your authorisation.</w:t>
          </w:r>
        </w:p>
        <w:p w14:paraId="096385DC" w14:textId="60B63D0A" w:rsidR="00FE5B29" w:rsidRDefault="00761717" w:rsidP="00761717">
          <w:pPr>
            <w:spacing w:after="0" w:line="240" w:lineRule="auto"/>
          </w:pPr>
          <w:r>
            <w:br w:type="page"/>
          </w:r>
        </w:p>
        <w:p w14:paraId="6F4D8087" w14:textId="0FE913C4" w:rsidR="00761717" w:rsidRPr="00F30D80" w:rsidRDefault="00761717" w:rsidP="00761717">
          <w:pPr>
            <w:pStyle w:val="Heading2"/>
            <w:spacing w:line="360" w:lineRule="auto"/>
            <w:rPr>
              <w:b w:val="0"/>
              <w:color w:val="3C4741" w:themeColor="text1"/>
            </w:rPr>
          </w:pPr>
          <w:r w:rsidRPr="0028407E">
            <w:rPr>
              <w:rFonts w:asciiTheme="majorHAnsi" w:hAnsiTheme="majorHAnsi" w:cstheme="majorHAnsi"/>
              <w:sz w:val="40"/>
              <w:szCs w:val="40"/>
            </w:rPr>
            <w:lastRenderedPageBreak/>
            <w:t xml:space="preserve">Terms and </w:t>
          </w:r>
          <w:r>
            <w:rPr>
              <w:rFonts w:asciiTheme="majorHAnsi" w:hAnsiTheme="majorHAnsi" w:cstheme="majorHAnsi"/>
              <w:sz w:val="40"/>
              <w:szCs w:val="40"/>
            </w:rPr>
            <w:t>d</w:t>
          </w:r>
          <w:r w:rsidRPr="0028407E">
            <w:rPr>
              <w:rFonts w:asciiTheme="majorHAnsi" w:hAnsiTheme="majorHAnsi" w:cstheme="majorHAnsi"/>
              <w:sz w:val="40"/>
              <w:szCs w:val="40"/>
            </w:rPr>
            <w:t>efinitions</w:t>
          </w:r>
        </w:p>
        <w:p w14:paraId="0B48AF69" w14:textId="77777777" w:rsidR="00761717" w:rsidRDefault="00761717" w:rsidP="00761717">
          <w:pPr>
            <w:pStyle w:val="ListParagraph"/>
            <w:numPr>
              <w:ilvl w:val="0"/>
              <w:numId w:val="13"/>
            </w:numPr>
          </w:pPr>
          <w:r w:rsidRPr="00411B28">
            <w:rPr>
              <w:b/>
              <w:bCs/>
            </w:rPr>
            <w:t xml:space="preserve">Audit </w:t>
          </w:r>
          <w:r>
            <w:rPr>
              <w:b/>
              <w:bCs/>
            </w:rPr>
            <w:t>f</w:t>
          </w:r>
          <w:r w:rsidRPr="00411B28">
            <w:rPr>
              <w:b/>
              <w:bCs/>
            </w:rPr>
            <w:t>inding</w:t>
          </w:r>
          <w:r>
            <w:t>:</w:t>
          </w:r>
          <w:r w:rsidRPr="00351211">
            <w:t xml:space="preserve"> </w:t>
          </w:r>
          <w:r>
            <w:t>n</w:t>
          </w:r>
          <w:r w:rsidRPr="00351211">
            <w:t>on-conformance with the MACS standards discovered during an audit which will either be identified as minor or major.</w:t>
          </w:r>
        </w:p>
        <w:p w14:paraId="7E7E0610" w14:textId="77777777" w:rsidR="00761717" w:rsidRDefault="00761717" w:rsidP="00761717">
          <w:pPr>
            <w:pStyle w:val="ListParagraph"/>
            <w:numPr>
              <w:ilvl w:val="0"/>
              <w:numId w:val="13"/>
            </w:numPr>
          </w:pPr>
          <w:r w:rsidRPr="00D17BD9">
            <w:rPr>
              <w:b/>
            </w:rPr>
            <w:t xml:space="preserve">Audit </w:t>
          </w:r>
          <w:r>
            <w:rPr>
              <w:b/>
            </w:rPr>
            <w:t>o</w:t>
          </w:r>
          <w:r w:rsidRPr="00D17BD9">
            <w:rPr>
              <w:b/>
            </w:rPr>
            <w:t>bservation</w:t>
          </w:r>
          <w:r>
            <w:t>:</w:t>
          </w:r>
          <w:r w:rsidRPr="00351211">
            <w:t xml:space="preserve"> </w:t>
          </w:r>
          <w:r>
            <w:t>c</w:t>
          </w:r>
          <w:r w:rsidRPr="00351211">
            <w:t>overing other comments that may be raised which are not findings. For example, an activity that could not be assessed due to equipment malfunction or an aspect of good practice SEPA would like to highlight.</w:t>
          </w:r>
        </w:p>
        <w:p w14:paraId="43BB997C" w14:textId="77777777" w:rsidR="00761717" w:rsidRDefault="00761717" w:rsidP="00761717">
          <w:pPr>
            <w:pStyle w:val="ListParagraph"/>
            <w:numPr>
              <w:ilvl w:val="0"/>
              <w:numId w:val="13"/>
            </w:numPr>
          </w:pPr>
          <w:r w:rsidRPr="00D17BD9">
            <w:rPr>
              <w:b/>
            </w:rPr>
            <w:t xml:space="preserve">Contracted </w:t>
          </w:r>
          <w:r>
            <w:rPr>
              <w:b/>
            </w:rPr>
            <w:t>s</w:t>
          </w:r>
          <w:r w:rsidRPr="00D17BD9">
            <w:rPr>
              <w:b/>
            </w:rPr>
            <w:t xml:space="preserve">ervice </w:t>
          </w:r>
          <w:r>
            <w:rPr>
              <w:b/>
            </w:rPr>
            <w:t>p</w:t>
          </w:r>
          <w:r w:rsidRPr="00D17BD9">
            <w:rPr>
              <w:b/>
            </w:rPr>
            <w:t>rovider:</w:t>
          </w:r>
          <w:r w:rsidRPr="00351211">
            <w:t xml:space="preserve"> </w:t>
          </w:r>
          <w:r>
            <w:t>a</w:t>
          </w:r>
          <w:r w:rsidRPr="00351211">
            <w:t xml:space="preserve"> contracted service provider is an external individual or organisation engaged through a formal agreement to deliver specific services (i.e., sampling and/or analysis) on your behalf.</w:t>
          </w:r>
        </w:p>
        <w:p w14:paraId="0EFC05B0" w14:textId="77777777" w:rsidR="00761717" w:rsidRDefault="00761717" w:rsidP="00761717">
          <w:pPr>
            <w:pStyle w:val="ListParagraph"/>
            <w:numPr>
              <w:ilvl w:val="0"/>
              <w:numId w:val="13"/>
            </w:numPr>
          </w:pPr>
          <w:r w:rsidRPr="00D17BD9">
            <w:rPr>
              <w:b/>
            </w:rPr>
            <w:t>MACS Compliance Audit Form</w:t>
          </w:r>
          <w:r>
            <w:t>:</w:t>
          </w:r>
          <w:r w:rsidRPr="00351211">
            <w:t xml:space="preserve"> </w:t>
          </w:r>
          <w:r>
            <w:t>a</w:t>
          </w:r>
          <w:r w:rsidRPr="00351211">
            <w:t xml:space="preserve"> SEPA generated form that will be issued to authorised persons for completion. This form serves as the foundation for the remote audit.</w:t>
          </w:r>
        </w:p>
        <w:p w14:paraId="7572EA08" w14:textId="77777777" w:rsidR="00761717" w:rsidRDefault="00761717" w:rsidP="00761717">
          <w:pPr>
            <w:pStyle w:val="ListParagraph"/>
            <w:numPr>
              <w:ilvl w:val="0"/>
              <w:numId w:val="13"/>
            </w:numPr>
          </w:pPr>
          <w:r w:rsidRPr="00D17BD9">
            <w:rPr>
              <w:b/>
              <w:bCs/>
            </w:rPr>
            <w:t>MACS Compliance Audit</w:t>
          </w:r>
          <w:r>
            <w:t>:</w:t>
          </w:r>
          <w:r w:rsidRPr="00351211">
            <w:t xml:space="preserve"> </w:t>
          </w:r>
          <w:r>
            <w:t>a</w:t>
          </w:r>
          <w:r w:rsidRPr="00351211">
            <w:t>udit conducted remotely utilising the completed MACS Compliance Audit Form with the relevant supporting documentation.</w:t>
          </w:r>
        </w:p>
        <w:p w14:paraId="54891E7B" w14:textId="77777777" w:rsidR="00761717" w:rsidRDefault="00761717" w:rsidP="00761717">
          <w:pPr>
            <w:pStyle w:val="ListParagraph"/>
            <w:numPr>
              <w:ilvl w:val="0"/>
              <w:numId w:val="13"/>
            </w:numPr>
          </w:pPr>
          <w:r w:rsidRPr="00D17BD9">
            <w:rPr>
              <w:b/>
            </w:rPr>
            <w:t>MACS Compliance Inspection</w:t>
          </w:r>
          <w:r>
            <w:t>:</w:t>
          </w:r>
          <w:r w:rsidRPr="00351211">
            <w:t xml:space="preserve"> </w:t>
          </w:r>
          <w:r>
            <w:t>a</w:t>
          </w:r>
          <w:r w:rsidRPr="00351211">
            <w:t>udit conducted in person by SEPA personnel attending on site.</w:t>
          </w:r>
        </w:p>
        <w:p w14:paraId="2B632BFA" w14:textId="77777777" w:rsidR="00761717" w:rsidRDefault="00761717" w:rsidP="00761717">
          <w:pPr>
            <w:pStyle w:val="ListParagraph"/>
            <w:numPr>
              <w:ilvl w:val="0"/>
              <w:numId w:val="13"/>
            </w:numPr>
          </w:pPr>
          <w:r w:rsidRPr="00D17BD9">
            <w:rPr>
              <w:b/>
              <w:bCs/>
            </w:rPr>
            <w:t>MACS Audit Report</w:t>
          </w:r>
          <w:r>
            <w:t>:</w:t>
          </w:r>
          <w:r w:rsidRPr="00351211">
            <w:t xml:space="preserve"> </w:t>
          </w:r>
          <w:r>
            <w:t>a</w:t>
          </w:r>
          <w:r w:rsidRPr="00351211">
            <w:t xml:space="preserve"> document compiled by SEPA and shared with you, detailing the audit assessment and any non-conformances identified.</w:t>
          </w:r>
        </w:p>
        <w:p w14:paraId="169AE0C0" w14:textId="77777777" w:rsidR="00761717" w:rsidRDefault="00761717" w:rsidP="00761717">
          <w:pPr>
            <w:pStyle w:val="ListParagraph"/>
            <w:numPr>
              <w:ilvl w:val="0"/>
              <w:numId w:val="13"/>
            </w:numPr>
          </w:pPr>
          <w:r w:rsidRPr="00D17BD9">
            <w:rPr>
              <w:b/>
            </w:rPr>
            <w:t>Non-conformance</w:t>
          </w:r>
          <w:r>
            <w:t>:</w:t>
          </w:r>
          <w:r w:rsidRPr="00351211">
            <w:t xml:space="preserve"> </w:t>
          </w:r>
          <w:r>
            <w:t>a</w:t>
          </w:r>
          <w:r w:rsidRPr="00351211">
            <w:t xml:space="preserve"> failure to adhere to the requirements stated in the relevant MACS performance standards, categorised as either minor or major. See below for definitions and examples of minor and major non-conformances.</w:t>
          </w:r>
        </w:p>
        <w:p w14:paraId="4EACF1CD" w14:textId="77777777" w:rsidR="00761717" w:rsidRDefault="00761717" w:rsidP="00761717">
          <w:pPr>
            <w:pStyle w:val="ListParagraph"/>
            <w:numPr>
              <w:ilvl w:val="0"/>
              <w:numId w:val="13"/>
            </w:numPr>
          </w:pPr>
          <w:r w:rsidRPr="00D17BD9">
            <w:rPr>
              <w:b/>
              <w:bCs/>
            </w:rPr>
            <w:t>Minor non-conformance</w:t>
          </w:r>
          <w:r>
            <w:rPr>
              <w:b/>
              <w:bCs/>
            </w:rPr>
            <w:t>*</w:t>
          </w:r>
          <w:r>
            <w:t>:</w:t>
          </w:r>
          <w:r w:rsidRPr="00351211">
            <w:t xml:space="preserve"> </w:t>
          </w:r>
          <w:r>
            <w:t>d</w:t>
          </w:r>
          <w:r w:rsidRPr="00351211">
            <w:t xml:space="preserve">efined as a deviation from the MACS standards which does not significantly impact the overall integrity of the data produced. For example, a document overdue it’s periodic review, training records not complete/up to date, calibration documentation not updated to reflect </w:t>
          </w:r>
          <w:proofErr w:type="gramStart"/>
          <w:r w:rsidRPr="00351211">
            <w:t>current status</w:t>
          </w:r>
          <w:proofErr w:type="gramEnd"/>
          <w:r w:rsidRPr="00351211">
            <w:t>.</w:t>
          </w:r>
        </w:p>
        <w:p w14:paraId="5BC52D52" w14:textId="77777777" w:rsidR="00761717" w:rsidRDefault="00761717" w:rsidP="00761717">
          <w:pPr>
            <w:pStyle w:val="ListParagraph"/>
            <w:numPr>
              <w:ilvl w:val="0"/>
              <w:numId w:val="13"/>
            </w:numPr>
          </w:pPr>
          <w:r w:rsidRPr="00D17BD9">
            <w:rPr>
              <w:b/>
              <w:bCs/>
            </w:rPr>
            <w:t>Major non-conformance</w:t>
          </w:r>
          <w:r>
            <w:rPr>
              <w:b/>
              <w:bCs/>
            </w:rPr>
            <w:t>*</w:t>
          </w:r>
          <w:r>
            <w:t>:</w:t>
          </w:r>
          <w:r w:rsidRPr="00351211">
            <w:t xml:space="preserve"> </w:t>
          </w:r>
          <w:r>
            <w:t>d</w:t>
          </w:r>
          <w:r w:rsidRPr="00351211">
            <w:t>efined as a deviation from the MACS standards which does, or has the potential to, significantly impact the overall integrity of the data produced. For example, collecting a sample from the incorrect location, relevant records not being held for the minimum period, or falsification of data.</w:t>
          </w:r>
        </w:p>
        <w:p w14:paraId="400071C5" w14:textId="77777777" w:rsidR="000C62AC" w:rsidRPr="00351211" w:rsidRDefault="000C62AC" w:rsidP="000C62AC">
          <w:pPr>
            <w:pStyle w:val="ListParagraph"/>
            <w:numPr>
              <w:ilvl w:val="0"/>
              <w:numId w:val="13"/>
            </w:numPr>
          </w:pPr>
          <w:r w:rsidRPr="00D17BD9">
            <w:rPr>
              <w:b/>
            </w:rPr>
            <w:lastRenderedPageBreak/>
            <w:t>Non-compliance</w:t>
          </w:r>
          <w:r>
            <w:t>:</w:t>
          </w:r>
          <w:r w:rsidRPr="00351211">
            <w:t xml:space="preserve"> </w:t>
          </w:r>
          <w:r>
            <w:t>w</w:t>
          </w:r>
          <w:r w:rsidRPr="00351211">
            <w:t>here an authorised person does not comply with their obligations in legislation and/or conditions set out in authorisations.</w:t>
          </w:r>
        </w:p>
        <w:p w14:paraId="6C197ACA" w14:textId="77777777" w:rsidR="000C62AC" w:rsidRPr="00742B2E" w:rsidRDefault="000C62AC" w:rsidP="000C62AC">
          <w:pPr>
            <w:pStyle w:val="ListParagraph"/>
            <w:numPr>
              <w:ilvl w:val="0"/>
              <w:numId w:val="13"/>
            </w:numPr>
            <w:rPr>
              <w:color w:val="3C4741" w:themeColor="text1"/>
            </w:rPr>
          </w:pPr>
          <w:r w:rsidRPr="00D17BD9">
            <w:rPr>
              <w:b/>
              <w:bCs/>
            </w:rPr>
            <w:t>SEPA</w:t>
          </w:r>
          <w:r>
            <w:t>: Scottish Environment Protection Agency.</w:t>
          </w:r>
        </w:p>
        <w:p w14:paraId="28888AA0" w14:textId="77777777" w:rsidR="000C62AC" w:rsidRPr="000C62AC" w:rsidRDefault="000C62AC" w:rsidP="000C62AC">
          <w:r w:rsidRPr="000C62AC">
            <w:t>*Each non-conformance will be assessed on a case-by-case basis and categorised as appropriate. As such there may be occasions where examples of minor non-conformances provided above are categorised as major, and vice versa. The examples given above of non-conformances are not exhaustive.</w:t>
          </w:r>
        </w:p>
        <w:p w14:paraId="7AD3DFEC" w14:textId="248A2B37" w:rsidR="000C62AC" w:rsidRPr="00351211" w:rsidRDefault="000C62AC" w:rsidP="000C62AC">
          <w:pPr>
            <w:spacing w:after="0" w:line="240" w:lineRule="auto"/>
          </w:pPr>
          <w:r>
            <w:br w:type="page"/>
          </w:r>
        </w:p>
        <w:p w14:paraId="4589953B" w14:textId="77777777" w:rsidR="00F640B0" w:rsidRPr="0028407E" w:rsidRDefault="00F640B0" w:rsidP="00F640B0">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lastRenderedPageBreak/>
            <w:t>What authorisation holders must do:</w:t>
          </w:r>
        </w:p>
        <w:p w14:paraId="4A2ED13A" w14:textId="77777777" w:rsidR="00F640B0" w:rsidRPr="00077755" w:rsidRDefault="00F640B0" w:rsidP="00F640B0">
          <w:pPr>
            <w:pStyle w:val="ListParagraph"/>
            <w:numPr>
              <w:ilvl w:val="0"/>
              <w:numId w:val="15"/>
            </w:numPr>
          </w:pPr>
          <w:r>
            <w:t>Y</w:t>
          </w:r>
          <w:r w:rsidRPr="00077755">
            <w:t>ou</w:t>
          </w:r>
          <w:r>
            <w:t xml:space="preserve"> are required to complete and return</w:t>
          </w:r>
          <w:r w:rsidRPr="00077755">
            <w:t xml:space="preserve"> the MACS Compliance Audit form</w:t>
          </w:r>
          <w:r>
            <w:t xml:space="preserve"> to</w:t>
          </w:r>
          <w:r w:rsidRPr="00077755">
            <w:t xml:space="preserve"> SEPA within 6 weeks</w:t>
          </w:r>
          <w:r>
            <w:t xml:space="preserve"> of its receipt,</w:t>
          </w:r>
          <w:r w:rsidRPr="00077755">
            <w:t xml:space="preserve"> to the specified SEPA email address</w:t>
          </w:r>
          <w:r>
            <w:t>. The form must be returned</w:t>
          </w:r>
          <w:r w:rsidRPr="00077755">
            <w:t xml:space="preserve"> with appropriate evidence to demonstrate conformance with MACS performance standards.</w:t>
          </w:r>
        </w:p>
        <w:p w14:paraId="011D71EB" w14:textId="77777777" w:rsidR="00F640B0" w:rsidRPr="00077755" w:rsidRDefault="00F640B0" w:rsidP="00F640B0">
          <w:pPr>
            <w:pStyle w:val="ListParagraph"/>
            <w:numPr>
              <w:ilvl w:val="0"/>
              <w:numId w:val="15"/>
            </w:numPr>
          </w:pPr>
          <w:r w:rsidRPr="00077755">
            <w:t>You are responsible for ensuring that any contracted service provider you engage provides all required information in full.</w:t>
          </w:r>
        </w:p>
        <w:p w14:paraId="61A801A9" w14:textId="77777777" w:rsidR="00F640B0" w:rsidRPr="00077755" w:rsidRDefault="00F640B0" w:rsidP="00F640B0">
          <w:pPr>
            <w:pStyle w:val="ListParagraph"/>
            <w:numPr>
              <w:ilvl w:val="0"/>
              <w:numId w:val="15"/>
            </w:numPr>
            <w:ind w:left="714" w:hanging="357"/>
          </w:pPr>
          <w:r>
            <w:t>Y</w:t>
          </w:r>
          <w:r w:rsidRPr="00077755">
            <w:t>ou must</w:t>
          </w:r>
          <w:r>
            <w:t>, following receipt of the Audit Report,</w:t>
          </w:r>
          <w:r w:rsidRPr="00077755">
            <w:t xml:space="preserve"> implement appropriate corrective action to resolve any non-conformances identified during the audit. </w:t>
          </w:r>
        </w:p>
        <w:p w14:paraId="0554A091" w14:textId="77777777" w:rsidR="00F640B0" w:rsidRPr="00077755" w:rsidRDefault="00F640B0" w:rsidP="00F640B0">
          <w:pPr>
            <w:pStyle w:val="ListParagraph"/>
            <w:numPr>
              <w:ilvl w:val="0"/>
              <w:numId w:val="15"/>
            </w:numPr>
            <w:ind w:left="714" w:hanging="357"/>
          </w:pPr>
          <w:r w:rsidRPr="00077755">
            <w:t xml:space="preserve">You must provide evidence that these non-conformances have been resolved within 6 weeks of receiving the Audit Report. </w:t>
          </w:r>
        </w:p>
        <w:p w14:paraId="1AA09665" w14:textId="77777777" w:rsidR="00F640B0" w:rsidRPr="00077755" w:rsidRDefault="00F640B0" w:rsidP="00F640B0">
          <w:pPr>
            <w:pStyle w:val="ListParagraph"/>
            <w:numPr>
              <w:ilvl w:val="0"/>
              <w:numId w:val="15"/>
            </w:numPr>
            <w:ind w:left="714" w:hanging="357"/>
          </w:pPr>
          <w:r w:rsidRPr="00077755">
            <w:t xml:space="preserve">Refer to </w:t>
          </w:r>
          <w:hyperlink w:anchor="_Appendix_1" w:history="1">
            <w:r w:rsidRPr="00077755">
              <w:t>Appendix 1</w:t>
            </w:r>
          </w:hyperlink>
          <w:r w:rsidRPr="00077755">
            <w:t xml:space="preserve"> for a flow diagram of the MACS Compliance Audit process.</w:t>
          </w:r>
        </w:p>
        <w:p w14:paraId="1DB6719E" w14:textId="77777777" w:rsidR="00F640B0" w:rsidRPr="0028407E" w:rsidRDefault="00F640B0" w:rsidP="00F640B0">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t>What SEPA will do:</w:t>
          </w:r>
        </w:p>
        <w:p w14:paraId="7B317477" w14:textId="77777777" w:rsidR="00F640B0" w:rsidRDefault="00F640B0" w:rsidP="00F640B0">
          <w:pPr>
            <w:pStyle w:val="BodyText1"/>
            <w:numPr>
              <w:ilvl w:val="0"/>
              <w:numId w:val="16"/>
            </w:numPr>
            <w:ind w:left="714" w:hanging="357"/>
            <w:contextualSpacing/>
          </w:pPr>
          <w:r>
            <w:t>SEPA will assess the information provided by you/contracted service providers against the MACS performance standards and then compile and share the Audit Report.</w:t>
          </w:r>
        </w:p>
        <w:p w14:paraId="334DF0AB" w14:textId="77777777" w:rsidR="00F640B0" w:rsidRDefault="00F640B0" w:rsidP="00F640B0">
          <w:pPr>
            <w:pStyle w:val="BodyText1"/>
            <w:numPr>
              <w:ilvl w:val="0"/>
              <w:numId w:val="16"/>
            </w:numPr>
            <w:ind w:left="714" w:hanging="357"/>
            <w:contextualSpacing/>
          </w:pPr>
          <w:r>
            <w:t>SEPA will designate any identified non-conformances as either minor or major, and we will highlight them within the Audit Report.</w:t>
          </w:r>
        </w:p>
        <w:p w14:paraId="50169847" w14:textId="77777777" w:rsidR="00F640B0" w:rsidRDefault="00F640B0" w:rsidP="00F640B0">
          <w:pPr>
            <w:pStyle w:val="BodyText1"/>
            <w:numPr>
              <w:ilvl w:val="0"/>
              <w:numId w:val="16"/>
            </w:numPr>
            <w:ind w:left="714" w:hanging="357"/>
            <w:contextualSpacing/>
          </w:pPr>
          <w:r>
            <w:t xml:space="preserve">In the case of major non-conformances, SEPA may attend in person and conduct a full MACS Compliance Inspection of </w:t>
          </w:r>
          <w:r w:rsidRPr="002D3F22">
            <w:t>your processes</w:t>
          </w:r>
          <w:r>
            <w:t xml:space="preserve"> and/or that of contracted service provider(s).</w:t>
          </w:r>
        </w:p>
        <w:p w14:paraId="0DDCB290" w14:textId="77777777" w:rsidR="00F640B0" w:rsidRDefault="00F640B0" w:rsidP="00F640B0">
          <w:pPr>
            <w:pStyle w:val="BodyText1"/>
            <w:numPr>
              <w:ilvl w:val="0"/>
              <w:numId w:val="16"/>
            </w:numPr>
            <w:ind w:left="714" w:hanging="357"/>
            <w:contextualSpacing/>
          </w:pPr>
          <w:r>
            <w:t>In addition, SEPA may conduct a MACS Compliance Inspection in other circumstances</w:t>
          </w:r>
          <w:r w:rsidRPr="00332FFB">
            <w:rPr>
              <w:vertAlign w:val="superscript"/>
            </w:rPr>
            <w:t>*</w:t>
          </w:r>
          <w:r>
            <w:t>, for example:</w:t>
          </w:r>
        </w:p>
        <w:p w14:paraId="66BAFED3" w14:textId="77777777" w:rsidR="00F640B0" w:rsidRDefault="00F640B0" w:rsidP="00F640B0">
          <w:pPr>
            <w:pStyle w:val="BodyText1"/>
            <w:numPr>
              <w:ilvl w:val="1"/>
              <w:numId w:val="16"/>
            </w:numPr>
            <w:contextualSpacing/>
          </w:pPr>
          <w:r>
            <w:t>The MACS Compliance Audit Form is returned late, not returned at all, or returned incomplete.</w:t>
          </w:r>
        </w:p>
        <w:p w14:paraId="2ECECD8E" w14:textId="77777777" w:rsidR="00F640B0" w:rsidRDefault="00F640B0" w:rsidP="00F640B0">
          <w:pPr>
            <w:pStyle w:val="BodyText1"/>
            <w:numPr>
              <w:ilvl w:val="1"/>
              <w:numId w:val="16"/>
            </w:numPr>
            <w:contextualSpacing/>
          </w:pPr>
          <w:r>
            <w:t>You supply information that lacks necessary detail to allow SEPA to assess conformance.</w:t>
          </w:r>
        </w:p>
        <w:p w14:paraId="4EB07F73" w14:textId="77777777" w:rsidR="00F640B0" w:rsidRDefault="00F640B0" w:rsidP="00F640B0">
          <w:pPr>
            <w:pStyle w:val="BodyText1"/>
            <w:numPr>
              <w:ilvl w:val="1"/>
              <w:numId w:val="16"/>
            </w:numPr>
            <w:contextualSpacing/>
          </w:pPr>
          <w:r>
            <w:t>You fail to engage with the audit process at any stage.</w:t>
          </w:r>
        </w:p>
        <w:p w14:paraId="641647D3" w14:textId="77777777" w:rsidR="00F640B0" w:rsidRPr="00492679" w:rsidRDefault="00F640B0" w:rsidP="00F640B0">
          <w:pPr>
            <w:pStyle w:val="BodyText1"/>
            <w:contextualSpacing/>
            <w:rPr>
              <w:sz w:val="20"/>
              <w:szCs w:val="20"/>
            </w:rPr>
          </w:pPr>
          <w:r w:rsidRPr="00492679">
            <w:rPr>
              <w:sz w:val="22"/>
              <w:szCs w:val="22"/>
            </w:rPr>
            <w:lastRenderedPageBreak/>
            <w:t>*Please note</w:t>
          </w:r>
          <w:r>
            <w:rPr>
              <w:sz w:val="22"/>
              <w:szCs w:val="22"/>
            </w:rPr>
            <w:t>,</w:t>
          </w:r>
          <w:r w:rsidRPr="00492679">
            <w:rPr>
              <w:sz w:val="22"/>
              <w:szCs w:val="22"/>
            </w:rPr>
            <w:t xml:space="preserve"> this list is not exhaustive.</w:t>
          </w:r>
        </w:p>
        <w:p w14:paraId="45CE5CD1" w14:textId="77777777" w:rsidR="00F640B0" w:rsidRDefault="00F640B0" w:rsidP="00F640B0">
          <w:pPr>
            <w:pStyle w:val="BodyText1"/>
            <w:numPr>
              <w:ilvl w:val="0"/>
              <w:numId w:val="16"/>
            </w:numPr>
            <w:ind w:left="714" w:hanging="357"/>
            <w:contextualSpacing/>
          </w:pPr>
          <w:r>
            <w:t xml:space="preserve">SEPA will </w:t>
          </w:r>
          <w:proofErr w:type="gramStart"/>
          <w:r>
            <w:t>make an assessment of</w:t>
          </w:r>
          <w:proofErr w:type="gramEnd"/>
          <w:r>
            <w:t xml:space="preserve"> compliance at the end of the MACS Compliance Audit process.</w:t>
          </w:r>
        </w:p>
        <w:p w14:paraId="18CB9EBC" w14:textId="77777777" w:rsidR="00F640B0" w:rsidRPr="00FE0E9C" w:rsidRDefault="00F640B0" w:rsidP="00F640B0">
          <w:pPr>
            <w:pStyle w:val="BodyText1"/>
            <w:numPr>
              <w:ilvl w:val="0"/>
              <w:numId w:val="16"/>
            </w:numPr>
            <w:ind w:left="714" w:hanging="357"/>
            <w:contextualSpacing/>
          </w:pPr>
          <w:r>
            <w:t>SEPA will limit audits</w:t>
          </w:r>
          <w:r w:rsidRPr="00D059AD">
            <w:t xml:space="preserve"> to sites where monitoring has been performed in the last 12 months or is planned to take place in the next 12 months.</w:t>
          </w:r>
        </w:p>
        <w:p w14:paraId="18F33443" w14:textId="56955FD9" w:rsidR="00D503B2" w:rsidRDefault="00F640B0" w:rsidP="00F640B0">
          <w:pPr>
            <w:pStyle w:val="Heading2"/>
          </w:pPr>
          <w:r w:rsidRPr="0028407E">
            <w:rPr>
              <w:rFonts w:asciiTheme="majorHAnsi" w:hAnsiTheme="majorHAnsi" w:cstheme="majorHAnsi"/>
              <w:sz w:val="40"/>
              <w:szCs w:val="40"/>
            </w:rPr>
            <w:t>Audit Outcomes</w:t>
          </w:r>
        </w:p>
        <w:p w14:paraId="13C25F0F" w14:textId="77777777" w:rsidR="00192FE1" w:rsidRPr="00192FE1" w:rsidRDefault="00192FE1" w:rsidP="00192FE1">
          <w:pPr>
            <w:pStyle w:val="Heading3"/>
            <w:rPr>
              <w:color w:val="016574" w:themeColor="accent6"/>
              <w:sz w:val="32"/>
              <w:szCs w:val="32"/>
            </w:rPr>
          </w:pPr>
          <w:r w:rsidRPr="00192FE1">
            <w:rPr>
              <w:color w:val="016574" w:themeColor="accent6"/>
              <w:sz w:val="32"/>
              <w:szCs w:val="32"/>
            </w:rPr>
            <w:t>Audits with no non-conformances</w:t>
          </w:r>
        </w:p>
        <w:p w14:paraId="22C58E47" w14:textId="77777777" w:rsidR="00192FE1" w:rsidRPr="0015276B" w:rsidRDefault="00192FE1" w:rsidP="00192FE1">
          <w:pPr>
            <w:pStyle w:val="ListParagraph"/>
            <w:numPr>
              <w:ilvl w:val="0"/>
              <w:numId w:val="16"/>
            </w:numPr>
          </w:pPr>
          <w:r w:rsidRPr="0015276B">
            <w:t>An audit report will be prepared and sent to you via email for your review.</w:t>
          </w:r>
        </w:p>
        <w:p w14:paraId="0FF00CBE" w14:textId="77777777" w:rsidR="00192FE1" w:rsidRPr="00192FE1" w:rsidRDefault="00192FE1" w:rsidP="00192FE1">
          <w:pPr>
            <w:pStyle w:val="Heading3"/>
            <w:rPr>
              <w:color w:val="016574" w:themeColor="accent6"/>
              <w:sz w:val="32"/>
              <w:szCs w:val="32"/>
            </w:rPr>
          </w:pPr>
          <w:r w:rsidRPr="00192FE1">
            <w:rPr>
              <w:color w:val="016574" w:themeColor="accent6"/>
              <w:sz w:val="32"/>
              <w:szCs w:val="32"/>
            </w:rPr>
            <w:t>Audits with only minor non-conformances</w:t>
          </w:r>
        </w:p>
        <w:p w14:paraId="07258B6D" w14:textId="77777777" w:rsidR="00192FE1" w:rsidRPr="0015276B" w:rsidRDefault="00192FE1" w:rsidP="00192FE1">
          <w:pPr>
            <w:pStyle w:val="ListParagraph"/>
            <w:numPr>
              <w:ilvl w:val="0"/>
              <w:numId w:val="17"/>
            </w:numPr>
          </w:pPr>
          <w:r w:rsidRPr="0015276B">
            <w:t>An audit report will be prepared and sent to you via email, detailing the minor non</w:t>
          </w:r>
          <w:r w:rsidRPr="0015276B">
            <w:noBreakHyphen/>
            <w:t>conformance(s), for your review</w:t>
          </w:r>
          <w:r>
            <w:t>.</w:t>
          </w:r>
        </w:p>
        <w:p w14:paraId="46628321" w14:textId="77777777" w:rsidR="00192FE1" w:rsidRPr="0015276B" w:rsidRDefault="00192FE1" w:rsidP="00192FE1">
          <w:pPr>
            <w:pStyle w:val="ListParagraph"/>
            <w:numPr>
              <w:ilvl w:val="0"/>
              <w:numId w:val="17"/>
            </w:numPr>
          </w:pPr>
          <w:r w:rsidRPr="0015276B">
            <w:t>You must implement suitable corrective action(s) to resolve the non</w:t>
          </w:r>
          <w:r w:rsidRPr="0015276B">
            <w:noBreakHyphen/>
          </w:r>
          <w:proofErr w:type="gramStart"/>
          <w:r w:rsidRPr="0015276B">
            <w:t>conformances, and</w:t>
          </w:r>
          <w:proofErr w:type="gramEnd"/>
          <w:r w:rsidRPr="0015276B">
            <w:t xml:space="preserve"> then provide evidence of implementation to SEPA</w:t>
          </w:r>
          <w:r>
            <w:t>.</w:t>
          </w:r>
        </w:p>
        <w:p w14:paraId="4C4D5B1C" w14:textId="77777777" w:rsidR="00192FE1" w:rsidRPr="0015276B" w:rsidRDefault="00192FE1" w:rsidP="00192FE1">
          <w:r w:rsidRPr="0015276B">
            <w:t>If the</w:t>
          </w:r>
          <w:r w:rsidRPr="0015276B" w:rsidDel="00852C7A">
            <w:t xml:space="preserve"> </w:t>
          </w:r>
          <w:r w:rsidRPr="0015276B">
            <w:t>evidence of corrective action is not provided to SEPA or SEPA feel the non-conformance has not been adequately addressed, the finding will remain assessed as a non</w:t>
          </w:r>
          <w:r w:rsidRPr="0015276B">
            <w:noBreakHyphen/>
            <w:t xml:space="preserve">conformance. Depending on its severity, this may result in the audit being escalated to a MACS Compliance Inspection. </w:t>
          </w:r>
        </w:p>
        <w:p w14:paraId="4EAD1E02" w14:textId="77777777" w:rsidR="00192FE1" w:rsidRPr="00192FE1" w:rsidRDefault="00192FE1" w:rsidP="00192FE1">
          <w:pPr>
            <w:pStyle w:val="Heading3"/>
            <w:rPr>
              <w:color w:val="016574" w:themeColor="accent6"/>
              <w:sz w:val="32"/>
              <w:szCs w:val="32"/>
            </w:rPr>
          </w:pPr>
          <w:r w:rsidRPr="00192FE1">
            <w:rPr>
              <w:color w:val="016574" w:themeColor="accent6"/>
              <w:sz w:val="32"/>
              <w:szCs w:val="32"/>
            </w:rPr>
            <w:t>Audits with major non-conformances</w:t>
          </w:r>
        </w:p>
        <w:p w14:paraId="62650E96" w14:textId="77777777" w:rsidR="00192FE1" w:rsidRPr="0015276B" w:rsidRDefault="00192FE1" w:rsidP="00192FE1">
          <w:pPr>
            <w:pStyle w:val="ListParagraph"/>
            <w:numPr>
              <w:ilvl w:val="0"/>
              <w:numId w:val="18"/>
            </w:numPr>
          </w:pPr>
          <w:r w:rsidRPr="0015276B">
            <w:t>An audit report will be prepared</w:t>
          </w:r>
          <w:r w:rsidRPr="0015276B" w:rsidDel="005D5166">
            <w:t xml:space="preserve"> </w:t>
          </w:r>
          <w:r w:rsidRPr="0015276B">
            <w:t>and sent to you via email, detailing the major non</w:t>
          </w:r>
          <w:r w:rsidRPr="0015276B">
            <w:noBreakHyphen/>
            <w:t>conformance(s) and any minor non-conformance(s).</w:t>
          </w:r>
        </w:p>
        <w:p w14:paraId="59ED84DB" w14:textId="77777777" w:rsidR="00192FE1" w:rsidRDefault="00192FE1" w:rsidP="00192FE1">
          <w:pPr>
            <w:pStyle w:val="ListParagraph"/>
            <w:numPr>
              <w:ilvl w:val="0"/>
              <w:numId w:val="18"/>
            </w:numPr>
          </w:pPr>
          <w:r w:rsidRPr="0015276B">
            <w:t>You will be notified if SEPA will be conducting a MACS Compliance Inspection</w:t>
          </w:r>
          <w:r>
            <w:t xml:space="preserve">. </w:t>
          </w:r>
          <w:r w:rsidRPr="00851AC2">
            <w:t xml:space="preserve">You will be given advance notice of when we plan to attend in </w:t>
          </w:r>
          <w:r>
            <w:t>onsite</w:t>
          </w:r>
          <w:r w:rsidRPr="0015276B">
            <w:t>.</w:t>
          </w:r>
        </w:p>
        <w:p w14:paraId="080EA2C6" w14:textId="77777777" w:rsidR="00192FE1" w:rsidRPr="0015276B" w:rsidRDefault="00192FE1" w:rsidP="00192FE1">
          <w:pPr>
            <w:pStyle w:val="ListParagraph"/>
            <w:numPr>
              <w:ilvl w:val="0"/>
              <w:numId w:val="18"/>
            </w:numPr>
          </w:pPr>
          <w:r>
            <w:t xml:space="preserve">SEPA will aim to </w:t>
          </w:r>
          <w:r w:rsidRPr="00851AC2">
            <w:t>attend for an in-person audit within the 6</w:t>
          </w:r>
          <w:r>
            <w:t>-</w:t>
          </w:r>
          <w:r w:rsidRPr="00851AC2">
            <w:t>week period you have to address the non-conformances</w:t>
          </w:r>
          <w:r>
            <w:t xml:space="preserve">, but we may need to attend </w:t>
          </w:r>
          <w:proofErr w:type="spellStart"/>
          <w:r>
            <w:t>outwith</w:t>
          </w:r>
          <w:proofErr w:type="spellEnd"/>
          <w:r>
            <w:t xml:space="preserve"> this period.</w:t>
          </w:r>
        </w:p>
        <w:p w14:paraId="348737E8" w14:textId="77777777" w:rsidR="00192FE1" w:rsidRDefault="00192FE1" w:rsidP="00192FE1">
          <w:pPr>
            <w:pStyle w:val="ListParagraph"/>
            <w:numPr>
              <w:ilvl w:val="0"/>
              <w:numId w:val="18"/>
            </w:numPr>
          </w:pPr>
          <w:r w:rsidRPr="0015276B">
            <w:lastRenderedPageBreak/>
            <w:t>SEPA will conduct the audit, after which the audit report will be updated. All identified non-conformances will be included in the report for your review and to</w:t>
          </w:r>
          <w:r>
            <w:t xml:space="preserve"> enable you to</w:t>
          </w:r>
          <w:r w:rsidRPr="0015276B">
            <w:t xml:space="preserve"> implement the necessary corrective actions.</w:t>
          </w:r>
        </w:p>
        <w:p w14:paraId="42789F0A" w14:textId="77777777" w:rsidR="00192FE1" w:rsidRPr="0015276B" w:rsidRDefault="00192FE1" w:rsidP="00192FE1">
          <w:pPr>
            <w:pStyle w:val="ListParagraph"/>
            <w:numPr>
              <w:ilvl w:val="0"/>
              <w:numId w:val="18"/>
            </w:numPr>
          </w:pPr>
          <w:r w:rsidRPr="0015276B">
            <w:t>You must implement suitable corrective action(s) to resolve the non</w:t>
          </w:r>
          <w:r w:rsidRPr="0015276B">
            <w:noBreakHyphen/>
            <w:t>conformances and then provide evidence of implementation to SEPA</w:t>
          </w:r>
          <w:r>
            <w:t>.</w:t>
          </w:r>
        </w:p>
        <w:p w14:paraId="287A21B8" w14:textId="77777777" w:rsidR="00192FE1" w:rsidRDefault="00192FE1" w:rsidP="00192FE1">
          <w:r w:rsidRPr="0015276B">
            <w:t>Failure to adequately address any identified non-conformance, whether minor or major, may result in you being assessed as non-compliant with Condition 5.1.1 in your authorisation.</w:t>
          </w:r>
        </w:p>
        <w:p w14:paraId="64461455" w14:textId="77777777" w:rsidR="008538B3" w:rsidRPr="0028407E" w:rsidRDefault="008538B3" w:rsidP="008538B3">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t>Incomplete Audit Forms</w:t>
          </w:r>
        </w:p>
        <w:p w14:paraId="6F86F4CA" w14:textId="77777777" w:rsidR="008538B3" w:rsidRPr="00B26CA1" w:rsidRDefault="008538B3" w:rsidP="008538B3">
          <w:r>
            <w:t>If SEPA don’t receive a completed audit form within 6 weeks or receive a form that lacks sufficient detail and/or evidence to allow assessment of conformance with the MACS performance standards, we will likely proceed with a MACS Compliance Inspection.</w:t>
          </w:r>
        </w:p>
        <w:p w14:paraId="2769E983" w14:textId="77777777" w:rsidR="008538B3" w:rsidRPr="0028407E" w:rsidRDefault="008538B3" w:rsidP="008538B3">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t>Audit Observations</w:t>
          </w:r>
        </w:p>
        <w:p w14:paraId="25301172" w14:textId="77777777" w:rsidR="008538B3" w:rsidRPr="0015276B" w:rsidRDefault="008538B3" w:rsidP="008538B3">
          <w:r w:rsidRPr="0015276B">
            <w:t xml:space="preserve">In addition to non-conformances, other observations may be recorded and included in the audit report. These observations may include suggestions for improvement or examples of good practice, provided they align with MACS standards. </w:t>
          </w:r>
        </w:p>
        <w:p w14:paraId="401A0780" w14:textId="77777777" w:rsidR="008538B3" w:rsidRPr="0028407E" w:rsidRDefault="008538B3" w:rsidP="008538B3">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t>Audit Conclusion</w:t>
          </w:r>
        </w:p>
        <w:p w14:paraId="419E7F1C" w14:textId="77777777" w:rsidR="008538B3" w:rsidRPr="0015276B" w:rsidRDefault="008538B3" w:rsidP="008538B3">
          <w:r w:rsidRPr="00351211">
            <w:t xml:space="preserve">The audit is concluded once the audit report has been shared with SEPA’s compliance team, </w:t>
          </w:r>
          <w:r w:rsidRPr="0015276B">
            <w:t>which will include a recommendation of compliance with Condition 5.1.1.</w:t>
          </w:r>
        </w:p>
        <w:p w14:paraId="787F2531" w14:textId="77777777" w:rsidR="008538B3" w:rsidRPr="0015276B" w:rsidRDefault="008538B3" w:rsidP="008538B3">
          <w:r w:rsidRPr="0015276B">
            <w:t>If no non-conformances are identified during the audit, then we will make a recommendation to the compliance team that you are compliant with the MACS conditions in your authorisation.</w:t>
          </w:r>
        </w:p>
        <w:p w14:paraId="40C2C8B4" w14:textId="77777777" w:rsidR="008538B3" w:rsidRPr="0028407E" w:rsidRDefault="008538B3" w:rsidP="008538B3">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lastRenderedPageBreak/>
            <w:t>Compliance Outcome</w:t>
          </w:r>
        </w:p>
        <w:p w14:paraId="0B9A7DA2" w14:textId="77777777" w:rsidR="008538B3" w:rsidRPr="0015276B" w:rsidRDefault="008538B3" w:rsidP="008538B3">
          <w:r w:rsidRPr="0015276B">
            <w:t>SEPA’s compliance team will make the ultimate decision on compliance with Condition 5.1.1 in your authorisation. The compliance outcome may influence future audit planning, such as determining audit frequency or the decision to proceed directly with in-person audits in the future.</w:t>
          </w:r>
        </w:p>
        <w:p w14:paraId="40D253F8" w14:textId="77777777" w:rsidR="008538B3" w:rsidRPr="0028407E" w:rsidRDefault="008538B3" w:rsidP="008538B3">
          <w:pPr>
            <w:pStyle w:val="Heading2"/>
            <w:spacing w:line="360" w:lineRule="auto"/>
            <w:rPr>
              <w:rFonts w:asciiTheme="majorHAnsi" w:hAnsiTheme="majorHAnsi" w:cstheme="majorHAnsi"/>
              <w:sz w:val="40"/>
              <w:szCs w:val="40"/>
            </w:rPr>
          </w:pPr>
          <w:r w:rsidRPr="0028407E">
            <w:rPr>
              <w:rFonts w:asciiTheme="majorHAnsi" w:hAnsiTheme="majorHAnsi" w:cstheme="majorHAnsi"/>
              <w:sz w:val="40"/>
              <w:szCs w:val="40"/>
            </w:rPr>
            <w:t>About this MACS Technical Guide</w:t>
          </w:r>
        </w:p>
        <w:p w14:paraId="5FEC19B3" w14:textId="77777777" w:rsidR="008538B3" w:rsidRPr="0015276B" w:rsidRDefault="008538B3" w:rsidP="008538B3">
          <w:r w:rsidRPr="0015276B">
            <w:t>This guide is one of a series produced by SEPA to support organisations producing operator monitoring data under MACS. Each guidance document is intended to either: provide participants with assistance on how best to meet a specific requirement of MACS; or give clarity on how SEPA intends to manage a MACS governance process.</w:t>
          </w:r>
        </w:p>
        <w:p w14:paraId="7FA2C23D" w14:textId="77777777" w:rsidR="008538B3" w:rsidRDefault="008538B3" w:rsidP="008538B3">
          <w:pPr>
            <w:rPr>
              <w:color w:val="3C4741" w:themeColor="text1"/>
            </w:rPr>
          </w:pPr>
          <w:r w:rsidRPr="0015276B">
            <w:t>Where any discrepancy exists between a MACS performance standard and this technical guide, then the MACS performance standard takes precedence. All MACS documentation may be subject to review and amendment. For the latest versions of all MACS technical guides, please refer to the SEPA website</w:t>
          </w:r>
          <w:r w:rsidRPr="00823301">
            <w:rPr>
              <w:color w:val="3C4741" w:themeColor="text1"/>
            </w:rPr>
            <w:t>.</w:t>
          </w:r>
        </w:p>
        <w:p w14:paraId="220292AD" w14:textId="77777777" w:rsidR="008538B3" w:rsidRPr="0028407E" w:rsidRDefault="008538B3" w:rsidP="008538B3">
          <w:pPr>
            <w:pStyle w:val="Heading2"/>
            <w:spacing w:after="120" w:line="360" w:lineRule="auto"/>
            <w:rPr>
              <w:rFonts w:asciiTheme="majorHAnsi" w:hAnsiTheme="majorHAnsi" w:cstheme="majorHAnsi"/>
              <w:sz w:val="40"/>
              <w:szCs w:val="40"/>
            </w:rPr>
          </w:pPr>
          <w:r w:rsidRPr="0028407E">
            <w:rPr>
              <w:rFonts w:asciiTheme="majorHAnsi" w:hAnsiTheme="majorHAnsi" w:cstheme="majorHAnsi"/>
              <w:sz w:val="40"/>
              <w:szCs w:val="40"/>
            </w:rPr>
            <w:t>Other Information</w:t>
          </w:r>
        </w:p>
        <w:p w14:paraId="57C1BBB5" w14:textId="77777777" w:rsidR="008538B3" w:rsidRPr="008538B3" w:rsidRDefault="008538B3" w:rsidP="008538B3">
          <w:pPr>
            <w:pStyle w:val="Heading3"/>
            <w:rPr>
              <w:color w:val="016574" w:themeColor="accent6"/>
              <w:sz w:val="32"/>
              <w:szCs w:val="32"/>
            </w:rPr>
          </w:pPr>
          <w:r w:rsidRPr="008538B3">
            <w:rPr>
              <w:color w:val="016574" w:themeColor="accent6"/>
              <w:sz w:val="32"/>
              <w:szCs w:val="32"/>
            </w:rPr>
            <w:t>Freedom of Information</w:t>
          </w:r>
        </w:p>
        <w:p w14:paraId="3E4AE5D2" w14:textId="77777777" w:rsidR="008538B3" w:rsidRPr="0015276B" w:rsidRDefault="008538B3" w:rsidP="008538B3">
          <w:r w:rsidRPr="0015276B">
            <w:t xml:space="preserve">The Environmental Information (Scotland) Regulations 2004 (EIRs) require that environmental information held by SEPA be made available either by proactive publication or on request. As such, the audit report and any information (including evidence and documentation) provided to SEPA, both from authorisation holders and contracted service providers, is subject to Freedom of Information (FOI) if requested. </w:t>
          </w:r>
        </w:p>
        <w:p w14:paraId="5A5F85AD" w14:textId="77777777" w:rsidR="008538B3" w:rsidRPr="0015276B" w:rsidRDefault="008538B3" w:rsidP="008538B3">
          <w:r w:rsidRPr="0015276B">
            <w:t xml:space="preserve">There are exceptions under the EIRs, described in the EIRs Guidance Series (An Overview of the Exceptions). If you believe that information submitted to SEPA falls into one of these exception categories, then you must state this when you supply us with the information, with </w:t>
          </w:r>
          <w:r w:rsidRPr="0015276B">
            <w:lastRenderedPageBreak/>
            <w:t>justification for the exception. SEPA will review these requests on a case-by-case basis, taking public interest into account. The information related to emissions can only be withheld under a restricted number of exceptions. The decision to withhold or release information lies entirely with SEPA.</w:t>
          </w:r>
        </w:p>
        <w:p w14:paraId="1D981644" w14:textId="77777777" w:rsidR="008538B3" w:rsidRPr="0015276B" w:rsidRDefault="008538B3" w:rsidP="008538B3">
          <w:r w:rsidRPr="0015276B">
            <w:t>Please note that, even if SEPA agree that the information is exempt from disclosure, it cannot be guaranteed that information will not be released. If a valid appeal is made to the Scottish Information Commissioner and they issue a Decision Notice, we can be compelled to release information.</w:t>
          </w:r>
        </w:p>
        <w:p w14:paraId="6E9AEF10" w14:textId="77777777" w:rsidR="008538B3" w:rsidRDefault="008538B3" w:rsidP="008538B3">
          <w:pPr>
            <w:spacing w:after="120"/>
          </w:pPr>
          <w:r w:rsidRPr="0015276B">
            <w:t>For further information, please refer to the documents below</w:t>
          </w:r>
          <w:r>
            <w:t>:</w:t>
          </w:r>
        </w:p>
        <w:p w14:paraId="48D23A23" w14:textId="77777777" w:rsidR="008538B3" w:rsidRDefault="008538B3" w:rsidP="008538B3">
          <w:pPr>
            <w:pStyle w:val="ListParagraph"/>
            <w:numPr>
              <w:ilvl w:val="0"/>
              <w:numId w:val="19"/>
            </w:numPr>
            <w:spacing w:after="120"/>
          </w:pPr>
          <w:hyperlink r:id="rId10" w:history="1">
            <w:r w:rsidRPr="002C5776">
              <w:rPr>
                <w:rStyle w:val="Hyperlink"/>
              </w:rPr>
              <w:t>The Environmental Information (Scotland) Regulations 2004 (EIRs)</w:t>
            </w:r>
          </w:hyperlink>
        </w:p>
        <w:p w14:paraId="440D3E56" w14:textId="77777777" w:rsidR="008538B3" w:rsidRDefault="008538B3" w:rsidP="008538B3">
          <w:pPr>
            <w:pStyle w:val="ListParagraph"/>
            <w:numPr>
              <w:ilvl w:val="0"/>
              <w:numId w:val="19"/>
            </w:numPr>
            <w:ind w:left="714" w:hanging="357"/>
          </w:pPr>
          <w:hyperlink r:id="rId11" w:history="1">
            <w:r w:rsidRPr="00A60F00">
              <w:rPr>
                <w:rStyle w:val="Hyperlink"/>
              </w:rPr>
              <w:t>EIRs Guidance Series – An Overview of the Exceptions</w:t>
            </w:r>
          </w:hyperlink>
        </w:p>
        <w:p w14:paraId="4B1D391E" w14:textId="77777777" w:rsidR="008538B3" w:rsidRPr="008538B3" w:rsidRDefault="008538B3" w:rsidP="008538B3">
          <w:pPr>
            <w:pStyle w:val="Heading3"/>
            <w:rPr>
              <w:color w:val="016574" w:themeColor="accent6"/>
              <w:sz w:val="32"/>
              <w:szCs w:val="32"/>
            </w:rPr>
          </w:pPr>
          <w:r w:rsidRPr="008538B3">
            <w:rPr>
              <w:color w:val="016574" w:themeColor="accent6"/>
              <w:sz w:val="32"/>
              <w:szCs w:val="32"/>
            </w:rPr>
            <w:t>How we use your personal information – Data Protection Act 2018 (‘DPA 2018’)</w:t>
          </w:r>
        </w:p>
        <w:p w14:paraId="3B24FF80" w14:textId="77777777" w:rsidR="008538B3" w:rsidRPr="0015276B" w:rsidRDefault="008538B3" w:rsidP="008538B3">
          <w:r w:rsidRPr="0015276B">
            <w:t xml:space="preserve">Under the DPA 2018, we (SEPA) must have a legal basis for processing your information – in this case, processing information is necessary to perform our statutory duties. </w:t>
          </w:r>
        </w:p>
        <w:p w14:paraId="156AB5E8" w14:textId="77777777" w:rsidR="008538B3" w:rsidRDefault="008538B3" w:rsidP="008538B3">
          <w:r w:rsidRPr="0015276B">
            <w:t xml:space="preserve">There may be occasions </w:t>
          </w:r>
          <w:r>
            <w:t>w</w:t>
          </w:r>
          <w:r w:rsidRPr="0015276B">
            <w:t xml:space="preserve">hen we are required by law to share your personal information with other organisations, e.g. for regulatory reasons, or because doing so is in the interest of the </w:t>
          </w:r>
          <w:proofErr w:type="gramStart"/>
          <w:r w:rsidRPr="0015276B">
            <w:t>general public</w:t>
          </w:r>
          <w:proofErr w:type="gramEnd"/>
          <w:r w:rsidRPr="0015276B">
            <w:t>. Any sharing will be carried out lawfully and securely in accordance with the SEPA Data Protection Policy. For more information on how SEPA handles personal information, please refer to our general Privacy Policy</w:t>
          </w:r>
          <w:r>
            <w:t xml:space="preserve"> located on the SEPA website.</w:t>
          </w:r>
          <w:r>
            <w:br w:type="page"/>
          </w:r>
        </w:p>
        <w:p w14:paraId="1DE7371C" w14:textId="77777777" w:rsidR="00F62D85" w:rsidRPr="0028407E" w:rsidRDefault="00F62D85" w:rsidP="00F62D85">
          <w:pPr>
            <w:pStyle w:val="Heading2"/>
            <w:rPr>
              <w:rFonts w:asciiTheme="majorHAnsi" w:hAnsiTheme="majorHAnsi" w:cstheme="majorHAnsi"/>
              <w:sz w:val="40"/>
              <w:szCs w:val="40"/>
            </w:rPr>
          </w:pPr>
          <w:r w:rsidRPr="0028407E">
            <w:rPr>
              <w:rFonts w:asciiTheme="majorHAnsi" w:hAnsiTheme="majorHAnsi" w:cstheme="majorHAnsi"/>
              <w:sz w:val="40"/>
              <w:szCs w:val="40"/>
            </w:rPr>
            <w:lastRenderedPageBreak/>
            <w:t>Appendix 1</w:t>
          </w:r>
        </w:p>
        <w:p w14:paraId="4A39FE18" w14:textId="77777777" w:rsidR="00F62D85" w:rsidRPr="00EE62A1" w:rsidRDefault="00F62D85" w:rsidP="00F62D85">
          <w:pPr>
            <w:pStyle w:val="Heading3"/>
            <w:rPr>
              <w:sz w:val="32"/>
              <w:szCs w:val="32"/>
            </w:rPr>
          </w:pPr>
          <w:r w:rsidRPr="00EE62A1">
            <w:rPr>
              <w:sz w:val="32"/>
              <w:szCs w:val="32"/>
            </w:rPr>
            <w:t>Flow Diagram Depicting “What authorisation holders must do”</w:t>
          </w:r>
        </w:p>
        <w:p w14:paraId="46107B5A" w14:textId="03DEEC18" w:rsidR="00D503B2" w:rsidRDefault="001B4E8A" w:rsidP="00ED3EE7">
          <w:pPr>
            <w:pStyle w:val="Heading2"/>
          </w:pPr>
          <w:r w:rsidRPr="00F4271B">
            <w:rPr>
              <w:noProof/>
            </w:rPr>
            <w:drawing>
              <wp:inline distT="0" distB="0" distL="0" distR="0" wp14:anchorId="1A14001B" wp14:editId="0C54C5CE">
                <wp:extent cx="6071169" cy="6448425"/>
                <wp:effectExtent l="0" t="0" r="6350" b="0"/>
                <wp:docPr id="1687971913" name="Picture 13" descr="A flowchart showing the steps in the MACS Compliance Audit process. It begins with receiving a MACS Compliance Audit Form. You must complete and return the form to SEPA within 6 weeks. If the form is not returned within 6 weeks or is found to be incomplete, it triggers a compliance inspection of you and/or contracted service providers, followed by a MACS Compliance Audit report. If the form is complete, SEPA assesses it and prepares a MACS Compliance Audit report.&#10;From the report, three outcomes are possible: major audit findings, minor audit findings, or no audit findings.&#10;• Major findings lead to a compliance inspection, after which you must review findings and implement corrective actions within 6 weeks and share evidence with SEPA.&#10;• Minor findings require corrective actions within 6 weeks, with evidence submitted to SEPA for further assessment.&#10;• No findings result in SEPA recommending that you are compliant.&#10;A note at the bottom states that the flowchart represents the steps expected in most MACS compliance au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71913" name="Picture 13" descr="A flowchart showing the steps in the MACS Compliance Audit process. It begins with receiving a MACS Compliance Audit Form. You must complete and return the form to SEPA within 6 weeks. If the form is not returned within 6 weeks or is found to be incomplete, it triggers a compliance inspection of you and/or contracted service providers, followed by a MACS Compliance Audit report. If the form is complete, SEPA assesses it and prepares a MACS Compliance Audit report.&#10;From the report, three outcomes are possible: major audit findings, minor audit findings, or no audit findings.&#10;• Major findings lead to a compliance inspection, after which you must review findings and implement corrective actions within 6 weeks and share evidence with SEPA.&#10;• Minor findings require corrective actions within 6 weeks, with evidence submitted to SEPA for further assessment.&#10;• No findings result in SEPA recommending that you are compliant.&#10;A note at the bottom states that the flowchart represents the steps expected in most MACS compliance aud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8827" cy="6467180"/>
                        </a:xfrm>
                        <a:prstGeom prst="rect">
                          <a:avLst/>
                        </a:prstGeom>
                        <a:noFill/>
                        <a:ln>
                          <a:noFill/>
                        </a:ln>
                      </pic:spPr>
                    </pic:pic>
                  </a:graphicData>
                </a:graphic>
              </wp:inline>
            </w:drawing>
          </w:r>
        </w:p>
        <w:p w14:paraId="2A4B60EA" w14:textId="3CDB06B6" w:rsidR="006243FF" w:rsidRPr="001B4E8A" w:rsidRDefault="00607696" w:rsidP="001B4E8A">
          <w:pPr>
            <w:pStyle w:val="Heading2"/>
          </w:pPr>
        </w:p>
      </w:sdtContent>
    </w:sdt>
    <w:sectPr w:rsidR="006243FF" w:rsidRPr="001B4E8A" w:rsidSect="00DA294B">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8D3B" w14:textId="77777777" w:rsidR="000E5811" w:rsidRDefault="000E5811" w:rsidP="00660C79">
      <w:pPr>
        <w:spacing w:line="240" w:lineRule="auto"/>
      </w:pPr>
      <w:r>
        <w:separator/>
      </w:r>
    </w:p>
  </w:endnote>
  <w:endnote w:type="continuationSeparator" w:id="0">
    <w:p w14:paraId="28B05E7F" w14:textId="77777777" w:rsidR="000E5811" w:rsidRDefault="000E5811"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8B0D" w14:textId="1423CF26" w:rsidR="00EC6A73" w:rsidRDefault="00B25F79"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5648" behindDoc="0" locked="0" layoutInCell="1" allowOverlap="1" wp14:anchorId="3CCEA791" wp14:editId="64EABF08">
              <wp:simplePos x="635" y="635"/>
              <wp:positionH relativeFrom="page">
                <wp:align>center</wp:align>
              </wp:positionH>
              <wp:positionV relativeFrom="page">
                <wp:align>bottom</wp:align>
              </wp:positionV>
              <wp:extent cx="421005" cy="422910"/>
              <wp:effectExtent l="0" t="0" r="17145" b="0"/>
              <wp:wrapNone/>
              <wp:docPr id="146748853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04BA71B" w14:textId="71565E5E"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EA791" id="_x0000_t202" coordsize="21600,21600" o:spt="202" path="m,l,21600r21600,l21600,xe">
              <v:stroke joinstyle="miter"/>
              <v:path gradientshapeok="t" o:connecttype="rect"/>
            </v:shapetype>
            <v:shape id="Text Box 5" o:spid="_x0000_s1028" type="#_x0000_t202" alt="PUBLIC" style="position:absolute;margin-left:0;margin-top:0;width:33.15pt;height:33.3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004BA71B" w14:textId="71565E5E"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v:textbox>
              <w10:wrap anchorx="page" anchory="page"/>
            </v:shape>
          </w:pict>
        </mc:Fallback>
      </mc:AlternateContent>
    </w:r>
    <w:sdt>
      <w:sdtPr>
        <w:rPr>
          <w:rStyle w:val="PageNumber"/>
        </w:rPr>
        <w:id w:val="236994185"/>
        <w:docPartObj>
          <w:docPartGallery w:val="Page Numbers (Bottom of Page)"/>
          <w:docPartUnique/>
        </w:docPartObj>
      </w:sdtPr>
      <w:sdtEndPr>
        <w:rPr>
          <w:rStyle w:val="PageNumber"/>
        </w:rPr>
      </w:sdtEnd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480060">
          <w:rPr>
            <w:rStyle w:val="PageNumber"/>
            <w:noProof/>
          </w:rPr>
          <w:t>0</w:t>
        </w:r>
        <w:r w:rsidR="00EC6A73">
          <w:rPr>
            <w:rStyle w:val="PageNumber"/>
          </w:rPr>
          <w:fldChar w:fldCharType="end"/>
        </w:r>
      </w:sdtContent>
    </w:sdt>
  </w:p>
  <w:sdt>
    <w:sdtPr>
      <w:rPr>
        <w:rStyle w:val="PageNumber"/>
      </w:rPr>
      <w:id w:val="-1749717889"/>
      <w:docPartObj>
        <w:docPartGallery w:val="Page Numbers (Bottom of Page)"/>
        <w:docPartUnique/>
      </w:docPartObj>
    </w:sdtPr>
    <w:sdtEndPr>
      <w:rPr>
        <w:rStyle w:val="PageNumber"/>
      </w:rPr>
    </w:sdtEndPr>
    <w:sdtContent>
      <w:p w14:paraId="28235DB2" w14:textId="52CB51D9"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80060">
          <w:rPr>
            <w:rStyle w:val="PageNumber"/>
            <w:noProof/>
          </w:rPr>
          <w:t>0</w:t>
        </w:r>
        <w:r>
          <w:rPr>
            <w:rStyle w:val="PageNumber"/>
          </w:rPr>
          <w:fldChar w:fldCharType="end"/>
        </w:r>
      </w:p>
    </w:sdtContent>
  </w:sdt>
  <w:p w14:paraId="6FCE45A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068E" w14:textId="1264584B" w:rsidR="00EC6A73" w:rsidRDefault="00B25F79" w:rsidP="00917BB1">
    <w:pPr>
      <w:pStyle w:val="Footer"/>
      <w:ind w:right="360"/>
    </w:pPr>
    <w:r>
      <w:rPr>
        <w:noProof/>
      </w:rPr>
      <mc:AlternateContent>
        <mc:Choice Requires="wps">
          <w:drawing>
            <wp:anchor distT="0" distB="0" distL="0" distR="0" simplePos="0" relativeHeight="251676672" behindDoc="0" locked="0" layoutInCell="1" allowOverlap="1" wp14:anchorId="2E9BF0E4" wp14:editId="5F42B29B">
              <wp:simplePos x="635" y="635"/>
              <wp:positionH relativeFrom="page">
                <wp:align>center</wp:align>
              </wp:positionH>
              <wp:positionV relativeFrom="page">
                <wp:align>bottom</wp:align>
              </wp:positionV>
              <wp:extent cx="421005" cy="422910"/>
              <wp:effectExtent l="0" t="0" r="17145" b="0"/>
              <wp:wrapNone/>
              <wp:docPr id="57277755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C10F136" w14:textId="71027550"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BF0E4" id="_x0000_t202" coordsize="21600,21600" o:spt="202" path="m,l,21600r21600,l21600,xe">
              <v:stroke joinstyle="miter"/>
              <v:path gradientshapeok="t" o:connecttype="rect"/>
            </v:shapetype>
            <v:shape id="Text Box 6" o:spid="_x0000_s1029" type="#_x0000_t202" alt="PUBLIC" style="position:absolute;margin-left:0;margin-top:0;width:33.15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C10F136" w14:textId="71027550"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v:textbox>
              <w10:wrap anchorx="page" anchory="page"/>
            </v:shape>
          </w:pict>
        </mc:Fallback>
      </mc:AlternateContent>
    </w:r>
  </w:p>
  <w:p w14:paraId="169A666E"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7332DDD1" wp14:editId="0174862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30F71"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C58529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645EE4" w14:textId="77777777" w:rsidR="00917BB1" w:rsidRDefault="00917BB1" w:rsidP="00917BB1">
    <w:pPr>
      <w:pStyle w:val="Footer"/>
      <w:ind w:right="360"/>
    </w:pPr>
    <w:r>
      <w:rPr>
        <w:noProof/>
      </w:rPr>
      <w:drawing>
        <wp:inline distT="0" distB="0" distL="0" distR="0" wp14:anchorId="6E4B36F2" wp14:editId="5687C545">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C961" w14:textId="55BE999F" w:rsidR="002369CA" w:rsidRDefault="00B25F79">
    <w:pPr>
      <w:pStyle w:val="Footer"/>
    </w:pPr>
    <w:r>
      <w:rPr>
        <w:noProof/>
      </w:rPr>
      <mc:AlternateContent>
        <mc:Choice Requires="wps">
          <w:drawing>
            <wp:anchor distT="0" distB="0" distL="0" distR="0" simplePos="0" relativeHeight="251674624" behindDoc="0" locked="0" layoutInCell="1" allowOverlap="1" wp14:anchorId="0C184B25" wp14:editId="7DC7C1F5">
              <wp:simplePos x="635" y="635"/>
              <wp:positionH relativeFrom="page">
                <wp:align>center</wp:align>
              </wp:positionH>
              <wp:positionV relativeFrom="page">
                <wp:align>bottom</wp:align>
              </wp:positionV>
              <wp:extent cx="421005" cy="422910"/>
              <wp:effectExtent l="0" t="0" r="17145" b="0"/>
              <wp:wrapNone/>
              <wp:docPr id="172864501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C4DB154" w14:textId="1B988FBA"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84B25" id="_x0000_t202" coordsize="21600,21600" o:spt="202" path="m,l,21600r21600,l21600,xe">
              <v:stroke joinstyle="miter"/>
              <v:path gradientshapeok="t" o:connecttype="rect"/>
            </v:shapetype>
            <v:shape id="Text Box 4" o:spid="_x0000_s1031" type="#_x0000_t202" alt="PUBLIC" style="position:absolute;margin-left:0;margin-top:0;width:33.15pt;height:33.3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0C4DB154" w14:textId="1B988FBA"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3E5C" w14:textId="77777777" w:rsidR="000E5811" w:rsidRDefault="000E5811" w:rsidP="00660C79">
      <w:pPr>
        <w:spacing w:line="240" w:lineRule="auto"/>
      </w:pPr>
      <w:r>
        <w:separator/>
      </w:r>
    </w:p>
  </w:footnote>
  <w:footnote w:type="continuationSeparator" w:id="0">
    <w:p w14:paraId="70E6CF8D" w14:textId="77777777" w:rsidR="000E5811" w:rsidRDefault="000E5811"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AA1C" w14:textId="1C63831E" w:rsidR="002369CA" w:rsidRDefault="00B25F79">
    <w:pPr>
      <w:pStyle w:val="Header"/>
    </w:pPr>
    <w:r>
      <w:rPr>
        <w:noProof/>
      </w:rPr>
      <mc:AlternateContent>
        <mc:Choice Requires="wps">
          <w:drawing>
            <wp:anchor distT="0" distB="0" distL="0" distR="0" simplePos="0" relativeHeight="251672576" behindDoc="0" locked="0" layoutInCell="1" allowOverlap="1" wp14:anchorId="30A9DF2F" wp14:editId="450C6AFC">
              <wp:simplePos x="635" y="635"/>
              <wp:positionH relativeFrom="page">
                <wp:align>center</wp:align>
              </wp:positionH>
              <wp:positionV relativeFrom="page">
                <wp:align>top</wp:align>
              </wp:positionV>
              <wp:extent cx="421005" cy="422910"/>
              <wp:effectExtent l="0" t="0" r="17145" b="15240"/>
              <wp:wrapNone/>
              <wp:docPr id="159371000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0EC5FBA" w14:textId="672151FD"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9DF2F" id="_x0000_t202" coordsize="21600,21600" o:spt="202" path="m,l,21600r21600,l21600,xe">
              <v:stroke joinstyle="miter"/>
              <v:path gradientshapeok="t" o:connecttype="rect"/>
            </v:shapetype>
            <v:shape id="Text Box 2" o:spid="_x0000_s1026" type="#_x0000_t202" alt="PUBLIC" style="position:absolute;margin-left:0;margin-top:0;width:33.15pt;height:33.3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60EC5FBA" w14:textId="672151FD"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F66F" w14:textId="74F0C01A" w:rsidR="008D113C" w:rsidRPr="00917BB1" w:rsidRDefault="00B25F79" w:rsidP="00670194">
    <w:pPr>
      <w:pStyle w:val="BodyText1"/>
      <w:spacing w:line="240" w:lineRule="auto"/>
      <w:rPr>
        <w:color w:val="6E7571" w:themeColor="text2"/>
      </w:rPr>
    </w:pPr>
    <w:r>
      <w:rPr>
        <w:noProof/>
        <w:color w:val="6E7571" w:themeColor="text2"/>
      </w:rPr>
      <mc:AlternateContent>
        <mc:Choice Requires="wps">
          <w:drawing>
            <wp:anchor distT="0" distB="0" distL="0" distR="0" simplePos="0" relativeHeight="251673600" behindDoc="0" locked="0" layoutInCell="1" allowOverlap="1" wp14:anchorId="53069EC1" wp14:editId="30B930CB">
              <wp:simplePos x="635" y="635"/>
              <wp:positionH relativeFrom="page">
                <wp:align>center</wp:align>
              </wp:positionH>
              <wp:positionV relativeFrom="page">
                <wp:align>top</wp:align>
              </wp:positionV>
              <wp:extent cx="421005" cy="422910"/>
              <wp:effectExtent l="0" t="0" r="17145" b="15240"/>
              <wp:wrapNone/>
              <wp:docPr id="157076757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1E6FC24" w14:textId="3563BF14"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69EC1" id="_x0000_t202" coordsize="21600,21600" o:spt="202" path="m,l,21600r21600,l21600,xe">
              <v:stroke joinstyle="miter"/>
              <v:path gradientshapeok="t" o:connecttype="rect"/>
            </v:shapetype>
            <v:shape id="Text Box 3" o:spid="_x0000_s1027" type="#_x0000_t202" alt="PUBLIC" style="position:absolute;margin-left:0;margin-top:0;width:33.15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21E6FC24" w14:textId="3563BF14"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v:textbox>
              <w10:wrap anchorx="page" anchory="page"/>
            </v:shape>
          </w:pict>
        </mc:Fallback>
      </mc:AlternateContent>
    </w:r>
    <w:r w:rsidR="00E85468">
      <w:rPr>
        <w:color w:val="6E7571" w:themeColor="text2"/>
      </w:rPr>
      <w:t>MACS</w:t>
    </w:r>
    <w:r w:rsidR="0064729A">
      <w:rPr>
        <w:color w:val="6E7571" w:themeColor="text2"/>
      </w:rPr>
      <w:t>-FFA-TG-02|Guidance on MACS audits for MPFF autho</w:t>
    </w:r>
    <w:r w:rsidR="007C6FF0">
      <w:rPr>
        <w:color w:val="6E7571" w:themeColor="text2"/>
      </w:rPr>
      <w:t>risation holders v1|February 2026</w:t>
    </w:r>
  </w:p>
  <w:p w14:paraId="6650FFA0"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640E94B5" wp14:editId="1E6BD49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E3556"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47F7" w14:textId="3F9EC96C" w:rsidR="002369CA" w:rsidRDefault="00B25F79">
    <w:pPr>
      <w:pStyle w:val="Header"/>
    </w:pPr>
    <w:r>
      <w:rPr>
        <w:noProof/>
      </w:rPr>
      <mc:AlternateContent>
        <mc:Choice Requires="wps">
          <w:drawing>
            <wp:anchor distT="0" distB="0" distL="0" distR="0" simplePos="0" relativeHeight="251671552" behindDoc="0" locked="0" layoutInCell="1" allowOverlap="1" wp14:anchorId="49A20B3A" wp14:editId="6C0B21E3">
              <wp:simplePos x="635" y="635"/>
              <wp:positionH relativeFrom="page">
                <wp:align>center</wp:align>
              </wp:positionH>
              <wp:positionV relativeFrom="page">
                <wp:align>top</wp:align>
              </wp:positionV>
              <wp:extent cx="421005" cy="422910"/>
              <wp:effectExtent l="0" t="0" r="17145" b="15240"/>
              <wp:wrapNone/>
              <wp:docPr id="192293510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B2EE8F2" w14:textId="61AB7244"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20B3A" id="_x0000_t202" coordsize="21600,21600" o:spt="202" path="m,l,21600r21600,l21600,xe">
              <v:stroke joinstyle="miter"/>
              <v:path gradientshapeok="t" o:connecttype="rect"/>
            </v:shapetype>
            <v:shape id="Text Box 1" o:spid="_x0000_s1030" type="#_x0000_t202" alt="PUBLIC" style="position:absolute;margin-left:0;margin-top:0;width:33.15pt;height:33.3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4B2EE8F2" w14:textId="61AB7244" w:rsidR="00B25F79" w:rsidRPr="00B25F79" w:rsidRDefault="00B25F79" w:rsidP="00B25F79">
                    <w:pPr>
                      <w:spacing w:after="0"/>
                      <w:rPr>
                        <w:rFonts w:ascii="Aptos" w:eastAsia="Aptos" w:hAnsi="Aptos" w:cs="Aptos"/>
                        <w:noProof/>
                        <w:color w:val="000000"/>
                        <w:sz w:val="20"/>
                        <w:szCs w:val="20"/>
                      </w:rPr>
                    </w:pPr>
                    <w:r w:rsidRPr="00B25F79">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C3175D"/>
    <w:multiLevelType w:val="hybridMultilevel"/>
    <w:tmpl w:val="9458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700DFE"/>
    <w:multiLevelType w:val="hybridMultilevel"/>
    <w:tmpl w:val="9252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636B7"/>
    <w:multiLevelType w:val="hybridMultilevel"/>
    <w:tmpl w:val="8D26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40ABB"/>
    <w:multiLevelType w:val="hybridMultilevel"/>
    <w:tmpl w:val="B27A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B57F9"/>
    <w:multiLevelType w:val="hybridMultilevel"/>
    <w:tmpl w:val="3F620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56FBA"/>
    <w:multiLevelType w:val="hybridMultilevel"/>
    <w:tmpl w:val="5DAC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23AF8"/>
    <w:multiLevelType w:val="hybridMultilevel"/>
    <w:tmpl w:val="FEAC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5"/>
  </w:num>
  <w:num w:numId="12" w16cid:durableId="903875781">
    <w:abstractNumId w:val="11"/>
  </w:num>
  <w:num w:numId="13" w16cid:durableId="1486436510">
    <w:abstractNumId w:val="14"/>
  </w:num>
  <w:num w:numId="14" w16cid:durableId="1299723032">
    <w:abstractNumId w:val="17"/>
  </w:num>
  <w:num w:numId="15" w16cid:durableId="1485000561">
    <w:abstractNumId w:val="18"/>
  </w:num>
  <w:num w:numId="16" w16cid:durableId="1375273686">
    <w:abstractNumId w:val="16"/>
  </w:num>
  <w:num w:numId="17" w16cid:durableId="966855571">
    <w:abstractNumId w:val="12"/>
  </w:num>
  <w:num w:numId="18" w16cid:durableId="2093895476">
    <w:abstractNumId w:val="13"/>
  </w:num>
  <w:num w:numId="19" w16cid:durableId="1648365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0"/>
    <w:rsid w:val="00021066"/>
    <w:rsid w:val="00032829"/>
    <w:rsid w:val="00040561"/>
    <w:rsid w:val="00070937"/>
    <w:rsid w:val="000B7559"/>
    <w:rsid w:val="000C62AC"/>
    <w:rsid w:val="000E0D15"/>
    <w:rsid w:val="000E5811"/>
    <w:rsid w:val="00105F31"/>
    <w:rsid w:val="00115D9E"/>
    <w:rsid w:val="00117467"/>
    <w:rsid w:val="001759A8"/>
    <w:rsid w:val="00191573"/>
    <w:rsid w:val="00192FE1"/>
    <w:rsid w:val="001B4E8A"/>
    <w:rsid w:val="001C1ABD"/>
    <w:rsid w:val="0023648B"/>
    <w:rsid w:val="00236552"/>
    <w:rsid w:val="002369CA"/>
    <w:rsid w:val="00281BB1"/>
    <w:rsid w:val="0030096D"/>
    <w:rsid w:val="0030479F"/>
    <w:rsid w:val="00317618"/>
    <w:rsid w:val="003F5384"/>
    <w:rsid w:val="004073BC"/>
    <w:rsid w:val="00412609"/>
    <w:rsid w:val="00444AA1"/>
    <w:rsid w:val="00466D27"/>
    <w:rsid w:val="00480060"/>
    <w:rsid w:val="004D6DB1"/>
    <w:rsid w:val="00566D9D"/>
    <w:rsid w:val="005759EF"/>
    <w:rsid w:val="005900AA"/>
    <w:rsid w:val="005A355E"/>
    <w:rsid w:val="005D1213"/>
    <w:rsid w:val="005D7437"/>
    <w:rsid w:val="00607696"/>
    <w:rsid w:val="00622C21"/>
    <w:rsid w:val="006243FF"/>
    <w:rsid w:val="0064729A"/>
    <w:rsid w:val="00660C79"/>
    <w:rsid w:val="00670194"/>
    <w:rsid w:val="006D16CE"/>
    <w:rsid w:val="00732945"/>
    <w:rsid w:val="00760F9A"/>
    <w:rsid w:val="00761717"/>
    <w:rsid w:val="007C3F12"/>
    <w:rsid w:val="007C6FF0"/>
    <w:rsid w:val="007D441B"/>
    <w:rsid w:val="00801105"/>
    <w:rsid w:val="008538B3"/>
    <w:rsid w:val="00861B46"/>
    <w:rsid w:val="008A5426"/>
    <w:rsid w:val="008C1A73"/>
    <w:rsid w:val="008D113C"/>
    <w:rsid w:val="008D376F"/>
    <w:rsid w:val="008D661D"/>
    <w:rsid w:val="00917BB1"/>
    <w:rsid w:val="0096745E"/>
    <w:rsid w:val="00975D21"/>
    <w:rsid w:val="00980531"/>
    <w:rsid w:val="009A1C27"/>
    <w:rsid w:val="009A240D"/>
    <w:rsid w:val="00A2470C"/>
    <w:rsid w:val="00A35758"/>
    <w:rsid w:val="00A4691F"/>
    <w:rsid w:val="00A9349C"/>
    <w:rsid w:val="00AB7028"/>
    <w:rsid w:val="00AE068C"/>
    <w:rsid w:val="00AF6498"/>
    <w:rsid w:val="00B21D76"/>
    <w:rsid w:val="00B25F79"/>
    <w:rsid w:val="00B26B28"/>
    <w:rsid w:val="00B32C14"/>
    <w:rsid w:val="00B46E48"/>
    <w:rsid w:val="00B54CF4"/>
    <w:rsid w:val="00B56FC1"/>
    <w:rsid w:val="00B758D5"/>
    <w:rsid w:val="00BE60E1"/>
    <w:rsid w:val="00C569B9"/>
    <w:rsid w:val="00C63AF5"/>
    <w:rsid w:val="00C77D00"/>
    <w:rsid w:val="00C825E4"/>
    <w:rsid w:val="00C9704B"/>
    <w:rsid w:val="00CF7EFB"/>
    <w:rsid w:val="00D35448"/>
    <w:rsid w:val="00D503B2"/>
    <w:rsid w:val="00D661AD"/>
    <w:rsid w:val="00DA294B"/>
    <w:rsid w:val="00DC1FC5"/>
    <w:rsid w:val="00E245AC"/>
    <w:rsid w:val="00E36EA8"/>
    <w:rsid w:val="00E62524"/>
    <w:rsid w:val="00E67C75"/>
    <w:rsid w:val="00E85468"/>
    <w:rsid w:val="00E925A2"/>
    <w:rsid w:val="00EA297B"/>
    <w:rsid w:val="00EC6A73"/>
    <w:rsid w:val="00ED3EE7"/>
    <w:rsid w:val="00F07048"/>
    <w:rsid w:val="00F147F0"/>
    <w:rsid w:val="00F14F4D"/>
    <w:rsid w:val="00F417D5"/>
    <w:rsid w:val="00F60DD8"/>
    <w:rsid w:val="00F61BFF"/>
    <w:rsid w:val="00F62D85"/>
    <w:rsid w:val="00F640B0"/>
    <w:rsid w:val="00F64E01"/>
    <w:rsid w:val="00F656F8"/>
    <w:rsid w:val="00F72274"/>
    <w:rsid w:val="00F97DFD"/>
    <w:rsid w:val="00FE5B29"/>
    <w:rsid w:val="00FF5D5A"/>
    <w:rsid w:val="00FF669F"/>
    <w:rsid w:val="1D7ACA51"/>
    <w:rsid w:val="26AE4097"/>
    <w:rsid w:val="33154BFA"/>
    <w:rsid w:val="3B4611E9"/>
    <w:rsid w:val="606CC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BC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761717"/>
    <w:pPr>
      <w:ind w:left="720"/>
      <w:contextualSpacing/>
    </w:pPr>
  </w:style>
  <w:style w:type="table" w:styleId="TableGrid">
    <w:name w:val="Table Grid"/>
    <w:basedOn w:val="TableNormal"/>
    <w:uiPriority w:val="39"/>
    <w:rsid w:val="00AB7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i.scot/sites/default/files/2022-03/EIRBriefingsExcept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si/2004/3391/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alities@sepa.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1831</Words>
  <Characters>10291</Characters>
  <Application>Microsoft Office Word</Application>
  <DocSecurity>0</DocSecurity>
  <Lines>210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2026-02-13T10:11:00Z</dcterms:created>
  <dcterms:modified xsi:type="dcterms:W3CDTF">2026-02-13T10:14:00Z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729da93e,5efe15b5,5da002db</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67090792,57781918,2223e457</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2026-02-13T10:12:03Z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4db1cc5f-283b-40d2-97a9-971a84383d71</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