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5AAA9DF5" w14:textId="77777777" w:rsidR="00ED3EE7" w:rsidRDefault="00CF7EFB" w:rsidP="00ED3EE7">
          <w:r>
            <w:rPr>
              <w:noProof/>
            </w:rPr>
            <w:drawing>
              <wp:inline distT="0" distB="0" distL="0" distR="0" wp14:anchorId="7A2B2F2A" wp14:editId="65BD6799">
                <wp:extent cx="3067200" cy="770400"/>
                <wp:effectExtent l="0" t="0" r="0" b="444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7200" cy="770400"/>
                        </a:xfrm>
                        <a:prstGeom prst="rect">
                          <a:avLst/>
                        </a:prstGeom>
                      </pic:spPr>
                    </pic:pic>
                  </a:graphicData>
                </a:graphic>
              </wp:inline>
            </w:drawing>
          </w:r>
        </w:p>
        <w:p w14:paraId="5E7AB989" w14:textId="31313DB0" w:rsidR="00ED3EE7" w:rsidRDefault="53BD837F" w:rsidP="2EB6B7D7">
          <w:pPr>
            <w:pStyle w:val="Heading1"/>
            <w:rPr>
              <w:sz w:val="32"/>
            </w:rPr>
          </w:pPr>
          <w:r w:rsidRPr="2EB6B7D7">
            <w:rPr>
              <w:sz w:val="32"/>
            </w:rPr>
            <w:t>WAS-G-EASR-12</w:t>
          </w:r>
        </w:p>
        <w:p w14:paraId="252CAE70" w14:textId="6DD44479" w:rsidR="00ED3EE7" w:rsidRPr="00E245AC" w:rsidRDefault="007B38CD" w:rsidP="00760F9A">
          <w:pPr>
            <w:pStyle w:val="Reportheader"/>
            <w:rPr>
              <w:rFonts w:ascii="Arial" w:hAnsi="Arial" w:cs="Arial"/>
            </w:rPr>
          </w:pPr>
          <w:r>
            <w:rPr>
              <w:rFonts w:ascii="Arial" w:hAnsi="Arial" w:cs="Arial"/>
            </w:rPr>
            <w:t>Transporting waste &amp; acting as a broker or dealer of waste</w:t>
          </w:r>
        </w:p>
        <w:p w14:paraId="3E2CC738" w14:textId="2D902835" w:rsidR="00ED3EE7" w:rsidRDefault="6E3C9C22" w:rsidP="00ED3EE7">
          <w:pPr>
            <w:pStyle w:val="Heading2"/>
          </w:pPr>
          <w:r>
            <w:t xml:space="preserve">Version 1 - </w:t>
          </w:r>
          <w:r w:rsidR="007B38CD">
            <w:t>April 2026</w:t>
          </w:r>
        </w:p>
        <w:p w14:paraId="56E38297" w14:textId="77777777" w:rsidR="00ED3EE7" w:rsidRDefault="00ED3EE7" w:rsidP="00ED3EE7">
          <w:pPr>
            <w:pStyle w:val="Footer"/>
            <w:ind w:right="360"/>
          </w:pPr>
          <w:r>
            <w:rPr>
              <w:noProof/>
            </w:rPr>
            <mc:AlternateContent>
              <mc:Choice Requires="wps">
                <w:drawing>
                  <wp:anchor distT="0" distB="0" distL="114300" distR="114300" simplePos="0" relativeHeight="251658241" behindDoc="0" locked="0" layoutInCell="1" allowOverlap="1" wp14:anchorId="2E3C56D6" wp14:editId="5BDC2C0D">
                    <wp:simplePos x="0" y="0"/>
                    <wp:positionH relativeFrom="column">
                      <wp:posOffset>23826</wp:posOffset>
                    </wp:positionH>
                    <wp:positionV relativeFrom="paragraph">
                      <wp:posOffset>74240</wp:posOffset>
                    </wp:positionV>
                    <wp:extent cx="6466840" cy="0"/>
                    <wp:effectExtent l="0" t="0" r="10160" b="1270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xmlns:arto="http://schemas.microsoft.com/office/word/2006/arto">
                <w:pict>
                  <v:line id="Straight Connector 1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5.85pt" to="511.1pt,5.85pt" w14:anchorId="703417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v:stroke joinstyle="miter"/>
                  </v:line>
                </w:pict>
              </mc:Fallback>
            </mc:AlternateContent>
          </w:r>
        </w:p>
        <w:p w14:paraId="679F8F65" w14:textId="301B0089" w:rsidR="00ED3EE7" w:rsidRPr="00105F31" w:rsidRDefault="007B38CD" w:rsidP="00ED3EE7">
          <w:pPr>
            <w:pStyle w:val="Heading2"/>
          </w:pPr>
          <w:r>
            <w:t>Introduction</w:t>
          </w:r>
        </w:p>
        <w:p w14:paraId="7B742B90" w14:textId="33BCDBEC" w:rsidR="007B38CD" w:rsidRDefault="007B38CD" w:rsidP="007B38CD">
          <w:pPr>
            <w:pStyle w:val="BodyText1"/>
            <w:rPr>
              <w:rFonts w:eastAsia="Times New Roman"/>
            </w:rPr>
          </w:pPr>
          <w:r>
            <w:rPr>
              <w:rFonts w:eastAsia="Times New Roman"/>
            </w:rPr>
            <w:t xml:space="preserve">This guidance provides advice for anyone who transports waste or acts as a broker or dealer of waste </w:t>
          </w:r>
          <w:r w:rsidR="00F65B96">
            <w:rPr>
              <w:rFonts w:ascii="Arial" w:eastAsiaTheme="majorEastAsia" w:hAnsi="Arial" w:cs="Arial"/>
              <w:lang w:eastAsia="en-GB"/>
            </w:rPr>
            <w:t xml:space="preserve">under </w:t>
          </w:r>
          <w:r w:rsidR="00F65B96" w:rsidRPr="42189EA7">
            <w:rPr>
              <w:rStyle w:val="normaltextrun"/>
              <w:rFonts w:asciiTheme="majorHAnsi" w:eastAsiaTheme="majorEastAsia" w:hAnsiTheme="majorHAnsi" w:cstheme="majorBidi"/>
            </w:rPr>
            <w:t>The Environmental Authorisations (Scotland) Regulations 2018 (EASR)</w:t>
          </w:r>
          <w:r w:rsidR="00F65B96">
            <w:rPr>
              <w:rFonts w:ascii="Arial" w:eastAsiaTheme="majorEastAsia" w:hAnsi="Arial" w:cs="Arial"/>
              <w:lang w:eastAsia="en-GB"/>
            </w:rPr>
            <w:t>.</w:t>
          </w:r>
        </w:p>
        <w:p w14:paraId="656ED1AD" w14:textId="385F3057" w:rsidR="00C723D1" w:rsidRDefault="007B38CD" w:rsidP="007B38CD">
          <w:pPr>
            <w:pStyle w:val="BodyText1"/>
            <w:rPr>
              <w:rFonts w:eastAsia="Times New Roman"/>
            </w:rPr>
          </w:pPr>
          <w:r>
            <w:rPr>
              <w:rFonts w:eastAsia="Times New Roman"/>
            </w:rPr>
            <w:t xml:space="preserve">SEPA continues to operate a policy of mutual recognition with the Environment Agency and Natural Resources Wales. If your principal place of business is in England or Wales, you </w:t>
          </w:r>
          <w:r w:rsidR="04D3832A" w:rsidRPr="17268E4E">
            <w:rPr>
              <w:rFonts w:eastAsia="Times New Roman"/>
            </w:rPr>
            <w:t>must</w:t>
          </w:r>
          <w:r>
            <w:rPr>
              <w:rFonts w:eastAsia="Times New Roman"/>
            </w:rPr>
            <w:t xml:space="preserve"> register with the appropriate regulator for that nation. </w:t>
          </w:r>
        </w:p>
        <w:p w14:paraId="32B8225B" w14:textId="409DFB61" w:rsidR="007B38CD" w:rsidRDefault="007B38CD" w:rsidP="007B38CD">
          <w:pPr>
            <w:pStyle w:val="BodyText1"/>
            <w:rPr>
              <w:rFonts w:eastAsia="Times New Roman"/>
            </w:rPr>
          </w:pPr>
          <w:r>
            <w:rPr>
              <w:rFonts w:eastAsia="Times New Roman"/>
            </w:rPr>
            <w:t xml:space="preserve">If you are authorised to </w:t>
          </w:r>
          <w:r w:rsidR="00C723D1">
            <w:rPr>
              <w:rFonts w:eastAsia="Times New Roman"/>
            </w:rPr>
            <w:t xml:space="preserve">transport waste or </w:t>
          </w:r>
          <w:r w:rsidR="00C723D1" w:rsidRPr="17268E4E">
            <w:rPr>
              <w:rFonts w:eastAsia="Times New Roman"/>
            </w:rPr>
            <w:t>act</w:t>
          </w:r>
          <w:r w:rsidR="00C723D1">
            <w:rPr>
              <w:rFonts w:eastAsia="Times New Roman"/>
            </w:rPr>
            <w:t xml:space="preserve"> as a</w:t>
          </w:r>
          <w:r w:rsidDel="00C723D1">
            <w:rPr>
              <w:rFonts w:eastAsia="Times New Roman"/>
            </w:rPr>
            <w:t xml:space="preserve"> </w:t>
          </w:r>
          <w:r>
            <w:rPr>
              <w:rFonts w:eastAsia="Times New Roman"/>
            </w:rPr>
            <w:t>broker and dealer</w:t>
          </w:r>
          <w:r w:rsidR="00C723D1">
            <w:rPr>
              <w:rFonts w:eastAsia="Times New Roman"/>
            </w:rPr>
            <w:t xml:space="preserve"> of waste</w:t>
          </w:r>
          <w:r>
            <w:rPr>
              <w:rFonts w:eastAsia="Times New Roman"/>
            </w:rPr>
            <w:t xml:space="preserve"> with the Environment Agency, or Natural Resources Wales, you do not need to register again with SEPA.</w:t>
          </w:r>
        </w:p>
        <w:p w14:paraId="49B6418A" w14:textId="2E2955DB" w:rsidR="00F65B96" w:rsidRPr="00F65B96" w:rsidRDefault="00F65B96" w:rsidP="00F65B96">
          <w:pPr>
            <w:keepNext/>
            <w:keepLines/>
            <w:spacing w:line="240" w:lineRule="auto"/>
            <w:outlineLvl w:val="1"/>
            <w:rPr>
              <w:rFonts w:asciiTheme="majorHAnsi" w:eastAsia="Times New Roman" w:hAnsiTheme="majorHAnsi" w:cstheme="majorBidi"/>
              <w:b/>
              <w:color w:val="016574" w:themeColor="accent2"/>
              <w:sz w:val="32"/>
              <w:szCs w:val="26"/>
            </w:rPr>
          </w:pPr>
          <w:bookmarkStart w:id="0" w:name="_Toc189047307"/>
          <w:r w:rsidRPr="00F65B96">
            <w:rPr>
              <w:rFonts w:asciiTheme="majorHAnsi" w:eastAsia="Times New Roman" w:hAnsiTheme="majorHAnsi" w:cstheme="majorBidi"/>
              <w:b/>
              <w:color w:val="016574" w:themeColor="accent2"/>
              <w:sz w:val="32"/>
              <w:szCs w:val="26"/>
            </w:rPr>
            <w:t xml:space="preserve">Transporting </w:t>
          </w:r>
          <w:r w:rsidR="00135112">
            <w:rPr>
              <w:rFonts w:asciiTheme="majorHAnsi" w:eastAsia="Times New Roman" w:hAnsiTheme="majorHAnsi" w:cstheme="majorBidi"/>
              <w:b/>
              <w:color w:val="016574" w:themeColor="accent2"/>
              <w:sz w:val="32"/>
              <w:szCs w:val="26"/>
            </w:rPr>
            <w:t>w</w:t>
          </w:r>
          <w:r w:rsidRPr="00F65B96">
            <w:rPr>
              <w:rFonts w:asciiTheme="majorHAnsi" w:eastAsia="Times New Roman" w:hAnsiTheme="majorHAnsi" w:cstheme="majorBidi"/>
              <w:b/>
              <w:color w:val="016574" w:themeColor="accent2"/>
              <w:sz w:val="32"/>
              <w:szCs w:val="26"/>
            </w:rPr>
            <w:t>aste</w:t>
          </w:r>
          <w:bookmarkEnd w:id="0"/>
        </w:p>
        <w:p w14:paraId="411E6E21" w14:textId="557F5CF0" w:rsidR="00F65B96" w:rsidRDefault="00FD3144" w:rsidP="00F65B96">
          <w:r>
            <w:t>T</w:t>
          </w:r>
          <w:r w:rsidR="00907B3F">
            <w:t xml:space="preserve">hree </w:t>
          </w:r>
          <w:r w:rsidR="005801B8">
            <w:t xml:space="preserve">standard </w:t>
          </w:r>
          <w:r w:rsidR="00F65B96">
            <w:t xml:space="preserve">conditions </w:t>
          </w:r>
          <w:r w:rsidR="005801B8">
            <w:t>apply to the registration for ‘transporting waste’</w:t>
          </w:r>
          <w:r w:rsidR="00F65B96">
            <w:t xml:space="preserve">. </w:t>
          </w:r>
        </w:p>
        <w:p w14:paraId="4F5E8D92" w14:textId="67001E5C" w:rsidR="005D64C1" w:rsidRDefault="005D64C1" w:rsidP="003D5442">
          <w:pPr>
            <w:pStyle w:val="Heading3"/>
          </w:pPr>
          <w:r>
            <w:t>Waste acceptance</w:t>
          </w:r>
        </w:p>
        <w:p w14:paraId="6FFD2857" w14:textId="02CA98A0" w:rsidR="00F65B96" w:rsidRPr="00F65B96" w:rsidRDefault="00DE2143" w:rsidP="00C723D1">
          <w:r>
            <w:t>W</w:t>
          </w:r>
          <w:r w:rsidR="00F65B96">
            <w:t xml:space="preserve">aste </w:t>
          </w:r>
          <w:r>
            <w:t>must</w:t>
          </w:r>
          <w:r w:rsidR="00F65B96" w:rsidRPr="00F65B96">
            <w:t xml:space="preserve"> be inspected prior to</w:t>
          </w:r>
          <w:r w:rsidR="00A40205">
            <w:t xml:space="preserve"> </w:t>
          </w:r>
          <w:r w:rsidR="00F65B96" w:rsidRPr="00F65B96">
            <w:t>transport to ensure</w:t>
          </w:r>
          <w:r w:rsidR="00F65B96" w:rsidRPr="00F65B96" w:rsidDel="00DE2143">
            <w:t xml:space="preserve"> </w:t>
          </w:r>
          <w:r w:rsidR="00F65B96" w:rsidRPr="00F65B96">
            <w:t xml:space="preserve">it is as described in the accompanying waste transfer note. </w:t>
          </w:r>
          <w:r w:rsidR="00F65B96">
            <w:t>Further guidance on waste transfer note</w:t>
          </w:r>
          <w:r w:rsidR="00C723D1">
            <w:t>s</w:t>
          </w:r>
          <w:r w:rsidR="00F65B96">
            <w:t xml:space="preserve"> </w:t>
          </w:r>
          <w:r w:rsidR="00C723D1">
            <w:t>can be found in</w:t>
          </w:r>
          <w:r w:rsidR="00F65B96">
            <w:t xml:space="preserve"> the statutory “</w:t>
          </w:r>
          <w:hyperlink r:id="rId12">
            <w:r w:rsidR="00F65B96" w:rsidRPr="17268E4E">
              <w:rPr>
                <w:color w:val="016574" w:themeColor="accent6"/>
                <w:u w:val="single"/>
              </w:rPr>
              <w:t>Duty of Care – A Code of Practice</w:t>
            </w:r>
          </w:hyperlink>
          <w:r w:rsidR="00F65B96">
            <w:t>”.</w:t>
          </w:r>
        </w:p>
        <w:p w14:paraId="04A97576" w14:textId="6DCE7C2E" w:rsidR="00F65B96" w:rsidRDefault="00CD724F" w:rsidP="00F65B96">
          <w:r>
            <w:t>I</w:t>
          </w:r>
          <w:r w:rsidR="00F65B96" w:rsidRPr="00F65B96">
            <w:t xml:space="preserve">t </w:t>
          </w:r>
          <w:r>
            <w:t>may</w:t>
          </w:r>
          <w:r w:rsidR="00F65B96" w:rsidRPr="00F65B96">
            <w:t xml:space="preserve"> not</w:t>
          </w:r>
          <w:r w:rsidR="00F65B96">
            <w:t xml:space="preserve"> always</w:t>
          </w:r>
          <w:r w:rsidR="00F65B96" w:rsidRPr="00F65B96">
            <w:t xml:space="preserve"> be possible for </w:t>
          </w:r>
          <w:r w:rsidR="00F65B96">
            <w:t>the Authorised Person</w:t>
          </w:r>
          <w:r w:rsidR="00F65B96" w:rsidRPr="00F65B96">
            <w:t xml:space="preserve"> to physically inspect the waste </w:t>
          </w:r>
          <w:r w:rsidR="005D64C1">
            <w:t>at the point of transfer</w:t>
          </w:r>
          <w:r w:rsidR="00F65B96" w:rsidRPr="00F65B96">
            <w:t xml:space="preserve">. This may be due to the nature of the waste or the way it is contained. In these </w:t>
          </w:r>
          <w:r w:rsidR="00F65B96" w:rsidRPr="00F65B96">
            <w:lastRenderedPageBreak/>
            <w:t xml:space="preserve">circumstances the </w:t>
          </w:r>
          <w:r w:rsidR="005D64C1">
            <w:t>A</w:t>
          </w:r>
          <w:r w:rsidR="005D64C1" w:rsidRPr="00F65B96">
            <w:t xml:space="preserve">uthorised </w:t>
          </w:r>
          <w:r w:rsidR="005D64C1">
            <w:t>P</w:t>
          </w:r>
          <w:r w:rsidR="005D64C1" w:rsidRPr="00F65B96">
            <w:t>erson</w:t>
          </w:r>
          <w:r>
            <w:t xml:space="preserve"> must</w:t>
          </w:r>
          <w:r w:rsidR="005D64C1" w:rsidRPr="00F65B96">
            <w:t xml:space="preserve"> </w:t>
          </w:r>
          <w:r>
            <w:t xml:space="preserve">still </w:t>
          </w:r>
          <w:r w:rsidRPr="00F65B96">
            <w:t>satisfy them</w:t>
          </w:r>
          <w:r>
            <w:t>selves</w:t>
          </w:r>
          <w:r w:rsidRPr="00F65B96">
            <w:t xml:space="preserve"> that the waste is as described on the accompanying waste transfer note </w:t>
          </w:r>
          <w:r w:rsidR="00F65B96" w:rsidRPr="00F65B96">
            <w:t>through use of photographs, analysis of the waste, or other means.</w:t>
          </w:r>
        </w:p>
        <w:p w14:paraId="50F2F895" w14:textId="616D5409" w:rsidR="005D64C1" w:rsidRPr="00F65B96" w:rsidRDefault="005D64C1" w:rsidP="003D5442">
          <w:pPr>
            <w:pStyle w:val="Heading3"/>
          </w:pPr>
          <w:r>
            <w:t xml:space="preserve">Providing the authorisation reference number </w:t>
          </w:r>
          <w:r w:rsidR="00907B3F">
            <w:t>to a customer</w:t>
          </w:r>
        </w:p>
        <w:p w14:paraId="41110504" w14:textId="07942359" w:rsidR="005801B8" w:rsidRDefault="00F65B96" w:rsidP="00F65B96">
          <w:r w:rsidRPr="00F65B96" w:rsidDel="00F65B96">
            <w:t xml:space="preserve">The </w:t>
          </w:r>
          <w:r w:rsidRPr="00F65B96">
            <w:t>authorisation reference</w:t>
          </w:r>
          <w:r>
            <w:t xml:space="preserve"> number</w:t>
          </w:r>
          <w:r w:rsidRPr="00F65B96">
            <w:t xml:space="preserve"> </w:t>
          </w:r>
          <w:r w:rsidR="00C723D1">
            <w:t>must</w:t>
          </w:r>
          <w:r w:rsidR="00C723D1" w:rsidRPr="00F65B96">
            <w:t xml:space="preserve"> </w:t>
          </w:r>
          <w:r w:rsidRPr="00F65B96">
            <w:t>be provided to any person</w:t>
          </w:r>
          <w:r w:rsidRPr="00F65B96" w:rsidDel="005D64C1">
            <w:t xml:space="preserve"> </w:t>
          </w:r>
          <w:r w:rsidR="00907B3F">
            <w:t xml:space="preserve">from which waste is </w:t>
          </w:r>
          <w:r w:rsidRPr="00F65B96" w:rsidDel="00907B3F">
            <w:t>collected</w:t>
          </w:r>
          <w:r w:rsidRPr="00F65B96">
            <w:t xml:space="preserve">. </w:t>
          </w:r>
        </w:p>
        <w:p w14:paraId="2CA6C60C" w14:textId="4198DA4A" w:rsidR="00F65B96" w:rsidRDefault="005801B8" w:rsidP="00F65B96">
          <w:r w:rsidRPr="00F65B96">
            <w:t xml:space="preserve">Including the authorisation reference number in a waste transfer note or season ticket that is retained by the </w:t>
          </w:r>
          <w:r w:rsidR="00CD724F">
            <w:t>waste producer</w:t>
          </w:r>
          <w:r w:rsidRPr="00F65B96">
            <w:t xml:space="preserve"> </w:t>
          </w:r>
          <w:r w:rsidR="00907B3F">
            <w:t>is</w:t>
          </w:r>
          <w:r w:rsidRPr="00F65B96">
            <w:t xml:space="preserve"> an acceptable way to comply with this condition.</w:t>
          </w:r>
        </w:p>
        <w:p w14:paraId="432DAD61" w14:textId="3326A5E5" w:rsidR="00CD724F" w:rsidRDefault="005801B8" w:rsidP="00F65B96">
          <w:r w:rsidRPr="00F65B96">
            <w:t xml:space="preserve">The authorisation reference </w:t>
          </w:r>
          <w:r w:rsidR="00CD724F">
            <w:t xml:space="preserve">must </w:t>
          </w:r>
          <w:r w:rsidRPr="00F65B96">
            <w:t xml:space="preserve">also be provided to householders, despite there being no requirement on them to produce and retain a waste transfer note. </w:t>
          </w:r>
          <w:r w:rsidR="00CD724F" w:rsidRPr="00F65B96">
            <w:t>This can be done in writing, or digitally, but SEPA</w:t>
          </w:r>
          <w:r w:rsidR="00907B3F">
            <w:t xml:space="preserve"> </w:t>
          </w:r>
          <w:r w:rsidR="00CD724F" w:rsidRPr="00F65B96">
            <w:t>expect</w:t>
          </w:r>
          <w:r w:rsidR="00907B3F">
            <w:t>s</w:t>
          </w:r>
          <w:r w:rsidR="00CD724F" w:rsidRPr="00F65B96">
            <w:t xml:space="preserve"> there to be a record of the authorisation reference being provided to the person </w:t>
          </w:r>
          <w:r w:rsidR="00907B3F">
            <w:t>from wh</w:t>
          </w:r>
          <w:r w:rsidR="0069660D">
            <w:t>om</w:t>
          </w:r>
          <w:r w:rsidR="00907B3F">
            <w:t xml:space="preserve"> waste is collected</w:t>
          </w:r>
          <w:r w:rsidR="00CD724F" w:rsidRPr="00F65B96">
            <w:t xml:space="preserve">. </w:t>
          </w:r>
        </w:p>
        <w:p w14:paraId="0967DE43" w14:textId="6B8EEA73" w:rsidR="00F65B96" w:rsidRPr="00F65B96" w:rsidRDefault="00907B3F" w:rsidP="00907B3F">
          <w:pPr>
            <w:pStyle w:val="Heading3"/>
          </w:pPr>
          <w:r>
            <w:t xml:space="preserve">Providing the </w:t>
          </w:r>
          <w:r w:rsidR="3D0890BE">
            <w:t>authorisation</w:t>
          </w:r>
          <w:r>
            <w:t xml:space="preserve"> reference number of advertisements</w:t>
          </w:r>
        </w:p>
        <w:p w14:paraId="5D74268B" w14:textId="0B1FE56C" w:rsidR="00CD724F" w:rsidRDefault="00CD724F" w:rsidP="00F65B96">
          <w:r>
            <w:t>T</w:t>
          </w:r>
          <w:r w:rsidR="00F65B96" w:rsidRPr="00F65B96">
            <w:t xml:space="preserve">he authorisation reference </w:t>
          </w:r>
          <w:r>
            <w:t xml:space="preserve">number must </w:t>
          </w:r>
          <w:r w:rsidR="00F65B96" w:rsidRPr="00F65B96">
            <w:t>be included in any advert</w:t>
          </w:r>
          <w:r>
            <w:t>is</w:t>
          </w:r>
          <w:r w:rsidR="00B22BA3">
            <w:t>e</w:t>
          </w:r>
          <w:r>
            <w:t>ment</w:t>
          </w:r>
          <w:r w:rsidR="00F65B96" w:rsidRPr="00F65B96">
            <w:t xml:space="preserve"> for waste </w:t>
          </w:r>
          <w:r>
            <w:t xml:space="preserve">collection and </w:t>
          </w:r>
          <w:r w:rsidR="00F65B96" w:rsidRPr="00F65B96">
            <w:t xml:space="preserve">transport services. </w:t>
          </w:r>
        </w:p>
        <w:p w14:paraId="58064322" w14:textId="3174808B" w:rsidR="00CD724F" w:rsidRDefault="00CD724F" w:rsidP="00F65B96">
          <w:r w:rsidRPr="00F65B96">
            <w:t>By providing the authorisation reference, you are reassuring the waste producer or holder that you are appropriately authorised to collect and transport their waste.</w:t>
          </w:r>
        </w:p>
        <w:p w14:paraId="70C666CF" w14:textId="169B4F27" w:rsidR="00F65B96" w:rsidRPr="00F65B96" w:rsidRDefault="00F65B96" w:rsidP="00F65B96">
          <w:r w:rsidRPr="00F65B96">
            <w:t>“</w:t>
          </w:r>
          <w:r w:rsidR="00CD724F">
            <w:t>A</w:t>
          </w:r>
          <w:r w:rsidRPr="00F65B96">
            <w:t>dvertisement” include</w:t>
          </w:r>
          <w:r w:rsidR="00CD724F">
            <w:t xml:space="preserve">s </w:t>
          </w:r>
          <w:r w:rsidR="00907B3F">
            <w:t>print and digital communications such as</w:t>
          </w:r>
          <w:r w:rsidRPr="00F65B96" w:rsidDel="00CD724F">
            <w:t xml:space="preserve"> </w:t>
          </w:r>
          <w:r w:rsidRPr="00F65B96">
            <w:t xml:space="preserve">newspaper advert offering collection of garden waste, or a social media post offering the collection of </w:t>
          </w:r>
          <w:r w:rsidR="00907B3F">
            <w:t xml:space="preserve">scrap metal or </w:t>
          </w:r>
          <w:r w:rsidRPr="00F65B96">
            <w:t xml:space="preserve">mixed household waste. </w:t>
          </w:r>
        </w:p>
        <w:p w14:paraId="75D92EE2" w14:textId="733D0093" w:rsidR="005801B8" w:rsidRPr="005801B8" w:rsidRDefault="005801B8" w:rsidP="005801B8">
          <w:pPr>
            <w:keepNext/>
            <w:keepLines/>
            <w:spacing w:line="240" w:lineRule="auto"/>
            <w:outlineLvl w:val="1"/>
            <w:rPr>
              <w:rFonts w:asciiTheme="majorHAnsi" w:eastAsia="Times New Roman" w:hAnsiTheme="majorHAnsi" w:cstheme="majorBidi"/>
              <w:b/>
              <w:color w:val="016574" w:themeColor="accent2"/>
              <w:sz w:val="32"/>
              <w:szCs w:val="26"/>
            </w:rPr>
          </w:pPr>
          <w:bookmarkStart w:id="1" w:name="_Toc189047308"/>
          <w:r w:rsidRPr="005801B8">
            <w:rPr>
              <w:rFonts w:asciiTheme="majorHAnsi" w:eastAsia="Times New Roman" w:hAnsiTheme="majorHAnsi" w:cstheme="majorBidi"/>
              <w:b/>
              <w:color w:val="016574" w:themeColor="accent2"/>
              <w:sz w:val="32"/>
              <w:szCs w:val="26"/>
            </w:rPr>
            <w:t xml:space="preserve">Acting as a </w:t>
          </w:r>
          <w:r w:rsidR="00135112">
            <w:rPr>
              <w:rFonts w:asciiTheme="majorHAnsi" w:eastAsia="Times New Roman" w:hAnsiTheme="majorHAnsi" w:cstheme="majorBidi"/>
              <w:b/>
              <w:color w:val="016574" w:themeColor="accent2"/>
              <w:sz w:val="32"/>
              <w:szCs w:val="26"/>
            </w:rPr>
            <w:t>b</w:t>
          </w:r>
          <w:r w:rsidRPr="005801B8">
            <w:rPr>
              <w:rFonts w:asciiTheme="majorHAnsi" w:eastAsia="Times New Roman" w:hAnsiTheme="majorHAnsi" w:cstheme="majorBidi"/>
              <w:b/>
              <w:color w:val="016574" w:themeColor="accent2"/>
              <w:sz w:val="32"/>
              <w:szCs w:val="26"/>
            </w:rPr>
            <w:t xml:space="preserve">roker or </w:t>
          </w:r>
          <w:r w:rsidR="00135112">
            <w:rPr>
              <w:rFonts w:asciiTheme="majorHAnsi" w:eastAsia="Times New Roman" w:hAnsiTheme="majorHAnsi" w:cstheme="majorBidi"/>
              <w:b/>
              <w:color w:val="016574" w:themeColor="accent2"/>
              <w:sz w:val="32"/>
              <w:szCs w:val="26"/>
            </w:rPr>
            <w:t>d</w:t>
          </w:r>
          <w:r w:rsidRPr="005801B8">
            <w:rPr>
              <w:rFonts w:asciiTheme="majorHAnsi" w:eastAsia="Times New Roman" w:hAnsiTheme="majorHAnsi" w:cstheme="majorBidi"/>
              <w:b/>
              <w:color w:val="016574" w:themeColor="accent2"/>
              <w:sz w:val="32"/>
              <w:szCs w:val="26"/>
            </w:rPr>
            <w:t>ealer of waste</w:t>
          </w:r>
          <w:bookmarkEnd w:id="1"/>
        </w:p>
        <w:p w14:paraId="193F7601" w14:textId="4E63FB00" w:rsidR="005801B8" w:rsidRDefault="005801B8" w:rsidP="003D5442">
          <w:r>
            <w:t>T</w:t>
          </w:r>
          <w:r w:rsidRPr="005801B8">
            <w:t xml:space="preserve">hree </w:t>
          </w:r>
          <w:r>
            <w:t xml:space="preserve">standard </w:t>
          </w:r>
          <w:r w:rsidRPr="005801B8">
            <w:t xml:space="preserve">conditions </w:t>
          </w:r>
          <w:r>
            <w:t>apply to the registration for ‘</w:t>
          </w:r>
          <w:r w:rsidRPr="005801B8">
            <w:t>acting as a broker or dealer of waste</w:t>
          </w:r>
          <w:r>
            <w:t>’</w:t>
          </w:r>
          <w:r w:rsidRPr="005801B8">
            <w:t xml:space="preserve">. </w:t>
          </w:r>
        </w:p>
        <w:p w14:paraId="7B4AC299" w14:textId="15BEA6FC" w:rsidR="00DE2143" w:rsidRDefault="00DE2143" w:rsidP="005801B8">
          <w:r>
            <w:t>T</w:t>
          </w:r>
          <w:r w:rsidR="005801B8" w:rsidRPr="005801B8">
            <w:t>he registration</w:t>
          </w:r>
          <w:r>
            <w:t xml:space="preserve"> reference</w:t>
          </w:r>
          <w:r w:rsidR="005801B8" w:rsidRPr="005801B8">
            <w:t xml:space="preserve"> number </w:t>
          </w:r>
          <w:r>
            <w:t>must be</w:t>
          </w:r>
          <w:r w:rsidR="005801B8" w:rsidRPr="005801B8">
            <w:t xml:space="preserve"> included in any advertisement for waste broker</w:t>
          </w:r>
          <w:r>
            <w:t>age</w:t>
          </w:r>
          <w:r w:rsidR="005801B8" w:rsidRPr="005801B8">
            <w:t xml:space="preserve"> services, as well as to any person that waste is collected from or given to. </w:t>
          </w:r>
        </w:p>
        <w:p w14:paraId="1E551FB1" w14:textId="282CB33C" w:rsidR="005801B8" w:rsidRPr="005801B8" w:rsidRDefault="005801B8" w:rsidP="003D5442">
          <w:r w:rsidRPr="005801B8">
            <w:lastRenderedPageBreak/>
            <w:t xml:space="preserve">The guidance above on the meaning of an “advertisement” </w:t>
          </w:r>
          <w:r w:rsidR="00DE2143">
            <w:t xml:space="preserve">also </w:t>
          </w:r>
          <w:r w:rsidRPr="005801B8">
            <w:t>applies to broke</w:t>
          </w:r>
          <w:r w:rsidR="00DE2143">
            <w:t>rage</w:t>
          </w:r>
          <w:r w:rsidRPr="005801B8">
            <w:t xml:space="preserve"> services. For example, a social media post offering waste collection services, where the authorised person will not be the person that collects the waste or delivers it to its destination. </w:t>
          </w:r>
        </w:p>
        <w:p w14:paraId="42AD8DA3" w14:textId="79D11BD4" w:rsidR="005801B8" w:rsidRPr="005801B8" w:rsidRDefault="00DE2143" w:rsidP="003D5442">
          <w:r>
            <w:t>The</w:t>
          </w:r>
          <w:r w:rsidR="005801B8" w:rsidRPr="005801B8">
            <w:t xml:space="preserve"> authorised person </w:t>
          </w:r>
          <w:r>
            <w:t>must</w:t>
          </w:r>
          <w:r w:rsidR="005801B8" w:rsidRPr="005801B8">
            <w:t xml:space="preserve"> keep records of the persons they arrange collection or receipt of waste for. Those who buy and sell waste must also keep a record of those they buy and sell waste from or to. In both cases dates of waste movements should be included in the record. These records must be kept for 6 years.</w:t>
          </w:r>
        </w:p>
        <w:p w14:paraId="262963C1" w14:textId="77777777" w:rsidR="002628DB" w:rsidRPr="004C2196" w:rsidRDefault="002628DB" w:rsidP="002628DB">
          <w:pPr>
            <w:rPr>
              <w:rFonts w:ascii="Arial" w:eastAsia="Times New Roman" w:hAnsi="Arial" w:cs="Arial"/>
              <w:b/>
              <w:bCs/>
              <w:color w:val="016574" w:themeColor="accent6"/>
              <w:sz w:val="32"/>
              <w:szCs w:val="32"/>
            </w:rPr>
          </w:pPr>
          <w:r w:rsidRPr="004C2196">
            <w:rPr>
              <w:rFonts w:ascii="Arial" w:eastAsia="Times New Roman" w:hAnsi="Arial" w:cs="Arial"/>
              <w:b/>
              <w:bCs/>
              <w:color w:val="016574" w:themeColor="accent6"/>
              <w:sz w:val="32"/>
              <w:szCs w:val="32"/>
            </w:rPr>
            <w:t>Disclaimer </w:t>
          </w:r>
        </w:p>
        <w:p w14:paraId="19AD3158" w14:textId="77777777" w:rsidR="00CC29A6" w:rsidRPr="00CC29A6" w:rsidRDefault="00CC29A6" w:rsidP="00CC29A6">
          <w:pPr>
            <w:rPr>
              <w:rFonts w:ascii="Arial" w:eastAsia="Times New Roman" w:hAnsi="Arial" w:cs="Arial"/>
            </w:rPr>
          </w:pPr>
          <w:r w:rsidRPr="00CC29A6">
            <w:rPr>
              <w:rFonts w:ascii="Arial" w:eastAsia="Times New Roman" w:hAnsi="Arial" w:cs="Arial"/>
            </w:rPr>
            <w:t xml:space="preserve">This guidance is based on the law as it stood when the guidance was published. </w:t>
          </w:r>
        </w:p>
        <w:p w14:paraId="244AC2CE" w14:textId="77777777" w:rsidR="00CC29A6" w:rsidRPr="00CC29A6" w:rsidRDefault="00CC29A6" w:rsidP="00CC29A6">
          <w:pPr>
            <w:rPr>
              <w:rFonts w:ascii="Arial" w:eastAsia="Times New Roman" w:hAnsi="Arial" w:cs="Arial"/>
            </w:rPr>
          </w:pPr>
          <w:r w:rsidRPr="00CC29A6">
            <w:rPr>
              <w:rFonts w:ascii="Arial" w:eastAsia="Times New Roman" w:hAnsi="Arial" w:cs="Arial"/>
            </w:rPr>
            <w:t xml:space="preserve">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 </w:t>
          </w:r>
        </w:p>
        <w:p w14:paraId="63201766" w14:textId="77777777" w:rsidR="00CC29A6" w:rsidRPr="00CC29A6" w:rsidRDefault="00CC29A6" w:rsidP="00CC29A6">
          <w:pPr>
            <w:numPr>
              <w:ilvl w:val="0"/>
              <w:numId w:val="13"/>
            </w:numPr>
            <w:rPr>
              <w:rFonts w:ascii="Arial" w:eastAsia="Times New Roman" w:hAnsi="Arial" w:cs="Arial"/>
            </w:rPr>
          </w:pPr>
          <w:r w:rsidRPr="00CC29A6">
            <w:rPr>
              <w:rFonts w:ascii="Arial" w:eastAsia="Times New Roman" w:hAnsi="Arial" w:cs="Arial"/>
            </w:rPr>
            <w:t>any direct, indirect and consequential losses</w:t>
          </w:r>
        </w:p>
        <w:p w14:paraId="612E9798" w14:textId="77777777" w:rsidR="00CC29A6" w:rsidRPr="00CC29A6" w:rsidRDefault="00CC29A6" w:rsidP="00CC29A6">
          <w:pPr>
            <w:numPr>
              <w:ilvl w:val="0"/>
              <w:numId w:val="13"/>
            </w:numPr>
            <w:rPr>
              <w:rFonts w:ascii="Arial" w:eastAsia="Times New Roman" w:hAnsi="Arial" w:cs="Arial"/>
            </w:rPr>
          </w:pPr>
          <w:r w:rsidRPr="00CC29A6">
            <w:rPr>
              <w:rFonts w:ascii="Arial" w:eastAsia="Times New Roman" w:hAnsi="Arial" w:cs="Arial"/>
            </w:rPr>
            <w:t>any loss or damage caused by civil wrongs, breach of contract or otherwise</w:t>
          </w:r>
        </w:p>
        <w:p w14:paraId="5B914FBA" w14:textId="3D20B1D2" w:rsidR="00EC6A73" w:rsidRPr="00ED3EE7" w:rsidRDefault="00CC29A6" w:rsidP="00ED3EE7">
          <w:pPr>
            <w:rPr>
              <w:b/>
              <w:bCs/>
              <w:color w:val="FFFFFF" w:themeColor="background1"/>
              <w:sz w:val="84"/>
              <w:szCs w:val="84"/>
            </w:rPr>
          </w:pPr>
          <w:r w:rsidRPr="00CC29A6">
            <w:rPr>
              <w:rFonts w:ascii="Arial" w:eastAsia="Times New Roman" w:hAnsi="Arial" w:cs="Arial"/>
            </w:rPr>
            <w:t>SEPA reserves the right to depart from this guidance and take appropriate action as it considers necessary or appropriate.  Applicants and authorised persons are responsible for ensuring that they are compliant with the law. If necessary, independent legal / specialist advice should be sought.</w:t>
          </w:r>
          <w:r w:rsidR="00281BB1" w:rsidRPr="00EA297B">
            <w:rPr>
              <w:noProof/>
            </w:rPr>
            <mc:AlternateContent>
              <mc:Choice Requires="wps">
                <w:drawing>
                  <wp:anchor distT="0" distB="0" distL="114300" distR="114300" simplePos="0" relativeHeight="251658240" behindDoc="0" locked="1" layoutInCell="1" allowOverlap="1" wp14:anchorId="042C7FDD" wp14:editId="3A31ECE5">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1313D60E"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C7FDD"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1313D60E"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v:textbox>
                    <w10:anchorlock/>
                  </v:shape>
                </w:pict>
              </mc:Fallback>
            </mc:AlternateContent>
          </w:r>
        </w:p>
      </w:sdtContent>
    </w:sdt>
    <w:p w14:paraId="70AC77DF" w14:textId="77777777" w:rsidR="00EC6A73" w:rsidRDefault="00EC6A73" w:rsidP="00917BB1">
      <w:pPr>
        <w:tabs>
          <w:tab w:val="left" w:pos="5906"/>
        </w:tabs>
      </w:pPr>
    </w:p>
    <w:p w14:paraId="314B56B5" w14:textId="77777777" w:rsidR="008C59D2" w:rsidRPr="0020743F" w:rsidRDefault="008C59D2" w:rsidP="008C59D2">
      <w:pPr>
        <w:pStyle w:val="BodyText1"/>
        <w:rPr>
          <w:rFonts w:eastAsia="Times New Roman"/>
          <w:sz w:val="32"/>
          <w:szCs w:val="32"/>
        </w:rPr>
      </w:pPr>
      <w:r w:rsidRPr="0020743F">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20743F">
          <w:rPr>
            <w:rFonts w:eastAsia="Times New Roman"/>
            <w:color w:val="016574" w:themeColor="hyperlink"/>
            <w:sz w:val="32"/>
            <w:szCs w:val="32"/>
            <w:u w:val="single"/>
          </w:rPr>
          <w:t>equalities@sepa.org.uk</w:t>
        </w:r>
      </w:hyperlink>
      <w:r w:rsidRPr="0020743F">
        <w:rPr>
          <w:rFonts w:eastAsia="Times New Roman"/>
          <w:sz w:val="32"/>
          <w:szCs w:val="32"/>
        </w:rPr>
        <w:t xml:space="preserve"> </w:t>
      </w:r>
    </w:p>
    <w:p w14:paraId="2D5D9508" w14:textId="2B67343A" w:rsidR="006243FF" w:rsidRPr="00E245AC" w:rsidRDefault="006243FF" w:rsidP="008C59D2">
      <w:pPr>
        <w:pStyle w:val="BodyText1"/>
      </w:pPr>
    </w:p>
    <w:sectPr w:rsidR="006243FF" w:rsidRPr="00E245AC" w:rsidSect="00917BB1">
      <w:headerReference w:type="default" r:id="rId14"/>
      <w:footerReference w:type="even" r:id="rId15"/>
      <w:footerReference w:type="default" r:id="rId16"/>
      <w:headerReference w:type="first" r:id="rId17"/>
      <w:footerReference w:type="first" r:id="rId18"/>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C0D7B" w14:textId="77777777" w:rsidR="002F4EEA" w:rsidRDefault="002F4EEA" w:rsidP="00660C79">
      <w:pPr>
        <w:spacing w:line="240" w:lineRule="auto"/>
      </w:pPr>
      <w:r>
        <w:separator/>
      </w:r>
    </w:p>
  </w:endnote>
  <w:endnote w:type="continuationSeparator" w:id="0">
    <w:p w14:paraId="5A4FF9E9" w14:textId="77777777" w:rsidR="002F4EEA" w:rsidRDefault="002F4EEA" w:rsidP="00660C79">
      <w:pPr>
        <w:spacing w:line="240" w:lineRule="auto"/>
      </w:pPr>
      <w:r>
        <w:continuationSeparator/>
      </w:r>
    </w:p>
  </w:endnote>
  <w:endnote w:type="continuationNotice" w:id="1">
    <w:p w14:paraId="4CFA7E2D" w14:textId="77777777" w:rsidR="002F4EEA" w:rsidRDefault="002F4E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7739DAC4"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018A7C6E"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D438BD"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20F37" w14:textId="77777777" w:rsidR="00EC6A73" w:rsidRDefault="002369CA" w:rsidP="00917BB1">
    <w:pPr>
      <w:pStyle w:val="Footer"/>
      <w:ind w:right="360"/>
    </w:pPr>
    <w:r>
      <w:rPr>
        <w:noProof/>
      </w:rPr>
      <mc:AlternateContent>
        <mc:Choice Requires="wps">
          <w:drawing>
            <wp:anchor distT="0" distB="0" distL="114300" distR="114300" simplePos="0" relativeHeight="251658244" behindDoc="0" locked="0" layoutInCell="0" allowOverlap="1" wp14:anchorId="4C9B2FDF" wp14:editId="788862F0">
              <wp:simplePos x="0" y="0"/>
              <wp:positionH relativeFrom="page">
                <wp:posOffset>0</wp:posOffset>
              </wp:positionH>
              <wp:positionV relativeFrom="page">
                <wp:posOffset>10229215</wp:posOffset>
              </wp:positionV>
              <wp:extent cx="7556500" cy="273050"/>
              <wp:effectExtent l="0" t="0" r="0" b="12700"/>
              <wp:wrapNone/>
              <wp:docPr id="5" name="MSIPCM5e5e4a189a8ec75f16fc991b">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8D1274"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9B2FDF" id="_x0000_t202" coordsize="21600,21600" o:spt="202" path="m,l,21600r21600,l21600,xe">
              <v:stroke joinstyle="miter"/>
              <v:path gradientshapeok="t" o:connecttype="rect"/>
            </v:shapetype>
            <v:shape id="MSIPCM5e5e4a189a8ec75f16fc991b" o:spid="_x0000_s1028"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498D1274"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p w14:paraId="090E69B4"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234884BB" wp14:editId="3018B102">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pic="http://schemas.openxmlformats.org/drawingml/2006/picture" xmlns:a14="http://schemas.microsoft.com/office/drawing/2010/main" xmlns:adec="http://schemas.microsoft.com/office/drawing/2017/decorative" xmlns:a="http://schemas.openxmlformats.org/drawingml/2006/main" xmlns:arto="http://schemas.microsoft.com/office/word/2006/arto">
          <w:pict>
            <v:line id="Straight Connector 10" style="position:absolute;z-index:251658241;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5.85pt" to="511.1pt,5.85pt" w14:anchorId="46ED08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08F9E520" w14:textId="0EDC5CD3" w:rsidR="00EC6A73" w:rsidRDefault="002628DB" w:rsidP="00EC6A73">
        <w:pPr>
          <w:pStyle w:val="Footer"/>
          <w:framePr w:wrap="none" w:vAnchor="text" w:hAnchor="page" w:x="10958" w:y="9"/>
          <w:rPr>
            <w:rStyle w:val="PageNumber"/>
          </w:rPr>
        </w:pPr>
        <w:r>
          <w:rPr>
            <w:rStyle w:val="PageNumber"/>
          </w:rPr>
          <w:t>3</w:t>
        </w:r>
      </w:p>
    </w:sdtContent>
  </w:sdt>
  <w:p w14:paraId="75D7C215" w14:textId="77777777" w:rsidR="00917BB1" w:rsidRDefault="00917BB1" w:rsidP="00917BB1">
    <w:pPr>
      <w:pStyle w:val="Footer"/>
      <w:ind w:right="360"/>
    </w:pPr>
    <w:r>
      <w:rPr>
        <w:noProof/>
      </w:rPr>
      <w:drawing>
        <wp:inline distT="0" distB="0" distL="0" distR="0" wp14:anchorId="3E4B609C" wp14:editId="6CC61411">
          <wp:extent cx="1007167" cy="265044"/>
          <wp:effectExtent l="0" t="0" r="0" b="190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5272577"/>
      <w:docPartObj>
        <w:docPartGallery w:val="Page Numbers (Bottom of Page)"/>
        <w:docPartUnique/>
      </w:docPartObj>
    </w:sdtPr>
    <w:sdtEndPr>
      <w:rPr>
        <w:noProof/>
      </w:rPr>
    </w:sdtEndPr>
    <w:sdtContent>
      <w:p w14:paraId="4E7F4C42" w14:textId="0154E4FC" w:rsidR="002628DB" w:rsidRDefault="002628DB">
        <w:pPr>
          <w:pStyle w:val="Footer"/>
          <w:jc w:val="right"/>
        </w:pPr>
        <w:r>
          <w:t>1</w:t>
        </w:r>
      </w:p>
    </w:sdtContent>
  </w:sdt>
  <w:p w14:paraId="30DF2623" w14:textId="0EDCFA69" w:rsidR="002369CA" w:rsidRDefault="00236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5D58C" w14:textId="77777777" w:rsidR="002F4EEA" w:rsidRDefault="002F4EEA" w:rsidP="00660C79">
      <w:pPr>
        <w:spacing w:line="240" w:lineRule="auto"/>
      </w:pPr>
      <w:r>
        <w:separator/>
      </w:r>
    </w:p>
  </w:footnote>
  <w:footnote w:type="continuationSeparator" w:id="0">
    <w:p w14:paraId="3641431E" w14:textId="77777777" w:rsidR="002F4EEA" w:rsidRDefault="002F4EEA" w:rsidP="00660C79">
      <w:pPr>
        <w:spacing w:line="240" w:lineRule="auto"/>
      </w:pPr>
      <w:r>
        <w:continuationSeparator/>
      </w:r>
    </w:p>
  </w:footnote>
  <w:footnote w:type="continuationNotice" w:id="1">
    <w:p w14:paraId="44AB8054" w14:textId="77777777" w:rsidR="002F4EEA" w:rsidRDefault="002F4E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16F30" w14:textId="5E50B119" w:rsidR="008D113C" w:rsidRPr="00917BB1" w:rsidRDefault="002369CA" w:rsidP="008D113C">
    <w:pPr>
      <w:pStyle w:val="BodyText1"/>
      <w:spacing w:line="240" w:lineRule="auto"/>
      <w:jc w:val="right"/>
      <w:rPr>
        <w:color w:val="6E7571" w:themeColor="text2"/>
      </w:rPr>
    </w:pPr>
    <w:r>
      <w:rPr>
        <w:noProof/>
        <w:color w:val="6E7571" w:themeColor="text2"/>
      </w:rPr>
      <mc:AlternateContent>
        <mc:Choice Requires="wps">
          <w:drawing>
            <wp:anchor distT="0" distB="0" distL="114300" distR="114300" simplePos="0" relativeHeight="251658242" behindDoc="0" locked="0" layoutInCell="0" allowOverlap="1" wp14:anchorId="41192044" wp14:editId="7BF7A777">
              <wp:simplePos x="0" y="0"/>
              <wp:positionH relativeFrom="page">
                <wp:posOffset>0</wp:posOffset>
              </wp:positionH>
              <wp:positionV relativeFrom="page">
                <wp:posOffset>190500</wp:posOffset>
              </wp:positionV>
              <wp:extent cx="7556500" cy="273050"/>
              <wp:effectExtent l="0" t="0" r="0" b="12700"/>
              <wp:wrapNone/>
              <wp:docPr id="1" name="MSIPCM3e7c4667b3fb4a16462b8c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38F840"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1192044" id="_x0000_t202" coordsize="21600,21600" o:spt="202" path="m,l,21600r21600,l21600,xe">
              <v:stroke joinstyle="miter"/>
              <v:path gradientshapeok="t" o:connecttype="rect"/>
            </v:shapetype>
            <v:shape id="MSIPCM3e7c4667b3fb4a16462b8c07" o:spid="_x0000_s1027" type="#_x0000_t202" alt="&quot;&quot;" style="position:absolute;left:0;text-align:left;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6A38F840"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r w:rsidR="006E0288">
      <w:rPr>
        <w:color w:val="6E7571" w:themeColor="text2"/>
      </w:rPr>
      <w:t>Transporting waste &amp; act</w:t>
    </w:r>
    <w:r w:rsidR="00807DEF">
      <w:rPr>
        <w:color w:val="6E7571" w:themeColor="text2"/>
      </w:rPr>
      <w:t>ing as a broker or dealer of waste</w:t>
    </w:r>
  </w:p>
  <w:p w14:paraId="17F34D0C"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66E08D78" wp14:editId="4FA01D91">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adec="http://schemas.microsoft.com/office/drawing/2017/decorative" xmlns:a="http://schemas.openxmlformats.org/drawingml/2006/main" xmlns:arto="http://schemas.microsoft.com/office/word/2006/arto">
          <w:pict>
            <v:line id="Straight Connector 7"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7pt" to="511.1pt,7pt" w14:anchorId="105E92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A4932" w14:textId="77777777" w:rsidR="002369CA" w:rsidRDefault="002369CA">
    <w:pPr>
      <w:pStyle w:val="Header"/>
    </w:pPr>
    <w:r>
      <w:rPr>
        <w:noProof/>
      </w:rPr>
      <mc:AlternateContent>
        <mc:Choice Requires="wps">
          <w:drawing>
            <wp:anchor distT="0" distB="0" distL="114300" distR="114300" simplePos="0" relativeHeight="251658243" behindDoc="0" locked="0" layoutInCell="0" allowOverlap="1" wp14:anchorId="05FCB063" wp14:editId="4A078222">
              <wp:simplePos x="0" y="0"/>
              <wp:positionH relativeFrom="page">
                <wp:posOffset>0</wp:posOffset>
              </wp:positionH>
              <wp:positionV relativeFrom="page">
                <wp:posOffset>190500</wp:posOffset>
              </wp:positionV>
              <wp:extent cx="7556500" cy="273050"/>
              <wp:effectExtent l="0" t="0" r="0" b="12700"/>
              <wp:wrapNone/>
              <wp:docPr id="4" name="MSIPCMa3a54bf5b0225d2ae74b3b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03169E"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5FCB063" id="_x0000_t202" coordsize="21600,21600" o:spt="202" path="m,l,21600r21600,l21600,xe">
              <v:stroke joinstyle="miter"/>
              <v:path gradientshapeok="t" o:connecttype="rect"/>
            </v:shapetype>
            <v:shape id="MSIPCMa3a54bf5b0225d2ae74b3b10" o:spid="_x0000_s1029" type="#_x0000_t202" alt="&quot;&quot;" style="position:absolute;margin-left:0;margin-top:1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4403169E"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20C197F"/>
    <w:multiLevelType w:val="hybridMultilevel"/>
    <w:tmpl w:val="942E4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7B63916"/>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51140664">
    <w:abstractNumId w:val="12"/>
  </w:num>
  <w:num w:numId="12" w16cid:durableId="781656532">
    <w:abstractNumId w:val="10"/>
  </w:num>
  <w:num w:numId="13" w16cid:durableId="2047411773">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CD"/>
    <w:rsid w:val="00021A90"/>
    <w:rsid w:val="00032829"/>
    <w:rsid w:val="00040561"/>
    <w:rsid w:val="00070937"/>
    <w:rsid w:val="00095F08"/>
    <w:rsid w:val="000B7559"/>
    <w:rsid w:val="000E05AA"/>
    <w:rsid w:val="000E0D15"/>
    <w:rsid w:val="00105F31"/>
    <w:rsid w:val="00135112"/>
    <w:rsid w:val="0017002A"/>
    <w:rsid w:val="00186EAF"/>
    <w:rsid w:val="00236552"/>
    <w:rsid w:val="002369CA"/>
    <w:rsid w:val="00240C05"/>
    <w:rsid w:val="00241D66"/>
    <w:rsid w:val="002628DB"/>
    <w:rsid w:val="00277F77"/>
    <w:rsid w:val="00281BB1"/>
    <w:rsid w:val="00293959"/>
    <w:rsid w:val="002C7710"/>
    <w:rsid w:val="002F4EEA"/>
    <w:rsid w:val="0030096D"/>
    <w:rsid w:val="0030479F"/>
    <w:rsid w:val="00317618"/>
    <w:rsid w:val="00320FA4"/>
    <w:rsid w:val="00351F7A"/>
    <w:rsid w:val="0036127F"/>
    <w:rsid w:val="003858F1"/>
    <w:rsid w:val="003D5442"/>
    <w:rsid w:val="003F5384"/>
    <w:rsid w:val="004073BC"/>
    <w:rsid w:val="00412609"/>
    <w:rsid w:val="00421FC0"/>
    <w:rsid w:val="00426E3C"/>
    <w:rsid w:val="00444AA1"/>
    <w:rsid w:val="0044593E"/>
    <w:rsid w:val="00466D27"/>
    <w:rsid w:val="0049793C"/>
    <w:rsid w:val="004A12B6"/>
    <w:rsid w:val="004B307B"/>
    <w:rsid w:val="004D4D35"/>
    <w:rsid w:val="004D6DB1"/>
    <w:rsid w:val="0057341A"/>
    <w:rsid w:val="005759EF"/>
    <w:rsid w:val="005801B8"/>
    <w:rsid w:val="005900AA"/>
    <w:rsid w:val="005A355E"/>
    <w:rsid w:val="005D1213"/>
    <w:rsid w:val="005D64C1"/>
    <w:rsid w:val="005D7437"/>
    <w:rsid w:val="006033E7"/>
    <w:rsid w:val="006243FF"/>
    <w:rsid w:val="00627754"/>
    <w:rsid w:val="00660C79"/>
    <w:rsid w:val="00662E34"/>
    <w:rsid w:val="006632F6"/>
    <w:rsid w:val="00670452"/>
    <w:rsid w:val="00674011"/>
    <w:rsid w:val="00690964"/>
    <w:rsid w:val="0069660D"/>
    <w:rsid w:val="00696CE0"/>
    <w:rsid w:val="006D16CE"/>
    <w:rsid w:val="006E0288"/>
    <w:rsid w:val="006E2C85"/>
    <w:rsid w:val="006F4753"/>
    <w:rsid w:val="00737266"/>
    <w:rsid w:val="0075264C"/>
    <w:rsid w:val="00760F9A"/>
    <w:rsid w:val="00766162"/>
    <w:rsid w:val="00780582"/>
    <w:rsid w:val="007853B9"/>
    <w:rsid w:val="007B38CD"/>
    <w:rsid w:val="007C3F12"/>
    <w:rsid w:val="007D441B"/>
    <w:rsid w:val="00801105"/>
    <w:rsid w:val="00807DEF"/>
    <w:rsid w:val="008306FE"/>
    <w:rsid w:val="00840CA1"/>
    <w:rsid w:val="00854A58"/>
    <w:rsid w:val="00861B46"/>
    <w:rsid w:val="008A5426"/>
    <w:rsid w:val="008C1A73"/>
    <w:rsid w:val="008C59D2"/>
    <w:rsid w:val="008D113C"/>
    <w:rsid w:val="008D376F"/>
    <w:rsid w:val="00907B3F"/>
    <w:rsid w:val="00917BB1"/>
    <w:rsid w:val="009666DB"/>
    <w:rsid w:val="0096745E"/>
    <w:rsid w:val="00975D21"/>
    <w:rsid w:val="00980531"/>
    <w:rsid w:val="00990510"/>
    <w:rsid w:val="0099633B"/>
    <w:rsid w:val="009A240D"/>
    <w:rsid w:val="009B582F"/>
    <w:rsid w:val="00A00B4F"/>
    <w:rsid w:val="00A038AE"/>
    <w:rsid w:val="00A40205"/>
    <w:rsid w:val="00A4253D"/>
    <w:rsid w:val="00A4691F"/>
    <w:rsid w:val="00A9349C"/>
    <w:rsid w:val="00AA3D30"/>
    <w:rsid w:val="00AE068C"/>
    <w:rsid w:val="00B011F7"/>
    <w:rsid w:val="00B03587"/>
    <w:rsid w:val="00B22BA3"/>
    <w:rsid w:val="00B23D29"/>
    <w:rsid w:val="00B26B28"/>
    <w:rsid w:val="00B33C4B"/>
    <w:rsid w:val="00B43E12"/>
    <w:rsid w:val="00B46E48"/>
    <w:rsid w:val="00B54CF4"/>
    <w:rsid w:val="00B758D5"/>
    <w:rsid w:val="00BD4849"/>
    <w:rsid w:val="00BE1E77"/>
    <w:rsid w:val="00BE60E1"/>
    <w:rsid w:val="00BF6121"/>
    <w:rsid w:val="00C010EC"/>
    <w:rsid w:val="00C569B9"/>
    <w:rsid w:val="00C63AF5"/>
    <w:rsid w:val="00C723D1"/>
    <w:rsid w:val="00CA506D"/>
    <w:rsid w:val="00CC29A6"/>
    <w:rsid w:val="00CD724F"/>
    <w:rsid w:val="00CF7EFB"/>
    <w:rsid w:val="00D35448"/>
    <w:rsid w:val="00D661AD"/>
    <w:rsid w:val="00DA1E4A"/>
    <w:rsid w:val="00DC1FC5"/>
    <w:rsid w:val="00DE2143"/>
    <w:rsid w:val="00E245AC"/>
    <w:rsid w:val="00E24AB5"/>
    <w:rsid w:val="00E62524"/>
    <w:rsid w:val="00E67C75"/>
    <w:rsid w:val="00EA297B"/>
    <w:rsid w:val="00EC6A73"/>
    <w:rsid w:val="00ED3EE7"/>
    <w:rsid w:val="00EF554A"/>
    <w:rsid w:val="00F07048"/>
    <w:rsid w:val="00F1010A"/>
    <w:rsid w:val="00F417D5"/>
    <w:rsid w:val="00F60DD8"/>
    <w:rsid w:val="00F65B96"/>
    <w:rsid w:val="00F72274"/>
    <w:rsid w:val="00F72DC5"/>
    <w:rsid w:val="00F74FFC"/>
    <w:rsid w:val="00F97E60"/>
    <w:rsid w:val="00FD3144"/>
    <w:rsid w:val="00FF5D5A"/>
    <w:rsid w:val="00FF669F"/>
    <w:rsid w:val="04575FDF"/>
    <w:rsid w:val="04D3832A"/>
    <w:rsid w:val="17268E4E"/>
    <w:rsid w:val="1A213C49"/>
    <w:rsid w:val="244A389B"/>
    <w:rsid w:val="25D63668"/>
    <w:rsid w:val="25D7DB41"/>
    <w:rsid w:val="2EB6B7D7"/>
    <w:rsid w:val="3D0890BE"/>
    <w:rsid w:val="4C22B892"/>
    <w:rsid w:val="53BD837F"/>
    <w:rsid w:val="5B6B5394"/>
    <w:rsid w:val="5CFD156D"/>
    <w:rsid w:val="62CB8FDE"/>
    <w:rsid w:val="6DF2B509"/>
    <w:rsid w:val="6E3C9C22"/>
    <w:rsid w:val="73AD605A"/>
    <w:rsid w:val="741E183F"/>
    <w:rsid w:val="7EDC53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5676B"/>
  <w15:chartTrackingRefBased/>
  <w15:docId w15:val="{798F868F-5896-482C-BA4E-0EAFC03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C"/>
    <w:pPr>
      <w:spacing w:after="240" w:line="360" w:lineRule="auto"/>
    </w:pPr>
    <w:rPr>
      <w:rFonts w:eastAsiaTheme="minorEastAsia"/>
    </w:rPr>
  </w:style>
  <w:style w:type="paragraph" w:styleId="Heading1">
    <w:name w:val="heading 1"/>
    <w:basedOn w:val="Normal"/>
    <w:next w:val="Normal"/>
    <w:link w:val="Heading1Char"/>
    <w:uiPriority w:val="9"/>
    <w:qFormat/>
    <w:rsid w:val="00E245AC"/>
    <w:pPr>
      <w:keepNext/>
      <w:keepLines/>
      <w:spacing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E245AC"/>
    <w:pPr>
      <w:keepNext/>
      <w:keepLines/>
      <w:spacing w:line="276" w:lineRule="auto"/>
      <w:outlineLvl w:val="1"/>
    </w:pPr>
    <w:rPr>
      <w:rFonts w:ascii="Arial" w:eastAsiaTheme="majorEastAsia" w:hAnsi="Arial" w:cstheme="majorBidi"/>
      <w:b/>
      <w:color w:val="016574" w:themeColor="accent2"/>
      <w:sz w:val="32"/>
      <w:szCs w:val="26"/>
    </w:rPr>
  </w:style>
  <w:style w:type="paragraph" w:styleId="Heading3">
    <w:name w:val="heading 3"/>
    <w:basedOn w:val="Normal"/>
    <w:next w:val="Normal"/>
    <w:link w:val="Heading3Char"/>
    <w:uiPriority w:val="9"/>
    <w:unhideWhenUsed/>
    <w:qFormat/>
    <w:rsid w:val="00F417D5"/>
    <w:pPr>
      <w:keepNext/>
      <w:keepLines/>
      <w:spacing w:line="276" w:lineRule="auto"/>
      <w:outlineLvl w:val="2"/>
    </w:pPr>
    <w:rPr>
      <w:rFonts w:ascii="Arial" w:eastAsiaTheme="majorEastAsia" w:hAnsi="Arial" w:cstheme="majorBidi"/>
      <w:b/>
      <w:sz w:val="28"/>
    </w:rPr>
  </w:style>
  <w:style w:type="paragraph" w:styleId="Heading4">
    <w:name w:val="heading 4"/>
    <w:basedOn w:val="Normal"/>
    <w:next w:val="Normal"/>
    <w:link w:val="Heading4Char"/>
    <w:uiPriority w:val="9"/>
    <w:unhideWhenUsed/>
    <w:qFormat/>
    <w:rsid w:val="00F417D5"/>
    <w:pPr>
      <w:keepNext/>
      <w:keepLines/>
      <w:spacing w:line="276" w:lineRule="auto"/>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E245AC"/>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E245AC"/>
    <w:rPr>
      <w:rFonts w:ascii="Arial" w:eastAsiaTheme="majorEastAsia" w:hAnsi="Arial" w:cstheme="majorBidi"/>
      <w:b/>
      <w:color w:val="016574" w:themeColor="accent2"/>
      <w:sz w:val="32"/>
      <w:szCs w:val="26"/>
    </w:rPr>
  </w:style>
  <w:style w:type="character" w:customStyle="1" w:styleId="Heading3Char">
    <w:name w:val="Heading 3 Char"/>
    <w:basedOn w:val="DefaultParagraphFont"/>
    <w:link w:val="Heading3"/>
    <w:uiPriority w:val="9"/>
    <w:rsid w:val="00F417D5"/>
    <w:rPr>
      <w:rFonts w:ascii="Arial" w:eastAsiaTheme="majorEastAsia" w:hAnsi="Arial" w:cstheme="majorBidi"/>
      <w:b/>
      <w:sz w:val="28"/>
    </w:rPr>
  </w:style>
  <w:style w:type="character" w:customStyle="1" w:styleId="Heading4Char">
    <w:name w:val="Heading 4 Char"/>
    <w:basedOn w:val="DefaultParagraphFont"/>
    <w:link w:val="Heading4"/>
    <w:uiPriority w:val="9"/>
    <w:rsid w:val="00F417D5"/>
    <w:rPr>
      <w:rFonts w:ascii="Arial" w:eastAsiaTheme="majorEastAsia" w:hAnsi="Arial" w:cstheme="majorBidi"/>
      <w:b/>
      <w:iCs/>
    </w:rPr>
  </w:style>
  <w:style w:type="paragraph" w:customStyle="1" w:styleId="BodyText1">
    <w:name w:val="Body Text1"/>
    <w:basedOn w:val="Normal"/>
    <w:qFormat/>
    <w:rsid w:val="00E245AC"/>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E245AC"/>
    <w:rPr>
      <w:sz w:val="48"/>
      <w:szCs w:val="48"/>
    </w:rPr>
  </w:style>
  <w:style w:type="character" w:customStyle="1" w:styleId="normaltextrun">
    <w:name w:val="normaltextrun"/>
    <w:basedOn w:val="DefaultParagraphFont"/>
    <w:rsid w:val="00F65B96"/>
  </w:style>
  <w:style w:type="character" w:styleId="CommentReference">
    <w:name w:val="annotation reference"/>
    <w:basedOn w:val="DefaultParagraphFont"/>
    <w:uiPriority w:val="99"/>
    <w:semiHidden/>
    <w:unhideWhenUsed/>
    <w:rsid w:val="00F65B96"/>
    <w:rPr>
      <w:sz w:val="16"/>
      <w:szCs w:val="16"/>
    </w:rPr>
  </w:style>
  <w:style w:type="paragraph" w:styleId="CommentText">
    <w:name w:val="annotation text"/>
    <w:basedOn w:val="Normal"/>
    <w:link w:val="CommentTextChar"/>
    <w:uiPriority w:val="99"/>
    <w:unhideWhenUsed/>
    <w:rsid w:val="00F65B96"/>
    <w:pPr>
      <w:spacing w:line="240" w:lineRule="auto"/>
    </w:pPr>
    <w:rPr>
      <w:sz w:val="20"/>
      <w:szCs w:val="20"/>
    </w:rPr>
  </w:style>
  <w:style w:type="character" w:customStyle="1" w:styleId="CommentTextChar">
    <w:name w:val="Comment Text Char"/>
    <w:basedOn w:val="DefaultParagraphFont"/>
    <w:link w:val="CommentText"/>
    <w:uiPriority w:val="99"/>
    <w:rsid w:val="00F65B9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65B96"/>
    <w:rPr>
      <w:b/>
      <w:bCs/>
    </w:rPr>
  </w:style>
  <w:style w:type="character" w:customStyle="1" w:styleId="CommentSubjectChar">
    <w:name w:val="Comment Subject Char"/>
    <w:basedOn w:val="CommentTextChar"/>
    <w:link w:val="CommentSubject"/>
    <w:uiPriority w:val="99"/>
    <w:semiHidden/>
    <w:rsid w:val="00F65B96"/>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89369">
      <w:bodyDiv w:val="1"/>
      <w:marLeft w:val="0"/>
      <w:marRight w:val="0"/>
      <w:marTop w:val="0"/>
      <w:marBottom w:val="0"/>
      <w:divBdr>
        <w:top w:val="none" w:sz="0" w:space="0" w:color="auto"/>
        <w:left w:val="none" w:sz="0" w:space="0" w:color="auto"/>
        <w:bottom w:val="none" w:sz="0" w:space="0" w:color="auto"/>
        <w:right w:val="none" w:sz="0" w:space="0" w:color="auto"/>
      </w:divBdr>
    </w:div>
    <w:div w:id="210627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cot/binaries/content/documents/govscot/publications/advice-and-guidance/2012/10/duty-care-code-practice/documents/00404095-pdf/00404095-pdf/govscot%3Adocument/00404095.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no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C88E93-F5BD-455C-B4DA-2E154A434970}"/>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C1D85CCA-BC1A-4FEF-9B84-1B4E42172721}">
  <ds:schemaRefs>
    <ds:schemaRef ds:uri="http://purl.org/dc/terms/"/>
    <ds:schemaRef ds:uri="http://schemas.microsoft.com/office/2006/documentManagement/types"/>
    <ds:schemaRef ds:uri="http://purl.org/dc/dcmitype/"/>
    <ds:schemaRef ds:uri="7dd4d6b0-2bd1-40f7-94aa-8d4785e79023"/>
    <ds:schemaRef ds:uri="http://schemas.microsoft.com/office/infopath/2007/PartnerControls"/>
    <ds:schemaRef ds:uri="ce5b52f7-9556-48ad-bf4f-1238de82834a"/>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BA168F4-C533-40B3-86BA-6A3C29922A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SEPA_word_template_no_cover</Template>
  <TotalTime>31</TotalTime>
  <Pages>4</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Links>
    <vt:vector size="12" baseType="variant">
      <vt:variant>
        <vt:i4>3539032</vt:i4>
      </vt:variant>
      <vt:variant>
        <vt:i4>3</vt:i4>
      </vt:variant>
      <vt:variant>
        <vt:i4>0</vt:i4>
      </vt:variant>
      <vt:variant>
        <vt:i4>5</vt:i4>
      </vt:variant>
      <vt:variant>
        <vt:lpwstr>mailto:equalities@sepa.org.uk</vt:lpwstr>
      </vt:variant>
      <vt:variant>
        <vt:lpwstr/>
      </vt:variant>
      <vt:variant>
        <vt:i4>917577</vt:i4>
      </vt:variant>
      <vt:variant>
        <vt:i4>0</vt:i4>
      </vt:variant>
      <vt:variant>
        <vt:i4>0</vt:i4>
      </vt:variant>
      <vt:variant>
        <vt:i4>5</vt:i4>
      </vt:variant>
      <vt:variant>
        <vt:lpwstr>https://www.gov.scot/binaries/content/documents/govscot/publications/advice-and-guidance/2012/10/duty-care-code-practice/documents/00404095-pdf/00404095-pdf/govscot%3Adocument/00404095.pdf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Waste Unit</dc:creator>
  <cp:keywords/>
  <dc:description/>
  <cp:lastModifiedBy>Ross, Naomi</cp:lastModifiedBy>
  <cp:revision>22</cp:revision>
  <cp:lastPrinted>2023-03-23T14:44:00Z</cp:lastPrinted>
  <dcterms:created xsi:type="dcterms:W3CDTF">2025-02-20T17:09:00Z</dcterms:created>
  <dcterms:modified xsi:type="dcterms:W3CDTF">2025-05-01T14:40:00Z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2023-03-29T16:54:40Z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f869009a-32b8-4965-9a48-fd59adde153c</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